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FC1F9" w14:textId="3AC778AB" w:rsidR="00294045" w:rsidRPr="008008E4" w:rsidRDefault="00294045" w:rsidP="04F8A219">
      <w:pPr>
        <w:pStyle w:val="DHSHeadinglevel1"/>
        <w:spacing w:before="2880"/>
        <w:jc w:val="center"/>
      </w:pPr>
      <w:bookmarkStart w:id="0" w:name="_Toc484784036"/>
      <w:bookmarkStart w:id="1" w:name="_Toc484784131"/>
      <w:r>
        <w:t>Program Protocol</w:t>
      </w:r>
      <w:bookmarkEnd w:id="0"/>
      <w:bookmarkEnd w:id="1"/>
    </w:p>
    <w:p w14:paraId="09613132" w14:textId="77777777" w:rsidR="00294045" w:rsidRPr="008008E4" w:rsidRDefault="00294045" w:rsidP="04F8A219">
      <w:pPr>
        <w:pStyle w:val="DHSHeadinglevel1"/>
        <w:jc w:val="center"/>
        <w:rPr>
          <w:sz w:val="32"/>
          <w:szCs w:val="32"/>
        </w:rPr>
      </w:pPr>
    </w:p>
    <w:p w14:paraId="70A9066E" w14:textId="5E29ECC3" w:rsidR="00FB772B" w:rsidRDefault="00303379" w:rsidP="04F8A219">
      <w:pPr>
        <w:pStyle w:val="DHSHeadinglevel1"/>
        <w:jc w:val="center"/>
      </w:pPr>
      <w:bookmarkStart w:id="2" w:name="_Toc484784037"/>
      <w:bookmarkStart w:id="3" w:name="_Toc484784132"/>
      <w:r>
        <w:t xml:space="preserve">Tertiary </w:t>
      </w:r>
      <w:r w:rsidR="00FB772B">
        <w:t xml:space="preserve">Collection of Student Information </w:t>
      </w:r>
    </w:p>
    <w:p w14:paraId="1F689DCD" w14:textId="7EF97C05" w:rsidR="00294045" w:rsidRPr="008008E4" w:rsidRDefault="00294045" w:rsidP="04F8A219">
      <w:pPr>
        <w:pStyle w:val="DHSHeadinglevel1"/>
        <w:jc w:val="center"/>
      </w:pPr>
      <w:r>
        <w:t>Data-matching between Services</w:t>
      </w:r>
      <w:r w:rsidR="003D77F2">
        <w:t xml:space="preserve"> Australia</w:t>
      </w:r>
      <w:r>
        <w:t xml:space="preserve"> and</w:t>
      </w:r>
      <w:r w:rsidR="00FB772B">
        <w:t xml:space="preserve"> the</w:t>
      </w:r>
      <w:r w:rsidR="00DC6043">
        <w:t xml:space="preserve"> Department of Education</w:t>
      </w:r>
      <w:bookmarkEnd w:id="2"/>
      <w:bookmarkEnd w:id="3"/>
    </w:p>
    <w:p w14:paraId="0B7A946C" w14:textId="77777777" w:rsidR="00294045" w:rsidRPr="008008E4" w:rsidRDefault="00294045" w:rsidP="04F8A219">
      <w:pPr>
        <w:pStyle w:val="DHSHeadinglevel1"/>
        <w:jc w:val="center"/>
        <w:rPr>
          <w:sz w:val="32"/>
          <w:szCs w:val="32"/>
        </w:rPr>
      </w:pPr>
    </w:p>
    <w:p w14:paraId="2D2480BF" w14:textId="05E3DF34" w:rsidR="008008E4" w:rsidRDefault="00A41E4B" w:rsidP="04F8A219">
      <w:pPr>
        <w:pStyle w:val="DHSHeadinglevel1"/>
        <w:jc w:val="center"/>
      </w:pPr>
      <w:r>
        <w:t>January 2024</w:t>
      </w:r>
    </w:p>
    <w:p w14:paraId="18EE731B" w14:textId="6E632C25" w:rsidR="004E49A7" w:rsidRDefault="004E49A7">
      <w:pPr>
        <w:rPr>
          <w:rFonts w:cs="Arial"/>
          <w:sz w:val="22"/>
          <w:szCs w:val="22"/>
          <w:lang w:eastAsia="en-US"/>
        </w:rPr>
      </w:pPr>
      <w:r>
        <w:rPr>
          <w:lang w:eastAsia="en-US"/>
        </w:rPr>
        <w:br w:type="page"/>
      </w:r>
    </w:p>
    <w:p w14:paraId="2A43D5F4" w14:textId="77777777" w:rsidR="004E49A7" w:rsidRPr="00CC7955" w:rsidRDefault="004E49A7" w:rsidP="004E49A7">
      <w:pPr>
        <w:spacing w:before="240"/>
        <w:rPr>
          <w:rFonts w:cstheme="minorHAnsi"/>
          <w:smallCaps/>
          <w:sz w:val="24"/>
        </w:rPr>
      </w:pPr>
      <w:r w:rsidRPr="00CC7955">
        <w:rPr>
          <w:rFonts w:cstheme="minorHAnsi"/>
          <w:smallCaps/>
          <w:sz w:val="24"/>
        </w:rPr>
        <w:lastRenderedPageBreak/>
        <w:t>Document Details</w:t>
      </w:r>
    </w:p>
    <w:tbl>
      <w:tblPr>
        <w:tblStyle w:val="TableGrid"/>
        <w:tblW w:w="8931" w:type="dxa"/>
        <w:tblInd w:w="-5" w:type="dxa"/>
        <w:tblLayout w:type="fixed"/>
        <w:tblLook w:val="04A0" w:firstRow="1" w:lastRow="0" w:firstColumn="1" w:lastColumn="0" w:noHBand="0" w:noVBand="1"/>
        <w:tblCaption w:val="Document Details"/>
        <w:tblDescription w:val="This table tracks version history of for the document."/>
      </w:tblPr>
      <w:tblGrid>
        <w:gridCol w:w="1276"/>
        <w:gridCol w:w="1418"/>
        <w:gridCol w:w="6237"/>
      </w:tblGrid>
      <w:tr w:rsidR="001617C5" w:rsidRPr="00CC7955" w14:paraId="0DA72F65" w14:textId="77777777" w:rsidTr="5EA54290">
        <w:trPr>
          <w:trHeight w:val="234"/>
          <w:tblHeader/>
        </w:trPr>
        <w:tc>
          <w:tcPr>
            <w:tcW w:w="1276" w:type="dxa"/>
            <w:shd w:val="clear" w:color="auto" w:fill="D9D9D9" w:themeFill="background1" w:themeFillShade="D9"/>
          </w:tcPr>
          <w:p w14:paraId="0773AFD6" w14:textId="77777777" w:rsidR="001617C5" w:rsidRPr="00CC7955" w:rsidRDefault="001617C5" w:rsidP="0066090A">
            <w:pPr>
              <w:rPr>
                <w:rFonts w:asciiTheme="minorHAnsi" w:hAnsiTheme="minorHAnsi" w:cstheme="minorHAnsi"/>
                <w:b/>
              </w:rPr>
            </w:pPr>
            <w:r w:rsidRPr="00CC7955">
              <w:rPr>
                <w:rFonts w:asciiTheme="minorHAnsi" w:hAnsiTheme="minorHAnsi" w:cstheme="minorHAnsi"/>
                <w:b/>
              </w:rPr>
              <w:t>Version</w:t>
            </w:r>
          </w:p>
        </w:tc>
        <w:tc>
          <w:tcPr>
            <w:tcW w:w="1418" w:type="dxa"/>
            <w:shd w:val="clear" w:color="auto" w:fill="D9D9D9" w:themeFill="background1" w:themeFillShade="D9"/>
          </w:tcPr>
          <w:p w14:paraId="713F7DCA" w14:textId="77777777" w:rsidR="001617C5" w:rsidRPr="00CC7955" w:rsidRDefault="001617C5" w:rsidP="0066090A">
            <w:pPr>
              <w:rPr>
                <w:rFonts w:asciiTheme="minorHAnsi" w:hAnsiTheme="minorHAnsi" w:cstheme="minorHAnsi"/>
                <w:b/>
              </w:rPr>
            </w:pPr>
            <w:r w:rsidRPr="00CC7955">
              <w:rPr>
                <w:rFonts w:asciiTheme="minorHAnsi" w:hAnsiTheme="minorHAnsi" w:cstheme="minorHAnsi"/>
                <w:b/>
              </w:rPr>
              <w:t>Date created</w:t>
            </w:r>
          </w:p>
        </w:tc>
        <w:tc>
          <w:tcPr>
            <w:tcW w:w="6237" w:type="dxa"/>
            <w:shd w:val="clear" w:color="auto" w:fill="D9D9D9" w:themeFill="background1" w:themeFillShade="D9"/>
          </w:tcPr>
          <w:p w14:paraId="73C57C07" w14:textId="77777777" w:rsidR="001617C5" w:rsidRPr="00CC7955" w:rsidRDefault="001617C5" w:rsidP="0066090A">
            <w:pPr>
              <w:rPr>
                <w:rFonts w:asciiTheme="minorHAnsi" w:hAnsiTheme="minorHAnsi" w:cstheme="minorHAnsi"/>
                <w:b/>
              </w:rPr>
            </w:pPr>
            <w:r w:rsidRPr="00CC7955">
              <w:rPr>
                <w:rFonts w:asciiTheme="minorHAnsi" w:hAnsiTheme="minorHAnsi" w:cstheme="minorHAnsi"/>
                <w:b/>
              </w:rPr>
              <w:t>Comments</w:t>
            </w:r>
          </w:p>
        </w:tc>
      </w:tr>
      <w:tr w:rsidR="001617C5" w:rsidRPr="00CC7955" w14:paraId="4FCB14F1" w14:textId="77777777" w:rsidTr="5EA54290">
        <w:trPr>
          <w:trHeight w:val="498"/>
          <w:tblHeader/>
        </w:trPr>
        <w:tc>
          <w:tcPr>
            <w:tcW w:w="1276" w:type="dxa"/>
            <w:vAlign w:val="center"/>
          </w:tcPr>
          <w:p w14:paraId="3BBA484E" w14:textId="1F1AB478" w:rsidR="001617C5" w:rsidRPr="00496048" w:rsidRDefault="001617C5" w:rsidP="0066090A">
            <w:pPr>
              <w:rPr>
                <w:rFonts w:cs="Arial"/>
              </w:rPr>
            </w:pPr>
            <w:r w:rsidRPr="00496048">
              <w:rPr>
                <w:rFonts w:cs="Arial"/>
              </w:rPr>
              <w:t>1.0</w:t>
            </w:r>
          </w:p>
        </w:tc>
        <w:tc>
          <w:tcPr>
            <w:tcW w:w="1418" w:type="dxa"/>
            <w:vAlign w:val="center"/>
          </w:tcPr>
          <w:p w14:paraId="3999D467" w14:textId="76918759" w:rsidR="001617C5" w:rsidRPr="00496048" w:rsidRDefault="001617C5" w:rsidP="0066090A">
            <w:pPr>
              <w:rPr>
                <w:rFonts w:cs="Arial"/>
                <w:color w:val="808080" w:themeColor="background1" w:themeShade="80"/>
              </w:rPr>
            </w:pPr>
            <w:r w:rsidRPr="00496048">
              <w:rPr>
                <w:rFonts w:cs="Arial"/>
                <w:color w:val="808080" w:themeColor="background1" w:themeShade="80"/>
              </w:rPr>
              <w:t>14/01/2021</w:t>
            </w:r>
          </w:p>
        </w:tc>
        <w:tc>
          <w:tcPr>
            <w:tcW w:w="6237" w:type="dxa"/>
            <w:vAlign w:val="center"/>
          </w:tcPr>
          <w:p w14:paraId="1DF4B4DC" w14:textId="04CF40F1" w:rsidR="001617C5" w:rsidRPr="00496048" w:rsidRDefault="001617C5" w:rsidP="0066090A">
            <w:pPr>
              <w:rPr>
                <w:rFonts w:cs="Arial"/>
              </w:rPr>
            </w:pPr>
            <w:r w:rsidRPr="00496048">
              <w:rPr>
                <w:rFonts w:cs="Arial"/>
              </w:rPr>
              <w:t>Published version of Data Matching Protocols</w:t>
            </w:r>
          </w:p>
        </w:tc>
      </w:tr>
      <w:tr w:rsidR="00B15AF8" w:rsidRPr="00CC7955" w14:paraId="4C614BE2" w14:textId="77777777" w:rsidTr="5EA54290">
        <w:trPr>
          <w:trHeight w:val="498"/>
          <w:tblHeader/>
        </w:trPr>
        <w:tc>
          <w:tcPr>
            <w:tcW w:w="1276" w:type="dxa"/>
            <w:tcBorders>
              <w:bottom w:val="single" w:sz="4" w:space="0" w:color="auto"/>
            </w:tcBorders>
            <w:vAlign w:val="center"/>
          </w:tcPr>
          <w:p w14:paraId="484901F6" w14:textId="03D0E1B4" w:rsidR="00B15AF8" w:rsidRDefault="00B15AF8" w:rsidP="00824580">
            <w:pPr>
              <w:rPr>
                <w:rFonts w:cs="Arial"/>
              </w:rPr>
            </w:pPr>
            <w:r>
              <w:rPr>
                <w:rFonts w:cs="Arial"/>
              </w:rPr>
              <w:t>2.0</w:t>
            </w:r>
          </w:p>
        </w:tc>
        <w:tc>
          <w:tcPr>
            <w:tcW w:w="1418" w:type="dxa"/>
            <w:tcBorders>
              <w:bottom w:val="single" w:sz="4" w:space="0" w:color="auto"/>
            </w:tcBorders>
            <w:vAlign w:val="center"/>
          </w:tcPr>
          <w:p w14:paraId="33DD21D9" w14:textId="7D6AC40A" w:rsidR="00B15AF8" w:rsidRDefault="6A11959C" w:rsidP="00824580">
            <w:pPr>
              <w:rPr>
                <w:rStyle w:val="Style1"/>
                <w:rFonts w:ascii="Arial" w:hAnsi="Arial" w:cs="Arial"/>
                <w:color w:val="808080" w:themeColor="background1" w:themeShade="80"/>
              </w:rPr>
            </w:pPr>
            <w:r w:rsidRPr="5EA54290">
              <w:rPr>
                <w:rStyle w:val="Style1"/>
                <w:rFonts w:ascii="Arial" w:hAnsi="Arial" w:cs="Arial"/>
                <w:color w:val="808080" w:themeColor="background1" w:themeShade="80"/>
              </w:rPr>
              <w:t>21/06/2024</w:t>
            </w:r>
          </w:p>
        </w:tc>
        <w:tc>
          <w:tcPr>
            <w:tcW w:w="6237" w:type="dxa"/>
            <w:vAlign w:val="center"/>
          </w:tcPr>
          <w:p w14:paraId="45684664" w14:textId="2B9ED667" w:rsidR="00B15AF8" w:rsidRDefault="00B15AF8" w:rsidP="00824580">
            <w:pPr>
              <w:rPr>
                <w:rFonts w:cs="Arial"/>
              </w:rPr>
            </w:pPr>
            <w:r>
              <w:rPr>
                <w:rFonts w:cs="Arial"/>
              </w:rPr>
              <w:t>Published version of updated Data Matching Protocol</w:t>
            </w:r>
          </w:p>
        </w:tc>
      </w:tr>
    </w:tbl>
    <w:p w14:paraId="6DA189E4" w14:textId="77777777" w:rsidR="004E49A7" w:rsidRPr="004E49A7" w:rsidRDefault="004E49A7" w:rsidP="004E49A7">
      <w:pPr>
        <w:pStyle w:val="DHSBodytext"/>
        <w:rPr>
          <w:lang w:eastAsia="en-US"/>
        </w:rPr>
      </w:pPr>
    </w:p>
    <w:p w14:paraId="6C6BF195" w14:textId="77777777" w:rsidR="008008E4" w:rsidRDefault="008008E4">
      <w:pPr>
        <w:rPr>
          <w:rFonts w:cs="Arial"/>
          <w:b/>
          <w:bCs/>
          <w:kern w:val="32"/>
          <w:sz w:val="40"/>
          <w:szCs w:val="40"/>
        </w:rPr>
      </w:pPr>
      <w:r>
        <w:br w:type="page"/>
      </w:r>
    </w:p>
    <w:sdt>
      <w:sdtPr>
        <w:rPr>
          <w:rFonts w:eastAsiaTheme="minorEastAsia"/>
        </w:rPr>
        <w:id w:val="891073889"/>
        <w:docPartObj>
          <w:docPartGallery w:val="Table of Contents"/>
          <w:docPartUnique/>
        </w:docPartObj>
      </w:sdtPr>
      <w:sdtEndPr>
        <w:rPr>
          <w:noProof/>
          <w:lang w:val="en-US"/>
        </w:rPr>
      </w:sdtEndPr>
      <w:sdtContent>
        <w:p w14:paraId="041FC4F0" w14:textId="77777777" w:rsidR="00C2472D" w:rsidRPr="00C2472D" w:rsidRDefault="00C2472D" w:rsidP="00C2472D">
          <w:pPr>
            <w:pBdr>
              <w:top w:val="single" w:sz="4" w:space="1" w:color="auto"/>
            </w:pBdr>
            <w:rPr>
              <w:b/>
              <w:sz w:val="36"/>
              <w:szCs w:val="36"/>
            </w:rPr>
          </w:pPr>
          <w:r w:rsidRPr="00C2472D">
            <w:rPr>
              <w:rFonts w:eastAsiaTheme="minorEastAsia"/>
              <w:b/>
              <w:sz w:val="36"/>
              <w:szCs w:val="36"/>
            </w:rPr>
            <w:t>Contents</w:t>
          </w:r>
        </w:p>
        <w:p w14:paraId="51D2DC91" w14:textId="77777777" w:rsidR="00C2472D" w:rsidRDefault="00C2472D" w:rsidP="004B183A"/>
        <w:p w14:paraId="4E8F0536" w14:textId="707D03ED" w:rsidR="00B14829" w:rsidRDefault="00C2472D" w:rsidP="00893FF0">
          <w:pPr>
            <w:pStyle w:val="TOC1"/>
            <w:rPr>
              <w:rFonts w:asciiTheme="minorHAnsi" w:eastAsiaTheme="minorEastAsia" w:hAnsiTheme="minorHAnsi" w:cstheme="minorBidi"/>
              <w:noProof/>
              <w:szCs w:val="22"/>
            </w:rPr>
          </w:pPr>
          <w:r>
            <w:rPr>
              <w:bCs/>
              <w:noProof/>
              <w:lang w:val="en-US"/>
            </w:rPr>
            <w:fldChar w:fldCharType="begin"/>
          </w:r>
          <w:r>
            <w:rPr>
              <w:bCs/>
              <w:noProof/>
              <w:lang w:val="en-US"/>
            </w:rPr>
            <w:instrText xml:space="preserve"> TOC \h \z \t "Heading 1,2,Heading 2,3,mainTitle,1,legalAttachment,1" </w:instrText>
          </w:r>
          <w:r>
            <w:rPr>
              <w:bCs/>
              <w:noProof/>
              <w:lang w:val="en-US"/>
            </w:rPr>
            <w:fldChar w:fldCharType="separate"/>
          </w:r>
          <w:hyperlink w:anchor="_Toc58929571" w:history="1">
            <w:r w:rsidR="00893FF0" w:rsidRPr="00D11DED">
              <w:rPr>
                <w:rStyle w:val="Hyperlink"/>
                <w:noProof/>
              </w:rPr>
              <w:t>Program Protocol</w:t>
            </w:r>
            <w:r w:rsidR="00893FF0">
              <w:rPr>
                <w:noProof/>
                <w:webHidden/>
              </w:rPr>
              <w:tab/>
              <w:t>5</w:t>
            </w:r>
          </w:hyperlink>
        </w:p>
        <w:p w14:paraId="5FC7BE56" w14:textId="070C9995" w:rsidR="00B14829" w:rsidRDefault="00000000" w:rsidP="00E731CC">
          <w:pPr>
            <w:pStyle w:val="TOC2"/>
            <w:rPr>
              <w:rFonts w:asciiTheme="minorHAnsi" w:eastAsiaTheme="minorEastAsia" w:hAnsiTheme="minorHAnsi" w:cstheme="minorBidi"/>
              <w:szCs w:val="22"/>
            </w:rPr>
          </w:pPr>
          <w:hyperlink w:anchor="_Toc58929572" w:history="1">
            <w:r w:rsidR="00893FF0" w:rsidRPr="00D11DED">
              <w:rPr>
                <w:rStyle w:val="Hyperlink"/>
              </w:rPr>
              <w:t>1.</w:t>
            </w:r>
            <w:r w:rsidR="00893FF0">
              <w:rPr>
                <w:rFonts w:asciiTheme="minorHAnsi" w:eastAsiaTheme="minorEastAsia" w:hAnsiTheme="minorHAnsi" w:cstheme="minorBidi"/>
                <w:szCs w:val="22"/>
              </w:rPr>
              <w:tab/>
            </w:r>
            <w:r w:rsidR="00893FF0" w:rsidRPr="00D11DED">
              <w:rPr>
                <w:rStyle w:val="Hyperlink"/>
              </w:rPr>
              <w:t>Description of the Program</w:t>
            </w:r>
            <w:r w:rsidR="00893FF0">
              <w:rPr>
                <w:webHidden/>
              </w:rPr>
              <w:tab/>
              <w:t>5</w:t>
            </w:r>
          </w:hyperlink>
        </w:p>
        <w:p w14:paraId="0CDDC6C2" w14:textId="096C8D9F" w:rsidR="00B14829" w:rsidRDefault="00000000" w:rsidP="001D0874">
          <w:pPr>
            <w:pStyle w:val="TOC3"/>
            <w:rPr>
              <w:rFonts w:asciiTheme="minorHAnsi" w:eastAsiaTheme="minorEastAsia" w:hAnsiTheme="minorHAnsi" w:cstheme="minorBidi"/>
              <w:noProof/>
              <w:szCs w:val="22"/>
            </w:rPr>
          </w:pPr>
          <w:hyperlink w:anchor="_Toc58929573" w:history="1">
            <w:r w:rsidR="00893FF0" w:rsidRPr="00D11DED">
              <w:rPr>
                <w:rStyle w:val="Hyperlink"/>
                <w:noProof/>
                <w14:scene3d>
                  <w14:camera w14:prst="orthographicFront"/>
                  <w14:lightRig w14:rig="threePt" w14:dir="t">
                    <w14:rot w14:lat="0" w14:lon="0" w14:rev="0"/>
                  </w14:lightRig>
                </w14:scene3d>
              </w:rPr>
              <w:t>1.1</w:t>
            </w:r>
            <w:r w:rsidR="00893FF0">
              <w:rPr>
                <w:rFonts w:asciiTheme="minorHAnsi" w:eastAsiaTheme="minorEastAsia" w:hAnsiTheme="minorHAnsi" w:cstheme="minorBidi"/>
                <w:noProof/>
                <w:szCs w:val="22"/>
              </w:rPr>
              <w:tab/>
            </w:r>
            <w:r w:rsidR="00893FF0" w:rsidRPr="00D11DED">
              <w:rPr>
                <w:rStyle w:val="Hyperlink"/>
                <w:noProof/>
              </w:rPr>
              <w:t>Overview of the Program</w:t>
            </w:r>
            <w:r w:rsidR="00893FF0">
              <w:rPr>
                <w:noProof/>
                <w:webHidden/>
              </w:rPr>
              <w:tab/>
              <w:t>5</w:t>
            </w:r>
          </w:hyperlink>
        </w:p>
        <w:p w14:paraId="331EA7F7" w14:textId="2481D1D9" w:rsidR="00B14829" w:rsidRDefault="00000000" w:rsidP="001D0874">
          <w:pPr>
            <w:pStyle w:val="TOC3"/>
            <w:rPr>
              <w:rFonts w:asciiTheme="minorHAnsi" w:eastAsiaTheme="minorEastAsia" w:hAnsiTheme="minorHAnsi" w:cstheme="minorBidi"/>
              <w:noProof/>
              <w:szCs w:val="22"/>
            </w:rPr>
          </w:pPr>
          <w:hyperlink w:anchor="_Toc58929574" w:history="1">
            <w:r w:rsidR="00893FF0" w:rsidRPr="00D11DED">
              <w:rPr>
                <w:rStyle w:val="Hyperlink"/>
                <w:noProof/>
                <w14:scene3d>
                  <w14:camera w14:prst="orthographicFront"/>
                  <w14:lightRig w14:rig="threePt" w14:dir="t">
                    <w14:rot w14:lat="0" w14:lon="0" w14:rev="0"/>
                  </w14:lightRig>
                </w14:scene3d>
              </w:rPr>
              <w:t>1.2</w:t>
            </w:r>
            <w:r w:rsidR="00893FF0">
              <w:rPr>
                <w:rFonts w:asciiTheme="minorHAnsi" w:eastAsiaTheme="minorEastAsia" w:hAnsiTheme="minorHAnsi" w:cstheme="minorBidi"/>
                <w:noProof/>
                <w:szCs w:val="22"/>
              </w:rPr>
              <w:tab/>
            </w:r>
            <w:r w:rsidR="00893FF0" w:rsidRPr="00D11DED">
              <w:rPr>
                <w:rStyle w:val="Hyperlink"/>
                <w:noProof/>
              </w:rPr>
              <w:t>Objectives of the Program</w:t>
            </w:r>
            <w:r w:rsidR="00893FF0">
              <w:rPr>
                <w:noProof/>
                <w:webHidden/>
              </w:rPr>
              <w:tab/>
              <w:t>6</w:t>
            </w:r>
          </w:hyperlink>
        </w:p>
        <w:p w14:paraId="3A1E7E01" w14:textId="235C3771" w:rsidR="00B14829" w:rsidRDefault="00000000" w:rsidP="00E731CC">
          <w:pPr>
            <w:pStyle w:val="TOC2"/>
            <w:rPr>
              <w:rFonts w:asciiTheme="minorHAnsi" w:eastAsiaTheme="minorEastAsia" w:hAnsiTheme="minorHAnsi" w:cstheme="minorBidi"/>
              <w:szCs w:val="22"/>
            </w:rPr>
          </w:pPr>
          <w:hyperlink w:anchor="_Toc58929575" w:history="1">
            <w:r w:rsidR="00893FF0" w:rsidRPr="00D11DED">
              <w:rPr>
                <w:rStyle w:val="Hyperlink"/>
              </w:rPr>
              <w:t>2.</w:t>
            </w:r>
            <w:r w:rsidR="00893FF0">
              <w:rPr>
                <w:rFonts w:asciiTheme="minorHAnsi" w:eastAsiaTheme="minorEastAsia" w:hAnsiTheme="minorHAnsi" w:cstheme="minorBidi"/>
                <w:szCs w:val="22"/>
              </w:rPr>
              <w:tab/>
            </w:r>
            <w:r w:rsidR="00893FF0" w:rsidRPr="00D11DED">
              <w:rPr>
                <w:rStyle w:val="Hyperlink"/>
              </w:rPr>
              <w:t>Relevant Agencies</w:t>
            </w:r>
            <w:r w:rsidR="00893FF0">
              <w:rPr>
                <w:webHidden/>
              </w:rPr>
              <w:tab/>
              <w:t>6</w:t>
            </w:r>
          </w:hyperlink>
        </w:p>
        <w:p w14:paraId="3ED4CCF2" w14:textId="23C7BA14" w:rsidR="00B14829" w:rsidRDefault="00000000" w:rsidP="001D0874">
          <w:pPr>
            <w:pStyle w:val="TOC3"/>
            <w:rPr>
              <w:rFonts w:asciiTheme="minorHAnsi" w:eastAsiaTheme="minorEastAsia" w:hAnsiTheme="minorHAnsi" w:cstheme="minorBidi"/>
              <w:noProof/>
              <w:szCs w:val="22"/>
            </w:rPr>
          </w:pPr>
          <w:hyperlink w:anchor="_Toc58929576" w:history="1">
            <w:r w:rsidR="00893FF0" w:rsidRPr="00D11DED">
              <w:rPr>
                <w:rStyle w:val="Hyperlink"/>
                <w:noProof/>
                <w14:scene3d>
                  <w14:camera w14:prst="orthographicFront"/>
                  <w14:lightRig w14:rig="threePt" w14:dir="t">
                    <w14:rot w14:lat="0" w14:lon="0" w14:rev="0"/>
                  </w14:lightRig>
                </w14:scene3d>
              </w:rPr>
              <w:t>2.1</w:t>
            </w:r>
            <w:r w:rsidR="00893FF0">
              <w:rPr>
                <w:rFonts w:asciiTheme="minorHAnsi" w:eastAsiaTheme="minorEastAsia" w:hAnsiTheme="minorHAnsi" w:cstheme="minorBidi"/>
                <w:noProof/>
                <w:szCs w:val="22"/>
              </w:rPr>
              <w:tab/>
            </w:r>
            <w:r w:rsidR="00893FF0" w:rsidRPr="00D11DED">
              <w:rPr>
                <w:rStyle w:val="Hyperlink"/>
                <w:noProof/>
              </w:rPr>
              <w:t>Matching Agency</w:t>
            </w:r>
            <w:r w:rsidR="00893FF0">
              <w:rPr>
                <w:noProof/>
                <w:webHidden/>
              </w:rPr>
              <w:tab/>
              <w:t>6</w:t>
            </w:r>
          </w:hyperlink>
        </w:p>
        <w:p w14:paraId="04C73EED" w14:textId="403A4471" w:rsidR="00B14829" w:rsidRDefault="00000000" w:rsidP="001D0874">
          <w:pPr>
            <w:pStyle w:val="TOC3"/>
            <w:rPr>
              <w:rFonts w:asciiTheme="minorHAnsi" w:eastAsiaTheme="minorEastAsia" w:hAnsiTheme="minorHAnsi" w:cstheme="minorBidi"/>
              <w:noProof/>
              <w:szCs w:val="22"/>
            </w:rPr>
          </w:pPr>
          <w:hyperlink w:anchor="_Toc58929577" w:history="1">
            <w:r w:rsidR="00893FF0" w:rsidRPr="00D11DED">
              <w:rPr>
                <w:rStyle w:val="Hyperlink"/>
                <w:noProof/>
                <w14:scene3d>
                  <w14:camera w14:prst="orthographicFront"/>
                  <w14:lightRig w14:rig="threePt" w14:dir="t">
                    <w14:rot w14:lat="0" w14:lon="0" w14:rev="0"/>
                  </w14:lightRig>
                </w14:scene3d>
              </w:rPr>
              <w:t>2.2</w:t>
            </w:r>
            <w:r w:rsidR="00893FF0">
              <w:rPr>
                <w:rFonts w:asciiTheme="minorHAnsi" w:eastAsiaTheme="minorEastAsia" w:hAnsiTheme="minorHAnsi" w:cstheme="minorBidi"/>
                <w:noProof/>
                <w:szCs w:val="22"/>
              </w:rPr>
              <w:tab/>
            </w:r>
            <w:r w:rsidR="00893FF0" w:rsidRPr="00D11DED">
              <w:rPr>
                <w:rStyle w:val="Hyperlink"/>
                <w:noProof/>
              </w:rPr>
              <w:t>Source Entities</w:t>
            </w:r>
            <w:r w:rsidR="00893FF0">
              <w:rPr>
                <w:noProof/>
                <w:webHidden/>
              </w:rPr>
              <w:tab/>
              <w:t>6</w:t>
            </w:r>
          </w:hyperlink>
        </w:p>
        <w:p w14:paraId="6AC5C9DC" w14:textId="16607F37" w:rsidR="00B14829" w:rsidRDefault="00000000" w:rsidP="001D0874">
          <w:pPr>
            <w:pStyle w:val="TOC3"/>
            <w:rPr>
              <w:rFonts w:asciiTheme="minorHAnsi" w:eastAsiaTheme="minorEastAsia" w:hAnsiTheme="minorHAnsi" w:cstheme="minorBidi"/>
              <w:noProof/>
              <w:szCs w:val="22"/>
            </w:rPr>
          </w:pPr>
          <w:hyperlink w:anchor="_Toc58929578" w:history="1">
            <w:r w:rsidR="00893FF0" w:rsidRPr="00D11DED">
              <w:rPr>
                <w:rStyle w:val="Hyperlink"/>
                <w:noProof/>
                <w14:scene3d>
                  <w14:camera w14:prst="orthographicFront"/>
                  <w14:lightRig w14:rig="threePt" w14:dir="t">
                    <w14:rot w14:lat="0" w14:lon="0" w14:rev="0"/>
                  </w14:lightRig>
                </w14:scene3d>
              </w:rPr>
              <w:t>2.3</w:t>
            </w:r>
            <w:r w:rsidR="00893FF0">
              <w:rPr>
                <w:rFonts w:asciiTheme="minorHAnsi" w:eastAsiaTheme="minorEastAsia" w:hAnsiTheme="minorHAnsi" w:cstheme="minorBidi"/>
                <w:noProof/>
                <w:szCs w:val="22"/>
              </w:rPr>
              <w:tab/>
            </w:r>
            <w:r w:rsidR="00893FF0" w:rsidRPr="00D11DED">
              <w:rPr>
                <w:rStyle w:val="Hyperlink"/>
                <w:noProof/>
              </w:rPr>
              <w:t>Primary User Agency</w:t>
            </w:r>
            <w:r w:rsidR="00893FF0">
              <w:rPr>
                <w:noProof/>
                <w:webHidden/>
              </w:rPr>
              <w:tab/>
              <w:t>6</w:t>
            </w:r>
          </w:hyperlink>
        </w:p>
        <w:p w14:paraId="40DDECDD" w14:textId="0EFD247F" w:rsidR="00B14829" w:rsidRDefault="00000000" w:rsidP="001D0874">
          <w:pPr>
            <w:pStyle w:val="TOC3"/>
            <w:rPr>
              <w:rFonts w:asciiTheme="minorHAnsi" w:eastAsiaTheme="minorEastAsia" w:hAnsiTheme="minorHAnsi" w:cstheme="minorBidi"/>
              <w:noProof/>
              <w:szCs w:val="22"/>
            </w:rPr>
          </w:pPr>
          <w:hyperlink w:anchor="_Toc58929579" w:history="1">
            <w:r w:rsidR="00893FF0" w:rsidRPr="00D11DED">
              <w:rPr>
                <w:rStyle w:val="Hyperlink"/>
                <w:noProof/>
                <w14:scene3d>
                  <w14:camera w14:prst="orthographicFront"/>
                  <w14:lightRig w14:rig="threePt" w14:dir="t">
                    <w14:rot w14:lat="0" w14:lon="0" w14:rev="0"/>
                  </w14:lightRig>
                </w14:scene3d>
              </w:rPr>
              <w:t>2.4</w:t>
            </w:r>
            <w:r w:rsidR="00893FF0">
              <w:rPr>
                <w:rFonts w:asciiTheme="minorHAnsi" w:eastAsiaTheme="minorEastAsia" w:hAnsiTheme="minorHAnsi" w:cstheme="minorBidi"/>
                <w:noProof/>
                <w:szCs w:val="22"/>
              </w:rPr>
              <w:tab/>
            </w:r>
            <w:r w:rsidR="00893FF0" w:rsidRPr="00D11DED">
              <w:rPr>
                <w:rStyle w:val="Hyperlink"/>
                <w:noProof/>
              </w:rPr>
              <w:t>User Agency</w:t>
            </w:r>
            <w:r w:rsidR="00893FF0">
              <w:rPr>
                <w:noProof/>
                <w:webHidden/>
              </w:rPr>
              <w:tab/>
              <w:t>7</w:t>
            </w:r>
          </w:hyperlink>
        </w:p>
        <w:p w14:paraId="1CD4C283" w14:textId="206DC281" w:rsidR="00B14829" w:rsidRDefault="00000000" w:rsidP="00E731CC">
          <w:pPr>
            <w:pStyle w:val="TOC2"/>
            <w:rPr>
              <w:rFonts w:asciiTheme="minorHAnsi" w:eastAsiaTheme="minorEastAsia" w:hAnsiTheme="minorHAnsi" w:cstheme="minorBidi"/>
              <w:szCs w:val="22"/>
            </w:rPr>
          </w:pPr>
          <w:hyperlink w:anchor="_Toc58929580" w:history="1">
            <w:r w:rsidR="00893FF0" w:rsidRPr="00D11DED">
              <w:rPr>
                <w:rStyle w:val="Hyperlink"/>
              </w:rPr>
              <w:t>3.</w:t>
            </w:r>
            <w:r w:rsidR="00893FF0">
              <w:rPr>
                <w:rFonts w:asciiTheme="minorHAnsi" w:eastAsiaTheme="minorEastAsia" w:hAnsiTheme="minorHAnsi" w:cstheme="minorBidi"/>
                <w:szCs w:val="22"/>
              </w:rPr>
              <w:tab/>
            </w:r>
            <w:r w:rsidR="00893FF0" w:rsidRPr="00D11DED">
              <w:rPr>
                <w:rStyle w:val="Hyperlink"/>
              </w:rPr>
              <w:t>Description of the Program Protocol</w:t>
            </w:r>
            <w:r w:rsidR="00893FF0">
              <w:rPr>
                <w:webHidden/>
              </w:rPr>
              <w:tab/>
              <w:t>7</w:t>
            </w:r>
          </w:hyperlink>
        </w:p>
        <w:p w14:paraId="2936E878" w14:textId="2DCB8257" w:rsidR="00B14829" w:rsidRDefault="00000000" w:rsidP="001D0874">
          <w:pPr>
            <w:pStyle w:val="TOC3"/>
            <w:rPr>
              <w:rFonts w:asciiTheme="minorHAnsi" w:eastAsiaTheme="minorEastAsia" w:hAnsiTheme="minorHAnsi" w:cstheme="minorBidi"/>
              <w:noProof/>
              <w:szCs w:val="22"/>
            </w:rPr>
          </w:pPr>
          <w:hyperlink w:anchor="_Toc58929581" w:history="1">
            <w:r w:rsidR="00893FF0" w:rsidRPr="00D11DED">
              <w:rPr>
                <w:rStyle w:val="Hyperlink"/>
                <w:noProof/>
                <w14:scene3d>
                  <w14:camera w14:prst="orthographicFront"/>
                  <w14:lightRig w14:rig="threePt" w14:dir="t">
                    <w14:rot w14:lat="0" w14:lon="0" w14:rev="0"/>
                  </w14:lightRig>
                </w14:scene3d>
              </w:rPr>
              <w:t>3.1</w:t>
            </w:r>
            <w:r w:rsidR="00893FF0">
              <w:rPr>
                <w:rFonts w:asciiTheme="minorHAnsi" w:eastAsiaTheme="minorEastAsia" w:hAnsiTheme="minorHAnsi" w:cstheme="minorBidi"/>
                <w:noProof/>
                <w:szCs w:val="22"/>
              </w:rPr>
              <w:tab/>
            </w:r>
            <w:r w:rsidR="00893FF0" w:rsidRPr="00D11DED">
              <w:rPr>
                <w:rStyle w:val="Hyperlink"/>
                <w:noProof/>
              </w:rPr>
              <w:t>Purpose</w:t>
            </w:r>
            <w:r w:rsidR="00893FF0">
              <w:rPr>
                <w:noProof/>
                <w:webHidden/>
              </w:rPr>
              <w:tab/>
              <w:t>7</w:t>
            </w:r>
          </w:hyperlink>
        </w:p>
        <w:p w14:paraId="3A810502" w14:textId="73541546" w:rsidR="00B14829" w:rsidRDefault="00000000" w:rsidP="001D0874">
          <w:pPr>
            <w:pStyle w:val="TOC3"/>
            <w:rPr>
              <w:rFonts w:asciiTheme="minorHAnsi" w:eastAsiaTheme="minorEastAsia" w:hAnsiTheme="minorHAnsi" w:cstheme="minorBidi"/>
              <w:noProof/>
              <w:szCs w:val="22"/>
            </w:rPr>
          </w:pPr>
          <w:hyperlink w:anchor="_Toc58929582" w:history="1">
            <w:r w:rsidR="00893FF0" w:rsidRPr="00D11DED">
              <w:rPr>
                <w:rStyle w:val="Hyperlink"/>
                <w:noProof/>
                <w14:scene3d>
                  <w14:camera w14:prst="orthographicFront"/>
                  <w14:lightRig w14:rig="threePt" w14:dir="t">
                    <w14:rot w14:lat="0" w14:lon="0" w14:rev="0"/>
                  </w14:lightRig>
                </w14:scene3d>
              </w:rPr>
              <w:t>3.2</w:t>
            </w:r>
            <w:r w:rsidR="00893FF0">
              <w:rPr>
                <w:rFonts w:asciiTheme="minorHAnsi" w:eastAsiaTheme="minorEastAsia" w:hAnsiTheme="minorHAnsi" w:cstheme="minorBidi"/>
                <w:noProof/>
                <w:szCs w:val="22"/>
              </w:rPr>
              <w:tab/>
            </w:r>
            <w:r w:rsidR="00893FF0" w:rsidRPr="00D11DED">
              <w:rPr>
                <w:rStyle w:val="Hyperlink"/>
                <w:noProof/>
              </w:rPr>
              <w:t>Requirement for a Program Protocol</w:t>
            </w:r>
            <w:r w:rsidR="00893FF0">
              <w:rPr>
                <w:noProof/>
                <w:webHidden/>
              </w:rPr>
              <w:tab/>
              <w:t>7</w:t>
            </w:r>
          </w:hyperlink>
        </w:p>
        <w:p w14:paraId="02A9E729" w14:textId="7BC11E2E" w:rsidR="00B14829" w:rsidRDefault="00000000" w:rsidP="00E731CC">
          <w:pPr>
            <w:pStyle w:val="TOC2"/>
            <w:rPr>
              <w:rFonts w:asciiTheme="minorHAnsi" w:eastAsiaTheme="minorEastAsia" w:hAnsiTheme="minorHAnsi" w:cstheme="minorBidi"/>
              <w:szCs w:val="22"/>
            </w:rPr>
          </w:pPr>
          <w:hyperlink w:anchor="_Toc58929583" w:history="1">
            <w:r w:rsidR="00893FF0" w:rsidRPr="00D11DED">
              <w:rPr>
                <w:rStyle w:val="Hyperlink"/>
              </w:rPr>
              <w:t>4.</w:t>
            </w:r>
            <w:r w:rsidR="00893FF0">
              <w:rPr>
                <w:rFonts w:asciiTheme="minorHAnsi" w:eastAsiaTheme="minorEastAsia" w:hAnsiTheme="minorHAnsi" w:cstheme="minorBidi"/>
                <w:szCs w:val="22"/>
              </w:rPr>
              <w:tab/>
            </w:r>
            <w:r w:rsidR="00893FF0" w:rsidRPr="00D11DED">
              <w:rPr>
                <w:rStyle w:val="Hyperlink"/>
              </w:rPr>
              <w:t>Data collected through the TCSI Solution</w:t>
            </w:r>
            <w:r w:rsidR="00893FF0">
              <w:rPr>
                <w:webHidden/>
              </w:rPr>
              <w:tab/>
              <w:t>8</w:t>
            </w:r>
          </w:hyperlink>
        </w:p>
        <w:p w14:paraId="4B15C3AB" w14:textId="3AAFBF60" w:rsidR="00B14829" w:rsidRDefault="00000000" w:rsidP="001D0874">
          <w:pPr>
            <w:pStyle w:val="TOC3"/>
            <w:rPr>
              <w:rFonts w:asciiTheme="minorHAnsi" w:eastAsiaTheme="minorEastAsia" w:hAnsiTheme="minorHAnsi" w:cstheme="minorBidi"/>
              <w:noProof/>
              <w:szCs w:val="22"/>
            </w:rPr>
          </w:pPr>
          <w:hyperlink w:anchor="_Toc58929584" w:history="1">
            <w:r w:rsidR="00893FF0" w:rsidRPr="00D11DED">
              <w:rPr>
                <w:rStyle w:val="Hyperlink"/>
                <w:noProof/>
                <w14:scene3d>
                  <w14:camera w14:prst="orthographicFront"/>
                  <w14:lightRig w14:rig="threePt" w14:dir="t">
                    <w14:rot w14:lat="0" w14:lon="0" w14:rev="0"/>
                  </w14:lightRig>
                </w14:scene3d>
              </w:rPr>
              <w:t>4.1</w:t>
            </w:r>
            <w:r w:rsidR="00893FF0">
              <w:rPr>
                <w:rFonts w:asciiTheme="minorHAnsi" w:eastAsiaTheme="minorEastAsia" w:hAnsiTheme="minorHAnsi" w:cstheme="minorBidi"/>
                <w:noProof/>
                <w:szCs w:val="22"/>
              </w:rPr>
              <w:tab/>
            </w:r>
            <w:r w:rsidR="00893FF0" w:rsidRPr="00D11DED">
              <w:rPr>
                <w:rStyle w:val="Hyperlink"/>
                <w:noProof/>
              </w:rPr>
              <w:t>Type of data to be provided</w:t>
            </w:r>
            <w:r w:rsidR="00893FF0">
              <w:rPr>
                <w:noProof/>
                <w:webHidden/>
              </w:rPr>
              <w:tab/>
              <w:t>8</w:t>
            </w:r>
          </w:hyperlink>
        </w:p>
        <w:p w14:paraId="1D0064AC" w14:textId="034D98AD" w:rsidR="00B14829" w:rsidRDefault="00000000" w:rsidP="001D0874">
          <w:pPr>
            <w:pStyle w:val="TOC3"/>
            <w:rPr>
              <w:rFonts w:asciiTheme="minorHAnsi" w:eastAsiaTheme="minorEastAsia" w:hAnsiTheme="minorHAnsi" w:cstheme="minorBidi"/>
              <w:noProof/>
              <w:szCs w:val="22"/>
            </w:rPr>
          </w:pPr>
          <w:hyperlink w:anchor="_Toc58929585" w:history="1">
            <w:r w:rsidR="00893FF0" w:rsidRPr="00D11DED">
              <w:rPr>
                <w:rStyle w:val="Hyperlink"/>
                <w:noProof/>
                <w14:scene3d>
                  <w14:camera w14:prst="orthographicFront"/>
                  <w14:lightRig w14:rig="threePt" w14:dir="t">
                    <w14:rot w14:lat="0" w14:lon="0" w14:rev="0"/>
                  </w14:lightRig>
                </w14:scene3d>
              </w:rPr>
              <w:t>4.2</w:t>
            </w:r>
            <w:r w:rsidR="00893FF0">
              <w:rPr>
                <w:rFonts w:asciiTheme="minorHAnsi" w:eastAsiaTheme="minorEastAsia" w:hAnsiTheme="minorHAnsi" w:cstheme="minorBidi"/>
                <w:noProof/>
                <w:szCs w:val="22"/>
              </w:rPr>
              <w:tab/>
            </w:r>
            <w:r w:rsidR="00893FF0" w:rsidRPr="00D11DED">
              <w:rPr>
                <w:rStyle w:val="Hyperlink"/>
                <w:noProof/>
              </w:rPr>
              <w:t>Ensuring the quality of the data</w:t>
            </w:r>
            <w:r w:rsidR="00893FF0">
              <w:rPr>
                <w:noProof/>
                <w:webHidden/>
              </w:rPr>
              <w:tab/>
              <w:t>8</w:t>
            </w:r>
          </w:hyperlink>
        </w:p>
        <w:p w14:paraId="3322D408" w14:textId="52E6CD4F" w:rsidR="00B14829" w:rsidRDefault="00000000" w:rsidP="001D0874">
          <w:pPr>
            <w:pStyle w:val="TOC3"/>
            <w:rPr>
              <w:rFonts w:asciiTheme="minorHAnsi" w:eastAsiaTheme="minorEastAsia" w:hAnsiTheme="minorHAnsi" w:cstheme="minorBidi"/>
              <w:noProof/>
              <w:szCs w:val="22"/>
            </w:rPr>
          </w:pPr>
          <w:hyperlink w:anchor="_Toc58929586" w:history="1">
            <w:r w:rsidR="00893FF0" w:rsidRPr="00D11DED">
              <w:rPr>
                <w:rStyle w:val="Hyperlink"/>
                <w:noProof/>
                <w14:scene3d>
                  <w14:camera w14:prst="orthographicFront"/>
                  <w14:lightRig w14:rig="threePt" w14:dir="t">
                    <w14:rot w14:lat="0" w14:lon="0" w14:rev="0"/>
                  </w14:lightRig>
                </w14:scene3d>
              </w:rPr>
              <w:t>4.3</w:t>
            </w:r>
            <w:r w:rsidR="00893FF0">
              <w:rPr>
                <w:rFonts w:asciiTheme="minorHAnsi" w:eastAsiaTheme="minorEastAsia" w:hAnsiTheme="minorHAnsi" w:cstheme="minorBidi"/>
                <w:noProof/>
                <w:szCs w:val="22"/>
              </w:rPr>
              <w:tab/>
            </w:r>
            <w:r w:rsidR="00893FF0" w:rsidRPr="00D11DED">
              <w:rPr>
                <w:rStyle w:val="Hyperlink"/>
                <w:noProof/>
              </w:rPr>
              <w:t>Data Security</w:t>
            </w:r>
            <w:r w:rsidR="00893FF0">
              <w:rPr>
                <w:noProof/>
                <w:webHidden/>
              </w:rPr>
              <w:tab/>
              <w:t>8</w:t>
            </w:r>
          </w:hyperlink>
        </w:p>
        <w:p w14:paraId="5A2CFD90" w14:textId="7B5F2CD6" w:rsidR="00B14829" w:rsidRDefault="00000000" w:rsidP="001D0874">
          <w:pPr>
            <w:pStyle w:val="TOC3"/>
            <w:rPr>
              <w:rFonts w:asciiTheme="minorHAnsi" w:eastAsiaTheme="minorEastAsia" w:hAnsiTheme="minorHAnsi" w:cstheme="minorBidi"/>
              <w:noProof/>
              <w:szCs w:val="22"/>
            </w:rPr>
          </w:pPr>
          <w:hyperlink w:anchor="_Toc58929587" w:history="1">
            <w:r w:rsidR="00893FF0" w:rsidRPr="00D11DED">
              <w:rPr>
                <w:rStyle w:val="Hyperlink"/>
                <w:noProof/>
                <w14:scene3d>
                  <w14:camera w14:prst="orthographicFront"/>
                  <w14:lightRig w14:rig="threePt" w14:dir="t">
                    <w14:rot w14:lat="0" w14:lon="0" w14:rev="0"/>
                  </w14:lightRig>
                </w14:scene3d>
              </w:rPr>
              <w:t>4.4</w:t>
            </w:r>
            <w:r w:rsidR="00893FF0">
              <w:rPr>
                <w:rFonts w:asciiTheme="minorHAnsi" w:eastAsiaTheme="minorEastAsia" w:hAnsiTheme="minorHAnsi" w:cstheme="minorBidi"/>
                <w:noProof/>
                <w:szCs w:val="22"/>
              </w:rPr>
              <w:tab/>
            </w:r>
            <w:r w:rsidR="00893FF0" w:rsidRPr="00D11DED">
              <w:rPr>
                <w:rStyle w:val="Hyperlink"/>
                <w:noProof/>
              </w:rPr>
              <w:t>Data Retention and Destruction</w:t>
            </w:r>
            <w:r w:rsidR="00893FF0">
              <w:rPr>
                <w:noProof/>
                <w:webHidden/>
              </w:rPr>
              <w:tab/>
              <w:t>9</w:t>
            </w:r>
          </w:hyperlink>
        </w:p>
        <w:p w14:paraId="0B08622B" w14:textId="0D47F61F" w:rsidR="00B14829" w:rsidRDefault="00000000" w:rsidP="00E731CC">
          <w:pPr>
            <w:pStyle w:val="TOC2"/>
            <w:rPr>
              <w:rFonts w:asciiTheme="minorHAnsi" w:eastAsiaTheme="minorEastAsia" w:hAnsiTheme="minorHAnsi" w:cstheme="minorBidi"/>
              <w:szCs w:val="22"/>
            </w:rPr>
          </w:pPr>
          <w:hyperlink w:anchor="_Toc58929588" w:history="1">
            <w:r w:rsidR="00893FF0" w:rsidRPr="00D11DED">
              <w:rPr>
                <w:rStyle w:val="Hyperlink"/>
              </w:rPr>
              <w:t>5.</w:t>
            </w:r>
            <w:r w:rsidR="00893FF0">
              <w:rPr>
                <w:rFonts w:asciiTheme="minorHAnsi" w:eastAsiaTheme="minorEastAsia" w:hAnsiTheme="minorHAnsi" w:cstheme="minorBidi"/>
                <w:szCs w:val="22"/>
              </w:rPr>
              <w:tab/>
            </w:r>
            <w:r w:rsidR="00893FF0" w:rsidRPr="00D11DED">
              <w:rPr>
                <w:rStyle w:val="Hyperlink"/>
              </w:rPr>
              <w:t>The Matching Process</w:t>
            </w:r>
            <w:r w:rsidR="00893FF0">
              <w:rPr>
                <w:webHidden/>
              </w:rPr>
              <w:tab/>
              <w:t>9</w:t>
            </w:r>
          </w:hyperlink>
        </w:p>
        <w:p w14:paraId="5BAAD1D4" w14:textId="1CB9B7CA" w:rsidR="00B14829" w:rsidRDefault="00000000" w:rsidP="00E731CC">
          <w:pPr>
            <w:pStyle w:val="TOC2"/>
            <w:rPr>
              <w:rFonts w:asciiTheme="minorHAnsi" w:eastAsiaTheme="minorEastAsia" w:hAnsiTheme="minorHAnsi" w:cstheme="minorBidi"/>
              <w:szCs w:val="22"/>
            </w:rPr>
          </w:pPr>
          <w:hyperlink w:anchor="_Toc58929590" w:history="1">
            <w:r w:rsidR="00893FF0" w:rsidRPr="00D11DED">
              <w:rPr>
                <w:rStyle w:val="Hyperlink"/>
              </w:rPr>
              <w:t>6.</w:t>
            </w:r>
            <w:r w:rsidR="00893FF0">
              <w:rPr>
                <w:rFonts w:asciiTheme="minorHAnsi" w:eastAsiaTheme="minorEastAsia" w:hAnsiTheme="minorHAnsi" w:cstheme="minorBidi"/>
                <w:szCs w:val="22"/>
              </w:rPr>
              <w:tab/>
            </w:r>
            <w:r w:rsidR="00893FF0" w:rsidRPr="00D11DED">
              <w:rPr>
                <w:rStyle w:val="Hyperlink"/>
              </w:rPr>
              <w:t>Action Resulting from the Program</w:t>
            </w:r>
            <w:r w:rsidR="00893FF0">
              <w:rPr>
                <w:webHidden/>
              </w:rPr>
              <w:tab/>
              <w:t>9</w:t>
            </w:r>
          </w:hyperlink>
        </w:p>
        <w:p w14:paraId="4340936C" w14:textId="1BCC8086" w:rsidR="00B14829" w:rsidRDefault="00000000" w:rsidP="001D0874">
          <w:pPr>
            <w:pStyle w:val="TOC3"/>
            <w:rPr>
              <w:rFonts w:asciiTheme="minorHAnsi" w:eastAsiaTheme="minorEastAsia" w:hAnsiTheme="minorHAnsi" w:cstheme="minorBidi"/>
              <w:noProof/>
              <w:szCs w:val="22"/>
            </w:rPr>
          </w:pPr>
          <w:hyperlink w:anchor="_Toc58929591" w:history="1">
            <w:r w:rsidR="00893FF0" w:rsidRPr="00D11DED">
              <w:rPr>
                <w:rStyle w:val="Hyperlink"/>
                <w:noProof/>
                <w14:scene3d>
                  <w14:camera w14:prst="orthographicFront"/>
                  <w14:lightRig w14:rig="threePt" w14:dir="t">
                    <w14:rot w14:lat="0" w14:lon="0" w14:rev="0"/>
                  </w14:lightRig>
                </w14:scene3d>
              </w:rPr>
              <w:t>6.2</w:t>
            </w:r>
            <w:r w:rsidR="00893FF0">
              <w:rPr>
                <w:rFonts w:asciiTheme="minorHAnsi" w:eastAsiaTheme="minorEastAsia" w:hAnsiTheme="minorHAnsi" w:cstheme="minorBidi"/>
                <w:noProof/>
                <w:szCs w:val="22"/>
              </w:rPr>
              <w:tab/>
            </w:r>
            <w:r w:rsidR="00893FF0" w:rsidRPr="00D11DED">
              <w:rPr>
                <w:rStyle w:val="Hyperlink"/>
                <w:noProof/>
              </w:rPr>
              <w:t>Student Online Claim Pre-population</w:t>
            </w:r>
            <w:r w:rsidR="00893FF0">
              <w:rPr>
                <w:noProof/>
                <w:webHidden/>
              </w:rPr>
              <w:tab/>
              <w:t>9</w:t>
            </w:r>
          </w:hyperlink>
        </w:p>
        <w:p w14:paraId="1F64752C" w14:textId="0F6B5ABE" w:rsidR="00B14829" w:rsidRDefault="00000000" w:rsidP="001D0874">
          <w:pPr>
            <w:pStyle w:val="TOC3"/>
            <w:rPr>
              <w:rFonts w:asciiTheme="minorHAnsi" w:eastAsiaTheme="minorEastAsia" w:hAnsiTheme="minorHAnsi" w:cstheme="minorBidi"/>
              <w:noProof/>
              <w:szCs w:val="22"/>
            </w:rPr>
          </w:pPr>
          <w:hyperlink w:anchor="_Toc58929592" w:history="1">
            <w:r w:rsidR="00893FF0" w:rsidRPr="00D11DED">
              <w:rPr>
                <w:rStyle w:val="Hyperlink"/>
                <w:noProof/>
                <w14:scene3d>
                  <w14:camera w14:prst="orthographicFront"/>
                  <w14:lightRig w14:rig="threePt" w14:dir="t">
                    <w14:rot w14:lat="0" w14:lon="0" w14:rev="0"/>
                  </w14:lightRig>
                </w14:scene3d>
              </w:rPr>
              <w:t>6.3</w:t>
            </w:r>
            <w:r w:rsidR="00893FF0">
              <w:rPr>
                <w:rFonts w:asciiTheme="minorHAnsi" w:eastAsiaTheme="minorEastAsia" w:hAnsiTheme="minorHAnsi" w:cstheme="minorBidi"/>
                <w:noProof/>
                <w:szCs w:val="22"/>
              </w:rPr>
              <w:tab/>
            </w:r>
            <w:r w:rsidR="00893FF0" w:rsidRPr="00D11DED">
              <w:rPr>
                <w:rStyle w:val="Hyperlink"/>
                <w:noProof/>
              </w:rPr>
              <w:t>Changes in study circumstances</w:t>
            </w:r>
            <w:r w:rsidR="00893FF0">
              <w:rPr>
                <w:noProof/>
                <w:webHidden/>
              </w:rPr>
              <w:tab/>
              <w:t>10</w:t>
            </w:r>
          </w:hyperlink>
        </w:p>
        <w:p w14:paraId="6BEFD1C7" w14:textId="2484D822" w:rsidR="00B14829" w:rsidRDefault="00000000" w:rsidP="001D0874">
          <w:pPr>
            <w:pStyle w:val="TOC3"/>
            <w:rPr>
              <w:rFonts w:asciiTheme="minorHAnsi" w:eastAsiaTheme="minorEastAsia" w:hAnsiTheme="minorHAnsi" w:cstheme="minorBidi"/>
              <w:noProof/>
              <w:szCs w:val="22"/>
            </w:rPr>
          </w:pPr>
          <w:hyperlink w:anchor="_Toc58929593" w:history="1">
            <w:r w:rsidR="00893FF0" w:rsidRPr="00D11DED">
              <w:rPr>
                <w:rStyle w:val="Hyperlink"/>
                <w:noProof/>
                <w14:scene3d>
                  <w14:camera w14:prst="orthographicFront"/>
                  <w14:lightRig w14:rig="threePt" w14:dir="t">
                    <w14:rot w14:lat="0" w14:lon="0" w14:rev="0"/>
                  </w14:lightRig>
                </w14:scene3d>
              </w:rPr>
              <w:t>6.4</w:t>
            </w:r>
            <w:r w:rsidR="00893FF0">
              <w:rPr>
                <w:rFonts w:asciiTheme="minorHAnsi" w:eastAsiaTheme="minorEastAsia" w:hAnsiTheme="minorHAnsi" w:cstheme="minorBidi"/>
                <w:noProof/>
                <w:szCs w:val="22"/>
              </w:rPr>
              <w:tab/>
            </w:r>
            <w:r w:rsidR="00893FF0" w:rsidRPr="00D11DED">
              <w:rPr>
                <w:rStyle w:val="Hyperlink"/>
                <w:noProof/>
              </w:rPr>
              <w:t>Customer Notifications</w:t>
            </w:r>
            <w:r w:rsidR="00893FF0">
              <w:rPr>
                <w:noProof/>
                <w:webHidden/>
              </w:rPr>
              <w:tab/>
              <w:t>11</w:t>
            </w:r>
          </w:hyperlink>
        </w:p>
        <w:p w14:paraId="6A4FB35B" w14:textId="1764512B" w:rsidR="00B14829" w:rsidRDefault="00000000" w:rsidP="00E731CC">
          <w:pPr>
            <w:pStyle w:val="TOC2"/>
            <w:rPr>
              <w:rFonts w:asciiTheme="minorHAnsi" w:eastAsiaTheme="minorEastAsia" w:hAnsiTheme="minorHAnsi" w:cstheme="minorBidi"/>
              <w:szCs w:val="22"/>
            </w:rPr>
          </w:pPr>
          <w:hyperlink w:anchor="_Toc58929594" w:history="1">
            <w:r w:rsidR="00893FF0" w:rsidRPr="00D11DED">
              <w:rPr>
                <w:rStyle w:val="Hyperlink"/>
              </w:rPr>
              <w:t>7.</w:t>
            </w:r>
            <w:r w:rsidR="00893FF0">
              <w:rPr>
                <w:rFonts w:asciiTheme="minorHAnsi" w:eastAsiaTheme="minorEastAsia" w:hAnsiTheme="minorHAnsi" w:cstheme="minorBidi"/>
                <w:szCs w:val="22"/>
              </w:rPr>
              <w:tab/>
            </w:r>
            <w:r w:rsidR="00893FF0" w:rsidRPr="00D11DED">
              <w:rPr>
                <w:rStyle w:val="Hyperlink"/>
              </w:rPr>
              <w:t>Time Limits Applying to the Program</w:t>
            </w:r>
            <w:r w:rsidR="00893FF0">
              <w:rPr>
                <w:webHidden/>
              </w:rPr>
              <w:tab/>
              <w:t>11</w:t>
            </w:r>
          </w:hyperlink>
        </w:p>
        <w:p w14:paraId="0EA091D6" w14:textId="7E8A96AA" w:rsidR="00B14829" w:rsidRDefault="00000000" w:rsidP="00E731CC">
          <w:pPr>
            <w:pStyle w:val="TOC2"/>
            <w:rPr>
              <w:rFonts w:asciiTheme="minorHAnsi" w:eastAsiaTheme="minorEastAsia" w:hAnsiTheme="minorHAnsi" w:cstheme="minorBidi"/>
              <w:szCs w:val="22"/>
            </w:rPr>
          </w:pPr>
          <w:hyperlink w:anchor="_Toc58929595" w:history="1">
            <w:r w:rsidR="00893FF0" w:rsidRPr="00D11DED">
              <w:rPr>
                <w:rStyle w:val="Hyperlink"/>
              </w:rPr>
              <w:t>8.</w:t>
            </w:r>
            <w:r w:rsidR="00893FF0">
              <w:rPr>
                <w:rFonts w:asciiTheme="minorHAnsi" w:eastAsiaTheme="minorEastAsia" w:hAnsiTheme="minorHAnsi" w:cstheme="minorBidi"/>
                <w:szCs w:val="22"/>
              </w:rPr>
              <w:tab/>
            </w:r>
            <w:r w:rsidR="00893FF0" w:rsidRPr="00D11DED">
              <w:rPr>
                <w:rStyle w:val="Hyperlink"/>
              </w:rPr>
              <w:t>Public Notice of the Program</w:t>
            </w:r>
            <w:r w:rsidR="00893FF0">
              <w:rPr>
                <w:webHidden/>
              </w:rPr>
              <w:tab/>
              <w:t>12</w:t>
            </w:r>
          </w:hyperlink>
        </w:p>
        <w:p w14:paraId="4107882C" w14:textId="25C2F2DE" w:rsidR="00B14829" w:rsidRDefault="00000000" w:rsidP="00E731CC">
          <w:pPr>
            <w:pStyle w:val="TOC2"/>
            <w:rPr>
              <w:rFonts w:asciiTheme="minorHAnsi" w:eastAsiaTheme="minorEastAsia" w:hAnsiTheme="minorHAnsi" w:cstheme="minorBidi"/>
              <w:szCs w:val="22"/>
            </w:rPr>
          </w:pPr>
          <w:hyperlink w:anchor="_Toc58929596" w:history="1">
            <w:r w:rsidR="00893FF0">
              <w:rPr>
                <w:rStyle w:val="Hyperlink"/>
              </w:rPr>
              <w:t>12</w:t>
            </w:r>
          </w:hyperlink>
        </w:p>
        <w:p w14:paraId="58FFDA1F" w14:textId="42EBF2E9" w:rsidR="00B14829" w:rsidRDefault="00000000" w:rsidP="001D0874">
          <w:pPr>
            <w:pStyle w:val="TOC3"/>
            <w:rPr>
              <w:rFonts w:asciiTheme="minorHAnsi" w:eastAsiaTheme="minorEastAsia" w:hAnsiTheme="minorHAnsi" w:cstheme="minorBidi"/>
              <w:noProof/>
              <w:szCs w:val="22"/>
            </w:rPr>
          </w:pPr>
          <w:hyperlink w:anchor="_Toc58929597" w:history="1">
            <w:r w:rsidR="00E731CC" w:rsidRPr="00D11DED">
              <w:rPr>
                <w:rStyle w:val="Hyperlink"/>
                <w:noProof/>
                <w14:scene3d>
                  <w14:camera w14:prst="orthographicFront"/>
                  <w14:lightRig w14:rig="threePt" w14:dir="t">
                    <w14:rot w14:lat="0" w14:lon="0" w14:rev="0"/>
                  </w14:lightRig>
                </w14:scene3d>
              </w:rPr>
              <w:t>9.1</w:t>
            </w:r>
            <w:r w:rsidR="00E731CC">
              <w:rPr>
                <w:rFonts w:asciiTheme="minorHAnsi" w:eastAsiaTheme="minorEastAsia" w:hAnsiTheme="minorHAnsi" w:cstheme="minorBidi"/>
                <w:noProof/>
                <w:szCs w:val="22"/>
              </w:rPr>
              <w:tab/>
            </w:r>
            <w:r w:rsidR="00E731CC" w:rsidRPr="00D11DED">
              <w:rPr>
                <w:rStyle w:val="Hyperlink"/>
                <w:noProof/>
              </w:rPr>
              <w:t>Relationship with the Agencies’ Lawful Functions</w:t>
            </w:r>
            <w:r w:rsidR="00E731CC">
              <w:rPr>
                <w:noProof/>
                <w:webHidden/>
              </w:rPr>
              <w:tab/>
            </w:r>
            <w:r w:rsidR="00893FF0">
              <w:rPr>
                <w:noProof/>
                <w:webHidden/>
              </w:rPr>
              <w:t>12</w:t>
            </w:r>
          </w:hyperlink>
        </w:p>
        <w:p w14:paraId="6A5FC4CE" w14:textId="70D29A53" w:rsidR="00B14829" w:rsidRDefault="00000000" w:rsidP="001D0874">
          <w:pPr>
            <w:pStyle w:val="TOC3"/>
            <w:rPr>
              <w:rFonts w:asciiTheme="minorHAnsi" w:eastAsiaTheme="minorEastAsia" w:hAnsiTheme="minorHAnsi" w:cstheme="minorBidi"/>
              <w:noProof/>
              <w:szCs w:val="22"/>
            </w:rPr>
          </w:pPr>
          <w:hyperlink w:anchor="_Toc58929598" w:history="1">
            <w:r w:rsidR="00893FF0" w:rsidRPr="00D11DED">
              <w:rPr>
                <w:rStyle w:val="Hyperlink"/>
                <w:noProof/>
                <w14:scene3d>
                  <w14:camera w14:prst="orthographicFront"/>
                  <w14:lightRig w14:rig="threePt" w14:dir="t">
                    <w14:rot w14:lat="0" w14:lon="0" w14:rev="0"/>
                  </w14:lightRig>
                </w14:scene3d>
              </w:rPr>
              <w:t>9.2</w:t>
            </w:r>
            <w:r w:rsidR="00893FF0">
              <w:rPr>
                <w:rFonts w:asciiTheme="minorHAnsi" w:eastAsiaTheme="minorEastAsia" w:hAnsiTheme="minorHAnsi" w:cstheme="minorBidi"/>
                <w:noProof/>
                <w:szCs w:val="22"/>
              </w:rPr>
              <w:tab/>
            </w:r>
            <w:r w:rsidR="00893FF0" w:rsidRPr="00D11DED">
              <w:rPr>
                <w:rStyle w:val="Hyperlink"/>
                <w:noProof/>
              </w:rPr>
              <w:t>Legal Authority</w:t>
            </w:r>
            <w:r w:rsidR="00893FF0">
              <w:rPr>
                <w:noProof/>
                <w:webHidden/>
              </w:rPr>
              <w:tab/>
              <w:t>13</w:t>
            </w:r>
          </w:hyperlink>
        </w:p>
        <w:p w14:paraId="770E021A" w14:textId="5A775F82" w:rsidR="00B14829" w:rsidRDefault="00000000" w:rsidP="001D0874">
          <w:pPr>
            <w:pStyle w:val="TOC3"/>
            <w:rPr>
              <w:rFonts w:asciiTheme="minorHAnsi" w:eastAsiaTheme="minorEastAsia" w:hAnsiTheme="minorHAnsi" w:cstheme="minorBidi"/>
              <w:noProof/>
              <w:szCs w:val="22"/>
            </w:rPr>
          </w:pPr>
          <w:hyperlink w:anchor="_Toc58929599" w:history="1">
            <w:r w:rsidR="00893FF0" w:rsidRPr="00D11DED">
              <w:rPr>
                <w:rStyle w:val="Hyperlink"/>
                <w:noProof/>
                <w14:scene3d>
                  <w14:camera w14:prst="orthographicFront"/>
                  <w14:lightRig w14:rig="threePt" w14:dir="t">
                    <w14:rot w14:lat="0" w14:lon="0" w14:rev="0"/>
                  </w14:lightRig>
                </w14:scene3d>
              </w:rPr>
              <w:t>9.3</w:t>
            </w:r>
            <w:r w:rsidR="00893FF0">
              <w:rPr>
                <w:rFonts w:asciiTheme="minorHAnsi" w:eastAsiaTheme="minorEastAsia" w:hAnsiTheme="minorHAnsi" w:cstheme="minorBidi"/>
                <w:noProof/>
                <w:szCs w:val="22"/>
              </w:rPr>
              <w:tab/>
            </w:r>
            <w:r w:rsidR="00893FF0" w:rsidRPr="00D11DED">
              <w:rPr>
                <w:rStyle w:val="Hyperlink"/>
                <w:noProof/>
              </w:rPr>
              <w:t>Disclosure of Information Provisions</w:t>
            </w:r>
            <w:r w:rsidR="00893FF0">
              <w:rPr>
                <w:noProof/>
                <w:webHidden/>
              </w:rPr>
              <w:tab/>
              <w:t>14</w:t>
            </w:r>
          </w:hyperlink>
        </w:p>
        <w:p w14:paraId="6F739588" w14:textId="3097D3B9" w:rsidR="00B14829" w:rsidRDefault="00000000" w:rsidP="001D0874">
          <w:pPr>
            <w:pStyle w:val="TOC3"/>
            <w:rPr>
              <w:rFonts w:asciiTheme="minorHAnsi" w:eastAsiaTheme="minorEastAsia" w:hAnsiTheme="minorHAnsi" w:cstheme="minorBidi"/>
              <w:noProof/>
              <w:szCs w:val="22"/>
            </w:rPr>
          </w:pPr>
          <w:hyperlink w:anchor="_Toc58929600" w:history="1">
            <w:r w:rsidR="00E731CC" w:rsidRPr="00D11DED">
              <w:rPr>
                <w:rStyle w:val="Hyperlink"/>
                <w:noProof/>
                <w14:scene3d>
                  <w14:camera w14:prst="orthographicFront"/>
                  <w14:lightRig w14:rig="threePt" w14:dir="t">
                    <w14:rot w14:lat="0" w14:lon="0" w14:rev="0"/>
                  </w14:lightRig>
                </w14:scene3d>
              </w:rPr>
              <w:t>9.4</w:t>
            </w:r>
            <w:r w:rsidR="00E731CC">
              <w:rPr>
                <w:rFonts w:asciiTheme="minorHAnsi" w:eastAsiaTheme="minorEastAsia" w:hAnsiTheme="minorHAnsi" w:cstheme="minorBidi"/>
                <w:noProof/>
                <w:szCs w:val="22"/>
              </w:rPr>
              <w:tab/>
            </w:r>
            <w:r w:rsidR="00E731CC" w:rsidRPr="00D11DED">
              <w:rPr>
                <w:rStyle w:val="Hyperlink"/>
                <w:noProof/>
              </w:rPr>
              <w:t>Alternative Methods</w:t>
            </w:r>
            <w:r w:rsidR="00E731CC">
              <w:rPr>
                <w:noProof/>
                <w:webHidden/>
              </w:rPr>
              <w:tab/>
            </w:r>
            <w:r w:rsidR="00893FF0">
              <w:rPr>
                <w:noProof/>
                <w:webHidden/>
              </w:rPr>
              <w:t>14</w:t>
            </w:r>
          </w:hyperlink>
        </w:p>
        <w:p w14:paraId="403C6670" w14:textId="4BA21D59" w:rsidR="00B14829" w:rsidRDefault="00000000" w:rsidP="001D0874">
          <w:pPr>
            <w:pStyle w:val="TOC3"/>
            <w:rPr>
              <w:rFonts w:asciiTheme="minorHAnsi" w:eastAsiaTheme="minorEastAsia" w:hAnsiTheme="minorHAnsi" w:cstheme="minorBidi"/>
              <w:noProof/>
              <w:szCs w:val="22"/>
            </w:rPr>
          </w:pPr>
          <w:hyperlink w:anchor="_Toc58929601" w:history="1">
            <w:r w:rsidR="00893FF0" w:rsidRPr="00D11DED">
              <w:rPr>
                <w:rStyle w:val="Hyperlink"/>
                <w:noProof/>
                <w14:scene3d>
                  <w14:camera w14:prst="orthographicFront"/>
                  <w14:lightRig w14:rig="threePt" w14:dir="t">
                    <w14:rot w14:lat="0" w14:lon="0" w14:rev="0"/>
                  </w14:lightRig>
                </w14:scene3d>
              </w:rPr>
              <w:t>9.5</w:t>
            </w:r>
            <w:r w:rsidR="00893FF0">
              <w:rPr>
                <w:rFonts w:asciiTheme="minorHAnsi" w:eastAsiaTheme="minorEastAsia" w:hAnsiTheme="minorHAnsi" w:cstheme="minorBidi"/>
                <w:noProof/>
                <w:szCs w:val="22"/>
              </w:rPr>
              <w:tab/>
            </w:r>
            <w:r w:rsidR="00893FF0" w:rsidRPr="00D11DED">
              <w:rPr>
                <w:rStyle w:val="Hyperlink"/>
                <w:noProof/>
              </w:rPr>
              <w:t>Social Considerations</w:t>
            </w:r>
            <w:r w:rsidR="00893FF0">
              <w:rPr>
                <w:noProof/>
                <w:webHidden/>
              </w:rPr>
              <w:tab/>
              <w:t>14</w:t>
            </w:r>
          </w:hyperlink>
        </w:p>
        <w:p w14:paraId="68329D0B" w14:textId="254CC191" w:rsidR="00B14829" w:rsidRDefault="00000000" w:rsidP="001D0874">
          <w:pPr>
            <w:pStyle w:val="TOC3"/>
            <w:rPr>
              <w:rFonts w:asciiTheme="minorHAnsi" w:eastAsiaTheme="minorEastAsia" w:hAnsiTheme="minorHAnsi" w:cstheme="minorBidi"/>
              <w:noProof/>
              <w:szCs w:val="22"/>
            </w:rPr>
          </w:pPr>
          <w:hyperlink w:anchor="_Toc58929602" w:history="1">
            <w:r w:rsidR="00893FF0" w:rsidRPr="00D11DED">
              <w:rPr>
                <w:rStyle w:val="Hyperlink"/>
                <w:noProof/>
                <w14:scene3d>
                  <w14:camera w14:prst="orthographicFront"/>
                  <w14:lightRig w14:rig="threePt" w14:dir="t">
                    <w14:rot w14:lat="0" w14:lon="0" w14:rev="0"/>
                  </w14:lightRig>
                </w14:scene3d>
              </w:rPr>
              <w:t>9.6</w:t>
            </w:r>
            <w:r w:rsidR="00893FF0">
              <w:rPr>
                <w:rFonts w:asciiTheme="minorHAnsi" w:eastAsiaTheme="minorEastAsia" w:hAnsiTheme="minorHAnsi" w:cstheme="minorBidi"/>
                <w:noProof/>
                <w:szCs w:val="22"/>
              </w:rPr>
              <w:tab/>
            </w:r>
            <w:r w:rsidR="00893FF0" w:rsidRPr="00D11DED">
              <w:rPr>
                <w:rStyle w:val="Hyperlink"/>
                <w:noProof/>
              </w:rPr>
              <w:t>Prior Data Match Programs</w:t>
            </w:r>
            <w:r w:rsidR="00893FF0">
              <w:rPr>
                <w:noProof/>
                <w:webHidden/>
              </w:rPr>
              <w:tab/>
              <w:t>15</w:t>
            </w:r>
          </w:hyperlink>
        </w:p>
        <w:p w14:paraId="78BF9E56" w14:textId="0CAA902D" w:rsidR="00B14829" w:rsidRDefault="00000000" w:rsidP="00E731CC">
          <w:pPr>
            <w:pStyle w:val="TOC2"/>
            <w:rPr>
              <w:rFonts w:asciiTheme="minorHAnsi" w:eastAsiaTheme="minorEastAsia" w:hAnsiTheme="minorHAnsi" w:cstheme="minorBidi"/>
              <w:szCs w:val="22"/>
            </w:rPr>
          </w:pPr>
          <w:hyperlink w:anchor="_Toc58929604" w:history="1">
            <w:r w:rsidR="00893FF0" w:rsidRPr="00D11DED">
              <w:rPr>
                <w:rStyle w:val="Hyperlink"/>
              </w:rPr>
              <w:t>10.</w:t>
            </w:r>
            <w:r w:rsidR="00893FF0">
              <w:rPr>
                <w:rFonts w:asciiTheme="minorHAnsi" w:eastAsiaTheme="minorEastAsia" w:hAnsiTheme="minorHAnsi" w:cstheme="minorBidi"/>
                <w:szCs w:val="22"/>
              </w:rPr>
              <w:tab/>
            </w:r>
            <w:r w:rsidR="00893FF0" w:rsidRPr="00D11DED">
              <w:rPr>
                <w:rStyle w:val="Hyperlink"/>
              </w:rPr>
              <w:t>Costs and Benefits</w:t>
            </w:r>
            <w:r w:rsidR="00893FF0">
              <w:rPr>
                <w:webHidden/>
              </w:rPr>
              <w:tab/>
              <w:t>15</w:t>
            </w:r>
          </w:hyperlink>
        </w:p>
        <w:p w14:paraId="6A2A464C" w14:textId="0669C02E" w:rsidR="00B14829" w:rsidRDefault="00000000" w:rsidP="00E731CC">
          <w:pPr>
            <w:pStyle w:val="TOC2"/>
            <w:rPr>
              <w:rFonts w:asciiTheme="minorHAnsi" w:eastAsiaTheme="minorEastAsia" w:hAnsiTheme="minorHAnsi" w:cstheme="minorBidi"/>
              <w:szCs w:val="22"/>
            </w:rPr>
          </w:pPr>
          <w:hyperlink w:anchor="_Toc58929605" w:history="1">
            <w:r w:rsidR="00E731CC" w:rsidRPr="00D11DED">
              <w:rPr>
                <w:rStyle w:val="Hyperlink"/>
              </w:rPr>
              <w:t>11.</w:t>
            </w:r>
            <w:r w:rsidR="00E731CC">
              <w:rPr>
                <w:rFonts w:asciiTheme="minorHAnsi" w:eastAsiaTheme="minorEastAsia" w:hAnsiTheme="minorHAnsi" w:cstheme="minorBidi"/>
                <w:szCs w:val="22"/>
              </w:rPr>
              <w:tab/>
            </w:r>
            <w:r w:rsidR="00E731CC" w:rsidRPr="00D11DED">
              <w:rPr>
                <w:rStyle w:val="Hyperlink"/>
              </w:rPr>
              <w:t>Changes to this Protocol</w:t>
            </w:r>
            <w:r w:rsidR="00E731CC">
              <w:rPr>
                <w:webHidden/>
              </w:rPr>
              <w:tab/>
            </w:r>
            <w:r w:rsidR="00893FF0">
              <w:rPr>
                <w:webHidden/>
              </w:rPr>
              <w:t>16</w:t>
            </w:r>
          </w:hyperlink>
        </w:p>
        <w:p w14:paraId="72D7B197" w14:textId="21FE502C" w:rsidR="00B14829" w:rsidRDefault="00000000" w:rsidP="00893FF0">
          <w:pPr>
            <w:pStyle w:val="TOC1"/>
            <w:rPr>
              <w:rFonts w:asciiTheme="minorHAnsi" w:eastAsiaTheme="minorEastAsia" w:hAnsiTheme="minorHAnsi" w:cstheme="minorBidi"/>
              <w:noProof/>
              <w:szCs w:val="22"/>
            </w:rPr>
          </w:pPr>
          <w:hyperlink w:anchor="_Toc58929606" w:history="1">
            <w:r w:rsidR="00E731CC" w:rsidRPr="00D11DED">
              <w:rPr>
                <w:rStyle w:val="Hyperlink"/>
                <w:noProof/>
              </w:rPr>
              <w:t>Appendix A – Technical Standards Report</w:t>
            </w:r>
            <w:r w:rsidR="00E731CC">
              <w:rPr>
                <w:noProof/>
                <w:webHidden/>
              </w:rPr>
              <w:tab/>
            </w:r>
            <w:r w:rsidR="00893FF0">
              <w:rPr>
                <w:noProof/>
                <w:webHidden/>
              </w:rPr>
              <w:t>16</w:t>
            </w:r>
          </w:hyperlink>
        </w:p>
        <w:p w14:paraId="57C4E1D8" w14:textId="7204F842" w:rsidR="00B14829" w:rsidRDefault="00000000" w:rsidP="00E731CC">
          <w:pPr>
            <w:pStyle w:val="TOC2"/>
            <w:rPr>
              <w:rFonts w:asciiTheme="minorHAnsi" w:eastAsiaTheme="minorEastAsia" w:hAnsiTheme="minorHAnsi" w:cstheme="minorBidi"/>
              <w:szCs w:val="22"/>
            </w:rPr>
          </w:pPr>
          <w:hyperlink w:anchor="_Toc58929607" w:history="1">
            <w:r w:rsidR="00B14829" w:rsidRPr="00D11DED">
              <w:rPr>
                <w:rStyle w:val="Hyperlink"/>
              </w:rPr>
              <w:t>1.</w:t>
            </w:r>
            <w:r w:rsidR="00B14829">
              <w:rPr>
                <w:rFonts w:asciiTheme="minorHAnsi" w:eastAsiaTheme="minorEastAsia" w:hAnsiTheme="minorHAnsi" w:cstheme="minorBidi"/>
                <w:szCs w:val="22"/>
              </w:rPr>
              <w:tab/>
            </w:r>
            <w:r w:rsidR="00B14829" w:rsidRPr="00D11DED">
              <w:rPr>
                <w:rStyle w:val="Hyperlink"/>
              </w:rPr>
              <w:t>Data from Services Australia to DE</w:t>
            </w:r>
            <w:r w:rsidR="00B14829">
              <w:rPr>
                <w:webHidden/>
              </w:rPr>
              <w:tab/>
            </w:r>
            <w:r w:rsidR="00893FF0">
              <w:rPr>
                <w:webHidden/>
              </w:rPr>
              <w:t>16</w:t>
            </w:r>
          </w:hyperlink>
        </w:p>
        <w:p w14:paraId="3718FC34" w14:textId="0F3B997B" w:rsidR="00B14829" w:rsidRDefault="00000000" w:rsidP="00E731CC">
          <w:pPr>
            <w:pStyle w:val="TOC2"/>
            <w:rPr>
              <w:rFonts w:asciiTheme="minorHAnsi" w:eastAsiaTheme="minorEastAsia" w:hAnsiTheme="minorHAnsi" w:cstheme="minorBidi"/>
              <w:szCs w:val="22"/>
            </w:rPr>
          </w:pPr>
          <w:hyperlink w:anchor="_Toc58929608" w:history="1">
            <w:r w:rsidR="00B14829" w:rsidRPr="00D11DED">
              <w:rPr>
                <w:rStyle w:val="Hyperlink"/>
              </w:rPr>
              <w:t>2.</w:t>
            </w:r>
            <w:r w:rsidR="00B14829">
              <w:rPr>
                <w:rFonts w:asciiTheme="minorHAnsi" w:eastAsiaTheme="minorEastAsia" w:hAnsiTheme="minorHAnsi" w:cstheme="minorBidi"/>
                <w:szCs w:val="22"/>
              </w:rPr>
              <w:tab/>
            </w:r>
            <w:r w:rsidR="00B14829" w:rsidRPr="00D11DED">
              <w:rPr>
                <w:rStyle w:val="Hyperlink"/>
              </w:rPr>
              <w:t>Data from DE to Services Australia</w:t>
            </w:r>
            <w:r w:rsidR="00B14829">
              <w:rPr>
                <w:webHidden/>
              </w:rPr>
              <w:tab/>
            </w:r>
            <w:r w:rsidR="00893FF0">
              <w:rPr>
                <w:webHidden/>
              </w:rPr>
              <w:t>16</w:t>
            </w:r>
          </w:hyperlink>
        </w:p>
        <w:p w14:paraId="54901D79" w14:textId="7C7BC252" w:rsidR="00B14829" w:rsidRDefault="00000000" w:rsidP="00E731CC">
          <w:pPr>
            <w:pStyle w:val="TOC2"/>
            <w:rPr>
              <w:rFonts w:asciiTheme="minorHAnsi" w:eastAsiaTheme="minorEastAsia" w:hAnsiTheme="minorHAnsi" w:cstheme="minorBidi"/>
              <w:szCs w:val="22"/>
            </w:rPr>
          </w:pPr>
          <w:hyperlink w:anchor="_Toc58929609" w:history="1">
            <w:r w:rsidR="001D0874" w:rsidRPr="00D11DED">
              <w:rPr>
                <w:rStyle w:val="Hyperlink"/>
              </w:rPr>
              <w:t>3.</w:t>
            </w:r>
            <w:r w:rsidR="001D0874">
              <w:rPr>
                <w:rFonts w:asciiTheme="minorHAnsi" w:eastAsiaTheme="minorEastAsia" w:hAnsiTheme="minorHAnsi" w:cstheme="minorBidi"/>
                <w:szCs w:val="22"/>
              </w:rPr>
              <w:tab/>
            </w:r>
            <w:r w:rsidR="001D0874" w:rsidRPr="00D11DED">
              <w:rPr>
                <w:rStyle w:val="Hyperlink"/>
              </w:rPr>
              <w:t>Matching Techniques</w:t>
            </w:r>
            <w:r w:rsidR="001D0874">
              <w:rPr>
                <w:webHidden/>
              </w:rPr>
              <w:tab/>
            </w:r>
            <w:r w:rsidR="00893FF0">
              <w:rPr>
                <w:webHidden/>
              </w:rPr>
              <w:t>19</w:t>
            </w:r>
          </w:hyperlink>
        </w:p>
        <w:p w14:paraId="37C788D8" w14:textId="32DABE4C" w:rsidR="00B14829" w:rsidRDefault="00000000" w:rsidP="001D0874">
          <w:pPr>
            <w:pStyle w:val="TOC3"/>
            <w:rPr>
              <w:rFonts w:asciiTheme="minorHAnsi" w:eastAsiaTheme="minorEastAsia" w:hAnsiTheme="minorHAnsi" w:cstheme="minorBidi"/>
              <w:noProof/>
              <w:szCs w:val="22"/>
            </w:rPr>
          </w:pPr>
          <w:hyperlink w:anchor="_Toc58929610" w:history="1">
            <w:r w:rsidR="001D0874" w:rsidRPr="00D11DED">
              <w:rPr>
                <w:rStyle w:val="Hyperlink"/>
                <w:noProof/>
                <w14:scene3d>
                  <w14:camera w14:prst="orthographicFront"/>
                  <w14:lightRig w14:rig="threePt" w14:dir="t">
                    <w14:rot w14:lat="0" w14:lon="0" w14:rev="0"/>
                  </w14:lightRig>
                </w14:scene3d>
              </w:rPr>
              <w:t>3.1</w:t>
            </w:r>
            <w:r w:rsidR="001D0874">
              <w:rPr>
                <w:rFonts w:asciiTheme="minorHAnsi" w:eastAsiaTheme="minorEastAsia" w:hAnsiTheme="minorHAnsi" w:cstheme="minorBidi"/>
                <w:noProof/>
                <w:szCs w:val="22"/>
              </w:rPr>
              <w:tab/>
            </w:r>
            <w:r w:rsidR="001D0874" w:rsidRPr="00D11DED">
              <w:rPr>
                <w:rStyle w:val="Hyperlink"/>
                <w:noProof/>
              </w:rPr>
              <w:t>Identity Matching</w:t>
            </w:r>
            <w:r w:rsidR="001D0874">
              <w:rPr>
                <w:noProof/>
                <w:webHidden/>
              </w:rPr>
              <w:tab/>
            </w:r>
            <w:r w:rsidR="00893FF0">
              <w:rPr>
                <w:noProof/>
                <w:webHidden/>
              </w:rPr>
              <w:t>19</w:t>
            </w:r>
          </w:hyperlink>
        </w:p>
        <w:p w14:paraId="7CD990CB" w14:textId="0CC342DA" w:rsidR="00B14829" w:rsidRDefault="00000000" w:rsidP="00E731CC">
          <w:pPr>
            <w:pStyle w:val="TOC2"/>
            <w:rPr>
              <w:rFonts w:asciiTheme="minorHAnsi" w:eastAsiaTheme="minorEastAsia" w:hAnsiTheme="minorHAnsi" w:cstheme="minorBidi"/>
              <w:szCs w:val="22"/>
            </w:rPr>
          </w:pPr>
          <w:hyperlink w:anchor="_Toc58929611" w:history="1">
            <w:r w:rsidR="00E731CC" w:rsidRPr="00D11DED">
              <w:rPr>
                <w:rStyle w:val="Hyperlink"/>
              </w:rPr>
              <w:t>4.</w:t>
            </w:r>
            <w:r w:rsidR="00E731CC">
              <w:rPr>
                <w:rFonts w:asciiTheme="minorHAnsi" w:eastAsiaTheme="minorEastAsia" w:hAnsiTheme="minorHAnsi" w:cstheme="minorBidi"/>
                <w:szCs w:val="22"/>
              </w:rPr>
              <w:tab/>
            </w:r>
            <w:r w:rsidR="00E731CC" w:rsidRPr="00D11DED">
              <w:rPr>
                <w:rStyle w:val="Hyperlink"/>
              </w:rPr>
              <w:t>Risks</w:t>
            </w:r>
            <w:r w:rsidR="00E731CC">
              <w:rPr>
                <w:webHidden/>
              </w:rPr>
              <w:tab/>
            </w:r>
            <w:r w:rsidR="00893FF0">
              <w:rPr>
                <w:webHidden/>
              </w:rPr>
              <w:t>20</w:t>
            </w:r>
          </w:hyperlink>
        </w:p>
        <w:p w14:paraId="4194C324" w14:textId="39E8657C" w:rsidR="00B14829" w:rsidRDefault="00000000" w:rsidP="001D0874">
          <w:pPr>
            <w:pStyle w:val="TOC3"/>
            <w:rPr>
              <w:rFonts w:asciiTheme="minorHAnsi" w:eastAsiaTheme="minorEastAsia" w:hAnsiTheme="minorHAnsi" w:cstheme="minorBidi"/>
              <w:noProof/>
              <w:szCs w:val="22"/>
            </w:rPr>
          </w:pPr>
          <w:hyperlink w:anchor="_Toc58929612" w:history="1">
            <w:r w:rsidR="00E731CC" w:rsidRPr="00D11DED">
              <w:rPr>
                <w:rStyle w:val="Hyperlink"/>
                <w:noProof/>
                <w14:scene3d>
                  <w14:camera w14:prst="orthographicFront"/>
                  <w14:lightRig w14:rig="threePt" w14:dir="t">
                    <w14:rot w14:lat="0" w14:lon="0" w14:rev="0"/>
                  </w14:lightRig>
                </w14:scene3d>
              </w:rPr>
              <w:t>4.1</w:t>
            </w:r>
            <w:r w:rsidR="00E731CC">
              <w:rPr>
                <w:rFonts w:asciiTheme="minorHAnsi" w:eastAsiaTheme="minorEastAsia" w:hAnsiTheme="minorHAnsi" w:cstheme="minorBidi"/>
                <w:noProof/>
                <w:szCs w:val="22"/>
              </w:rPr>
              <w:tab/>
            </w:r>
            <w:r w:rsidR="00E731CC" w:rsidRPr="00D11DED">
              <w:rPr>
                <w:rStyle w:val="Hyperlink"/>
                <w:noProof/>
              </w:rPr>
              <w:t>Incorrect Identity Matches</w:t>
            </w:r>
            <w:r w:rsidR="00E731CC">
              <w:rPr>
                <w:noProof/>
                <w:webHidden/>
              </w:rPr>
              <w:tab/>
            </w:r>
            <w:r w:rsidR="00893FF0">
              <w:rPr>
                <w:noProof/>
                <w:webHidden/>
              </w:rPr>
              <w:t>20</w:t>
            </w:r>
          </w:hyperlink>
        </w:p>
        <w:p w14:paraId="030F1E9D" w14:textId="238A1A0B" w:rsidR="00B14829" w:rsidRDefault="00000000" w:rsidP="001D0874">
          <w:pPr>
            <w:pStyle w:val="TOC3"/>
            <w:rPr>
              <w:rFonts w:asciiTheme="minorHAnsi" w:eastAsiaTheme="minorEastAsia" w:hAnsiTheme="minorHAnsi" w:cstheme="minorBidi"/>
              <w:noProof/>
              <w:szCs w:val="22"/>
            </w:rPr>
          </w:pPr>
          <w:hyperlink w:anchor="_Toc58929613" w:history="1">
            <w:r w:rsidR="00E731CC" w:rsidRPr="00D11DED">
              <w:rPr>
                <w:rStyle w:val="Hyperlink"/>
                <w:noProof/>
                <w14:scene3d>
                  <w14:camera w14:prst="orthographicFront"/>
                  <w14:lightRig w14:rig="threePt" w14:dir="t">
                    <w14:rot w14:lat="0" w14:lon="0" w14:rev="0"/>
                  </w14:lightRig>
                </w14:scene3d>
              </w:rPr>
              <w:t>4.2</w:t>
            </w:r>
            <w:r w:rsidR="00E731CC">
              <w:rPr>
                <w:rFonts w:asciiTheme="minorHAnsi" w:eastAsiaTheme="minorEastAsia" w:hAnsiTheme="minorHAnsi" w:cstheme="minorBidi"/>
                <w:noProof/>
                <w:szCs w:val="22"/>
              </w:rPr>
              <w:tab/>
            </w:r>
            <w:r w:rsidR="00E731CC" w:rsidRPr="00D11DED">
              <w:rPr>
                <w:rStyle w:val="Hyperlink"/>
                <w:noProof/>
              </w:rPr>
              <w:t>Data quality controls and audit</w:t>
            </w:r>
            <w:r w:rsidR="00E731CC">
              <w:rPr>
                <w:noProof/>
                <w:webHidden/>
              </w:rPr>
              <w:tab/>
            </w:r>
            <w:r w:rsidR="00893FF0">
              <w:rPr>
                <w:noProof/>
                <w:webHidden/>
              </w:rPr>
              <w:t>20</w:t>
            </w:r>
          </w:hyperlink>
        </w:p>
        <w:p w14:paraId="76161B0A" w14:textId="0415E33A" w:rsidR="00B14829" w:rsidRDefault="00000000" w:rsidP="001D0874">
          <w:pPr>
            <w:pStyle w:val="TOC3"/>
            <w:rPr>
              <w:rFonts w:asciiTheme="minorHAnsi" w:eastAsiaTheme="minorEastAsia" w:hAnsiTheme="minorHAnsi" w:cstheme="minorBidi"/>
              <w:noProof/>
              <w:szCs w:val="22"/>
            </w:rPr>
          </w:pPr>
          <w:hyperlink w:anchor="_Toc58929614" w:history="1">
            <w:r w:rsidR="00E731CC" w:rsidRPr="00D11DED">
              <w:rPr>
                <w:rStyle w:val="Hyperlink"/>
                <w:noProof/>
                <w14:scene3d>
                  <w14:camera w14:prst="orthographicFront"/>
                  <w14:lightRig w14:rig="threePt" w14:dir="t">
                    <w14:rot w14:lat="0" w14:lon="0" w14:rev="0"/>
                  </w14:lightRig>
                </w14:scene3d>
              </w:rPr>
              <w:t>4.3</w:t>
            </w:r>
            <w:r w:rsidR="00E731CC">
              <w:rPr>
                <w:rFonts w:asciiTheme="minorHAnsi" w:eastAsiaTheme="minorEastAsia" w:hAnsiTheme="minorHAnsi" w:cstheme="minorBidi"/>
                <w:noProof/>
                <w:szCs w:val="22"/>
              </w:rPr>
              <w:tab/>
            </w:r>
            <w:r w:rsidR="00E731CC" w:rsidRPr="00D11DED">
              <w:rPr>
                <w:rStyle w:val="Hyperlink"/>
                <w:noProof/>
              </w:rPr>
              <w:t>Security and confidentiality</w:t>
            </w:r>
            <w:r w:rsidR="00E731CC">
              <w:rPr>
                <w:noProof/>
                <w:webHidden/>
              </w:rPr>
              <w:tab/>
            </w:r>
            <w:r w:rsidR="00893FF0">
              <w:rPr>
                <w:noProof/>
                <w:webHidden/>
              </w:rPr>
              <w:t>21</w:t>
            </w:r>
          </w:hyperlink>
        </w:p>
        <w:p w14:paraId="49183CB4" w14:textId="56BAE9A2" w:rsidR="00B14829" w:rsidRDefault="00000000" w:rsidP="00893FF0">
          <w:pPr>
            <w:pStyle w:val="TOC1"/>
            <w:rPr>
              <w:rFonts w:asciiTheme="minorHAnsi" w:eastAsiaTheme="minorEastAsia" w:hAnsiTheme="minorHAnsi" w:cstheme="minorBidi"/>
              <w:noProof/>
              <w:szCs w:val="22"/>
            </w:rPr>
          </w:pPr>
          <w:hyperlink w:anchor="_Toc58929615" w:history="1">
            <w:r w:rsidR="00E731CC" w:rsidRPr="00D11DED">
              <w:rPr>
                <w:rStyle w:val="Hyperlink"/>
                <w:noProof/>
              </w:rPr>
              <w:t>Appendix B – Notifications</w:t>
            </w:r>
            <w:r w:rsidR="00E731CC">
              <w:rPr>
                <w:noProof/>
                <w:webHidden/>
              </w:rPr>
              <w:tab/>
            </w:r>
            <w:r w:rsidR="00893FF0">
              <w:rPr>
                <w:noProof/>
                <w:webHidden/>
              </w:rPr>
              <w:t>22</w:t>
            </w:r>
          </w:hyperlink>
        </w:p>
        <w:p w14:paraId="70AACFA7" w14:textId="52D5095D" w:rsidR="00B14829" w:rsidRDefault="00000000" w:rsidP="00893FF0">
          <w:pPr>
            <w:pStyle w:val="TOC1"/>
            <w:rPr>
              <w:rFonts w:asciiTheme="minorHAnsi" w:eastAsiaTheme="minorEastAsia" w:hAnsiTheme="minorHAnsi" w:cstheme="minorBidi"/>
              <w:noProof/>
              <w:szCs w:val="22"/>
            </w:rPr>
          </w:pPr>
          <w:hyperlink w:anchor="_Toc58929617" w:history="1">
            <w:r w:rsidR="00E731CC" w:rsidRPr="00D11DED">
              <w:rPr>
                <w:rStyle w:val="Hyperlink"/>
                <w:noProof/>
              </w:rPr>
              <w:t xml:space="preserve">Appendix </w:t>
            </w:r>
            <w:r w:rsidR="00893FF0">
              <w:rPr>
                <w:rStyle w:val="Hyperlink"/>
                <w:noProof/>
              </w:rPr>
              <w:t>C</w:t>
            </w:r>
            <w:r w:rsidR="00E731CC" w:rsidRPr="00D11DED">
              <w:rPr>
                <w:rStyle w:val="Hyperlink"/>
                <w:noProof/>
              </w:rPr>
              <w:t xml:space="preserve"> – Glossary</w:t>
            </w:r>
            <w:r w:rsidR="00E731CC">
              <w:rPr>
                <w:noProof/>
                <w:webHidden/>
              </w:rPr>
              <w:tab/>
              <w:t>30</w:t>
            </w:r>
          </w:hyperlink>
        </w:p>
        <w:p w14:paraId="46B5A410" w14:textId="3AB645BF" w:rsidR="00C2472D" w:rsidRPr="00F35A90" w:rsidRDefault="00C2472D" w:rsidP="004B183A">
          <w:r>
            <w:rPr>
              <w:bCs/>
              <w:noProof/>
              <w:sz w:val="22"/>
              <w:lang w:val="en-US"/>
            </w:rPr>
            <w:fldChar w:fldCharType="end"/>
          </w:r>
        </w:p>
      </w:sdtContent>
    </w:sdt>
    <w:p w14:paraId="4163D706" w14:textId="77777777" w:rsidR="00C2472D" w:rsidRDefault="00C2472D" w:rsidP="00C2472D">
      <w:r>
        <w:br w:type="page"/>
      </w:r>
    </w:p>
    <w:p w14:paraId="2E3CD986" w14:textId="77777777" w:rsidR="00C2472D" w:rsidRDefault="00C2472D" w:rsidP="00C2472D">
      <w:pPr>
        <w:pStyle w:val="mainTitle"/>
      </w:pPr>
      <w:bookmarkStart w:id="4" w:name="_Toc58929571"/>
      <w:r>
        <w:lastRenderedPageBreak/>
        <w:t>Program Protocol</w:t>
      </w:r>
      <w:bookmarkEnd w:id="4"/>
    </w:p>
    <w:p w14:paraId="6F71A312" w14:textId="77777777" w:rsidR="00C74FEC" w:rsidRDefault="00131E96" w:rsidP="00573186">
      <w:pPr>
        <w:pStyle w:val="Heading1"/>
      </w:pPr>
      <w:r>
        <w:fldChar w:fldCharType="begin"/>
      </w:r>
      <w:r>
        <w:instrText xml:space="preserve"> TOC \o "1-3" \h \z \u </w:instrText>
      </w:r>
      <w:r>
        <w:fldChar w:fldCharType="end"/>
      </w:r>
      <w:bookmarkStart w:id="5" w:name="_Toc23510481"/>
      <w:bookmarkStart w:id="6" w:name="_Toc58929572"/>
      <w:bookmarkStart w:id="7" w:name="_Toc480473208"/>
      <w:r w:rsidR="00C74FEC" w:rsidRPr="00E066AF">
        <w:t>Description of the Program</w:t>
      </w:r>
      <w:bookmarkEnd w:id="5"/>
      <w:bookmarkEnd w:id="6"/>
    </w:p>
    <w:p w14:paraId="5F8CF928" w14:textId="642B4547" w:rsidR="0040315D" w:rsidRPr="004F33E7" w:rsidRDefault="0040315D" w:rsidP="00496048">
      <w:pPr>
        <w:pStyle w:val="BodyIndent1"/>
      </w:pPr>
      <w:r>
        <w:rPr>
          <w:lang w:eastAsia="en-US"/>
        </w:rPr>
        <w:t xml:space="preserve">This Data </w:t>
      </w:r>
      <w:r w:rsidR="005574AD">
        <w:rPr>
          <w:lang w:eastAsia="en-US"/>
        </w:rPr>
        <w:t>M</w:t>
      </w:r>
      <w:r>
        <w:rPr>
          <w:lang w:eastAsia="en-US"/>
        </w:rPr>
        <w:t xml:space="preserve">atching </w:t>
      </w:r>
      <w:r w:rsidR="005574AD">
        <w:rPr>
          <w:lang w:eastAsia="en-US"/>
        </w:rPr>
        <w:t>P</w:t>
      </w:r>
      <w:r>
        <w:rPr>
          <w:lang w:eastAsia="en-US"/>
        </w:rPr>
        <w:t>rotocol is an amendment to the previou</w:t>
      </w:r>
      <w:r w:rsidR="005574AD">
        <w:rPr>
          <w:lang w:eastAsia="en-US"/>
        </w:rPr>
        <w:t xml:space="preserve">s Data Matching Protocol between Services Australia and the former Department of Education, </w:t>
      </w:r>
      <w:proofErr w:type="gramStart"/>
      <w:r w:rsidR="005574AD">
        <w:rPr>
          <w:lang w:eastAsia="en-US"/>
        </w:rPr>
        <w:t>Skills</w:t>
      </w:r>
      <w:proofErr w:type="gramEnd"/>
      <w:r w:rsidR="005574AD">
        <w:rPr>
          <w:lang w:eastAsia="en-US"/>
        </w:rPr>
        <w:t xml:space="preserve"> and Employment (DESE) dated December 2020.</w:t>
      </w:r>
    </w:p>
    <w:p w14:paraId="7589EEFC" w14:textId="77777777" w:rsidR="00D66B3F" w:rsidRDefault="00547402" w:rsidP="00E066AF">
      <w:pPr>
        <w:pStyle w:val="Heading2"/>
      </w:pPr>
      <w:bookmarkStart w:id="8" w:name="_Toc23510482"/>
      <w:bookmarkStart w:id="9" w:name="_Toc58929573"/>
      <w:r>
        <w:t>Overview</w:t>
      </w:r>
      <w:r w:rsidR="00C74FEC" w:rsidRPr="00FD63BC">
        <w:t xml:space="preserve"> of the Program</w:t>
      </w:r>
      <w:bookmarkEnd w:id="8"/>
      <w:bookmarkEnd w:id="9"/>
    </w:p>
    <w:p w14:paraId="47A226B8" w14:textId="60E3037D" w:rsidR="00CA5C41" w:rsidRDefault="00CA5C41" w:rsidP="00573186">
      <w:pPr>
        <w:pStyle w:val="Heading3"/>
      </w:pPr>
      <w:r>
        <w:t>Services</w:t>
      </w:r>
      <w:r w:rsidR="009735C2">
        <w:t xml:space="preserve"> Australia</w:t>
      </w:r>
      <w:r>
        <w:t xml:space="preserve"> and the</w:t>
      </w:r>
      <w:r w:rsidR="00104692">
        <w:t xml:space="preserve"> Department of Education (</w:t>
      </w:r>
      <w:r w:rsidR="003D77F2">
        <w:rPr>
          <w:b/>
        </w:rPr>
        <w:t>DE</w:t>
      </w:r>
      <w:r w:rsidR="00104692">
        <w:t>)</w:t>
      </w:r>
      <w:r>
        <w:t xml:space="preserve"> </w:t>
      </w:r>
      <w:r w:rsidR="000B2222">
        <w:t>previously separately collected a</w:t>
      </w:r>
      <w:r>
        <w:t xml:space="preserve"> range of information about students from higher education and vocational education and training providers (</w:t>
      </w:r>
      <w:r>
        <w:rPr>
          <w:b/>
        </w:rPr>
        <w:t>Providers</w:t>
      </w:r>
      <w:r>
        <w:t xml:space="preserve">) under </w:t>
      </w:r>
      <w:proofErr w:type="gramStart"/>
      <w:r>
        <w:t>particular legislation</w:t>
      </w:r>
      <w:proofErr w:type="gramEnd"/>
      <w:r>
        <w:t xml:space="preserve">, as follows: </w:t>
      </w:r>
    </w:p>
    <w:p w14:paraId="32B42D59" w14:textId="1ABF646D" w:rsidR="00CA5C41" w:rsidRDefault="009735C2" w:rsidP="00CA5C41">
      <w:pPr>
        <w:pStyle w:val="Heading4"/>
      </w:pPr>
      <w:r>
        <w:t>S</w:t>
      </w:r>
      <w:r w:rsidR="0053062E">
        <w:t xml:space="preserve">ervices </w:t>
      </w:r>
      <w:r>
        <w:t>A</w:t>
      </w:r>
      <w:r w:rsidR="0053062E">
        <w:t>ustralia</w:t>
      </w:r>
      <w:r w:rsidR="00CA5C41">
        <w:t xml:space="preserve"> </w:t>
      </w:r>
      <w:r w:rsidR="000B2222">
        <w:t>collected</w:t>
      </w:r>
      <w:r w:rsidR="00CA5C41">
        <w:t xml:space="preserve"> information under the </w:t>
      </w:r>
      <w:r w:rsidR="00CA5C41">
        <w:rPr>
          <w:i/>
        </w:rPr>
        <w:t xml:space="preserve">Social Security (Administration) Act 1999 </w:t>
      </w:r>
      <w:r w:rsidR="00CA5C41">
        <w:t>(</w:t>
      </w:r>
      <w:proofErr w:type="spellStart"/>
      <w:r w:rsidR="00CA5C41">
        <w:t>Cth</w:t>
      </w:r>
      <w:proofErr w:type="spellEnd"/>
      <w:r w:rsidR="00CA5C41">
        <w:t>) (</w:t>
      </w:r>
      <w:r w:rsidR="00CA5C41">
        <w:rPr>
          <w:b/>
        </w:rPr>
        <w:t>SSA Act</w:t>
      </w:r>
      <w:r w:rsidR="00CA5C41">
        <w:t xml:space="preserve">) through the Centrelink </w:t>
      </w:r>
      <w:r w:rsidR="00DD19DB">
        <w:t xml:space="preserve">Academic </w:t>
      </w:r>
      <w:r w:rsidR="00CA5C41">
        <w:t>Reassessment Transformation (</w:t>
      </w:r>
      <w:r w:rsidR="00CA5C41">
        <w:rPr>
          <w:b/>
        </w:rPr>
        <w:t>CART</w:t>
      </w:r>
      <w:r w:rsidR="00CA5C41">
        <w:t>) process</w:t>
      </w:r>
      <w:r w:rsidR="00A816F6">
        <w:t xml:space="preserve"> and manual compliance processes</w:t>
      </w:r>
      <w:r w:rsidR="00D001B6">
        <w:rPr>
          <w:rStyle w:val="FootnoteReference"/>
        </w:rPr>
        <w:footnoteReference w:id="2"/>
      </w:r>
      <w:r w:rsidR="00CA5C41">
        <w:t xml:space="preserve">; and </w:t>
      </w:r>
    </w:p>
    <w:p w14:paraId="453C7444" w14:textId="0009CC2C" w:rsidR="00CA5C41" w:rsidRDefault="009735C2" w:rsidP="00CA5C41">
      <w:pPr>
        <w:pStyle w:val="Heading4"/>
      </w:pPr>
      <w:r>
        <w:t>DE</w:t>
      </w:r>
      <w:r w:rsidR="00CA5C41">
        <w:t xml:space="preserve"> </w:t>
      </w:r>
      <w:r w:rsidR="000B2222">
        <w:t>collected</w:t>
      </w:r>
      <w:r w:rsidR="00CA5C41">
        <w:t xml:space="preserve"> information under the </w:t>
      </w:r>
      <w:r w:rsidR="00CA5C41">
        <w:rPr>
          <w:i/>
        </w:rPr>
        <w:t xml:space="preserve">Higher Education Support Act 2003 </w:t>
      </w:r>
      <w:r w:rsidR="00CA5C41">
        <w:t>(</w:t>
      </w:r>
      <w:proofErr w:type="spellStart"/>
      <w:r w:rsidR="00CA5C41">
        <w:t>Cth</w:t>
      </w:r>
      <w:proofErr w:type="spellEnd"/>
      <w:r w:rsidR="00CA5C41">
        <w:t>) (</w:t>
      </w:r>
      <w:r w:rsidR="00CA5C41">
        <w:rPr>
          <w:b/>
        </w:rPr>
        <w:t>HESA</w:t>
      </w:r>
      <w:r w:rsidR="00CA5C41">
        <w:t xml:space="preserve">) and the </w:t>
      </w:r>
      <w:r w:rsidR="00CA5C41">
        <w:rPr>
          <w:i/>
        </w:rPr>
        <w:t xml:space="preserve">VET Student Loans Act 2016 </w:t>
      </w:r>
      <w:r w:rsidR="00CA5C41">
        <w:t>(</w:t>
      </w:r>
      <w:proofErr w:type="spellStart"/>
      <w:r w:rsidR="00CA5C41">
        <w:t>Cth</w:t>
      </w:r>
      <w:proofErr w:type="spellEnd"/>
      <w:r w:rsidR="00CA5C41">
        <w:t>) (</w:t>
      </w:r>
      <w:r w:rsidR="00CA5C41">
        <w:rPr>
          <w:b/>
        </w:rPr>
        <w:t>VSLA</w:t>
      </w:r>
      <w:r w:rsidR="00CA5C41">
        <w:t>) through its Higher Education Provider Client Assurance Tool (</w:t>
      </w:r>
      <w:r w:rsidR="00CA5C41">
        <w:rPr>
          <w:b/>
        </w:rPr>
        <w:t>HEPCAT</w:t>
      </w:r>
      <w:r w:rsidR="00CA5C41">
        <w:t xml:space="preserve">). </w:t>
      </w:r>
    </w:p>
    <w:p w14:paraId="3B4532BD" w14:textId="5AAD1CE2" w:rsidR="00162496" w:rsidRDefault="0053062E" w:rsidP="00162496">
      <w:pPr>
        <w:pStyle w:val="Heading3"/>
      </w:pPr>
      <w:r>
        <w:t xml:space="preserve">Services Australia </w:t>
      </w:r>
      <w:r w:rsidR="00CA5C41">
        <w:t xml:space="preserve">and </w:t>
      </w:r>
      <w:r w:rsidR="009735C2">
        <w:t>DE</w:t>
      </w:r>
      <w:r w:rsidR="000B2222">
        <w:t xml:space="preserve"> were </w:t>
      </w:r>
      <w:r w:rsidR="00104692">
        <w:t xml:space="preserve">tasked by the Australian Government to work together to develop a joint solution that </w:t>
      </w:r>
      <w:r w:rsidR="000B2222">
        <w:t>would</w:t>
      </w:r>
      <w:r w:rsidR="00104692">
        <w:t xml:space="preserve"> bring together </w:t>
      </w:r>
      <w:r w:rsidR="00A56E62">
        <w:t xml:space="preserve">the </w:t>
      </w:r>
      <w:r w:rsidR="00104692">
        <w:t>separate processes for the collection of student information from Providers</w:t>
      </w:r>
      <w:r w:rsidR="00CA5C41">
        <w:t xml:space="preserve"> (i.e. to replace CART</w:t>
      </w:r>
      <w:r w:rsidR="00133924">
        <w:t xml:space="preserve">, </w:t>
      </w:r>
      <w:proofErr w:type="gramStart"/>
      <w:r w:rsidR="00CA5C41">
        <w:t>HEPCAT</w:t>
      </w:r>
      <w:proofErr w:type="gramEnd"/>
      <w:r w:rsidR="00133924">
        <w:t xml:space="preserve"> and manual compliance processes</w:t>
      </w:r>
      <w:r w:rsidR="00CA5C41">
        <w:t>)</w:t>
      </w:r>
      <w:r w:rsidR="00104692">
        <w:t xml:space="preserve">. This solution is known as </w:t>
      </w:r>
      <w:r w:rsidR="00F438ED">
        <w:t>Tertiary</w:t>
      </w:r>
      <w:r w:rsidR="00104692">
        <w:t xml:space="preserve"> Collection of Student Information (</w:t>
      </w:r>
      <w:r w:rsidR="00104692">
        <w:rPr>
          <w:b/>
        </w:rPr>
        <w:t>TCSI</w:t>
      </w:r>
      <w:r w:rsidR="00104692">
        <w:t xml:space="preserve">). </w:t>
      </w:r>
      <w:r w:rsidR="00162496">
        <w:t xml:space="preserve">The TCSI solution </w:t>
      </w:r>
      <w:r w:rsidR="000B2222">
        <w:t>has rationalised</w:t>
      </w:r>
      <w:r w:rsidR="00162496">
        <w:t xml:space="preserve"> reporting requirements so that Providers report student information once, through a single mechanism</w:t>
      </w:r>
      <w:r>
        <w:t>. Both DE and Services Australia can then use this information</w:t>
      </w:r>
      <w:r w:rsidR="007B644B">
        <w:t xml:space="preserve"> to enable</w:t>
      </w:r>
      <w:r w:rsidR="00162496">
        <w:t xml:space="preserve"> </w:t>
      </w:r>
      <w:r w:rsidR="007B644B">
        <w:t xml:space="preserve">them to administer their relevant </w:t>
      </w:r>
      <w:r w:rsidR="00222BE7">
        <w:t>laws</w:t>
      </w:r>
      <w:r w:rsidR="007B644B">
        <w:t xml:space="preserve">. </w:t>
      </w:r>
      <w:r w:rsidR="00162496">
        <w:t xml:space="preserve"> </w:t>
      </w:r>
    </w:p>
    <w:p w14:paraId="68B854EC" w14:textId="76270ED8" w:rsidR="00104692" w:rsidRDefault="00104692" w:rsidP="00CA5C41">
      <w:pPr>
        <w:pStyle w:val="Heading3"/>
      </w:pPr>
      <w:bookmarkStart w:id="10" w:name="_Ref24644315"/>
      <w:r>
        <w:t xml:space="preserve">The TCSI solution </w:t>
      </w:r>
      <w:r w:rsidR="000B2222">
        <w:t>has been</w:t>
      </w:r>
      <w:r>
        <w:t xml:space="preserve"> implemented in </w:t>
      </w:r>
      <w:r w:rsidR="009735C2">
        <w:t>DE</w:t>
      </w:r>
      <w:r>
        <w:t xml:space="preserve">’s tenancy in </w:t>
      </w:r>
      <w:r w:rsidR="0053062E">
        <w:t>Services Australia</w:t>
      </w:r>
      <w:r w:rsidR="004162FA">
        <w:t>’s</w:t>
      </w:r>
      <w:r w:rsidR="0053062E">
        <w:t xml:space="preserve"> </w:t>
      </w:r>
      <w:r>
        <w:t xml:space="preserve">Data Exchange Hub (a large repository of information, comprised of </w:t>
      </w:r>
      <w:proofErr w:type="gramStart"/>
      <w:r>
        <w:t>a number of</w:t>
      </w:r>
      <w:proofErr w:type="gramEnd"/>
      <w:r>
        <w:t xml:space="preserve"> tenancies that </w:t>
      </w:r>
      <w:r w:rsidR="00222BE7">
        <w:t>are either</w:t>
      </w:r>
      <w:r>
        <w:t xml:space="preserve"> “owned” by </w:t>
      </w:r>
      <w:r w:rsidR="0053062E">
        <w:t xml:space="preserve">Services Australia </w:t>
      </w:r>
      <w:r w:rsidRPr="007231E3">
        <w:t xml:space="preserve">(i.e. they contain </w:t>
      </w:r>
      <w:r w:rsidR="009735C2">
        <w:t>S</w:t>
      </w:r>
      <w:r w:rsidR="0053062E">
        <w:t xml:space="preserve">ervices </w:t>
      </w:r>
      <w:r w:rsidR="009735C2">
        <w:t>A</w:t>
      </w:r>
      <w:r w:rsidR="0053062E">
        <w:t>ustralia</w:t>
      </w:r>
      <w:r w:rsidRPr="007231E3">
        <w:t xml:space="preserve"> data and </w:t>
      </w:r>
      <w:r w:rsidR="000B2222">
        <w:t>are</w:t>
      </w:r>
      <w:r w:rsidRPr="007231E3">
        <w:t xml:space="preserve"> controlled by </w:t>
      </w:r>
      <w:r w:rsidR="009735C2">
        <w:t>S</w:t>
      </w:r>
      <w:r w:rsidR="0053062E">
        <w:t xml:space="preserve">ervices </w:t>
      </w:r>
      <w:r w:rsidR="009735C2">
        <w:t>A</w:t>
      </w:r>
      <w:r w:rsidR="0053062E">
        <w:t>ustralia</w:t>
      </w:r>
      <w:r w:rsidRPr="007231E3">
        <w:t xml:space="preserve">), </w:t>
      </w:r>
      <w:r>
        <w:t>or provided by</w:t>
      </w:r>
      <w:r w:rsidRPr="007231E3">
        <w:t xml:space="preserve"> </w:t>
      </w:r>
      <w:r w:rsidR="0053062E">
        <w:t>Services Australia</w:t>
      </w:r>
      <w:r w:rsidRPr="007231E3">
        <w:t xml:space="preserve"> to other agencies as a service</w:t>
      </w:r>
      <w:r w:rsidR="00A56E62">
        <w:t>)</w:t>
      </w:r>
      <w:r w:rsidRPr="007231E3">
        <w:t>.</w:t>
      </w:r>
      <w:r>
        <w:t xml:space="preserve"> </w:t>
      </w:r>
      <w:r w:rsidR="0013362E">
        <w:t>Services Australia</w:t>
      </w:r>
      <w:r w:rsidR="004162FA">
        <w:t>,</w:t>
      </w:r>
      <w:r w:rsidR="0013362E">
        <w:t xml:space="preserve"> as a service provider of the tenancy</w:t>
      </w:r>
      <w:r w:rsidR="004162FA">
        <w:t>,</w:t>
      </w:r>
      <w:r>
        <w:t xml:space="preserve"> </w:t>
      </w:r>
      <w:r w:rsidR="000B2222">
        <w:t>does not</w:t>
      </w:r>
      <w:r>
        <w:t xml:space="preserve"> have control over </w:t>
      </w:r>
      <w:r w:rsidR="009735C2">
        <w:t>DE</w:t>
      </w:r>
      <w:r w:rsidR="00133924">
        <w:t>’s</w:t>
      </w:r>
      <w:r>
        <w:t xml:space="preserve"> tenancy.</w:t>
      </w:r>
      <w:bookmarkEnd w:id="10"/>
      <w:r>
        <w:t xml:space="preserve"> </w:t>
      </w:r>
      <w:r w:rsidR="00C542FA">
        <w:t xml:space="preserve">However, </w:t>
      </w:r>
      <w:r w:rsidR="0053062E">
        <w:t>Services Australia</w:t>
      </w:r>
      <w:r w:rsidR="00C542FA">
        <w:t xml:space="preserve"> may access </w:t>
      </w:r>
      <w:r w:rsidR="009735C2">
        <w:t>DE</w:t>
      </w:r>
      <w:r w:rsidR="00C542FA">
        <w:t xml:space="preserve">’s tenancy, </w:t>
      </w:r>
      <w:r w:rsidR="001F2A23">
        <w:t xml:space="preserve">as </w:t>
      </w:r>
      <w:r w:rsidR="00124368">
        <w:t xml:space="preserve">set out </w:t>
      </w:r>
      <w:r w:rsidR="00C542FA">
        <w:t>in the Service Level Agreement (</w:t>
      </w:r>
      <w:r w:rsidR="00C542FA">
        <w:rPr>
          <w:b/>
        </w:rPr>
        <w:t>SLA</w:t>
      </w:r>
      <w:r w:rsidR="00C542FA">
        <w:t xml:space="preserve">) between </w:t>
      </w:r>
      <w:r w:rsidR="009735C2">
        <w:t>S</w:t>
      </w:r>
      <w:r w:rsidR="0053062E">
        <w:t xml:space="preserve">ervices </w:t>
      </w:r>
      <w:r w:rsidR="009735C2">
        <w:t>A</w:t>
      </w:r>
      <w:r w:rsidR="0053062E">
        <w:t>ustralia</w:t>
      </w:r>
      <w:r w:rsidR="00C542FA">
        <w:t xml:space="preserve"> and </w:t>
      </w:r>
      <w:r w:rsidR="009735C2">
        <w:t>DE</w:t>
      </w:r>
      <w:r w:rsidR="00C542FA">
        <w:t xml:space="preserve">, as discussed below. </w:t>
      </w:r>
    </w:p>
    <w:p w14:paraId="029EE0E4" w14:textId="6BEB21F9" w:rsidR="00133924" w:rsidRPr="004B183A" w:rsidRDefault="00CA5C41" w:rsidP="00EA2FFB">
      <w:pPr>
        <w:pStyle w:val="Heading3"/>
        <w:rPr>
          <w:b/>
        </w:rPr>
      </w:pPr>
      <w:r>
        <w:t xml:space="preserve">As part of the TCSI solution, </w:t>
      </w:r>
      <w:r w:rsidR="0053062E">
        <w:t xml:space="preserve">Services Australia </w:t>
      </w:r>
      <w:r>
        <w:t xml:space="preserve">has </w:t>
      </w:r>
      <w:proofErr w:type="gramStart"/>
      <w:r>
        <w:t>entered into</w:t>
      </w:r>
      <w:proofErr w:type="gramEnd"/>
      <w:r>
        <w:t xml:space="preserve"> </w:t>
      </w:r>
      <w:r w:rsidR="00C542FA">
        <w:t>an SLA</w:t>
      </w:r>
      <w:r w:rsidR="00A01207">
        <w:t xml:space="preserve"> </w:t>
      </w:r>
      <w:r>
        <w:t xml:space="preserve">with </w:t>
      </w:r>
      <w:r w:rsidR="009735C2">
        <w:t>DE</w:t>
      </w:r>
      <w:r w:rsidR="0013362E">
        <w:t xml:space="preserve">. The SLA </w:t>
      </w:r>
      <w:r w:rsidR="0054373E">
        <w:t xml:space="preserve">provides </w:t>
      </w:r>
      <w:r w:rsidR="0013362E">
        <w:t>that</w:t>
      </w:r>
      <w:r>
        <w:t xml:space="preserve"> </w:t>
      </w:r>
      <w:r w:rsidR="009735C2">
        <w:t>DE</w:t>
      </w:r>
      <w:r w:rsidR="0013362E">
        <w:t xml:space="preserve"> may</w:t>
      </w:r>
      <w:r>
        <w:t xml:space="preserve"> </w:t>
      </w:r>
      <w:r w:rsidR="00222BE7">
        <w:t>share</w:t>
      </w:r>
      <w:r>
        <w:t xml:space="preserve"> a subset of the data it has collected</w:t>
      </w:r>
      <w:r w:rsidR="00354F80">
        <w:t xml:space="preserve"> from Providers</w:t>
      </w:r>
      <w:r>
        <w:t xml:space="preserve"> under the HESA and</w:t>
      </w:r>
      <w:r w:rsidR="00354F80">
        <w:t xml:space="preserve"> the</w:t>
      </w:r>
      <w:r>
        <w:t xml:space="preserve"> VSLA with </w:t>
      </w:r>
      <w:r w:rsidR="0053062E">
        <w:t>Services Australia</w:t>
      </w:r>
      <w:r w:rsidR="001F2A23">
        <w:t xml:space="preserve"> as is permitted by relevant legislation</w:t>
      </w:r>
      <w:r w:rsidR="0013362E">
        <w:t>.</w:t>
      </w:r>
      <w:r w:rsidR="0053062E">
        <w:t xml:space="preserve"> </w:t>
      </w:r>
      <w:r w:rsidR="0013362E">
        <w:t>The sharing of this data</w:t>
      </w:r>
      <w:r>
        <w:t xml:space="preserve"> enable</w:t>
      </w:r>
      <w:r w:rsidR="0013362E">
        <w:t>s</w:t>
      </w:r>
      <w:r>
        <w:t xml:space="preserve"> </w:t>
      </w:r>
      <w:r w:rsidR="0053062E">
        <w:t>Services Australia</w:t>
      </w:r>
      <w:r w:rsidR="009735C2" w:rsidDel="009735C2">
        <w:t xml:space="preserve"> </w:t>
      </w:r>
      <w:r>
        <w:t>to administer its student payments and services in a more streamlined manner</w:t>
      </w:r>
      <w:r w:rsidR="00EA2FFB">
        <w:t xml:space="preserve"> (noting that </w:t>
      </w:r>
      <w:r w:rsidR="009735C2">
        <w:t>DE</w:t>
      </w:r>
      <w:r w:rsidR="00EA2FFB">
        <w:t xml:space="preserve"> </w:t>
      </w:r>
      <w:r w:rsidR="00222BE7">
        <w:t>also</w:t>
      </w:r>
      <w:r w:rsidR="00EA2FFB">
        <w:t xml:space="preserve"> use</w:t>
      </w:r>
      <w:r w:rsidR="00222BE7">
        <w:t>s</w:t>
      </w:r>
      <w:r w:rsidR="00EA2FFB">
        <w:t xml:space="preserve"> the personal information in the </w:t>
      </w:r>
      <w:proofErr w:type="spellStart"/>
      <w:r w:rsidR="009735C2">
        <w:t>DE</w:t>
      </w:r>
      <w:r w:rsidR="00EA2FFB">
        <w:t>tenancy</w:t>
      </w:r>
      <w:proofErr w:type="spellEnd"/>
      <w:r w:rsidR="00EA2FFB">
        <w:t xml:space="preserve"> </w:t>
      </w:r>
      <w:r w:rsidR="00291B0E">
        <w:t xml:space="preserve">to administer </w:t>
      </w:r>
      <w:r w:rsidR="00EA2FFB">
        <w:t>the HESA and the VSLA).</w:t>
      </w:r>
      <w:r>
        <w:t xml:space="preserve"> </w:t>
      </w:r>
    </w:p>
    <w:p w14:paraId="242647AC" w14:textId="77777777" w:rsidR="00FB772B" w:rsidRDefault="00941C18" w:rsidP="00E066AF">
      <w:pPr>
        <w:pStyle w:val="Heading3"/>
      </w:pPr>
      <w:r>
        <w:t>The TCSI solution</w:t>
      </w:r>
      <w:r w:rsidR="00162496">
        <w:t xml:space="preserve"> </w:t>
      </w:r>
      <w:r w:rsidR="00222BE7">
        <w:t>involves</w:t>
      </w:r>
      <w:r w:rsidR="00162496">
        <w:t xml:space="preserve"> a data-matching program </w:t>
      </w:r>
      <w:r w:rsidR="00E0473E">
        <w:t>(</w:t>
      </w:r>
      <w:r w:rsidR="00E0473E">
        <w:rPr>
          <w:b/>
        </w:rPr>
        <w:t>Program</w:t>
      </w:r>
      <w:r w:rsidR="00E0473E">
        <w:t>)</w:t>
      </w:r>
      <w:r w:rsidR="00FB772B">
        <w:t xml:space="preserve">, </w:t>
      </w:r>
      <w:r w:rsidR="004D4E37">
        <w:t>comprised of two</w:t>
      </w:r>
      <w:r w:rsidR="00FB772B">
        <w:t xml:space="preserve"> data-matching processes:</w:t>
      </w:r>
    </w:p>
    <w:p w14:paraId="6B9857D8" w14:textId="70F1B70B" w:rsidR="001C4DC9" w:rsidRDefault="009735C2" w:rsidP="00CE178D">
      <w:pPr>
        <w:pStyle w:val="Heading4"/>
      </w:pPr>
      <w:r>
        <w:t>DE</w:t>
      </w:r>
      <w:r w:rsidR="00D962E4">
        <w:t xml:space="preserve"> </w:t>
      </w:r>
      <w:r w:rsidR="00222BE7">
        <w:t>uses</w:t>
      </w:r>
      <w:r w:rsidR="00D962E4">
        <w:t xml:space="preserve"> the information disclosed by </w:t>
      </w:r>
      <w:r>
        <w:t>S</w:t>
      </w:r>
      <w:r w:rsidR="0053062E">
        <w:t xml:space="preserve">ervices </w:t>
      </w:r>
      <w:r>
        <w:t>A</w:t>
      </w:r>
      <w:r w:rsidR="0053062E">
        <w:t>ustralia</w:t>
      </w:r>
      <w:r w:rsidR="00D962E4">
        <w:t xml:space="preserve"> to </w:t>
      </w:r>
      <w:r>
        <w:t>DE</w:t>
      </w:r>
      <w:r w:rsidR="00D962E4">
        <w:t xml:space="preserve"> (held in the </w:t>
      </w:r>
      <w:r>
        <w:t>DE</w:t>
      </w:r>
      <w:r w:rsidR="00D962E4">
        <w:t xml:space="preserve"> tenancy) to match it</w:t>
      </w:r>
      <w:r w:rsidR="00A56E62">
        <w:t xml:space="preserve"> (through an automated process)</w:t>
      </w:r>
      <w:r w:rsidR="00D962E4">
        <w:t xml:space="preserve"> with other information held in the </w:t>
      </w:r>
      <w:r>
        <w:t>DE</w:t>
      </w:r>
      <w:r w:rsidDel="009735C2">
        <w:t xml:space="preserve"> </w:t>
      </w:r>
      <w:r w:rsidR="00D962E4">
        <w:t xml:space="preserve">tenancy, to identify </w:t>
      </w:r>
      <w:r w:rsidR="00A56E62">
        <w:t>s</w:t>
      </w:r>
      <w:r w:rsidR="00D962E4">
        <w:t xml:space="preserve">tudents who are mutual customers of both </w:t>
      </w:r>
      <w:r>
        <w:t>S</w:t>
      </w:r>
      <w:r w:rsidR="0053062E">
        <w:t xml:space="preserve">ervices </w:t>
      </w:r>
      <w:r>
        <w:lastRenderedPageBreak/>
        <w:t>A</w:t>
      </w:r>
      <w:r w:rsidR="0053062E">
        <w:t>ustralia</w:t>
      </w:r>
      <w:r>
        <w:t xml:space="preserve"> </w:t>
      </w:r>
      <w:r w:rsidR="00D962E4">
        <w:t xml:space="preserve">and </w:t>
      </w:r>
      <w:r>
        <w:t>DE</w:t>
      </w:r>
      <w:r w:rsidR="003D61E9">
        <w:t xml:space="preserve">. </w:t>
      </w:r>
      <w:r>
        <w:t>DE</w:t>
      </w:r>
      <w:r w:rsidDel="009735C2">
        <w:t xml:space="preserve"> </w:t>
      </w:r>
      <w:r w:rsidR="00347BDC">
        <w:t>use</w:t>
      </w:r>
      <w:r w:rsidR="00222BE7">
        <w:t>s</w:t>
      </w:r>
      <w:r w:rsidR="00347BDC">
        <w:t xml:space="preserve"> this information</w:t>
      </w:r>
      <w:r w:rsidR="00A56E62">
        <w:t xml:space="preserve"> </w:t>
      </w:r>
      <w:r w:rsidR="00347BDC">
        <w:t>to</w:t>
      </w:r>
      <w:r w:rsidR="003D61E9">
        <w:t xml:space="preserve"> create enriched match files about students who are mutual customers.</w:t>
      </w:r>
      <w:r w:rsidR="00347BDC">
        <w:t xml:space="preserve"> </w:t>
      </w:r>
      <w:r w:rsidR="00A56E62">
        <w:t xml:space="preserve">The enriched match files </w:t>
      </w:r>
      <w:r w:rsidR="00222BE7">
        <w:t>are</w:t>
      </w:r>
      <w:r w:rsidR="00A56E62">
        <w:t xml:space="preserve"> subsequently disclosed to </w:t>
      </w:r>
      <w:r>
        <w:t>S</w:t>
      </w:r>
      <w:r w:rsidR="0053062E">
        <w:t xml:space="preserve">ervices </w:t>
      </w:r>
      <w:r>
        <w:t>A</w:t>
      </w:r>
      <w:r w:rsidR="0053062E">
        <w:t>ustralia</w:t>
      </w:r>
      <w:r w:rsidR="00A56E62">
        <w:t xml:space="preserve">. </w:t>
      </w:r>
      <w:r w:rsidR="00347BDC">
        <w:t xml:space="preserve"> </w:t>
      </w:r>
    </w:p>
    <w:p w14:paraId="4E6ED974" w14:textId="3F367593" w:rsidR="00941C18" w:rsidRDefault="00354F80" w:rsidP="00FB772B">
      <w:pPr>
        <w:pStyle w:val="Heading4"/>
      </w:pPr>
      <w:r>
        <w:t xml:space="preserve">The second data matching process </w:t>
      </w:r>
      <w:r w:rsidR="00222BE7">
        <w:t>occurs</w:t>
      </w:r>
      <w:r>
        <w:t xml:space="preserve"> when</w:t>
      </w:r>
      <w:r w:rsidR="00347BDC">
        <w:t xml:space="preserve"> </w:t>
      </w:r>
      <w:r w:rsidR="00706A38">
        <w:t xml:space="preserve">DE </w:t>
      </w:r>
      <w:r w:rsidR="00347BDC">
        <w:t xml:space="preserve">receives new information from Providers or from </w:t>
      </w:r>
      <w:r w:rsidR="009735C2">
        <w:t>S</w:t>
      </w:r>
      <w:r w:rsidR="0053062E">
        <w:t xml:space="preserve">ervices </w:t>
      </w:r>
      <w:r w:rsidR="009735C2">
        <w:t>A</w:t>
      </w:r>
      <w:r w:rsidR="0053062E">
        <w:t>ustralia</w:t>
      </w:r>
      <w:r w:rsidR="00A56E62">
        <w:t xml:space="preserve"> about a student. </w:t>
      </w:r>
      <w:r w:rsidR="00706A38">
        <w:t xml:space="preserve">DE </w:t>
      </w:r>
      <w:r w:rsidR="00347BDC">
        <w:t>automatically check</w:t>
      </w:r>
      <w:r w:rsidR="00222BE7">
        <w:t>s</w:t>
      </w:r>
      <w:r w:rsidR="00347BDC">
        <w:t xml:space="preserve"> whether that student is a matched student in the </w:t>
      </w:r>
      <w:r w:rsidR="00222BE7">
        <w:t>Mutual Customer Register (</w:t>
      </w:r>
      <w:r w:rsidR="00222BE7">
        <w:rPr>
          <w:b/>
        </w:rPr>
        <w:t>MCR</w:t>
      </w:r>
      <w:r w:rsidR="00222BE7">
        <w:t>)</w:t>
      </w:r>
      <w:r w:rsidR="00347BDC">
        <w:t xml:space="preserve">. If the student is within the MCR, the </w:t>
      </w:r>
      <w:r w:rsidR="00706A38">
        <w:t>DE</w:t>
      </w:r>
      <w:r w:rsidR="00706A38" w:rsidDel="00706A38">
        <w:t xml:space="preserve"> </w:t>
      </w:r>
      <w:r w:rsidR="00347BDC">
        <w:t>tenancy create</w:t>
      </w:r>
      <w:r w:rsidR="00222BE7">
        <w:t>s</w:t>
      </w:r>
      <w:r w:rsidR="00347BDC">
        <w:t xml:space="preserve"> or update</w:t>
      </w:r>
      <w:r w:rsidR="00222BE7">
        <w:t>s</w:t>
      </w:r>
      <w:r w:rsidR="00347BDC">
        <w:t xml:space="preserve"> the enriched match file, which </w:t>
      </w:r>
      <w:r w:rsidR="00222BE7">
        <w:t>is subsequently</w:t>
      </w:r>
      <w:r w:rsidR="00347BDC">
        <w:t xml:space="preserve"> released to </w:t>
      </w:r>
      <w:r w:rsidR="009735C2">
        <w:t>S</w:t>
      </w:r>
      <w:r w:rsidR="0053062E">
        <w:t xml:space="preserve">ervices </w:t>
      </w:r>
      <w:r w:rsidR="009735C2">
        <w:t>A</w:t>
      </w:r>
      <w:r w:rsidR="0053062E">
        <w:t>ustralia</w:t>
      </w:r>
      <w:r>
        <w:t xml:space="preserve">. </w:t>
      </w:r>
    </w:p>
    <w:p w14:paraId="0D9904D8" w14:textId="77777777" w:rsidR="00C74FEC" w:rsidRPr="00FD63BC" w:rsidRDefault="00C74FEC" w:rsidP="00E066AF">
      <w:pPr>
        <w:pStyle w:val="Heading2"/>
      </w:pPr>
      <w:bookmarkStart w:id="11" w:name="_Toc23510483"/>
      <w:bookmarkStart w:id="12" w:name="_Toc58929574"/>
      <w:r w:rsidRPr="00FD63BC">
        <w:t>Objectives</w:t>
      </w:r>
      <w:bookmarkEnd w:id="11"/>
      <w:r w:rsidR="00547402">
        <w:t xml:space="preserve"> of the Program</w:t>
      </w:r>
      <w:bookmarkEnd w:id="12"/>
      <w:r w:rsidR="00547402">
        <w:t xml:space="preserve"> </w:t>
      </w:r>
    </w:p>
    <w:p w14:paraId="425B93CE" w14:textId="77777777" w:rsidR="00C74FEC" w:rsidRDefault="00C74FEC" w:rsidP="00E066AF">
      <w:pPr>
        <w:pStyle w:val="Heading3"/>
      </w:pPr>
      <w:r>
        <w:t xml:space="preserve">The objectives of </w:t>
      </w:r>
      <w:r w:rsidR="00D962E4">
        <w:t xml:space="preserve">the </w:t>
      </w:r>
      <w:r w:rsidR="00E0473E">
        <w:t>Program</w:t>
      </w:r>
      <w:r>
        <w:t xml:space="preserve"> are to: </w:t>
      </w:r>
    </w:p>
    <w:p w14:paraId="4E422EA9" w14:textId="27495A4D" w:rsidR="00D66B3F" w:rsidRDefault="00C74FEC" w:rsidP="00D66B3F">
      <w:pPr>
        <w:pStyle w:val="Heading4"/>
      </w:pPr>
      <w:r>
        <w:t>provide near-real time data</w:t>
      </w:r>
      <w:r w:rsidR="00A56E62">
        <w:t xml:space="preserve"> to </w:t>
      </w:r>
      <w:r w:rsidR="00706A38">
        <w:t>DE</w:t>
      </w:r>
      <w:r w:rsidR="00706A38" w:rsidDel="00706A38">
        <w:t xml:space="preserve"> </w:t>
      </w:r>
      <w:r w:rsidR="00A56E62">
        <w:t xml:space="preserve">and </w:t>
      </w:r>
      <w:r w:rsidR="009735C2">
        <w:t>S</w:t>
      </w:r>
      <w:r w:rsidR="0053062E">
        <w:t xml:space="preserve">ervices </w:t>
      </w:r>
      <w:proofErr w:type="gramStart"/>
      <w:r w:rsidR="009735C2">
        <w:t>A</w:t>
      </w:r>
      <w:r w:rsidR="0053062E">
        <w:t>ustralia</w:t>
      </w:r>
      <w:r w:rsidR="00D66B3F">
        <w:t>;</w:t>
      </w:r>
      <w:proofErr w:type="gramEnd"/>
      <w:r>
        <w:t xml:space="preserve"> </w:t>
      </w:r>
    </w:p>
    <w:p w14:paraId="5C04E7A7" w14:textId="00C0E651" w:rsidR="00B92A96" w:rsidRDefault="003A447D">
      <w:pPr>
        <w:pStyle w:val="Heading4"/>
      </w:pPr>
      <w:r>
        <w:t>reduce duplication of information and effort for student</w:t>
      </w:r>
      <w:r w:rsidR="002417D9">
        <w:t>s</w:t>
      </w:r>
      <w:r>
        <w:t xml:space="preserve">, </w:t>
      </w:r>
      <w:r w:rsidR="002846B9">
        <w:t>P</w:t>
      </w:r>
      <w:r>
        <w:t xml:space="preserve">roviders and the </w:t>
      </w:r>
      <w:proofErr w:type="gramStart"/>
      <w:r>
        <w:t>Government;</w:t>
      </w:r>
      <w:proofErr w:type="gramEnd"/>
    </w:p>
    <w:p w14:paraId="4337DED7" w14:textId="77777777" w:rsidR="005230CD" w:rsidRDefault="005230CD">
      <w:pPr>
        <w:pStyle w:val="Heading4"/>
      </w:pPr>
      <w:r>
        <w:t xml:space="preserve">improve data quality and </w:t>
      </w:r>
      <w:proofErr w:type="gramStart"/>
      <w:r>
        <w:t>availability;</w:t>
      </w:r>
      <w:proofErr w:type="gramEnd"/>
    </w:p>
    <w:p w14:paraId="516CAA88" w14:textId="1BFDA5B6" w:rsidR="00D66B3F" w:rsidRDefault="00C74FEC" w:rsidP="00D66B3F">
      <w:pPr>
        <w:pStyle w:val="Heading4"/>
      </w:pPr>
      <w:r>
        <w:t xml:space="preserve">help pre-populate new claims for student payments and identify changes in a </w:t>
      </w:r>
      <w:r w:rsidR="001F2A23">
        <w:t xml:space="preserve">student’s </w:t>
      </w:r>
      <w:r>
        <w:t xml:space="preserve">study circumstances </w:t>
      </w:r>
      <w:proofErr w:type="gramStart"/>
      <w:r>
        <w:t>earlie</w:t>
      </w:r>
      <w:r w:rsidR="00D66B3F">
        <w:t>r;</w:t>
      </w:r>
      <w:proofErr w:type="gramEnd"/>
    </w:p>
    <w:p w14:paraId="50D707BC" w14:textId="77777777" w:rsidR="00D66B3F" w:rsidRDefault="002417D9" w:rsidP="00D66B3F">
      <w:pPr>
        <w:pStyle w:val="Heading4"/>
      </w:pPr>
      <w:r>
        <w:t>improve the accuracy of</w:t>
      </w:r>
      <w:r w:rsidR="00F9379E">
        <w:t xml:space="preserve"> Services Australia’s</w:t>
      </w:r>
      <w:r>
        <w:t xml:space="preserve"> payment outlays and </w:t>
      </w:r>
      <w:r w:rsidR="00C74FEC">
        <w:t>reduce the risk of students being overpaid</w:t>
      </w:r>
      <w:r w:rsidR="00D66B3F">
        <w:t xml:space="preserve">; and </w:t>
      </w:r>
    </w:p>
    <w:p w14:paraId="64509973" w14:textId="77777777" w:rsidR="00C74FEC" w:rsidRDefault="002417D9" w:rsidP="00E066AF">
      <w:pPr>
        <w:pStyle w:val="Heading4"/>
      </w:pPr>
      <w:r>
        <w:t xml:space="preserve">contribute to the </w:t>
      </w:r>
      <w:r w:rsidR="00C74FEC">
        <w:t>reduc</w:t>
      </w:r>
      <w:r>
        <w:t>tion</w:t>
      </w:r>
      <w:r w:rsidR="00C74FEC">
        <w:t xml:space="preserve"> </w:t>
      </w:r>
      <w:r>
        <w:t xml:space="preserve">of </w:t>
      </w:r>
      <w:r w:rsidR="00A56E62">
        <w:t>manual processing</w:t>
      </w:r>
      <w:r>
        <w:t xml:space="preserve"> associated with </w:t>
      </w:r>
      <w:r w:rsidR="00A56E62">
        <w:t xml:space="preserve">student claims, </w:t>
      </w:r>
      <w:proofErr w:type="gramStart"/>
      <w:r w:rsidR="00A56E62">
        <w:t>review</w:t>
      </w:r>
      <w:r>
        <w:t>s</w:t>
      </w:r>
      <w:proofErr w:type="gramEnd"/>
      <w:r w:rsidR="00A56E62">
        <w:t xml:space="preserve"> and debt recovery actions, result</w:t>
      </w:r>
      <w:r>
        <w:t>ing</w:t>
      </w:r>
      <w:r w:rsidR="00A56E62">
        <w:t xml:space="preserve"> </w:t>
      </w:r>
      <w:r w:rsidR="00C542FA">
        <w:t xml:space="preserve">in reduced administrative costs. </w:t>
      </w:r>
    </w:p>
    <w:p w14:paraId="031BCF09" w14:textId="77777777" w:rsidR="00284263" w:rsidRPr="00E066AF" w:rsidRDefault="00547402" w:rsidP="00E066AF">
      <w:pPr>
        <w:pStyle w:val="Heading1"/>
      </w:pPr>
      <w:bookmarkStart w:id="13" w:name="_Toc58929575"/>
      <w:r>
        <w:t>Relevant Agencies</w:t>
      </w:r>
      <w:bookmarkEnd w:id="13"/>
      <w:r>
        <w:t xml:space="preserve"> </w:t>
      </w:r>
    </w:p>
    <w:p w14:paraId="5CE24237" w14:textId="77777777" w:rsidR="00C74FEC" w:rsidRDefault="00C74FEC" w:rsidP="00284263">
      <w:pPr>
        <w:pStyle w:val="Heading2"/>
      </w:pPr>
      <w:bookmarkStart w:id="14" w:name="_Toc23510486"/>
      <w:bookmarkStart w:id="15" w:name="_Toc58929576"/>
      <w:r w:rsidRPr="00FD63BC">
        <w:t>Matching Agency</w:t>
      </w:r>
      <w:bookmarkEnd w:id="14"/>
      <w:bookmarkEnd w:id="15"/>
    </w:p>
    <w:p w14:paraId="6F132FCA" w14:textId="35149D25" w:rsidR="00C74FEC" w:rsidRDefault="009E2BFD" w:rsidP="00354F80">
      <w:pPr>
        <w:pStyle w:val="Heading3"/>
      </w:pPr>
      <w:r>
        <w:t>As</w:t>
      </w:r>
      <w:r w:rsidR="00E0473E">
        <w:t xml:space="preserve"> </w:t>
      </w:r>
      <w:r w:rsidR="00706A38">
        <w:t>DE</w:t>
      </w:r>
      <w:r w:rsidR="00E0473E">
        <w:t xml:space="preserve">’s tenancy </w:t>
      </w:r>
      <w:r w:rsidR="002A0F5F">
        <w:t>is</w:t>
      </w:r>
      <w:r w:rsidR="00E0473E">
        <w:t xml:space="preserve"> used to conduct the </w:t>
      </w:r>
      <w:r w:rsidR="00CF7193">
        <w:t>Program</w:t>
      </w:r>
      <w:r>
        <w:t xml:space="preserve">, DE is the Matching Agency for the purposes of this </w:t>
      </w:r>
      <w:r w:rsidR="00787221">
        <w:t>P</w:t>
      </w:r>
      <w:r>
        <w:t>rotocol.</w:t>
      </w:r>
    </w:p>
    <w:p w14:paraId="4E1D5A3C" w14:textId="77777777" w:rsidR="00557727" w:rsidRDefault="00557727" w:rsidP="00557727">
      <w:pPr>
        <w:pStyle w:val="Heading2"/>
      </w:pPr>
      <w:bookmarkStart w:id="16" w:name="_Toc23510485"/>
      <w:bookmarkStart w:id="17" w:name="_Toc58929577"/>
      <w:bookmarkStart w:id="18" w:name="_Toc23510487"/>
      <w:r w:rsidRPr="00FD63BC">
        <w:t xml:space="preserve">Source </w:t>
      </w:r>
      <w:bookmarkEnd w:id="16"/>
      <w:r>
        <w:t>Entities</w:t>
      </w:r>
      <w:bookmarkEnd w:id="17"/>
      <w:r>
        <w:t xml:space="preserve"> </w:t>
      </w:r>
    </w:p>
    <w:p w14:paraId="571B8165" w14:textId="6BE74A45" w:rsidR="00D21918" w:rsidRDefault="00D21918" w:rsidP="00557727">
      <w:pPr>
        <w:pStyle w:val="Heading3"/>
      </w:pPr>
      <w:r>
        <w:t xml:space="preserve">The following </w:t>
      </w:r>
      <w:r w:rsidR="00787221">
        <w:t xml:space="preserve">entities </w:t>
      </w:r>
      <w:r>
        <w:t xml:space="preserve">have been identified as Source Entities for the purposes of this </w:t>
      </w:r>
      <w:r w:rsidR="00787221">
        <w:t>P</w:t>
      </w:r>
      <w:r>
        <w:t>rotocol:</w:t>
      </w:r>
    </w:p>
    <w:p w14:paraId="553FD21D" w14:textId="72DD6151" w:rsidR="00557727" w:rsidRDefault="00D21918" w:rsidP="00295C1D">
      <w:pPr>
        <w:pStyle w:val="Heading4"/>
      </w:pPr>
      <w:r>
        <w:t xml:space="preserve">Providers, who report information to DE using the TCSI solution. A subset of this information is provided to </w:t>
      </w:r>
      <w:r w:rsidR="000B5B69">
        <w:t>Services Australia</w:t>
      </w:r>
      <w:r>
        <w:t>, once a match has been established</w:t>
      </w:r>
      <w:r w:rsidR="00E63ADD">
        <w:t xml:space="preserve">; and </w:t>
      </w:r>
    </w:p>
    <w:p w14:paraId="0C6C74E3" w14:textId="31EB4834" w:rsidR="00D21918" w:rsidRDefault="000B5B69" w:rsidP="00295C1D">
      <w:pPr>
        <w:pStyle w:val="Heading4"/>
      </w:pPr>
      <w:r>
        <w:t>Services Australia</w:t>
      </w:r>
      <w:r w:rsidR="00D21918">
        <w:t xml:space="preserve">, who provide source data </w:t>
      </w:r>
      <w:r w:rsidR="00AB22F0">
        <w:t xml:space="preserve">via the TCSI solution </w:t>
      </w:r>
      <w:r w:rsidR="00D21918">
        <w:t>to initiate a matching request with DE</w:t>
      </w:r>
      <w:r w:rsidR="00E63ADD">
        <w:t>.</w:t>
      </w:r>
    </w:p>
    <w:p w14:paraId="37CCCD7B" w14:textId="77777777" w:rsidR="00E0473E" w:rsidRDefault="00C74FEC" w:rsidP="00DD4BEB">
      <w:pPr>
        <w:pStyle w:val="Heading2"/>
      </w:pPr>
      <w:bookmarkStart w:id="19" w:name="_Toc58929578"/>
      <w:r w:rsidRPr="00E4650A">
        <w:t xml:space="preserve">Primary User </w:t>
      </w:r>
      <w:bookmarkEnd w:id="18"/>
      <w:r w:rsidR="00E0473E">
        <w:t>Agency</w:t>
      </w:r>
      <w:bookmarkEnd w:id="19"/>
    </w:p>
    <w:p w14:paraId="46F3B72F" w14:textId="35A27A66" w:rsidR="00E0473E" w:rsidRDefault="000B5B69" w:rsidP="00E0473E">
      <w:pPr>
        <w:pStyle w:val="Heading3"/>
      </w:pPr>
      <w:r>
        <w:t>Services Australia</w:t>
      </w:r>
      <w:r w:rsidR="00E0473E">
        <w:t xml:space="preserve"> </w:t>
      </w:r>
      <w:r w:rsidR="002A0F5F">
        <w:t>is the</w:t>
      </w:r>
      <w:r w:rsidR="00E0473E">
        <w:t xml:space="preserve"> </w:t>
      </w:r>
      <w:r w:rsidR="009E2BFD">
        <w:t>p</w:t>
      </w:r>
      <w:r w:rsidR="00E20E50">
        <w:t xml:space="preserve">rimary </w:t>
      </w:r>
      <w:r w:rsidR="009E2BFD">
        <w:t>u</w:t>
      </w:r>
      <w:r w:rsidR="00E20E50">
        <w:t xml:space="preserve">ser </w:t>
      </w:r>
      <w:r w:rsidR="009E2BFD">
        <w:t xml:space="preserve">of the data that will be shared </w:t>
      </w:r>
      <w:proofErr w:type="gramStart"/>
      <w:r w:rsidR="009E2BFD">
        <w:t>as a result of</w:t>
      </w:r>
      <w:proofErr w:type="gramEnd"/>
      <w:r w:rsidR="009E2BFD">
        <w:t xml:space="preserve"> the </w:t>
      </w:r>
      <w:r w:rsidR="00E63ADD">
        <w:t>Program</w:t>
      </w:r>
      <w:r w:rsidR="009E2BFD">
        <w:t xml:space="preserve"> and is therefore deemed to be the Primary User </w:t>
      </w:r>
      <w:r w:rsidR="00E20E50">
        <w:t>Agency</w:t>
      </w:r>
      <w:r w:rsidR="00E63ADD">
        <w:t>.</w:t>
      </w:r>
    </w:p>
    <w:p w14:paraId="0EC75534" w14:textId="77777777" w:rsidR="00E0473E" w:rsidRDefault="002F5ACF" w:rsidP="00E066AF">
      <w:pPr>
        <w:pStyle w:val="Heading2"/>
      </w:pPr>
      <w:bookmarkStart w:id="20" w:name="_Toc58929579"/>
      <w:r>
        <w:lastRenderedPageBreak/>
        <w:t>User</w:t>
      </w:r>
      <w:r w:rsidR="00D07045">
        <w:t xml:space="preserve"> </w:t>
      </w:r>
      <w:r w:rsidR="00354F80">
        <w:t>Agency</w:t>
      </w:r>
      <w:bookmarkEnd w:id="20"/>
    </w:p>
    <w:p w14:paraId="101C582D" w14:textId="1D714FCD" w:rsidR="00D07045" w:rsidRDefault="009E2BFD" w:rsidP="00E0473E">
      <w:pPr>
        <w:pStyle w:val="Heading3"/>
      </w:pPr>
      <w:r>
        <w:t xml:space="preserve">DE will also be considered a User Agency, on the basis that the </w:t>
      </w:r>
      <w:r w:rsidR="00C62682">
        <w:t>Program</w:t>
      </w:r>
      <w:r>
        <w:t xml:space="preserve"> ensures DE </w:t>
      </w:r>
      <w:r w:rsidR="001F2A23">
        <w:t xml:space="preserve">is </w:t>
      </w:r>
      <w:r>
        <w:t xml:space="preserve">fulfilling </w:t>
      </w:r>
      <w:r w:rsidR="001F2A23">
        <w:t xml:space="preserve">its </w:t>
      </w:r>
      <w:r>
        <w:t xml:space="preserve">privacy and legislative obligations prior to disclosing the information to </w:t>
      </w:r>
      <w:r w:rsidR="000B5B69">
        <w:t>Services Australia</w:t>
      </w:r>
      <w:r>
        <w:t xml:space="preserve">. </w:t>
      </w:r>
      <w:r w:rsidR="00E20E50">
        <w:t xml:space="preserve"> </w:t>
      </w:r>
    </w:p>
    <w:p w14:paraId="2A6F773D" w14:textId="77777777" w:rsidR="00294045" w:rsidRDefault="00294045" w:rsidP="004E4CFF">
      <w:pPr>
        <w:pStyle w:val="Heading1"/>
      </w:pPr>
      <w:bookmarkStart w:id="21" w:name="_Toc23510488"/>
      <w:bookmarkStart w:id="22" w:name="_Toc23510489"/>
      <w:bookmarkStart w:id="23" w:name="_Toc58929580"/>
      <w:bookmarkEnd w:id="21"/>
      <w:r w:rsidRPr="00986099">
        <w:t>Description of the Program Protocol</w:t>
      </w:r>
      <w:bookmarkEnd w:id="7"/>
      <w:bookmarkEnd w:id="22"/>
      <w:bookmarkEnd w:id="23"/>
    </w:p>
    <w:p w14:paraId="113E1E2E" w14:textId="77777777" w:rsidR="004E4CFF" w:rsidRDefault="004E4CFF" w:rsidP="004E4CFF">
      <w:pPr>
        <w:pStyle w:val="Heading2"/>
      </w:pPr>
      <w:bookmarkStart w:id="24" w:name="_Toc58929581"/>
      <w:r>
        <w:t>Purpose</w:t>
      </w:r>
      <w:bookmarkEnd w:id="24"/>
    </w:p>
    <w:p w14:paraId="171874F9" w14:textId="77777777" w:rsidR="00941C18" w:rsidRDefault="004E4CFF" w:rsidP="00E066AF">
      <w:pPr>
        <w:pStyle w:val="Heading3"/>
      </w:pPr>
      <w:r>
        <w:t>The purpose of this Protocol is to</w:t>
      </w:r>
      <w:r w:rsidR="00941C18">
        <w:t>:</w:t>
      </w:r>
    </w:p>
    <w:p w14:paraId="204C3905" w14:textId="77777777" w:rsidR="001F2AE0" w:rsidRPr="00941C18" w:rsidRDefault="004E4CFF" w:rsidP="00DD4BEB">
      <w:pPr>
        <w:pStyle w:val="Heading4"/>
      </w:pPr>
      <w:r>
        <w:t xml:space="preserve">inform the public about the existence and nature of the </w:t>
      </w:r>
      <w:proofErr w:type="gramStart"/>
      <w:r w:rsidR="0063781B">
        <w:t>Program;</w:t>
      </w:r>
      <w:proofErr w:type="gramEnd"/>
      <w:r>
        <w:t xml:space="preserve"> </w:t>
      </w:r>
      <w:bookmarkStart w:id="25" w:name="_Toc480455707"/>
      <w:bookmarkStart w:id="26" w:name="_Toc480473210"/>
    </w:p>
    <w:p w14:paraId="27343003" w14:textId="77777777" w:rsidR="001F2AE0" w:rsidRPr="000E42EE" w:rsidRDefault="001F2AE0" w:rsidP="00941C18">
      <w:pPr>
        <w:pStyle w:val="Heading4"/>
      </w:pPr>
      <w:r w:rsidRPr="000E42EE">
        <w:t xml:space="preserve">identify </w:t>
      </w:r>
      <w:r w:rsidR="00D070BC">
        <w:t xml:space="preserve">the relevant agencies and entities involved in the </w:t>
      </w:r>
      <w:proofErr w:type="gramStart"/>
      <w:r w:rsidR="00D070BC">
        <w:t>Program</w:t>
      </w:r>
      <w:r w:rsidRPr="000E42EE">
        <w:t>;</w:t>
      </w:r>
      <w:proofErr w:type="gramEnd"/>
    </w:p>
    <w:p w14:paraId="1822A99A" w14:textId="47091C3E" w:rsidR="001F2AE0" w:rsidRPr="000E42EE" w:rsidRDefault="001F2AE0" w:rsidP="00941C18">
      <w:pPr>
        <w:pStyle w:val="Heading4"/>
      </w:pPr>
      <w:r w:rsidRPr="000E42EE">
        <w:t xml:space="preserve">detail the direct relationship of the </w:t>
      </w:r>
      <w:r w:rsidR="0063781B">
        <w:t>P</w:t>
      </w:r>
      <w:r w:rsidRPr="000E42EE">
        <w:t xml:space="preserve">rogram to the performance of the lawful functions </w:t>
      </w:r>
      <w:r w:rsidR="0058430F">
        <w:t>and</w:t>
      </w:r>
      <w:r w:rsidRPr="000E42EE">
        <w:t xml:space="preserve"> activities of </w:t>
      </w:r>
      <w:r w:rsidR="000B5B69">
        <w:t>Services Australia</w:t>
      </w:r>
      <w:r w:rsidR="00CF7193">
        <w:t xml:space="preserve"> and </w:t>
      </w:r>
      <w:proofErr w:type="gramStart"/>
      <w:r w:rsidR="00706A38">
        <w:t>DE</w:t>
      </w:r>
      <w:r w:rsidRPr="000E42EE">
        <w:t>;</w:t>
      </w:r>
      <w:proofErr w:type="gramEnd"/>
      <w:r w:rsidRPr="000E42EE">
        <w:t xml:space="preserve"> </w:t>
      </w:r>
    </w:p>
    <w:p w14:paraId="04D12981" w14:textId="77777777" w:rsidR="001F2AE0" w:rsidRPr="000E42EE" w:rsidRDefault="001F2AE0" w:rsidP="00941C18">
      <w:pPr>
        <w:pStyle w:val="Heading4"/>
      </w:pPr>
      <w:r w:rsidRPr="000E42EE">
        <w:t xml:space="preserve">set out the legal basis for </w:t>
      </w:r>
      <w:r w:rsidR="002A0F5F">
        <w:t>the</w:t>
      </w:r>
      <w:r w:rsidRPr="000E42EE">
        <w:t xml:space="preserve"> collection, use or disclosure of personal information involved in the </w:t>
      </w:r>
      <w:proofErr w:type="gramStart"/>
      <w:r w:rsidR="0063781B">
        <w:t>P</w:t>
      </w:r>
      <w:r w:rsidRPr="000E42EE">
        <w:t>rogram;</w:t>
      </w:r>
      <w:proofErr w:type="gramEnd"/>
    </w:p>
    <w:p w14:paraId="6731E1F3" w14:textId="50C877B1" w:rsidR="001F2AE0" w:rsidRPr="000E42EE" w:rsidRDefault="001F2AE0">
      <w:pPr>
        <w:pStyle w:val="Heading4"/>
      </w:pPr>
      <w:r w:rsidRPr="000E42EE">
        <w:t xml:space="preserve">outline the objectives of the </w:t>
      </w:r>
      <w:r w:rsidR="00E20E50">
        <w:t>Program</w:t>
      </w:r>
      <w:r w:rsidRPr="000E42EE">
        <w:t xml:space="preserve">, the procedures </w:t>
      </w:r>
      <w:r w:rsidR="002A0F5F">
        <w:t>that</w:t>
      </w:r>
      <w:r w:rsidR="006909CA">
        <w:t xml:space="preserve"> are</w:t>
      </w:r>
      <w:r w:rsidR="008027E8">
        <w:t xml:space="preserve"> </w:t>
      </w:r>
      <w:r w:rsidRPr="000E42EE">
        <w:t xml:space="preserve">employed, the nature and frequency of the matching covered by the </w:t>
      </w:r>
      <w:r w:rsidR="0063781B">
        <w:t>P</w:t>
      </w:r>
      <w:r w:rsidRPr="000E42EE">
        <w:t xml:space="preserve">rogram and the justifications for </w:t>
      </w:r>
      <w:r w:rsidR="0054373E">
        <w:t xml:space="preserve">the </w:t>
      </w:r>
      <w:proofErr w:type="gramStart"/>
      <w:r w:rsidR="0054373E">
        <w:t>matching</w:t>
      </w:r>
      <w:r w:rsidRPr="000E42EE">
        <w:t>;</w:t>
      </w:r>
      <w:proofErr w:type="gramEnd"/>
    </w:p>
    <w:p w14:paraId="7FB607EE" w14:textId="77777777" w:rsidR="001F2AE0" w:rsidRPr="000E42EE" w:rsidRDefault="001F2AE0" w:rsidP="00941C18">
      <w:pPr>
        <w:pStyle w:val="Heading4"/>
      </w:pPr>
      <w:r w:rsidRPr="000E42EE">
        <w:t xml:space="preserve">explain what methods other than data-matching were available and why they were </w:t>
      </w:r>
      <w:proofErr w:type="gramStart"/>
      <w:r w:rsidRPr="000E42EE">
        <w:t>rejected;</w:t>
      </w:r>
      <w:proofErr w:type="gramEnd"/>
    </w:p>
    <w:p w14:paraId="055B41CE" w14:textId="463AFC6B" w:rsidR="001F2AE0" w:rsidRPr="000E42EE" w:rsidRDefault="001F2AE0" w:rsidP="00941C18">
      <w:pPr>
        <w:pStyle w:val="Heading4"/>
      </w:pPr>
      <w:r w:rsidRPr="000E42EE">
        <w:t xml:space="preserve">detail any cost/benefit analysis or other measures of effectiveness, which were taken into account in deciding to </w:t>
      </w:r>
      <w:r w:rsidR="0054373E">
        <w:t>implement</w:t>
      </w:r>
      <w:r w:rsidR="0054373E" w:rsidRPr="000E42EE">
        <w:t xml:space="preserve"> </w:t>
      </w:r>
      <w:r w:rsidRPr="000E42EE">
        <w:t xml:space="preserve">the </w:t>
      </w:r>
      <w:proofErr w:type="gramStart"/>
      <w:r w:rsidR="0063781B">
        <w:t>P</w:t>
      </w:r>
      <w:r w:rsidRPr="000E42EE">
        <w:t>rogram;</w:t>
      </w:r>
      <w:proofErr w:type="gramEnd"/>
    </w:p>
    <w:p w14:paraId="18F8378E" w14:textId="77777777" w:rsidR="001F2AE0" w:rsidRPr="000E42EE" w:rsidRDefault="001F2AE0" w:rsidP="00941C18">
      <w:pPr>
        <w:pStyle w:val="Heading4"/>
      </w:pPr>
      <w:r w:rsidRPr="000E42EE">
        <w:t xml:space="preserve">outline the technical controls </w:t>
      </w:r>
      <w:r w:rsidR="002A0F5F">
        <w:t>used</w:t>
      </w:r>
      <w:r w:rsidRPr="000E42EE">
        <w:t xml:space="preserve"> to ensure data quality, integrity and security in the conduct of the </w:t>
      </w:r>
      <w:proofErr w:type="gramStart"/>
      <w:r w:rsidR="0063781B">
        <w:t>P</w:t>
      </w:r>
      <w:r w:rsidRPr="000E42EE">
        <w:t>rogram;</w:t>
      </w:r>
      <w:proofErr w:type="gramEnd"/>
    </w:p>
    <w:p w14:paraId="6A9142A8" w14:textId="4284C4A3" w:rsidR="001F2AE0" w:rsidRPr="000E42EE" w:rsidRDefault="001F2AE0" w:rsidP="00941C18">
      <w:pPr>
        <w:pStyle w:val="Heading4"/>
      </w:pPr>
      <w:r w:rsidRPr="000E42EE">
        <w:t xml:space="preserve">outline the nature of the action proposed to be taken in relation to the results of the </w:t>
      </w:r>
      <w:r w:rsidR="0063781B">
        <w:t>P</w:t>
      </w:r>
      <w:r w:rsidRPr="000E42EE">
        <w:t xml:space="preserve">rogram by </w:t>
      </w:r>
      <w:r w:rsidR="0054373E">
        <w:t xml:space="preserve">Services </w:t>
      </w:r>
      <w:proofErr w:type="gramStart"/>
      <w:r w:rsidR="0054373E">
        <w:t>Australia</w:t>
      </w:r>
      <w:r w:rsidRPr="000E42EE">
        <w:t>;</w:t>
      </w:r>
      <w:proofErr w:type="gramEnd"/>
    </w:p>
    <w:p w14:paraId="61B71E77" w14:textId="77D5994B" w:rsidR="001F2AE0" w:rsidRPr="000E42EE" w:rsidRDefault="001F2AE0" w:rsidP="00941C18">
      <w:pPr>
        <w:pStyle w:val="Heading4"/>
      </w:pPr>
      <w:r w:rsidRPr="000E42EE">
        <w:t>indicate what form of notice is to be given</w:t>
      </w:r>
      <w:r w:rsidR="002A0F5F">
        <w:t xml:space="preserve"> </w:t>
      </w:r>
      <w:r w:rsidRPr="000E42EE">
        <w:t xml:space="preserve">to individuals whose privacy is affected by the </w:t>
      </w:r>
      <w:r w:rsidR="0063781B">
        <w:t>P</w:t>
      </w:r>
      <w:r w:rsidRPr="000E42EE">
        <w:t>rogram</w:t>
      </w:r>
      <w:r w:rsidR="0054373E">
        <w:t xml:space="preserve">; </w:t>
      </w:r>
      <w:r w:rsidRPr="000E42EE">
        <w:t>and</w:t>
      </w:r>
    </w:p>
    <w:p w14:paraId="4918A99A" w14:textId="77777777" w:rsidR="001F2AE0" w:rsidRPr="000E42EE" w:rsidRDefault="001F2AE0" w:rsidP="00941C18">
      <w:pPr>
        <w:pStyle w:val="Heading4"/>
      </w:pPr>
      <w:r w:rsidRPr="000E42EE">
        <w:t xml:space="preserve">specify any time limits on the conduct of the </w:t>
      </w:r>
      <w:r w:rsidR="0063781B">
        <w:t>P</w:t>
      </w:r>
      <w:r w:rsidRPr="000E42EE">
        <w:t>rogram</w:t>
      </w:r>
      <w:r w:rsidR="00C542FA">
        <w:t xml:space="preserve">. </w:t>
      </w:r>
    </w:p>
    <w:p w14:paraId="522F41C6" w14:textId="77777777" w:rsidR="00294045" w:rsidRPr="00FD63BC" w:rsidRDefault="00294045" w:rsidP="00E066AF">
      <w:pPr>
        <w:pStyle w:val="Heading2"/>
      </w:pPr>
      <w:bookmarkStart w:id="27" w:name="_Toc23510491"/>
      <w:bookmarkStart w:id="28" w:name="_Toc58929582"/>
      <w:r w:rsidRPr="00FD63BC">
        <w:t>Requirement for a Program Protocol</w:t>
      </w:r>
      <w:bookmarkEnd w:id="25"/>
      <w:bookmarkEnd w:id="26"/>
      <w:bookmarkEnd w:id="27"/>
      <w:bookmarkEnd w:id="28"/>
    </w:p>
    <w:p w14:paraId="79FB380C" w14:textId="05E0AC9B" w:rsidR="00C35459" w:rsidRDefault="00C35459" w:rsidP="00E066AF">
      <w:pPr>
        <w:pStyle w:val="Heading3"/>
      </w:pPr>
      <w:r w:rsidRPr="00A17340">
        <w:t xml:space="preserve">The </w:t>
      </w:r>
      <w:r>
        <w:t xml:space="preserve">Office of the Australian </w:t>
      </w:r>
      <w:r w:rsidRPr="00A17340">
        <w:t xml:space="preserve">Information Commissioner’s </w:t>
      </w:r>
      <w:r>
        <w:t>(</w:t>
      </w:r>
      <w:r w:rsidRPr="00941C18">
        <w:rPr>
          <w:b/>
        </w:rPr>
        <w:t>OAIC’s</w:t>
      </w:r>
      <w:r>
        <w:t xml:space="preserve">) </w:t>
      </w:r>
      <w:r w:rsidRPr="00A17340">
        <w:rPr>
          <w:i/>
        </w:rPr>
        <w:t>Guidelines</w:t>
      </w:r>
      <w:r w:rsidRPr="00241529">
        <w:rPr>
          <w:i/>
        </w:rPr>
        <w:t xml:space="preserve"> on</w:t>
      </w:r>
      <w:r w:rsidRPr="00A17340">
        <w:t xml:space="preserve"> </w:t>
      </w:r>
      <w:r w:rsidRPr="00A17340">
        <w:rPr>
          <w:i/>
        </w:rPr>
        <w:t>Data</w:t>
      </w:r>
      <w:r>
        <w:rPr>
          <w:i/>
        </w:rPr>
        <w:t xml:space="preserve"> M</w:t>
      </w:r>
      <w:r w:rsidRPr="00A17340">
        <w:rPr>
          <w:i/>
        </w:rPr>
        <w:t>atching in Australian Government Administration</w:t>
      </w:r>
      <w:r>
        <w:rPr>
          <w:i/>
        </w:rPr>
        <w:t xml:space="preserve"> </w:t>
      </w:r>
      <w:r w:rsidRPr="00B872EA">
        <w:t>(</w:t>
      </w:r>
      <w:r w:rsidRPr="00941C18">
        <w:rPr>
          <w:b/>
        </w:rPr>
        <w:t>Guidelines</w:t>
      </w:r>
      <w:r w:rsidRPr="00B872EA">
        <w:t>)</w:t>
      </w:r>
      <w:r w:rsidRPr="00653894">
        <w:t xml:space="preserve"> </w:t>
      </w:r>
      <w:r w:rsidRPr="00A17340">
        <w:t>specif</w:t>
      </w:r>
      <w:r>
        <w:t>y</w:t>
      </w:r>
      <w:r w:rsidRPr="00A17340">
        <w:t xml:space="preserve"> that a program protocol</w:t>
      </w:r>
      <w:r>
        <w:t xml:space="preserve"> </w:t>
      </w:r>
      <w:r w:rsidRPr="00A17340">
        <w:t>be prepared by agencies conducting certain data</w:t>
      </w:r>
      <w:r>
        <w:t>-</w:t>
      </w:r>
      <w:r w:rsidRPr="00A17340">
        <w:t>matching programs.</w:t>
      </w:r>
      <w:r>
        <w:t xml:space="preserve"> </w:t>
      </w:r>
      <w:r w:rsidR="0058430F">
        <w:t>The Guidelines</w:t>
      </w:r>
      <w:r w:rsidRPr="00A17340">
        <w:t xml:space="preserve"> are </w:t>
      </w:r>
      <w:proofErr w:type="gramStart"/>
      <w:r w:rsidRPr="00A17340">
        <w:t>voluntary</w:t>
      </w:r>
      <w:r>
        <w:t>, but</w:t>
      </w:r>
      <w:proofErr w:type="gramEnd"/>
      <w:r>
        <w:t xml:space="preserve"> represent the OAIC’s view of best practice</w:t>
      </w:r>
      <w:r w:rsidRPr="00A17340">
        <w:t xml:space="preserve">. </w:t>
      </w:r>
      <w:r w:rsidR="000B5B69">
        <w:t>Services Australia</w:t>
      </w:r>
      <w:r w:rsidR="00941C18">
        <w:t xml:space="preserve"> and </w:t>
      </w:r>
      <w:r w:rsidR="00706A38">
        <w:t>DE</w:t>
      </w:r>
      <w:r w:rsidR="00941C18">
        <w:t xml:space="preserve"> comply</w:t>
      </w:r>
      <w:r w:rsidRPr="00A17340">
        <w:t xml:space="preserve"> with these </w:t>
      </w:r>
      <w:proofErr w:type="gramStart"/>
      <w:r>
        <w:t>G</w:t>
      </w:r>
      <w:r w:rsidRPr="00A17340">
        <w:t>uidelines</w:t>
      </w:r>
      <w:r w:rsidR="00C542FA">
        <w:t>, and</w:t>
      </w:r>
      <w:proofErr w:type="gramEnd"/>
      <w:r w:rsidR="00C542FA">
        <w:t xml:space="preserve"> have jointly prepared this Protocol</w:t>
      </w:r>
      <w:r w:rsidRPr="00A17340">
        <w:t>.</w:t>
      </w:r>
    </w:p>
    <w:p w14:paraId="35A20C83" w14:textId="0D3DA4BB" w:rsidR="00C35459" w:rsidRDefault="000B5B69" w:rsidP="00E066AF">
      <w:pPr>
        <w:pStyle w:val="Heading3"/>
      </w:pPr>
      <w:r>
        <w:t xml:space="preserve">Services </w:t>
      </w:r>
      <w:r w:rsidR="0013362E">
        <w:t>Australia and</w:t>
      </w:r>
      <w:r w:rsidR="00941C18">
        <w:t xml:space="preserve"> </w:t>
      </w:r>
      <w:r w:rsidR="00706A38">
        <w:t>DE</w:t>
      </w:r>
      <w:r w:rsidR="00941C18">
        <w:t xml:space="preserve"> comply with the</w:t>
      </w:r>
      <w:r w:rsidR="00C35459" w:rsidRPr="00BE5B60">
        <w:t xml:space="preserve"> </w:t>
      </w:r>
      <w:r w:rsidR="00C35459" w:rsidRPr="00BE5B60">
        <w:rPr>
          <w:iCs/>
        </w:rPr>
        <w:t>Australian Privacy Principles</w:t>
      </w:r>
      <w:r w:rsidR="00A74F79">
        <w:rPr>
          <w:iCs/>
        </w:rPr>
        <w:t xml:space="preserve"> (</w:t>
      </w:r>
      <w:r w:rsidR="00A74F79">
        <w:rPr>
          <w:b/>
          <w:iCs/>
        </w:rPr>
        <w:t>APPs</w:t>
      </w:r>
      <w:r w:rsidR="00A74F79">
        <w:rPr>
          <w:iCs/>
        </w:rPr>
        <w:t>)</w:t>
      </w:r>
      <w:r w:rsidR="00C35459" w:rsidRPr="00BE5B60">
        <w:rPr>
          <w:iCs/>
        </w:rPr>
        <w:t xml:space="preserve"> as provided in Schedule 1 of the </w:t>
      </w:r>
      <w:r w:rsidR="00C35459" w:rsidRPr="00BE5B60">
        <w:rPr>
          <w:i/>
          <w:iCs/>
        </w:rPr>
        <w:t>Privacy Act 1988</w:t>
      </w:r>
      <w:r w:rsidR="00A74F79">
        <w:rPr>
          <w:i/>
          <w:iCs/>
        </w:rPr>
        <w:t xml:space="preserve"> </w:t>
      </w:r>
      <w:r w:rsidR="00A74F79">
        <w:rPr>
          <w:iCs/>
        </w:rPr>
        <w:t>(</w:t>
      </w:r>
      <w:proofErr w:type="spellStart"/>
      <w:r w:rsidR="00A74F79">
        <w:rPr>
          <w:iCs/>
        </w:rPr>
        <w:t>Cth</w:t>
      </w:r>
      <w:proofErr w:type="spellEnd"/>
      <w:r w:rsidR="00A74F79">
        <w:rPr>
          <w:iCs/>
        </w:rPr>
        <w:t>) (</w:t>
      </w:r>
      <w:r w:rsidR="00A74F79">
        <w:rPr>
          <w:b/>
          <w:iCs/>
        </w:rPr>
        <w:t>Privacy Act</w:t>
      </w:r>
      <w:r w:rsidR="00A74F79">
        <w:rPr>
          <w:iCs/>
        </w:rPr>
        <w:t>)</w:t>
      </w:r>
      <w:r w:rsidR="00C35459" w:rsidRPr="00BE5B60">
        <w:t xml:space="preserve">. </w:t>
      </w:r>
      <w:r>
        <w:t xml:space="preserve">Services Australia </w:t>
      </w:r>
      <w:r w:rsidR="00A74F79">
        <w:lastRenderedPageBreak/>
        <w:t xml:space="preserve">and </w:t>
      </w:r>
      <w:r w:rsidR="00706A38">
        <w:t>DE</w:t>
      </w:r>
      <w:r w:rsidR="00A74F79">
        <w:t>’s</w:t>
      </w:r>
      <w:r w:rsidR="00C35459" w:rsidRPr="00BE5B60">
        <w:t xml:space="preserve"> Privacy </w:t>
      </w:r>
      <w:r w:rsidR="00A74F79">
        <w:t>Policies</w:t>
      </w:r>
      <w:r w:rsidR="00A74F79">
        <w:rPr>
          <w:rStyle w:val="FootnoteReference"/>
        </w:rPr>
        <w:footnoteReference w:id="3"/>
      </w:r>
      <w:r w:rsidR="00C35459" w:rsidRPr="00BE5B60">
        <w:t xml:space="preserve"> outline how to complain about a breach of the </w:t>
      </w:r>
      <w:r w:rsidR="00A74F79">
        <w:t>APPs</w:t>
      </w:r>
      <w:r w:rsidR="00C35459" w:rsidRPr="00BE5B60">
        <w:t xml:space="preserve">, and how </w:t>
      </w:r>
      <w:r>
        <w:t xml:space="preserve">Services Australia </w:t>
      </w:r>
      <w:r w:rsidR="00A74F79">
        <w:t xml:space="preserve">or </w:t>
      </w:r>
      <w:r w:rsidR="00706A38">
        <w:t>DE</w:t>
      </w:r>
      <w:r w:rsidR="00C35459" w:rsidRPr="00BE5B60">
        <w:t xml:space="preserve"> will deal with such a complaint. Individuals who consider that </w:t>
      </w:r>
      <w:r>
        <w:t xml:space="preserve">Services Australia </w:t>
      </w:r>
      <w:r w:rsidR="00A74F79">
        <w:t xml:space="preserve">or </w:t>
      </w:r>
      <w:r w:rsidR="00706A38">
        <w:t>DE</w:t>
      </w:r>
      <w:r w:rsidR="00C35459" w:rsidRPr="00BE5B60">
        <w:t xml:space="preserve"> ha</w:t>
      </w:r>
      <w:r w:rsidR="00A74F79">
        <w:t>ve</w:t>
      </w:r>
      <w:r w:rsidR="00C35459" w:rsidRPr="00BE5B60">
        <w:t xml:space="preserve"> interfered with their privacy may also complain to OAIC.</w:t>
      </w:r>
    </w:p>
    <w:p w14:paraId="24C6C3A6" w14:textId="77777777" w:rsidR="00E066AF" w:rsidRDefault="00E066AF" w:rsidP="00E066AF">
      <w:pPr>
        <w:pStyle w:val="Heading1"/>
      </w:pPr>
      <w:bookmarkStart w:id="29" w:name="_Toc58929583"/>
      <w:r w:rsidRPr="00294045">
        <w:t xml:space="preserve">Data </w:t>
      </w:r>
      <w:r>
        <w:t xml:space="preserve">collected through the TCSI </w:t>
      </w:r>
      <w:r w:rsidR="00941C18">
        <w:t>Solution</w:t>
      </w:r>
      <w:bookmarkEnd w:id="29"/>
      <w:r>
        <w:t xml:space="preserve"> </w:t>
      </w:r>
    </w:p>
    <w:p w14:paraId="2B74B51C" w14:textId="65DD99D8" w:rsidR="00917644" w:rsidRPr="003E7696" w:rsidRDefault="00E066AF" w:rsidP="003E7696">
      <w:pPr>
        <w:pStyle w:val="Heading2"/>
      </w:pPr>
      <w:bookmarkStart w:id="30" w:name="_Toc58929584"/>
      <w:r w:rsidRPr="002A6FEE">
        <w:t xml:space="preserve">Type of </w:t>
      </w:r>
      <w:r w:rsidR="00941C18" w:rsidRPr="002A6FEE">
        <w:t>d</w:t>
      </w:r>
      <w:r w:rsidRPr="002A6FEE">
        <w:t xml:space="preserve">ata to be </w:t>
      </w:r>
      <w:proofErr w:type="gramStart"/>
      <w:r w:rsidRPr="002A6FEE">
        <w:t>provided</w:t>
      </w:r>
      <w:bookmarkEnd w:id="30"/>
      <w:proofErr w:type="gramEnd"/>
    </w:p>
    <w:p w14:paraId="3754AB4B" w14:textId="0382204D" w:rsidR="00917644" w:rsidRDefault="00917644" w:rsidP="00917644">
      <w:pPr>
        <w:pStyle w:val="Heading3"/>
        <w:numPr>
          <w:ilvl w:val="2"/>
          <w:numId w:val="9"/>
        </w:numPr>
      </w:pPr>
      <w:r>
        <w:t xml:space="preserve">Services Australia and DE collect a range of data (including personal information) under the Program that is matched by DE as the Matching Agency. </w:t>
      </w:r>
      <w:r w:rsidR="0079681D">
        <w:t xml:space="preserve">Refer to Technical Standards </w:t>
      </w:r>
      <w:r w:rsidR="0019715B">
        <w:t>R</w:t>
      </w:r>
      <w:r w:rsidR="0079681D">
        <w:t>eport Appendix A.</w:t>
      </w:r>
    </w:p>
    <w:p w14:paraId="0F3B986F" w14:textId="77777777" w:rsidR="00E066AF" w:rsidRDefault="00941C18" w:rsidP="00E066AF">
      <w:pPr>
        <w:pStyle w:val="Heading2"/>
      </w:pPr>
      <w:bookmarkStart w:id="31" w:name="_Toc33194725"/>
      <w:bookmarkStart w:id="32" w:name="_Toc32829502"/>
      <w:bookmarkStart w:id="33" w:name="_Toc32829503"/>
      <w:bookmarkStart w:id="34" w:name="_Toc58929585"/>
      <w:bookmarkEnd w:id="31"/>
      <w:bookmarkEnd w:id="32"/>
      <w:bookmarkEnd w:id="33"/>
      <w:r>
        <w:t>Ensuring the quality of the data</w:t>
      </w:r>
      <w:bookmarkEnd w:id="34"/>
      <w:r>
        <w:t xml:space="preserve"> </w:t>
      </w:r>
    </w:p>
    <w:p w14:paraId="7C539969" w14:textId="0536E408" w:rsidR="00E066AF" w:rsidRDefault="00E066AF" w:rsidP="00E066AF">
      <w:pPr>
        <w:pStyle w:val="Heading3"/>
      </w:pPr>
      <w:r>
        <w:t xml:space="preserve">To ensure that the data is of sufficient quality to be used in the </w:t>
      </w:r>
      <w:r w:rsidR="00A74F79">
        <w:t>Program</w:t>
      </w:r>
      <w:r>
        <w:t xml:space="preserve">, </w:t>
      </w:r>
      <w:r w:rsidR="001F2A23">
        <w:t xml:space="preserve">in relation to information received from and disclosed to, Services Australia, </w:t>
      </w:r>
      <w:r>
        <w:t>the data undergoes the following validation processes</w:t>
      </w:r>
      <w:r w:rsidR="005B2B97">
        <w:t xml:space="preserve">: </w:t>
      </w:r>
    </w:p>
    <w:p w14:paraId="2E314F1A" w14:textId="77777777" w:rsidR="00E066AF" w:rsidRDefault="00E066AF" w:rsidP="00E066AF">
      <w:pPr>
        <w:pStyle w:val="Heading4"/>
      </w:pPr>
      <w:r>
        <w:t xml:space="preserve">data standardisation is applied, to ensure that there are high quality data </w:t>
      </w:r>
      <w:proofErr w:type="gramStart"/>
      <w:r>
        <w:t>matches;</w:t>
      </w:r>
      <w:proofErr w:type="gramEnd"/>
      <w:r>
        <w:t xml:space="preserve"> </w:t>
      </w:r>
    </w:p>
    <w:p w14:paraId="34B458F6" w14:textId="3D1909B8" w:rsidR="00E066AF" w:rsidRDefault="00706A38" w:rsidP="00E066AF">
      <w:pPr>
        <w:pStyle w:val="Heading4"/>
      </w:pPr>
      <w:r>
        <w:t>DE</w:t>
      </w:r>
      <w:r w:rsidR="00E066AF">
        <w:t xml:space="preserve"> only returns matched results to </w:t>
      </w:r>
      <w:r w:rsidR="000B5B69">
        <w:t xml:space="preserve">Services Australia </w:t>
      </w:r>
      <w:r w:rsidR="00E066AF">
        <w:t xml:space="preserve">if </w:t>
      </w:r>
      <w:r>
        <w:t>DE</w:t>
      </w:r>
      <w:r w:rsidR="00E066AF">
        <w:t xml:space="preserve"> is satisfied that there is a high confidence </w:t>
      </w:r>
      <w:proofErr w:type="gramStart"/>
      <w:r w:rsidR="00E066AF">
        <w:t>match;</w:t>
      </w:r>
      <w:proofErr w:type="gramEnd"/>
    </w:p>
    <w:p w14:paraId="05C597E8" w14:textId="3AFD5677" w:rsidR="00E066AF" w:rsidRDefault="00917644" w:rsidP="00E066AF">
      <w:pPr>
        <w:pStyle w:val="Heading4"/>
      </w:pPr>
      <w:r>
        <w:t xml:space="preserve">Services Australia </w:t>
      </w:r>
      <w:r w:rsidR="00E066AF">
        <w:t xml:space="preserve">verifies </w:t>
      </w:r>
      <w:r w:rsidR="00941C18">
        <w:t>d</w:t>
      </w:r>
      <w:r w:rsidR="00E066AF">
        <w:t xml:space="preserve">ata with the individual to whom it </w:t>
      </w:r>
      <w:r w:rsidR="002A0F5F">
        <w:t>relates</w:t>
      </w:r>
      <w:r w:rsidR="00E066AF">
        <w:t xml:space="preserve">, prior to making a decision that could have an impact on an individual’s payment (such as a reduction in benefit); and </w:t>
      </w:r>
    </w:p>
    <w:p w14:paraId="08615E26" w14:textId="0496B176" w:rsidR="00E066AF" w:rsidRDefault="000B5B69" w:rsidP="00E066AF">
      <w:pPr>
        <w:pStyle w:val="Heading4"/>
      </w:pPr>
      <w:r>
        <w:t>Services Australia</w:t>
      </w:r>
      <w:r w:rsidR="0013362E">
        <w:t xml:space="preserve"> </w:t>
      </w:r>
      <w:r w:rsidR="00E066AF">
        <w:t xml:space="preserve">and </w:t>
      </w:r>
      <w:r w:rsidR="00706A38">
        <w:t>DE</w:t>
      </w:r>
      <w:r w:rsidR="00E066AF">
        <w:t xml:space="preserve"> offer all individuals the opportunity to correct or update their personal information. </w:t>
      </w:r>
    </w:p>
    <w:p w14:paraId="1A659A7E" w14:textId="77777777" w:rsidR="00E066AF" w:rsidRDefault="00E066AF" w:rsidP="00E066AF">
      <w:pPr>
        <w:pStyle w:val="Heading3"/>
      </w:pPr>
      <w:r>
        <w:t>Additionally, to ensure the highest level of data integrity possible:</w:t>
      </w:r>
    </w:p>
    <w:p w14:paraId="46E4A093" w14:textId="77777777" w:rsidR="00E066AF" w:rsidRDefault="00E066AF" w:rsidP="00E066AF">
      <w:pPr>
        <w:pStyle w:val="Heading4"/>
      </w:pPr>
      <w:r>
        <w:t xml:space="preserve">the </w:t>
      </w:r>
      <w:r w:rsidR="00A74F79">
        <w:t>Program</w:t>
      </w:r>
      <w:r>
        <w:t xml:space="preserve"> </w:t>
      </w:r>
      <w:r w:rsidR="002A0F5F">
        <w:t>does</w:t>
      </w:r>
      <w:r>
        <w:t xml:space="preserve"> not accept incorrect or incomplete data </w:t>
      </w:r>
      <w:proofErr w:type="gramStart"/>
      <w:r>
        <w:t>packets;</w:t>
      </w:r>
      <w:proofErr w:type="gramEnd"/>
      <w:r>
        <w:t xml:space="preserve"> </w:t>
      </w:r>
    </w:p>
    <w:p w14:paraId="4BF10836" w14:textId="77777777" w:rsidR="00E066AF" w:rsidRDefault="00E066AF" w:rsidP="00E066AF">
      <w:pPr>
        <w:pStyle w:val="Heading4"/>
      </w:pPr>
      <w:r>
        <w:t xml:space="preserve">the </w:t>
      </w:r>
      <w:r w:rsidR="00A74F79">
        <w:t>Program</w:t>
      </w:r>
      <w:r>
        <w:t xml:space="preserve"> ensures that validation and verification of </w:t>
      </w:r>
      <w:r w:rsidR="00941C18">
        <w:t>d</w:t>
      </w:r>
      <w:r>
        <w:t xml:space="preserve">ata occurs at the time that the </w:t>
      </w:r>
      <w:r w:rsidR="00941C18">
        <w:t>d</w:t>
      </w:r>
      <w:r>
        <w:t xml:space="preserve">ata is received (and before any </w:t>
      </w:r>
      <w:r w:rsidR="00941C18">
        <w:t>d</w:t>
      </w:r>
      <w:r>
        <w:t xml:space="preserve">ata is </w:t>
      </w:r>
      <w:r w:rsidR="002A0F5F">
        <w:t>disclosed</w:t>
      </w:r>
      <w:proofErr w:type="gramStart"/>
      <w:r>
        <w:t>);</w:t>
      </w:r>
      <w:proofErr w:type="gramEnd"/>
      <w:r>
        <w:t xml:space="preserve"> </w:t>
      </w:r>
    </w:p>
    <w:p w14:paraId="78D4CD2A" w14:textId="77777777" w:rsidR="00E066AF" w:rsidRDefault="00941C18" w:rsidP="00E066AF">
      <w:pPr>
        <w:pStyle w:val="Heading4"/>
      </w:pPr>
      <w:r>
        <w:t>d</w:t>
      </w:r>
      <w:r w:rsidR="00E066AF">
        <w:t xml:space="preserve">ata that comprises of inadequate or corrupt data items </w:t>
      </w:r>
      <w:r w:rsidR="002A0F5F">
        <w:t>is</w:t>
      </w:r>
      <w:r w:rsidR="00E066AF">
        <w:t xml:space="preserve"> identified and corrected; </w:t>
      </w:r>
      <w:r>
        <w:t xml:space="preserve">and </w:t>
      </w:r>
    </w:p>
    <w:p w14:paraId="16CFC463" w14:textId="2422B8A3" w:rsidR="00E066AF" w:rsidRDefault="00941C18" w:rsidP="00DD4BEB">
      <w:pPr>
        <w:pStyle w:val="Heading4"/>
      </w:pPr>
      <w:r>
        <w:t>t</w:t>
      </w:r>
      <w:r w:rsidR="00E066AF">
        <w:t>he data elements used in the matching process have been standardise</w:t>
      </w:r>
      <w:r w:rsidR="00A74F79">
        <w:t>d</w:t>
      </w:r>
      <w:r w:rsidR="00E066AF">
        <w:t xml:space="preserve"> (at the point of matching, the data standards are converted to ensure that they are consistent between </w:t>
      </w:r>
      <w:r w:rsidR="000B5B69">
        <w:t>Services Australia</w:t>
      </w:r>
      <w:r w:rsidR="00E066AF">
        <w:t xml:space="preserve"> and </w:t>
      </w:r>
      <w:r w:rsidR="00706A38">
        <w:t>DE</w:t>
      </w:r>
      <w:r>
        <w:t>)</w:t>
      </w:r>
      <w:r w:rsidR="00E066AF">
        <w:t xml:space="preserve">. </w:t>
      </w:r>
    </w:p>
    <w:p w14:paraId="3BADD4D2" w14:textId="77777777" w:rsidR="00E066AF" w:rsidRPr="002111B2" w:rsidRDefault="00E066AF" w:rsidP="00E066AF">
      <w:pPr>
        <w:pStyle w:val="Heading2"/>
      </w:pPr>
      <w:bookmarkStart w:id="35" w:name="_Toc58929586"/>
      <w:r w:rsidRPr="002111B2">
        <w:t>Data Security</w:t>
      </w:r>
      <w:bookmarkEnd w:id="35"/>
    </w:p>
    <w:p w14:paraId="16CA4160" w14:textId="6312049A" w:rsidR="00E066AF" w:rsidRPr="002111B2" w:rsidRDefault="000B5B69" w:rsidP="00E066AF">
      <w:pPr>
        <w:pStyle w:val="Heading3"/>
      </w:pPr>
      <w:r>
        <w:t>Services Australia</w:t>
      </w:r>
      <w:r w:rsidR="0013362E">
        <w:t xml:space="preserve"> </w:t>
      </w:r>
      <w:r w:rsidR="00E066AF" w:rsidRPr="002111B2">
        <w:t xml:space="preserve">and </w:t>
      </w:r>
      <w:r w:rsidR="00706A38">
        <w:t>DE</w:t>
      </w:r>
      <w:r w:rsidR="00E066AF" w:rsidRPr="002111B2">
        <w:t xml:space="preserve"> exchange data using the dedicated ICON Network. This mechanism provides secure and trusted communications </w:t>
      </w:r>
      <w:r w:rsidR="00A74F79">
        <w:t>between Government entities</w:t>
      </w:r>
      <w:r w:rsidR="00E066AF" w:rsidRPr="002111B2">
        <w:t>.</w:t>
      </w:r>
    </w:p>
    <w:p w14:paraId="683AC57B" w14:textId="45477B69" w:rsidR="00E066AF" w:rsidRDefault="00E066AF" w:rsidP="00E066AF">
      <w:pPr>
        <w:pStyle w:val="Heading3"/>
      </w:pPr>
      <w:r w:rsidRPr="002111B2">
        <w:t xml:space="preserve">The data provided to </w:t>
      </w:r>
      <w:r w:rsidR="00706A38">
        <w:t>DE</w:t>
      </w:r>
      <w:r w:rsidRPr="002111B2">
        <w:t xml:space="preserve"> for the purposes of matching is extracted</w:t>
      </w:r>
      <w:r w:rsidR="005B2B97">
        <w:t xml:space="preserve"> by Services Australia</w:t>
      </w:r>
      <w:r w:rsidRPr="002111B2">
        <w:t xml:space="preserve"> from the secure SAP environment. Th</w:t>
      </w:r>
      <w:r>
        <w:t xml:space="preserve">is </w:t>
      </w:r>
      <w:r w:rsidR="0013362E">
        <w:t>core system</w:t>
      </w:r>
      <w:r w:rsidRPr="002111B2">
        <w:t xml:space="preserve"> employ</w:t>
      </w:r>
      <w:r w:rsidR="0013362E">
        <w:t>s</w:t>
      </w:r>
      <w:r w:rsidRPr="002111B2">
        <w:t xml:space="preserve"> strict security controls</w:t>
      </w:r>
      <w:r w:rsidR="005B2B97">
        <w:t xml:space="preserve"> and measures</w:t>
      </w:r>
      <w:r w:rsidR="00983682">
        <w:t>, including the following:</w:t>
      </w:r>
    </w:p>
    <w:p w14:paraId="530AEA14" w14:textId="77777777" w:rsidR="005E45F4" w:rsidRPr="006D7C96" w:rsidRDefault="005E45F4" w:rsidP="005E45F4">
      <w:pPr>
        <w:pStyle w:val="Heading4"/>
      </w:pPr>
      <w:r w:rsidRPr="006D7C96">
        <w:lastRenderedPageBreak/>
        <w:t xml:space="preserve">system access controls and security </w:t>
      </w:r>
      <w:proofErr w:type="gramStart"/>
      <w:r w:rsidRPr="006D7C96">
        <w:t>groupings</w:t>
      </w:r>
      <w:r>
        <w:t>;</w:t>
      </w:r>
      <w:proofErr w:type="gramEnd"/>
    </w:p>
    <w:p w14:paraId="64C2DD6D" w14:textId="77777777" w:rsidR="005E45F4" w:rsidRDefault="005E45F4" w:rsidP="005E45F4">
      <w:pPr>
        <w:pStyle w:val="Heading4"/>
      </w:pPr>
      <w:r w:rsidRPr="006D7C96">
        <w:t xml:space="preserve">login identification codes and password </w:t>
      </w:r>
      <w:proofErr w:type="gramStart"/>
      <w:r w:rsidRPr="006D7C96">
        <w:t>protection</w:t>
      </w:r>
      <w:r>
        <w:t>;</w:t>
      </w:r>
      <w:proofErr w:type="gramEnd"/>
      <w:r>
        <w:t xml:space="preserve"> </w:t>
      </w:r>
    </w:p>
    <w:p w14:paraId="22B58879" w14:textId="77777777" w:rsidR="005E45F4" w:rsidRPr="006D7C96" w:rsidRDefault="005E45F4" w:rsidP="005E45F4">
      <w:pPr>
        <w:pStyle w:val="Heading4"/>
      </w:pPr>
      <w:r>
        <w:t>encryption of data at rest and in-flight; and</w:t>
      </w:r>
    </w:p>
    <w:p w14:paraId="294156AF" w14:textId="77777777" w:rsidR="005E45F4" w:rsidRPr="00827F60" w:rsidRDefault="005E45F4" w:rsidP="005E45F4">
      <w:pPr>
        <w:pStyle w:val="Heading4"/>
        <w:rPr>
          <w:rFonts w:ascii="Times New Roman" w:hAnsi="Times New Roman" w:cs="Times New Roman"/>
          <w:sz w:val="24"/>
          <w:szCs w:val="24"/>
        </w:rPr>
      </w:pPr>
      <w:r w:rsidRPr="00F54927">
        <w:t>full audit trails of data files and system accesses.</w:t>
      </w:r>
    </w:p>
    <w:p w14:paraId="4AA7516A" w14:textId="77777777" w:rsidR="00E066AF" w:rsidRDefault="00E066AF" w:rsidP="00E066AF">
      <w:pPr>
        <w:pStyle w:val="Heading2"/>
      </w:pPr>
      <w:bookmarkStart w:id="36" w:name="_Toc32829506"/>
      <w:bookmarkStart w:id="37" w:name="_Toc58929587"/>
      <w:bookmarkEnd w:id="36"/>
      <w:r w:rsidRPr="002111B2">
        <w:t xml:space="preserve">Data </w:t>
      </w:r>
      <w:r>
        <w:t>Retention and Destruction</w:t>
      </w:r>
      <w:bookmarkEnd w:id="37"/>
    </w:p>
    <w:p w14:paraId="0FEB212F" w14:textId="62564176" w:rsidR="001C3391" w:rsidRPr="001F7C4C" w:rsidRDefault="001C3391" w:rsidP="001C3391">
      <w:pPr>
        <w:pStyle w:val="Heading3"/>
        <w:numPr>
          <w:ilvl w:val="2"/>
          <w:numId w:val="9"/>
        </w:numPr>
      </w:pPr>
      <w:r>
        <w:t xml:space="preserve">Data collected by DE is managed in adherence with the </w:t>
      </w:r>
      <w:r>
        <w:br/>
      </w:r>
      <w:r>
        <w:rPr>
          <w:i/>
        </w:rPr>
        <w:t xml:space="preserve">Archives Act </w:t>
      </w:r>
      <w:r w:rsidRPr="00941C18">
        <w:rPr>
          <w:i/>
        </w:rPr>
        <w:t>1983</w:t>
      </w:r>
      <w:r>
        <w:t xml:space="preserve"> (</w:t>
      </w:r>
      <w:proofErr w:type="spellStart"/>
      <w:r>
        <w:t>Cth</w:t>
      </w:r>
      <w:proofErr w:type="spellEnd"/>
      <w:r>
        <w:t>) (</w:t>
      </w:r>
      <w:r>
        <w:rPr>
          <w:b/>
        </w:rPr>
        <w:t xml:space="preserve">Archives </w:t>
      </w:r>
      <w:r w:rsidRPr="00941C18">
        <w:rPr>
          <w:b/>
        </w:rPr>
        <w:t>Act</w:t>
      </w:r>
      <w:r>
        <w:t xml:space="preserve">) </w:t>
      </w:r>
      <w:r w:rsidRPr="00941C18">
        <w:t>and</w:t>
      </w:r>
      <w:r>
        <w:t xml:space="preserve"> the National Archives of Australia’s </w:t>
      </w:r>
      <w:r>
        <w:rPr>
          <w:i/>
        </w:rPr>
        <w:t>Record Authority 2009/00593947.</w:t>
      </w:r>
    </w:p>
    <w:p w14:paraId="4A64BB1A" w14:textId="179A9F0E" w:rsidR="001C3391" w:rsidRDefault="001C3391" w:rsidP="001C3391">
      <w:pPr>
        <w:pStyle w:val="Heading3"/>
        <w:numPr>
          <w:ilvl w:val="2"/>
          <w:numId w:val="9"/>
        </w:numPr>
        <w:spacing w:after="240"/>
      </w:pPr>
      <w:r>
        <w:t xml:space="preserve">Data collected by Services Australia is managed in adherence with the </w:t>
      </w:r>
      <w:r w:rsidRPr="0094615D">
        <w:rPr>
          <w:i/>
        </w:rPr>
        <w:t>Archives Act</w:t>
      </w:r>
      <w:r w:rsidR="00D37454">
        <w:t xml:space="preserve"> </w:t>
      </w:r>
      <w:r w:rsidR="00D37454" w:rsidRPr="0094615D">
        <w:rPr>
          <w:i/>
        </w:rPr>
        <w:t>1983 (</w:t>
      </w:r>
      <w:proofErr w:type="spellStart"/>
      <w:r w:rsidR="00D37454" w:rsidRPr="0094615D">
        <w:rPr>
          <w:i/>
        </w:rPr>
        <w:t>Cth</w:t>
      </w:r>
      <w:proofErr w:type="spellEnd"/>
      <w:r w:rsidR="00D37454" w:rsidRPr="0094615D">
        <w:rPr>
          <w:i/>
        </w:rPr>
        <w:t>) (Archives Act)</w:t>
      </w:r>
      <w:r w:rsidR="00D37454">
        <w:t xml:space="preserve"> and the National Archives of Australia’s Record Authority </w:t>
      </w:r>
      <w:r w:rsidR="00D37454">
        <w:rPr>
          <w:i/>
        </w:rPr>
        <w:t>2011/00714998.</w:t>
      </w:r>
    </w:p>
    <w:p w14:paraId="397EF8A2" w14:textId="221A2F4D" w:rsidR="00E066AF" w:rsidRDefault="00983682" w:rsidP="00E066AF">
      <w:pPr>
        <w:pStyle w:val="Heading3"/>
      </w:pPr>
      <w:r>
        <w:t>Data shared between DE and Services</w:t>
      </w:r>
      <w:r w:rsidR="008B7FDB">
        <w:t xml:space="preserve"> Australia</w:t>
      </w:r>
      <w:r>
        <w:t xml:space="preserve"> for the purposes of matching is not stored if a match is unable to be established. If the information cannot be matched, it is deleted seven days after the attempted matching. </w:t>
      </w:r>
      <w:r w:rsidR="00FE59B3" w:rsidRPr="001C3391">
        <w:t xml:space="preserve"> </w:t>
      </w:r>
    </w:p>
    <w:p w14:paraId="58C6E0D4" w14:textId="2E8BD655" w:rsidR="00FE3A31" w:rsidRPr="001C3391" w:rsidRDefault="00FE3A31" w:rsidP="00E066AF">
      <w:pPr>
        <w:pStyle w:val="Heading3"/>
      </w:pPr>
      <w:r w:rsidRPr="00FF511F">
        <w:rPr>
          <w:bCs/>
        </w:rPr>
        <w:t>Data not required to be retained by national archives, will be destroyed within 90 days.</w:t>
      </w:r>
    </w:p>
    <w:p w14:paraId="57152DD3" w14:textId="77777777" w:rsidR="00E066AF" w:rsidRDefault="00E066AF" w:rsidP="00D21C33">
      <w:pPr>
        <w:pStyle w:val="Heading1"/>
      </w:pPr>
      <w:bookmarkStart w:id="38" w:name="_Toc58929588"/>
      <w:r w:rsidRPr="00294045">
        <w:t>The Matching Process</w:t>
      </w:r>
      <w:bookmarkEnd w:id="38"/>
    </w:p>
    <w:p w14:paraId="628BE2B9" w14:textId="619551DF" w:rsidR="00BC1A5F" w:rsidRPr="00FF511F" w:rsidRDefault="00E066AF" w:rsidP="00FF511F">
      <w:pPr>
        <w:pStyle w:val="Heading2"/>
        <w:rPr>
          <w:b w:val="0"/>
          <w:bCs/>
        </w:rPr>
      </w:pPr>
      <w:r w:rsidRPr="00FF511F">
        <w:rPr>
          <w:b w:val="0"/>
          <w:bCs/>
        </w:rPr>
        <w:t xml:space="preserve">The </w:t>
      </w:r>
      <w:r w:rsidR="00A74F79" w:rsidRPr="00FF511F">
        <w:rPr>
          <w:b w:val="0"/>
          <w:bCs/>
        </w:rPr>
        <w:t>Program</w:t>
      </w:r>
      <w:r w:rsidRPr="00FF511F">
        <w:rPr>
          <w:b w:val="0"/>
          <w:bCs/>
        </w:rPr>
        <w:t xml:space="preserve"> identifies mutual customers </w:t>
      </w:r>
      <w:r w:rsidR="005B2B97" w:rsidRPr="00FF511F">
        <w:rPr>
          <w:b w:val="0"/>
          <w:bCs/>
        </w:rPr>
        <w:t xml:space="preserve">of </w:t>
      </w:r>
      <w:r w:rsidR="00706A38" w:rsidRPr="00FF511F">
        <w:rPr>
          <w:b w:val="0"/>
          <w:bCs/>
        </w:rPr>
        <w:t>DE</w:t>
      </w:r>
      <w:r w:rsidRPr="00FF511F">
        <w:rPr>
          <w:b w:val="0"/>
          <w:bCs/>
        </w:rPr>
        <w:t xml:space="preserve"> and </w:t>
      </w:r>
      <w:r w:rsidR="001C3391" w:rsidRPr="00FF511F">
        <w:rPr>
          <w:b w:val="0"/>
          <w:bCs/>
        </w:rPr>
        <w:t>Services Australia</w:t>
      </w:r>
      <w:r w:rsidRPr="00FF511F">
        <w:rPr>
          <w:b w:val="0"/>
          <w:bCs/>
        </w:rPr>
        <w:t xml:space="preserve">. </w:t>
      </w:r>
      <w:r w:rsidR="00BC1A5F" w:rsidRPr="00FF511F">
        <w:rPr>
          <w:b w:val="0"/>
          <w:bCs/>
        </w:rPr>
        <w:t>For a match to be established a person must be:</w:t>
      </w:r>
    </w:p>
    <w:p w14:paraId="2B85C2B4" w14:textId="7970E6C9" w:rsidR="00F7183A" w:rsidRDefault="00F7183A" w:rsidP="003E7696">
      <w:pPr>
        <w:pStyle w:val="Heading3"/>
      </w:pPr>
      <w:r>
        <w:t>a customer claiming, or in receipt of</w:t>
      </w:r>
      <w:r w:rsidR="00983682">
        <w:t>,</w:t>
      </w:r>
      <w:r>
        <w:t xml:space="preserve"> a student payment administered by </w:t>
      </w:r>
      <w:r w:rsidR="001C3391">
        <w:t>Services Australia</w:t>
      </w:r>
      <w:r>
        <w:t>; and</w:t>
      </w:r>
    </w:p>
    <w:p w14:paraId="458B31A8" w14:textId="3872BAFE" w:rsidR="00E066AF" w:rsidRDefault="00F7183A" w:rsidP="003E7696">
      <w:pPr>
        <w:pStyle w:val="Heading3"/>
      </w:pPr>
      <w:r>
        <w:t xml:space="preserve">a student whose study details are required to be reported </w:t>
      </w:r>
      <w:r w:rsidR="00B76DA2">
        <w:t xml:space="preserve">by a Provider </w:t>
      </w:r>
      <w:r>
        <w:t xml:space="preserve">to DE in accordance with the HESA or the VSLA. </w:t>
      </w:r>
    </w:p>
    <w:p w14:paraId="07FCD1B3" w14:textId="247C7A17" w:rsidR="00E066AF" w:rsidRPr="00FF511F" w:rsidRDefault="000B5B69" w:rsidP="00FF511F">
      <w:pPr>
        <w:pStyle w:val="Heading2"/>
        <w:rPr>
          <w:b w:val="0"/>
          <w:bCs/>
        </w:rPr>
      </w:pPr>
      <w:r w:rsidRPr="00FF511F">
        <w:rPr>
          <w:b w:val="0"/>
          <w:bCs/>
        </w:rPr>
        <w:t>Services Australia</w:t>
      </w:r>
      <w:r w:rsidR="00E066AF" w:rsidRPr="00FF511F">
        <w:rPr>
          <w:b w:val="0"/>
          <w:bCs/>
        </w:rPr>
        <w:t xml:space="preserve"> </w:t>
      </w:r>
      <w:r w:rsidR="00B40A2F" w:rsidRPr="00FF511F">
        <w:rPr>
          <w:b w:val="0"/>
          <w:bCs/>
        </w:rPr>
        <w:t>identifies</w:t>
      </w:r>
      <w:r w:rsidR="00E066AF" w:rsidRPr="00FF511F">
        <w:rPr>
          <w:b w:val="0"/>
          <w:bCs/>
        </w:rPr>
        <w:t xml:space="preserve"> records of customers </w:t>
      </w:r>
      <w:r w:rsidR="00D62717" w:rsidRPr="00FF511F">
        <w:rPr>
          <w:b w:val="0"/>
          <w:bCs/>
        </w:rPr>
        <w:t xml:space="preserve">claiming, or </w:t>
      </w:r>
      <w:r w:rsidR="00E066AF" w:rsidRPr="00FF511F">
        <w:rPr>
          <w:b w:val="0"/>
          <w:bCs/>
        </w:rPr>
        <w:t>in receipt of a student payment, and send</w:t>
      </w:r>
      <w:r w:rsidR="00B40A2F" w:rsidRPr="00FF511F">
        <w:rPr>
          <w:b w:val="0"/>
          <w:bCs/>
        </w:rPr>
        <w:t>s</w:t>
      </w:r>
      <w:r w:rsidR="00E066AF" w:rsidRPr="00FF511F">
        <w:rPr>
          <w:b w:val="0"/>
          <w:bCs/>
        </w:rPr>
        <w:t xml:space="preserve"> identity details </w:t>
      </w:r>
      <w:r w:rsidR="00983682" w:rsidRPr="00FF511F">
        <w:rPr>
          <w:b w:val="0"/>
          <w:bCs/>
        </w:rPr>
        <w:t xml:space="preserve">(specifically, surname, first name, second name, date of birth, address, gender, student identification number and institution identification number) </w:t>
      </w:r>
      <w:r w:rsidR="00E066AF" w:rsidRPr="00FF511F">
        <w:rPr>
          <w:b w:val="0"/>
          <w:bCs/>
        </w:rPr>
        <w:t xml:space="preserve">to </w:t>
      </w:r>
      <w:r w:rsidR="00706A38" w:rsidRPr="00FF511F">
        <w:rPr>
          <w:b w:val="0"/>
          <w:bCs/>
        </w:rPr>
        <w:t>DE</w:t>
      </w:r>
      <w:r w:rsidR="00E066AF" w:rsidRPr="00FF511F">
        <w:rPr>
          <w:b w:val="0"/>
          <w:bCs/>
        </w:rPr>
        <w:t xml:space="preserve">, who </w:t>
      </w:r>
      <w:r w:rsidR="007C3363" w:rsidRPr="00FF511F">
        <w:rPr>
          <w:b w:val="0"/>
          <w:bCs/>
        </w:rPr>
        <w:t>attempt</w:t>
      </w:r>
      <w:r w:rsidR="00983682" w:rsidRPr="00FF511F">
        <w:rPr>
          <w:b w:val="0"/>
          <w:bCs/>
        </w:rPr>
        <w:t>s</w:t>
      </w:r>
      <w:r w:rsidR="007C3363" w:rsidRPr="00FF511F">
        <w:rPr>
          <w:b w:val="0"/>
          <w:bCs/>
        </w:rPr>
        <w:t xml:space="preserve"> to match</w:t>
      </w:r>
      <w:r w:rsidR="00E066AF" w:rsidRPr="00FF511F">
        <w:rPr>
          <w:b w:val="0"/>
          <w:bCs/>
        </w:rPr>
        <w:t xml:space="preserve"> those details against student records they hold. </w:t>
      </w:r>
    </w:p>
    <w:p w14:paraId="09058770" w14:textId="6C693D98" w:rsidR="00E066AF" w:rsidRPr="00FF511F" w:rsidRDefault="00E066AF" w:rsidP="00FF511F">
      <w:pPr>
        <w:pStyle w:val="Heading2"/>
        <w:rPr>
          <w:b w:val="0"/>
          <w:bCs/>
        </w:rPr>
      </w:pPr>
      <w:r w:rsidRPr="00FF511F">
        <w:rPr>
          <w:b w:val="0"/>
          <w:bCs/>
        </w:rPr>
        <w:t xml:space="preserve">If a match is located, </w:t>
      </w:r>
      <w:r w:rsidR="00706A38" w:rsidRPr="00FF511F">
        <w:rPr>
          <w:b w:val="0"/>
          <w:bCs/>
        </w:rPr>
        <w:t>DE</w:t>
      </w:r>
      <w:r w:rsidRPr="00FF511F">
        <w:rPr>
          <w:b w:val="0"/>
          <w:bCs/>
        </w:rPr>
        <w:t xml:space="preserve"> </w:t>
      </w:r>
      <w:r w:rsidR="00B40A2F" w:rsidRPr="00FF511F">
        <w:rPr>
          <w:b w:val="0"/>
          <w:bCs/>
        </w:rPr>
        <w:t>discloses</w:t>
      </w:r>
      <w:r w:rsidRPr="00FF511F">
        <w:rPr>
          <w:b w:val="0"/>
          <w:bCs/>
        </w:rPr>
        <w:t xml:space="preserve"> to </w:t>
      </w:r>
      <w:r w:rsidR="000B5B69" w:rsidRPr="00FF511F">
        <w:rPr>
          <w:b w:val="0"/>
          <w:bCs/>
        </w:rPr>
        <w:t>Services Australia</w:t>
      </w:r>
      <w:r w:rsidR="00AE2FC8" w:rsidRPr="00FF511F">
        <w:rPr>
          <w:b w:val="0"/>
          <w:bCs/>
        </w:rPr>
        <w:t xml:space="preserve"> </w:t>
      </w:r>
      <w:r w:rsidRPr="00FF511F">
        <w:rPr>
          <w:b w:val="0"/>
          <w:bCs/>
        </w:rPr>
        <w:t xml:space="preserve">information about the matched individual (refer to </w:t>
      </w:r>
      <w:r w:rsidR="00941C18" w:rsidRPr="00FF511F">
        <w:rPr>
          <w:b w:val="0"/>
          <w:bCs/>
        </w:rPr>
        <w:t>A</w:t>
      </w:r>
      <w:r w:rsidR="007F6812" w:rsidRPr="00FF511F">
        <w:rPr>
          <w:b w:val="0"/>
          <w:bCs/>
        </w:rPr>
        <w:t xml:space="preserve">ppendix </w:t>
      </w:r>
      <w:r w:rsidR="00DD2330" w:rsidRPr="00FF511F">
        <w:rPr>
          <w:b w:val="0"/>
          <w:bCs/>
        </w:rPr>
        <w:t>A</w:t>
      </w:r>
      <w:r w:rsidRPr="00FF511F">
        <w:rPr>
          <w:b w:val="0"/>
          <w:bCs/>
        </w:rPr>
        <w:t xml:space="preserve"> for a list of data elements that </w:t>
      </w:r>
      <w:r w:rsidR="00B40A2F" w:rsidRPr="00FF511F">
        <w:rPr>
          <w:b w:val="0"/>
          <w:bCs/>
        </w:rPr>
        <w:t>are</w:t>
      </w:r>
      <w:r w:rsidRPr="00FF511F">
        <w:rPr>
          <w:b w:val="0"/>
          <w:bCs/>
        </w:rPr>
        <w:t xml:space="preserve"> disclosed by </w:t>
      </w:r>
      <w:r w:rsidR="00706A38" w:rsidRPr="00FF511F">
        <w:rPr>
          <w:b w:val="0"/>
          <w:bCs/>
        </w:rPr>
        <w:t>DE</w:t>
      </w:r>
      <w:r w:rsidRPr="00FF511F">
        <w:rPr>
          <w:b w:val="0"/>
          <w:bCs/>
        </w:rPr>
        <w:t xml:space="preserve"> to </w:t>
      </w:r>
      <w:r w:rsidR="000B5B69" w:rsidRPr="00FF511F">
        <w:rPr>
          <w:b w:val="0"/>
          <w:bCs/>
        </w:rPr>
        <w:t>Services Australia</w:t>
      </w:r>
      <w:r w:rsidR="00941C18" w:rsidRPr="00FF511F">
        <w:rPr>
          <w:b w:val="0"/>
          <w:bCs/>
        </w:rPr>
        <w:t>)</w:t>
      </w:r>
      <w:r w:rsidRPr="00FF511F">
        <w:rPr>
          <w:b w:val="0"/>
          <w:bCs/>
        </w:rPr>
        <w:t>.</w:t>
      </w:r>
    </w:p>
    <w:p w14:paraId="34298B23" w14:textId="77777777" w:rsidR="00E066AF" w:rsidRDefault="00E066AF" w:rsidP="003E7696">
      <w:pPr>
        <w:pStyle w:val="Heading1"/>
        <w:keepNext w:val="0"/>
      </w:pPr>
      <w:bookmarkStart w:id="39" w:name="_Toc58929589"/>
      <w:bookmarkStart w:id="40" w:name="_Toc58929590"/>
      <w:bookmarkEnd w:id="39"/>
      <w:r w:rsidRPr="00294045">
        <w:t>Action Resulting from the Program</w:t>
      </w:r>
      <w:bookmarkEnd w:id="40"/>
    </w:p>
    <w:p w14:paraId="38CB8113" w14:textId="25AFF940" w:rsidR="00E066AF" w:rsidRPr="00FF511F" w:rsidRDefault="00325DF4" w:rsidP="00FF511F">
      <w:pPr>
        <w:pStyle w:val="Heading2"/>
        <w:rPr>
          <w:b w:val="0"/>
          <w:bCs/>
        </w:rPr>
      </w:pPr>
      <w:r w:rsidRPr="00FF511F">
        <w:rPr>
          <w:b w:val="0"/>
          <w:bCs/>
        </w:rPr>
        <w:t xml:space="preserve">If new or updated information is received by DE from a Provider, DE will check if the student is identified as a mutual customer. </w:t>
      </w:r>
      <w:r w:rsidR="00E066AF" w:rsidRPr="00FF511F">
        <w:rPr>
          <w:b w:val="0"/>
          <w:bCs/>
        </w:rPr>
        <w:t xml:space="preserve">Once a customer match has been established, and for the period they continue to be a mutual customer, </w:t>
      </w:r>
      <w:r w:rsidR="00706A38" w:rsidRPr="00FF511F">
        <w:rPr>
          <w:b w:val="0"/>
          <w:bCs/>
        </w:rPr>
        <w:t>DE</w:t>
      </w:r>
      <w:r w:rsidR="00706A38" w:rsidRPr="00FF511F" w:rsidDel="00706A38">
        <w:rPr>
          <w:b w:val="0"/>
          <w:bCs/>
        </w:rPr>
        <w:t xml:space="preserve"> </w:t>
      </w:r>
      <w:r w:rsidR="00E066AF" w:rsidRPr="00FF511F">
        <w:rPr>
          <w:b w:val="0"/>
          <w:bCs/>
        </w:rPr>
        <w:t>disclose</w:t>
      </w:r>
      <w:r w:rsidR="00827F60" w:rsidRPr="00FF511F">
        <w:rPr>
          <w:b w:val="0"/>
          <w:bCs/>
        </w:rPr>
        <w:t>s</w:t>
      </w:r>
      <w:r w:rsidR="00E066AF" w:rsidRPr="00FF511F">
        <w:rPr>
          <w:b w:val="0"/>
          <w:bCs/>
        </w:rPr>
        <w:t xml:space="preserve"> </w:t>
      </w:r>
      <w:r w:rsidR="001A518D" w:rsidRPr="00FF511F">
        <w:rPr>
          <w:b w:val="0"/>
          <w:bCs/>
        </w:rPr>
        <w:t>a range of information about students</w:t>
      </w:r>
      <w:r w:rsidR="00E066AF" w:rsidRPr="00FF511F">
        <w:rPr>
          <w:b w:val="0"/>
          <w:bCs/>
        </w:rPr>
        <w:t xml:space="preserve"> to </w:t>
      </w:r>
      <w:r w:rsidR="00D4154C" w:rsidRPr="00FF511F">
        <w:rPr>
          <w:b w:val="0"/>
          <w:bCs/>
        </w:rPr>
        <w:t>Services Australia</w:t>
      </w:r>
      <w:r w:rsidR="00E123FE" w:rsidRPr="00FF511F">
        <w:rPr>
          <w:b w:val="0"/>
          <w:bCs/>
        </w:rPr>
        <w:t>,</w:t>
      </w:r>
      <w:r w:rsidR="00E066AF" w:rsidRPr="00FF511F">
        <w:rPr>
          <w:b w:val="0"/>
          <w:bCs/>
        </w:rPr>
        <w:t xml:space="preserve"> for use as set out below.</w:t>
      </w:r>
    </w:p>
    <w:p w14:paraId="72239B0E" w14:textId="77777777" w:rsidR="00E066AF" w:rsidRPr="004F125F" w:rsidRDefault="00E066AF" w:rsidP="00E066AF">
      <w:pPr>
        <w:pStyle w:val="Heading2"/>
      </w:pPr>
      <w:bookmarkStart w:id="41" w:name="_Toc58929591"/>
      <w:r w:rsidRPr="004F125F">
        <w:t>Student Online Claim Pre-population</w:t>
      </w:r>
      <w:bookmarkEnd w:id="41"/>
    </w:p>
    <w:p w14:paraId="5B004A2A" w14:textId="6AF9DCCC" w:rsidR="00E066AF" w:rsidRDefault="00E066AF" w:rsidP="00E066AF">
      <w:pPr>
        <w:pStyle w:val="Heading3"/>
      </w:pPr>
      <w:r>
        <w:t xml:space="preserve">To assist the customer in streamlining the online </w:t>
      </w:r>
      <w:r w:rsidR="00A74F79">
        <w:t>s</w:t>
      </w:r>
      <w:r>
        <w:t xml:space="preserve">tudent claim process, </w:t>
      </w:r>
      <w:r w:rsidR="00AE2FC8">
        <w:t xml:space="preserve">Services Australia </w:t>
      </w:r>
      <w:r>
        <w:t xml:space="preserve">can use the information received from </w:t>
      </w:r>
      <w:r w:rsidR="00706A38">
        <w:t>DE</w:t>
      </w:r>
      <w:r>
        <w:t xml:space="preserve"> to pre-populate the claim form with the customer</w:t>
      </w:r>
      <w:r w:rsidR="005B2B97">
        <w:t>’</w:t>
      </w:r>
      <w:r>
        <w:t>s available study details.</w:t>
      </w:r>
    </w:p>
    <w:p w14:paraId="352A249F" w14:textId="77777777" w:rsidR="00E066AF" w:rsidRPr="004F125F" w:rsidRDefault="00E066AF" w:rsidP="00E066AF">
      <w:pPr>
        <w:pStyle w:val="Heading2"/>
      </w:pPr>
      <w:bookmarkStart w:id="42" w:name="_Toc58929592"/>
      <w:r w:rsidRPr="004F125F">
        <w:lastRenderedPageBreak/>
        <w:t>Changes in study circumstances</w:t>
      </w:r>
      <w:bookmarkEnd w:id="42"/>
      <w:r w:rsidRPr="004F125F">
        <w:t xml:space="preserve"> </w:t>
      </w:r>
    </w:p>
    <w:p w14:paraId="2CCBA8CD" w14:textId="0E986211" w:rsidR="00E066AF" w:rsidRDefault="00E066AF" w:rsidP="00E066AF">
      <w:pPr>
        <w:pStyle w:val="Heading3"/>
      </w:pPr>
      <w:r>
        <w:t xml:space="preserve">To ensure payment accuracy and to reduce the risk that a customer will incur an overpayment, </w:t>
      </w:r>
      <w:r w:rsidR="00AE2FC8">
        <w:t xml:space="preserve">Services Australia </w:t>
      </w:r>
      <w:r>
        <w:t>use</w:t>
      </w:r>
      <w:r w:rsidR="00B40A2F">
        <w:t>s</w:t>
      </w:r>
      <w:r>
        <w:t xml:space="preserve"> the information received from </w:t>
      </w:r>
      <w:r w:rsidR="00706A38">
        <w:t>DE</w:t>
      </w:r>
      <w:r>
        <w:t xml:space="preserve"> to identify where a change in study circumstances may affect payment eligibility or entitlement.  </w:t>
      </w:r>
      <w:r w:rsidR="00AE2FC8">
        <w:t xml:space="preserve">Services Australia </w:t>
      </w:r>
      <w:r>
        <w:t xml:space="preserve">then </w:t>
      </w:r>
      <w:r w:rsidR="00B40A2F">
        <w:t>applies</w:t>
      </w:r>
      <w:r>
        <w:t xml:space="preserve"> that data to the student record and generate</w:t>
      </w:r>
      <w:r w:rsidR="00B40A2F">
        <w:t>s</w:t>
      </w:r>
      <w:r>
        <w:t xml:space="preserve"> one of the following processes:</w:t>
      </w:r>
    </w:p>
    <w:p w14:paraId="1C178D6D" w14:textId="77777777" w:rsidR="00E066AF" w:rsidRPr="00A02EEF" w:rsidRDefault="00E066AF" w:rsidP="00E066AF">
      <w:pPr>
        <w:pStyle w:val="Heading4"/>
      </w:pPr>
      <w:r>
        <w:rPr>
          <w:b/>
        </w:rPr>
        <w:t xml:space="preserve">Cessation Review </w:t>
      </w:r>
      <w:r w:rsidRPr="00A02EEF">
        <w:t>–</w:t>
      </w:r>
      <w:r>
        <w:rPr>
          <w:b/>
        </w:rPr>
        <w:t xml:space="preserve"> </w:t>
      </w:r>
      <w:r>
        <w:t>this identifies where information</w:t>
      </w:r>
      <w:r w:rsidR="00D4154C">
        <w:t xml:space="preserve"> has been received</w:t>
      </w:r>
      <w:r>
        <w:t xml:space="preserve"> that indicates</w:t>
      </w:r>
      <w:r w:rsidR="00DF4B17">
        <w:t xml:space="preserve"> that</w:t>
      </w:r>
      <w:r>
        <w:t xml:space="preserve"> a customer may have ceased their studies.</w:t>
      </w:r>
    </w:p>
    <w:p w14:paraId="4E9956FA" w14:textId="3F799A74" w:rsidR="00E066AF" w:rsidRDefault="00E066AF" w:rsidP="00E066AF">
      <w:pPr>
        <w:pStyle w:val="Heading4"/>
      </w:pPr>
      <w:r w:rsidRPr="004F125F">
        <w:rPr>
          <w:b/>
        </w:rPr>
        <w:t>Course Completion Review</w:t>
      </w:r>
      <w:r>
        <w:t xml:space="preserve"> – this identifies where information</w:t>
      </w:r>
      <w:r w:rsidR="00D4154C">
        <w:t xml:space="preserve"> has been received</w:t>
      </w:r>
      <w:r w:rsidR="00B40A2F">
        <w:t xml:space="preserve"> </w:t>
      </w:r>
      <w:r>
        <w:t>that identifies that a student has completed a course that affects their student payment.</w:t>
      </w:r>
    </w:p>
    <w:p w14:paraId="6BAAA07D" w14:textId="34248D4C" w:rsidR="00E123FE" w:rsidRDefault="00E123FE" w:rsidP="00E123FE">
      <w:pPr>
        <w:pStyle w:val="Heading4"/>
      </w:pPr>
      <w:r>
        <w:rPr>
          <w:b/>
        </w:rPr>
        <w:t xml:space="preserve">Enrolment Details Review </w:t>
      </w:r>
      <w:r w:rsidRPr="00A02EEF">
        <w:t>–</w:t>
      </w:r>
      <w:r>
        <w:rPr>
          <w:b/>
        </w:rPr>
        <w:t xml:space="preserve"> </w:t>
      </w:r>
      <w:r>
        <w:t>this identifies where information</w:t>
      </w:r>
      <w:r w:rsidR="00D4154C">
        <w:t xml:space="preserve"> has been received</w:t>
      </w:r>
      <w:r>
        <w:t xml:space="preserve"> that indicates that a customer has changed Provider/(s), course/(s) or changed their study load, such that it will impact on their student payment. </w:t>
      </w:r>
    </w:p>
    <w:p w14:paraId="0BDBDC4A" w14:textId="181D17B1" w:rsidR="00E066AF" w:rsidRDefault="00E066AF" w:rsidP="00E066AF">
      <w:pPr>
        <w:pStyle w:val="Heading4"/>
      </w:pPr>
      <w:r>
        <w:rPr>
          <w:b/>
        </w:rPr>
        <w:t xml:space="preserve">No Match Review </w:t>
      </w:r>
      <w:r w:rsidRPr="00A02EEF">
        <w:t>–</w:t>
      </w:r>
      <w:r>
        <w:rPr>
          <w:b/>
        </w:rPr>
        <w:t xml:space="preserve"> </w:t>
      </w:r>
      <w:r>
        <w:t xml:space="preserve">this identifies where </w:t>
      </w:r>
      <w:r w:rsidR="00D4154C">
        <w:t>there is in</w:t>
      </w:r>
      <w:r>
        <w:t xml:space="preserve">sufficient information to establish a high confidence match between a student record and a </w:t>
      </w:r>
      <w:r w:rsidR="00AE2FC8">
        <w:t xml:space="preserve">Services Australia </w:t>
      </w:r>
      <w:r>
        <w:t>customer record.</w:t>
      </w:r>
    </w:p>
    <w:p w14:paraId="42339D29" w14:textId="1FBD6D05" w:rsidR="00E066AF" w:rsidRDefault="00E066AF" w:rsidP="005B2B97">
      <w:pPr>
        <w:pStyle w:val="Heading4"/>
      </w:pPr>
      <w:r>
        <w:rPr>
          <w:b/>
        </w:rPr>
        <w:t xml:space="preserve">Scholarship Review </w:t>
      </w:r>
      <w:r w:rsidRPr="00A02EEF">
        <w:t xml:space="preserve">– this </w:t>
      </w:r>
      <w:r>
        <w:t>identifies where information</w:t>
      </w:r>
      <w:r w:rsidR="00D4154C">
        <w:t xml:space="preserve"> has been received</w:t>
      </w:r>
      <w:r>
        <w:t xml:space="preserve"> that indicates that a customer may have received a</w:t>
      </w:r>
      <w:r w:rsidR="00440916">
        <w:t>n Indigenous</w:t>
      </w:r>
      <w:r>
        <w:t xml:space="preserve"> Commonwealth scholarship that may </w:t>
      </w:r>
      <w:r w:rsidR="008C2032">
        <w:t>affect</w:t>
      </w:r>
      <w:r>
        <w:t xml:space="preserve"> their eligibility for subsequent scholarships payable through </w:t>
      </w:r>
      <w:r w:rsidR="00AE2FC8">
        <w:t>Services Australia</w:t>
      </w:r>
      <w:r>
        <w:t>.</w:t>
      </w:r>
    </w:p>
    <w:p w14:paraId="5120FF7E" w14:textId="3960032D" w:rsidR="00E066AF" w:rsidRDefault="00E066AF" w:rsidP="00E066AF">
      <w:pPr>
        <w:pStyle w:val="Heading3"/>
      </w:pPr>
      <w:r>
        <w:t xml:space="preserve">Where a review is generated, the customer will receive a notification requesting that they review and respond to </w:t>
      </w:r>
      <w:r w:rsidR="00AE2FC8">
        <w:t>Services Australia</w:t>
      </w:r>
      <w:r>
        <w:t xml:space="preserve">. For the </w:t>
      </w:r>
      <w:r w:rsidR="00B40A2F">
        <w:t>c</w:t>
      </w:r>
      <w:r>
        <w:t xml:space="preserve">essation, </w:t>
      </w:r>
      <w:r w:rsidR="00B40A2F">
        <w:t>c</w:t>
      </w:r>
      <w:r>
        <w:t xml:space="preserve">ourse </w:t>
      </w:r>
      <w:r w:rsidR="00B40A2F">
        <w:t>c</w:t>
      </w:r>
      <w:r>
        <w:t xml:space="preserve">ompletion and </w:t>
      </w:r>
      <w:r w:rsidR="007C3363">
        <w:t xml:space="preserve">enrolment </w:t>
      </w:r>
      <w:r w:rsidR="00B40A2F">
        <w:t>d</w:t>
      </w:r>
      <w:r>
        <w:t>etails reviews, the customer can respond in one of the following ways:</w:t>
      </w:r>
    </w:p>
    <w:p w14:paraId="79F65731" w14:textId="48D498A6" w:rsidR="00E066AF" w:rsidRDefault="00E066AF" w:rsidP="00E066AF">
      <w:pPr>
        <w:pStyle w:val="Heading4"/>
      </w:pPr>
      <w:r>
        <w:t xml:space="preserve">Agree with the data – at this point the data is automatically applied to the record, payment eligibility and entitlement is </w:t>
      </w:r>
      <w:proofErr w:type="gramStart"/>
      <w:r>
        <w:t>recalculated</w:t>
      </w:r>
      <w:proofErr w:type="gramEnd"/>
      <w:r>
        <w:t xml:space="preserve"> and a payment outcome</w:t>
      </w:r>
      <w:r w:rsidR="00CF739B">
        <w:t xml:space="preserve"> is</w:t>
      </w:r>
      <w:r>
        <w:t xml:space="preserve"> determined</w:t>
      </w:r>
      <w:r w:rsidR="003131F6">
        <w:t>.</w:t>
      </w:r>
      <w:r>
        <w:t xml:space="preserve"> </w:t>
      </w:r>
      <w:r w:rsidR="00966E65">
        <w:t>ABSTUDY, ABS</w:t>
      </w:r>
      <w:r w:rsidR="002B2851">
        <w:t>T</w:t>
      </w:r>
      <w:r w:rsidR="00966E65">
        <w:t>UDY PES and Vulnerable customer</w:t>
      </w:r>
      <w:r w:rsidR="003131F6">
        <w:t>s,</w:t>
      </w:r>
      <w:r w:rsidR="00966E65">
        <w:t xml:space="preserve"> will not have </w:t>
      </w:r>
      <w:r w:rsidR="00CB4C69">
        <w:t xml:space="preserve">data </w:t>
      </w:r>
      <w:r w:rsidR="00966E65">
        <w:t>automat</w:t>
      </w:r>
      <w:r w:rsidR="00CB4C69">
        <w:t>ically</w:t>
      </w:r>
      <w:r w:rsidR="00966E65">
        <w:t xml:space="preserve"> applied when they agree with the data.</w:t>
      </w:r>
    </w:p>
    <w:p w14:paraId="7A7BEB82" w14:textId="05227CA8" w:rsidR="00E066AF" w:rsidRDefault="00E066AF" w:rsidP="00E066AF">
      <w:pPr>
        <w:pStyle w:val="Heading4"/>
      </w:pPr>
      <w:r>
        <w:t xml:space="preserve">Agree with the data but request an exemption – at this point the customer </w:t>
      </w:r>
      <w:r w:rsidR="00B40A2F">
        <w:t>is</w:t>
      </w:r>
      <w:r>
        <w:t xml:space="preserve"> asked to provide evidence to support their exemption. The customer </w:t>
      </w:r>
      <w:r w:rsidR="00B40A2F">
        <w:t>is</w:t>
      </w:r>
      <w:r>
        <w:t xml:space="preserve"> given a further 14 days to supply supporting evidence, upon provision of which the matter </w:t>
      </w:r>
      <w:r w:rsidR="00B40A2F">
        <w:t>is</w:t>
      </w:r>
      <w:r>
        <w:t xml:space="preserve"> referred to </w:t>
      </w:r>
      <w:r w:rsidR="00254016">
        <w:t xml:space="preserve">Services Australia </w:t>
      </w:r>
      <w:r>
        <w:t>staff for assessment.</w:t>
      </w:r>
    </w:p>
    <w:p w14:paraId="7F06CC0A" w14:textId="4D470382" w:rsidR="00E066AF" w:rsidRPr="006116B0" w:rsidRDefault="00E066AF" w:rsidP="00E066AF">
      <w:pPr>
        <w:pStyle w:val="Heading4"/>
      </w:pPr>
      <w:r>
        <w:t xml:space="preserve">Disagree with the data – at this point the customer </w:t>
      </w:r>
      <w:r w:rsidR="00B40A2F">
        <w:t>is</w:t>
      </w:r>
      <w:r>
        <w:t xml:space="preserve"> asked </w:t>
      </w:r>
      <w:r w:rsidR="00CF739B">
        <w:t xml:space="preserve">to </w:t>
      </w:r>
      <w:r>
        <w:t xml:space="preserve">provide additional information to verify their claim before any changes are made to the customer record. </w:t>
      </w:r>
    </w:p>
    <w:p w14:paraId="42CE988A" w14:textId="77777777" w:rsidR="00E066AF" w:rsidRDefault="00E066AF" w:rsidP="00E066AF">
      <w:pPr>
        <w:pStyle w:val="Heading3"/>
      </w:pPr>
      <w:r>
        <w:t>Where a Scholarship review is generated, the customer can respond in one of the following ways:</w:t>
      </w:r>
    </w:p>
    <w:p w14:paraId="0ABEB82F" w14:textId="1EFB0082" w:rsidR="00E066AF" w:rsidRDefault="00E066AF" w:rsidP="00E066AF">
      <w:pPr>
        <w:pStyle w:val="Heading4"/>
      </w:pPr>
      <w:r>
        <w:t xml:space="preserve">Agree with the data – at this point the data is automatically applied to the record, payment eligibility and entitlement is </w:t>
      </w:r>
      <w:proofErr w:type="gramStart"/>
      <w:r>
        <w:t>recalculated</w:t>
      </w:r>
      <w:proofErr w:type="gramEnd"/>
      <w:r>
        <w:t xml:space="preserve"> and a payment outcome</w:t>
      </w:r>
      <w:r w:rsidR="00CF739B">
        <w:t xml:space="preserve"> is</w:t>
      </w:r>
      <w:r>
        <w:t xml:space="preserve"> determined</w:t>
      </w:r>
      <w:r w:rsidR="003131F6">
        <w:t xml:space="preserve"> </w:t>
      </w:r>
    </w:p>
    <w:p w14:paraId="51AC9294" w14:textId="385E66AC" w:rsidR="00E066AF" w:rsidRPr="006116B0" w:rsidRDefault="00E066AF" w:rsidP="00E066AF">
      <w:pPr>
        <w:pStyle w:val="Heading4"/>
      </w:pPr>
      <w:r>
        <w:t xml:space="preserve">Disagree with the data – at this point the customer </w:t>
      </w:r>
      <w:r w:rsidR="00B40A2F">
        <w:t>is</w:t>
      </w:r>
      <w:r>
        <w:t xml:space="preserve"> asked</w:t>
      </w:r>
      <w:r w:rsidR="00B40A2F">
        <w:t xml:space="preserve"> to</w:t>
      </w:r>
      <w:r>
        <w:t xml:space="preserve"> provide additional information to verify their claim before any changes are made to the customer record. </w:t>
      </w:r>
    </w:p>
    <w:p w14:paraId="648017BF" w14:textId="11EDC93B" w:rsidR="00E066AF" w:rsidRDefault="00E066AF" w:rsidP="00E066AF">
      <w:pPr>
        <w:pStyle w:val="Heading3"/>
      </w:pPr>
      <w:r>
        <w:lastRenderedPageBreak/>
        <w:t xml:space="preserve">Where a </w:t>
      </w:r>
      <w:r w:rsidR="00B40A2F">
        <w:t>‘no match’</w:t>
      </w:r>
      <w:r>
        <w:t xml:space="preserve"> review has been created, the customer </w:t>
      </w:r>
      <w:r w:rsidR="00B40A2F">
        <w:t>is</w:t>
      </w:r>
      <w:r>
        <w:t xml:space="preserve"> asked to take further action to assist in accurately matching their student and </w:t>
      </w:r>
      <w:r w:rsidR="00AE2FC8">
        <w:t xml:space="preserve">Services Australia </w:t>
      </w:r>
      <w:r>
        <w:t xml:space="preserve">customer record. This may include verifying additional personal information, supplying the correct </w:t>
      </w:r>
      <w:proofErr w:type="gramStart"/>
      <w:r>
        <w:t>information</w:t>
      </w:r>
      <w:proofErr w:type="gramEnd"/>
      <w:r>
        <w:t xml:space="preserve"> or correcting the current information held by their Provider. </w:t>
      </w:r>
    </w:p>
    <w:p w14:paraId="211BEE61" w14:textId="77777777" w:rsidR="00E066AF" w:rsidRDefault="00E066AF" w:rsidP="00E066AF">
      <w:pPr>
        <w:pStyle w:val="Heading3"/>
      </w:pPr>
      <w:r>
        <w:t>The following payment outcomes may result from the above reviews:</w:t>
      </w:r>
    </w:p>
    <w:p w14:paraId="4794B99B" w14:textId="77777777" w:rsidR="00E066AF" w:rsidRDefault="00941C18" w:rsidP="00E066AF">
      <w:pPr>
        <w:pStyle w:val="Heading4"/>
      </w:pPr>
      <w:r>
        <w:t>c</w:t>
      </w:r>
      <w:r w:rsidR="00E066AF">
        <w:t xml:space="preserve">hange in rate of student </w:t>
      </w:r>
      <w:proofErr w:type="gramStart"/>
      <w:r w:rsidR="00E066AF">
        <w:t>payment;</w:t>
      </w:r>
      <w:proofErr w:type="gramEnd"/>
    </w:p>
    <w:p w14:paraId="2FA15C41" w14:textId="77777777" w:rsidR="00E066AF" w:rsidRDefault="00941C18" w:rsidP="00E066AF">
      <w:pPr>
        <w:pStyle w:val="Heading4"/>
      </w:pPr>
      <w:r>
        <w:t>c</w:t>
      </w:r>
      <w:r w:rsidR="00E066AF">
        <w:t xml:space="preserve">ontinuation of current rate of </w:t>
      </w:r>
      <w:proofErr w:type="gramStart"/>
      <w:r w:rsidR="00E066AF">
        <w:t>payment;</w:t>
      </w:r>
      <w:proofErr w:type="gramEnd"/>
    </w:p>
    <w:p w14:paraId="5C5D077F" w14:textId="77777777" w:rsidR="00E066AF" w:rsidRDefault="00941C18" w:rsidP="00E066AF">
      <w:pPr>
        <w:pStyle w:val="Heading4"/>
      </w:pPr>
      <w:r>
        <w:t>a</w:t>
      </w:r>
      <w:r w:rsidR="00E066AF">
        <w:t xml:space="preserve">ssessment of </w:t>
      </w:r>
      <w:proofErr w:type="gramStart"/>
      <w:r w:rsidR="00E066AF">
        <w:t>overpayment;</w:t>
      </w:r>
      <w:proofErr w:type="gramEnd"/>
    </w:p>
    <w:p w14:paraId="77F583D3" w14:textId="77777777" w:rsidR="00E066AF" w:rsidRDefault="00941C18" w:rsidP="00E066AF">
      <w:pPr>
        <w:pStyle w:val="Heading4"/>
      </w:pPr>
      <w:r>
        <w:t>s</w:t>
      </w:r>
      <w:r w:rsidR="00E066AF">
        <w:t>uspension of student payment; or</w:t>
      </w:r>
    </w:p>
    <w:p w14:paraId="20CF3D0D" w14:textId="77777777" w:rsidR="00E066AF" w:rsidRDefault="00941C18" w:rsidP="00E066AF">
      <w:pPr>
        <w:pStyle w:val="Heading4"/>
      </w:pPr>
      <w:r>
        <w:t>c</w:t>
      </w:r>
      <w:r w:rsidR="00E066AF">
        <w:t>ancellation of student payment.</w:t>
      </w:r>
    </w:p>
    <w:p w14:paraId="31B398A7" w14:textId="1EF0EA81" w:rsidR="005574AD" w:rsidRDefault="00E066AF" w:rsidP="00925D7F">
      <w:pPr>
        <w:pStyle w:val="Heading3"/>
      </w:pPr>
      <w:r>
        <w:t xml:space="preserve">These outcomes will be the result of the customer’s response to the notification they receive once a review is generated. Where a customer fails to respond to the review, </w:t>
      </w:r>
      <w:r w:rsidR="00254016">
        <w:t>Services Australia</w:t>
      </w:r>
      <w:r>
        <w:t xml:space="preserve"> </w:t>
      </w:r>
      <w:proofErr w:type="gramStart"/>
      <w:r w:rsidR="00B40A2F">
        <w:t>makes</w:t>
      </w:r>
      <w:r>
        <w:t xml:space="preserve"> a determination</w:t>
      </w:r>
      <w:proofErr w:type="gramEnd"/>
      <w:r>
        <w:t xml:space="preserve"> of the appropriate administrative actions based on the information provided by </w:t>
      </w:r>
      <w:r w:rsidR="00706A38">
        <w:t>DE</w:t>
      </w:r>
      <w:r>
        <w:t xml:space="preserve">. </w:t>
      </w:r>
    </w:p>
    <w:p w14:paraId="4965D7E4" w14:textId="1B61144F" w:rsidR="00480768" w:rsidRDefault="005574AD" w:rsidP="00925D7F">
      <w:pPr>
        <w:pStyle w:val="Heading3"/>
      </w:pPr>
      <w:r>
        <w:t xml:space="preserve">The generation of </w:t>
      </w:r>
      <w:r w:rsidR="00DC2F5C">
        <w:t>review</w:t>
      </w:r>
      <w:r>
        <w:t>s</w:t>
      </w:r>
      <w:r w:rsidR="008506B7">
        <w:t xml:space="preserve"> as outlined in 6.3,</w:t>
      </w:r>
      <w:r>
        <w:t xml:space="preserve"> will require </w:t>
      </w:r>
      <w:r w:rsidR="00726BB3">
        <w:t xml:space="preserve">a determination to be made under section </w:t>
      </w:r>
      <w:r>
        <w:t xml:space="preserve">6A of the Social Security </w:t>
      </w:r>
      <w:r w:rsidR="009E79D7">
        <w:t>(</w:t>
      </w:r>
      <w:r>
        <w:t>Administration</w:t>
      </w:r>
      <w:r w:rsidR="009E79D7">
        <w:t>)</w:t>
      </w:r>
      <w:r>
        <w:t xml:space="preserve"> Act 1999</w:t>
      </w:r>
      <w:r w:rsidR="00726BB3">
        <w:t xml:space="preserve"> to automate decisions. Any future expansion of the TCSI system beyond this pilot will require a new determination to be made under section 6A of the Social Security (Administration) Act 1999.</w:t>
      </w:r>
    </w:p>
    <w:p w14:paraId="4F8FE40F" w14:textId="750672B8" w:rsidR="00B1570E" w:rsidRDefault="00B1570E" w:rsidP="0094615D">
      <w:pPr>
        <w:pStyle w:val="Heading2"/>
      </w:pPr>
      <w:bookmarkStart w:id="43" w:name="_Toc58929593"/>
      <w:r>
        <w:t>Customer Notif</w:t>
      </w:r>
      <w:r w:rsidR="00B36171">
        <w:t>i</w:t>
      </w:r>
      <w:r>
        <w:t>cations</w:t>
      </w:r>
      <w:bookmarkEnd w:id="43"/>
    </w:p>
    <w:p w14:paraId="3E4DB45B" w14:textId="15AC648C" w:rsidR="00F543A2" w:rsidRPr="00F543A2" w:rsidRDefault="00B36171">
      <w:pPr>
        <w:pStyle w:val="Heading3"/>
      </w:pPr>
      <w:r>
        <w:t xml:space="preserve">Customers will receive a notification when one of the </w:t>
      </w:r>
      <w:proofErr w:type="gramStart"/>
      <w:r>
        <w:t>aforementioned reviews</w:t>
      </w:r>
      <w:proofErr w:type="gramEnd"/>
      <w:r>
        <w:t xml:space="preserve"> generates. The notification will outline the reason</w:t>
      </w:r>
      <w:r w:rsidR="00F543A2">
        <w:t xml:space="preserve"> for</w:t>
      </w:r>
      <w:r>
        <w:t xml:space="preserve"> the notification, the source from which </w:t>
      </w:r>
      <w:r w:rsidR="00DE709E">
        <w:t xml:space="preserve">Services Australia </w:t>
      </w:r>
      <w:r>
        <w:t xml:space="preserve">received information (DE), the action the customer is required to undertake, the timeframe in which they have to undertake the action and the appropriate Social Security </w:t>
      </w:r>
      <w:r w:rsidR="0079681D">
        <w:t xml:space="preserve">or ABSTUDY Policy Manual </w:t>
      </w:r>
      <w:proofErr w:type="gramStart"/>
      <w:r w:rsidR="0079681D">
        <w:t xml:space="preserve">reference </w:t>
      </w:r>
      <w:r>
        <w:t xml:space="preserve"> for</w:t>
      </w:r>
      <w:proofErr w:type="gramEnd"/>
      <w:r>
        <w:t xml:space="preserve"> the </w:t>
      </w:r>
      <w:r w:rsidR="00F543A2">
        <w:t>issued notice</w:t>
      </w:r>
      <w:r>
        <w:t>.</w:t>
      </w:r>
      <w:r w:rsidR="00F543A2">
        <w:t xml:space="preserve"> Customers will also be notified of any administrative actions taken and the outcome, following any of the processes outlined above.</w:t>
      </w:r>
      <w:r w:rsidR="007F6812">
        <w:t xml:space="preserve"> See Appendix B for examples of </w:t>
      </w:r>
      <w:r w:rsidR="00C73B25">
        <w:t xml:space="preserve">customer </w:t>
      </w:r>
      <w:r w:rsidR="007F6812">
        <w:t>notifications.</w:t>
      </w:r>
    </w:p>
    <w:p w14:paraId="63181A32" w14:textId="77777777" w:rsidR="00E066AF" w:rsidRPr="00294045" w:rsidRDefault="00E066AF" w:rsidP="00480768">
      <w:pPr>
        <w:pStyle w:val="Heading1"/>
      </w:pPr>
      <w:bookmarkStart w:id="44" w:name="_Toc58929594"/>
      <w:r w:rsidRPr="00294045">
        <w:t>Time Limits Applying to the Program</w:t>
      </w:r>
      <w:bookmarkEnd w:id="44"/>
    </w:p>
    <w:p w14:paraId="2EB1DE3C" w14:textId="119A020A" w:rsidR="007C3363" w:rsidRPr="00FF511F" w:rsidRDefault="007C3363" w:rsidP="00FF511F">
      <w:pPr>
        <w:pStyle w:val="Heading2"/>
        <w:rPr>
          <w:b w:val="0"/>
          <w:bCs/>
        </w:rPr>
      </w:pPr>
      <w:r w:rsidRPr="00FF511F">
        <w:rPr>
          <w:b w:val="0"/>
          <w:bCs/>
        </w:rPr>
        <w:t xml:space="preserve">This </w:t>
      </w:r>
      <w:r w:rsidR="00C62682" w:rsidRPr="00FF511F">
        <w:rPr>
          <w:b w:val="0"/>
          <w:bCs/>
        </w:rPr>
        <w:t>Program</w:t>
      </w:r>
      <w:r w:rsidRPr="00FF511F">
        <w:rPr>
          <w:b w:val="0"/>
          <w:bCs/>
        </w:rPr>
        <w:t xml:space="preserve"> is</w:t>
      </w:r>
      <w:r w:rsidR="006E1F85" w:rsidRPr="00FF511F">
        <w:rPr>
          <w:b w:val="0"/>
          <w:bCs/>
        </w:rPr>
        <w:t xml:space="preserve"> intended to continue indefinitely to</w:t>
      </w:r>
      <w:r w:rsidRPr="00FF511F">
        <w:rPr>
          <w:b w:val="0"/>
          <w:bCs/>
        </w:rPr>
        <w:t xml:space="preserve"> facilitat</w:t>
      </w:r>
      <w:r w:rsidR="006E1F85" w:rsidRPr="00FF511F">
        <w:rPr>
          <w:b w:val="0"/>
          <w:bCs/>
        </w:rPr>
        <w:t>e</w:t>
      </w:r>
      <w:r w:rsidRPr="00FF511F">
        <w:rPr>
          <w:b w:val="0"/>
          <w:bCs/>
        </w:rPr>
        <w:t xml:space="preserve"> the </w:t>
      </w:r>
      <w:r w:rsidR="006E1F85" w:rsidRPr="00FF511F">
        <w:rPr>
          <w:b w:val="0"/>
          <w:bCs/>
        </w:rPr>
        <w:t>effective operation of the</w:t>
      </w:r>
      <w:r w:rsidR="00864204" w:rsidRPr="00FF511F">
        <w:rPr>
          <w:b w:val="0"/>
          <w:bCs/>
        </w:rPr>
        <w:t xml:space="preserve"> </w:t>
      </w:r>
      <w:r w:rsidRPr="00FF511F">
        <w:rPr>
          <w:b w:val="0"/>
          <w:bCs/>
        </w:rPr>
        <w:t xml:space="preserve">TCSI system and to </w:t>
      </w:r>
      <w:r w:rsidR="006E1F85" w:rsidRPr="00FF511F">
        <w:rPr>
          <w:b w:val="0"/>
          <w:bCs/>
        </w:rPr>
        <w:t>provide confidence that</w:t>
      </w:r>
      <w:r w:rsidRPr="00FF511F">
        <w:rPr>
          <w:b w:val="0"/>
          <w:bCs/>
        </w:rPr>
        <w:t xml:space="preserve"> DE is only disclosing information about mutual customers.</w:t>
      </w:r>
      <w:r w:rsidR="00E12F96" w:rsidRPr="00FF511F">
        <w:rPr>
          <w:b w:val="0"/>
          <w:bCs/>
        </w:rPr>
        <w:t xml:space="preserve"> The Protocol will be reviewed every three years.</w:t>
      </w:r>
    </w:p>
    <w:p w14:paraId="75EDC76B" w14:textId="3AE68662" w:rsidR="00E8127A" w:rsidRPr="00FF511F" w:rsidRDefault="00E066AF" w:rsidP="00FF511F">
      <w:pPr>
        <w:pStyle w:val="Heading2"/>
        <w:rPr>
          <w:b w:val="0"/>
          <w:bCs/>
        </w:rPr>
      </w:pPr>
      <w:r w:rsidRPr="00FF511F">
        <w:rPr>
          <w:b w:val="0"/>
          <w:bCs/>
        </w:rPr>
        <w:t xml:space="preserve">Students </w:t>
      </w:r>
      <w:r w:rsidR="0023450E" w:rsidRPr="00FF511F">
        <w:rPr>
          <w:b w:val="0"/>
          <w:bCs/>
        </w:rPr>
        <w:t>are</w:t>
      </w:r>
      <w:r w:rsidRPr="00FF511F">
        <w:rPr>
          <w:b w:val="0"/>
          <w:bCs/>
        </w:rPr>
        <w:t xml:space="preserve"> deemed mutual customers for the period in which they are a </w:t>
      </w:r>
      <w:r w:rsidR="00AE2FC8" w:rsidRPr="00FF511F">
        <w:rPr>
          <w:b w:val="0"/>
          <w:bCs/>
        </w:rPr>
        <w:t xml:space="preserve">Services Australia </w:t>
      </w:r>
      <w:r w:rsidRPr="00FF511F">
        <w:rPr>
          <w:b w:val="0"/>
          <w:bCs/>
        </w:rPr>
        <w:t xml:space="preserve">claimant. The record of the student being deemed a mutual customer, </w:t>
      </w:r>
      <w:r w:rsidR="0023450E" w:rsidRPr="00FF511F">
        <w:rPr>
          <w:b w:val="0"/>
          <w:bCs/>
        </w:rPr>
        <w:t>is</w:t>
      </w:r>
      <w:r w:rsidRPr="00FF511F">
        <w:rPr>
          <w:b w:val="0"/>
          <w:bCs/>
        </w:rPr>
        <w:t xml:space="preserve"> end-dated from the day they cease to be a student payment recipient (generally this is 13 weeks after </w:t>
      </w:r>
      <w:r w:rsidR="0079681D" w:rsidRPr="00FF511F">
        <w:rPr>
          <w:b w:val="0"/>
          <w:bCs/>
        </w:rPr>
        <w:t>cancelation of payment</w:t>
      </w:r>
      <w:r w:rsidR="00CB4C69" w:rsidRPr="00FF511F">
        <w:rPr>
          <w:b w:val="0"/>
          <w:bCs/>
        </w:rPr>
        <w:t>)</w:t>
      </w:r>
      <w:r w:rsidR="0079681D" w:rsidRPr="00FF511F">
        <w:rPr>
          <w:b w:val="0"/>
          <w:bCs/>
        </w:rPr>
        <w:t>.</w:t>
      </w:r>
      <w:r w:rsidR="00E8127A" w:rsidRPr="00FF511F">
        <w:rPr>
          <w:b w:val="0"/>
          <w:bCs/>
        </w:rPr>
        <w:t xml:space="preserve"> </w:t>
      </w:r>
    </w:p>
    <w:p w14:paraId="4453704C" w14:textId="170C34C5" w:rsidR="000B18AC" w:rsidRPr="00FF511F" w:rsidRDefault="00E5160D" w:rsidP="00FF511F">
      <w:pPr>
        <w:pStyle w:val="Heading2"/>
        <w:rPr>
          <w:b w:val="0"/>
          <w:bCs/>
        </w:rPr>
      </w:pPr>
      <w:r w:rsidRPr="00FF511F">
        <w:rPr>
          <w:b w:val="0"/>
          <w:bCs/>
        </w:rPr>
        <w:t>Services Australia may act upon information received from DE</w:t>
      </w:r>
      <w:r w:rsidR="00F16870" w:rsidRPr="00FF511F">
        <w:rPr>
          <w:b w:val="0"/>
          <w:bCs/>
        </w:rPr>
        <w:t xml:space="preserve">, </w:t>
      </w:r>
      <w:r w:rsidR="00F27EBA" w:rsidRPr="00FF511F">
        <w:rPr>
          <w:b w:val="0"/>
          <w:bCs/>
        </w:rPr>
        <w:t xml:space="preserve">when there is a change in study circumstances which may affect </w:t>
      </w:r>
      <w:r w:rsidR="00652D92" w:rsidRPr="00FF511F">
        <w:rPr>
          <w:b w:val="0"/>
          <w:bCs/>
        </w:rPr>
        <w:t xml:space="preserve">the </w:t>
      </w:r>
      <w:r w:rsidR="00F27EBA" w:rsidRPr="00FF511F">
        <w:rPr>
          <w:b w:val="0"/>
          <w:bCs/>
        </w:rPr>
        <w:t xml:space="preserve">payment eligibility or entitlement for a </w:t>
      </w:r>
      <w:r w:rsidR="0091158F" w:rsidRPr="00FF511F">
        <w:rPr>
          <w:b w:val="0"/>
          <w:bCs/>
        </w:rPr>
        <w:t xml:space="preserve">mutual </w:t>
      </w:r>
      <w:r w:rsidR="00F27EBA" w:rsidRPr="00FF511F">
        <w:rPr>
          <w:b w:val="0"/>
          <w:bCs/>
        </w:rPr>
        <w:t xml:space="preserve">customer. </w:t>
      </w:r>
      <w:r w:rsidR="00F16870" w:rsidRPr="00FF511F">
        <w:rPr>
          <w:b w:val="0"/>
          <w:bCs/>
        </w:rPr>
        <w:t xml:space="preserve">The </w:t>
      </w:r>
      <w:r w:rsidR="00F27EBA" w:rsidRPr="00FF511F">
        <w:rPr>
          <w:b w:val="0"/>
          <w:bCs/>
        </w:rPr>
        <w:lastRenderedPageBreak/>
        <w:t xml:space="preserve">general </w:t>
      </w:r>
      <w:r w:rsidR="00F16870" w:rsidRPr="00FF511F">
        <w:rPr>
          <w:b w:val="0"/>
          <w:bCs/>
        </w:rPr>
        <w:t xml:space="preserve">timing of the action </w:t>
      </w:r>
      <w:r w:rsidR="00F27EBA" w:rsidRPr="00FF511F">
        <w:rPr>
          <w:b w:val="0"/>
          <w:bCs/>
        </w:rPr>
        <w:t>be</w:t>
      </w:r>
      <w:r w:rsidR="00DD19DB" w:rsidRPr="00FF511F">
        <w:rPr>
          <w:b w:val="0"/>
          <w:bCs/>
        </w:rPr>
        <w:t>ing</w:t>
      </w:r>
      <w:r w:rsidR="00F27EBA" w:rsidRPr="00FF511F">
        <w:rPr>
          <w:b w:val="0"/>
          <w:bCs/>
        </w:rPr>
        <w:t xml:space="preserve"> undertaken will be within 14 days of the information being received.</w:t>
      </w:r>
    </w:p>
    <w:p w14:paraId="2AC68C71" w14:textId="77777777" w:rsidR="007A7FD7" w:rsidRDefault="007A7FD7" w:rsidP="00E066AF">
      <w:pPr>
        <w:pStyle w:val="Heading1"/>
      </w:pPr>
      <w:bookmarkStart w:id="45" w:name="_Toc32829513"/>
      <w:bookmarkStart w:id="46" w:name="_Toc23510493"/>
      <w:bookmarkStart w:id="47" w:name="_Toc23510494"/>
      <w:bookmarkStart w:id="48" w:name="_Toc23510496"/>
      <w:bookmarkStart w:id="49" w:name="_Toc23510498"/>
      <w:bookmarkStart w:id="50" w:name="_Toc23510499"/>
      <w:bookmarkStart w:id="51" w:name="_Toc23510500"/>
      <w:bookmarkStart w:id="52" w:name="_Toc480810438"/>
      <w:bookmarkStart w:id="53" w:name="_Toc23510507"/>
      <w:bookmarkStart w:id="54" w:name="_Toc23510508"/>
      <w:bookmarkStart w:id="55" w:name="_Toc23510509"/>
      <w:bookmarkStart w:id="56" w:name="_Toc23510510"/>
      <w:bookmarkStart w:id="57" w:name="_Toc23510511"/>
      <w:bookmarkStart w:id="58" w:name="_Toc23510512"/>
      <w:bookmarkStart w:id="59" w:name="_Toc23510523"/>
      <w:bookmarkStart w:id="60" w:name="_Toc58929595"/>
      <w:bookmarkStart w:id="61" w:name="_Toc480455724"/>
      <w:bookmarkStart w:id="62" w:name="_Toc480473226"/>
      <w:bookmarkEnd w:id="45"/>
      <w:bookmarkEnd w:id="46"/>
      <w:bookmarkEnd w:id="47"/>
      <w:bookmarkEnd w:id="48"/>
      <w:bookmarkEnd w:id="49"/>
      <w:bookmarkEnd w:id="50"/>
      <w:bookmarkEnd w:id="51"/>
      <w:bookmarkEnd w:id="52"/>
      <w:bookmarkEnd w:id="53"/>
      <w:bookmarkEnd w:id="54"/>
      <w:bookmarkEnd w:id="55"/>
      <w:bookmarkEnd w:id="56"/>
      <w:bookmarkEnd w:id="57"/>
      <w:bookmarkEnd w:id="58"/>
      <w:r>
        <w:t>Public Notice of the Program</w:t>
      </w:r>
      <w:bookmarkEnd w:id="59"/>
      <w:bookmarkEnd w:id="60"/>
    </w:p>
    <w:p w14:paraId="518B4EB3" w14:textId="6A91E11F" w:rsidR="002606A8" w:rsidRPr="00FF511F" w:rsidRDefault="002606A8" w:rsidP="00FF511F">
      <w:pPr>
        <w:pStyle w:val="Heading2"/>
        <w:rPr>
          <w:b w:val="0"/>
          <w:bCs/>
        </w:rPr>
      </w:pPr>
      <w:r w:rsidRPr="00FF511F">
        <w:rPr>
          <w:b w:val="0"/>
          <w:bCs/>
        </w:rPr>
        <w:t xml:space="preserve">Services Australia </w:t>
      </w:r>
      <w:r w:rsidR="00B14B32" w:rsidRPr="00FF511F">
        <w:rPr>
          <w:b w:val="0"/>
          <w:bCs/>
        </w:rPr>
        <w:t xml:space="preserve">has notified </w:t>
      </w:r>
      <w:r w:rsidRPr="00FF511F">
        <w:rPr>
          <w:b w:val="0"/>
          <w:bCs/>
        </w:rPr>
        <w:t xml:space="preserve">the public of our intention to undertake this program by publishing a notice in the Federal Register of Legislation - Gazettes </w:t>
      </w:r>
      <w:r w:rsidR="00B14B32" w:rsidRPr="00FF511F">
        <w:rPr>
          <w:b w:val="0"/>
          <w:bCs/>
        </w:rPr>
        <w:t xml:space="preserve">as per Gazette </w:t>
      </w:r>
      <w:r w:rsidR="00B14B32" w:rsidRPr="00496048">
        <w:t>C2021G00041</w:t>
      </w:r>
      <w:r w:rsidR="00CC1821">
        <w:rPr>
          <w:b w:val="0"/>
          <w:bCs/>
        </w:rPr>
        <w:t>,</w:t>
      </w:r>
      <w:r w:rsidR="00CC1821" w:rsidRPr="00496048">
        <w:t xml:space="preserve"> </w:t>
      </w:r>
      <w:r w:rsidR="00CC1821" w:rsidRPr="00496048">
        <w:rPr>
          <w:b w:val="0"/>
          <w:bCs/>
        </w:rPr>
        <w:t>published on the 14 January 2021</w:t>
      </w:r>
      <w:r w:rsidRPr="00FF511F">
        <w:rPr>
          <w:b w:val="0"/>
          <w:bCs/>
        </w:rPr>
        <w:t>.</w:t>
      </w:r>
      <w:r w:rsidR="00C13D52">
        <w:rPr>
          <w:b w:val="0"/>
          <w:bCs/>
        </w:rPr>
        <w:t xml:space="preserve"> </w:t>
      </w:r>
    </w:p>
    <w:p w14:paraId="1E06A604" w14:textId="797653C6" w:rsidR="006357E6" w:rsidRPr="00FF511F" w:rsidRDefault="00CC6252" w:rsidP="00FF511F">
      <w:pPr>
        <w:pStyle w:val="Heading2"/>
        <w:rPr>
          <w:b w:val="0"/>
          <w:bCs/>
        </w:rPr>
      </w:pPr>
      <w:r w:rsidRPr="00FF511F">
        <w:rPr>
          <w:b w:val="0"/>
          <w:bCs/>
        </w:rPr>
        <w:t xml:space="preserve">This </w:t>
      </w:r>
      <w:r w:rsidR="0023450E" w:rsidRPr="00FF511F">
        <w:rPr>
          <w:b w:val="0"/>
          <w:bCs/>
        </w:rPr>
        <w:t>Protocol</w:t>
      </w:r>
      <w:r w:rsidRPr="00FF511F">
        <w:rPr>
          <w:b w:val="0"/>
          <w:bCs/>
        </w:rPr>
        <w:t xml:space="preserve"> </w:t>
      </w:r>
      <w:r w:rsidR="00891ED2" w:rsidRPr="00FF511F">
        <w:rPr>
          <w:b w:val="0"/>
          <w:bCs/>
        </w:rPr>
        <w:t xml:space="preserve">has been made publicly available via the </w:t>
      </w:r>
      <w:r w:rsidR="00E123FE" w:rsidRPr="00FF511F">
        <w:rPr>
          <w:b w:val="0"/>
          <w:bCs/>
        </w:rPr>
        <w:t xml:space="preserve">DE and </w:t>
      </w:r>
      <w:r w:rsidR="002F412F" w:rsidRPr="00FF511F">
        <w:rPr>
          <w:b w:val="0"/>
          <w:bCs/>
        </w:rPr>
        <w:t>Services Australia</w:t>
      </w:r>
      <w:r w:rsidR="00891ED2" w:rsidRPr="00FF511F">
        <w:rPr>
          <w:b w:val="0"/>
          <w:bCs/>
        </w:rPr>
        <w:t xml:space="preserve"> website</w:t>
      </w:r>
      <w:r w:rsidR="00E123FE" w:rsidRPr="00FF511F">
        <w:rPr>
          <w:b w:val="0"/>
          <w:bCs/>
        </w:rPr>
        <w:t>s</w:t>
      </w:r>
      <w:r w:rsidR="00891ED2" w:rsidRPr="00FF511F">
        <w:rPr>
          <w:b w:val="0"/>
          <w:bCs/>
        </w:rPr>
        <w:t xml:space="preserve">. </w:t>
      </w:r>
    </w:p>
    <w:p w14:paraId="078FD77C" w14:textId="2149F836" w:rsidR="002606A8" w:rsidRPr="00FF511F" w:rsidRDefault="002606A8" w:rsidP="00FF511F">
      <w:pPr>
        <w:pStyle w:val="Heading2"/>
        <w:rPr>
          <w:b w:val="0"/>
          <w:bCs/>
        </w:rPr>
      </w:pPr>
      <w:r w:rsidRPr="00FF511F">
        <w:rPr>
          <w:b w:val="0"/>
          <w:bCs/>
        </w:rPr>
        <w:t xml:space="preserve">OAIC has been consulted in developing this Protocol. </w:t>
      </w:r>
    </w:p>
    <w:p w14:paraId="1FF3A645" w14:textId="77777777" w:rsidR="002606A8" w:rsidRPr="00FF511F" w:rsidRDefault="002606A8" w:rsidP="00D60BF9">
      <w:pPr>
        <w:rPr>
          <w:bCs/>
        </w:rPr>
      </w:pPr>
    </w:p>
    <w:p w14:paraId="001BAE90" w14:textId="77777777" w:rsidR="00294045" w:rsidRPr="00294045" w:rsidRDefault="00294045" w:rsidP="00E066AF">
      <w:pPr>
        <w:pStyle w:val="Heading1"/>
      </w:pPr>
      <w:bookmarkStart w:id="63" w:name="_Toc23510524"/>
      <w:bookmarkStart w:id="64" w:name="_Toc58929596"/>
      <w:r w:rsidRPr="00294045">
        <w:t>Reasons for Conducting the Program</w:t>
      </w:r>
      <w:bookmarkEnd w:id="61"/>
      <w:bookmarkEnd w:id="62"/>
      <w:bookmarkEnd w:id="63"/>
      <w:bookmarkEnd w:id="64"/>
    </w:p>
    <w:p w14:paraId="41048C40" w14:textId="77777777" w:rsidR="00294045" w:rsidRPr="00E4650A" w:rsidRDefault="00294045" w:rsidP="00E066AF">
      <w:pPr>
        <w:pStyle w:val="Heading2"/>
      </w:pPr>
      <w:bookmarkStart w:id="65" w:name="_Toc480455725"/>
      <w:bookmarkStart w:id="66" w:name="_Toc480473227"/>
      <w:bookmarkStart w:id="67" w:name="_Toc23510525"/>
      <w:bookmarkStart w:id="68" w:name="_Toc58929597"/>
      <w:r w:rsidRPr="00E4650A">
        <w:t>Relationship with the Agencies</w:t>
      </w:r>
      <w:r w:rsidR="001A518D">
        <w:t>’</w:t>
      </w:r>
      <w:r w:rsidRPr="00E4650A">
        <w:t xml:space="preserve"> Lawful Functions</w:t>
      </w:r>
      <w:bookmarkEnd w:id="65"/>
      <w:bookmarkEnd w:id="66"/>
      <w:bookmarkEnd w:id="67"/>
      <w:bookmarkEnd w:id="68"/>
    </w:p>
    <w:p w14:paraId="66854718" w14:textId="3B37C6A7" w:rsidR="00C23D71" w:rsidRDefault="002F412F" w:rsidP="00E066AF">
      <w:pPr>
        <w:pStyle w:val="Heading3"/>
      </w:pPr>
      <w:r>
        <w:t>Services Australia</w:t>
      </w:r>
      <w:r w:rsidDel="009735C2">
        <w:t xml:space="preserve"> </w:t>
      </w:r>
      <w:r w:rsidR="00A9690E">
        <w:t xml:space="preserve">and </w:t>
      </w:r>
      <w:r w:rsidR="00706A38">
        <w:t>DE</w:t>
      </w:r>
      <w:r w:rsidR="00C23D71">
        <w:t xml:space="preserve"> </w:t>
      </w:r>
      <w:r w:rsidR="0023450E">
        <w:t>have worked together to</w:t>
      </w:r>
      <w:r w:rsidR="00C23D71">
        <w:t xml:space="preserve"> develop </w:t>
      </w:r>
      <w:r w:rsidR="00A9690E">
        <w:t>the TCSI</w:t>
      </w:r>
      <w:r w:rsidR="00480768">
        <w:t xml:space="preserve"> s</w:t>
      </w:r>
      <w:r w:rsidR="00A9690E">
        <w:t>olution, w</w:t>
      </w:r>
      <w:r w:rsidR="0023450E">
        <w:t>hich aims to:</w:t>
      </w:r>
    </w:p>
    <w:p w14:paraId="220555C3" w14:textId="7B2D7AC8" w:rsidR="00C23D71" w:rsidRDefault="00C23D71" w:rsidP="00E066AF">
      <w:pPr>
        <w:pStyle w:val="Heading4"/>
      </w:pPr>
      <w:r>
        <w:t>reduce duplication of information and effort for student</w:t>
      </w:r>
      <w:r w:rsidR="00DE709E">
        <w:t>s</w:t>
      </w:r>
      <w:r>
        <w:t xml:space="preserve">, </w:t>
      </w:r>
      <w:r w:rsidR="00D57FFE">
        <w:t>P</w:t>
      </w:r>
      <w:r>
        <w:t xml:space="preserve">roviders and the </w:t>
      </w:r>
      <w:proofErr w:type="gramStart"/>
      <w:r>
        <w:t>Government;</w:t>
      </w:r>
      <w:proofErr w:type="gramEnd"/>
    </w:p>
    <w:p w14:paraId="41B7DED9" w14:textId="77777777" w:rsidR="00B57F10" w:rsidRDefault="00B57F10" w:rsidP="00E066AF">
      <w:pPr>
        <w:pStyle w:val="Heading4"/>
      </w:pPr>
      <w:r>
        <w:t xml:space="preserve">improve availability of data and data </w:t>
      </w:r>
      <w:proofErr w:type="gramStart"/>
      <w:r>
        <w:t>quality;</w:t>
      </w:r>
      <w:proofErr w:type="gramEnd"/>
    </w:p>
    <w:p w14:paraId="45ED0FD6" w14:textId="77777777" w:rsidR="00B57F10" w:rsidRDefault="00B57F10" w:rsidP="00E066AF">
      <w:pPr>
        <w:pStyle w:val="Heading4"/>
      </w:pPr>
      <w:r>
        <w:t>improve student claim processing timeframes and payment accuracy; and</w:t>
      </w:r>
    </w:p>
    <w:p w14:paraId="328558E3" w14:textId="38FEED3C" w:rsidR="00B57F10" w:rsidRDefault="00B57F10" w:rsidP="00E066AF">
      <w:pPr>
        <w:pStyle w:val="Heading4"/>
      </w:pPr>
      <w:r>
        <w:t>reduce student debt and increase data integrity with near real-time updates on change of circumstances</w:t>
      </w:r>
      <w:r w:rsidR="002629A1">
        <w:t>.</w:t>
      </w:r>
    </w:p>
    <w:p w14:paraId="40AFD5A1" w14:textId="26EBD909" w:rsidR="00B57F10" w:rsidRDefault="00C80594" w:rsidP="00E066AF">
      <w:pPr>
        <w:pStyle w:val="Heading3"/>
      </w:pPr>
      <w:r>
        <w:t>The Program</w:t>
      </w:r>
      <w:r w:rsidR="00CC6252">
        <w:t xml:space="preserve"> is related to </w:t>
      </w:r>
      <w:r w:rsidR="008C2032">
        <w:t>Service Australia’s</w:t>
      </w:r>
      <w:r w:rsidR="00CC6252">
        <w:t xml:space="preserve"> lawful function of </w:t>
      </w:r>
      <w:r w:rsidR="00B57F10">
        <w:t>delivering welfare payments and services to students and trainees by ensuring that only those claimants who meet the</w:t>
      </w:r>
      <w:r w:rsidR="00CC6252">
        <w:t xml:space="preserve"> payment eligibility and entitlement </w:t>
      </w:r>
      <w:r w:rsidR="00B57F10">
        <w:t>requirements under the relevant laws</w:t>
      </w:r>
      <w:r w:rsidR="002629A1">
        <w:t xml:space="preserve"> receive those payments and services</w:t>
      </w:r>
      <w:r w:rsidR="00B57F10">
        <w:t xml:space="preserve">, </w:t>
      </w:r>
      <w:r w:rsidR="002629A1">
        <w:t xml:space="preserve">and that those students and trainees </w:t>
      </w:r>
      <w:r w:rsidR="00DE2BC2">
        <w:t xml:space="preserve">receive </w:t>
      </w:r>
      <w:r w:rsidR="00CC6252">
        <w:t xml:space="preserve">the correct </w:t>
      </w:r>
      <w:r w:rsidR="00DE2BC2">
        <w:t xml:space="preserve">amount of </w:t>
      </w:r>
      <w:r w:rsidR="00CC6252">
        <w:t>payment</w:t>
      </w:r>
      <w:r w:rsidR="00B57F10">
        <w:t xml:space="preserve"> and/or service</w:t>
      </w:r>
      <w:r w:rsidR="00CC6252">
        <w:t xml:space="preserve">. </w:t>
      </w:r>
      <w:r w:rsidR="00640C6E">
        <w:t xml:space="preserve">In administering social security law, section 8 of the </w:t>
      </w:r>
      <w:r w:rsidR="0023450E">
        <w:t>SSA Act</w:t>
      </w:r>
      <w:r w:rsidR="00640C6E">
        <w:t xml:space="preserve"> requires</w:t>
      </w:r>
      <w:r w:rsidR="002F412F">
        <w:t xml:space="preserve"> that </w:t>
      </w:r>
      <w:r w:rsidR="00D57FFE">
        <w:t xml:space="preserve">the Secretary </w:t>
      </w:r>
      <w:r w:rsidR="006E3853">
        <w:t xml:space="preserve">have </w:t>
      </w:r>
      <w:r w:rsidR="00D57FFE">
        <w:t>regard</w:t>
      </w:r>
      <w:r w:rsidR="00640C6E">
        <w:t xml:space="preserve"> to </w:t>
      </w:r>
      <w:proofErr w:type="gramStart"/>
      <w:r w:rsidR="00640C6E">
        <w:t>a number of</w:t>
      </w:r>
      <w:proofErr w:type="gramEnd"/>
      <w:r w:rsidR="00640C6E">
        <w:t xml:space="preserve"> principles of administration including:</w:t>
      </w:r>
    </w:p>
    <w:p w14:paraId="34A3612C" w14:textId="77777777" w:rsidR="00640C6E" w:rsidRPr="00891ED2" w:rsidRDefault="0023450E" w:rsidP="00E066AF">
      <w:pPr>
        <w:pStyle w:val="Heading4"/>
      </w:pPr>
      <w:r>
        <w:t>t</w:t>
      </w:r>
      <w:r w:rsidR="00640C6E" w:rsidRPr="00891ED2">
        <w:t>he delivery of services under the law in a fair, courteous, prompt and cost</w:t>
      </w:r>
      <w:r w:rsidR="00640C6E" w:rsidRPr="00891ED2">
        <w:rPr>
          <w:rFonts w:ascii="Cambria Math" w:hAnsi="Cambria Math" w:cs="Cambria Math"/>
        </w:rPr>
        <w:t>‑</w:t>
      </w:r>
      <w:r w:rsidR="00640C6E" w:rsidRPr="00891ED2">
        <w:t xml:space="preserve">efficient </w:t>
      </w:r>
      <w:proofErr w:type="gramStart"/>
      <w:r w:rsidR="00640C6E" w:rsidRPr="00891ED2">
        <w:t>manner;</w:t>
      </w:r>
      <w:proofErr w:type="gramEnd"/>
    </w:p>
    <w:p w14:paraId="7AD3AD19" w14:textId="77777777" w:rsidR="00640C6E" w:rsidRPr="00891ED2" w:rsidRDefault="0023450E" w:rsidP="00E066AF">
      <w:pPr>
        <w:pStyle w:val="Heading4"/>
      </w:pPr>
      <w:r>
        <w:t>t</w:t>
      </w:r>
      <w:r w:rsidR="00640C6E" w:rsidRPr="00891ED2">
        <w:t>he development of a process of monitoring and evaluating delivery of programs with an emphasis on the impact of programs on social security recipients;</w:t>
      </w:r>
      <w:r>
        <w:t xml:space="preserve"> and</w:t>
      </w:r>
    </w:p>
    <w:p w14:paraId="25A4894D" w14:textId="77777777" w:rsidR="00640C6E" w:rsidRPr="00640C6E" w:rsidRDefault="0023450E" w:rsidP="00E066AF">
      <w:pPr>
        <w:pStyle w:val="Heading4"/>
      </w:pPr>
      <w:r>
        <w:t>t</w:t>
      </w:r>
      <w:r w:rsidR="00640C6E" w:rsidRPr="00891ED2">
        <w:t>he establishment of procedures to ensure that abuses of the social security system are minimised</w:t>
      </w:r>
      <w:r w:rsidR="00640C6E" w:rsidRPr="00640C6E">
        <w:t>.</w:t>
      </w:r>
    </w:p>
    <w:p w14:paraId="34341422" w14:textId="26DFDB82" w:rsidR="00640C6E" w:rsidRDefault="00640C6E" w:rsidP="00E066AF">
      <w:pPr>
        <w:pStyle w:val="Heading3"/>
      </w:pPr>
      <w:r>
        <w:t xml:space="preserve">This </w:t>
      </w:r>
      <w:r w:rsidR="0023450E">
        <w:t>P</w:t>
      </w:r>
      <w:r>
        <w:t xml:space="preserve">rogram addresses these principles of administration by ensuring that student claimants receiving a payment are and continue to be eligible to receive the payment and are entitled to receive the amount of payment they are receiving, in a way that reduces the reporting burden on Providers and students. </w:t>
      </w:r>
    </w:p>
    <w:p w14:paraId="4CF528EE" w14:textId="65CCD4F3" w:rsidR="00C72AFE" w:rsidRDefault="001A518D" w:rsidP="0041297F">
      <w:pPr>
        <w:pStyle w:val="Heading3"/>
      </w:pPr>
      <w:r>
        <w:t xml:space="preserve">The Program is related to </w:t>
      </w:r>
      <w:r w:rsidR="00706A38">
        <w:t>DE</w:t>
      </w:r>
      <w:r>
        <w:t>’s lawful functions of administering the HESA and the VSLA.</w:t>
      </w:r>
      <w:r w:rsidR="002F29BC">
        <w:t xml:space="preserve"> This is because the Program furthers the efficient and proper administration of the higher </w:t>
      </w:r>
      <w:r w:rsidR="002F29BC">
        <w:lastRenderedPageBreak/>
        <w:t xml:space="preserve">education and vocational education </w:t>
      </w:r>
      <w:proofErr w:type="gramStart"/>
      <w:r w:rsidR="002F29BC">
        <w:t>sectors as a whole, including</w:t>
      </w:r>
      <w:proofErr w:type="gramEnd"/>
      <w:r w:rsidR="002F29BC">
        <w:t xml:space="preserve"> ensuring that students are correctly identified where there are transactions involving multiple Commonwealth agencies. </w:t>
      </w:r>
    </w:p>
    <w:p w14:paraId="742FFE5C" w14:textId="77777777" w:rsidR="00557727" w:rsidRDefault="00557727" w:rsidP="00557727">
      <w:pPr>
        <w:pStyle w:val="Heading2"/>
      </w:pPr>
      <w:bookmarkStart w:id="69" w:name="_Toc480455727"/>
      <w:bookmarkStart w:id="70" w:name="_Toc480473229"/>
      <w:bookmarkStart w:id="71" w:name="_Toc23510527"/>
      <w:bookmarkStart w:id="72" w:name="_Toc58929598"/>
      <w:r w:rsidRPr="00294045">
        <w:t>Legal Authority</w:t>
      </w:r>
      <w:bookmarkEnd w:id="69"/>
      <w:bookmarkEnd w:id="70"/>
      <w:bookmarkEnd w:id="71"/>
      <w:bookmarkEnd w:id="72"/>
    </w:p>
    <w:p w14:paraId="703E0FB2" w14:textId="7E1257C6" w:rsidR="007E5944" w:rsidRDefault="007E5944" w:rsidP="007E5944">
      <w:pPr>
        <w:pStyle w:val="Heading3"/>
      </w:pPr>
      <w:r>
        <w:t xml:space="preserve">Providers are required to report specific information to </w:t>
      </w:r>
      <w:r w:rsidR="00706A38">
        <w:t>DE</w:t>
      </w:r>
      <w:r>
        <w:t xml:space="preserve"> in accordance with</w:t>
      </w:r>
      <w:r w:rsidRPr="00D739C4">
        <w:t xml:space="preserve"> the </w:t>
      </w:r>
      <w:r>
        <w:t>HESA</w:t>
      </w:r>
      <w:r w:rsidRPr="00D739C4">
        <w:t xml:space="preserve"> and the </w:t>
      </w:r>
      <w:r>
        <w:t xml:space="preserve">VSLA.  </w:t>
      </w:r>
    </w:p>
    <w:p w14:paraId="17ED1EAC" w14:textId="77777777" w:rsidR="007E5944" w:rsidRDefault="00254016" w:rsidP="007E5944">
      <w:pPr>
        <w:pStyle w:val="Heading3"/>
      </w:pPr>
      <w:r>
        <w:t>Services Australia</w:t>
      </w:r>
      <w:r w:rsidR="007E5944">
        <w:t xml:space="preserve"> is governed by the following acts (collectively referred to as social security law hereafter) for the administration of student related payments and services:</w:t>
      </w:r>
    </w:p>
    <w:p w14:paraId="7EBE5B76" w14:textId="77777777" w:rsidR="007E5944" w:rsidRDefault="007E5944" w:rsidP="007E5944">
      <w:pPr>
        <w:pStyle w:val="Heading4"/>
      </w:pPr>
      <w:r w:rsidRPr="00C80594">
        <w:rPr>
          <w:i/>
        </w:rPr>
        <w:t>Social Security Act 1991</w:t>
      </w:r>
      <w:r>
        <w:t xml:space="preserve"> (</w:t>
      </w:r>
      <w:proofErr w:type="spellStart"/>
      <w:r>
        <w:t>Cth</w:t>
      </w:r>
      <w:proofErr w:type="spellEnd"/>
      <w:proofErr w:type="gramStart"/>
      <w:r>
        <w:t>);</w:t>
      </w:r>
      <w:proofErr w:type="gramEnd"/>
      <w:r>
        <w:t xml:space="preserve"> </w:t>
      </w:r>
    </w:p>
    <w:p w14:paraId="67C7B9CC" w14:textId="77777777" w:rsidR="007E5944" w:rsidRDefault="007E5944" w:rsidP="007E5944">
      <w:pPr>
        <w:pStyle w:val="Heading4"/>
      </w:pPr>
      <w:r>
        <w:t>SSA Act; and</w:t>
      </w:r>
    </w:p>
    <w:p w14:paraId="742FB1BB" w14:textId="77777777" w:rsidR="007E5944" w:rsidRPr="00D739C4" w:rsidRDefault="007E5944" w:rsidP="007E5944">
      <w:pPr>
        <w:pStyle w:val="Heading4"/>
      </w:pPr>
      <w:r w:rsidRPr="00C80594">
        <w:rPr>
          <w:i/>
        </w:rPr>
        <w:t>Student Assistance Act 1973</w:t>
      </w:r>
      <w:r>
        <w:t xml:space="preserve"> (</w:t>
      </w:r>
      <w:proofErr w:type="spellStart"/>
      <w:r>
        <w:t>Cth</w:t>
      </w:r>
      <w:proofErr w:type="spellEnd"/>
      <w:r>
        <w:t xml:space="preserve">) </w:t>
      </w:r>
    </w:p>
    <w:p w14:paraId="64C23EFA" w14:textId="32F3119D" w:rsidR="007E5944" w:rsidRDefault="007E5944" w:rsidP="007E5944">
      <w:pPr>
        <w:pStyle w:val="Heading3"/>
      </w:pPr>
      <w:r>
        <w:t>Under social security law, a claim for a social security payment</w:t>
      </w:r>
      <w:r w:rsidR="00254016">
        <w:t xml:space="preserve"> may only be granted if the delegate</w:t>
      </w:r>
      <w:r>
        <w:t xml:space="preserve"> is satisfied that the claimant is eligible </w:t>
      </w:r>
      <w:r w:rsidR="00F10F2D">
        <w:t xml:space="preserve">(or qualified) </w:t>
      </w:r>
      <w:r>
        <w:t xml:space="preserve">for the social security payment and entitled </w:t>
      </w:r>
      <w:r w:rsidR="00F10F2D">
        <w:t xml:space="preserve">(or payable) </w:t>
      </w:r>
      <w:r>
        <w:t>to receive it in accordance with social security law.</w:t>
      </w:r>
    </w:p>
    <w:p w14:paraId="0AF6FA54" w14:textId="77777777" w:rsidR="007E5944" w:rsidRDefault="007E5944" w:rsidP="005E45F4">
      <w:pPr>
        <w:pStyle w:val="Heading3"/>
      </w:pPr>
      <w:r>
        <w:t xml:space="preserve">To be eligible for a social security payment, a student generally needs to be studying full time and meet other requirements including Australian residence rules, income and assets tests and be doing an approved course or full time Australian Apprenticeship. </w:t>
      </w:r>
    </w:p>
    <w:p w14:paraId="3FEE2582" w14:textId="20BE3D8B" w:rsidR="007E5944" w:rsidRDefault="007E5944" w:rsidP="007E5944">
      <w:pPr>
        <w:pStyle w:val="Heading3"/>
      </w:pPr>
      <w:r>
        <w:t xml:space="preserve">The disclosure by </w:t>
      </w:r>
      <w:r w:rsidR="00706A38">
        <w:t>DE</w:t>
      </w:r>
      <w:r>
        <w:t xml:space="preserve"> of students</w:t>
      </w:r>
      <w:r w:rsidR="00F10F2D">
        <w:t>’</w:t>
      </w:r>
      <w:r>
        <w:t xml:space="preserve"> personal information to </w:t>
      </w:r>
      <w:r w:rsidR="00254016">
        <w:t>Services Australia</w:t>
      </w:r>
      <w:r>
        <w:t xml:space="preserve"> falls within two of the exceptions listed in APP 6.</w:t>
      </w:r>
    </w:p>
    <w:p w14:paraId="2E21C086" w14:textId="77777777" w:rsidR="007E5944" w:rsidRDefault="007E5944" w:rsidP="007E5944">
      <w:pPr>
        <w:pStyle w:val="Heading4"/>
      </w:pPr>
      <w:r>
        <w:t xml:space="preserve">APP 6.2(b) provides that use or disclosure for a secondary purpose is permitted if </w:t>
      </w:r>
      <w:r w:rsidRPr="005557C5">
        <w:t>the use or disclosure of the information is required or authorised by or under an Australian law or a court/tribunal order</w:t>
      </w:r>
      <w:r>
        <w:t>.</w:t>
      </w:r>
    </w:p>
    <w:p w14:paraId="5FE3956B" w14:textId="77777777" w:rsidR="007E5944" w:rsidRDefault="007E5944" w:rsidP="007E5944">
      <w:pPr>
        <w:pStyle w:val="Heading5"/>
      </w:pPr>
      <w:r>
        <w:t xml:space="preserve">Disclosure of information collected under HESA or VSLA to a person employed or engaged by </w:t>
      </w:r>
      <w:r w:rsidR="000B5B69">
        <w:t>Services Australia</w:t>
      </w:r>
      <w:r>
        <w:t xml:space="preserve"> (an agency that administers the </w:t>
      </w:r>
      <w:r w:rsidRPr="00E23342">
        <w:rPr>
          <w:i/>
        </w:rPr>
        <w:t>Human Services (Centrelink) Act 1997</w:t>
      </w:r>
      <w:r>
        <w:rPr>
          <w:i/>
        </w:rPr>
        <w:t xml:space="preserve">; </w:t>
      </w:r>
      <w:r w:rsidRPr="00C23D71">
        <w:t>the</w:t>
      </w:r>
      <w:r w:rsidRPr="00E23342">
        <w:rPr>
          <w:i/>
        </w:rPr>
        <w:t xml:space="preserve"> </w:t>
      </w:r>
      <w:r w:rsidRPr="005B2B97">
        <w:rPr>
          <w:i/>
        </w:rPr>
        <w:t>Social Security Act 1991</w:t>
      </w:r>
      <w:r>
        <w:rPr>
          <w:i/>
        </w:rPr>
        <w:t xml:space="preserve"> </w:t>
      </w:r>
      <w:r w:rsidRPr="00E23342">
        <w:t xml:space="preserve">and </w:t>
      </w:r>
      <w:r>
        <w:t xml:space="preserve">the </w:t>
      </w:r>
      <w:r w:rsidRPr="00E23342">
        <w:rPr>
          <w:i/>
        </w:rPr>
        <w:t>Student Assistance Act</w:t>
      </w:r>
      <w:r>
        <w:t xml:space="preserve"> 1973), for the purposes of performing functions or duties of </w:t>
      </w:r>
      <w:r w:rsidR="000B5B69">
        <w:t>Services Australia</w:t>
      </w:r>
      <w:r>
        <w:t xml:space="preserve">, is authorised by law under the section 180-23 of the HESA and 93(1) of the VSLA.  </w:t>
      </w:r>
    </w:p>
    <w:p w14:paraId="38E80150" w14:textId="77777777" w:rsidR="007E5944" w:rsidRDefault="007E5944" w:rsidP="007E5944">
      <w:pPr>
        <w:pStyle w:val="Heading4"/>
      </w:pPr>
      <w:r>
        <w:t xml:space="preserve">APP 6.2(a) permits a secondary use if the individual about whom the information relates would reasonably expect an entity to use or disclose the information for a secondary purpose which is related (or ‘directly related’ in the case of sensitive information) to the primary purpose.  </w:t>
      </w:r>
    </w:p>
    <w:p w14:paraId="378732EE" w14:textId="77777777" w:rsidR="007E5944" w:rsidRDefault="007E5944" w:rsidP="007E5944">
      <w:pPr>
        <w:pStyle w:val="Heading5"/>
      </w:pPr>
      <w:r>
        <w:t xml:space="preserve">Students who receive Commonwealth assistance by accepting a Commonwealth supported place or deferring their tuition fees through the Higher </w:t>
      </w:r>
      <w:r w:rsidR="00DD2861">
        <w:t>Education</w:t>
      </w:r>
      <w:r>
        <w:t xml:space="preserve"> Loan Program are required to complete a Commonwealth Assistance Form (CAF). The CAF specifies how the student’s personal informat</w:t>
      </w:r>
      <w:r w:rsidR="000D62A2">
        <w:t xml:space="preserve">ion </w:t>
      </w:r>
      <w:r w:rsidR="008C2032">
        <w:t>is</w:t>
      </w:r>
      <w:r w:rsidR="000D62A2">
        <w:t xml:space="preserve"> used and disclosed. </w:t>
      </w:r>
      <w:r>
        <w:t xml:space="preserve">If a provider develops their own </w:t>
      </w:r>
      <w:proofErr w:type="gramStart"/>
      <w:r>
        <w:t>CAF</w:t>
      </w:r>
      <w:proofErr w:type="gramEnd"/>
      <w:r>
        <w:t xml:space="preserve"> it must, at a minimum, contain the information specified on the Commonwealth CAF.</w:t>
      </w:r>
    </w:p>
    <w:p w14:paraId="58B99845" w14:textId="223F8C4B" w:rsidR="007E5944" w:rsidRPr="00AE33DC" w:rsidRDefault="007E5944" w:rsidP="007E5944">
      <w:pPr>
        <w:pStyle w:val="Heading5"/>
      </w:pPr>
      <w:r w:rsidRPr="00AE33DC">
        <w:t xml:space="preserve">In addition, </w:t>
      </w:r>
      <w:r w:rsidR="009735C2">
        <w:t>S</w:t>
      </w:r>
      <w:r w:rsidR="000B5B69">
        <w:t xml:space="preserve">ervices </w:t>
      </w:r>
      <w:r w:rsidR="009735C2">
        <w:t>A</w:t>
      </w:r>
      <w:r w:rsidR="000B5B69">
        <w:t>ustralia</w:t>
      </w:r>
      <w:r w:rsidRPr="00AE33DC">
        <w:t xml:space="preserve"> presents upfront notification to applicants for a student claim to advise that </w:t>
      </w:r>
      <w:r w:rsidR="009735C2">
        <w:t>S</w:t>
      </w:r>
      <w:r w:rsidR="000B5B69">
        <w:t xml:space="preserve">ervices </w:t>
      </w:r>
      <w:r w:rsidR="009735C2">
        <w:t>A</w:t>
      </w:r>
      <w:r w:rsidR="000B5B69">
        <w:t>ustralia</w:t>
      </w:r>
      <w:r w:rsidRPr="00AE33DC">
        <w:t xml:space="preserve"> may collect information from third parties, including other government agencies. This initial notice then links to </w:t>
      </w:r>
      <w:r w:rsidR="009735C2">
        <w:t>S</w:t>
      </w:r>
      <w:r w:rsidR="000B5B69">
        <w:t xml:space="preserve">ervices </w:t>
      </w:r>
      <w:r w:rsidR="009735C2">
        <w:t>A</w:t>
      </w:r>
      <w:r w:rsidR="000B5B69">
        <w:t>ustralia</w:t>
      </w:r>
      <w:r w:rsidRPr="00AE33DC">
        <w:t xml:space="preserve">’s </w:t>
      </w:r>
      <w:r w:rsidR="00F10F2D">
        <w:t>p</w:t>
      </w:r>
      <w:r w:rsidRPr="00AE33DC">
        <w:t xml:space="preserve">rivacy </w:t>
      </w:r>
      <w:r w:rsidR="008C2032" w:rsidRPr="00AE33DC">
        <w:t>page, which</w:t>
      </w:r>
      <w:r w:rsidRPr="00AE33DC">
        <w:t xml:space="preserve"> contains </w:t>
      </w:r>
      <w:r w:rsidR="009735C2">
        <w:t>S</w:t>
      </w:r>
      <w:r w:rsidR="000B5B69">
        <w:t xml:space="preserve">ervices </w:t>
      </w:r>
      <w:r w:rsidR="009735C2">
        <w:lastRenderedPageBreak/>
        <w:t>A</w:t>
      </w:r>
      <w:r w:rsidR="000B5B69">
        <w:t>ustralia</w:t>
      </w:r>
      <w:r w:rsidRPr="00AE33DC">
        <w:t>’s privacy policy and a range of discrete privacy notices for the public to read.</w:t>
      </w:r>
    </w:p>
    <w:p w14:paraId="631377AA" w14:textId="77777777" w:rsidR="007E5944" w:rsidRDefault="009735C2" w:rsidP="007E5944">
      <w:pPr>
        <w:pStyle w:val="Heading5"/>
      </w:pPr>
      <w:r>
        <w:t>S</w:t>
      </w:r>
      <w:r w:rsidR="000B5B69">
        <w:t xml:space="preserve">ervices </w:t>
      </w:r>
      <w:r>
        <w:t>A</w:t>
      </w:r>
      <w:r w:rsidR="000B5B69">
        <w:t>ustralia</w:t>
      </w:r>
      <w:r w:rsidR="007E5944" w:rsidRPr="00C72AFE">
        <w:rPr>
          <w:rFonts w:cs="Arial"/>
          <w:lang w:eastAsia="en-AU"/>
        </w:rPr>
        <w:t xml:space="preserve"> will continue to update and amend all relevant communications to ensure they correctly reflect where </w:t>
      </w:r>
      <w:r w:rsidR="00DD2861">
        <w:rPr>
          <w:rFonts w:cs="Arial"/>
          <w:lang w:eastAsia="en-AU"/>
        </w:rPr>
        <w:t>Services Australia</w:t>
      </w:r>
      <w:r w:rsidR="007E5944" w:rsidRPr="00C72AFE">
        <w:rPr>
          <w:rFonts w:cs="Arial"/>
          <w:lang w:eastAsia="en-AU"/>
        </w:rPr>
        <w:t xml:space="preserve"> collects personal information from</w:t>
      </w:r>
      <w:r w:rsidR="00DD2861">
        <w:rPr>
          <w:rFonts w:cs="Arial"/>
          <w:lang w:eastAsia="en-AU"/>
        </w:rPr>
        <w:t xml:space="preserve">. </w:t>
      </w:r>
    </w:p>
    <w:p w14:paraId="7CE2A479" w14:textId="77777777" w:rsidR="00557727" w:rsidRDefault="00557727" w:rsidP="00557727">
      <w:pPr>
        <w:pStyle w:val="Heading2"/>
      </w:pPr>
      <w:bookmarkStart w:id="73" w:name="_Toc32829526"/>
      <w:bookmarkStart w:id="74" w:name="_Toc23510528"/>
      <w:bookmarkStart w:id="75" w:name="_Toc58929599"/>
      <w:bookmarkStart w:id="76" w:name="_Toc480455732"/>
      <w:bookmarkStart w:id="77" w:name="_Toc480473234"/>
      <w:bookmarkEnd w:id="73"/>
      <w:r>
        <w:t>Disclosure of Information Provisions</w:t>
      </w:r>
      <w:bookmarkEnd w:id="74"/>
      <w:bookmarkEnd w:id="75"/>
    </w:p>
    <w:p w14:paraId="1DCCAF7E" w14:textId="77777777" w:rsidR="00557727" w:rsidRPr="00D062D1" w:rsidRDefault="00557727" w:rsidP="00557727">
      <w:pPr>
        <w:pStyle w:val="Heading3"/>
      </w:pPr>
      <w:r>
        <w:t xml:space="preserve">Section 202(2)(b) of the </w:t>
      </w:r>
      <w:r w:rsidR="00DD2861" w:rsidRPr="00C5311F">
        <w:t>SSA Act</w:t>
      </w:r>
      <w:r>
        <w:t xml:space="preserve"> authorises disclosure of protected information</w:t>
      </w:r>
      <w:r>
        <w:rPr>
          <w:rStyle w:val="FootnoteReference"/>
        </w:rPr>
        <w:footnoteReference w:id="4"/>
      </w:r>
      <w:r>
        <w:t xml:space="preserve"> for a range of purposes including where the disclosure is for the purposes of the social security law and/or for the purposes of </w:t>
      </w:r>
      <w:r w:rsidRPr="00D062D1">
        <w:t xml:space="preserve">the </w:t>
      </w:r>
      <w:r w:rsidRPr="009048E7">
        <w:rPr>
          <w:i/>
        </w:rPr>
        <w:t>Student Assistance Act 1973</w:t>
      </w:r>
      <w:r w:rsidR="00C5311F">
        <w:rPr>
          <w:i/>
        </w:rPr>
        <w:t xml:space="preserve"> </w:t>
      </w:r>
      <w:r w:rsidR="00C5311F">
        <w:t>(</w:t>
      </w:r>
      <w:proofErr w:type="spellStart"/>
      <w:r w:rsidR="00C5311F">
        <w:t>Cth</w:t>
      </w:r>
      <w:proofErr w:type="spellEnd"/>
      <w:r w:rsidR="00C5311F">
        <w:t>)</w:t>
      </w:r>
      <w:r>
        <w:t>.</w:t>
      </w:r>
    </w:p>
    <w:p w14:paraId="5075403A" w14:textId="2FDF31A9" w:rsidR="00557727" w:rsidRDefault="008C1AF8" w:rsidP="00557727">
      <w:pPr>
        <w:pStyle w:val="Heading3"/>
      </w:pPr>
      <w:r>
        <w:t>Section 180-23 of the H</w:t>
      </w:r>
      <w:r w:rsidR="009E79D7">
        <w:t xml:space="preserve">igher </w:t>
      </w:r>
      <w:r>
        <w:t>E</w:t>
      </w:r>
      <w:r w:rsidR="009E79D7">
        <w:t xml:space="preserve">ducation </w:t>
      </w:r>
      <w:r>
        <w:t>S</w:t>
      </w:r>
      <w:r w:rsidR="009E79D7">
        <w:t xml:space="preserve">upport </w:t>
      </w:r>
      <w:r>
        <w:t>A</w:t>
      </w:r>
      <w:r w:rsidR="009E79D7">
        <w:t>ct</w:t>
      </w:r>
      <w:r>
        <w:t xml:space="preserve"> give effect to the TCSI data sharing arrangement, </w:t>
      </w:r>
      <w:r w:rsidR="00557727">
        <w:t>authoris</w:t>
      </w:r>
      <w:r>
        <w:t>ing</w:t>
      </w:r>
      <w:r w:rsidR="00557727">
        <w:t xml:space="preserve"> the disclosure of protected information to </w:t>
      </w:r>
      <w:r w:rsidR="009735C2">
        <w:t>S</w:t>
      </w:r>
      <w:r w:rsidR="000B5B69">
        <w:t xml:space="preserve">ervices </w:t>
      </w:r>
      <w:r w:rsidR="009735C2">
        <w:t>A</w:t>
      </w:r>
      <w:r w:rsidR="000B5B69">
        <w:t>ustralia</w:t>
      </w:r>
      <w:r>
        <w:t>.</w:t>
      </w:r>
    </w:p>
    <w:p w14:paraId="3D2DC78A" w14:textId="77777777" w:rsidR="00F333E7" w:rsidRPr="00294045" w:rsidRDefault="00F333E7" w:rsidP="00F333E7">
      <w:pPr>
        <w:pStyle w:val="Heading2"/>
      </w:pPr>
      <w:bookmarkStart w:id="78" w:name="_Toc58929600"/>
      <w:bookmarkStart w:id="79" w:name="_Toc23510526"/>
      <w:bookmarkEnd w:id="76"/>
      <w:bookmarkEnd w:id="77"/>
      <w:r w:rsidRPr="00294045">
        <w:t>Alternative Methods</w:t>
      </w:r>
      <w:bookmarkEnd w:id="78"/>
    </w:p>
    <w:p w14:paraId="204CC423" w14:textId="68AAD536" w:rsidR="00E40463" w:rsidRPr="00611819" w:rsidRDefault="007C3363" w:rsidP="00827F60">
      <w:pPr>
        <w:pStyle w:val="Heading3"/>
        <w:rPr>
          <w:b/>
        </w:rPr>
      </w:pPr>
      <w:r>
        <w:t xml:space="preserve">Following </w:t>
      </w:r>
      <w:proofErr w:type="gramStart"/>
      <w:r>
        <w:t>a number of</w:t>
      </w:r>
      <w:proofErr w:type="gramEnd"/>
      <w:r>
        <w:t xml:space="preserve"> assessments, including Privacy Impact Assessment</w:t>
      </w:r>
      <w:r w:rsidR="008E4CCC">
        <w:t>s</w:t>
      </w:r>
      <w:r>
        <w:t xml:space="preserve">, the TCSI </w:t>
      </w:r>
      <w:r w:rsidR="00B57271">
        <w:t>solution</w:t>
      </w:r>
      <w:r>
        <w:t xml:space="preserve"> was deemed </w:t>
      </w:r>
      <w:r w:rsidR="00B57271">
        <w:t>to</w:t>
      </w:r>
      <w:r w:rsidR="005B2B97">
        <w:t xml:space="preserve"> be an appropriate</w:t>
      </w:r>
      <w:r w:rsidR="00B57271">
        <w:t xml:space="preserve"> approach from a privacy perspective</w:t>
      </w:r>
      <w:r>
        <w:t xml:space="preserve"> to sharing student data</w:t>
      </w:r>
      <w:r w:rsidR="00B57271">
        <w:t xml:space="preserve"> to enable</w:t>
      </w:r>
      <w:r>
        <w:t xml:space="preserve"> </w:t>
      </w:r>
      <w:r w:rsidR="000B5B69">
        <w:t>Services Australi</w:t>
      </w:r>
      <w:r w:rsidR="00B57271">
        <w:t>a to fulfil its lawful functions</w:t>
      </w:r>
      <w:r>
        <w:t>. In undertaking these assessments, t</w:t>
      </w:r>
      <w:r w:rsidR="00EE7922">
        <w:t>he following alternative measures were considered</w:t>
      </w:r>
      <w:r>
        <w:t>:</w:t>
      </w:r>
    </w:p>
    <w:p w14:paraId="3C0D45BC" w14:textId="6F5D2EAF" w:rsidR="00E40463" w:rsidRDefault="00E40463" w:rsidP="00611819">
      <w:pPr>
        <w:pStyle w:val="Heading4"/>
      </w:pPr>
      <w:r>
        <w:t xml:space="preserve">Use of </w:t>
      </w:r>
      <w:r w:rsidR="000B5B69">
        <w:t>Services Australia</w:t>
      </w:r>
      <w:r>
        <w:t xml:space="preserve">’s coercive information gathering powers under </w:t>
      </w:r>
      <w:r w:rsidR="00DD2861">
        <w:t>section</w:t>
      </w:r>
      <w:r w:rsidR="008E4CCC">
        <w:t> </w:t>
      </w:r>
      <w:r>
        <w:t xml:space="preserve">195 of the </w:t>
      </w:r>
      <w:r w:rsidR="00DD2861">
        <w:t>SSA Act</w:t>
      </w:r>
      <w:r>
        <w:t>. This measure would have allowed for th</w:t>
      </w:r>
      <w:r w:rsidR="00E27922">
        <w:t xml:space="preserve">e collection of data for a class of people (students). It was determined that while lawful, this approach was not </w:t>
      </w:r>
      <w:r w:rsidR="00B57271">
        <w:t>preferable from a privacy perspective</w:t>
      </w:r>
      <w:r w:rsidR="00EE7922">
        <w:t>.</w:t>
      </w:r>
    </w:p>
    <w:p w14:paraId="64392106" w14:textId="0F9C5B01" w:rsidR="00EE7922" w:rsidRPr="00E40463" w:rsidRDefault="00EE7922" w:rsidP="00611819">
      <w:pPr>
        <w:pStyle w:val="Heading4"/>
      </w:pPr>
      <w:r>
        <w:t xml:space="preserve">Continuation of the </w:t>
      </w:r>
      <w:r w:rsidR="00B57271">
        <w:t>CART</w:t>
      </w:r>
      <w:r>
        <w:t xml:space="preserve"> process</w:t>
      </w:r>
      <w:r w:rsidR="00731910">
        <w:t xml:space="preserve">, in which </w:t>
      </w:r>
      <w:r w:rsidR="000B5B69">
        <w:t xml:space="preserve">Services Australia </w:t>
      </w:r>
      <w:r w:rsidR="00731910">
        <w:t xml:space="preserve">requests data directly from </w:t>
      </w:r>
      <w:r w:rsidR="00DD2861">
        <w:t>P</w:t>
      </w:r>
      <w:r w:rsidR="00731910">
        <w:t xml:space="preserve">roviders to determine payment entitlement and eligibility. This process was determined to be burdensome for Providers and </w:t>
      </w:r>
      <w:r w:rsidR="009E79D7">
        <w:t>Services Australia and</w:t>
      </w:r>
      <w:r w:rsidR="00731910">
        <w:t xml:space="preserve"> had limited success in correctly matching student and customer records.</w:t>
      </w:r>
    </w:p>
    <w:p w14:paraId="7B2827EB" w14:textId="6A671BC3" w:rsidR="00F333E7" w:rsidRDefault="00F333E7" w:rsidP="00827F60">
      <w:pPr>
        <w:pStyle w:val="Heading3"/>
      </w:pPr>
      <w:r w:rsidRPr="00590B1B">
        <w:t xml:space="preserve">The TCSI </w:t>
      </w:r>
      <w:r w:rsidR="00590B1B">
        <w:t>solution</w:t>
      </w:r>
      <w:r w:rsidR="00BA0F78">
        <w:t xml:space="preserve"> intends to improve the rigour and effectiveness of data matching and sharing arrangements</w:t>
      </w:r>
      <w:r w:rsidRPr="00590B1B">
        <w:t xml:space="preserve"> </w:t>
      </w:r>
      <w:r w:rsidR="00BA0F78">
        <w:t xml:space="preserve">for education data and create opportunities for automation. </w:t>
      </w:r>
      <w:r w:rsidRPr="00590B1B">
        <w:t xml:space="preserve"> </w:t>
      </w:r>
      <w:r w:rsidR="00BA0F78">
        <w:t>In addition to creating administrative efficiencies for Providers and Government, it protects the privacy of students and i</w:t>
      </w:r>
      <w:r w:rsidR="00824586">
        <w:t xml:space="preserve">ncreases payment accuracy for customers in receipt of a student payment from </w:t>
      </w:r>
      <w:r w:rsidR="00B57271">
        <w:t>Services Australia</w:t>
      </w:r>
      <w:r w:rsidR="00824586">
        <w:t>.</w:t>
      </w:r>
      <w:r w:rsidR="00BA0F78">
        <w:t xml:space="preserve"> </w:t>
      </w:r>
    </w:p>
    <w:p w14:paraId="4E906220" w14:textId="77777777" w:rsidR="00B57271" w:rsidRPr="00590B1B" w:rsidRDefault="00B57271" w:rsidP="002A6FEE">
      <w:pPr>
        <w:pStyle w:val="Heading3"/>
      </w:pPr>
      <w:r>
        <w:t xml:space="preserve">In addition to the measures set out in this Protocol, Services Australia will continue to develop and implement other targeted compliance measures, which may not rely on data matching, to ensure the integrity of student payments. </w:t>
      </w:r>
    </w:p>
    <w:p w14:paraId="141133EE" w14:textId="77777777" w:rsidR="00294045" w:rsidRDefault="00294045" w:rsidP="00F333E7">
      <w:pPr>
        <w:pStyle w:val="Heading2"/>
      </w:pPr>
      <w:bookmarkStart w:id="80" w:name="_Toc58929601"/>
      <w:r w:rsidRPr="00E4650A">
        <w:t>Social Considerations</w:t>
      </w:r>
      <w:bookmarkEnd w:id="79"/>
      <w:bookmarkEnd w:id="80"/>
    </w:p>
    <w:p w14:paraId="7301DDD1" w14:textId="77777777" w:rsidR="00E00CAD" w:rsidRPr="00E00CAD" w:rsidRDefault="00E00CAD" w:rsidP="00E066AF">
      <w:pPr>
        <w:pStyle w:val="Heading3"/>
      </w:pPr>
      <w:r w:rsidRPr="00E00CAD">
        <w:t xml:space="preserve">There are three key social issues associated with the </w:t>
      </w:r>
      <w:r w:rsidR="00A74F79">
        <w:t>Program</w:t>
      </w:r>
      <w:r w:rsidRPr="00E00CAD">
        <w:t>:</w:t>
      </w:r>
    </w:p>
    <w:p w14:paraId="29A78926" w14:textId="4F7B28B1" w:rsidR="00E00CAD" w:rsidRPr="00E00CAD" w:rsidRDefault="00E00CAD" w:rsidP="00E066AF">
      <w:pPr>
        <w:pStyle w:val="Heading4"/>
      </w:pPr>
      <w:r w:rsidRPr="00E00CAD">
        <w:t xml:space="preserve">only persons entitled to receive payments from </w:t>
      </w:r>
      <w:r w:rsidR="00B57271">
        <w:t>Services Australia</w:t>
      </w:r>
      <w:r w:rsidR="00B57271" w:rsidRPr="00E00CAD">
        <w:t xml:space="preserve"> </w:t>
      </w:r>
      <w:r w:rsidRPr="00E00CAD">
        <w:t xml:space="preserve">do so </w:t>
      </w:r>
      <w:r w:rsidR="00DC428A">
        <w:t xml:space="preserve">and they receive payments </w:t>
      </w:r>
      <w:r w:rsidRPr="00E00CAD">
        <w:t xml:space="preserve">at the correct </w:t>
      </w:r>
      <w:proofErr w:type="gramStart"/>
      <w:r w:rsidRPr="00E00CAD">
        <w:t>rate</w:t>
      </w:r>
      <w:r w:rsidR="00D629D0">
        <w:t>s</w:t>
      </w:r>
      <w:r w:rsidRPr="00E00CAD">
        <w:t>;</w:t>
      </w:r>
      <w:proofErr w:type="gramEnd"/>
    </w:p>
    <w:p w14:paraId="1B4531C7" w14:textId="0C5240A4" w:rsidR="00E00CAD" w:rsidRPr="00E00CAD" w:rsidRDefault="00E00CAD" w:rsidP="00E066AF">
      <w:pPr>
        <w:pStyle w:val="Heading4"/>
      </w:pPr>
      <w:r w:rsidRPr="00E00CAD">
        <w:t xml:space="preserve">the </w:t>
      </w:r>
      <w:r w:rsidR="00DC428A">
        <w:t xml:space="preserve">integrity of the </w:t>
      </w:r>
      <w:r w:rsidRPr="00E00CAD">
        <w:t>income support system</w:t>
      </w:r>
      <w:r w:rsidR="00DC428A">
        <w:t>; and</w:t>
      </w:r>
    </w:p>
    <w:p w14:paraId="489350E5" w14:textId="77777777" w:rsidR="00E00CAD" w:rsidRPr="00E00CAD" w:rsidRDefault="00E00CAD" w:rsidP="00E066AF">
      <w:pPr>
        <w:pStyle w:val="Heading4"/>
      </w:pPr>
      <w:r w:rsidRPr="00E00CAD">
        <w:t>the protection of an individual’s right to privacy.</w:t>
      </w:r>
    </w:p>
    <w:p w14:paraId="56934478" w14:textId="77777777" w:rsidR="00E00CAD" w:rsidRPr="00E00CAD" w:rsidRDefault="00E00CAD" w:rsidP="00E066AF">
      <w:pPr>
        <w:pStyle w:val="Heading3"/>
      </w:pPr>
      <w:r w:rsidRPr="00E00CAD">
        <w:lastRenderedPageBreak/>
        <w:t>Allied to th</w:t>
      </w:r>
      <w:r w:rsidR="00070178">
        <w:t>e</w:t>
      </w:r>
      <w:r w:rsidRPr="00E00CAD">
        <w:t xml:space="preserve">se issues is a concern for social justice. </w:t>
      </w:r>
      <w:proofErr w:type="gramStart"/>
      <w:r w:rsidRPr="00E00CAD">
        <w:t>In particular, there</w:t>
      </w:r>
      <w:proofErr w:type="gramEnd"/>
      <w:r w:rsidRPr="00E00CAD">
        <w:t xml:space="preserve"> is strong support in the community for an income support system that directs available funds to those most in need of assistance. The program helps to achieve this in two ways:</w:t>
      </w:r>
    </w:p>
    <w:p w14:paraId="6AB6A348" w14:textId="27185C8C" w:rsidR="00E00CAD" w:rsidRPr="00E00CAD" w:rsidRDefault="00E00CAD" w:rsidP="00E066AF">
      <w:pPr>
        <w:pStyle w:val="Heading4"/>
      </w:pPr>
      <w:r w:rsidRPr="00E00CAD">
        <w:t xml:space="preserve">strengthening controls in </w:t>
      </w:r>
      <w:r w:rsidR="000B5B69">
        <w:t>Services Australia’s</w:t>
      </w:r>
      <w:r w:rsidRPr="00E00CAD">
        <w:t xml:space="preserve"> payment systems reduces the </w:t>
      </w:r>
      <w:r w:rsidR="00070178">
        <w:t xml:space="preserve">cost of programs, allowing </w:t>
      </w:r>
      <w:r w:rsidR="00B57271">
        <w:t>G</w:t>
      </w:r>
      <w:r w:rsidR="00070178">
        <w:t>overnment funds to be redirected</w:t>
      </w:r>
      <w:r w:rsidR="00070178" w:rsidRPr="00E00CAD">
        <w:t xml:space="preserve"> </w:t>
      </w:r>
      <w:r w:rsidRPr="00E00CAD">
        <w:t>to other priorities; and</w:t>
      </w:r>
    </w:p>
    <w:p w14:paraId="7BA2EC60" w14:textId="77777777" w:rsidR="00E00CAD" w:rsidRPr="00E00CAD" w:rsidRDefault="00E00CAD" w:rsidP="00E066AF">
      <w:pPr>
        <w:pStyle w:val="Heading4"/>
      </w:pPr>
      <w:r w:rsidRPr="00E00CAD">
        <w:t>effective controls in payment systems</w:t>
      </w:r>
      <w:r w:rsidR="00070178">
        <w:t xml:space="preserve"> encourage community involvement in voluntary compliance</w:t>
      </w:r>
      <w:r w:rsidR="00BC6058">
        <w:t xml:space="preserve"> and helps to increase public confidence in the system</w:t>
      </w:r>
      <w:r w:rsidRPr="00E00CAD">
        <w:t>.</w:t>
      </w:r>
    </w:p>
    <w:p w14:paraId="34531C4E" w14:textId="6003E82A" w:rsidR="00CC6252" w:rsidRPr="00E4650A" w:rsidRDefault="00E00CAD" w:rsidP="00E066AF">
      <w:pPr>
        <w:pStyle w:val="Heading3"/>
      </w:pPr>
      <w:r w:rsidRPr="00E00CAD">
        <w:t xml:space="preserve">Suitable safeguards against unreasonable intrusion into the privacy of individuals are built into the data-matching arrangements. Matching is conducted in accordance with the Information Commissioner’s </w:t>
      </w:r>
      <w:r w:rsidRPr="009A1C3A">
        <w:t xml:space="preserve">Guidelines on </w:t>
      </w:r>
      <w:r w:rsidR="00BC6058">
        <w:t>d</w:t>
      </w:r>
      <w:r w:rsidRPr="009A1C3A">
        <w:t>ata</w:t>
      </w:r>
      <w:r w:rsidR="008C2032">
        <w:t xml:space="preserve"> </w:t>
      </w:r>
      <w:r w:rsidRPr="009A1C3A">
        <w:t>matching in Australian Government Administration</w:t>
      </w:r>
      <w:r w:rsidR="00762035">
        <w:t>.</w:t>
      </w:r>
    </w:p>
    <w:p w14:paraId="7371B8DF" w14:textId="77777777" w:rsidR="00294045" w:rsidRDefault="00294045" w:rsidP="00E066AF">
      <w:pPr>
        <w:pStyle w:val="Heading2"/>
      </w:pPr>
      <w:bookmarkStart w:id="81" w:name="_Toc23510530"/>
      <w:bookmarkStart w:id="82" w:name="_Toc58929602"/>
      <w:bookmarkStart w:id="83" w:name="_Toc480455734"/>
      <w:bookmarkStart w:id="84" w:name="_Toc480473236"/>
      <w:r w:rsidRPr="00294045">
        <w:t>Prior Data Match Programs</w:t>
      </w:r>
      <w:bookmarkEnd w:id="81"/>
      <w:bookmarkEnd w:id="82"/>
    </w:p>
    <w:p w14:paraId="72FCB19C" w14:textId="5271CCD3" w:rsidR="00C71D82" w:rsidRDefault="00C71D82" w:rsidP="00E066AF">
      <w:pPr>
        <w:pStyle w:val="Heading3"/>
      </w:pPr>
      <w:r>
        <w:t xml:space="preserve">The current </w:t>
      </w:r>
      <w:r w:rsidR="00496048">
        <w:t xml:space="preserve">Data Matching </w:t>
      </w:r>
      <w:r>
        <w:t xml:space="preserve">Protocol is for the continuation of the program under the previous </w:t>
      </w:r>
      <w:r w:rsidR="00496048">
        <w:t xml:space="preserve">Data Matching </w:t>
      </w:r>
      <w:r>
        <w:t>Protocol</w:t>
      </w:r>
      <w:r w:rsidR="00496048">
        <w:t xml:space="preserve"> published on the 14 January 2021</w:t>
      </w:r>
      <w:r>
        <w:t>.</w:t>
      </w:r>
    </w:p>
    <w:p w14:paraId="6CCE295D" w14:textId="3B80B891" w:rsidR="004B4BB6" w:rsidRDefault="00C71D82" w:rsidP="00E066AF">
      <w:pPr>
        <w:pStyle w:val="Heading3"/>
      </w:pPr>
      <w:r>
        <w:t>Prior to the</w:t>
      </w:r>
      <w:r w:rsidR="00496048">
        <w:t xml:space="preserve"> Data Matching</w:t>
      </w:r>
      <w:r>
        <w:t xml:space="preserve"> Protocol</w:t>
      </w:r>
      <w:r w:rsidR="003C1BC0">
        <w:t>, student data was collected</w:t>
      </w:r>
      <w:r w:rsidR="002A6FEE">
        <w:t xml:space="preserve"> by Services Australia</w:t>
      </w:r>
      <w:r w:rsidR="003C1BC0">
        <w:t xml:space="preserve"> directly from </w:t>
      </w:r>
      <w:r w:rsidR="00590B1B">
        <w:t>Providers</w:t>
      </w:r>
      <w:r w:rsidR="004B4BB6">
        <w:t xml:space="preserve"> through the </w:t>
      </w:r>
      <w:r w:rsidR="00480768">
        <w:t xml:space="preserve">CART </w:t>
      </w:r>
      <w:r w:rsidR="004B4BB6">
        <w:t xml:space="preserve">process </w:t>
      </w:r>
      <w:r w:rsidR="003C1BC0">
        <w:t>an</w:t>
      </w:r>
      <w:r w:rsidR="00590B1B">
        <w:t xml:space="preserve">d </w:t>
      </w:r>
      <w:r w:rsidR="003C1BC0">
        <w:t>manual compliance processes</w:t>
      </w:r>
      <w:r w:rsidR="004B4BB6">
        <w:t xml:space="preserve">. </w:t>
      </w:r>
    </w:p>
    <w:p w14:paraId="3C15B36C" w14:textId="54356638" w:rsidR="004B4BB6" w:rsidRDefault="004B4BB6" w:rsidP="00E066AF">
      <w:pPr>
        <w:pStyle w:val="Heading3"/>
      </w:pPr>
      <w:r>
        <w:t>The CART process</w:t>
      </w:r>
      <w:r w:rsidR="009A5574">
        <w:t>,</w:t>
      </w:r>
      <w:r>
        <w:t xml:space="preserve"> while partially automated</w:t>
      </w:r>
      <w:r w:rsidR="009A5574">
        <w:t>,</w:t>
      </w:r>
      <w:r>
        <w:t xml:space="preserve"> often resulted in significant manual processing for </w:t>
      </w:r>
      <w:r w:rsidR="000B5B69">
        <w:t>Services Australia</w:t>
      </w:r>
      <w:r>
        <w:t xml:space="preserve"> staff, </w:t>
      </w:r>
      <w:proofErr w:type="gramStart"/>
      <w:r w:rsidR="00B57271">
        <w:t>Providers</w:t>
      </w:r>
      <w:proofErr w:type="gramEnd"/>
      <w:r>
        <w:t xml:space="preserve"> an</w:t>
      </w:r>
      <w:r w:rsidR="009D1B88">
        <w:t xml:space="preserve">d students. Due to the dependency on students to notify the correct </w:t>
      </w:r>
      <w:r w:rsidR="00B57271">
        <w:t>Provider</w:t>
      </w:r>
      <w:r w:rsidR="009D1B88">
        <w:t xml:space="preserve"> and enrolment details, the CART process resulted in 49% of customers not being matched with a Provider.</w:t>
      </w:r>
      <w:r w:rsidR="007A6A82">
        <w:t xml:space="preserve"> The CART process was decommissioned in September 2019. </w:t>
      </w:r>
    </w:p>
    <w:p w14:paraId="7FC4215E" w14:textId="5E8D5FC7" w:rsidR="00FB41D8" w:rsidRDefault="00FB41D8" w:rsidP="00E066AF">
      <w:pPr>
        <w:pStyle w:val="Heading3"/>
      </w:pPr>
      <w:r>
        <w:t xml:space="preserve">DE has no prior data matching programs with </w:t>
      </w:r>
      <w:r w:rsidR="000B5B69">
        <w:t>Services Australia</w:t>
      </w:r>
      <w:r>
        <w:t xml:space="preserve"> for tertiary education data. </w:t>
      </w:r>
    </w:p>
    <w:p w14:paraId="43A2F6F6" w14:textId="2AF20F57" w:rsidR="00325DF4" w:rsidRPr="006504EE" w:rsidRDefault="00325DF4" w:rsidP="00F64FDE">
      <w:pPr>
        <w:pStyle w:val="Heading3"/>
      </w:pPr>
      <w:r w:rsidRPr="00E066AF">
        <w:t>The first data-matching exercise</w:t>
      </w:r>
      <w:r>
        <w:t xml:space="preserve"> under the TCSI solution</w:t>
      </w:r>
      <w:r w:rsidRPr="00E066AF">
        <w:t xml:space="preserve"> </w:t>
      </w:r>
      <w:r>
        <w:t>occurred</w:t>
      </w:r>
      <w:r w:rsidRPr="00E066AF">
        <w:t xml:space="preserve"> in </w:t>
      </w:r>
      <w:r>
        <w:t>2020</w:t>
      </w:r>
      <w:r w:rsidRPr="00E066AF">
        <w:t xml:space="preserve"> </w:t>
      </w:r>
      <w:r>
        <w:t>when</w:t>
      </w:r>
      <w:r w:rsidRPr="00E066AF">
        <w:t xml:space="preserve"> </w:t>
      </w:r>
      <w:r>
        <w:t xml:space="preserve">Services Australia </w:t>
      </w:r>
      <w:r w:rsidRPr="00E066AF">
        <w:t>disclose</w:t>
      </w:r>
      <w:r>
        <w:t>d</w:t>
      </w:r>
      <w:r w:rsidRPr="00E066AF">
        <w:t xml:space="preserve"> information about all current </w:t>
      </w:r>
      <w:r>
        <w:t>s</w:t>
      </w:r>
      <w:r w:rsidRPr="00E066AF">
        <w:t>tudent</w:t>
      </w:r>
      <w:r>
        <w:t xml:space="preserve">s receiving payments administered by Services Australia </w:t>
      </w:r>
      <w:r w:rsidRPr="00E066AF">
        <w:t xml:space="preserve">to </w:t>
      </w:r>
      <w:r>
        <w:t xml:space="preserve">DE. This exercise occurred </w:t>
      </w:r>
      <w:r w:rsidRPr="00E066AF">
        <w:t xml:space="preserve">over a </w:t>
      </w:r>
      <w:proofErr w:type="gramStart"/>
      <w:r w:rsidRPr="00E066AF">
        <w:t>two week</w:t>
      </w:r>
      <w:proofErr w:type="gramEnd"/>
      <w:r w:rsidRPr="00E066AF">
        <w:t xml:space="preserve"> period </w:t>
      </w:r>
      <w:r>
        <w:t xml:space="preserve">for the purposes of validating the matching process and MCR. </w:t>
      </w:r>
      <w:r w:rsidR="00DE2478">
        <w:t>Provider on-boarding</w:t>
      </w:r>
      <w:r w:rsidR="00791EFC">
        <w:t xml:space="preserve"> to the </w:t>
      </w:r>
      <w:r w:rsidR="002E4A86">
        <w:t>TCSI solution</w:t>
      </w:r>
      <w:r w:rsidR="00DE2478">
        <w:t xml:space="preserve"> was completed in November 2020,</w:t>
      </w:r>
      <w:r w:rsidRPr="00325DF4">
        <w:t xml:space="preserve"> allowing the MCR and matching process to be validated in real-time</w:t>
      </w:r>
      <w:r>
        <w:t>.</w:t>
      </w:r>
    </w:p>
    <w:p w14:paraId="22411B98" w14:textId="77777777" w:rsidR="00294045" w:rsidRPr="00294045" w:rsidRDefault="00294045" w:rsidP="00E066AF">
      <w:pPr>
        <w:pStyle w:val="Heading1"/>
      </w:pPr>
      <w:bookmarkStart w:id="85" w:name="_Toc58929603"/>
      <w:bookmarkStart w:id="86" w:name="_Toc23510531"/>
      <w:bookmarkStart w:id="87" w:name="_Toc58929604"/>
      <w:bookmarkEnd w:id="85"/>
      <w:r w:rsidRPr="00294045">
        <w:t>Costs and Benefits</w:t>
      </w:r>
      <w:bookmarkEnd w:id="83"/>
      <w:bookmarkEnd w:id="84"/>
      <w:bookmarkEnd w:id="86"/>
      <w:bookmarkEnd w:id="87"/>
    </w:p>
    <w:p w14:paraId="5AA09061" w14:textId="3819C224" w:rsidR="00791062" w:rsidRPr="00682F68" w:rsidRDefault="00611819" w:rsidP="00682F68">
      <w:pPr>
        <w:pStyle w:val="Heading2"/>
        <w:rPr>
          <w:b w:val="0"/>
          <w:bCs/>
        </w:rPr>
      </w:pPr>
      <w:bookmarkStart w:id="88" w:name="_Toc480455735"/>
      <w:bookmarkStart w:id="89" w:name="_Toc480473237"/>
      <w:r w:rsidRPr="00682F68">
        <w:rPr>
          <w:b w:val="0"/>
          <w:bCs/>
        </w:rPr>
        <w:t>The Program will have</w:t>
      </w:r>
      <w:r w:rsidR="00791062" w:rsidRPr="00682F68">
        <w:rPr>
          <w:b w:val="0"/>
          <w:bCs/>
        </w:rPr>
        <w:t xml:space="preserve"> both direct and indirect financial benefits, in the form of preventing incorrect payments, administrative savings and voluntary compliance, as outlined in more detail below:</w:t>
      </w:r>
    </w:p>
    <w:p w14:paraId="5CCFCC8D" w14:textId="43315AA2" w:rsidR="00791062" w:rsidRDefault="00611819" w:rsidP="00611819">
      <w:pPr>
        <w:pStyle w:val="Heading3"/>
      </w:pPr>
      <w:r>
        <w:t>i</w:t>
      </w:r>
      <w:r w:rsidR="00791062">
        <w:t xml:space="preserve">mproved data matching and increased process automation will facilitate payment accuracy and reduce the risk of </w:t>
      </w:r>
      <w:proofErr w:type="gramStart"/>
      <w:r w:rsidR="00791062">
        <w:t>overpayments</w:t>
      </w:r>
      <w:r>
        <w:t>;</w:t>
      </w:r>
      <w:proofErr w:type="gramEnd"/>
    </w:p>
    <w:p w14:paraId="2AE72BF8" w14:textId="1ED38CCB" w:rsidR="00791062" w:rsidRDefault="00611819" w:rsidP="00611819">
      <w:pPr>
        <w:pStyle w:val="Heading3"/>
      </w:pPr>
      <w:r>
        <w:t>a</w:t>
      </w:r>
      <w:r w:rsidR="00C863AD">
        <w:t xml:space="preserve"> s</w:t>
      </w:r>
      <w:r w:rsidR="00791062">
        <w:t xml:space="preserve">treamlined reporting solution </w:t>
      </w:r>
      <w:r w:rsidR="00C863AD">
        <w:t>will</w:t>
      </w:r>
      <w:r w:rsidR="00791062">
        <w:t xml:space="preserve"> reduce administrative overheads for </w:t>
      </w:r>
      <w:r w:rsidR="002A6FEE">
        <w:t>Providers</w:t>
      </w:r>
      <w:r w:rsidR="00791062">
        <w:t xml:space="preserve"> and </w:t>
      </w:r>
      <w:r w:rsidR="002A6FEE">
        <w:t>G</w:t>
      </w:r>
      <w:r w:rsidR="00791062">
        <w:t>overnment</w:t>
      </w:r>
      <w:r>
        <w:t xml:space="preserve">; and </w:t>
      </w:r>
    </w:p>
    <w:p w14:paraId="018E8E68" w14:textId="3F089B5A" w:rsidR="00791062" w:rsidRDefault="00611819" w:rsidP="00611819">
      <w:pPr>
        <w:pStyle w:val="Heading3"/>
      </w:pPr>
      <w:r>
        <w:t>t</w:t>
      </w:r>
      <w:r w:rsidR="00791062">
        <w:t>he availability of near real-time data to assist customers in managing their reporting obligations in respect to changing study circumstances</w:t>
      </w:r>
      <w:r w:rsidR="00C863AD">
        <w:t xml:space="preserve"> will improve voluntary compliance. </w:t>
      </w:r>
    </w:p>
    <w:p w14:paraId="54F9DFEE" w14:textId="4211D546" w:rsidR="00791062" w:rsidRPr="00D27F29" w:rsidRDefault="00791062" w:rsidP="00D27F29">
      <w:pPr>
        <w:pStyle w:val="Heading2"/>
        <w:rPr>
          <w:b w:val="0"/>
          <w:bCs/>
        </w:rPr>
      </w:pPr>
      <w:r w:rsidRPr="00D27F29">
        <w:rPr>
          <w:b w:val="0"/>
          <w:bCs/>
        </w:rPr>
        <w:lastRenderedPageBreak/>
        <w:t xml:space="preserve">In addition to the financial benefits outlined above, there are </w:t>
      </w:r>
      <w:proofErr w:type="gramStart"/>
      <w:r w:rsidRPr="00D27F29">
        <w:rPr>
          <w:b w:val="0"/>
          <w:bCs/>
        </w:rPr>
        <w:t>a number of</w:t>
      </w:r>
      <w:proofErr w:type="gramEnd"/>
      <w:r w:rsidRPr="00D27F29">
        <w:rPr>
          <w:b w:val="0"/>
          <w:bCs/>
        </w:rPr>
        <w:t xml:space="preserve"> non-financial benefits associated with</w:t>
      </w:r>
      <w:r w:rsidR="002A6FEE" w:rsidRPr="00D27F29">
        <w:rPr>
          <w:b w:val="0"/>
          <w:bCs/>
        </w:rPr>
        <w:t xml:space="preserve"> the Program</w:t>
      </w:r>
      <w:r w:rsidRPr="00D27F29">
        <w:rPr>
          <w:b w:val="0"/>
          <w:bCs/>
        </w:rPr>
        <w:t>, including:</w:t>
      </w:r>
    </w:p>
    <w:p w14:paraId="1110977D" w14:textId="145B6F6C" w:rsidR="00791062" w:rsidRDefault="002A6FEE" w:rsidP="00D27F29">
      <w:pPr>
        <w:pStyle w:val="Heading3"/>
      </w:pPr>
      <w:r>
        <w:t>im</w:t>
      </w:r>
      <w:r w:rsidR="00791062">
        <w:t xml:space="preserve">proved data quality, ensuring consistency in data elements that are reported across the tertiary education sector and applied by </w:t>
      </w:r>
      <w:r>
        <w:t>G</w:t>
      </w:r>
      <w:r w:rsidR="00791062">
        <w:t>overnment</w:t>
      </w:r>
      <w:r>
        <w:t>;</w:t>
      </w:r>
      <w:r w:rsidR="00C46C74">
        <w:t xml:space="preserve"> and</w:t>
      </w:r>
    </w:p>
    <w:p w14:paraId="4490562D" w14:textId="3CBF0298" w:rsidR="00791062" w:rsidRDefault="002A6FEE" w:rsidP="00D27F29">
      <w:pPr>
        <w:pStyle w:val="Heading3"/>
      </w:pPr>
      <w:r>
        <w:t>e</w:t>
      </w:r>
      <w:r w:rsidR="00791062">
        <w:t>nhanced customer experience, simplifying the claim process through the pre-population of available study data and providing opportunities for customers to self-service through earlier notification of changes that may affect their payment and easily accessible online reviews</w:t>
      </w:r>
      <w:r w:rsidR="00C46C74">
        <w:t>.</w:t>
      </w:r>
    </w:p>
    <w:p w14:paraId="6623FD2C" w14:textId="77777777" w:rsidR="00AB62B5" w:rsidRDefault="00AB62B5" w:rsidP="00480768">
      <w:pPr>
        <w:pStyle w:val="Heading1"/>
      </w:pPr>
      <w:bookmarkStart w:id="90" w:name="_Toc32829532"/>
      <w:bookmarkStart w:id="91" w:name="_Toc33194743"/>
      <w:bookmarkStart w:id="92" w:name="_Toc58929605"/>
      <w:bookmarkEnd w:id="90"/>
      <w:bookmarkEnd w:id="91"/>
      <w:r>
        <w:t>Changes to this Protocol</w:t>
      </w:r>
      <w:bookmarkEnd w:id="92"/>
    </w:p>
    <w:p w14:paraId="0DB4665E" w14:textId="3F45E9BF" w:rsidR="00AB62B5" w:rsidRPr="00F23B6C" w:rsidRDefault="0059298D" w:rsidP="00926FAE">
      <w:pPr>
        <w:pStyle w:val="Heading2"/>
      </w:pPr>
      <w:r w:rsidRPr="00926FAE">
        <w:rPr>
          <w:b w:val="0"/>
          <w:bCs/>
        </w:rPr>
        <w:t>Services Australia</w:t>
      </w:r>
      <w:r w:rsidR="0091346C" w:rsidRPr="00926FAE">
        <w:rPr>
          <w:b w:val="0"/>
          <w:bCs/>
        </w:rPr>
        <w:t xml:space="preserve"> and </w:t>
      </w:r>
      <w:r w:rsidR="00706A38" w:rsidRPr="00926FAE">
        <w:rPr>
          <w:b w:val="0"/>
          <w:bCs/>
        </w:rPr>
        <w:t>DE</w:t>
      </w:r>
      <w:r w:rsidR="0091346C" w:rsidRPr="00926FAE">
        <w:rPr>
          <w:b w:val="0"/>
          <w:bCs/>
        </w:rPr>
        <w:t xml:space="preserve"> may agree to amend this Protocol, from time to time</w:t>
      </w:r>
      <w:r w:rsidR="0091346C" w:rsidRPr="00FC3954">
        <w:t xml:space="preserve">. </w:t>
      </w:r>
    </w:p>
    <w:p w14:paraId="5CC7CE68" w14:textId="77777777" w:rsidR="0091346C" w:rsidRPr="00926FAE" w:rsidRDefault="00124F6F" w:rsidP="00926FAE">
      <w:pPr>
        <w:pStyle w:val="Heading2"/>
        <w:rPr>
          <w:b w:val="0"/>
          <w:bCs/>
        </w:rPr>
      </w:pPr>
      <w:r w:rsidRPr="00926FAE">
        <w:rPr>
          <w:b w:val="0"/>
          <w:bCs/>
        </w:rPr>
        <w:t>If this Protocol is amended</w:t>
      </w:r>
      <w:r w:rsidR="0091346C" w:rsidRPr="00926FAE">
        <w:rPr>
          <w:b w:val="0"/>
          <w:bCs/>
        </w:rPr>
        <w:t>:</w:t>
      </w:r>
    </w:p>
    <w:p w14:paraId="3D7918F3" w14:textId="5486F2CE" w:rsidR="00633119" w:rsidRDefault="00124F6F" w:rsidP="00827F60">
      <w:pPr>
        <w:pStyle w:val="Heading3"/>
      </w:pPr>
      <w:r>
        <w:t>the OAIC will be notified of the amendments and the OAIC will be provided</w:t>
      </w:r>
      <w:r w:rsidR="00480768">
        <w:t xml:space="preserve"> with</w:t>
      </w:r>
      <w:r>
        <w:t xml:space="preserve"> a revised copy of this Protocol</w:t>
      </w:r>
      <w:r w:rsidR="0091346C">
        <w:t xml:space="preserve">; and </w:t>
      </w:r>
    </w:p>
    <w:p w14:paraId="4F484983" w14:textId="77777777" w:rsidR="002E4A86" w:rsidRDefault="0091346C" w:rsidP="00F23B6C">
      <w:pPr>
        <w:pStyle w:val="Heading3"/>
      </w:pPr>
      <w:r>
        <w:t>a revised copy of this Protocol will be made publicly available</w:t>
      </w:r>
      <w:r w:rsidR="00124F6F">
        <w:t>.</w:t>
      </w:r>
    </w:p>
    <w:p w14:paraId="04496448" w14:textId="782525F1" w:rsidR="00D7133E" w:rsidRPr="00463067" w:rsidRDefault="002E4A86" w:rsidP="00AA010B">
      <w:pPr>
        <w:pStyle w:val="Heading2"/>
        <w:rPr>
          <w:bCs/>
        </w:rPr>
      </w:pPr>
      <w:r w:rsidRPr="00AA010B">
        <w:rPr>
          <w:b w:val="0"/>
          <w:bCs/>
        </w:rPr>
        <w:t xml:space="preserve">This </w:t>
      </w:r>
      <w:r w:rsidR="00D6505A">
        <w:rPr>
          <w:b w:val="0"/>
          <w:bCs/>
        </w:rPr>
        <w:t>P</w:t>
      </w:r>
      <w:r w:rsidRPr="00AA010B">
        <w:rPr>
          <w:b w:val="0"/>
          <w:bCs/>
        </w:rPr>
        <w:t>rotocol is a revision of</w:t>
      </w:r>
      <w:r w:rsidR="00D6505A">
        <w:rPr>
          <w:b w:val="0"/>
          <w:bCs/>
        </w:rPr>
        <w:t xml:space="preserve"> the previous published </w:t>
      </w:r>
      <w:r w:rsidR="00640BC9">
        <w:rPr>
          <w:b w:val="0"/>
          <w:bCs/>
        </w:rPr>
        <w:t xml:space="preserve">Protocol </w:t>
      </w:r>
      <w:r w:rsidR="00D6505A">
        <w:rPr>
          <w:b w:val="0"/>
          <w:bCs/>
        </w:rPr>
        <w:t>version 1.0</w:t>
      </w:r>
      <w:r w:rsidR="00124F6F" w:rsidRPr="00AA010B">
        <w:rPr>
          <w:b w:val="0"/>
          <w:bCs/>
        </w:rPr>
        <w:t xml:space="preserve"> </w:t>
      </w:r>
      <w:bookmarkStart w:id="93" w:name="_Toc23510532"/>
      <w:r w:rsidR="00D6505A">
        <w:rPr>
          <w:b w:val="0"/>
          <w:bCs/>
        </w:rPr>
        <w:t>as outlined in Document Details.</w:t>
      </w:r>
    </w:p>
    <w:p w14:paraId="6586920B" w14:textId="1EEE434D" w:rsidR="006F43F9" w:rsidRDefault="006F43F9" w:rsidP="00D27F29">
      <w:pPr>
        <w:pStyle w:val="Heading1"/>
        <w:numPr>
          <w:ilvl w:val="0"/>
          <w:numId w:val="0"/>
        </w:numPr>
        <w:ind w:left="851" w:hanging="851"/>
      </w:pPr>
      <w:bookmarkStart w:id="94" w:name="_Toc484602700"/>
      <w:bookmarkStart w:id="95" w:name="_Toc58929607"/>
      <w:bookmarkEnd w:id="88"/>
      <w:bookmarkEnd w:id="89"/>
      <w:bookmarkEnd w:id="93"/>
      <w:r>
        <w:t>Appendix A – Technical Standards Report</w:t>
      </w:r>
    </w:p>
    <w:p w14:paraId="18727CBB" w14:textId="678A3ED2" w:rsidR="00DA20DE" w:rsidRDefault="00294045" w:rsidP="00D27F29">
      <w:pPr>
        <w:pStyle w:val="Heading1"/>
        <w:numPr>
          <w:ilvl w:val="0"/>
          <w:numId w:val="61"/>
        </w:numPr>
      </w:pPr>
      <w:r w:rsidRPr="00E4650A">
        <w:t xml:space="preserve">Data from </w:t>
      </w:r>
      <w:bookmarkEnd w:id="94"/>
      <w:r w:rsidR="0059298D">
        <w:t>Services Australia</w:t>
      </w:r>
      <w:r w:rsidR="00EE12BA">
        <w:t xml:space="preserve"> to </w:t>
      </w:r>
      <w:r w:rsidR="00706A38">
        <w:t>DE</w:t>
      </w:r>
      <w:bookmarkEnd w:id="95"/>
    </w:p>
    <w:p w14:paraId="7B27DFA2" w14:textId="5ACEF9A4" w:rsidR="00827F60" w:rsidRPr="00DA20DE" w:rsidRDefault="0059298D" w:rsidP="00F23B6C">
      <w:pPr>
        <w:spacing w:before="240" w:after="240"/>
      </w:pPr>
      <w:r>
        <w:t>Services Australia</w:t>
      </w:r>
      <w:r w:rsidR="00DA20DE">
        <w:t xml:space="preserve"> provide</w:t>
      </w:r>
      <w:r w:rsidR="00590B1B">
        <w:t>s</w:t>
      </w:r>
      <w:r w:rsidR="00DA20DE">
        <w:t xml:space="preserve"> the following data to </w:t>
      </w:r>
      <w:r w:rsidR="00706A38">
        <w:t>DE</w:t>
      </w:r>
      <w:r w:rsidR="00DA20DE">
        <w:t xml:space="preserve">: </w:t>
      </w:r>
    </w:p>
    <w:tbl>
      <w:tblPr>
        <w:tblStyle w:val="TableGridLight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escription of data from Deptartment of Education and Training to Department of Human Services"/>
        <w:tblDescription w:val="the table inlcudes detials of the filed names and the descriptions of these fields"/>
      </w:tblPr>
      <w:tblGrid>
        <w:gridCol w:w="2694"/>
        <w:gridCol w:w="6934"/>
      </w:tblGrid>
      <w:tr w:rsidR="00294045" w:rsidRPr="00FF055E" w14:paraId="740EC59E" w14:textId="77777777" w:rsidTr="00A16DED">
        <w:trPr>
          <w:trHeight w:val="300"/>
          <w:tblHeader/>
        </w:trPr>
        <w:tc>
          <w:tcPr>
            <w:tcW w:w="1399" w:type="pct"/>
            <w:shd w:val="clear" w:color="auto" w:fill="BFBFBF"/>
            <w:noWrap/>
            <w:hideMark/>
          </w:tcPr>
          <w:p w14:paraId="43BB318D" w14:textId="77777777" w:rsidR="00294045" w:rsidRPr="0088676A" w:rsidRDefault="00294045" w:rsidP="007A7FD7">
            <w:pPr>
              <w:pStyle w:val="TableText"/>
              <w:rPr>
                <w:b/>
                <w:bCs/>
                <w:sz w:val="20"/>
                <w:szCs w:val="20"/>
                <w:lang w:eastAsia="en-AU"/>
              </w:rPr>
            </w:pPr>
            <w:r w:rsidRPr="006B5FDB">
              <w:rPr>
                <w:b/>
                <w:bCs/>
                <w:lang w:eastAsia="en-AU"/>
              </w:rPr>
              <w:t>Field Name</w:t>
            </w:r>
          </w:p>
        </w:tc>
        <w:tc>
          <w:tcPr>
            <w:tcW w:w="3601" w:type="pct"/>
            <w:shd w:val="clear" w:color="auto" w:fill="BFBFBF"/>
            <w:noWrap/>
            <w:hideMark/>
          </w:tcPr>
          <w:p w14:paraId="7F68D70B" w14:textId="77777777" w:rsidR="00294045" w:rsidRPr="0088676A" w:rsidRDefault="00294045" w:rsidP="007A7FD7">
            <w:pPr>
              <w:pStyle w:val="TableText"/>
              <w:rPr>
                <w:b/>
                <w:bCs/>
                <w:sz w:val="20"/>
                <w:szCs w:val="20"/>
                <w:lang w:eastAsia="en-AU"/>
              </w:rPr>
            </w:pPr>
            <w:r w:rsidRPr="006B5FDB">
              <w:rPr>
                <w:b/>
                <w:bCs/>
                <w:lang w:eastAsia="en-AU"/>
              </w:rPr>
              <w:t>Description</w:t>
            </w:r>
          </w:p>
        </w:tc>
      </w:tr>
      <w:tr w:rsidR="00294045" w:rsidRPr="00FF055E" w14:paraId="61960949" w14:textId="77777777" w:rsidTr="00A16DED">
        <w:trPr>
          <w:trHeight w:val="215"/>
        </w:trPr>
        <w:tc>
          <w:tcPr>
            <w:tcW w:w="1399" w:type="pct"/>
            <w:noWrap/>
          </w:tcPr>
          <w:p w14:paraId="75C02BB7" w14:textId="77777777" w:rsidR="00294045" w:rsidRPr="0088676A" w:rsidRDefault="00EE12BA" w:rsidP="007A7FD7">
            <w:pPr>
              <w:pStyle w:val="TableText"/>
              <w:rPr>
                <w:sz w:val="20"/>
                <w:szCs w:val="20"/>
              </w:rPr>
            </w:pPr>
            <w:r w:rsidRPr="006B5FDB">
              <w:t>Student ID</w:t>
            </w:r>
          </w:p>
        </w:tc>
        <w:tc>
          <w:tcPr>
            <w:tcW w:w="3601" w:type="pct"/>
            <w:noWrap/>
          </w:tcPr>
          <w:p w14:paraId="685A0C48" w14:textId="49F09660" w:rsidR="00294045" w:rsidRPr="0088676A" w:rsidRDefault="00EE12BA" w:rsidP="007A7FD7">
            <w:pPr>
              <w:pStyle w:val="TableText"/>
              <w:rPr>
                <w:sz w:val="20"/>
                <w:szCs w:val="20"/>
              </w:rPr>
            </w:pPr>
            <w:r w:rsidRPr="006B5FDB">
              <w:t xml:space="preserve">The identifier </w:t>
            </w:r>
            <w:r w:rsidR="00DA20DE" w:rsidRPr="006B5FDB">
              <w:t>used</w:t>
            </w:r>
            <w:r w:rsidRPr="006B5FDB">
              <w:t xml:space="preserve"> by </w:t>
            </w:r>
            <w:r w:rsidR="00DA20DE" w:rsidRPr="006B5FDB">
              <w:t>Providers</w:t>
            </w:r>
            <w:r w:rsidRPr="006B5FDB">
              <w:t xml:space="preserve"> to identify students</w:t>
            </w:r>
            <w:r w:rsidR="00DA20DE" w:rsidRPr="006B5FDB">
              <w:t xml:space="preserve"> (customers)</w:t>
            </w:r>
          </w:p>
        </w:tc>
      </w:tr>
      <w:tr w:rsidR="00294045" w:rsidRPr="00FF055E" w14:paraId="7A3E4CB8" w14:textId="77777777" w:rsidTr="00A16DED">
        <w:trPr>
          <w:trHeight w:val="215"/>
        </w:trPr>
        <w:tc>
          <w:tcPr>
            <w:tcW w:w="1399" w:type="pct"/>
            <w:noWrap/>
          </w:tcPr>
          <w:p w14:paraId="53EF1B45" w14:textId="77777777" w:rsidR="00294045" w:rsidRPr="0088676A" w:rsidRDefault="00EE12BA" w:rsidP="007A7FD7">
            <w:pPr>
              <w:pStyle w:val="TableText"/>
              <w:rPr>
                <w:sz w:val="20"/>
                <w:szCs w:val="20"/>
              </w:rPr>
            </w:pPr>
            <w:r w:rsidRPr="006B5FDB">
              <w:t>Surname</w:t>
            </w:r>
          </w:p>
        </w:tc>
        <w:tc>
          <w:tcPr>
            <w:tcW w:w="3601" w:type="pct"/>
            <w:noWrap/>
          </w:tcPr>
          <w:p w14:paraId="16F61989" w14:textId="77777777" w:rsidR="00294045" w:rsidRPr="0088676A" w:rsidRDefault="00EE12BA" w:rsidP="007A7FD7">
            <w:pPr>
              <w:pStyle w:val="TableText"/>
              <w:rPr>
                <w:sz w:val="20"/>
                <w:szCs w:val="20"/>
              </w:rPr>
            </w:pPr>
            <w:r w:rsidRPr="006B5FDB">
              <w:t>The customers</w:t>
            </w:r>
            <w:r w:rsidR="00DA20DE" w:rsidRPr="006B5FDB">
              <w:t>’</w:t>
            </w:r>
            <w:r w:rsidRPr="006B5FDB">
              <w:t xml:space="preserve"> surname</w:t>
            </w:r>
          </w:p>
        </w:tc>
      </w:tr>
      <w:tr w:rsidR="00294045" w:rsidRPr="00FF055E" w14:paraId="65032B2B" w14:textId="77777777" w:rsidTr="00A16DED">
        <w:trPr>
          <w:trHeight w:val="215"/>
        </w:trPr>
        <w:tc>
          <w:tcPr>
            <w:tcW w:w="1399" w:type="pct"/>
            <w:noWrap/>
          </w:tcPr>
          <w:p w14:paraId="431238A3" w14:textId="77777777" w:rsidR="00294045" w:rsidRPr="0088676A" w:rsidRDefault="00EE12BA" w:rsidP="007A7FD7">
            <w:pPr>
              <w:pStyle w:val="TableText"/>
              <w:rPr>
                <w:sz w:val="20"/>
                <w:szCs w:val="20"/>
              </w:rPr>
            </w:pPr>
            <w:r w:rsidRPr="006B5FDB">
              <w:t>First Name</w:t>
            </w:r>
          </w:p>
        </w:tc>
        <w:tc>
          <w:tcPr>
            <w:tcW w:w="3601" w:type="pct"/>
            <w:noWrap/>
          </w:tcPr>
          <w:p w14:paraId="2D13A08E" w14:textId="77777777" w:rsidR="00294045" w:rsidRPr="0088676A" w:rsidRDefault="00EE12BA" w:rsidP="007A7FD7">
            <w:pPr>
              <w:pStyle w:val="TableText"/>
              <w:rPr>
                <w:sz w:val="20"/>
                <w:szCs w:val="20"/>
              </w:rPr>
            </w:pPr>
            <w:r w:rsidRPr="006B5FDB">
              <w:t>The customers</w:t>
            </w:r>
            <w:r w:rsidR="00DA20DE" w:rsidRPr="006B5FDB">
              <w:t>’</w:t>
            </w:r>
            <w:r w:rsidRPr="006B5FDB">
              <w:t xml:space="preserve"> first given name</w:t>
            </w:r>
          </w:p>
        </w:tc>
      </w:tr>
      <w:tr w:rsidR="00294045" w:rsidRPr="00FF055E" w14:paraId="0FA89E83" w14:textId="77777777" w:rsidTr="00A16DED">
        <w:trPr>
          <w:trHeight w:val="215"/>
        </w:trPr>
        <w:tc>
          <w:tcPr>
            <w:tcW w:w="1399" w:type="pct"/>
            <w:noWrap/>
          </w:tcPr>
          <w:p w14:paraId="459C0AAE" w14:textId="77777777" w:rsidR="00EE12BA" w:rsidRPr="0088676A" w:rsidRDefault="00EE12BA" w:rsidP="007A7FD7">
            <w:pPr>
              <w:pStyle w:val="TableText"/>
              <w:rPr>
                <w:sz w:val="20"/>
                <w:szCs w:val="20"/>
              </w:rPr>
            </w:pPr>
            <w:r w:rsidRPr="006B5FDB">
              <w:t>Middle Name</w:t>
            </w:r>
          </w:p>
        </w:tc>
        <w:tc>
          <w:tcPr>
            <w:tcW w:w="3601" w:type="pct"/>
            <w:noWrap/>
          </w:tcPr>
          <w:p w14:paraId="0E528AEF" w14:textId="77777777" w:rsidR="00294045" w:rsidRPr="0088676A" w:rsidRDefault="00EE12BA" w:rsidP="007A7FD7">
            <w:pPr>
              <w:pStyle w:val="TableText"/>
              <w:rPr>
                <w:sz w:val="20"/>
                <w:szCs w:val="20"/>
              </w:rPr>
            </w:pPr>
            <w:r w:rsidRPr="006B5FDB">
              <w:t>The customers</w:t>
            </w:r>
            <w:r w:rsidR="00DA20DE" w:rsidRPr="006B5FDB">
              <w:t>’</w:t>
            </w:r>
            <w:r w:rsidRPr="006B5FDB">
              <w:t xml:space="preserve"> other given names</w:t>
            </w:r>
          </w:p>
        </w:tc>
      </w:tr>
      <w:tr w:rsidR="00294045" w:rsidRPr="00FF055E" w14:paraId="3CDB0E04" w14:textId="77777777" w:rsidTr="00A16DED">
        <w:trPr>
          <w:trHeight w:val="215"/>
        </w:trPr>
        <w:tc>
          <w:tcPr>
            <w:tcW w:w="1399" w:type="pct"/>
            <w:noWrap/>
          </w:tcPr>
          <w:p w14:paraId="52D5B718" w14:textId="77777777" w:rsidR="00294045" w:rsidRPr="0088676A" w:rsidRDefault="00EE12BA" w:rsidP="007A7FD7">
            <w:pPr>
              <w:pStyle w:val="TableText"/>
              <w:rPr>
                <w:sz w:val="20"/>
                <w:szCs w:val="20"/>
              </w:rPr>
            </w:pPr>
            <w:r w:rsidRPr="006B5FDB">
              <w:t>Date of Birth</w:t>
            </w:r>
          </w:p>
        </w:tc>
        <w:tc>
          <w:tcPr>
            <w:tcW w:w="3601" w:type="pct"/>
            <w:noWrap/>
          </w:tcPr>
          <w:p w14:paraId="6BDDF3B3" w14:textId="77777777" w:rsidR="00294045" w:rsidRPr="0088676A" w:rsidRDefault="00EE12BA" w:rsidP="007A7FD7">
            <w:pPr>
              <w:pStyle w:val="TableText"/>
              <w:rPr>
                <w:sz w:val="20"/>
                <w:szCs w:val="20"/>
              </w:rPr>
            </w:pPr>
            <w:r w:rsidRPr="006B5FDB">
              <w:t>The customers</w:t>
            </w:r>
            <w:r w:rsidR="00DA20DE" w:rsidRPr="006B5FDB">
              <w:t>’</w:t>
            </w:r>
            <w:r w:rsidRPr="006B5FDB">
              <w:t xml:space="preserve"> date of birth</w:t>
            </w:r>
          </w:p>
        </w:tc>
      </w:tr>
      <w:tr w:rsidR="00294045" w:rsidRPr="00FF055E" w14:paraId="7BFCC5B3" w14:textId="77777777" w:rsidTr="00A16DED">
        <w:trPr>
          <w:trHeight w:val="215"/>
        </w:trPr>
        <w:tc>
          <w:tcPr>
            <w:tcW w:w="1399" w:type="pct"/>
            <w:noWrap/>
          </w:tcPr>
          <w:p w14:paraId="3AB59030" w14:textId="77777777" w:rsidR="00294045" w:rsidRPr="0088676A" w:rsidRDefault="00EE12BA" w:rsidP="007A7FD7">
            <w:pPr>
              <w:pStyle w:val="TableText"/>
              <w:rPr>
                <w:sz w:val="20"/>
                <w:szCs w:val="20"/>
              </w:rPr>
            </w:pPr>
            <w:r w:rsidRPr="006B5FDB">
              <w:t>Gender</w:t>
            </w:r>
          </w:p>
        </w:tc>
        <w:tc>
          <w:tcPr>
            <w:tcW w:w="3601" w:type="pct"/>
            <w:noWrap/>
          </w:tcPr>
          <w:p w14:paraId="62694805" w14:textId="77777777" w:rsidR="00294045" w:rsidRPr="0088676A" w:rsidRDefault="00EE12BA" w:rsidP="007A7FD7">
            <w:pPr>
              <w:pStyle w:val="TableText"/>
              <w:rPr>
                <w:sz w:val="20"/>
                <w:szCs w:val="20"/>
              </w:rPr>
            </w:pPr>
            <w:r w:rsidRPr="006B5FDB">
              <w:t>The customers</w:t>
            </w:r>
            <w:r w:rsidR="00DA20DE" w:rsidRPr="006B5FDB">
              <w:t>’</w:t>
            </w:r>
            <w:r w:rsidRPr="006B5FDB">
              <w:t xml:space="preserve"> gender</w:t>
            </w:r>
          </w:p>
        </w:tc>
      </w:tr>
      <w:tr w:rsidR="00294045" w:rsidRPr="00FF055E" w14:paraId="68F92ED4" w14:textId="77777777" w:rsidTr="00A16DED">
        <w:trPr>
          <w:trHeight w:val="215"/>
        </w:trPr>
        <w:tc>
          <w:tcPr>
            <w:tcW w:w="1399" w:type="pct"/>
            <w:noWrap/>
          </w:tcPr>
          <w:p w14:paraId="2B3954B9" w14:textId="77777777" w:rsidR="00294045" w:rsidRPr="0088676A" w:rsidRDefault="00EE12BA" w:rsidP="007A7FD7">
            <w:pPr>
              <w:pStyle w:val="TableText"/>
              <w:rPr>
                <w:sz w:val="20"/>
                <w:szCs w:val="20"/>
              </w:rPr>
            </w:pPr>
            <w:r w:rsidRPr="006B5FDB">
              <w:t>Address</w:t>
            </w:r>
          </w:p>
        </w:tc>
        <w:tc>
          <w:tcPr>
            <w:tcW w:w="3601" w:type="pct"/>
            <w:noWrap/>
          </w:tcPr>
          <w:p w14:paraId="5173F7E0" w14:textId="77777777" w:rsidR="00294045" w:rsidRPr="0088676A" w:rsidRDefault="00EE12BA" w:rsidP="007A7FD7">
            <w:pPr>
              <w:pStyle w:val="TableText"/>
              <w:rPr>
                <w:sz w:val="20"/>
                <w:szCs w:val="20"/>
              </w:rPr>
            </w:pPr>
            <w:r w:rsidRPr="006B5FDB">
              <w:t>The customers</w:t>
            </w:r>
            <w:r w:rsidR="00DA20DE" w:rsidRPr="006B5FDB">
              <w:t>’</w:t>
            </w:r>
            <w:r w:rsidRPr="006B5FDB">
              <w:t xml:space="preserve"> current and recent addresses</w:t>
            </w:r>
          </w:p>
        </w:tc>
      </w:tr>
    </w:tbl>
    <w:p w14:paraId="3A866EC8" w14:textId="514BE424" w:rsidR="000C44FB" w:rsidRDefault="000C44FB" w:rsidP="002A7F08">
      <w:pPr>
        <w:pStyle w:val="Heading1"/>
      </w:pPr>
      <w:bookmarkStart w:id="96" w:name="_Toc58929608"/>
      <w:r w:rsidRPr="00E4650A">
        <w:t>Data from</w:t>
      </w:r>
      <w:r w:rsidR="00E13E42">
        <w:t xml:space="preserve"> </w:t>
      </w:r>
      <w:r w:rsidR="00706A38">
        <w:t>DE</w:t>
      </w:r>
      <w:r w:rsidR="00E13E42">
        <w:t xml:space="preserve"> to </w:t>
      </w:r>
      <w:r w:rsidR="0059298D">
        <w:t>Services Australia</w:t>
      </w:r>
      <w:bookmarkEnd w:id="96"/>
    </w:p>
    <w:p w14:paraId="5254BA7C" w14:textId="3809E9D1" w:rsidR="00DA20DE" w:rsidRDefault="00706A38" w:rsidP="00926FAE">
      <w:pPr>
        <w:pStyle w:val="Headingpara2"/>
        <w:spacing w:after="240"/>
        <w:outlineLvl w:val="9"/>
      </w:pPr>
      <w:r>
        <w:t>DE</w:t>
      </w:r>
      <w:r w:rsidR="00DA20DE">
        <w:t xml:space="preserve"> </w:t>
      </w:r>
      <w:r w:rsidR="00590B1B">
        <w:t>provides</w:t>
      </w:r>
      <w:r w:rsidR="00DA20DE">
        <w:t xml:space="preserve"> the following data to </w:t>
      </w:r>
      <w:r w:rsidR="0059298D">
        <w:t>Services Australia</w:t>
      </w:r>
      <w:r w:rsidR="00DA20DE">
        <w:t>:</w:t>
      </w:r>
    </w:p>
    <w:tbl>
      <w:tblPr>
        <w:tblStyle w:val="TableGridLight1"/>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597"/>
        <w:gridCol w:w="3769"/>
      </w:tblGrid>
      <w:tr w:rsidR="004215C4" w:rsidRPr="00DC3EBE" w14:paraId="5419C561" w14:textId="77777777" w:rsidTr="00810395">
        <w:trPr>
          <w:trHeight w:val="300"/>
          <w:tblHeader/>
        </w:trPr>
        <w:tc>
          <w:tcPr>
            <w:tcW w:w="1177" w:type="pct"/>
            <w:shd w:val="clear" w:color="auto" w:fill="BFBFBF"/>
            <w:noWrap/>
            <w:hideMark/>
          </w:tcPr>
          <w:p w14:paraId="1782F9FF" w14:textId="77777777" w:rsidR="004215C4" w:rsidRPr="0088676A" w:rsidRDefault="004215C4" w:rsidP="00810395">
            <w:pPr>
              <w:pStyle w:val="TableText"/>
              <w:rPr>
                <w:b/>
                <w:bCs/>
                <w:sz w:val="20"/>
                <w:szCs w:val="20"/>
                <w:lang w:eastAsia="en-AU"/>
              </w:rPr>
            </w:pPr>
            <w:r w:rsidRPr="006B5FDB">
              <w:rPr>
                <w:b/>
                <w:bCs/>
                <w:lang w:eastAsia="en-AU"/>
              </w:rPr>
              <w:t>Field Name</w:t>
            </w:r>
          </w:p>
        </w:tc>
        <w:tc>
          <w:tcPr>
            <w:tcW w:w="1867" w:type="pct"/>
            <w:shd w:val="clear" w:color="auto" w:fill="BFBFBF"/>
            <w:noWrap/>
            <w:hideMark/>
          </w:tcPr>
          <w:p w14:paraId="16BD620A" w14:textId="77777777" w:rsidR="004215C4" w:rsidRPr="0088676A" w:rsidRDefault="004215C4" w:rsidP="00810395">
            <w:pPr>
              <w:pStyle w:val="TableText"/>
              <w:rPr>
                <w:b/>
                <w:bCs/>
                <w:sz w:val="20"/>
                <w:szCs w:val="20"/>
                <w:lang w:eastAsia="en-AU"/>
              </w:rPr>
            </w:pPr>
            <w:r w:rsidRPr="006B5FDB">
              <w:rPr>
                <w:b/>
                <w:bCs/>
                <w:lang w:eastAsia="en-AU"/>
              </w:rPr>
              <w:t>Description</w:t>
            </w:r>
          </w:p>
        </w:tc>
        <w:tc>
          <w:tcPr>
            <w:tcW w:w="1956" w:type="pct"/>
            <w:shd w:val="clear" w:color="auto" w:fill="BFBFBF"/>
          </w:tcPr>
          <w:p w14:paraId="7A66C829" w14:textId="36DFBAA1" w:rsidR="004215C4" w:rsidRPr="0088676A" w:rsidRDefault="00E1472C" w:rsidP="00810395">
            <w:pPr>
              <w:pStyle w:val="TableText"/>
              <w:rPr>
                <w:b/>
                <w:bCs/>
                <w:sz w:val="20"/>
                <w:szCs w:val="20"/>
                <w:lang w:eastAsia="en-AU"/>
              </w:rPr>
            </w:pPr>
            <w:r w:rsidRPr="006B5FDB">
              <w:rPr>
                <w:b/>
                <w:bCs/>
                <w:lang w:eastAsia="en-AU"/>
              </w:rPr>
              <w:t xml:space="preserve">Services Australia </w:t>
            </w:r>
            <w:r w:rsidR="004215C4" w:rsidRPr="006B5FDB">
              <w:rPr>
                <w:b/>
                <w:bCs/>
                <w:lang w:eastAsia="en-AU"/>
              </w:rPr>
              <w:t>Use</w:t>
            </w:r>
          </w:p>
        </w:tc>
      </w:tr>
      <w:tr w:rsidR="004215C4" w:rsidRPr="00DC3EBE" w14:paraId="07D8E7D9" w14:textId="77777777" w:rsidTr="00810395">
        <w:trPr>
          <w:trHeight w:val="215"/>
        </w:trPr>
        <w:tc>
          <w:tcPr>
            <w:tcW w:w="1177" w:type="pct"/>
            <w:noWrap/>
          </w:tcPr>
          <w:p w14:paraId="7BB5F712" w14:textId="77777777" w:rsidR="004215C4" w:rsidRPr="0088676A" w:rsidRDefault="004215C4" w:rsidP="00810395">
            <w:pPr>
              <w:pStyle w:val="TableText"/>
              <w:rPr>
                <w:sz w:val="20"/>
                <w:szCs w:val="20"/>
              </w:rPr>
            </w:pPr>
            <w:r w:rsidRPr="006B5FDB">
              <w:t>E306 Provider Code</w:t>
            </w:r>
          </w:p>
        </w:tc>
        <w:tc>
          <w:tcPr>
            <w:tcW w:w="1867" w:type="pct"/>
            <w:noWrap/>
          </w:tcPr>
          <w:p w14:paraId="0ED46FC5" w14:textId="6F5BBDCE" w:rsidR="004215C4" w:rsidRPr="00B1570E" w:rsidRDefault="00CA27D3" w:rsidP="00CA27D3">
            <w:pPr>
              <w:pStyle w:val="TableText"/>
              <w:rPr>
                <w:sz w:val="20"/>
                <w:szCs w:val="20"/>
              </w:rPr>
            </w:pPr>
            <w:r w:rsidRPr="006B5FDB">
              <w:t>A c</w:t>
            </w:r>
            <w:r w:rsidR="004215C4" w:rsidRPr="006B5FDB">
              <w:t xml:space="preserve">ode assigned by </w:t>
            </w:r>
            <w:r w:rsidR="00E1472C" w:rsidRPr="006B5FDB">
              <w:t xml:space="preserve">DE </w:t>
            </w:r>
            <w:r w:rsidRPr="006B5FDB">
              <w:t xml:space="preserve">which uniquely identifies </w:t>
            </w:r>
            <w:proofErr w:type="gramStart"/>
            <w:r w:rsidRPr="006B5FDB">
              <w:t>the  Provider</w:t>
            </w:r>
            <w:proofErr w:type="gramEnd"/>
          </w:p>
        </w:tc>
        <w:tc>
          <w:tcPr>
            <w:tcW w:w="1956" w:type="pct"/>
          </w:tcPr>
          <w:p w14:paraId="06D0805B" w14:textId="61BB788F"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Education Institution Tables.</w:t>
            </w:r>
          </w:p>
        </w:tc>
      </w:tr>
      <w:tr w:rsidR="004215C4" w:rsidRPr="00DC3EBE" w14:paraId="2F6EE9C9" w14:textId="77777777" w:rsidTr="00810395">
        <w:trPr>
          <w:trHeight w:val="215"/>
        </w:trPr>
        <w:tc>
          <w:tcPr>
            <w:tcW w:w="1177" w:type="pct"/>
            <w:noWrap/>
          </w:tcPr>
          <w:p w14:paraId="27431992" w14:textId="77777777" w:rsidR="004215C4" w:rsidRPr="00B1570E" w:rsidRDefault="004215C4" w:rsidP="00810395">
            <w:pPr>
              <w:pStyle w:val="TableText"/>
              <w:rPr>
                <w:sz w:val="20"/>
                <w:szCs w:val="20"/>
              </w:rPr>
            </w:pPr>
            <w:r w:rsidRPr="006B5FDB">
              <w:t>E780 Provider Name</w:t>
            </w:r>
          </w:p>
        </w:tc>
        <w:tc>
          <w:tcPr>
            <w:tcW w:w="1867" w:type="pct"/>
            <w:noWrap/>
          </w:tcPr>
          <w:p w14:paraId="5438B02F" w14:textId="2D8D8199" w:rsidR="004215C4" w:rsidRPr="00B1570E" w:rsidRDefault="004215C4" w:rsidP="00810395">
            <w:pPr>
              <w:pStyle w:val="TableText"/>
              <w:rPr>
                <w:sz w:val="20"/>
                <w:szCs w:val="20"/>
              </w:rPr>
            </w:pPr>
            <w:r w:rsidRPr="006B5FDB">
              <w:t>The Provide</w:t>
            </w:r>
            <w:r w:rsidR="00CA27D3" w:rsidRPr="006B5FDB">
              <w:t xml:space="preserve">r name as recorded by </w:t>
            </w:r>
            <w:r w:rsidR="00E1472C" w:rsidRPr="006B5FDB">
              <w:t xml:space="preserve">DE </w:t>
            </w:r>
          </w:p>
        </w:tc>
        <w:tc>
          <w:tcPr>
            <w:tcW w:w="1956" w:type="pct"/>
          </w:tcPr>
          <w:p w14:paraId="1DCBD31E" w14:textId="426EED9C"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Education Institution Tables.</w:t>
            </w:r>
          </w:p>
        </w:tc>
      </w:tr>
      <w:tr w:rsidR="004215C4" w:rsidRPr="00DC3EBE" w14:paraId="7AE1A3E1" w14:textId="77777777" w:rsidTr="00810395">
        <w:trPr>
          <w:trHeight w:val="215"/>
        </w:trPr>
        <w:tc>
          <w:tcPr>
            <w:tcW w:w="1177" w:type="pct"/>
            <w:noWrap/>
          </w:tcPr>
          <w:p w14:paraId="4D0B8D39" w14:textId="77777777" w:rsidR="004215C4" w:rsidRPr="00B1570E" w:rsidRDefault="004215C4" w:rsidP="00810395">
            <w:pPr>
              <w:pStyle w:val="TableText"/>
              <w:rPr>
                <w:sz w:val="20"/>
                <w:szCs w:val="20"/>
              </w:rPr>
            </w:pPr>
            <w:r w:rsidRPr="006B5FDB">
              <w:lastRenderedPageBreak/>
              <w:t>E781 Provider Type</w:t>
            </w:r>
          </w:p>
        </w:tc>
        <w:tc>
          <w:tcPr>
            <w:tcW w:w="1867" w:type="pct"/>
            <w:noWrap/>
          </w:tcPr>
          <w:p w14:paraId="4F35AF4E" w14:textId="28B18481" w:rsidR="004215C4" w:rsidRPr="00B1570E" w:rsidRDefault="004215C4" w:rsidP="00810395">
            <w:pPr>
              <w:pStyle w:val="TableText"/>
              <w:rPr>
                <w:sz w:val="20"/>
                <w:szCs w:val="20"/>
              </w:rPr>
            </w:pPr>
            <w:r w:rsidRPr="006B5FDB">
              <w:t xml:space="preserve">A code assigned by </w:t>
            </w:r>
            <w:r w:rsidR="00E1472C" w:rsidRPr="006B5FDB">
              <w:t xml:space="preserve">DE </w:t>
            </w:r>
            <w:r w:rsidRPr="006B5FDB">
              <w:t>to determine whether a Provider is a Higher E</w:t>
            </w:r>
            <w:r w:rsidR="00CA27D3" w:rsidRPr="006B5FDB">
              <w:t xml:space="preserve">ducation, </w:t>
            </w:r>
            <w:proofErr w:type="gramStart"/>
            <w:r w:rsidR="00CA27D3" w:rsidRPr="006B5FDB">
              <w:t>VET</w:t>
            </w:r>
            <w:proofErr w:type="gramEnd"/>
            <w:r w:rsidR="00CA27D3" w:rsidRPr="006B5FDB">
              <w:t xml:space="preserve"> or dual provider</w:t>
            </w:r>
          </w:p>
        </w:tc>
        <w:tc>
          <w:tcPr>
            <w:tcW w:w="1956" w:type="pct"/>
          </w:tcPr>
          <w:p w14:paraId="599316E1" w14:textId="5C4C404B"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Education Institution Tables.</w:t>
            </w:r>
          </w:p>
        </w:tc>
      </w:tr>
      <w:tr w:rsidR="004215C4" w:rsidRPr="00DC3EBE" w14:paraId="4249796A" w14:textId="77777777" w:rsidTr="00810395">
        <w:trPr>
          <w:trHeight w:val="215"/>
        </w:trPr>
        <w:tc>
          <w:tcPr>
            <w:tcW w:w="1177" w:type="pct"/>
            <w:noWrap/>
          </w:tcPr>
          <w:p w14:paraId="3D58EF64" w14:textId="77777777" w:rsidR="004215C4" w:rsidRPr="00B1570E" w:rsidRDefault="004215C4" w:rsidP="00810395">
            <w:pPr>
              <w:pStyle w:val="TableText"/>
              <w:rPr>
                <w:sz w:val="20"/>
                <w:szCs w:val="20"/>
              </w:rPr>
            </w:pPr>
            <w:r w:rsidRPr="006B5FDB">
              <w:t>E525 Campus Suburb</w:t>
            </w:r>
          </w:p>
        </w:tc>
        <w:tc>
          <w:tcPr>
            <w:tcW w:w="1867" w:type="pct"/>
            <w:noWrap/>
          </w:tcPr>
          <w:p w14:paraId="17E4A486" w14:textId="77777777" w:rsidR="004215C4" w:rsidRPr="00B1570E" w:rsidRDefault="00CA27D3" w:rsidP="00810395">
            <w:pPr>
              <w:pStyle w:val="TableText"/>
              <w:rPr>
                <w:sz w:val="20"/>
                <w:szCs w:val="20"/>
              </w:rPr>
            </w:pPr>
            <w:r w:rsidRPr="006B5FDB">
              <w:t>N</w:t>
            </w:r>
            <w:r w:rsidR="004215C4" w:rsidRPr="006B5FDB">
              <w:t>ame of the suburb/town/reg</w:t>
            </w:r>
            <w:r w:rsidRPr="006B5FDB">
              <w:t>ion where the campus is located</w:t>
            </w:r>
            <w:r w:rsidR="004215C4" w:rsidRPr="006B5FDB">
              <w:t xml:space="preserve"> </w:t>
            </w:r>
          </w:p>
        </w:tc>
        <w:tc>
          <w:tcPr>
            <w:tcW w:w="1956" w:type="pct"/>
          </w:tcPr>
          <w:p w14:paraId="39887050" w14:textId="0EA45C48"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Education Institution Tables.</w:t>
            </w:r>
          </w:p>
        </w:tc>
      </w:tr>
      <w:tr w:rsidR="004215C4" w:rsidRPr="00DC3EBE" w14:paraId="22EAF3DF" w14:textId="77777777" w:rsidTr="00810395">
        <w:trPr>
          <w:trHeight w:val="215"/>
        </w:trPr>
        <w:tc>
          <w:tcPr>
            <w:tcW w:w="1177" w:type="pct"/>
            <w:noWrap/>
          </w:tcPr>
          <w:p w14:paraId="17C3B4DF" w14:textId="77777777" w:rsidR="004215C4" w:rsidRPr="00B1570E" w:rsidRDefault="004215C4" w:rsidP="00810395">
            <w:pPr>
              <w:pStyle w:val="TableText"/>
              <w:rPr>
                <w:sz w:val="20"/>
                <w:szCs w:val="20"/>
              </w:rPr>
            </w:pPr>
            <w:r w:rsidRPr="006B5FDB">
              <w:t>E559 Campus Postcode</w:t>
            </w:r>
          </w:p>
        </w:tc>
        <w:tc>
          <w:tcPr>
            <w:tcW w:w="1867" w:type="pct"/>
            <w:noWrap/>
          </w:tcPr>
          <w:p w14:paraId="49FE8EED" w14:textId="77777777" w:rsidR="004215C4" w:rsidRPr="00B1570E" w:rsidRDefault="004215C4" w:rsidP="00810395">
            <w:pPr>
              <w:pStyle w:val="TableText"/>
              <w:rPr>
                <w:sz w:val="20"/>
                <w:szCs w:val="20"/>
              </w:rPr>
            </w:pPr>
            <w:r w:rsidRPr="006B5FDB">
              <w:t>The Australian postcode of the campus where the co</w:t>
            </w:r>
            <w:r w:rsidR="00CA27D3" w:rsidRPr="006B5FDB">
              <w:t>urse is being offered/provided</w:t>
            </w:r>
          </w:p>
        </w:tc>
        <w:tc>
          <w:tcPr>
            <w:tcW w:w="1956" w:type="pct"/>
          </w:tcPr>
          <w:p w14:paraId="45BDF19D" w14:textId="0DEEF4BB"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Education Institution Tables.</w:t>
            </w:r>
          </w:p>
        </w:tc>
      </w:tr>
      <w:tr w:rsidR="004215C4" w:rsidRPr="00DC3EBE" w14:paraId="6618F018" w14:textId="77777777" w:rsidTr="00810395">
        <w:trPr>
          <w:trHeight w:val="215"/>
        </w:trPr>
        <w:tc>
          <w:tcPr>
            <w:tcW w:w="1177" w:type="pct"/>
            <w:noWrap/>
          </w:tcPr>
          <w:p w14:paraId="2A9A71B4" w14:textId="77777777" w:rsidR="004215C4" w:rsidRPr="00B1570E" w:rsidRDefault="004215C4" w:rsidP="00810395">
            <w:pPr>
              <w:pStyle w:val="TableText"/>
              <w:rPr>
                <w:sz w:val="20"/>
                <w:szCs w:val="20"/>
              </w:rPr>
            </w:pPr>
            <w:r w:rsidRPr="006B5FDB">
              <w:t>E477 Delivery Location Postcode</w:t>
            </w:r>
          </w:p>
        </w:tc>
        <w:tc>
          <w:tcPr>
            <w:tcW w:w="1867" w:type="pct"/>
            <w:noWrap/>
          </w:tcPr>
          <w:p w14:paraId="0208C902" w14:textId="77777777" w:rsidR="004215C4" w:rsidRPr="00B1570E" w:rsidRDefault="004215C4" w:rsidP="00810395">
            <w:pPr>
              <w:pStyle w:val="TableText"/>
              <w:rPr>
                <w:sz w:val="20"/>
                <w:szCs w:val="20"/>
              </w:rPr>
            </w:pPr>
            <w:r w:rsidRPr="006B5FDB">
              <w:t>The Australian postcode of the delivery location where th</w:t>
            </w:r>
            <w:r w:rsidR="00CA27D3" w:rsidRPr="006B5FDB">
              <w:t>e student is studying the unit</w:t>
            </w:r>
          </w:p>
        </w:tc>
        <w:tc>
          <w:tcPr>
            <w:tcW w:w="1956" w:type="pct"/>
          </w:tcPr>
          <w:p w14:paraId="2613F133" w14:textId="39D2ACB0"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Education Institution Tables.</w:t>
            </w:r>
          </w:p>
        </w:tc>
      </w:tr>
      <w:tr w:rsidR="004215C4" w:rsidRPr="00DC3EBE" w14:paraId="00EB5C61" w14:textId="77777777" w:rsidTr="00810395">
        <w:trPr>
          <w:trHeight w:val="215"/>
        </w:trPr>
        <w:tc>
          <w:tcPr>
            <w:tcW w:w="1177" w:type="pct"/>
            <w:noWrap/>
          </w:tcPr>
          <w:p w14:paraId="65BFACE5" w14:textId="77777777" w:rsidR="004215C4" w:rsidRPr="00B1570E" w:rsidRDefault="004215C4" w:rsidP="00810395">
            <w:pPr>
              <w:pStyle w:val="TableText"/>
              <w:rPr>
                <w:sz w:val="20"/>
                <w:szCs w:val="20"/>
              </w:rPr>
            </w:pPr>
            <w:r w:rsidRPr="006B5FDB">
              <w:t>E307 Course Code</w:t>
            </w:r>
          </w:p>
        </w:tc>
        <w:tc>
          <w:tcPr>
            <w:tcW w:w="1867" w:type="pct"/>
            <w:noWrap/>
          </w:tcPr>
          <w:p w14:paraId="0558C7C7" w14:textId="77777777" w:rsidR="004215C4" w:rsidRPr="00B1570E" w:rsidRDefault="004215C4" w:rsidP="00CA27D3">
            <w:pPr>
              <w:pStyle w:val="TableText"/>
              <w:rPr>
                <w:sz w:val="20"/>
                <w:szCs w:val="20"/>
              </w:rPr>
            </w:pPr>
            <w:r w:rsidRPr="006B5FDB">
              <w:t xml:space="preserve">A </w:t>
            </w:r>
            <w:r w:rsidR="008C2032" w:rsidRPr="006B5FDB">
              <w:t xml:space="preserve">code </w:t>
            </w:r>
            <w:r w:rsidR="00CA27D3" w:rsidRPr="006B5FDB">
              <w:t>which</w:t>
            </w:r>
            <w:r w:rsidRPr="006B5FDB">
              <w:t xml:space="preserve"> uniquely identifies each course with</w:t>
            </w:r>
            <w:r w:rsidR="00CA27D3" w:rsidRPr="006B5FDB">
              <w:t>in a Provider</w:t>
            </w:r>
            <w:r w:rsidRPr="006B5FDB">
              <w:t xml:space="preserve"> </w:t>
            </w:r>
          </w:p>
        </w:tc>
        <w:tc>
          <w:tcPr>
            <w:tcW w:w="1956" w:type="pct"/>
          </w:tcPr>
          <w:p w14:paraId="39F4D710" w14:textId="38AA1208"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course tables, assisting in the assessment of course approval status for student payments.</w:t>
            </w:r>
          </w:p>
        </w:tc>
      </w:tr>
      <w:tr w:rsidR="004215C4" w:rsidRPr="00DC3EBE" w14:paraId="7C7DA7BC" w14:textId="77777777" w:rsidTr="00810395">
        <w:trPr>
          <w:trHeight w:val="215"/>
        </w:trPr>
        <w:tc>
          <w:tcPr>
            <w:tcW w:w="1177" w:type="pct"/>
            <w:noWrap/>
          </w:tcPr>
          <w:p w14:paraId="6043A75D" w14:textId="77777777" w:rsidR="004215C4" w:rsidRPr="00B1570E" w:rsidRDefault="004215C4" w:rsidP="00810395">
            <w:pPr>
              <w:pStyle w:val="TableText"/>
              <w:rPr>
                <w:sz w:val="20"/>
                <w:szCs w:val="20"/>
              </w:rPr>
            </w:pPr>
            <w:r w:rsidRPr="006B5FDB">
              <w:t>E308 Course Name</w:t>
            </w:r>
          </w:p>
        </w:tc>
        <w:tc>
          <w:tcPr>
            <w:tcW w:w="1867" w:type="pct"/>
            <w:noWrap/>
          </w:tcPr>
          <w:p w14:paraId="1E78887C" w14:textId="77777777" w:rsidR="004215C4" w:rsidRPr="00B1570E" w:rsidRDefault="00CA27D3" w:rsidP="00810395">
            <w:pPr>
              <w:pStyle w:val="TableText"/>
              <w:rPr>
                <w:sz w:val="20"/>
                <w:szCs w:val="20"/>
              </w:rPr>
            </w:pPr>
            <w:r w:rsidRPr="006B5FDB">
              <w:t>The full name of the course</w:t>
            </w:r>
          </w:p>
        </w:tc>
        <w:tc>
          <w:tcPr>
            <w:tcW w:w="1956" w:type="pct"/>
          </w:tcPr>
          <w:p w14:paraId="1118B8FE" w14:textId="525DDD1E"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course tables, assisting in the assessment of course approval status for student payments.</w:t>
            </w:r>
          </w:p>
        </w:tc>
      </w:tr>
      <w:tr w:rsidR="004215C4" w:rsidRPr="00DC3EBE" w14:paraId="25A10524" w14:textId="77777777" w:rsidTr="00810395">
        <w:trPr>
          <w:trHeight w:val="215"/>
        </w:trPr>
        <w:tc>
          <w:tcPr>
            <w:tcW w:w="1177" w:type="pct"/>
            <w:noWrap/>
          </w:tcPr>
          <w:p w14:paraId="7B98D1BA" w14:textId="77777777" w:rsidR="004215C4" w:rsidRPr="00B1570E" w:rsidRDefault="004215C4" w:rsidP="00810395">
            <w:pPr>
              <w:pStyle w:val="TableText"/>
              <w:rPr>
                <w:sz w:val="20"/>
                <w:szCs w:val="20"/>
              </w:rPr>
            </w:pPr>
            <w:r w:rsidRPr="006B5FDB">
              <w:t>E596 Standard Course Duration</w:t>
            </w:r>
          </w:p>
        </w:tc>
        <w:tc>
          <w:tcPr>
            <w:tcW w:w="1867" w:type="pct"/>
            <w:noWrap/>
          </w:tcPr>
          <w:p w14:paraId="30B2C548" w14:textId="77777777" w:rsidR="004215C4" w:rsidRPr="00B1570E" w:rsidRDefault="004215C4" w:rsidP="00810395">
            <w:pPr>
              <w:pStyle w:val="TableText"/>
              <w:rPr>
                <w:sz w:val="20"/>
                <w:szCs w:val="20"/>
              </w:rPr>
            </w:pPr>
            <w:r w:rsidRPr="006B5FDB">
              <w:t>The standard duration of the course of</w:t>
            </w:r>
            <w:r w:rsidR="00CA27D3" w:rsidRPr="006B5FDB">
              <w:t xml:space="preserve"> study for a full-time student</w:t>
            </w:r>
          </w:p>
        </w:tc>
        <w:tc>
          <w:tcPr>
            <w:tcW w:w="1956" w:type="pct"/>
          </w:tcPr>
          <w:p w14:paraId="5547269C" w14:textId="1AEF3473"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course tables, assisting in the assessment of course approval status for student payments.</w:t>
            </w:r>
          </w:p>
        </w:tc>
      </w:tr>
      <w:tr w:rsidR="004215C4" w:rsidRPr="00DC3EBE" w14:paraId="12D31B0C" w14:textId="77777777" w:rsidTr="00810395">
        <w:trPr>
          <w:trHeight w:val="215"/>
        </w:trPr>
        <w:tc>
          <w:tcPr>
            <w:tcW w:w="1177" w:type="pct"/>
            <w:noWrap/>
          </w:tcPr>
          <w:p w14:paraId="2D4F0115" w14:textId="77777777" w:rsidR="004215C4" w:rsidRPr="00B1570E" w:rsidRDefault="004215C4" w:rsidP="00810395">
            <w:pPr>
              <w:pStyle w:val="TableText"/>
              <w:rPr>
                <w:sz w:val="20"/>
                <w:szCs w:val="20"/>
              </w:rPr>
            </w:pPr>
            <w:r w:rsidRPr="006B5FDB">
              <w:t>E310 Course of Study Type Code</w:t>
            </w:r>
          </w:p>
        </w:tc>
        <w:tc>
          <w:tcPr>
            <w:tcW w:w="1867" w:type="pct"/>
            <w:noWrap/>
          </w:tcPr>
          <w:p w14:paraId="4AE955A6" w14:textId="77777777" w:rsidR="004215C4" w:rsidRPr="00B1570E" w:rsidRDefault="004215C4" w:rsidP="00810395">
            <w:pPr>
              <w:pStyle w:val="TableText"/>
              <w:rPr>
                <w:sz w:val="20"/>
                <w:szCs w:val="20"/>
              </w:rPr>
            </w:pPr>
            <w:r w:rsidRPr="006B5FDB">
              <w:t xml:space="preserve">A </w:t>
            </w:r>
            <w:r w:rsidR="008C2032" w:rsidRPr="006B5FDB">
              <w:t>code that</w:t>
            </w:r>
            <w:r w:rsidRPr="006B5FDB">
              <w:t xml:space="preserve"> identifies the type of course by award</w:t>
            </w:r>
            <w:r w:rsidR="00CA27D3" w:rsidRPr="006B5FDB">
              <w:t xml:space="preserve"> (i.e. Diploma, Masters, etc.)</w:t>
            </w:r>
          </w:p>
        </w:tc>
        <w:tc>
          <w:tcPr>
            <w:tcW w:w="1956" w:type="pct"/>
          </w:tcPr>
          <w:p w14:paraId="7487A508" w14:textId="77C532DE"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course tables, assisting in the assessment of course approval status for student payments.</w:t>
            </w:r>
          </w:p>
        </w:tc>
      </w:tr>
      <w:tr w:rsidR="004215C4" w:rsidRPr="00DC3EBE" w14:paraId="084EE251" w14:textId="77777777" w:rsidTr="00810395">
        <w:trPr>
          <w:trHeight w:val="215"/>
        </w:trPr>
        <w:tc>
          <w:tcPr>
            <w:tcW w:w="1177" w:type="pct"/>
            <w:noWrap/>
          </w:tcPr>
          <w:p w14:paraId="47C147A4" w14:textId="77777777" w:rsidR="004215C4" w:rsidRPr="00B1570E" w:rsidRDefault="004215C4" w:rsidP="00810395">
            <w:pPr>
              <w:pStyle w:val="TableText"/>
              <w:rPr>
                <w:sz w:val="20"/>
                <w:szCs w:val="20"/>
              </w:rPr>
            </w:pPr>
            <w:r w:rsidRPr="006B5FDB">
              <w:t>E350 Course of Study Load</w:t>
            </w:r>
          </w:p>
        </w:tc>
        <w:tc>
          <w:tcPr>
            <w:tcW w:w="1867" w:type="pct"/>
            <w:noWrap/>
          </w:tcPr>
          <w:p w14:paraId="5CE645D4" w14:textId="77777777" w:rsidR="004215C4" w:rsidRPr="00B1570E" w:rsidRDefault="004215C4" w:rsidP="00810395">
            <w:pPr>
              <w:pStyle w:val="TableText"/>
              <w:rPr>
                <w:sz w:val="20"/>
                <w:szCs w:val="20"/>
              </w:rPr>
            </w:pPr>
            <w:r w:rsidRPr="006B5FDB">
              <w:t>The aggregated EFTSL value for a course of study, summed across all units req</w:t>
            </w:r>
            <w:r w:rsidR="00CA27D3" w:rsidRPr="006B5FDB">
              <w:t>uired to meet a course of study</w:t>
            </w:r>
            <w:r w:rsidRPr="006B5FDB">
              <w:t xml:space="preserve"> </w:t>
            </w:r>
          </w:p>
        </w:tc>
        <w:tc>
          <w:tcPr>
            <w:tcW w:w="1956" w:type="pct"/>
          </w:tcPr>
          <w:p w14:paraId="0911BB66" w14:textId="448C2942"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course tables, assisting in the assessment of course approval status for student payments.</w:t>
            </w:r>
          </w:p>
        </w:tc>
      </w:tr>
      <w:tr w:rsidR="004215C4" w:rsidRPr="00DC3EBE" w14:paraId="6F3ED657" w14:textId="77777777" w:rsidTr="00810395">
        <w:trPr>
          <w:trHeight w:val="215"/>
        </w:trPr>
        <w:tc>
          <w:tcPr>
            <w:tcW w:w="1177" w:type="pct"/>
            <w:noWrap/>
          </w:tcPr>
          <w:p w14:paraId="554D01FC" w14:textId="77777777" w:rsidR="004215C4" w:rsidRPr="00B1570E" w:rsidRDefault="004215C4" w:rsidP="00810395">
            <w:pPr>
              <w:pStyle w:val="TableText"/>
              <w:rPr>
                <w:sz w:val="20"/>
                <w:szCs w:val="20"/>
              </w:rPr>
            </w:pPr>
            <w:r w:rsidRPr="006B5FDB">
              <w:t>E534 Course of Study Commencement Date</w:t>
            </w:r>
          </w:p>
        </w:tc>
        <w:tc>
          <w:tcPr>
            <w:tcW w:w="1867" w:type="pct"/>
            <w:noWrap/>
          </w:tcPr>
          <w:p w14:paraId="0652021B" w14:textId="77777777" w:rsidR="004215C4" w:rsidRPr="00B1570E" w:rsidRDefault="004215C4" w:rsidP="00CA27D3">
            <w:pPr>
              <w:pStyle w:val="TableText"/>
              <w:rPr>
                <w:sz w:val="20"/>
                <w:szCs w:val="20"/>
              </w:rPr>
            </w:pPr>
            <w:r w:rsidRPr="006B5FDB">
              <w:t xml:space="preserve">The date on which the student commenced the current course of study </w:t>
            </w:r>
          </w:p>
        </w:tc>
        <w:tc>
          <w:tcPr>
            <w:tcW w:w="1956" w:type="pct"/>
          </w:tcPr>
          <w:p w14:paraId="13278C52" w14:textId="6C14D7B0" w:rsidR="004215C4" w:rsidRPr="00B1570E" w:rsidRDefault="004215C4" w:rsidP="00810395">
            <w:pPr>
              <w:pStyle w:val="TableText"/>
              <w:rPr>
                <w:sz w:val="20"/>
                <w:szCs w:val="20"/>
              </w:rPr>
            </w:pPr>
            <w:r w:rsidRPr="006B5FDB">
              <w:t xml:space="preserve">Maps to </w:t>
            </w:r>
            <w:r w:rsidR="00E1472C" w:rsidRPr="006B5FDB">
              <w:t xml:space="preserve">Services Australia’s </w:t>
            </w:r>
            <w:r w:rsidRPr="006B5FDB">
              <w:t>course tables, assisting in the assessment of course approval status for student payments.</w:t>
            </w:r>
          </w:p>
        </w:tc>
      </w:tr>
      <w:tr w:rsidR="004215C4" w:rsidRPr="00DC3EBE" w14:paraId="5253A5B6" w14:textId="77777777" w:rsidTr="00810395">
        <w:trPr>
          <w:trHeight w:val="215"/>
        </w:trPr>
        <w:tc>
          <w:tcPr>
            <w:tcW w:w="1177" w:type="pct"/>
            <w:noWrap/>
          </w:tcPr>
          <w:p w14:paraId="58B1BC6B" w14:textId="77777777" w:rsidR="004215C4" w:rsidRPr="00B1570E" w:rsidRDefault="004215C4" w:rsidP="00810395">
            <w:pPr>
              <w:pStyle w:val="TableText"/>
              <w:rPr>
                <w:sz w:val="20"/>
                <w:szCs w:val="20"/>
              </w:rPr>
            </w:pPr>
            <w:r w:rsidRPr="006B5FDB">
              <w:t>E329 Mode of Attendance Code</w:t>
            </w:r>
          </w:p>
        </w:tc>
        <w:tc>
          <w:tcPr>
            <w:tcW w:w="1867" w:type="pct"/>
            <w:noWrap/>
          </w:tcPr>
          <w:p w14:paraId="3596359B" w14:textId="77777777" w:rsidR="004215C4" w:rsidRPr="00B1570E" w:rsidRDefault="004215C4" w:rsidP="00CA27D3">
            <w:pPr>
              <w:pStyle w:val="TableText"/>
              <w:rPr>
                <w:sz w:val="20"/>
                <w:szCs w:val="20"/>
              </w:rPr>
            </w:pPr>
            <w:r w:rsidRPr="006B5FDB">
              <w:t xml:space="preserve">A code </w:t>
            </w:r>
            <w:r w:rsidR="00CA27D3" w:rsidRPr="006B5FDB">
              <w:t>which</w:t>
            </w:r>
            <w:r w:rsidRPr="006B5FDB">
              <w:t xml:space="preserve"> identifies the mode of attendance by which the student undertakes their study (i.e. inter</w:t>
            </w:r>
            <w:r w:rsidR="006C3A51" w:rsidRPr="006B5FDB">
              <w:t>nal, external, employer based)</w:t>
            </w:r>
          </w:p>
        </w:tc>
        <w:tc>
          <w:tcPr>
            <w:tcW w:w="1956" w:type="pct"/>
          </w:tcPr>
          <w:p w14:paraId="5E9341E4" w14:textId="20B029A9" w:rsidR="004215C4" w:rsidRPr="00B1570E" w:rsidRDefault="004215C4" w:rsidP="00810395">
            <w:pPr>
              <w:pStyle w:val="TableText"/>
              <w:rPr>
                <w:sz w:val="20"/>
                <w:szCs w:val="20"/>
              </w:rPr>
            </w:pPr>
            <w:r w:rsidRPr="006B5FDB">
              <w:t xml:space="preserve">Used by </w:t>
            </w:r>
            <w:r w:rsidR="00E1472C" w:rsidRPr="006B5FDB">
              <w:t xml:space="preserve">Services Australia </w:t>
            </w:r>
            <w:r w:rsidRPr="006B5FDB">
              <w:t>to aid in the assessment of a customer’s qualification for student payment(s).</w:t>
            </w:r>
          </w:p>
        </w:tc>
      </w:tr>
      <w:tr w:rsidR="004215C4" w:rsidRPr="00DC3EBE" w14:paraId="7577662C" w14:textId="77777777" w:rsidTr="00810395">
        <w:trPr>
          <w:trHeight w:val="215"/>
        </w:trPr>
        <w:tc>
          <w:tcPr>
            <w:tcW w:w="1177" w:type="pct"/>
            <w:noWrap/>
          </w:tcPr>
          <w:p w14:paraId="6E0927CF" w14:textId="77777777" w:rsidR="004215C4" w:rsidRPr="00B1570E" w:rsidRDefault="004215C4" w:rsidP="00810395">
            <w:pPr>
              <w:pStyle w:val="TableText"/>
              <w:rPr>
                <w:sz w:val="20"/>
                <w:szCs w:val="20"/>
              </w:rPr>
            </w:pPr>
            <w:r w:rsidRPr="006B5FDB">
              <w:t>E599 Course Outcome Code</w:t>
            </w:r>
          </w:p>
        </w:tc>
        <w:tc>
          <w:tcPr>
            <w:tcW w:w="1867" w:type="pct"/>
            <w:noWrap/>
          </w:tcPr>
          <w:p w14:paraId="7049113B" w14:textId="77777777" w:rsidR="004215C4" w:rsidRPr="00B1570E" w:rsidRDefault="004215C4" w:rsidP="00CA27D3">
            <w:pPr>
              <w:pStyle w:val="TableText"/>
              <w:rPr>
                <w:sz w:val="20"/>
                <w:szCs w:val="20"/>
              </w:rPr>
            </w:pPr>
            <w:r w:rsidRPr="006B5FDB">
              <w:t xml:space="preserve">A </w:t>
            </w:r>
            <w:r w:rsidR="00E7461B" w:rsidRPr="006B5FDB">
              <w:t>code, which</w:t>
            </w:r>
            <w:r w:rsidR="00CA27D3" w:rsidRPr="006B5FDB">
              <w:t xml:space="preserve"> </w:t>
            </w:r>
            <w:r w:rsidR="00CA27D3" w:rsidRPr="006B5FDB">
              <w:rPr>
                <w:lang w:val="en-AU"/>
              </w:rPr>
              <w:t>categorises</w:t>
            </w:r>
            <w:r w:rsidRPr="006B5FDB">
              <w:rPr>
                <w:lang w:val="en-AU"/>
              </w:rPr>
              <w:t xml:space="preserve"> </w:t>
            </w:r>
            <w:r w:rsidRPr="006B5FDB">
              <w:t>the outcome of a student’s course (i.e. co</w:t>
            </w:r>
            <w:r w:rsidR="006C3A51" w:rsidRPr="006B5FDB">
              <w:t>mpleted, withdrawn, etc.)</w:t>
            </w:r>
          </w:p>
        </w:tc>
        <w:tc>
          <w:tcPr>
            <w:tcW w:w="1956" w:type="pct"/>
          </w:tcPr>
          <w:p w14:paraId="3E26E6F7" w14:textId="2D127873" w:rsidR="004215C4" w:rsidRPr="00B1570E" w:rsidRDefault="004215C4" w:rsidP="00810395">
            <w:pPr>
              <w:pStyle w:val="TableText"/>
              <w:rPr>
                <w:sz w:val="20"/>
                <w:szCs w:val="20"/>
              </w:rPr>
            </w:pPr>
            <w:r w:rsidRPr="006B5FDB">
              <w:t xml:space="preserve">Used by </w:t>
            </w:r>
            <w:r w:rsidR="00E1472C" w:rsidRPr="006B5FDB">
              <w:t xml:space="preserve">Services Australia </w:t>
            </w:r>
            <w:r w:rsidRPr="006B5FDB">
              <w:t>to aid in the assessment of a customer’s qualification for student payment(s).</w:t>
            </w:r>
          </w:p>
        </w:tc>
      </w:tr>
      <w:tr w:rsidR="004215C4" w:rsidRPr="00DC3EBE" w14:paraId="7DAB2B91" w14:textId="77777777" w:rsidTr="00810395">
        <w:trPr>
          <w:trHeight w:val="215"/>
        </w:trPr>
        <w:tc>
          <w:tcPr>
            <w:tcW w:w="1177" w:type="pct"/>
            <w:noWrap/>
          </w:tcPr>
          <w:p w14:paraId="00979B07" w14:textId="77777777" w:rsidR="004215C4" w:rsidRPr="00B1570E" w:rsidRDefault="004215C4" w:rsidP="00810395">
            <w:pPr>
              <w:pStyle w:val="TableText"/>
              <w:rPr>
                <w:sz w:val="20"/>
                <w:szCs w:val="20"/>
              </w:rPr>
            </w:pPr>
            <w:r w:rsidRPr="006B5FDB">
              <w:t>E592 Course Outcome Date</w:t>
            </w:r>
          </w:p>
        </w:tc>
        <w:tc>
          <w:tcPr>
            <w:tcW w:w="1867" w:type="pct"/>
            <w:noWrap/>
          </w:tcPr>
          <w:p w14:paraId="53230487" w14:textId="77777777" w:rsidR="004215C4" w:rsidRPr="00B1570E" w:rsidRDefault="004215C4" w:rsidP="00810395">
            <w:pPr>
              <w:pStyle w:val="TableText"/>
              <w:rPr>
                <w:sz w:val="20"/>
                <w:szCs w:val="20"/>
              </w:rPr>
            </w:pPr>
            <w:r w:rsidRPr="006B5FDB">
              <w:t>The date</w:t>
            </w:r>
            <w:r w:rsidR="006C3A51" w:rsidRPr="006B5FDB">
              <w:t xml:space="preserve"> of the student course outcome</w:t>
            </w:r>
          </w:p>
        </w:tc>
        <w:tc>
          <w:tcPr>
            <w:tcW w:w="1956" w:type="pct"/>
          </w:tcPr>
          <w:p w14:paraId="01719699" w14:textId="1AD5F0F6" w:rsidR="004215C4" w:rsidRPr="00B1570E" w:rsidRDefault="004215C4" w:rsidP="00810395">
            <w:pPr>
              <w:pStyle w:val="TableText"/>
              <w:rPr>
                <w:sz w:val="20"/>
                <w:szCs w:val="20"/>
              </w:rPr>
            </w:pPr>
            <w:r w:rsidRPr="006B5FDB">
              <w:t xml:space="preserve">Used by </w:t>
            </w:r>
            <w:r w:rsidR="00E1472C" w:rsidRPr="006B5FDB">
              <w:t xml:space="preserve">Services Australia </w:t>
            </w:r>
            <w:r w:rsidRPr="006B5FDB">
              <w:t>to aid in the assessment of a customer’s qualification for student payment(s).</w:t>
            </w:r>
          </w:p>
        </w:tc>
      </w:tr>
      <w:tr w:rsidR="004215C4" w:rsidRPr="00DC3EBE" w14:paraId="7B764E9E" w14:textId="77777777" w:rsidTr="00810395">
        <w:trPr>
          <w:trHeight w:val="215"/>
        </w:trPr>
        <w:tc>
          <w:tcPr>
            <w:tcW w:w="1177" w:type="pct"/>
            <w:noWrap/>
          </w:tcPr>
          <w:p w14:paraId="2AB35E87" w14:textId="77777777" w:rsidR="004215C4" w:rsidRPr="00B1570E" w:rsidRDefault="004215C4" w:rsidP="00810395">
            <w:pPr>
              <w:pStyle w:val="TableText"/>
              <w:rPr>
                <w:sz w:val="20"/>
                <w:szCs w:val="20"/>
              </w:rPr>
            </w:pPr>
            <w:r w:rsidRPr="006B5FDB">
              <w:t>E354 Unit of Study code</w:t>
            </w:r>
          </w:p>
        </w:tc>
        <w:tc>
          <w:tcPr>
            <w:tcW w:w="1867" w:type="pct"/>
            <w:noWrap/>
          </w:tcPr>
          <w:p w14:paraId="3E3E2202" w14:textId="77777777" w:rsidR="004215C4" w:rsidRPr="00B1570E" w:rsidRDefault="004215C4" w:rsidP="00CA27D3">
            <w:pPr>
              <w:pStyle w:val="TableText"/>
              <w:rPr>
                <w:sz w:val="20"/>
                <w:szCs w:val="20"/>
              </w:rPr>
            </w:pPr>
            <w:r w:rsidRPr="006B5FDB">
              <w:t xml:space="preserve">A code </w:t>
            </w:r>
            <w:r w:rsidR="00CA27D3" w:rsidRPr="006B5FDB">
              <w:t>which</w:t>
            </w:r>
            <w:r w:rsidRPr="006B5FDB">
              <w:t xml:space="preserve"> uniqu</w:t>
            </w:r>
            <w:r w:rsidR="006C3A51" w:rsidRPr="006B5FDB">
              <w:t>ely identifies a unit of study</w:t>
            </w:r>
          </w:p>
        </w:tc>
        <w:tc>
          <w:tcPr>
            <w:tcW w:w="1956" w:type="pct"/>
          </w:tcPr>
          <w:p w14:paraId="70AB6CB5" w14:textId="0B181077" w:rsidR="004215C4" w:rsidRPr="00B1570E" w:rsidRDefault="004215C4" w:rsidP="00810395">
            <w:pPr>
              <w:pStyle w:val="TableText"/>
              <w:rPr>
                <w:sz w:val="20"/>
                <w:szCs w:val="20"/>
              </w:rPr>
            </w:pPr>
            <w:r w:rsidRPr="006B5FDB">
              <w:t xml:space="preserve">Used by </w:t>
            </w:r>
            <w:r w:rsidR="00E1472C" w:rsidRPr="006B5FDB">
              <w:t xml:space="preserve">Services Australia </w:t>
            </w:r>
            <w:r w:rsidRPr="006B5FDB">
              <w:t>to aid in the assessment of a customer’s qualification for student payment(s).</w:t>
            </w:r>
          </w:p>
        </w:tc>
      </w:tr>
      <w:tr w:rsidR="004215C4" w:rsidRPr="00DC3EBE" w14:paraId="51D1EF21" w14:textId="77777777" w:rsidTr="00810395">
        <w:trPr>
          <w:trHeight w:val="215"/>
        </w:trPr>
        <w:tc>
          <w:tcPr>
            <w:tcW w:w="1177" w:type="pct"/>
            <w:noWrap/>
          </w:tcPr>
          <w:p w14:paraId="04B2EEC6" w14:textId="77777777" w:rsidR="004215C4" w:rsidRPr="00B1570E" w:rsidRDefault="004215C4" w:rsidP="00810395">
            <w:pPr>
              <w:pStyle w:val="TableText"/>
              <w:rPr>
                <w:sz w:val="20"/>
                <w:szCs w:val="20"/>
              </w:rPr>
            </w:pPr>
            <w:r w:rsidRPr="006B5FDB">
              <w:lastRenderedPageBreak/>
              <w:t>E622 Unit of Study Year Long Indicator</w:t>
            </w:r>
          </w:p>
        </w:tc>
        <w:tc>
          <w:tcPr>
            <w:tcW w:w="1867" w:type="pct"/>
            <w:noWrap/>
          </w:tcPr>
          <w:p w14:paraId="5F7EE0A5" w14:textId="77777777" w:rsidR="004215C4" w:rsidRPr="00B1570E" w:rsidRDefault="004215C4" w:rsidP="00810395">
            <w:pPr>
              <w:pStyle w:val="TableText"/>
              <w:rPr>
                <w:sz w:val="20"/>
                <w:szCs w:val="20"/>
              </w:rPr>
            </w:pPr>
            <w:r w:rsidRPr="006B5FDB">
              <w:t>An indicator of units of stud</w:t>
            </w:r>
            <w:r w:rsidR="006C3A51" w:rsidRPr="006B5FDB">
              <w:t>y that are full-year units</w:t>
            </w:r>
            <w:r w:rsidRPr="006B5FDB">
              <w:t xml:space="preserve"> </w:t>
            </w:r>
          </w:p>
        </w:tc>
        <w:tc>
          <w:tcPr>
            <w:tcW w:w="1956" w:type="pct"/>
          </w:tcPr>
          <w:p w14:paraId="217CF50E" w14:textId="5137CDC0" w:rsidR="004215C4" w:rsidRPr="00B1570E" w:rsidRDefault="004215C4" w:rsidP="00810395">
            <w:pPr>
              <w:pStyle w:val="TableText"/>
              <w:rPr>
                <w:sz w:val="20"/>
                <w:szCs w:val="20"/>
              </w:rPr>
            </w:pPr>
            <w:r w:rsidRPr="006B5FDB">
              <w:t xml:space="preserve">Used by </w:t>
            </w:r>
            <w:r w:rsidR="00E1472C" w:rsidRPr="006B5FDB">
              <w:t xml:space="preserve">Services Australia </w:t>
            </w:r>
            <w:r w:rsidRPr="006B5FDB">
              <w:t>to aid in the assessment of a customer’s qualification for student payment(s).</w:t>
            </w:r>
          </w:p>
        </w:tc>
      </w:tr>
      <w:tr w:rsidR="004215C4" w:rsidRPr="00DC3EBE" w14:paraId="18A8834C" w14:textId="77777777" w:rsidTr="00810395">
        <w:trPr>
          <w:trHeight w:val="215"/>
        </w:trPr>
        <w:tc>
          <w:tcPr>
            <w:tcW w:w="1177" w:type="pct"/>
            <w:noWrap/>
          </w:tcPr>
          <w:p w14:paraId="7DCFA50B" w14:textId="77777777" w:rsidR="004215C4" w:rsidRPr="00B1570E" w:rsidRDefault="004215C4" w:rsidP="00810395">
            <w:pPr>
              <w:pStyle w:val="TableText"/>
              <w:rPr>
                <w:sz w:val="20"/>
                <w:szCs w:val="20"/>
              </w:rPr>
            </w:pPr>
            <w:r w:rsidRPr="006B5FDB">
              <w:t>E339 Equivalent Full-Time Study Load</w:t>
            </w:r>
          </w:p>
        </w:tc>
        <w:tc>
          <w:tcPr>
            <w:tcW w:w="1867" w:type="pct"/>
            <w:noWrap/>
          </w:tcPr>
          <w:p w14:paraId="21FB91F5" w14:textId="77777777" w:rsidR="004215C4" w:rsidRPr="00B1570E" w:rsidRDefault="004215C4" w:rsidP="00810395">
            <w:pPr>
              <w:pStyle w:val="TableText"/>
              <w:rPr>
                <w:sz w:val="20"/>
                <w:szCs w:val="20"/>
              </w:rPr>
            </w:pPr>
            <w:r w:rsidRPr="006B5FDB">
              <w:t>The EFSTL value representing the st</w:t>
            </w:r>
            <w:r w:rsidR="006C3A51" w:rsidRPr="006B5FDB">
              <w:t xml:space="preserve">udent load for a unit of </w:t>
            </w:r>
            <w:proofErr w:type="gramStart"/>
            <w:r w:rsidR="006C3A51" w:rsidRPr="006B5FDB">
              <w:t>study</w:t>
            </w:r>
            <w:proofErr w:type="gramEnd"/>
          </w:p>
          <w:p w14:paraId="4B1B1A54" w14:textId="77777777" w:rsidR="004215C4" w:rsidRPr="00B1570E" w:rsidRDefault="004215C4" w:rsidP="00810395">
            <w:pPr>
              <w:pStyle w:val="TableText"/>
              <w:rPr>
                <w:sz w:val="20"/>
                <w:szCs w:val="20"/>
              </w:rPr>
            </w:pPr>
          </w:p>
        </w:tc>
        <w:tc>
          <w:tcPr>
            <w:tcW w:w="1956" w:type="pct"/>
          </w:tcPr>
          <w:p w14:paraId="69CDD670" w14:textId="273E22AD" w:rsidR="004215C4" w:rsidRPr="00B1570E" w:rsidRDefault="004215C4" w:rsidP="00810395">
            <w:pPr>
              <w:pStyle w:val="TableText"/>
              <w:rPr>
                <w:sz w:val="20"/>
                <w:szCs w:val="20"/>
              </w:rPr>
            </w:pPr>
            <w:r w:rsidRPr="006B5FDB">
              <w:t xml:space="preserve">Used by </w:t>
            </w:r>
            <w:r w:rsidR="00E1472C" w:rsidRPr="006B5FDB">
              <w:t xml:space="preserve">Services Australia </w:t>
            </w:r>
            <w:r w:rsidRPr="006B5FDB">
              <w:t>to aid in the assessment of a customer’s qualification for student payment(s).</w:t>
            </w:r>
          </w:p>
        </w:tc>
      </w:tr>
      <w:tr w:rsidR="004215C4" w:rsidRPr="00DC3EBE" w14:paraId="0087C921" w14:textId="77777777" w:rsidTr="00810395">
        <w:trPr>
          <w:trHeight w:val="215"/>
        </w:trPr>
        <w:tc>
          <w:tcPr>
            <w:tcW w:w="1177" w:type="pct"/>
            <w:noWrap/>
          </w:tcPr>
          <w:p w14:paraId="13C1B0B6" w14:textId="77777777" w:rsidR="004215C4" w:rsidRPr="00B1570E" w:rsidRDefault="004215C4" w:rsidP="00810395">
            <w:pPr>
              <w:pStyle w:val="TableText"/>
              <w:rPr>
                <w:sz w:val="20"/>
                <w:szCs w:val="20"/>
              </w:rPr>
            </w:pPr>
            <w:r w:rsidRPr="006B5FDB">
              <w:t>E600 Unit of Study Commencement Date</w:t>
            </w:r>
          </w:p>
        </w:tc>
        <w:tc>
          <w:tcPr>
            <w:tcW w:w="1867" w:type="pct"/>
            <w:noWrap/>
          </w:tcPr>
          <w:p w14:paraId="08A4EF24" w14:textId="77777777" w:rsidR="004215C4" w:rsidRPr="00B1570E" w:rsidRDefault="004215C4" w:rsidP="00810395">
            <w:pPr>
              <w:pStyle w:val="TableText"/>
              <w:rPr>
                <w:sz w:val="20"/>
                <w:szCs w:val="20"/>
              </w:rPr>
            </w:pPr>
            <w:r w:rsidRPr="006B5FDB">
              <w:t>The date on which the stude</w:t>
            </w:r>
            <w:r w:rsidR="006C3A51" w:rsidRPr="006B5FDB">
              <w:t>nt commences the unit of study</w:t>
            </w:r>
          </w:p>
        </w:tc>
        <w:tc>
          <w:tcPr>
            <w:tcW w:w="1956" w:type="pct"/>
          </w:tcPr>
          <w:p w14:paraId="3A76F452" w14:textId="7A936594" w:rsidR="004215C4" w:rsidRPr="00B1570E" w:rsidRDefault="004215C4" w:rsidP="00810395">
            <w:pPr>
              <w:pStyle w:val="TableText"/>
              <w:rPr>
                <w:sz w:val="20"/>
                <w:szCs w:val="20"/>
              </w:rPr>
            </w:pPr>
            <w:r w:rsidRPr="006B5FDB">
              <w:t xml:space="preserve">Used by </w:t>
            </w:r>
            <w:r w:rsidR="00E1472C" w:rsidRPr="006B5FDB">
              <w:t xml:space="preserve">Services Australia </w:t>
            </w:r>
            <w:r w:rsidRPr="006B5FDB">
              <w:t>to aid in the assessment of a customer’s qualification for student payment(s).</w:t>
            </w:r>
          </w:p>
        </w:tc>
      </w:tr>
      <w:tr w:rsidR="004215C4" w:rsidRPr="00DC3EBE" w14:paraId="136E6F7A" w14:textId="77777777" w:rsidTr="00810395">
        <w:trPr>
          <w:trHeight w:val="215"/>
        </w:trPr>
        <w:tc>
          <w:tcPr>
            <w:tcW w:w="1177" w:type="pct"/>
            <w:noWrap/>
          </w:tcPr>
          <w:p w14:paraId="743BBA92" w14:textId="77777777" w:rsidR="004215C4" w:rsidRPr="00B1570E" w:rsidRDefault="004215C4" w:rsidP="00810395">
            <w:pPr>
              <w:pStyle w:val="TableText"/>
              <w:rPr>
                <w:sz w:val="20"/>
                <w:szCs w:val="20"/>
              </w:rPr>
            </w:pPr>
            <w:r w:rsidRPr="006B5FDB">
              <w:t>E355 Unit of Study Status Code</w:t>
            </w:r>
          </w:p>
        </w:tc>
        <w:tc>
          <w:tcPr>
            <w:tcW w:w="1867" w:type="pct"/>
            <w:noWrap/>
          </w:tcPr>
          <w:p w14:paraId="32716D19" w14:textId="77777777" w:rsidR="004215C4" w:rsidRPr="00B1570E" w:rsidRDefault="004215C4" w:rsidP="006C3A51">
            <w:pPr>
              <w:pStyle w:val="TableText"/>
              <w:rPr>
                <w:sz w:val="20"/>
                <w:szCs w:val="20"/>
              </w:rPr>
            </w:pPr>
            <w:r w:rsidRPr="006B5FDB">
              <w:t xml:space="preserve">A </w:t>
            </w:r>
            <w:r w:rsidR="00E7461B" w:rsidRPr="006B5FDB">
              <w:t>code, which</w:t>
            </w:r>
            <w:r w:rsidR="00CA27D3" w:rsidRPr="006B5FDB">
              <w:t xml:space="preserve"> </w:t>
            </w:r>
            <w:r w:rsidR="00CA27D3" w:rsidRPr="006B5FDB">
              <w:rPr>
                <w:lang w:val="en-AU"/>
              </w:rPr>
              <w:t>categorises</w:t>
            </w:r>
            <w:r w:rsidRPr="006B5FDB">
              <w:rPr>
                <w:lang w:val="en-AU"/>
              </w:rPr>
              <w:t xml:space="preserve"> </w:t>
            </w:r>
            <w:r w:rsidRPr="006B5FDB">
              <w:t>the</w:t>
            </w:r>
            <w:r w:rsidR="006C3A51" w:rsidRPr="006B5FDB">
              <w:t xml:space="preserve"> status</w:t>
            </w:r>
            <w:r w:rsidRPr="006B5FDB">
              <w:t xml:space="preserve"> of a student’s unit of study (i.e. Fail</w:t>
            </w:r>
            <w:r w:rsidR="006C3A51" w:rsidRPr="006B5FDB">
              <w:t>ed, Completed, Withdrew, etc.)</w:t>
            </w:r>
          </w:p>
        </w:tc>
        <w:tc>
          <w:tcPr>
            <w:tcW w:w="1956" w:type="pct"/>
          </w:tcPr>
          <w:p w14:paraId="4473396A" w14:textId="69E98B2D" w:rsidR="004215C4" w:rsidRPr="00B1570E" w:rsidRDefault="004215C4" w:rsidP="00810395">
            <w:pPr>
              <w:pStyle w:val="TableText"/>
              <w:rPr>
                <w:sz w:val="20"/>
                <w:szCs w:val="20"/>
              </w:rPr>
            </w:pPr>
            <w:r w:rsidRPr="006B5FDB">
              <w:t xml:space="preserve">Used by </w:t>
            </w:r>
            <w:r w:rsidR="00E1472C" w:rsidRPr="006B5FDB">
              <w:t xml:space="preserve">Services Australia </w:t>
            </w:r>
            <w:r w:rsidRPr="006B5FDB">
              <w:t>to aid in the assessment of a customer’s qualification for student payment(s).</w:t>
            </w:r>
          </w:p>
        </w:tc>
      </w:tr>
      <w:tr w:rsidR="004215C4" w:rsidRPr="00DC3EBE" w14:paraId="77049F21" w14:textId="77777777" w:rsidTr="00810395">
        <w:trPr>
          <w:trHeight w:val="215"/>
        </w:trPr>
        <w:tc>
          <w:tcPr>
            <w:tcW w:w="1177" w:type="pct"/>
            <w:noWrap/>
          </w:tcPr>
          <w:p w14:paraId="0EB7583E" w14:textId="77777777" w:rsidR="004215C4" w:rsidRPr="00B1570E" w:rsidRDefault="004215C4" w:rsidP="00810395">
            <w:pPr>
              <w:pStyle w:val="TableText"/>
              <w:rPr>
                <w:sz w:val="20"/>
                <w:szCs w:val="20"/>
              </w:rPr>
            </w:pPr>
            <w:r w:rsidRPr="006B5FDB">
              <w:t>E601 Unit of Study Outcome Date</w:t>
            </w:r>
          </w:p>
        </w:tc>
        <w:tc>
          <w:tcPr>
            <w:tcW w:w="1867" w:type="pct"/>
            <w:noWrap/>
          </w:tcPr>
          <w:p w14:paraId="2AC0E97D" w14:textId="77777777" w:rsidR="004215C4" w:rsidRPr="00B1570E" w:rsidRDefault="004215C4" w:rsidP="006C3A51">
            <w:pPr>
              <w:pStyle w:val="TableText"/>
              <w:rPr>
                <w:sz w:val="20"/>
                <w:szCs w:val="20"/>
              </w:rPr>
            </w:pPr>
            <w:r w:rsidRPr="006B5FDB">
              <w:t xml:space="preserve">The expected or actual date of the </w:t>
            </w:r>
            <w:r w:rsidR="006C3A51" w:rsidRPr="006B5FDB">
              <w:t>outcome for a student’</w:t>
            </w:r>
            <w:r w:rsidRPr="006B5FDB">
              <w:t>s</w:t>
            </w:r>
            <w:r w:rsidR="006C3A51" w:rsidRPr="006B5FDB">
              <w:t xml:space="preserve"> unit of study</w:t>
            </w:r>
          </w:p>
        </w:tc>
        <w:tc>
          <w:tcPr>
            <w:tcW w:w="1956" w:type="pct"/>
          </w:tcPr>
          <w:p w14:paraId="45CA2545" w14:textId="6E9723F5" w:rsidR="004215C4" w:rsidRPr="00B1570E" w:rsidRDefault="004215C4" w:rsidP="00810395">
            <w:pPr>
              <w:pStyle w:val="TableText"/>
              <w:rPr>
                <w:sz w:val="20"/>
                <w:szCs w:val="20"/>
              </w:rPr>
            </w:pPr>
            <w:r w:rsidRPr="006B5FDB">
              <w:t xml:space="preserve">Used by </w:t>
            </w:r>
            <w:r w:rsidR="00E1472C" w:rsidRPr="006B5FDB">
              <w:t xml:space="preserve">Services Australia </w:t>
            </w:r>
            <w:r w:rsidRPr="006B5FDB">
              <w:t>to aid in the assessment of a customer’s qualification for student payment(s).</w:t>
            </w:r>
          </w:p>
        </w:tc>
      </w:tr>
      <w:tr w:rsidR="004215C4" w:rsidRPr="00DC3EBE" w14:paraId="73C0DD73" w14:textId="77777777" w:rsidTr="00810395">
        <w:trPr>
          <w:trHeight w:val="215"/>
        </w:trPr>
        <w:tc>
          <w:tcPr>
            <w:tcW w:w="1177" w:type="pct"/>
            <w:noWrap/>
          </w:tcPr>
          <w:p w14:paraId="0759B7BE" w14:textId="77777777" w:rsidR="004215C4" w:rsidRPr="00B1570E" w:rsidRDefault="004215C4" w:rsidP="00810395">
            <w:pPr>
              <w:pStyle w:val="TableText"/>
              <w:rPr>
                <w:sz w:val="20"/>
                <w:szCs w:val="20"/>
              </w:rPr>
            </w:pPr>
            <w:r w:rsidRPr="006B5FDB">
              <w:t>E489 Unit of Study Census Date</w:t>
            </w:r>
          </w:p>
        </w:tc>
        <w:tc>
          <w:tcPr>
            <w:tcW w:w="1867" w:type="pct"/>
            <w:noWrap/>
          </w:tcPr>
          <w:p w14:paraId="17EAA627" w14:textId="77777777" w:rsidR="004215C4" w:rsidRPr="00B1570E" w:rsidRDefault="004215C4" w:rsidP="00810395">
            <w:pPr>
              <w:pStyle w:val="TableText"/>
              <w:rPr>
                <w:sz w:val="20"/>
                <w:szCs w:val="20"/>
              </w:rPr>
            </w:pPr>
            <w:r w:rsidRPr="006B5FDB">
              <w:t>The cen</w:t>
            </w:r>
            <w:r w:rsidR="006C3A51" w:rsidRPr="006B5FDB">
              <w:t>sus date for the unit of study</w:t>
            </w:r>
          </w:p>
          <w:p w14:paraId="1FF4ED81" w14:textId="77777777" w:rsidR="004215C4" w:rsidRPr="00B1570E" w:rsidRDefault="004215C4" w:rsidP="00810395">
            <w:pPr>
              <w:pStyle w:val="TableText"/>
              <w:rPr>
                <w:sz w:val="20"/>
                <w:szCs w:val="20"/>
              </w:rPr>
            </w:pPr>
          </w:p>
        </w:tc>
        <w:tc>
          <w:tcPr>
            <w:tcW w:w="1956" w:type="pct"/>
          </w:tcPr>
          <w:p w14:paraId="12481E58" w14:textId="41FFB299" w:rsidR="004215C4" w:rsidRPr="00B1570E" w:rsidRDefault="004215C4" w:rsidP="00810395">
            <w:pPr>
              <w:pStyle w:val="TableText"/>
              <w:rPr>
                <w:sz w:val="20"/>
                <w:szCs w:val="20"/>
              </w:rPr>
            </w:pPr>
            <w:r w:rsidRPr="006B5FDB">
              <w:t xml:space="preserve">Used by </w:t>
            </w:r>
            <w:r w:rsidR="00E1472C" w:rsidRPr="006B5FDB">
              <w:t xml:space="preserve">Services Australia </w:t>
            </w:r>
            <w:r w:rsidRPr="006B5FDB">
              <w:t>to aid in the assessment of a customer’s qualification for student payment(s).</w:t>
            </w:r>
          </w:p>
        </w:tc>
      </w:tr>
      <w:tr w:rsidR="004215C4" w:rsidRPr="00DC3EBE" w14:paraId="210CAC2F" w14:textId="77777777" w:rsidTr="00810395">
        <w:trPr>
          <w:trHeight w:val="215"/>
        </w:trPr>
        <w:tc>
          <w:tcPr>
            <w:tcW w:w="1177" w:type="pct"/>
            <w:noWrap/>
          </w:tcPr>
          <w:p w14:paraId="48FC698E" w14:textId="77777777" w:rsidR="004215C4" w:rsidRPr="00B1570E" w:rsidRDefault="004215C4" w:rsidP="00810395">
            <w:pPr>
              <w:pStyle w:val="TableText"/>
              <w:rPr>
                <w:sz w:val="20"/>
                <w:szCs w:val="20"/>
              </w:rPr>
            </w:pPr>
            <w:r w:rsidRPr="006B5FDB">
              <w:t>E313 Student Identification Code</w:t>
            </w:r>
          </w:p>
        </w:tc>
        <w:tc>
          <w:tcPr>
            <w:tcW w:w="1867" w:type="pct"/>
            <w:noWrap/>
          </w:tcPr>
          <w:p w14:paraId="166A5244" w14:textId="77777777" w:rsidR="004215C4" w:rsidRPr="00B1570E" w:rsidRDefault="006C3A51" w:rsidP="00810395">
            <w:pPr>
              <w:pStyle w:val="TableText"/>
              <w:rPr>
                <w:sz w:val="20"/>
                <w:szCs w:val="20"/>
              </w:rPr>
            </w:pPr>
            <w:r w:rsidRPr="006B5FDB">
              <w:t>A code which uniquely identifies the student within the Provider and remains constant from year to year</w:t>
            </w:r>
          </w:p>
        </w:tc>
        <w:tc>
          <w:tcPr>
            <w:tcW w:w="1956" w:type="pct"/>
          </w:tcPr>
          <w:p w14:paraId="07E2C0D7" w14:textId="77777777" w:rsidR="004215C4" w:rsidRPr="00B1570E" w:rsidRDefault="004215C4" w:rsidP="00810395">
            <w:pPr>
              <w:pStyle w:val="TableText"/>
              <w:rPr>
                <w:sz w:val="20"/>
                <w:szCs w:val="20"/>
              </w:rPr>
            </w:pPr>
            <w:r w:rsidRPr="006B5FDB">
              <w:t>Used in the data matching process.</w:t>
            </w:r>
          </w:p>
        </w:tc>
      </w:tr>
      <w:tr w:rsidR="004215C4" w:rsidRPr="00DC3EBE" w14:paraId="69D6D217" w14:textId="77777777" w:rsidTr="00810395">
        <w:trPr>
          <w:trHeight w:val="215"/>
        </w:trPr>
        <w:tc>
          <w:tcPr>
            <w:tcW w:w="1177" w:type="pct"/>
            <w:noWrap/>
          </w:tcPr>
          <w:p w14:paraId="7E3643C3" w14:textId="77777777" w:rsidR="004215C4" w:rsidRPr="00B1570E" w:rsidRDefault="004215C4" w:rsidP="00810395">
            <w:pPr>
              <w:pStyle w:val="TableText"/>
              <w:rPr>
                <w:sz w:val="20"/>
                <w:szCs w:val="20"/>
              </w:rPr>
            </w:pPr>
            <w:r w:rsidRPr="006B5FDB">
              <w:t>E402 Student Family Name</w:t>
            </w:r>
          </w:p>
        </w:tc>
        <w:tc>
          <w:tcPr>
            <w:tcW w:w="1867" w:type="pct"/>
            <w:noWrap/>
          </w:tcPr>
          <w:p w14:paraId="02D294FE" w14:textId="77777777" w:rsidR="004215C4" w:rsidRPr="00B1570E" w:rsidRDefault="007649B6" w:rsidP="00810395">
            <w:pPr>
              <w:pStyle w:val="TableText"/>
              <w:rPr>
                <w:sz w:val="20"/>
                <w:szCs w:val="20"/>
              </w:rPr>
            </w:pPr>
            <w:r w:rsidRPr="006B5FDB">
              <w:t>The family name of the student</w:t>
            </w:r>
          </w:p>
          <w:p w14:paraId="63AA7F35" w14:textId="77777777" w:rsidR="004215C4" w:rsidRPr="00B1570E" w:rsidRDefault="004215C4" w:rsidP="00810395">
            <w:pPr>
              <w:pStyle w:val="TableText"/>
              <w:rPr>
                <w:sz w:val="20"/>
                <w:szCs w:val="20"/>
              </w:rPr>
            </w:pPr>
          </w:p>
        </w:tc>
        <w:tc>
          <w:tcPr>
            <w:tcW w:w="1956" w:type="pct"/>
          </w:tcPr>
          <w:p w14:paraId="1EDEF12B" w14:textId="77777777" w:rsidR="004215C4" w:rsidRPr="00B1570E" w:rsidRDefault="004215C4" w:rsidP="00810395">
            <w:pPr>
              <w:pStyle w:val="TableText"/>
              <w:rPr>
                <w:sz w:val="20"/>
                <w:szCs w:val="20"/>
              </w:rPr>
            </w:pPr>
            <w:r w:rsidRPr="006B5FDB">
              <w:t>Used in the data matching process.</w:t>
            </w:r>
          </w:p>
        </w:tc>
      </w:tr>
      <w:tr w:rsidR="004215C4" w:rsidRPr="00DC3EBE" w14:paraId="202AFEAC" w14:textId="77777777" w:rsidTr="00810395">
        <w:trPr>
          <w:trHeight w:val="215"/>
        </w:trPr>
        <w:tc>
          <w:tcPr>
            <w:tcW w:w="1177" w:type="pct"/>
            <w:noWrap/>
          </w:tcPr>
          <w:p w14:paraId="7146A387" w14:textId="77777777" w:rsidR="004215C4" w:rsidRPr="00B1570E" w:rsidRDefault="004215C4" w:rsidP="00810395">
            <w:pPr>
              <w:pStyle w:val="TableText"/>
              <w:rPr>
                <w:sz w:val="20"/>
                <w:szCs w:val="20"/>
              </w:rPr>
            </w:pPr>
            <w:r w:rsidRPr="006B5FDB">
              <w:t>E403 Student Given Name – First</w:t>
            </w:r>
          </w:p>
        </w:tc>
        <w:tc>
          <w:tcPr>
            <w:tcW w:w="1867" w:type="pct"/>
            <w:noWrap/>
          </w:tcPr>
          <w:p w14:paraId="3DFC76D1" w14:textId="77777777" w:rsidR="004215C4" w:rsidRPr="00B1570E" w:rsidRDefault="007649B6" w:rsidP="00810395">
            <w:pPr>
              <w:pStyle w:val="TableText"/>
              <w:rPr>
                <w:sz w:val="20"/>
                <w:szCs w:val="20"/>
              </w:rPr>
            </w:pPr>
            <w:r w:rsidRPr="006B5FDB">
              <w:t>The first given name of the student</w:t>
            </w:r>
            <w:r w:rsidR="004215C4" w:rsidRPr="006B5FDB">
              <w:t xml:space="preserve"> </w:t>
            </w:r>
          </w:p>
        </w:tc>
        <w:tc>
          <w:tcPr>
            <w:tcW w:w="1956" w:type="pct"/>
          </w:tcPr>
          <w:p w14:paraId="196704AC" w14:textId="77777777" w:rsidR="004215C4" w:rsidRPr="00B1570E" w:rsidRDefault="004215C4" w:rsidP="00810395">
            <w:pPr>
              <w:pStyle w:val="TableText"/>
              <w:rPr>
                <w:sz w:val="20"/>
                <w:szCs w:val="20"/>
              </w:rPr>
            </w:pPr>
            <w:r w:rsidRPr="006B5FDB">
              <w:t>Used in the data matching process.</w:t>
            </w:r>
          </w:p>
        </w:tc>
      </w:tr>
      <w:tr w:rsidR="004215C4" w:rsidRPr="00DC3EBE" w14:paraId="38FA29D2" w14:textId="77777777" w:rsidTr="00810395">
        <w:trPr>
          <w:trHeight w:val="215"/>
        </w:trPr>
        <w:tc>
          <w:tcPr>
            <w:tcW w:w="1177" w:type="pct"/>
            <w:noWrap/>
          </w:tcPr>
          <w:p w14:paraId="2C78CB33" w14:textId="77777777" w:rsidR="004215C4" w:rsidRPr="00B1570E" w:rsidRDefault="004215C4" w:rsidP="00810395">
            <w:pPr>
              <w:pStyle w:val="TableText"/>
              <w:rPr>
                <w:sz w:val="20"/>
                <w:szCs w:val="20"/>
              </w:rPr>
            </w:pPr>
            <w:r w:rsidRPr="006B5FDB">
              <w:t>E404 Student Given Name – Others</w:t>
            </w:r>
          </w:p>
        </w:tc>
        <w:tc>
          <w:tcPr>
            <w:tcW w:w="1867" w:type="pct"/>
            <w:noWrap/>
          </w:tcPr>
          <w:p w14:paraId="31183EA4" w14:textId="77777777" w:rsidR="004215C4" w:rsidRPr="00B1570E" w:rsidRDefault="004215C4" w:rsidP="006C3A51">
            <w:pPr>
              <w:pStyle w:val="TableText"/>
              <w:rPr>
                <w:sz w:val="20"/>
                <w:szCs w:val="20"/>
              </w:rPr>
            </w:pPr>
            <w:r w:rsidRPr="006B5FDB">
              <w:t xml:space="preserve">The </w:t>
            </w:r>
            <w:r w:rsidR="006C3A51" w:rsidRPr="006B5FDB">
              <w:t>o</w:t>
            </w:r>
            <w:r w:rsidRPr="006B5FDB">
              <w:t xml:space="preserve">ther </w:t>
            </w:r>
            <w:r w:rsidR="006C3A51" w:rsidRPr="006B5FDB">
              <w:t>g</w:t>
            </w:r>
            <w:r w:rsidRPr="006B5FDB">
              <w:t xml:space="preserve">iven </w:t>
            </w:r>
            <w:r w:rsidR="006C3A51" w:rsidRPr="006B5FDB">
              <w:t>name of the student</w:t>
            </w:r>
            <w:r w:rsidRPr="006B5FDB">
              <w:t xml:space="preserve"> </w:t>
            </w:r>
          </w:p>
        </w:tc>
        <w:tc>
          <w:tcPr>
            <w:tcW w:w="1956" w:type="pct"/>
          </w:tcPr>
          <w:p w14:paraId="0A27EEA0" w14:textId="77777777" w:rsidR="004215C4" w:rsidRPr="00B1570E" w:rsidRDefault="004215C4" w:rsidP="00810395">
            <w:pPr>
              <w:pStyle w:val="TableText"/>
              <w:rPr>
                <w:sz w:val="20"/>
                <w:szCs w:val="20"/>
              </w:rPr>
            </w:pPr>
            <w:r w:rsidRPr="006B5FDB">
              <w:t>Used in the data matching process.</w:t>
            </w:r>
          </w:p>
        </w:tc>
      </w:tr>
      <w:tr w:rsidR="004215C4" w:rsidRPr="00DC3EBE" w14:paraId="1F44290E" w14:textId="77777777" w:rsidTr="00810395">
        <w:trPr>
          <w:trHeight w:val="215"/>
        </w:trPr>
        <w:tc>
          <w:tcPr>
            <w:tcW w:w="1177" w:type="pct"/>
            <w:noWrap/>
          </w:tcPr>
          <w:p w14:paraId="702331E1" w14:textId="77777777" w:rsidR="004215C4" w:rsidRPr="00B1570E" w:rsidRDefault="004215C4" w:rsidP="00810395">
            <w:pPr>
              <w:pStyle w:val="TableText"/>
              <w:rPr>
                <w:sz w:val="20"/>
                <w:szCs w:val="20"/>
                <w:highlight w:val="yellow"/>
              </w:rPr>
            </w:pPr>
            <w:r w:rsidRPr="006B5FDB">
              <w:t>E314 Date of Birth</w:t>
            </w:r>
          </w:p>
        </w:tc>
        <w:tc>
          <w:tcPr>
            <w:tcW w:w="1867" w:type="pct"/>
            <w:noWrap/>
          </w:tcPr>
          <w:p w14:paraId="113D87B7" w14:textId="77777777" w:rsidR="004215C4" w:rsidRPr="00B1570E" w:rsidRDefault="006C3A51" w:rsidP="00810395">
            <w:pPr>
              <w:pStyle w:val="TableText"/>
              <w:rPr>
                <w:sz w:val="20"/>
                <w:szCs w:val="20"/>
              </w:rPr>
            </w:pPr>
            <w:r w:rsidRPr="006B5FDB">
              <w:t xml:space="preserve">The day, </w:t>
            </w:r>
            <w:proofErr w:type="gramStart"/>
            <w:r w:rsidRPr="006B5FDB">
              <w:t>month</w:t>
            </w:r>
            <w:proofErr w:type="gramEnd"/>
            <w:r w:rsidRPr="006B5FDB">
              <w:t xml:space="preserve"> and year of birth of the person</w:t>
            </w:r>
          </w:p>
        </w:tc>
        <w:tc>
          <w:tcPr>
            <w:tcW w:w="1956" w:type="pct"/>
          </w:tcPr>
          <w:p w14:paraId="008C3E71" w14:textId="77777777" w:rsidR="004215C4" w:rsidRPr="00B1570E" w:rsidRDefault="004215C4" w:rsidP="00810395">
            <w:pPr>
              <w:pStyle w:val="TableText"/>
              <w:rPr>
                <w:sz w:val="20"/>
                <w:szCs w:val="20"/>
              </w:rPr>
            </w:pPr>
            <w:r w:rsidRPr="006B5FDB">
              <w:t>Used in the data matching process.</w:t>
            </w:r>
          </w:p>
        </w:tc>
      </w:tr>
      <w:tr w:rsidR="004215C4" w:rsidRPr="00DC3EBE" w14:paraId="5D4617B6" w14:textId="77777777" w:rsidTr="00810395">
        <w:trPr>
          <w:trHeight w:val="215"/>
        </w:trPr>
        <w:tc>
          <w:tcPr>
            <w:tcW w:w="1177" w:type="pct"/>
            <w:noWrap/>
          </w:tcPr>
          <w:p w14:paraId="14E7B3D0" w14:textId="77777777" w:rsidR="004215C4" w:rsidRPr="00B1570E" w:rsidRDefault="004215C4" w:rsidP="00810395">
            <w:pPr>
              <w:pStyle w:val="TableText"/>
              <w:rPr>
                <w:sz w:val="20"/>
                <w:szCs w:val="20"/>
                <w:highlight w:val="yellow"/>
              </w:rPr>
            </w:pPr>
            <w:r w:rsidRPr="006B5FDB">
              <w:t>E315 Gender Code</w:t>
            </w:r>
          </w:p>
        </w:tc>
        <w:tc>
          <w:tcPr>
            <w:tcW w:w="1867" w:type="pct"/>
            <w:noWrap/>
          </w:tcPr>
          <w:p w14:paraId="17E9FA9C" w14:textId="77777777" w:rsidR="004215C4" w:rsidRPr="00B1570E" w:rsidRDefault="006C3A51" w:rsidP="00810395">
            <w:pPr>
              <w:pStyle w:val="TableText"/>
              <w:rPr>
                <w:sz w:val="20"/>
                <w:szCs w:val="20"/>
              </w:rPr>
            </w:pPr>
            <w:r w:rsidRPr="006B5FDB">
              <w:t>A code which identifies the gender of a person</w:t>
            </w:r>
            <w:r w:rsidR="004215C4" w:rsidRPr="006B5FDB">
              <w:t xml:space="preserve"> </w:t>
            </w:r>
          </w:p>
        </w:tc>
        <w:tc>
          <w:tcPr>
            <w:tcW w:w="1956" w:type="pct"/>
          </w:tcPr>
          <w:p w14:paraId="063FEBCF" w14:textId="77777777" w:rsidR="004215C4" w:rsidRPr="00B1570E" w:rsidRDefault="004215C4" w:rsidP="00810395">
            <w:pPr>
              <w:pStyle w:val="TableText"/>
              <w:rPr>
                <w:sz w:val="20"/>
                <w:szCs w:val="20"/>
              </w:rPr>
            </w:pPr>
            <w:r w:rsidRPr="006B5FDB">
              <w:t>Used in the data matching process.</w:t>
            </w:r>
          </w:p>
        </w:tc>
      </w:tr>
      <w:tr w:rsidR="004215C4" w14:paraId="38A7DE91" w14:textId="77777777" w:rsidTr="00810395">
        <w:trPr>
          <w:trHeight w:val="215"/>
        </w:trPr>
        <w:tc>
          <w:tcPr>
            <w:tcW w:w="1177" w:type="pct"/>
            <w:noWrap/>
          </w:tcPr>
          <w:p w14:paraId="65088974" w14:textId="77777777" w:rsidR="004215C4" w:rsidRPr="00B1570E" w:rsidRDefault="004215C4" w:rsidP="00810395">
            <w:pPr>
              <w:pStyle w:val="TableText"/>
              <w:rPr>
                <w:sz w:val="20"/>
                <w:szCs w:val="20"/>
              </w:rPr>
            </w:pPr>
            <w:r w:rsidRPr="006B5FDB">
              <w:t>E410 Residential Address Street</w:t>
            </w:r>
          </w:p>
        </w:tc>
        <w:tc>
          <w:tcPr>
            <w:tcW w:w="1867" w:type="pct"/>
            <w:noWrap/>
          </w:tcPr>
          <w:p w14:paraId="138E11B1" w14:textId="77777777" w:rsidR="004215C4" w:rsidRPr="00B1570E" w:rsidRDefault="004215C4" w:rsidP="006C3A51">
            <w:pPr>
              <w:pStyle w:val="TableText"/>
              <w:rPr>
                <w:sz w:val="20"/>
                <w:szCs w:val="20"/>
              </w:rPr>
            </w:pPr>
            <w:r w:rsidRPr="006B5FDB">
              <w:t>The street address</w:t>
            </w:r>
            <w:r w:rsidR="006C3A51" w:rsidRPr="006B5FDB">
              <w:t xml:space="preserve"> of the student’s residence</w:t>
            </w:r>
          </w:p>
        </w:tc>
        <w:tc>
          <w:tcPr>
            <w:tcW w:w="1956" w:type="pct"/>
          </w:tcPr>
          <w:p w14:paraId="4C497204" w14:textId="77777777" w:rsidR="004215C4" w:rsidRPr="00B1570E" w:rsidRDefault="004215C4" w:rsidP="00810395">
            <w:pPr>
              <w:pStyle w:val="TableText"/>
              <w:rPr>
                <w:sz w:val="20"/>
                <w:szCs w:val="20"/>
              </w:rPr>
            </w:pPr>
            <w:r w:rsidRPr="006B5FDB">
              <w:t>Used in the data matching process.</w:t>
            </w:r>
          </w:p>
        </w:tc>
      </w:tr>
      <w:tr w:rsidR="004215C4" w14:paraId="32F77334" w14:textId="77777777" w:rsidTr="00810395">
        <w:trPr>
          <w:trHeight w:val="215"/>
        </w:trPr>
        <w:tc>
          <w:tcPr>
            <w:tcW w:w="1177" w:type="pct"/>
            <w:noWrap/>
          </w:tcPr>
          <w:p w14:paraId="1B1235B9" w14:textId="77777777" w:rsidR="004215C4" w:rsidRPr="00B1570E" w:rsidRDefault="004215C4" w:rsidP="00810395">
            <w:pPr>
              <w:pStyle w:val="TableText"/>
              <w:rPr>
                <w:sz w:val="20"/>
                <w:szCs w:val="20"/>
              </w:rPr>
            </w:pPr>
            <w:r w:rsidRPr="006B5FDB">
              <w:t>E469 Residential address Suburb</w:t>
            </w:r>
          </w:p>
        </w:tc>
        <w:tc>
          <w:tcPr>
            <w:tcW w:w="1867" w:type="pct"/>
            <w:noWrap/>
          </w:tcPr>
          <w:p w14:paraId="24A3B3E7" w14:textId="77777777" w:rsidR="004215C4" w:rsidRPr="00B1570E" w:rsidRDefault="004215C4" w:rsidP="006C3A51">
            <w:pPr>
              <w:pStyle w:val="TableText"/>
              <w:rPr>
                <w:sz w:val="20"/>
                <w:szCs w:val="20"/>
              </w:rPr>
            </w:pPr>
            <w:r w:rsidRPr="006B5FDB">
              <w:t xml:space="preserve">The suburb of the student’s </w:t>
            </w:r>
            <w:r w:rsidR="006C3A51" w:rsidRPr="006B5FDB">
              <w:t>residence</w:t>
            </w:r>
          </w:p>
        </w:tc>
        <w:tc>
          <w:tcPr>
            <w:tcW w:w="1956" w:type="pct"/>
          </w:tcPr>
          <w:p w14:paraId="37397983" w14:textId="77777777" w:rsidR="004215C4" w:rsidRPr="00B1570E" w:rsidRDefault="004215C4" w:rsidP="00810395">
            <w:pPr>
              <w:pStyle w:val="TableText"/>
              <w:rPr>
                <w:sz w:val="20"/>
                <w:szCs w:val="20"/>
              </w:rPr>
            </w:pPr>
            <w:r w:rsidRPr="006B5FDB">
              <w:t>Used in the data matching process.</w:t>
            </w:r>
          </w:p>
        </w:tc>
      </w:tr>
      <w:tr w:rsidR="004215C4" w14:paraId="54927B28" w14:textId="77777777" w:rsidTr="00810395">
        <w:trPr>
          <w:trHeight w:val="215"/>
        </w:trPr>
        <w:tc>
          <w:tcPr>
            <w:tcW w:w="1177" w:type="pct"/>
            <w:noWrap/>
          </w:tcPr>
          <w:p w14:paraId="5A0B58D9" w14:textId="77777777" w:rsidR="004215C4" w:rsidRPr="00B1570E" w:rsidRDefault="004215C4" w:rsidP="00810395">
            <w:pPr>
              <w:pStyle w:val="TableText"/>
              <w:rPr>
                <w:sz w:val="20"/>
                <w:szCs w:val="20"/>
              </w:rPr>
            </w:pPr>
            <w:r w:rsidRPr="006B5FDB">
              <w:t>E470 Residential address State</w:t>
            </w:r>
          </w:p>
        </w:tc>
        <w:tc>
          <w:tcPr>
            <w:tcW w:w="1867" w:type="pct"/>
            <w:noWrap/>
          </w:tcPr>
          <w:p w14:paraId="005C5733" w14:textId="77777777" w:rsidR="004215C4" w:rsidRPr="00B1570E" w:rsidRDefault="004215C4" w:rsidP="006C3A51">
            <w:pPr>
              <w:pStyle w:val="TableText"/>
              <w:rPr>
                <w:sz w:val="20"/>
                <w:szCs w:val="20"/>
              </w:rPr>
            </w:pPr>
            <w:r w:rsidRPr="006B5FDB">
              <w:t xml:space="preserve">The Australian state </w:t>
            </w:r>
            <w:r w:rsidR="006C3A51" w:rsidRPr="006B5FDB">
              <w:t xml:space="preserve">or territory </w:t>
            </w:r>
            <w:r w:rsidRPr="006B5FDB">
              <w:t xml:space="preserve">of the student’s </w:t>
            </w:r>
            <w:r w:rsidR="006C3A51" w:rsidRPr="006B5FDB">
              <w:t>residence</w:t>
            </w:r>
          </w:p>
        </w:tc>
        <w:tc>
          <w:tcPr>
            <w:tcW w:w="1956" w:type="pct"/>
          </w:tcPr>
          <w:p w14:paraId="7189F540" w14:textId="77777777" w:rsidR="004215C4" w:rsidRPr="00B1570E" w:rsidRDefault="004215C4" w:rsidP="00810395">
            <w:pPr>
              <w:pStyle w:val="TableText"/>
              <w:rPr>
                <w:sz w:val="20"/>
                <w:szCs w:val="20"/>
              </w:rPr>
            </w:pPr>
            <w:r w:rsidRPr="006B5FDB">
              <w:t>Used in the data matching process.</w:t>
            </w:r>
          </w:p>
        </w:tc>
      </w:tr>
      <w:tr w:rsidR="004215C4" w14:paraId="296CA70E" w14:textId="77777777" w:rsidTr="00810395">
        <w:trPr>
          <w:trHeight w:val="215"/>
        </w:trPr>
        <w:tc>
          <w:tcPr>
            <w:tcW w:w="1177" w:type="pct"/>
            <w:noWrap/>
          </w:tcPr>
          <w:p w14:paraId="128B8CC5" w14:textId="77777777" w:rsidR="004215C4" w:rsidRPr="00B1570E" w:rsidRDefault="004215C4" w:rsidP="00810395">
            <w:pPr>
              <w:pStyle w:val="TableText"/>
              <w:rPr>
                <w:sz w:val="20"/>
                <w:szCs w:val="20"/>
              </w:rPr>
            </w:pPr>
            <w:r w:rsidRPr="006B5FDB">
              <w:t>E658 Residential address Country code</w:t>
            </w:r>
          </w:p>
        </w:tc>
        <w:tc>
          <w:tcPr>
            <w:tcW w:w="1867" w:type="pct"/>
            <w:noWrap/>
          </w:tcPr>
          <w:p w14:paraId="0EA40FE0" w14:textId="77777777" w:rsidR="004215C4" w:rsidRPr="00B1570E" w:rsidRDefault="004215C4" w:rsidP="006C3A51">
            <w:pPr>
              <w:pStyle w:val="TableText"/>
              <w:rPr>
                <w:sz w:val="20"/>
                <w:szCs w:val="20"/>
              </w:rPr>
            </w:pPr>
            <w:r w:rsidRPr="006B5FDB">
              <w:t>The</w:t>
            </w:r>
            <w:r w:rsidR="006C3A51" w:rsidRPr="006B5FDB">
              <w:t xml:space="preserve"> country code of a student’s residence</w:t>
            </w:r>
          </w:p>
        </w:tc>
        <w:tc>
          <w:tcPr>
            <w:tcW w:w="1956" w:type="pct"/>
          </w:tcPr>
          <w:p w14:paraId="4701C197" w14:textId="77777777" w:rsidR="004215C4" w:rsidRPr="00B1570E" w:rsidRDefault="004215C4" w:rsidP="00810395">
            <w:pPr>
              <w:pStyle w:val="TableText"/>
              <w:rPr>
                <w:sz w:val="20"/>
                <w:szCs w:val="20"/>
              </w:rPr>
            </w:pPr>
            <w:r w:rsidRPr="006B5FDB">
              <w:t>Used in the data matching process.</w:t>
            </w:r>
          </w:p>
        </w:tc>
      </w:tr>
      <w:tr w:rsidR="004215C4" w14:paraId="71113BBC" w14:textId="77777777" w:rsidTr="00810395">
        <w:trPr>
          <w:trHeight w:val="215"/>
        </w:trPr>
        <w:tc>
          <w:tcPr>
            <w:tcW w:w="1177" w:type="pct"/>
            <w:noWrap/>
          </w:tcPr>
          <w:p w14:paraId="48519ED3" w14:textId="77777777" w:rsidR="004215C4" w:rsidRPr="00B1570E" w:rsidRDefault="004215C4" w:rsidP="00810395">
            <w:pPr>
              <w:pStyle w:val="TableText"/>
              <w:rPr>
                <w:sz w:val="20"/>
                <w:szCs w:val="20"/>
              </w:rPr>
            </w:pPr>
            <w:r w:rsidRPr="006B5FDB">
              <w:t>E320 Residential address Postcode</w:t>
            </w:r>
          </w:p>
        </w:tc>
        <w:tc>
          <w:tcPr>
            <w:tcW w:w="1867" w:type="pct"/>
            <w:noWrap/>
          </w:tcPr>
          <w:p w14:paraId="7E46DD37" w14:textId="77777777" w:rsidR="004215C4" w:rsidRPr="00B1570E" w:rsidRDefault="004215C4" w:rsidP="006C3A51">
            <w:pPr>
              <w:pStyle w:val="TableText"/>
              <w:rPr>
                <w:sz w:val="20"/>
                <w:szCs w:val="20"/>
              </w:rPr>
            </w:pPr>
            <w:r w:rsidRPr="006B5FDB">
              <w:t xml:space="preserve">The Australian </w:t>
            </w:r>
            <w:r w:rsidR="006C3A51" w:rsidRPr="006B5FDB">
              <w:t>p</w:t>
            </w:r>
            <w:r w:rsidRPr="006B5FDB">
              <w:t xml:space="preserve">ostcode of </w:t>
            </w:r>
            <w:r w:rsidR="006C3A51" w:rsidRPr="006B5FDB">
              <w:t>a student’s residence</w:t>
            </w:r>
          </w:p>
        </w:tc>
        <w:tc>
          <w:tcPr>
            <w:tcW w:w="1956" w:type="pct"/>
          </w:tcPr>
          <w:p w14:paraId="7FA17BA4" w14:textId="77777777" w:rsidR="004215C4" w:rsidRPr="00B1570E" w:rsidRDefault="004215C4" w:rsidP="00810395">
            <w:pPr>
              <w:pStyle w:val="TableText"/>
              <w:rPr>
                <w:sz w:val="20"/>
                <w:szCs w:val="20"/>
              </w:rPr>
            </w:pPr>
            <w:r w:rsidRPr="006B5FDB">
              <w:t>Used in the data matching process.</w:t>
            </w:r>
          </w:p>
        </w:tc>
      </w:tr>
      <w:tr w:rsidR="004215C4" w:rsidRPr="00DC3EBE" w14:paraId="60CDF163" w14:textId="77777777" w:rsidTr="00810395">
        <w:trPr>
          <w:trHeight w:val="215"/>
        </w:trPr>
        <w:tc>
          <w:tcPr>
            <w:tcW w:w="1177" w:type="pct"/>
            <w:noWrap/>
          </w:tcPr>
          <w:p w14:paraId="3D2D908F" w14:textId="77777777" w:rsidR="004215C4" w:rsidRPr="00B1570E" w:rsidRDefault="004215C4" w:rsidP="00810395">
            <w:pPr>
              <w:pStyle w:val="TableText"/>
              <w:rPr>
                <w:sz w:val="20"/>
                <w:szCs w:val="20"/>
              </w:rPr>
            </w:pPr>
            <w:r w:rsidRPr="006B5FDB">
              <w:t>E415 Reporting Year</w:t>
            </w:r>
          </w:p>
        </w:tc>
        <w:tc>
          <w:tcPr>
            <w:tcW w:w="1867" w:type="pct"/>
            <w:noWrap/>
          </w:tcPr>
          <w:p w14:paraId="180FA222" w14:textId="77777777" w:rsidR="004215C4" w:rsidRPr="00B1570E" w:rsidRDefault="004215C4" w:rsidP="006C3A51">
            <w:pPr>
              <w:pStyle w:val="TableText"/>
              <w:rPr>
                <w:sz w:val="20"/>
                <w:szCs w:val="20"/>
              </w:rPr>
            </w:pPr>
            <w:r w:rsidRPr="006B5FDB">
              <w:t xml:space="preserve">The reporting year to which the individual record relates </w:t>
            </w:r>
          </w:p>
        </w:tc>
        <w:tc>
          <w:tcPr>
            <w:tcW w:w="1956" w:type="pct"/>
          </w:tcPr>
          <w:p w14:paraId="2ACBA036" w14:textId="77777777" w:rsidR="004215C4" w:rsidRPr="00B1570E" w:rsidRDefault="004215C4" w:rsidP="00810395">
            <w:pPr>
              <w:pStyle w:val="TableText"/>
              <w:rPr>
                <w:sz w:val="20"/>
                <w:szCs w:val="20"/>
              </w:rPr>
            </w:pPr>
            <w:r w:rsidRPr="006B5FDB">
              <w:t>Used to determine the year for which a Commonwealth Scholarship applies.</w:t>
            </w:r>
          </w:p>
        </w:tc>
      </w:tr>
      <w:tr w:rsidR="004215C4" w:rsidRPr="00DC3EBE" w14:paraId="5DCE9049" w14:textId="77777777" w:rsidTr="00810395">
        <w:trPr>
          <w:trHeight w:val="215"/>
        </w:trPr>
        <w:tc>
          <w:tcPr>
            <w:tcW w:w="1177" w:type="pct"/>
            <w:noWrap/>
          </w:tcPr>
          <w:p w14:paraId="57B23E87" w14:textId="77777777" w:rsidR="004215C4" w:rsidRPr="00B1570E" w:rsidRDefault="004215C4" w:rsidP="00810395">
            <w:pPr>
              <w:pStyle w:val="TableText"/>
              <w:rPr>
                <w:sz w:val="20"/>
                <w:szCs w:val="20"/>
              </w:rPr>
            </w:pPr>
            <w:r w:rsidRPr="006B5FDB">
              <w:t>E666 Reporting Period</w:t>
            </w:r>
          </w:p>
        </w:tc>
        <w:tc>
          <w:tcPr>
            <w:tcW w:w="1867" w:type="pct"/>
            <w:noWrap/>
          </w:tcPr>
          <w:p w14:paraId="6C159988" w14:textId="77777777" w:rsidR="004215C4" w:rsidRPr="00B1570E" w:rsidRDefault="004215C4" w:rsidP="006C3A51">
            <w:pPr>
              <w:pStyle w:val="TableText"/>
              <w:rPr>
                <w:sz w:val="20"/>
                <w:szCs w:val="20"/>
              </w:rPr>
            </w:pPr>
            <w:r w:rsidRPr="006B5FDB">
              <w:t>The reporting period to which the individual record rel</w:t>
            </w:r>
            <w:r w:rsidR="006C3A51" w:rsidRPr="006B5FDB">
              <w:t>ates</w:t>
            </w:r>
            <w:r w:rsidRPr="006B5FDB">
              <w:t xml:space="preserve"> </w:t>
            </w:r>
            <w:r w:rsidR="006C3A51" w:rsidRPr="006B5FDB">
              <w:t>(</w:t>
            </w:r>
            <w:r w:rsidRPr="006B5FDB">
              <w:t>i.e. first or second half of the year</w:t>
            </w:r>
            <w:r w:rsidR="006C3A51" w:rsidRPr="006B5FDB">
              <w:t>)</w:t>
            </w:r>
            <w:r w:rsidRPr="006B5FDB">
              <w:t xml:space="preserve"> </w:t>
            </w:r>
          </w:p>
        </w:tc>
        <w:tc>
          <w:tcPr>
            <w:tcW w:w="1956" w:type="pct"/>
          </w:tcPr>
          <w:p w14:paraId="13AFE41B" w14:textId="77777777" w:rsidR="004215C4" w:rsidRPr="00B1570E" w:rsidRDefault="004215C4" w:rsidP="00810395">
            <w:pPr>
              <w:pStyle w:val="TableText"/>
              <w:rPr>
                <w:sz w:val="20"/>
                <w:szCs w:val="20"/>
              </w:rPr>
            </w:pPr>
            <w:r w:rsidRPr="006B5FDB">
              <w:t>Used to determine the period for which a Commonwealth Scholarship applies.</w:t>
            </w:r>
          </w:p>
        </w:tc>
      </w:tr>
      <w:tr w:rsidR="004215C4" w:rsidRPr="00DC3EBE" w14:paraId="2FBB4589" w14:textId="77777777" w:rsidTr="00810395">
        <w:trPr>
          <w:trHeight w:val="215"/>
        </w:trPr>
        <w:tc>
          <w:tcPr>
            <w:tcW w:w="1177" w:type="pct"/>
            <w:noWrap/>
          </w:tcPr>
          <w:p w14:paraId="58822E5D" w14:textId="77777777" w:rsidR="004215C4" w:rsidRPr="00B1570E" w:rsidRDefault="004215C4" w:rsidP="00810395">
            <w:pPr>
              <w:pStyle w:val="TableText"/>
              <w:rPr>
                <w:sz w:val="20"/>
                <w:szCs w:val="20"/>
              </w:rPr>
            </w:pPr>
            <w:r w:rsidRPr="006B5FDB">
              <w:lastRenderedPageBreak/>
              <w:t xml:space="preserve">E526 </w:t>
            </w:r>
            <w:proofErr w:type="spellStart"/>
            <w:r w:rsidRPr="006B5FDB">
              <w:t>C’th</w:t>
            </w:r>
            <w:proofErr w:type="spellEnd"/>
            <w:r w:rsidRPr="006B5FDB">
              <w:t xml:space="preserve"> Scholarship Status Code</w:t>
            </w:r>
          </w:p>
        </w:tc>
        <w:tc>
          <w:tcPr>
            <w:tcW w:w="1867" w:type="pct"/>
            <w:noWrap/>
          </w:tcPr>
          <w:p w14:paraId="15398A91" w14:textId="77777777" w:rsidR="004215C4" w:rsidRPr="00B1570E" w:rsidRDefault="004215C4" w:rsidP="00810395">
            <w:pPr>
              <w:pStyle w:val="TableText"/>
              <w:rPr>
                <w:sz w:val="20"/>
                <w:szCs w:val="20"/>
              </w:rPr>
            </w:pPr>
            <w:r w:rsidRPr="006B5FDB">
              <w:t>A code which identifies the status</w:t>
            </w:r>
            <w:r w:rsidR="00B97265" w:rsidRPr="006B5FDB">
              <w:t xml:space="preserve"> of a Commonwealth Scholarship</w:t>
            </w:r>
          </w:p>
        </w:tc>
        <w:tc>
          <w:tcPr>
            <w:tcW w:w="1956" w:type="pct"/>
          </w:tcPr>
          <w:p w14:paraId="5B859BEA" w14:textId="77777777" w:rsidR="004215C4" w:rsidRPr="00B1570E" w:rsidRDefault="004215C4" w:rsidP="00810395">
            <w:pPr>
              <w:pStyle w:val="TableText"/>
              <w:rPr>
                <w:sz w:val="20"/>
                <w:szCs w:val="20"/>
              </w:rPr>
            </w:pPr>
            <w:r w:rsidRPr="006B5FDB">
              <w:t xml:space="preserve">Used to identify where a student has received/been offered a Commonwealth Scholarship that would </w:t>
            </w:r>
            <w:r w:rsidR="00E7461B" w:rsidRPr="006B5FDB">
              <w:t>affect</w:t>
            </w:r>
            <w:r w:rsidRPr="006B5FDB">
              <w:t xml:space="preserve"> their entitlement.</w:t>
            </w:r>
          </w:p>
        </w:tc>
      </w:tr>
      <w:tr w:rsidR="004215C4" w:rsidRPr="00DC3EBE" w14:paraId="7618156B" w14:textId="77777777" w:rsidTr="00810395">
        <w:trPr>
          <w:trHeight w:val="215"/>
        </w:trPr>
        <w:tc>
          <w:tcPr>
            <w:tcW w:w="1177" w:type="pct"/>
            <w:noWrap/>
          </w:tcPr>
          <w:p w14:paraId="3E677754" w14:textId="77777777" w:rsidR="004215C4" w:rsidRPr="00B1570E" w:rsidRDefault="004215C4" w:rsidP="00810395">
            <w:pPr>
              <w:pStyle w:val="TableText"/>
              <w:rPr>
                <w:sz w:val="20"/>
                <w:szCs w:val="20"/>
              </w:rPr>
            </w:pPr>
            <w:r w:rsidRPr="006B5FDB">
              <w:t xml:space="preserve">E545 </w:t>
            </w:r>
            <w:proofErr w:type="spellStart"/>
            <w:r w:rsidRPr="006B5FDB">
              <w:t>C’th</w:t>
            </w:r>
            <w:proofErr w:type="spellEnd"/>
            <w:r w:rsidRPr="006B5FDB">
              <w:t xml:space="preserve"> Scholarship Type Code</w:t>
            </w:r>
          </w:p>
        </w:tc>
        <w:tc>
          <w:tcPr>
            <w:tcW w:w="1867" w:type="pct"/>
            <w:noWrap/>
          </w:tcPr>
          <w:p w14:paraId="2259B433" w14:textId="77777777" w:rsidR="004215C4" w:rsidRPr="00B1570E" w:rsidRDefault="004215C4" w:rsidP="00B97265">
            <w:pPr>
              <w:pStyle w:val="TableText"/>
              <w:rPr>
                <w:sz w:val="20"/>
                <w:szCs w:val="20"/>
              </w:rPr>
            </w:pPr>
            <w:r w:rsidRPr="006B5FDB">
              <w:t>A code which identifies Commonwealth Scholarship t</w:t>
            </w:r>
            <w:r w:rsidR="00B97265" w:rsidRPr="006B5FDB">
              <w:t>ype</w:t>
            </w:r>
            <w:r w:rsidRPr="006B5FDB">
              <w:t xml:space="preserve"> </w:t>
            </w:r>
          </w:p>
        </w:tc>
        <w:tc>
          <w:tcPr>
            <w:tcW w:w="1956" w:type="pct"/>
          </w:tcPr>
          <w:p w14:paraId="6662C478" w14:textId="77777777" w:rsidR="004215C4" w:rsidRPr="00B1570E" w:rsidRDefault="004215C4" w:rsidP="00810395">
            <w:pPr>
              <w:pStyle w:val="TableText"/>
              <w:rPr>
                <w:sz w:val="20"/>
                <w:szCs w:val="20"/>
              </w:rPr>
            </w:pPr>
            <w:r w:rsidRPr="006B5FDB">
              <w:t xml:space="preserve">Used to identify where a student has received/been offered a Commonwealth Scholarship that would </w:t>
            </w:r>
            <w:r w:rsidR="00E7461B" w:rsidRPr="006B5FDB">
              <w:t>affect</w:t>
            </w:r>
            <w:r w:rsidRPr="006B5FDB">
              <w:t xml:space="preserve"> their entitlement.</w:t>
            </w:r>
          </w:p>
        </w:tc>
      </w:tr>
      <w:tr w:rsidR="004215C4" w:rsidRPr="00DC3EBE" w14:paraId="04331A4B" w14:textId="77777777" w:rsidTr="00810395">
        <w:trPr>
          <w:trHeight w:val="215"/>
        </w:trPr>
        <w:tc>
          <w:tcPr>
            <w:tcW w:w="1177" w:type="pct"/>
            <w:noWrap/>
          </w:tcPr>
          <w:p w14:paraId="14FAA44F" w14:textId="77777777" w:rsidR="004215C4" w:rsidRPr="00B1570E" w:rsidRDefault="004215C4" w:rsidP="00810395">
            <w:pPr>
              <w:pStyle w:val="TableText"/>
              <w:rPr>
                <w:sz w:val="20"/>
                <w:szCs w:val="20"/>
              </w:rPr>
            </w:pPr>
            <w:r w:rsidRPr="006B5FDB">
              <w:t xml:space="preserve">E598 </w:t>
            </w:r>
            <w:proofErr w:type="spellStart"/>
            <w:r w:rsidRPr="006B5FDB">
              <w:t>C’th</w:t>
            </w:r>
            <w:proofErr w:type="spellEnd"/>
            <w:r w:rsidRPr="006B5FDB">
              <w:t xml:space="preserve"> Scholarship Amount</w:t>
            </w:r>
          </w:p>
        </w:tc>
        <w:tc>
          <w:tcPr>
            <w:tcW w:w="1867" w:type="pct"/>
            <w:noWrap/>
          </w:tcPr>
          <w:p w14:paraId="6E7E16AE" w14:textId="77777777" w:rsidR="004215C4" w:rsidRPr="00B1570E" w:rsidRDefault="00B97265" w:rsidP="00B97265">
            <w:pPr>
              <w:pStyle w:val="TableText"/>
              <w:rPr>
                <w:sz w:val="20"/>
                <w:szCs w:val="20"/>
              </w:rPr>
            </w:pPr>
            <w:r w:rsidRPr="006B5FDB">
              <w:t>T</w:t>
            </w:r>
            <w:r w:rsidR="004215C4" w:rsidRPr="006B5FDB">
              <w:t>otal scholarship amount paid to the student</w:t>
            </w:r>
            <w:r w:rsidRPr="006B5FDB">
              <w:t xml:space="preserve"> in the reporting period</w:t>
            </w:r>
            <w:r w:rsidR="004215C4" w:rsidRPr="006B5FDB">
              <w:t xml:space="preserve"> </w:t>
            </w:r>
          </w:p>
        </w:tc>
        <w:tc>
          <w:tcPr>
            <w:tcW w:w="1956" w:type="pct"/>
          </w:tcPr>
          <w:p w14:paraId="763902F3" w14:textId="77777777" w:rsidR="004215C4" w:rsidRPr="00B1570E" w:rsidRDefault="004215C4" w:rsidP="00810395">
            <w:pPr>
              <w:pStyle w:val="TableText"/>
              <w:rPr>
                <w:sz w:val="20"/>
                <w:szCs w:val="20"/>
              </w:rPr>
            </w:pPr>
            <w:r w:rsidRPr="006B5FDB">
              <w:t xml:space="preserve">Used to identify where a student has received/been offered a Commonwealth Scholarship that would </w:t>
            </w:r>
            <w:r w:rsidR="005D0E57" w:rsidRPr="006B5FDB">
              <w:t>affect</w:t>
            </w:r>
            <w:r w:rsidRPr="006B5FDB">
              <w:t xml:space="preserve"> their entitlement.</w:t>
            </w:r>
          </w:p>
        </w:tc>
      </w:tr>
      <w:tr w:rsidR="00E515D9" w:rsidRPr="00DC3EBE" w14:paraId="1381D289" w14:textId="77777777" w:rsidTr="00810395">
        <w:trPr>
          <w:trHeight w:val="215"/>
        </w:trPr>
        <w:tc>
          <w:tcPr>
            <w:tcW w:w="1177" w:type="pct"/>
            <w:noWrap/>
          </w:tcPr>
          <w:p w14:paraId="4CB1DA4A" w14:textId="3D350C00" w:rsidR="00E515D9" w:rsidRPr="006B5FDB" w:rsidRDefault="00E515D9" w:rsidP="00810395">
            <w:pPr>
              <w:pStyle w:val="TableText"/>
            </w:pPr>
            <w:r>
              <w:t>E490 Student Status Code</w:t>
            </w:r>
          </w:p>
        </w:tc>
        <w:tc>
          <w:tcPr>
            <w:tcW w:w="1867" w:type="pct"/>
            <w:noWrap/>
          </w:tcPr>
          <w:p w14:paraId="5E101C47" w14:textId="02205B56" w:rsidR="00E515D9" w:rsidRPr="006B5FDB" w:rsidRDefault="00E515D9" w:rsidP="00B97265">
            <w:pPr>
              <w:pStyle w:val="TableText"/>
            </w:pPr>
            <w:r>
              <w:t>A code which indicates the student status for a unit of study, OS-HELP</w:t>
            </w:r>
            <w:r w:rsidR="00E82419">
              <w:t xml:space="preserve"> or SA</w:t>
            </w:r>
            <w:r w:rsidR="00F14D45">
              <w:t>-</w:t>
            </w:r>
            <w:r w:rsidR="00E82419">
              <w:t xml:space="preserve">HELP Loan </w:t>
            </w:r>
          </w:p>
        </w:tc>
        <w:tc>
          <w:tcPr>
            <w:tcW w:w="1956" w:type="pct"/>
          </w:tcPr>
          <w:p w14:paraId="2B19B001" w14:textId="31CD26D9" w:rsidR="00E515D9" w:rsidRPr="006B5FDB" w:rsidRDefault="00E82419" w:rsidP="00810395">
            <w:pPr>
              <w:pStyle w:val="TableText"/>
            </w:pPr>
            <w:r>
              <w:t>Used to identify student status information which could affect their entitlement</w:t>
            </w:r>
            <w:r w:rsidR="00F14D45">
              <w:t xml:space="preserve"> when studying a </w:t>
            </w:r>
            <w:proofErr w:type="spellStart"/>
            <w:r w:rsidR="00F14D45">
              <w:t>Start up</w:t>
            </w:r>
            <w:proofErr w:type="spellEnd"/>
            <w:r w:rsidR="00F14D45">
              <w:t xml:space="preserve"> Year Course</w:t>
            </w:r>
            <w:r w:rsidR="00A23F88">
              <w:t xml:space="preserve">, </w:t>
            </w:r>
          </w:p>
        </w:tc>
      </w:tr>
    </w:tbl>
    <w:p w14:paraId="747C7A35" w14:textId="26582C00" w:rsidR="001B325B" w:rsidRPr="00C56826" w:rsidRDefault="00F14D45" w:rsidP="00053527">
      <w:pPr>
        <w:pStyle w:val="Heading1"/>
      </w:pPr>
      <w:bookmarkStart w:id="97" w:name="_Toc32829539"/>
      <w:bookmarkStart w:id="98" w:name="_Toc33194748"/>
      <w:bookmarkStart w:id="99" w:name="_Toc32829540"/>
      <w:bookmarkStart w:id="100" w:name="_Toc33194749"/>
      <w:bookmarkStart w:id="101" w:name="_Toc32829541"/>
      <w:bookmarkStart w:id="102" w:name="_Toc33194750"/>
      <w:bookmarkStart w:id="103" w:name="_Toc23510533"/>
      <w:bookmarkStart w:id="104" w:name="_Toc58929609"/>
      <w:bookmarkStart w:id="105" w:name="_Toc484602701"/>
      <w:bookmarkEnd w:id="97"/>
      <w:bookmarkEnd w:id="98"/>
      <w:bookmarkEnd w:id="99"/>
      <w:bookmarkEnd w:id="100"/>
      <w:bookmarkEnd w:id="101"/>
      <w:bookmarkEnd w:id="102"/>
      <w:r>
        <w:t xml:space="preserve"> </w:t>
      </w:r>
      <w:r w:rsidR="00E922AE">
        <w:t xml:space="preserve">Matching </w:t>
      </w:r>
      <w:r w:rsidR="001B325B">
        <w:t>Techniques</w:t>
      </w:r>
      <w:bookmarkEnd w:id="103"/>
      <w:bookmarkEnd w:id="104"/>
    </w:p>
    <w:p w14:paraId="66693AD6" w14:textId="7C159272" w:rsidR="00294045" w:rsidRPr="00E4650A" w:rsidRDefault="00294045" w:rsidP="00053527">
      <w:pPr>
        <w:pStyle w:val="Heading2"/>
      </w:pPr>
      <w:bookmarkStart w:id="106" w:name="_Toc484602702"/>
      <w:bookmarkStart w:id="107" w:name="_Toc58929610"/>
      <w:bookmarkEnd w:id="105"/>
      <w:r w:rsidRPr="00E4650A">
        <w:t>Identi</w:t>
      </w:r>
      <w:r w:rsidR="00776535">
        <w:t>t</w:t>
      </w:r>
      <w:r w:rsidRPr="00E4650A">
        <w:t>y Matching</w:t>
      </w:r>
      <w:bookmarkEnd w:id="106"/>
      <w:bookmarkEnd w:id="107"/>
      <w:r w:rsidRPr="00E4650A">
        <w:t xml:space="preserve"> </w:t>
      </w:r>
    </w:p>
    <w:p w14:paraId="6E03200C" w14:textId="189FB9FF" w:rsidR="00C124A3" w:rsidRDefault="00C124A3" w:rsidP="00926FAE">
      <w:pPr>
        <w:pStyle w:val="Heading3"/>
      </w:pPr>
      <w:r>
        <w:t xml:space="preserve">The </w:t>
      </w:r>
      <w:r w:rsidR="006C27A5">
        <w:t>Program comprises</w:t>
      </w:r>
      <w:r>
        <w:t xml:space="preserve"> of two data-matching processes:</w:t>
      </w:r>
    </w:p>
    <w:p w14:paraId="08F15351" w14:textId="07341F34" w:rsidR="00C124A3" w:rsidRDefault="00706A38" w:rsidP="00926FAE">
      <w:pPr>
        <w:pStyle w:val="Heading4"/>
      </w:pPr>
      <w:r>
        <w:t>DE</w:t>
      </w:r>
      <w:r w:rsidR="00C124A3">
        <w:t xml:space="preserve"> uses the information disclosed by </w:t>
      </w:r>
      <w:r w:rsidR="0059298D">
        <w:t>Services Australia</w:t>
      </w:r>
      <w:r w:rsidR="00201269">
        <w:t xml:space="preserve"> </w:t>
      </w:r>
      <w:r w:rsidR="00C124A3">
        <w:t>to match</w:t>
      </w:r>
      <w:r w:rsidR="00201269">
        <w:t xml:space="preserve"> against</w:t>
      </w:r>
      <w:r w:rsidR="00C124A3">
        <w:t xml:space="preserve"> other information held in the </w:t>
      </w:r>
      <w:r>
        <w:t>DE</w:t>
      </w:r>
      <w:r w:rsidR="00C124A3">
        <w:t xml:space="preserve"> tenancy</w:t>
      </w:r>
      <w:r w:rsidR="00201269">
        <w:t xml:space="preserve">. This automated process </w:t>
      </w:r>
      <w:r w:rsidR="00C124A3">
        <w:t>identif</w:t>
      </w:r>
      <w:r w:rsidR="00201269">
        <w:t>ies</w:t>
      </w:r>
      <w:r w:rsidR="00C124A3">
        <w:t xml:space="preserve"> students who are mutual customers of both </w:t>
      </w:r>
      <w:r w:rsidR="00E1472C">
        <w:t xml:space="preserve">Services Australia </w:t>
      </w:r>
      <w:r w:rsidR="00C124A3">
        <w:t xml:space="preserve">and </w:t>
      </w:r>
      <w:r>
        <w:t>DE</w:t>
      </w:r>
      <w:r w:rsidR="00C124A3">
        <w:t xml:space="preserve">. </w:t>
      </w:r>
    </w:p>
    <w:p w14:paraId="2D15EDB8" w14:textId="42322C40" w:rsidR="00C124A3" w:rsidRPr="00DE44FC" w:rsidRDefault="00C124A3" w:rsidP="009D6D5A">
      <w:pPr>
        <w:pStyle w:val="Heading5"/>
      </w:pPr>
      <w:r w:rsidRPr="00DE44FC">
        <w:t xml:space="preserve">Where a </w:t>
      </w:r>
      <w:r w:rsidR="006C27A5">
        <w:t>Services Australia</w:t>
      </w:r>
      <w:r w:rsidR="006C27A5" w:rsidRPr="00DE44FC">
        <w:t xml:space="preserve"> </w:t>
      </w:r>
      <w:r w:rsidRPr="00DE44FC">
        <w:t>customer is making an online claim for a student payment, their available personal information (as outlined</w:t>
      </w:r>
      <w:r w:rsidR="00E679AF">
        <w:t xml:space="preserve"> </w:t>
      </w:r>
      <w:r w:rsidR="00CE009D">
        <w:t xml:space="preserve">in clause 1 </w:t>
      </w:r>
      <w:r w:rsidR="00E679AF">
        <w:t>above</w:t>
      </w:r>
      <w:r w:rsidRPr="00DE44FC">
        <w:t xml:space="preserve">) </w:t>
      </w:r>
      <w:r>
        <w:t>is</w:t>
      </w:r>
      <w:r w:rsidRPr="00DE44FC">
        <w:t xml:space="preserve"> sent </w:t>
      </w:r>
      <w:r w:rsidR="00825DD5">
        <w:t xml:space="preserve">from Service Australia’s systems </w:t>
      </w:r>
      <w:r w:rsidRPr="00DE44FC">
        <w:t xml:space="preserve">to </w:t>
      </w:r>
      <w:r w:rsidR="00706A38">
        <w:t>DE</w:t>
      </w:r>
      <w:r w:rsidR="00825DD5">
        <w:t>’s tenancy</w:t>
      </w:r>
      <w:r w:rsidRPr="00DE44FC">
        <w:t xml:space="preserve"> </w:t>
      </w:r>
      <w:proofErr w:type="gramStart"/>
      <w:r w:rsidR="00201269">
        <w:t xml:space="preserve">in an attempt </w:t>
      </w:r>
      <w:r w:rsidRPr="00DE44FC">
        <w:t>to</w:t>
      </w:r>
      <w:proofErr w:type="gramEnd"/>
      <w:r w:rsidRPr="00DE44FC">
        <w:t xml:space="preserve"> match</w:t>
      </w:r>
      <w:r w:rsidR="00201269">
        <w:t xml:space="preserve"> the record. Where a match is established</w:t>
      </w:r>
      <w:r w:rsidR="00825DD5">
        <w:t xml:space="preserve"> and enriched</w:t>
      </w:r>
      <w:r w:rsidR="00C62682">
        <w:t>,</w:t>
      </w:r>
      <w:r w:rsidR="00825DD5">
        <w:t xml:space="preserve"> match information is provided by DE to Services Australia</w:t>
      </w:r>
      <w:r w:rsidR="00C62682">
        <w:t xml:space="preserve"> and</w:t>
      </w:r>
      <w:r w:rsidR="00201269">
        <w:t xml:space="preserve"> the information is used to</w:t>
      </w:r>
      <w:r w:rsidRPr="00DE44FC">
        <w:t xml:space="preserve"> pre-populate available study details in the</w:t>
      </w:r>
      <w:r w:rsidR="00201269">
        <w:t xml:space="preserve"> customer</w:t>
      </w:r>
      <w:r w:rsidR="00C863AD">
        <w:t>’</w:t>
      </w:r>
      <w:r w:rsidR="00201269">
        <w:t xml:space="preserve">s </w:t>
      </w:r>
      <w:r w:rsidRPr="00DE44FC">
        <w:t>online claim. Once the claim is submitted</w:t>
      </w:r>
      <w:r w:rsidR="00201269">
        <w:t>,</w:t>
      </w:r>
      <w:r w:rsidRPr="00DE44FC">
        <w:t xml:space="preserve"> the </w:t>
      </w:r>
      <w:r w:rsidR="00201269">
        <w:t>matched record</w:t>
      </w:r>
      <w:r w:rsidRPr="00DE44FC">
        <w:t xml:space="preserve"> </w:t>
      </w:r>
      <w:r w:rsidR="00CE009D">
        <w:t>is</w:t>
      </w:r>
      <w:r w:rsidRPr="00DE44FC">
        <w:t xml:space="preserve"> added to </w:t>
      </w:r>
      <w:r w:rsidR="00CE009D">
        <w:t>the MCR</w:t>
      </w:r>
      <w:r w:rsidRPr="00DE44FC">
        <w:t xml:space="preserve"> to ensure </w:t>
      </w:r>
      <w:r w:rsidR="00201269">
        <w:t>any relevant</w:t>
      </w:r>
      <w:r w:rsidRPr="00DE44FC">
        <w:t xml:space="preserve"> study changes (for the period a customer is in receipt of a payment</w:t>
      </w:r>
      <w:r w:rsidR="00201269">
        <w:t xml:space="preserve"> and ending</w:t>
      </w:r>
      <w:r w:rsidRPr="00DE44FC">
        <w:t xml:space="preserve"> 13 weeks after the</w:t>
      </w:r>
      <w:r w:rsidR="00201269">
        <w:t>ir student payment</w:t>
      </w:r>
      <w:r w:rsidRPr="00DE44FC">
        <w:t xml:space="preserve"> cease</w:t>
      </w:r>
      <w:r w:rsidR="00201269">
        <w:t>s</w:t>
      </w:r>
      <w:r w:rsidRPr="00DE44FC">
        <w:t xml:space="preserve">) are provided to </w:t>
      </w:r>
      <w:r w:rsidR="0059298D">
        <w:t>Services Australia</w:t>
      </w:r>
      <w:r w:rsidR="00201269">
        <w:t xml:space="preserve"> to assess ongoing </w:t>
      </w:r>
      <w:r w:rsidRPr="00DE44FC">
        <w:t>entitlement and eligibility</w:t>
      </w:r>
      <w:r w:rsidR="00201269">
        <w:t xml:space="preserve"> for a student payment</w:t>
      </w:r>
      <w:r w:rsidRPr="00DE44FC">
        <w:t>.</w:t>
      </w:r>
    </w:p>
    <w:p w14:paraId="3D4D7486" w14:textId="19D85CE8" w:rsidR="00C124A3" w:rsidRDefault="00C124A3" w:rsidP="009D6D5A">
      <w:pPr>
        <w:pStyle w:val="Heading5"/>
      </w:pPr>
      <w:r w:rsidRPr="00DE44FC">
        <w:t xml:space="preserve">Existing </w:t>
      </w:r>
      <w:r w:rsidR="005D0E57" w:rsidRPr="00DE44FC">
        <w:t>customers,</w:t>
      </w:r>
      <w:r w:rsidR="004E7D5B">
        <w:t xml:space="preserve"> who are undertaking applicable tertiary education and are in receipt of a student payment,</w:t>
      </w:r>
      <w:r w:rsidRPr="00DE44FC">
        <w:t xml:space="preserve"> have their personal information (as outlined </w:t>
      </w:r>
      <w:r w:rsidR="00CE009D">
        <w:t xml:space="preserve">in clause 1 </w:t>
      </w:r>
      <w:r w:rsidR="00E679AF">
        <w:t>above</w:t>
      </w:r>
      <w:r w:rsidRPr="00DE44FC">
        <w:t xml:space="preserve">) sent to </w:t>
      </w:r>
      <w:r w:rsidR="00706A38">
        <w:t>DE</w:t>
      </w:r>
      <w:r w:rsidRPr="00DE44FC">
        <w:t xml:space="preserve"> </w:t>
      </w:r>
      <w:proofErr w:type="gramStart"/>
      <w:r w:rsidR="004E7D5B">
        <w:t xml:space="preserve">in an attempt </w:t>
      </w:r>
      <w:r w:rsidRPr="00DE44FC">
        <w:t>to</w:t>
      </w:r>
      <w:proofErr w:type="gramEnd"/>
      <w:r w:rsidRPr="00DE44FC">
        <w:t xml:space="preserve"> match</w:t>
      </w:r>
      <w:r w:rsidR="004E7D5B">
        <w:t xml:space="preserve"> the record. Where a match is</w:t>
      </w:r>
      <w:r w:rsidRPr="00DE44FC">
        <w:t xml:space="preserve"> establish</w:t>
      </w:r>
      <w:r w:rsidR="004E7D5B">
        <w:t xml:space="preserve">ed, the match </w:t>
      </w:r>
      <w:r w:rsidR="00CE009D">
        <w:t>is</w:t>
      </w:r>
      <w:r w:rsidR="004E7D5B">
        <w:t xml:space="preserve"> stored in the </w:t>
      </w:r>
      <w:r w:rsidR="00C863AD">
        <w:t>MCR</w:t>
      </w:r>
      <w:r w:rsidR="004E7D5B">
        <w:t xml:space="preserve"> and</w:t>
      </w:r>
      <w:r w:rsidRPr="00DE44FC">
        <w:t xml:space="preserve"> </w:t>
      </w:r>
      <w:r w:rsidR="004E7D5B">
        <w:t>any relevant</w:t>
      </w:r>
      <w:r w:rsidRPr="00DE44FC">
        <w:t xml:space="preserve"> study changes (for the period a customer is in receipt of a payment</w:t>
      </w:r>
      <w:r w:rsidR="004E7D5B">
        <w:t xml:space="preserve"> and ending</w:t>
      </w:r>
      <w:r w:rsidRPr="00DE44FC">
        <w:t xml:space="preserve"> 13 weeks after the</w:t>
      </w:r>
      <w:r w:rsidR="004E7D5B">
        <w:t>ir</w:t>
      </w:r>
      <w:r w:rsidRPr="00DE44FC">
        <w:t xml:space="preserve"> </w:t>
      </w:r>
      <w:r w:rsidR="004E7D5B">
        <w:t xml:space="preserve">student payment </w:t>
      </w:r>
      <w:r w:rsidRPr="00DE44FC">
        <w:t>cease</w:t>
      </w:r>
      <w:r w:rsidR="004E7D5B">
        <w:t>s</w:t>
      </w:r>
      <w:r w:rsidRPr="00DE44FC">
        <w:t xml:space="preserve">) are provided to </w:t>
      </w:r>
      <w:r w:rsidR="0059298D">
        <w:t xml:space="preserve">Services Australia </w:t>
      </w:r>
      <w:r w:rsidR="004E7D5B">
        <w:t>to assess ongoing</w:t>
      </w:r>
      <w:r w:rsidRPr="00DE44FC">
        <w:t xml:space="preserve"> entitlement and eligibilit</w:t>
      </w:r>
      <w:r>
        <w:t>y.</w:t>
      </w:r>
    </w:p>
    <w:p w14:paraId="5F7C19DC" w14:textId="31030E94" w:rsidR="00C124A3" w:rsidRPr="00DE44FC" w:rsidRDefault="00C124A3" w:rsidP="009D6D5A">
      <w:pPr>
        <w:pStyle w:val="Heading5"/>
      </w:pPr>
      <w:r w:rsidRPr="00DE44FC">
        <w:t xml:space="preserve">To establish the match, approximate string (fuzzy logic) matching and weighting criteria are applied to each data element to produce a match confidence score. Only </w:t>
      </w:r>
      <w:r w:rsidR="00810395">
        <w:t xml:space="preserve">the </w:t>
      </w:r>
      <w:r w:rsidRPr="00DE44FC">
        <w:t>high</w:t>
      </w:r>
      <w:r w:rsidR="00810395">
        <w:t>est</w:t>
      </w:r>
      <w:r w:rsidRPr="00DE44FC">
        <w:t xml:space="preserve"> confidence score will qualify as a match, at which point the data (as outlined</w:t>
      </w:r>
      <w:r w:rsidR="00E679AF">
        <w:t xml:space="preserve"> above</w:t>
      </w:r>
      <w:r w:rsidRPr="00DE44FC">
        <w:t xml:space="preserve">) </w:t>
      </w:r>
      <w:r w:rsidR="00CE009D">
        <w:t>is</w:t>
      </w:r>
      <w:r w:rsidRPr="00DE44FC">
        <w:t xml:space="preserve"> provided to </w:t>
      </w:r>
      <w:r w:rsidR="0059298D">
        <w:t>Services Australia</w:t>
      </w:r>
      <w:r w:rsidRPr="00DE44FC">
        <w:t>.</w:t>
      </w:r>
    </w:p>
    <w:p w14:paraId="36F8FD51" w14:textId="47607B71" w:rsidR="007F5512" w:rsidRDefault="00810395" w:rsidP="009D6D5A">
      <w:pPr>
        <w:pStyle w:val="Heading5"/>
      </w:pPr>
      <w:r>
        <w:t xml:space="preserve">Matched records </w:t>
      </w:r>
      <w:r w:rsidR="00CE009D">
        <w:t>are</w:t>
      </w:r>
      <w:r>
        <w:t xml:space="preserve"> passed to Services Australia’s core systems for further validation prior to the information being committed to a customer record. </w:t>
      </w:r>
      <w:r>
        <w:lastRenderedPageBreak/>
        <w:t>Once applied to the customer record, the customer will be provided the opportunity to verify the data before any payment affecting change is made.</w:t>
      </w:r>
    </w:p>
    <w:p w14:paraId="091AD197" w14:textId="3EB414B7" w:rsidR="00E679AF" w:rsidRDefault="00825DD5" w:rsidP="009D6D5A">
      <w:pPr>
        <w:pStyle w:val="Heading5"/>
      </w:pPr>
      <w:r>
        <w:t xml:space="preserve">Information about </w:t>
      </w:r>
      <w:r w:rsidR="00DA7EBC">
        <w:t>records deemed to match</w:t>
      </w:r>
      <w:r w:rsidR="00DA7EBC" w:rsidRPr="00AE33DC">
        <w:t xml:space="preserve"> will be </w:t>
      </w:r>
      <w:r w:rsidR="00DA7EBC">
        <w:t>registered in the</w:t>
      </w:r>
      <w:r w:rsidR="007F5512">
        <w:t xml:space="preserve"> </w:t>
      </w:r>
      <w:r w:rsidR="00DA7EBC">
        <w:t>MCR</w:t>
      </w:r>
      <w:r w:rsidR="00DA7EBC" w:rsidRPr="00AE33DC">
        <w:t>.</w:t>
      </w:r>
      <w:r w:rsidR="00DA7EBC">
        <w:t xml:space="preserve"> </w:t>
      </w:r>
      <w:r>
        <w:t>Information about</w:t>
      </w:r>
      <w:r w:rsidRPr="00AE33DC">
        <w:t xml:space="preserve"> </w:t>
      </w:r>
      <w:r w:rsidR="00DA7EBC" w:rsidRPr="00AE33DC">
        <w:t xml:space="preserve">records deemed to not match will be </w:t>
      </w:r>
      <w:r w:rsidR="00CE009D">
        <w:t>deleted after seven days</w:t>
      </w:r>
      <w:r w:rsidR="00DA7EBC" w:rsidRPr="00AE33DC">
        <w:t>.</w:t>
      </w:r>
      <w:r w:rsidR="007F5512">
        <w:t xml:space="preserve"> </w:t>
      </w:r>
      <w:r w:rsidR="00DA7EBC" w:rsidRPr="00BD7490">
        <w:t>All match results (both success and failure) will be written</w:t>
      </w:r>
      <w:r w:rsidR="007F5512">
        <w:t xml:space="preserve"> to an audit log within the MCR</w:t>
      </w:r>
      <w:r w:rsidR="00DA7EBC">
        <w:t>.</w:t>
      </w:r>
    </w:p>
    <w:p w14:paraId="64E73411" w14:textId="2232A941" w:rsidR="00C124A3" w:rsidRPr="00D62717" w:rsidRDefault="00E679AF" w:rsidP="009D6D5A">
      <w:pPr>
        <w:pStyle w:val="Heading4"/>
      </w:pPr>
      <w:r w:rsidRPr="00D62717">
        <w:t>The se</w:t>
      </w:r>
      <w:r w:rsidR="00C124A3" w:rsidRPr="00D62717">
        <w:t xml:space="preserve">cond data matching process occurs when </w:t>
      </w:r>
      <w:r w:rsidR="00706A38" w:rsidRPr="00D62717">
        <w:t>DE</w:t>
      </w:r>
      <w:r w:rsidR="00C124A3" w:rsidRPr="00D62717">
        <w:t xml:space="preserve"> receives new information from Providers or</w:t>
      </w:r>
      <w:r w:rsidR="000E6E07" w:rsidRPr="00D62717">
        <w:t xml:space="preserve"> from </w:t>
      </w:r>
      <w:r w:rsidR="0059298D" w:rsidRPr="00D62717">
        <w:t>Services Australia</w:t>
      </w:r>
      <w:r w:rsidR="00810395" w:rsidRPr="00D62717">
        <w:t xml:space="preserve"> </w:t>
      </w:r>
      <w:r w:rsidR="000E6E07" w:rsidRPr="00D62717">
        <w:t xml:space="preserve">about a student. </w:t>
      </w:r>
      <w:r w:rsidR="00706A38" w:rsidRPr="00D62717">
        <w:t>DE</w:t>
      </w:r>
      <w:r w:rsidR="00C124A3" w:rsidRPr="00D62717">
        <w:t xml:space="preserve"> automatically checks whether that student is a matched student in the MCR. If the student is within the MCR, the </w:t>
      </w:r>
      <w:r w:rsidR="00706A38" w:rsidRPr="00D62717">
        <w:t>DE</w:t>
      </w:r>
      <w:r w:rsidR="00C124A3" w:rsidRPr="00D62717">
        <w:t xml:space="preserve"> tenancy creates or updates the enriched match file, which is subsequently released to </w:t>
      </w:r>
      <w:r w:rsidR="0059298D" w:rsidRPr="00D62717">
        <w:t>Services Australia</w:t>
      </w:r>
      <w:r w:rsidR="00C124A3" w:rsidRPr="00D62717">
        <w:t xml:space="preserve">. </w:t>
      </w:r>
      <w:r w:rsidR="00810395" w:rsidRPr="00D62717">
        <w:t xml:space="preserve">If the student is not within the MCR, the first data matching process </w:t>
      </w:r>
      <w:r w:rsidR="00825DD5" w:rsidRPr="00D62717">
        <w:t>will apply if triggered</w:t>
      </w:r>
      <w:r w:rsidR="00810395" w:rsidRPr="00D62717">
        <w:t>.</w:t>
      </w:r>
    </w:p>
    <w:p w14:paraId="14C56272" w14:textId="77777777" w:rsidR="001F6C60" w:rsidRPr="00AE33DC" w:rsidRDefault="00E7461B" w:rsidP="009D6D5A">
      <w:pPr>
        <w:pStyle w:val="Heading3"/>
      </w:pPr>
      <w:r w:rsidRPr="00AE33DC">
        <w:t>Services Australia will send match requests</w:t>
      </w:r>
      <w:r>
        <w:t xml:space="preserve"> </w:t>
      </w:r>
      <w:r w:rsidR="001F6C60" w:rsidRPr="00AE33DC">
        <w:t>in the following two ways:</w:t>
      </w:r>
    </w:p>
    <w:p w14:paraId="735E62F6" w14:textId="4563AA50" w:rsidR="001F6C60" w:rsidRPr="00572290" w:rsidRDefault="001F6C60" w:rsidP="00496048">
      <w:pPr>
        <w:pStyle w:val="Heading4"/>
      </w:pPr>
      <w:r w:rsidRPr="00572290">
        <w:t xml:space="preserve">Event-driven matching – </w:t>
      </w:r>
      <w:r w:rsidR="00CE009D">
        <w:t>w</w:t>
      </w:r>
      <w:r w:rsidRPr="00572290">
        <w:t xml:space="preserve">hen a customer makes a claim for a </w:t>
      </w:r>
      <w:r w:rsidR="00CE009D">
        <w:t>s</w:t>
      </w:r>
      <w:r w:rsidRPr="00572290">
        <w:t xml:space="preserve">tudent </w:t>
      </w:r>
      <w:r w:rsidR="00CE009D">
        <w:t>p</w:t>
      </w:r>
      <w:r w:rsidRPr="00572290">
        <w:t>ayment.</w:t>
      </w:r>
    </w:p>
    <w:p w14:paraId="07077660" w14:textId="5F3AA661" w:rsidR="001F6C60" w:rsidRPr="00572290" w:rsidRDefault="001F6C60" w:rsidP="00496048">
      <w:pPr>
        <w:pStyle w:val="Heading4"/>
      </w:pPr>
      <w:r w:rsidRPr="00572290">
        <w:t>Fortnightly batch matching –</w:t>
      </w:r>
      <w:r w:rsidR="00CE009D">
        <w:t>s</w:t>
      </w:r>
      <w:r w:rsidRPr="00572290">
        <w:t xml:space="preserve">taggering the customer cohort across the 10 business days in a fortnight </w:t>
      </w:r>
      <w:proofErr w:type="gramStart"/>
      <w:r w:rsidRPr="00572290">
        <w:t>cycle</w:t>
      </w:r>
      <w:proofErr w:type="gramEnd"/>
    </w:p>
    <w:p w14:paraId="4454EFDB" w14:textId="0C93E7C7" w:rsidR="001F6C60" w:rsidRPr="00572290" w:rsidRDefault="00F14D45" w:rsidP="00053527">
      <w:pPr>
        <w:pStyle w:val="Heading1"/>
      </w:pPr>
      <w:bookmarkStart w:id="108" w:name="_Toc484602704"/>
      <w:bookmarkStart w:id="109" w:name="_Toc18327506"/>
      <w:bookmarkStart w:id="110" w:name="_Toc23510534"/>
      <w:bookmarkStart w:id="111" w:name="_Toc58929611"/>
      <w:r>
        <w:t xml:space="preserve"> </w:t>
      </w:r>
      <w:r w:rsidR="00294045" w:rsidRPr="00E4650A">
        <w:t>Risks</w:t>
      </w:r>
      <w:bookmarkEnd w:id="108"/>
      <w:bookmarkEnd w:id="109"/>
      <w:bookmarkEnd w:id="110"/>
      <w:bookmarkEnd w:id="111"/>
    </w:p>
    <w:p w14:paraId="09827A21" w14:textId="7C24EDC9" w:rsidR="006D7C96" w:rsidRDefault="006D7C96" w:rsidP="00113D60">
      <w:pPr>
        <w:pStyle w:val="Heading2"/>
      </w:pPr>
      <w:bookmarkStart w:id="112" w:name="_Toc58929612"/>
      <w:bookmarkStart w:id="113" w:name="_Toc484602706"/>
      <w:r>
        <w:t>I</w:t>
      </w:r>
      <w:r w:rsidR="00881858">
        <w:t>n</w:t>
      </w:r>
      <w:r>
        <w:t>correct Identity Matches</w:t>
      </w:r>
      <w:bookmarkEnd w:id="112"/>
    </w:p>
    <w:p w14:paraId="6D940818" w14:textId="74343C04" w:rsidR="00BF3FEF" w:rsidRDefault="00BF3FEF" w:rsidP="009D6D5A">
      <w:pPr>
        <w:pStyle w:val="Heading3"/>
      </w:pPr>
      <w:r>
        <w:t>As with any data matching exercise, there is a risk of incorrect identity matches occurring. If an incorrect identi</w:t>
      </w:r>
      <w:r w:rsidR="0059298D">
        <w:t>t</w:t>
      </w:r>
      <w:r>
        <w:t xml:space="preserve">y match occurs, there is a risk that personal information about a student who is not a mutual customer will be disclosed by </w:t>
      </w:r>
      <w:r w:rsidR="00706A38">
        <w:t>DE</w:t>
      </w:r>
      <w:r>
        <w:t xml:space="preserve"> to </w:t>
      </w:r>
      <w:r w:rsidR="0059298D">
        <w:t>Services Australia</w:t>
      </w:r>
      <w:r>
        <w:t>. This carries</w:t>
      </w:r>
      <w:r w:rsidR="00210DA2">
        <w:t xml:space="preserve"> potential</w:t>
      </w:r>
      <w:r>
        <w:t xml:space="preserve"> reputational risks for the Commonwealth</w:t>
      </w:r>
      <w:r w:rsidR="0021083C">
        <w:t xml:space="preserve"> if the Commonwealth is perceived to be using personal information inappropriately.</w:t>
      </w:r>
      <w:r w:rsidR="00810395">
        <w:t xml:space="preserve"> The following measures have been established to help mitigate this risk:</w:t>
      </w:r>
    </w:p>
    <w:p w14:paraId="63078531" w14:textId="03EF4D56" w:rsidR="00F54927" w:rsidRDefault="00706A38" w:rsidP="009D6D5A">
      <w:pPr>
        <w:pStyle w:val="Heading4"/>
      </w:pPr>
      <w:r>
        <w:t>DE</w:t>
      </w:r>
      <w:r w:rsidR="006A2FC1">
        <w:t xml:space="preserve"> us</w:t>
      </w:r>
      <w:r w:rsidR="00A52660">
        <w:t>es</w:t>
      </w:r>
      <w:r w:rsidR="006A2FC1">
        <w:t xml:space="preserve"> sophisticated identity matching techniques to </w:t>
      </w:r>
      <w:r w:rsidR="00401E6F">
        <w:t xml:space="preserve">ensure </w:t>
      </w:r>
      <w:r w:rsidR="00CB48D7">
        <w:t xml:space="preserve">that </w:t>
      </w:r>
      <w:r w:rsidR="00401E6F">
        <w:t>the correct student record is</w:t>
      </w:r>
      <w:r w:rsidR="006A2FC1">
        <w:t xml:space="preserve"> identif</w:t>
      </w:r>
      <w:r w:rsidR="00401E6F">
        <w:t xml:space="preserve">ied and </w:t>
      </w:r>
      <w:r w:rsidR="00CB48D7">
        <w:t>matched</w:t>
      </w:r>
      <w:r w:rsidR="00401E6F">
        <w:t xml:space="preserve"> with the </w:t>
      </w:r>
      <w:r w:rsidR="00FE5EDC">
        <w:t xml:space="preserve">Services Australia </w:t>
      </w:r>
      <w:r w:rsidR="00401E6F">
        <w:t>customer record</w:t>
      </w:r>
      <w:r w:rsidR="00810395">
        <w:t xml:space="preserve"> from the initial match request</w:t>
      </w:r>
      <w:r w:rsidR="00401E6F">
        <w:t xml:space="preserve">. This technique </w:t>
      </w:r>
      <w:r w:rsidR="00D10EE5">
        <w:t xml:space="preserve">relies on business rules set by </w:t>
      </w:r>
      <w:r>
        <w:t>DE</w:t>
      </w:r>
      <w:r w:rsidR="00D10EE5">
        <w:t xml:space="preserve"> in its </w:t>
      </w:r>
      <w:r w:rsidR="00FE5EDC">
        <w:t xml:space="preserve">SLA </w:t>
      </w:r>
      <w:r w:rsidR="00D10EE5">
        <w:t xml:space="preserve">with </w:t>
      </w:r>
      <w:proofErr w:type="gramStart"/>
      <w:r w:rsidR="0059298D">
        <w:t>Services Australia</w:t>
      </w:r>
      <w:r w:rsidR="00D10EE5">
        <w:t>, and</w:t>
      </w:r>
      <w:proofErr w:type="gramEnd"/>
      <w:r w:rsidR="00D10EE5">
        <w:t xml:space="preserve"> </w:t>
      </w:r>
      <w:r w:rsidR="00401E6F">
        <w:t xml:space="preserve">uses </w:t>
      </w:r>
      <w:r w:rsidR="00F54927">
        <w:t xml:space="preserve">approximate string matching and weighting criteria across available data elements </w:t>
      </w:r>
      <w:r w:rsidR="00401E6F">
        <w:t xml:space="preserve">to </w:t>
      </w:r>
      <w:r w:rsidR="00012B33">
        <w:t xml:space="preserve">achieve </w:t>
      </w:r>
      <w:r w:rsidR="00401E6F">
        <w:t xml:space="preserve">an identity match. </w:t>
      </w:r>
    </w:p>
    <w:p w14:paraId="328D8809" w14:textId="0E767C04" w:rsidR="00012B33" w:rsidRDefault="00706A38" w:rsidP="009D6D5A">
      <w:pPr>
        <w:pStyle w:val="Heading4"/>
      </w:pPr>
      <w:r>
        <w:t>DE</w:t>
      </w:r>
      <w:r w:rsidR="00210DA2">
        <w:t xml:space="preserve"> </w:t>
      </w:r>
      <w:r w:rsidR="00FE5EDC">
        <w:t xml:space="preserve">has </w:t>
      </w:r>
      <w:r w:rsidR="00210DA2">
        <w:t>adopt</w:t>
      </w:r>
      <w:r w:rsidR="00FE5EDC">
        <w:t>ed</w:t>
      </w:r>
      <w:r w:rsidR="00210DA2">
        <w:t xml:space="preserve"> a cautious approach to matching. Only matches that result in a high confidence score </w:t>
      </w:r>
      <w:r w:rsidR="00FE5EDC">
        <w:t>are</w:t>
      </w:r>
      <w:r w:rsidR="00210DA2">
        <w:t xml:space="preserve"> provided to </w:t>
      </w:r>
      <w:r w:rsidR="0059298D">
        <w:t>Services Australia</w:t>
      </w:r>
      <w:r w:rsidR="00E7461B">
        <w:t xml:space="preserve"> </w:t>
      </w:r>
      <w:r w:rsidR="00210DA2">
        <w:t>as an ‘enriched match file’. H</w:t>
      </w:r>
      <w:r w:rsidR="00401E6F">
        <w:t>igh confidence matches occur where</w:t>
      </w:r>
      <w:r w:rsidR="000E6643">
        <w:t xml:space="preserve"> approximate string capability identifies all possible </w:t>
      </w:r>
      <w:proofErr w:type="gramStart"/>
      <w:r w:rsidR="000E6643">
        <w:t>matches</w:t>
      </w:r>
      <w:proofErr w:type="gramEnd"/>
      <w:r w:rsidR="000E6643">
        <w:t xml:space="preserve"> and the weighting criteria </w:t>
      </w:r>
      <w:r w:rsidR="00193A43">
        <w:t xml:space="preserve">is applied to provide a match confidence score. </w:t>
      </w:r>
    </w:p>
    <w:p w14:paraId="7AA895EF" w14:textId="0D3D6031" w:rsidR="00FE1AF8" w:rsidRPr="00193A43" w:rsidRDefault="0059298D" w:rsidP="009D6D5A">
      <w:pPr>
        <w:pStyle w:val="Heading4"/>
      </w:pPr>
      <w:r>
        <w:t>Services Australia</w:t>
      </w:r>
      <w:r w:rsidR="00012B33">
        <w:t xml:space="preserve"> </w:t>
      </w:r>
      <w:r w:rsidR="00FE5EDC">
        <w:t>undertakes</w:t>
      </w:r>
      <w:r w:rsidR="00210DA2">
        <w:t xml:space="preserve"> further </w:t>
      </w:r>
      <w:r w:rsidR="00012B33">
        <w:t>validations</w:t>
      </w:r>
      <w:r w:rsidR="00210DA2">
        <w:t xml:space="preserve"> to ensure the certainty of this match.</w:t>
      </w:r>
    </w:p>
    <w:p w14:paraId="308CFBC5" w14:textId="5165DA9E" w:rsidR="00294045" w:rsidRDefault="00294045" w:rsidP="00113D60">
      <w:pPr>
        <w:pStyle w:val="Heading2"/>
      </w:pPr>
      <w:bookmarkStart w:id="114" w:name="_Toc58929613"/>
      <w:bookmarkStart w:id="115" w:name="_Hlk160710019"/>
      <w:r w:rsidRPr="00E4650A">
        <w:t>Data quality controls and audit</w:t>
      </w:r>
      <w:bookmarkEnd w:id="113"/>
      <w:bookmarkEnd w:id="114"/>
    </w:p>
    <w:p w14:paraId="2BA3777B" w14:textId="20350887" w:rsidR="005B5F4D" w:rsidRDefault="005B5F4D" w:rsidP="009D6D5A">
      <w:pPr>
        <w:pStyle w:val="Heading3"/>
      </w:pPr>
      <w:proofErr w:type="gramStart"/>
      <w:r>
        <w:t>A number of</w:t>
      </w:r>
      <w:proofErr w:type="gramEnd"/>
      <w:r>
        <w:t xml:space="preserve"> data quality controls and audit mechanisms </w:t>
      </w:r>
      <w:r w:rsidR="00E754D1">
        <w:t xml:space="preserve">have been implemented </w:t>
      </w:r>
      <w:r>
        <w:t xml:space="preserve">as part of </w:t>
      </w:r>
      <w:r w:rsidR="00E754D1">
        <w:t xml:space="preserve">the </w:t>
      </w:r>
      <w:r w:rsidR="00913D3B">
        <w:t>Program</w:t>
      </w:r>
      <w:r>
        <w:t>, including:</w:t>
      </w:r>
    </w:p>
    <w:p w14:paraId="392B6507" w14:textId="72805987" w:rsidR="005B5F4D" w:rsidRDefault="00CE760E" w:rsidP="009D6D5A">
      <w:pPr>
        <w:pStyle w:val="Heading4"/>
      </w:pPr>
      <w:r>
        <w:t>T</w:t>
      </w:r>
      <w:r w:rsidR="00E754D1">
        <w:t>he a</w:t>
      </w:r>
      <w:r w:rsidR="005B5F4D">
        <w:t>pplication of a strict data schema to ensure</w:t>
      </w:r>
      <w:r w:rsidR="00E754D1">
        <w:t xml:space="preserve"> that</w:t>
      </w:r>
      <w:r w:rsidR="005B5F4D">
        <w:t xml:space="preserve"> reported data is consistent across all Providers. A data specification has been made publicly available to ensure </w:t>
      </w:r>
      <w:r w:rsidR="00E754D1">
        <w:t xml:space="preserve">that </w:t>
      </w:r>
      <w:r w:rsidR="005B5F4D">
        <w:t xml:space="preserve">Providers and their </w:t>
      </w:r>
      <w:r w:rsidR="00E754D1">
        <w:t>s</w:t>
      </w:r>
      <w:r w:rsidR="005B5F4D">
        <w:t>oftware developers are aware of the standards by which their data should be collected and reported</w:t>
      </w:r>
      <w:r>
        <w:t xml:space="preserve"> to DE. </w:t>
      </w:r>
    </w:p>
    <w:p w14:paraId="50CF91FD" w14:textId="40F77319" w:rsidR="005B5F4D" w:rsidRDefault="00CE760E" w:rsidP="009D6D5A">
      <w:pPr>
        <w:pStyle w:val="Heading4"/>
      </w:pPr>
      <w:r>
        <w:lastRenderedPageBreak/>
        <w:t>In</w:t>
      </w:r>
      <w:r w:rsidR="005B5F4D">
        <w:t xml:space="preserve">built system validations to ensure </w:t>
      </w:r>
      <w:r w:rsidR="00E754D1">
        <w:t xml:space="preserve">that </w:t>
      </w:r>
      <w:r w:rsidR="005B5F4D">
        <w:t>the data reported by Providers meets the minimum standard</w:t>
      </w:r>
      <w:r>
        <w:t>s</w:t>
      </w:r>
      <w:r w:rsidR="005B5F4D">
        <w:t>, prior to being stored in DE systems</w:t>
      </w:r>
      <w:r>
        <w:t xml:space="preserve">. </w:t>
      </w:r>
    </w:p>
    <w:p w14:paraId="46206596" w14:textId="70076503" w:rsidR="005B5F4D" w:rsidRDefault="00CE760E" w:rsidP="009D6D5A">
      <w:pPr>
        <w:pStyle w:val="Heading4"/>
      </w:pPr>
      <w:r>
        <w:t>A</w:t>
      </w:r>
      <w:r w:rsidR="005B5F4D">
        <w:t>dditional system validations and verifications of data by DE prior to the data being disclosed to Services Australia</w:t>
      </w:r>
      <w:r w:rsidR="00193D8D">
        <w:t xml:space="preserve"> and then further matching validations by Services Australia before the data is assigned to a customer record</w:t>
      </w:r>
      <w:r>
        <w:t>.</w:t>
      </w:r>
      <w:r w:rsidR="00E754D1">
        <w:t xml:space="preserve"> </w:t>
      </w:r>
    </w:p>
    <w:p w14:paraId="63E5FAB1" w14:textId="66BB299C" w:rsidR="00193D8D" w:rsidRDefault="00CE760E" w:rsidP="009D6D5A">
      <w:pPr>
        <w:pStyle w:val="Heading4"/>
      </w:pPr>
      <w:r>
        <w:t>U</w:t>
      </w:r>
      <w:r w:rsidR="008A49EF">
        <w:t xml:space="preserve">se and maintenance of audit logs for all transactions between DE and Services Australia. The audit logs specific to </w:t>
      </w:r>
      <w:r w:rsidR="00E754D1">
        <w:t>the P</w:t>
      </w:r>
      <w:r w:rsidR="008A49EF">
        <w:t>rogram contain the following information:</w:t>
      </w:r>
    </w:p>
    <w:p w14:paraId="08CF31EB" w14:textId="795A8FAF" w:rsidR="008A49EF" w:rsidRDefault="008A49EF" w:rsidP="009D6D5A">
      <w:pPr>
        <w:pStyle w:val="Heading5"/>
      </w:pPr>
      <w:r>
        <w:t xml:space="preserve">Customer Reference Number (CRN) relating to the customer match </w:t>
      </w:r>
      <w:proofErr w:type="gramStart"/>
      <w:r>
        <w:t>request</w:t>
      </w:r>
      <w:r w:rsidR="00E754D1">
        <w:t>;</w:t>
      </w:r>
      <w:proofErr w:type="gramEnd"/>
    </w:p>
    <w:p w14:paraId="0FBAC124" w14:textId="43066702" w:rsidR="008A49EF" w:rsidRDefault="00E754D1" w:rsidP="009D6D5A">
      <w:pPr>
        <w:pStyle w:val="Heading5"/>
      </w:pPr>
      <w:r>
        <w:t>t</w:t>
      </w:r>
      <w:r w:rsidR="008A49EF">
        <w:t xml:space="preserve">ransaction </w:t>
      </w:r>
      <w:proofErr w:type="gramStart"/>
      <w:r w:rsidR="008A49EF">
        <w:t>ID</w:t>
      </w:r>
      <w:r>
        <w:t>;</w:t>
      </w:r>
      <w:proofErr w:type="gramEnd"/>
    </w:p>
    <w:p w14:paraId="0A904179" w14:textId="4E5071E9" w:rsidR="008A49EF" w:rsidRDefault="00E754D1" w:rsidP="009D6D5A">
      <w:pPr>
        <w:pStyle w:val="Heading5"/>
      </w:pPr>
      <w:r>
        <w:t>t</w:t>
      </w:r>
      <w:r w:rsidR="008A49EF">
        <w:t>ime &amp; date of requests/</w:t>
      </w:r>
      <w:proofErr w:type="gramStart"/>
      <w:r w:rsidR="008A49EF">
        <w:t>responses</w:t>
      </w:r>
      <w:r>
        <w:t>;</w:t>
      </w:r>
      <w:proofErr w:type="gramEnd"/>
    </w:p>
    <w:p w14:paraId="5B2C65B2" w14:textId="3491C372" w:rsidR="008A49EF" w:rsidRDefault="00E754D1" w:rsidP="009D6D5A">
      <w:pPr>
        <w:pStyle w:val="Heading5"/>
      </w:pPr>
      <w:r>
        <w:t>m</w:t>
      </w:r>
      <w:r w:rsidR="008A49EF">
        <w:t>atching outcome (including match score</w:t>
      </w:r>
      <w:proofErr w:type="gramStart"/>
      <w:r w:rsidR="008A49EF">
        <w:t>)</w:t>
      </w:r>
      <w:r>
        <w:t>;</w:t>
      </w:r>
      <w:proofErr w:type="gramEnd"/>
    </w:p>
    <w:p w14:paraId="7976DAF8" w14:textId="353839E3" w:rsidR="00D45A26" w:rsidRDefault="00D45A26" w:rsidP="009D6D5A">
      <w:pPr>
        <w:pStyle w:val="Heading5"/>
      </w:pPr>
      <w:r>
        <w:t>List of elements transmitted to DE, as part of the matching request</w:t>
      </w:r>
    </w:p>
    <w:p w14:paraId="514633FB" w14:textId="0920DB22" w:rsidR="008A49EF" w:rsidRDefault="00E754D1" w:rsidP="009D6D5A">
      <w:pPr>
        <w:pStyle w:val="Heading5"/>
      </w:pPr>
      <w:r>
        <w:t>l</w:t>
      </w:r>
      <w:r w:rsidR="008A49EF">
        <w:t>ist of elements transmitted to Services Australia</w:t>
      </w:r>
      <w:r w:rsidR="00D45A26">
        <w:t>, as part of the matching response</w:t>
      </w:r>
      <w:r>
        <w:t xml:space="preserve">; and </w:t>
      </w:r>
    </w:p>
    <w:p w14:paraId="0D45079E" w14:textId="1E406366" w:rsidR="008A49EF" w:rsidRDefault="00E754D1" w:rsidP="009D6D5A">
      <w:pPr>
        <w:pStyle w:val="Heading5"/>
      </w:pPr>
      <w:r>
        <w:t>d</w:t>
      </w:r>
      <w:r w:rsidR="008A49EF">
        <w:t xml:space="preserve">estination of transmitted </w:t>
      </w:r>
      <w:proofErr w:type="gramStart"/>
      <w:r w:rsidR="008A49EF">
        <w:t>elements</w:t>
      </w:r>
      <w:r>
        <w:t>;</w:t>
      </w:r>
      <w:proofErr w:type="gramEnd"/>
    </w:p>
    <w:p w14:paraId="2C41ED4D" w14:textId="1C2D7433" w:rsidR="005B5F4D" w:rsidRDefault="00F23B6C" w:rsidP="009D6D5A">
      <w:pPr>
        <w:pStyle w:val="Heading4"/>
      </w:pPr>
      <w:bookmarkStart w:id="116" w:name="_Hlk160703356"/>
      <w:r>
        <w:t>O</w:t>
      </w:r>
      <w:r w:rsidR="00193D8D">
        <w:t>pportunities for customers to verify the data prior to administrative action being applied, where the data may have an impact on payment eligibility or entitlement, this includes:</w:t>
      </w:r>
    </w:p>
    <w:p w14:paraId="78395F96" w14:textId="31A78DA7" w:rsidR="00193D8D" w:rsidRDefault="00E754D1" w:rsidP="009D6D5A">
      <w:pPr>
        <w:pStyle w:val="Heading5"/>
      </w:pPr>
      <w:r>
        <w:t>p</w:t>
      </w:r>
      <w:r w:rsidR="00193D8D">
        <w:t xml:space="preserve">re-population of the </w:t>
      </w:r>
      <w:r w:rsidR="00FE5EDC">
        <w:t>o</w:t>
      </w:r>
      <w:r w:rsidR="00193D8D">
        <w:t xml:space="preserve">nline </w:t>
      </w:r>
      <w:r w:rsidR="00FE5EDC">
        <w:t>s</w:t>
      </w:r>
      <w:r w:rsidR="00193D8D">
        <w:t xml:space="preserve">tudent </w:t>
      </w:r>
      <w:r w:rsidR="00FE5EDC">
        <w:t>c</w:t>
      </w:r>
      <w:r w:rsidR="00193D8D">
        <w:t xml:space="preserve">laim for the customers to review and edit, prior to the claim being </w:t>
      </w:r>
      <w:proofErr w:type="gramStart"/>
      <w:r w:rsidR="00193D8D">
        <w:t>submitted</w:t>
      </w:r>
      <w:r>
        <w:t>;</w:t>
      </w:r>
      <w:proofErr w:type="gramEnd"/>
    </w:p>
    <w:p w14:paraId="4C14FBAC" w14:textId="2397185F" w:rsidR="00193D8D" w:rsidRDefault="00FE5EDC" w:rsidP="009D6D5A">
      <w:pPr>
        <w:pStyle w:val="Heading5"/>
      </w:pPr>
      <w:r>
        <w:t>p</w:t>
      </w:r>
      <w:r w:rsidR="00193D8D">
        <w:t xml:space="preserve">ayment </w:t>
      </w:r>
      <w:r>
        <w:t>r</w:t>
      </w:r>
      <w:r w:rsidR="00193D8D">
        <w:t xml:space="preserve">eviews that can be accessed by the </w:t>
      </w:r>
      <w:r>
        <w:t>c</w:t>
      </w:r>
      <w:r w:rsidR="00193D8D">
        <w:t xml:space="preserve">ustomer through their electronic notification or online account. These reviews provide the customer the opportunity to verify the data or provide evidence to the </w:t>
      </w:r>
      <w:proofErr w:type="gramStart"/>
      <w:r w:rsidR="00193D8D">
        <w:t>contrary, before</w:t>
      </w:r>
      <w:proofErr w:type="gramEnd"/>
      <w:r w:rsidR="00193D8D">
        <w:t xml:space="preserve"> the data is applied</w:t>
      </w:r>
      <w:r w:rsidR="00B857D4">
        <w:t xml:space="preserve"> as referenced in 6.3.7.</w:t>
      </w:r>
    </w:p>
    <w:p w14:paraId="31FCFC96" w14:textId="45AC2BE0" w:rsidR="00BF3FEF" w:rsidRPr="00521140" w:rsidRDefault="00294045" w:rsidP="00113D60">
      <w:pPr>
        <w:pStyle w:val="Heading2"/>
      </w:pPr>
      <w:bookmarkStart w:id="117" w:name="_Toc484602707"/>
      <w:bookmarkStart w:id="118" w:name="_Toc58929614"/>
      <w:bookmarkEnd w:id="115"/>
      <w:bookmarkEnd w:id="116"/>
      <w:r w:rsidRPr="00E4650A">
        <w:t>Security and confidentiality</w:t>
      </w:r>
      <w:bookmarkEnd w:id="117"/>
      <w:bookmarkEnd w:id="118"/>
    </w:p>
    <w:p w14:paraId="5172CA9A" w14:textId="475B45E2" w:rsidR="00913D3B" w:rsidRDefault="0059298D" w:rsidP="009D6D5A">
      <w:pPr>
        <w:pStyle w:val="Heading3"/>
      </w:pPr>
      <w:r>
        <w:t>Services Australia’s</w:t>
      </w:r>
      <w:r w:rsidR="00DC53D8">
        <w:t xml:space="preserve"> </w:t>
      </w:r>
      <w:r w:rsidR="00FC65B2">
        <w:t xml:space="preserve">and DE’s </w:t>
      </w:r>
      <w:r w:rsidR="00131E96">
        <w:t>core</w:t>
      </w:r>
      <w:r w:rsidR="00294045" w:rsidRPr="00026FAA">
        <w:t xml:space="preserve"> </w:t>
      </w:r>
      <w:r w:rsidR="00B76DA2">
        <w:t xml:space="preserve">ICT </w:t>
      </w:r>
      <w:r w:rsidR="00294045" w:rsidRPr="00026FAA">
        <w:t xml:space="preserve">systems </w:t>
      </w:r>
      <w:r w:rsidR="00913D3B">
        <w:t>have extensive security features to ensure that any information stored within the systems is not:</w:t>
      </w:r>
    </w:p>
    <w:p w14:paraId="3BD3540E" w14:textId="77777777" w:rsidR="00913D3B" w:rsidRDefault="00913D3B" w:rsidP="009D6D5A">
      <w:pPr>
        <w:pStyle w:val="Heading4"/>
      </w:pPr>
      <w:r>
        <w:t xml:space="preserve">subject to accidental or intentional </w:t>
      </w:r>
      <w:proofErr w:type="gramStart"/>
      <w:r>
        <w:t>modification;</w:t>
      </w:r>
      <w:proofErr w:type="gramEnd"/>
    </w:p>
    <w:p w14:paraId="354C7C52" w14:textId="1394BAC8" w:rsidR="00913D3B" w:rsidRDefault="00913D3B" w:rsidP="009D6D5A">
      <w:pPr>
        <w:pStyle w:val="Heading4"/>
      </w:pPr>
      <w:r>
        <w:t>accessed by DE or Services Australia staff unless such access is necessary for the conduct of the Program or any resulting actions; and/or</w:t>
      </w:r>
    </w:p>
    <w:p w14:paraId="524A2A75" w14:textId="77777777" w:rsidR="00913D3B" w:rsidRPr="00913D3B" w:rsidRDefault="00913D3B" w:rsidP="009D6D5A">
      <w:pPr>
        <w:pStyle w:val="Heading4"/>
      </w:pPr>
      <w:r>
        <w:t xml:space="preserve">disclosed otherwise than as is </w:t>
      </w:r>
      <w:r w:rsidR="00CE760E">
        <w:t>contemplated by</w:t>
      </w:r>
      <w:r>
        <w:t xml:space="preserve"> this protocol. </w:t>
      </w:r>
    </w:p>
    <w:p w14:paraId="024BAE16" w14:textId="06F07532" w:rsidR="00294045" w:rsidRPr="00026FAA" w:rsidRDefault="00913D3B" w:rsidP="009D6D5A">
      <w:pPr>
        <w:pStyle w:val="Heading3"/>
      </w:pPr>
      <w:r>
        <w:t>The key security features of the ICT systems are as follows</w:t>
      </w:r>
      <w:r w:rsidR="00294045" w:rsidRPr="00026FAA">
        <w:t>:</w:t>
      </w:r>
    </w:p>
    <w:p w14:paraId="2C6244D4" w14:textId="77777777" w:rsidR="006D7C96" w:rsidRPr="006D7C96" w:rsidRDefault="00913D3B" w:rsidP="009D6D5A">
      <w:pPr>
        <w:pStyle w:val="Heading4"/>
      </w:pPr>
      <w:r>
        <w:t xml:space="preserve">there are </w:t>
      </w:r>
      <w:r w:rsidR="00294045" w:rsidRPr="006D7C96">
        <w:t xml:space="preserve">system access controls and security </w:t>
      </w:r>
      <w:proofErr w:type="gramStart"/>
      <w:r w:rsidR="00294045" w:rsidRPr="006D7C96">
        <w:t>groupings</w:t>
      </w:r>
      <w:r w:rsidR="00DE44FC">
        <w:t>;</w:t>
      </w:r>
      <w:proofErr w:type="gramEnd"/>
    </w:p>
    <w:p w14:paraId="50F753C1" w14:textId="77777777" w:rsidR="00521140" w:rsidRDefault="00913D3B" w:rsidP="009D6D5A">
      <w:pPr>
        <w:pStyle w:val="Heading4"/>
      </w:pPr>
      <w:r>
        <w:t xml:space="preserve">there are </w:t>
      </w:r>
      <w:r w:rsidR="00294045" w:rsidRPr="006D7C96">
        <w:t>login identification codes and password protection</w:t>
      </w:r>
      <w:r>
        <w:t xml:space="preserve"> </w:t>
      </w:r>
      <w:proofErr w:type="gramStart"/>
      <w:r>
        <w:t>is</w:t>
      </w:r>
      <w:proofErr w:type="gramEnd"/>
      <w:r>
        <w:t xml:space="preserve"> enabled</w:t>
      </w:r>
      <w:r w:rsidR="00DE44FC">
        <w:t xml:space="preserve">; </w:t>
      </w:r>
    </w:p>
    <w:p w14:paraId="3B5502AF" w14:textId="2DEEA1C9" w:rsidR="006D7C96" w:rsidRPr="006D7C96" w:rsidRDefault="00521140" w:rsidP="009D6D5A">
      <w:pPr>
        <w:pStyle w:val="Heading4"/>
      </w:pPr>
      <w:r>
        <w:t xml:space="preserve">data </w:t>
      </w:r>
      <w:r w:rsidR="00913D3B">
        <w:t xml:space="preserve">is encrypted </w:t>
      </w:r>
      <w:r>
        <w:t xml:space="preserve">at rest and in-flight; </w:t>
      </w:r>
      <w:r w:rsidR="00DE44FC">
        <w:t>and</w:t>
      </w:r>
    </w:p>
    <w:p w14:paraId="4754B8CF" w14:textId="348F8930" w:rsidR="00131E96" w:rsidRPr="00F64FDE" w:rsidRDefault="00913D3B" w:rsidP="009D6D5A">
      <w:pPr>
        <w:pStyle w:val="Heading4"/>
        <w:rPr>
          <w:rFonts w:ascii="Times New Roman" w:hAnsi="Times New Roman" w:cs="Times New Roman"/>
          <w:sz w:val="24"/>
          <w:szCs w:val="24"/>
        </w:rPr>
      </w:pPr>
      <w:r>
        <w:t xml:space="preserve">there are </w:t>
      </w:r>
      <w:r w:rsidR="00294045" w:rsidRPr="00F54927">
        <w:t>full audit trails of data files and system accesses</w:t>
      </w:r>
      <w:r w:rsidR="00CB2DF9" w:rsidRPr="00F54927">
        <w:t>.</w:t>
      </w:r>
    </w:p>
    <w:p w14:paraId="018EC50B" w14:textId="7F959C99" w:rsidR="00335180" w:rsidRDefault="00335180">
      <w:pPr>
        <w:rPr>
          <w:rFonts w:cstheme="minorBidi"/>
          <w:lang w:eastAsia="en-US"/>
        </w:rPr>
      </w:pPr>
      <w:r>
        <w:lastRenderedPageBreak/>
        <w:br w:type="page"/>
      </w:r>
    </w:p>
    <w:p w14:paraId="1F3AFC2F" w14:textId="5EB26D09" w:rsidR="00335180" w:rsidRDefault="00335180" w:rsidP="00335180">
      <w:pPr>
        <w:pStyle w:val="DHSBodytext"/>
        <w:rPr>
          <w:i/>
        </w:rPr>
      </w:pPr>
    </w:p>
    <w:p w14:paraId="0BA6F7C8" w14:textId="198CEFED" w:rsidR="006F43F9" w:rsidRDefault="006F43F9" w:rsidP="00926FAE">
      <w:pPr>
        <w:pStyle w:val="Heading1"/>
        <w:numPr>
          <w:ilvl w:val="0"/>
          <w:numId w:val="0"/>
        </w:numPr>
        <w:ind w:left="851" w:hanging="851"/>
      </w:pPr>
      <w:r>
        <w:t>Appendix B -</w:t>
      </w:r>
      <w:r w:rsidR="005F3AE5">
        <w:t xml:space="preserve"> </w:t>
      </w:r>
      <w:r>
        <w:t>Notifications</w:t>
      </w:r>
    </w:p>
    <w:p w14:paraId="7E0DDF5D" w14:textId="1855F158" w:rsidR="005E350E" w:rsidRDefault="005E350E" w:rsidP="00F64FDE">
      <w:pPr>
        <w:pStyle w:val="DHSHeadinglevel2"/>
      </w:pPr>
      <w:r w:rsidRPr="006E117F">
        <w:t>Example of letters</w:t>
      </w:r>
    </w:p>
    <w:p w14:paraId="40AA49D6" w14:textId="560928BD" w:rsidR="009E79D7" w:rsidRDefault="009E79D7" w:rsidP="009E79D7">
      <w:pPr>
        <w:pStyle w:val="DHSBodytext"/>
        <w:rPr>
          <w:sz w:val="20"/>
          <w:szCs w:val="20"/>
          <w:lang w:eastAsia="en-US"/>
        </w:rPr>
      </w:pPr>
      <w:r>
        <w:rPr>
          <w:sz w:val="20"/>
          <w:szCs w:val="20"/>
          <w:lang w:eastAsia="en-US"/>
        </w:rPr>
        <w:t xml:space="preserve">The following example notifications will be issued when </w:t>
      </w:r>
      <w:r w:rsidR="001617C5">
        <w:rPr>
          <w:sz w:val="20"/>
          <w:szCs w:val="20"/>
          <w:lang w:eastAsia="en-US"/>
        </w:rPr>
        <w:t>a determination is made under s</w:t>
      </w:r>
      <w:r>
        <w:rPr>
          <w:sz w:val="20"/>
          <w:szCs w:val="20"/>
          <w:lang w:eastAsia="en-US"/>
        </w:rPr>
        <w:t>ection 6A of the Social Security (Administration) Act 1999.</w:t>
      </w:r>
      <w:r w:rsidR="001617C5">
        <w:rPr>
          <w:sz w:val="20"/>
          <w:szCs w:val="20"/>
          <w:lang w:eastAsia="en-US"/>
        </w:rPr>
        <w:t xml:space="preserve"> </w:t>
      </w:r>
    </w:p>
    <w:p w14:paraId="218A40A2" w14:textId="77777777" w:rsidR="005E350E" w:rsidRDefault="005E350E" w:rsidP="00335180">
      <w:pPr>
        <w:pStyle w:val="DHSBodytext"/>
        <w:rPr>
          <w:i/>
        </w:rPr>
      </w:pPr>
    </w:p>
    <w:p w14:paraId="5CE65626" w14:textId="77777777" w:rsidR="002F0A59" w:rsidRPr="00D836CE" w:rsidRDefault="002F0A59" w:rsidP="002F0A59">
      <w:pPr>
        <w:pStyle w:val="BodySingle"/>
        <w:spacing w:before="0" w:after="0"/>
        <w:rPr>
          <w:color w:val="008000"/>
        </w:rPr>
      </w:pPr>
      <w:r w:rsidRPr="004803CF">
        <w:rPr>
          <w:sz w:val="18"/>
          <w:szCs w:val="18"/>
        </w:rPr>
        <w:t>If not delivered:</w:t>
      </w:r>
      <w:r w:rsidRPr="00D836CE">
        <w:rPr>
          <w:b/>
          <w:color w:val="008000"/>
          <w:sz w:val="18"/>
          <w:szCs w:val="18"/>
        </w:rPr>
        <w:t xml:space="preserve"> </w:t>
      </w:r>
      <w:r w:rsidRPr="00D836CE">
        <w:rPr>
          <w:color w:val="008000"/>
        </w:rPr>
        <w:t>{RETURNTOSENDERADDRESS}</w:t>
      </w:r>
    </w:p>
    <w:p w14:paraId="0B83E0A6" w14:textId="77777777" w:rsidR="002F0A59" w:rsidRPr="00D836CE" w:rsidRDefault="002F0A59" w:rsidP="002F0A59">
      <w:pPr>
        <w:pStyle w:val="BodySingle"/>
        <w:spacing w:before="0" w:after="0"/>
        <w:rPr>
          <w:color w:val="008000"/>
        </w:rPr>
      </w:pPr>
      <w:r>
        <w:rPr>
          <w:noProof/>
          <w:lang w:val="en-AU"/>
        </w:rPr>
        <w:drawing>
          <wp:anchor distT="0" distB="0" distL="114300" distR="114300" simplePos="0" relativeHeight="251663360" behindDoc="0" locked="0" layoutInCell="1" allowOverlap="1" wp14:anchorId="34E8A95D" wp14:editId="5CB61C1E">
            <wp:simplePos x="0" y="0"/>
            <wp:positionH relativeFrom="column">
              <wp:posOffset>4029075</wp:posOffset>
            </wp:positionH>
            <wp:positionV relativeFrom="paragraph">
              <wp:posOffset>63500</wp:posOffset>
            </wp:positionV>
            <wp:extent cx="1480505" cy="1407795"/>
            <wp:effectExtent l="0" t="0" r="5715" b="1905"/>
            <wp:wrapNone/>
            <wp:docPr id="4" name="Picture 3" descr="A black and white logo with a kangaroo and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white logo with a kangaroo and an anima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505" cy="1407795"/>
                    </a:xfrm>
                    <a:prstGeom prst="rect">
                      <a:avLst/>
                    </a:prstGeom>
                  </pic:spPr>
                </pic:pic>
              </a:graphicData>
            </a:graphic>
            <wp14:sizeRelH relativeFrom="margin">
              <wp14:pctWidth>0</wp14:pctWidth>
            </wp14:sizeRelH>
            <wp14:sizeRelV relativeFrom="margin">
              <wp14:pctHeight>0</wp14:pctHeight>
            </wp14:sizeRelV>
          </wp:anchor>
        </w:drawing>
      </w:r>
      <w:r w:rsidRPr="00D836CE">
        <w:rPr>
          <w:color w:val="008000"/>
        </w:rPr>
        <w:t>{RETURNADDRESSBARCODE}</w:t>
      </w:r>
    </w:p>
    <w:p w14:paraId="5D4E08E9" w14:textId="77777777" w:rsidR="002F0A59" w:rsidRPr="00D836CE" w:rsidRDefault="002F0A59" w:rsidP="002F0A59">
      <w:pPr>
        <w:pStyle w:val="BodySingle"/>
        <w:spacing w:before="0" w:after="0"/>
        <w:rPr>
          <w:color w:val="008000"/>
        </w:rPr>
      </w:pPr>
      <w:r w:rsidRPr="00D836CE">
        <w:rPr>
          <w:color w:val="008000"/>
        </w:rPr>
        <w:tab/>
        <w:t>{FORMID}</w:t>
      </w:r>
    </w:p>
    <w:p w14:paraId="15B8ACDC" w14:textId="77777777" w:rsidR="002F0A59" w:rsidRPr="00D836CE" w:rsidRDefault="002F0A59" w:rsidP="002F0A59">
      <w:pPr>
        <w:pStyle w:val="BodySingle"/>
        <w:spacing w:before="0" w:after="0"/>
        <w:rPr>
          <w:color w:val="008000"/>
        </w:rPr>
      </w:pPr>
    </w:p>
    <w:p w14:paraId="68CC4212" w14:textId="77777777" w:rsidR="002F0A59" w:rsidRPr="00D836CE" w:rsidRDefault="002F0A59" w:rsidP="002F0A59">
      <w:pPr>
        <w:pStyle w:val="BodySingle"/>
        <w:spacing w:before="0" w:after="0"/>
      </w:pPr>
      <w:r w:rsidRPr="00D836CE">
        <w:t>Customer</w:t>
      </w:r>
      <w:r>
        <w:t xml:space="preserve"> </w:t>
      </w:r>
      <w:r w:rsidRPr="00D836CE">
        <w:t>Reference</w:t>
      </w:r>
      <w:r>
        <w:t xml:space="preserve"> Number</w:t>
      </w:r>
      <w:r w:rsidRPr="00D836CE">
        <w:t xml:space="preserve">: </w:t>
      </w:r>
      <w:r w:rsidRPr="00D836CE">
        <w:rPr>
          <w:b/>
          <w:color w:val="008000"/>
        </w:rPr>
        <w:t>{REFERENCE.NUMBER}</w:t>
      </w:r>
    </w:p>
    <w:p w14:paraId="7F0F97AF" w14:textId="77777777" w:rsidR="002F0A59" w:rsidRPr="00D836CE" w:rsidRDefault="002F0A59" w:rsidP="002F0A59">
      <w:pPr>
        <w:pStyle w:val="BodySingle"/>
        <w:spacing w:before="0" w:after="0"/>
      </w:pPr>
    </w:p>
    <w:p w14:paraId="143B0B0A" w14:textId="77777777" w:rsidR="002F0A59" w:rsidRPr="00D836CE" w:rsidRDefault="002F0A59" w:rsidP="002F0A59">
      <w:pPr>
        <w:pStyle w:val="DefaultText"/>
        <w:rPr>
          <w:rFonts w:ascii="Arial" w:hAnsi="Arial" w:cs="Arial"/>
          <w:color w:val="FF0000"/>
          <w:lang w:val="en-US"/>
        </w:rPr>
      </w:pPr>
      <w:r w:rsidRPr="00D836CE">
        <w:rPr>
          <w:color w:val="008000"/>
        </w:rPr>
        <w:t xml:space="preserve"> </w:t>
      </w:r>
      <w:r w:rsidRPr="00D836CE">
        <w:rPr>
          <w:rFonts w:ascii="Arial" w:hAnsi="Arial" w:cs="Arial"/>
          <w:color w:val="FF0000"/>
          <w:lang w:val="en-US"/>
        </w:rPr>
        <w:t>&lt;NOMCLI:</w:t>
      </w:r>
    </w:p>
    <w:p w14:paraId="382338DA" w14:textId="77777777" w:rsidR="002F0A59" w:rsidRPr="00D836CE" w:rsidRDefault="002F0A59" w:rsidP="002F0A59">
      <w:pPr>
        <w:pStyle w:val="DefaultText"/>
        <w:rPr>
          <w:rFonts w:ascii="Arial" w:hAnsi="Arial" w:cs="Arial"/>
          <w:lang w:val="en-US"/>
        </w:rPr>
      </w:pPr>
      <w:r w:rsidRPr="00D836CE">
        <w:rPr>
          <w:rFonts w:ascii="Arial" w:hAnsi="Arial" w:cs="Arial"/>
          <w:color w:val="008000"/>
          <w:lang w:val="en-US"/>
        </w:rPr>
        <w:t>{RECIP.BARCODE}</w:t>
      </w:r>
    </w:p>
    <w:p w14:paraId="3A48E234" w14:textId="77777777" w:rsidR="002F0A59" w:rsidRPr="00D836CE" w:rsidRDefault="002F0A59" w:rsidP="002F0A59">
      <w:pPr>
        <w:pStyle w:val="DefaultText"/>
        <w:rPr>
          <w:rFonts w:ascii="Arial" w:hAnsi="Arial" w:cs="Arial"/>
          <w:lang w:val="en-US"/>
        </w:rPr>
      </w:pPr>
      <w:r w:rsidRPr="00D836CE">
        <w:rPr>
          <w:rFonts w:ascii="Arial" w:hAnsi="Arial" w:cs="Arial"/>
          <w:color w:val="008000"/>
          <w:lang w:val="en-US"/>
        </w:rPr>
        <w:t>{NOMINEE.NAME}</w:t>
      </w:r>
    </w:p>
    <w:p w14:paraId="191ACB05" w14:textId="77777777" w:rsidR="002F0A59" w:rsidRPr="00D836CE" w:rsidRDefault="002F0A59" w:rsidP="002F0A59">
      <w:pPr>
        <w:pStyle w:val="DefaultText"/>
        <w:rPr>
          <w:rFonts w:ascii="Arial" w:hAnsi="Arial" w:cs="Arial"/>
          <w:lang w:val="en-US"/>
        </w:rPr>
      </w:pPr>
      <w:r w:rsidRPr="00D836CE">
        <w:rPr>
          <w:rFonts w:ascii="Arial" w:hAnsi="Arial" w:cs="Arial"/>
          <w:color w:val="008000"/>
          <w:lang w:val="en-US"/>
        </w:rPr>
        <w:t>{NOMINEE.ADDRESS}</w:t>
      </w:r>
    </w:p>
    <w:p w14:paraId="33EB4866" w14:textId="77777777" w:rsidR="002F0A59" w:rsidRPr="00D836CE" w:rsidRDefault="002F0A59" w:rsidP="002F0A59">
      <w:pPr>
        <w:pStyle w:val="DefaultText"/>
        <w:rPr>
          <w:rFonts w:ascii="Arial" w:hAnsi="Arial" w:cs="Arial"/>
          <w:color w:val="FF0000"/>
          <w:lang w:val="en-US"/>
        </w:rPr>
      </w:pPr>
      <w:r w:rsidRPr="00D836CE">
        <w:rPr>
          <w:rFonts w:ascii="Arial" w:hAnsi="Arial" w:cs="Arial"/>
          <w:color w:val="FF0000"/>
          <w:lang w:val="en-US"/>
        </w:rPr>
        <w:t>!</w:t>
      </w:r>
    </w:p>
    <w:p w14:paraId="644532C4" w14:textId="77777777" w:rsidR="002F0A59" w:rsidRPr="00D836CE" w:rsidRDefault="002F0A59" w:rsidP="002F0A59">
      <w:pPr>
        <w:pStyle w:val="DefaultText"/>
        <w:rPr>
          <w:rFonts w:ascii="Arial" w:hAnsi="Arial" w:cs="Arial"/>
          <w:lang w:val="en-US"/>
        </w:rPr>
      </w:pPr>
      <w:r w:rsidRPr="00D836CE">
        <w:rPr>
          <w:rFonts w:ascii="Arial" w:hAnsi="Arial" w:cs="Arial"/>
          <w:color w:val="008000"/>
          <w:lang w:val="en-US"/>
        </w:rPr>
        <w:t>{RECIP.BARCODE}</w:t>
      </w:r>
    </w:p>
    <w:p w14:paraId="4DB96E81" w14:textId="77777777" w:rsidR="002F0A59" w:rsidRPr="00D836CE" w:rsidRDefault="002F0A59" w:rsidP="002F0A59">
      <w:pPr>
        <w:pStyle w:val="DefaultText"/>
        <w:rPr>
          <w:rFonts w:ascii="Arial" w:hAnsi="Arial" w:cs="Arial"/>
          <w:lang w:val="en-US"/>
        </w:rPr>
      </w:pPr>
      <w:r w:rsidRPr="00D836CE">
        <w:rPr>
          <w:rFonts w:ascii="Arial" w:hAnsi="Arial" w:cs="Arial"/>
          <w:color w:val="008000"/>
          <w:lang w:val="en-US"/>
        </w:rPr>
        <w:t>{</w:t>
      </w:r>
      <w:proofErr w:type="gramStart"/>
      <w:r w:rsidRPr="00D836CE">
        <w:rPr>
          <w:rFonts w:ascii="Arial" w:hAnsi="Arial" w:cs="Arial"/>
          <w:color w:val="008000"/>
          <w:lang w:val="en-US"/>
        </w:rPr>
        <w:t>CLIENT.TITLE.FULLNAME</w:t>
      </w:r>
      <w:proofErr w:type="gramEnd"/>
      <w:r w:rsidRPr="00D836CE">
        <w:rPr>
          <w:rFonts w:ascii="Arial" w:hAnsi="Arial" w:cs="Arial"/>
          <w:color w:val="008000"/>
          <w:lang w:val="en-US"/>
        </w:rPr>
        <w:t>}</w:t>
      </w:r>
    </w:p>
    <w:p w14:paraId="5DD13AE1" w14:textId="77777777" w:rsidR="002F0A59" w:rsidRPr="00D836CE" w:rsidRDefault="002F0A59" w:rsidP="002F0A59">
      <w:pPr>
        <w:pStyle w:val="DefaultText"/>
        <w:rPr>
          <w:rFonts w:ascii="Arial" w:hAnsi="Arial" w:cs="Arial"/>
          <w:lang w:val="en-US"/>
        </w:rPr>
      </w:pPr>
      <w:r w:rsidRPr="00D836CE">
        <w:rPr>
          <w:rFonts w:ascii="Arial" w:hAnsi="Arial" w:cs="Arial"/>
          <w:color w:val="008000"/>
          <w:lang w:val="en-US"/>
        </w:rPr>
        <w:t>{CLIENT.POST.ADD}</w:t>
      </w:r>
    </w:p>
    <w:p w14:paraId="3ECCB8C8" w14:textId="77777777" w:rsidR="002F0A59" w:rsidRPr="00D836CE" w:rsidRDefault="002F0A59" w:rsidP="002F0A59">
      <w:pPr>
        <w:pStyle w:val="BodySingle"/>
        <w:spacing w:before="0" w:after="0"/>
        <w:rPr>
          <w:color w:val="008000"/>
        </w:rPr>
      </w:pPr>
      <w:r w:rsidRPr="00D836CE">
        <w:rPr>
          <w:color w:val="FF0000"/>
        </w:rPr>
        <w:t>&gt;</w:t>
      </w:r>
    </w:p>
    <w:p w14:paraId="4ED9B1D6" w14:textId="77777777" w:rsidR="002F0A59" w:rsidRPr="00D836CE" w:rsidRDefault="002F0A59" w:rsidP="002F0A59">
      <w:pPr>
        <w:pStyle w:val="BodySingle"/>
        <w:spacing w:before="0" w:after="0"/>
        <w:rPr>
          <w:sz w:val="20"/>
          <w:szCs w:val="20"/>
        </w:rPr>
      </w:pPr>
    </w:p>
    <w:p w14:paraId="10884F23" w14:textId="77777777" w:rsidR="002F0A59" w:rsidRDefault="002F0A59" w:rsidP="002F0A59">
      <w:pPr>
        <w:pStyle w:val="Header"/>
        <w:tabs>
          <w:tab w:val="left" w:pos="720"/>
          <w:tab w:val="right" w:pos="9781"/>
        </w:tabs>
        <w:ind w:right="425"/>
        <w:rPr>
          <w:rFonts w:ascii="MS Sans Serif" w:hAnsi="MS Sans Serif"/>
          <w:color w:val="008000"/>
          <w:szCs w:val="22"/>
          <w:lang w:val="en-US"/>
        </w:rPr>
      </w:pPr>
      <w:r w:rsidRPr="00D836CE">
        <w:rPr>
          <w:rFonts w:cs="Arial"/>
          <w:color w:val="008000"/>
          <w:szCs w:val="22"/>
          <w:lang w:val="en-US"/>
        </w:rPr>
        <w:t>{PRINT.DATE</w:t>
      </w:r>
      <w:r w:rsidRPr="00D836CE">
        <w:rPr>
          <w:rFonts w:ascii="MS Sans Serif" w:hAnsi="MS Sans Serif"/>
          <w:color w:val="008000"/>
          <w:szCs w:val="22"/>
          <w:lang w:val="en-US"/>
        </w:rPr>
        <w:t>}</w:t>
      </w:r>
    </w:p>
    <w:p w14:paraId="5850B6DF" w14:textId="77777777" w:rsidR="002F0A59" w:rsidRDefault="002F0A59" w:rsidP="002F0A59">
      <w:pPr>
        <w:pStyle w:val="Header"/>
        <w:tabs>
          <w:tab w:val="left" w:pos="720"/>
          <w:tab w:val="right" w:pos="9781"/>
        </w:tabs>
        <w:ind w:right="425"/>
        <w:rPr>
          <w:rFonts w:ascii="MS Sans Serif" w:hAnsi="MS Sans Serif"/>
          <w:color w:val="008000"/>
          <w:szCs w:val="22"/>
          <w:lang w:val="en-US"/>
        </w:rPr>
      </w:pPr>
    </w:p>
    <w:tbl>
      <w:tblPr>
        <w:tblStyle w:val="TableGrid"/>
        <w:tblW w:w="0" w:type="auto"/>
        <w:tblLook w:val="04A0" w:firstRow="1" w:lastRow="0" w:firstColumn="1" w:lastColumn="0" w:noHBand="0" w:noVBand="1"/>
      </w:tblPr>
      <w:tblGrid>
        <w:gridCol w:w="9016"/>
      </w:tblGrid>
      <w:tr w:rsidR="002F0A59" w14:paraId="14940B8C" w14:textId="77777777" w:rsidTr="00175059">
        <w:tc>
          <w:tcPr>
            <w:tcW w:w="9016" w:type="dxa"/>
          </w:tcPr>
          <w:p w14:paraId="2B847BF4" w14:textId="77777777" w:rsidR="002F0A59" w:rsidRDefault="002F0A59" w:rsidP="00175059">
            <w:pPr>
              <w:pStyle w:val="Header"/>
              <w:tabs>
                <w:tab w:val="left" w:pos="720"/>
                <w:tab w:val="right" w:pos="9781"/>
              </w:tabs>
              <w:ind w:right="425"/>
              <w:rPr>
                <w:rFonts w:cs="Arial"/>
                <w:color w:val="FF0000"/>
                <w:lang w:val="en-US"/>
              </w:rPr>
            </w:pPr>
            <w:r>
              <w:rPr>
                <w:rFonts w:cs="Arial"/>
                <w:color w:val="FF0000"/>
                <w:lang w:val="en-US"/>
              </w:rPr>
              <w:t>&lt;NOMINEE&gt; = NOC with no customer suppression, display:</w:t>
            </w:r>
          </w:p>
        </w:tc>
      </w:tr>
      <w:tr w:rsidR="002F0A59" w14:paraId="1F886DC9" w14:textId="77777777" w:rsidTr="00175059">
        <w:tc>
          <w:tcPr>
            <w:tcW w:w="9016" w:type="dxa"/>
          </w:tcPr>
          <w:p w14:paraId="0E8BAD6A" w14:textId="77777777" w:rsidR="002F0A59" w:rsidRDefault="002F0A59" w:rsidP="00175059">
            <w:pPr>
              <w:pStyle w:val="Header"/>
              <w:tabs>
                <w:tab w:val="left" w:pos="720"/>
                <w:tab w:val="right" w:pos="9781"/>
              </w:tabs>
              <w:ind w:right="425"/>
              <w:rPr>
                <w:rFonts w:cs="Arial"/>
                <w:color w:val="FF0000"/>
                <w:lang w:val="en-US"/>
              </w:rPr>
            </w:pPr>
            <w:r w:rsidRPr="00D836CE">
              <w:rPr>
                <w:rFonts w:cs="Arial"/>
                <w:color w:val="000000"/>
                <w:lang w:val="en-US"/>
              </w:rPr>
              <w:t xml:space="preserve">This is a copy of the letter we have sent to </w:t>
            </w:r>
            <w:r w:rsidRPr="00D836CE">
              <w:rPr>
                <w:rFonts w:cs="Arial"/>
                <w:color w:val="008000"/>
                <w:lang w:val="en-US"/>
              </w:rPr>
              <w:t>{CLIENT.FULLNAME}</w:t>
            </w:r>
            <w:r w:rsidRPr="00D836CE">
              <w:rPr>
                <w:rFonts w:cs="Arial"/>
                <w:color w:val="000000"/>
                <w:lang w:val="en-US"/>
              </w:rPr>
              <w:t xml:space="preserve"> for whom you are the nominee.</w:t>
            </w:r>
          </w:p>
        </w:tc>
      </w:tr>
      <w:tr w:rsidR="002F0A59" w14:paraId="27811E7C" w14:textId="77777777" w:rsidTr="00175059">
        <w:tc>
          <w:tcPr>
            <w:tcW w:w="9016" w:type="dxa"/>
          </w:tcPr>
          <w:p w14:paraId="4FE88D4A" w14:textId="77777777" w:rsidR="002F0A59" w:rsidRDefault="002F0A59" w:rsidP="00175059">
            <w:pPr>
              <w:pStyle w:val="Header"/>
              <w:tabs>
                <w:tab w:val="left" w:pos="720"/>
                <w:tab w:val="right" w:pos="9781"/>
              </w:tabs>
              <w:ind w:right="425"/>
              <w:rPr>
                <w:rFonts w:cs="Arial"/>
                <w:color w:val="FF0000"/>
                <w:lang w:val="en-US"/>
              </w:rPr>
            </w:pPr>
            <w:r>
              <w:rPr>
                <w:rFonts w:cs="Arial"/>
                <w:color w:val="FF0000"/>
                <w:lang w:val="en-US"/>
              </w:rPr>
              <w:t>&lt;NOMINEE&gt; = NOC with customer suppression, display:</w:t>
            </w:r>
          </w:p>
        </w:tc>
      </w:tr>
      <w:tr w:rsidR="002F0A59" w14:paraId="56D0D887" w14:textId="77777777" w:rsidTr="00175059">
        <w:tc>
          <w:tcPr>
            <w:tcW w:w="9016" w:type="dxa"/>
          </w:tcPr>
          <w:p w14:paraId="1F7B4348" w14:textId="77777777" w:rsidR="002F0A59" w:rsidRDefault="002F0A59" w:rsidP="00175059">
            <w:pPr>
              <w:pStyle w:val="Header"/>
              <w:tabs>
                <w:tab w:val="left" w:pos="720"/>
                <w:tab w:val="right" w:pos="9781"/>
              </w:tabs>
              <w:ind w:right="425"/>
              <w:rPr>
                <w:rFonts w:cs="Arial"/>
                <w:color w:val="FF0000"/>
                <w:lang w:val="en-US"/>
              </w:rPr>
            </w:pPr>
            <w:r w:rsidRPr="00D836CE">
              <w:rPr>
                <w:rFonts w:cs="Arial"/>
                <w:color w:val="000000"/>
                <w:lang w:val="en-US"/>
              </w:rPr>
              <w:t xml:space="preserve">This letter provides information about </w:t>
            </w:r>
            <w:r w:rsidRPr="00D836CE">
              <w:rPr>
                <w:rFonts w:cs="Arial"/>
                <w:color w:val="008000"/>
                <w:lang w:val="en-US"/>
              </w:rPr>
              <w:t>{CLIENT.FULLNAME}</w:t>
            </w:r>
            <w:r w:rsidRPr="00D836CE">
              <w:rPr>
                <w:rFonts w:cs="Arial"/>
                <w:color w:val="000000"/>
                <w:lang w:val="en-US"/>
              </w:rPr>
              <w:t xml:space="preserve"> for whom you are the nominee.</w:t>
            </w:r>
          </w:p>
        </w:tc>
      </w:tr>
      <w:tr w:rsidR="002F0A59" w14:paraId="61F29C62" w14:textId="77777777" w:rsidTr="00175059">
        <w:tc>
          <w:tcPr>
            <w:tcW w:w="9016" w:type="dxa"/>
          </w:tcPr>
          <w:p w14:paraId="250F95CD" w14:textId="77777777" w:rsidR="002F0A59" w:rsidRDefault="002F0A59" w:rsidP="00175059">
            <w:pPr>
              <w:pStyle w:val="Header"/>
              <w:tabs>
                <w:tab w:val="left" w:pos="720"/>
                <w:tab w:val="right" w:pos="9781"/>
              </w:tabs>
              <w:ind w:right="425"/>
              <w:rPr>
                <w:rFonts w:cs="Arial"/>
                <w:color w:val="FF0000"/>
                <w:lang w:val="en-US"/>
              </w:rPr>
            </w:pPr>
            <w:r>
              <w:rPr>
                <w:rFonts w:cs="Arial"/>
                <w:color w:val="FF0000"/>
                <w:lang w:val="en-US"/>
              </w:rPr>
              <w:t>Else, display null</w:t>
            </w:r>
          </w:p>
        </w:tc>
      </w:tr>
    </w:tbl>
    <w:p w14:paraId="33663D4F" w14:textId="77777777" w:rsidR="002F0A59" w:rsidRPr="00D836CE" w:rsidRDefault="002F0A59" w:rsidP="002F0A59">
      <w:pPr>
        <w:pStyle w:val="Header"/>
        <w:tabs>
          <w:tab w:val="left" w:pos="720"/>
          <w:tab w:val="right" w:pos="9781"/>
        </w:tabs>
        <w:ind w:right="425"/>
        <w:rPr>
          <w:rFonts w:cs="Arial"/>
          <w:color w:val="FF0000"/>
          <w:szCs w:val="22"/>
          <w:lang w:val="en-US"/>
        </w:rPr>
      </w:pPr>
    </w:p>
    <w:p w14:paraId="744AD424" w14:textId="77777777" w:rsidR="002F0A59" w:rsidRDefault="002F0A59" w:rsidP="002F0A59">
      <w:r w:rsidRPr="00550635">
        <w:rPr>
          <w:rFonts w:cs="Arial"/>
        </w:rPr>
        <w:t xml:space="preserve">Dear </w:t>
      </w:r>
      <w:r w:rsidRPr="00C46A33">
        <w:rPr>
          <w:rFonts w:cs="Arial"/>
          <w:color w:val="008000"/>
          <w:lang w:val="en-US"/>
        </w:rPr>
        <w:t>{</w:t>
      </w:r>
      <w:r>
        <w:rPr>
          <w:rFonts w:cs="Arial"/>
          <w:color w:val="008000"/>
          <w:lang w:val="en-US"/>
        </w:rPr>
        <w:t>Salutation</w:t>
      </w:r>
      <w:r w:rsidRPr="00C46A33">
        <w:rPr>
          <w:rFonts w:cs="Arial"/>
          <w:color w:val="008000"/>
          <w:lang w:val="en-US"/>
        </w:rPr>
        <w:t>}</w:t>
      </w:r>
    </w:p>
    <w:p w14:paraId="75B95E1D" w14:textId="77777777" w:rsidR="002F0A59" w:rsidRDefault="002F0A59" w:rsidP="002F0A59">
      <w:pPr>
        <w:pStyle w:val="Heading5"/>
      </w:pPr>
      <w:r>
        <w:t>Standard Footer</w:t>
      </w:r>
    </w:p>
    <w:p w14:paraId="635C743F" w14:textId="77777777" w:rsidR="002F0A59" w:rsidRDefault="002F0A59" w:rsidP="002F0A59">
      <w:pPr>
        <w:pStyle w:val="BRSNormal"/>
      </w:pPr>
      <w:r>
        <w:rPr>
          <w:rStyle w:val="boldheadingnonumberingChar"/>
          <w:noProof/>
          <w:color w:val="000000"/>
        </w:rPr>
        <w:drawing>
          <wp:inline distT="0" distB="0" distL="0" distR="0" wp14:anchorId="516181BD" wp14:editId="0124B8FA">
            <wp:extent cx="5731510" cy="589280"/>
            <wp:effectExtent l="0" t="0" r="2540" b="1270"/>
            <wp:docPr id="12" name="Picture 12" descr="1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89280"/>
                    </a:xfrm>
                    <a:prstGeom prst="rect">
                      <a:avLst/>
                    </a:prstGeom>
                    <a:noFill/>
                    <a:ln>
                      <a:noFill/>
                    </a:ln>
                  </pic:spPr>
                </pic:pic>
              </a:graphicData>
            </a:graphic>
          </wp:inline>
        </w:drawing>
      </w:r>
    </w:p>
    <w:p w14:paraId="6CE47C83" w14:textId="77777777" w:rsidR="002F0A59" w:rsidRDefault="002F0A59" w:rsidP="002F0A59">
      <w:pPr>
        <w:pStyle w:val="BRSNormal"/>
      </w:pPr>
      <w:r>
        <w:br/>
      </w:r>
    </w:p>
    <w:p w14:paraId="14898F73" w14:textId="77777777" w:rsidR="002F0A59" w:rsidRDefault="002F0A59" w:rsidP="002F0A59">
      <w:pPr>
        <w:pStyle w:val="BRSNormal"/>
      </w:pPr>
    </w:p>
    <w:p w14:paraId="7C50EAF1" w14:textId="77777777" w:rsidR="002F0A59" w:rsidRDefault="002F0A59" w:rsidP="002F0A59">
      <w:pPr>
        <w:pStyle w:val="Heading5"/>
        <w:tabs>
          <w:tab w:val="left" w:pos="2268"/>
          <w:tab w:val="left" w:pos="2552"/>
        </w:tabs>
        <w:ind w:right="-46"/>
      </w:pPr>
      <w:r>
        <w:t>Body Text</w:t>
      </w:r>
    </w:p>
    <w:p w14:paraId="47521A49" w14:textId="77777777" w:rsidR="002F0A59" w:rsidRDefault="002F0A59" w:rsidP="002F0A59">
      <w:pPr>
        <w:spacing w:before="100" w:beforeAutospacing="1" w:after="100" w:afterAutospacing="1"/>
        <w:rPr>
          <w:rFonts w:cs="Arial"/>
          <w:b/>
        </w:rPr>
      </w:pPr>
    </w:p>
    <w:tbl>
      <w:tblPr>
        <w:tblStyle w:val="TableGrid"/>
        <w:tblW w:w="9691" w:type="dxa"/>
        <w:tblLook w:val="04A0" w:firstRow="1" w:lastRow="0" w:firstColumn="1" w:lastColumn="0" w:noHBand="0" w:noVBand="1"/>
      </w:tblPr>
      <w:tblGrid>
        <w:gridCol w:w="9691"/>
      </w:tblGrid>
      <w:tr w:rsidR="002F0A59" w14:paraId="0773975A" w14:textId="77777777" w:rsidTr="00175059">
        <w:trPr>
          <w:trHeight w:val="501"/>
        </w:trPr>
        <w:tc>
          <w:tcPr>
            <w:tcW w:w="9691" w:type="dxa"/>
          </w:tcPr>
          <w:p w14:paraId="33C72A60" w14:textId="77777777" w:rsidR="002F0A59" w:rsidRPr="003D4BAE" w:rsidRDefault="002F0A59" w:rsidP="00175059">
            <w:pPr>
              <w:widowControl w:val="0"/>
              <w:autoSpaceDE w:val="0"/>
              <w:autoSpaceDN w:val="0"/>
              <w:adjustRightInd w:val="0"/>
              <w:ind w:right="337"/>
              <w:rPr>
                <w:rFonts w:cs="Arial"/>
                <w:color w:val="FF0000"/>
              </w:rPr>
            </w:pPr>
            <w:r w:rsidRPr="003F311A">
              <w:rPr>
                <w:rFonts w:cs="Arial"/>
                <w:color w:val="FF0000"/>
              </w:rPr>
              <w:t xml:space="preserve">if </w:t>
            </w:r>
            <w:r w:rsidRPr="00EC7FE0">
              <w:rPr>
                <w:rFonts w:cs="Arial"/>
                <w:bCs/>
                <w:color w:val="00B050"/>
              </w:rPr>
              <w:t>{</w:t>
            </w:r>
            <w:proofErr w:type="gramStart"/>
            <w:r w:rsidRPr="00EC7FE0">
              <w:rPr>
                <w:rFonts w:cs="Arial"/>
                <w:color w:val="00B050"/>
              </w:rPr>
              <w:t>REVIEW</w:t>
            </w:r>
            <w:r w:rsidRPr="00EC7FE0">
              <w:rPr>
                <w:rFonts w:cs="Arial"/>
                <w:bCs/>
                <w:color w:val="00B050"/>
              </w:rPr>
              <w:t>TYPE}</w:t>
            </w:r>
            <w:r w:rsidRPr="003F311A">
              <w:rPr>
                <w:rFonts w:cs="Arial"/>
                <w:bCs/>
                <w:color w:val="00B050"/>
              </w:rPr>
              <w:t xml:space="preserve"> </w:t>
            </w:r>
            <w:r w:rsidRPr="003F311A">
              <w:rPr>
                <w:rFonts w:cs="Arial"/>
                <w:color w:val="FF0000"/>
              </w:rPr>
              <w:t xml:space="preserve"> =</w:t>
            </w:r>
            <w:proofErr w:type="gramEnd"/>
            <w:r w:rsidRPr="003F311A">
              <w:rPr>
                <w:rFonts w:cs="Arial"/>
                <w:color w:val="FF0000"/>
              </w:rPr>
              <w:t xml:space="preserve"> </w:t>
            </w:r>
            <w:r>
              <w:rPr>
                <w:rFonts w:cs="Arial"/>
                <w:color w:val="FF0000"/>
              </w:rPr>
              <w:t>PUE</w:t>
            </w:r>
            <w:r w:rsidRPr="003F311A">
              <w:rPr>
                <w:rFonts w:cs="Arial"/>
                <w:color w:val="FF0000"/>
              </w:rPr>
              <w:t xml:space="preserve"> </w:t>
            </w:r>
            <w:r>
              <w:rPr>
                <w:rFonts w:cs="Arial"/>
                <w:color w:val="FF0000"/>
              </w:rPr>
              <w:t xml:space="preserve">or WUE or CUE </w:t>
            </w:r>
            <w:r w:rsidRPr="003F311A">
              <w:rPr>
                <w:rFonts w:cs="Arial"/>
                <w:color w:val="FF0000"/>
              </w:rPr>
              <w:t>display</w:t>
            </w:r>
            <w:r>
              <w:rPr>
                <w:rFonts w:cs="Arial"/>
                <w:color w:val="FF0000"/>
              </w:rPr>
              <w:t xml:space="preserve"> </w:t>
            </w:r>
            <w:r w:rsidRPr="003F311A">
              <w:rPr>
                <w:rFonts w:cs="Arial"/>
                <w:color w:val="FF0000"/>
              </w:rPr>
              <w:t xml:space="preserve"> </w:t>
            </w:r>
            <w:r w:rsidRPr="003D4BAE">
              <w:rPr>
                <w:rFonts w:cs="Arial"/>
                <w:color w:val="FF0000"/>
              </w:rPr>
              <w:t xml:space="preserve">     </w:t>
            </w:r>
          </w:p>
          <w:p w14:paraId="7AB18621" w14:textId="77777777" w:rsidR="002F0A59" w:rsidRDefault="002F0A59" w:rsidP="00175059">
            <w:pPr>
              <w:widowControl w:val="0"/>
              <w:autoSpaceDE w:val="0"/>
              <w:autoSpaceDN w:val="0"/>
              <w:adjustRightInd w:val="0"/>
              <w:ind w:right="337"/>
              <w:rPr>
                <w:rFonts w:cs="Arial"/>
                <w:b/>
              </w:rPr>
            </w:pPr>
            <w:r>
              <w:rPr>
                <w:rFonts w:cs="Arial"/>
                <w:b/>
              </w:rPr>
              <w:t xml:space="preserve">                                            </w:t>
            </w:r>
            <w:r w:rsidRPr="003D4BAE">
              <w:rPr>
                <w:rFonts w:cs="Arial"/>
                <w:b/>
              </w:rPr>
              <w:t xml:space="preserve">Confirm your </w:t>
            </w:r>
            <w:r>
              <w:rPr>
                <w:rFonts w:cs="Arial"/>
                <w:b/>
              </w:rPr>
              <w:t>study</w:t>
            </w:r>
            <w:r w:rsidRPr="003D4BAE">
              <w:rPr>
                <w:rFonts w:cs="Arial"/>
                <w:b/>
              </w:rPr>
              <w:t xml:space="preserve"> details</w:t>
            </w:r>
            <w:r w:rsidRPr="003D4BAE">
              <w:rPr>
                <w:rFonts w:cs="Arial"/>
                <w:b/>
                <w:bCs/>
              </w:rPr>
              <w:t xml:space="preserve">                           </w:t>
            </w:r>
          </w:p>
        </w:tc>
      </w:tr>
      <w:tr w:rsidR="002F0A59" w14:paraId="0E121686" w14:textId="77777777" w:rsidTr="00175059">
        <w:trPr>
          <w:trHeight w:val="501"/>
        </w:trPr>
        <w:tc>
          <w:tcPr>
            <w:tcW w:w="9691" w:type="dxa"/>
          </w:tcPr>
          <w:p w14:paraId="788218CE" w14:textId="77777777" w:rsidR="002F0A59" w:rsidRPr="003D4BAE" w:rsidRDefault="002F0A59" w:rsidP="00175059">
            <w:pPr>
              <w:widowControl w:val="0"/>
              <w:autoSpaceDE w:val="0"/>
              <w:autoSpaceDN w:val="0"/>
              <w:adjustRightInd w:val="0"/>
              <w:ind w:right="337"/>
              <w:rPr>
                <w:rFonts w:cs="Arial"/>
                <w:color w:val="FF0000"/>
              </w:rPr>
            </w:pPr>
            <w:r w:rsidRPr="003F311A">
              <w:rPr>
                <w:rFonts w:cs="Arial"/>
                <w:color w:val="FF0000"/>
              </w:rPr>
              <w:lastRenderedPageBreak/>
              <w:t xml:space="preserve">if </w:t>
            </w:r>
            <w:r w:rsidRPr="00EC7FE0">
              <w:rPr>
                <w:rFonts w:cs="Arial"/>
                <w:bCs/>
                <w:color w:val="00B050"/>
              </w:rPr>
              <w:t>{</w:t>
            </w:r>
            <w:proofErr w:type="gramStart"/>
            <w:r w:rsidRPr="00EC7FE0">
              <w:rPr>
                <w:rFonts w:cs="Arial"/>
                <w:color w:val="00B050"/>
              </w:rPr>
              <w:t>REVIEW</w:t>
            </w:r>
            <w:r w:rsidRPr="00EC7FE0">
              <w:rPr>
                <w:rFonts w:cs="Arial"/>
                <w:bCs/>
                <w:color w:val="00B050"/>
              </w:rPr>
              <w:t>TYPE}</w:t>
            </w:r>
            <w:r w:rsidRPr="003F311A">
              <w:rPr>
                <w:rFonts w:cs="Arial"/>
                <w:bCs/>
                <w:color w:val="00B050"/>
              </w:rPr>
              <w:t xml:space="preserve"> </w:t>
            </w:r>
            <w:r w:rsidRPr="003F311A">
              <w:rPr>
                <w:rFonts w:cs="Arial"/>
                <w:color w:val="FF0000"/>
              </w:rPr>
              <w:t xml:space="preserve"> =</w:t>
            </w:r>
            <w:proofErr w:type="gramEnd"/>
            <w:r w:rsidRPr="003F311A">
              <w:rPr>
                <w:rFonts w:cs="Arial"/>
                <w:color w:val="FF0000"/>
              </w:rPr>
              <w:t xml:space="preserve"> </w:t>
            </w:r>
            <w:r>
              <w:rPr>
                <w:rFonts w:cs="Arial"/>
                <w:color w:val="FF0000"/>
              </w:rPr>
              <w:t xml:space="preserve">SUE </w:t>
            </w:r>
            <w:r w:rsidRPr="003F311A">
              <w:rPr>
                <w:rFonts w:cs="Arial"/>
                <w:color w:val="FF0000"/>
              </w:rPr>
              <w:t>display</w:t>
            </w:r>
            <w:r>
              <w:rPr>
                <w:rFonts w:cs="Arial"/>
                <w:color w:val="FF0000"/>
              </w:rPr>
              <w:t xml:space="preserve"> </w:t>
            </w:r>
            <w:r w:rsidRPr="003F311A">
              <w:rPr>
                <w:rFonts w:cs="Arial"/>
                <w:color w:val="FF0000"/>
              </w:rPr>
              <w:t xml:space="preserve"> </w:t>
            </w:r>
            <w:r w:rsidRPr="003D4BAE">
              <w:rPr>
                <w:rFonts w:cs="Arial"/>
                <w:color w:val="FF0000"/>
              </w:rPr>
              <w:t xml:space="preserve">     </w:t>
            </w:r>
          </w:p>
          <w:p w14:paraId="31FE911F" w14:textId="77777777" w:rsidR="002F0A59" w:rsidRPr="003F311A" w:rsidRDefault="002F0A59" w:rsidP="00175059">
            <w:pPr>
              <w:widowControl w:val="0"/>
              <w:autoSpaceDE w:val="0"/>
              <w:autoSpaceDN w:val="0"/>
              <w:adjustRightInd w:val="0"/>
              <w:ind w:right="337"/>
              <w:rPr>
                <w:rFonts w:cs="Arial"/>
                <w:color w:val="FF0000"/>
              </w:rPr>
            </w:pPr>
            <w:r>
              <w:rPr>
                <w:rFonts w:cs="Arial"/>
                <w:b/>
              </w:rPr>
              <w:t xml:space="preserve">                                       </w:t>
            </w:r>
            <w:r w:rsidRPr="003D4BAE">
              <w:rPr>
                <w:rFonts w:cs="Arial"/>
                <w:b/>
              </w:rPr>
              <w:t xml:space="preserve">Confirm your </w:t>
            </w:r>
            <w:r>
              <w:rPr>
                <w:rFonts w:cs="Arial"/>
                <w:b/>
                <w:bCs/>
                <w:color w:val="000000"/>
              </w:rPr>
              <w:t>scholarship</w:t>
            </w:r>
            <w:r w:rsidRPr="003D4BAE">
              <w:rPr>
                <w:rFonts w:cs="Arial"/>
                <w:b/>
              </w:rPr>
              <w:t xml:space="preserve"> details</w:t>
            </w:r>
            <w:r w:rsidRPr="003D4BAE">
              <w:rPr>
                <w:rFonts w:cs="Arial"/>
                <w:b/>
                <w:bCs/>
              </w:rPr>
              <w:t xml:space="preserve">                           </w:t>
            </w:r>
          </w:p>
        </w:tc>
      </w:tr>
      <w:tr w:rsidR="002F0A59" w14:paraId="2A902DB6" w14:textId="77777777" w:rsidTr="00175059">
        <w:trPr>
          <w:trHeight w:val="501"/>
        </w:trPr>
        <w:tc>
          <w:tcPr>
            <w:tcW w:w="9691" w:type="dxa"/>
          </w:tcPr>
          <w:p w14:paraId="66F6D85C" w14:textId="77777777" w:rsidR="002F0A59" w:rsidRPr="003D4BAE" w:rsidRDefault="002F0A59" w:rsidP="00175059">
            <w:pPr>
              <w:widowControl w:val="0"/>
              <w:autoSpaceDE w:val="0"/>
              <w:autoSpaceDN w:val="0"/>
              <w:adjustRightInd w:val="0"/>
              <w:ind w:right="337"/>
              <w:rPr>
                <w:rFonts w:cs="Arial"/>
                <w:color w:val="FF0000"/>
              </w:rPr>
            </w:pPr>
            <w:r w:rsidRPr="003F311A">
              <w:rPr>
                <w:rFonts w:cs="Arial"/>
                <w:color w:val="FF0000"/>
              </w:rPr>
              <w:t xml:space="preserve">if </w:t>
            </w:r>
            <w:r w:rsidRPr="00EC7FE0">
              <w:rPr>
                <w:rFonts w:cs="Arial"/>
                <w:bCs/>
                <w:color w:val="00B050"/>
              </w:rPr>
              <w:t>{</w:t>
            </w:r>
            <w:proofErr w:type="gramStart"/>
            <w:r w:rsidRPr="00EC7FE0">
              <w:rPr>
                <w:rFonts w:cs="Arial"/>
                <w:color w:val="00B050"/>
              </w:rPr>
              <w:t>REVIEW</w:t>
            </w:r>
            <w:r w:rsidRPr="00EC7FE0">
              <w:rPr>
                <w:rFonts w:cs="Arial"/>
                <w:bCs/>
                <w:color w:val="00B050"/>
              </w:rPr>
              <w:t>TYPE}</w:t>
            </w:r>
            <w:r w:rsidRPr="003F311A">
              <w:rPr>
                <w:rFonts w:cs="Arial"/>
                <w:bCs/>
                <w:color w:val="00B050"/>
              </w:rPr>
              <w:t xml:space="preserve"> </w:t>
            </w:r>
            <w:r w:rsidRPr="003F311A">
              <w:rPr>
                <w:rFonts w:cs="Arial"/>
                <w:color w:val="FF0000"/>
              </w:rPr>
              <w:t xml:space="preserve"> =</w:t>
            </w:r>
            <w:proofErr w:type="gramEnd"/>
            <w:r w:rsidRPr="003F311A">
              <w:rPr>
                <w:rFonts w:cs="Arial"/>
                <w:color w:val="FF0000"/>
              </w:rPr>
              <w:t xml:space="preserve"> </w:t>
            </w:r>
            <w:r>
              <w:rPr>
                <w:rFonts w:cs="Arial"/>
                <w:color w:val="FF0000"/>
              </w:rPr>
              <w:t xml:space="preserve">NUE </w:t>
            </w:r>
            <w:r w:rsidRPr="003F311A">
              <w:rPr>
                <w:rFonts w:cs="Arial"/>
                <w:color w:val="FF0000"/>
              </w:rPr>
              <w:t>display</w:t>
            </w:r>
            <w:r>
              <w:rPr>
                <w:rFonts w:cs="Arial"/>
                <w:color w:val="FF0000"/>
              </w:rPr>
              <w:t xml:space="preserve"> </w:t>
            </w:r>
            <w:r w:rsidRPr="003F311A">
              <w:rPr>
                <w:rFonts w:cs="Arial"/>
                <w:color w:val="FF0000"/>
              </w:rPr>
              <w:t xml:space="preserve"> </w:t>
            </w:r>
            <w:r w:rsidRPr="003D4BAE">
              <w:rPr>
                <w:rFonts w:cs="Arial"/>
                <w:color w:val="FF0000"/>
              </w:rPr>
              <w:t xml:space="preserve">     </w:t>
            </w:r>
          </w:p>
          <w:p w14:paraId="26D73EC7" w14:textId="77777777" w:rsidR="002F0A59" w:rsidRPr="003F311A" w:rsidRDefault="002F0A59" w:rsidP="00175059">
            <w:pPr>
              <w:widowControl w:val="0"/>
              <w:autoSpaceDE w:val="0"/>
              <w:autoSpaceDN w:val="0"/>
              <w:adjustRightInd w:val="0"/>
              <w:ind w:right="337"/>
              <w:rPr>
                <w:rFonts w:cs="Arial"/>
                <w:color w:val="FF0000"/>
              </w:rPr>
            </w:pPr>
            <w:r>
              <w:rPr>
                <w:rFonts w:cs="Arial"/>
                <w:b/>
              </w:rPr>
              <w:t xml:space="preserve">                                                  </w:t>
            </w:r>
            <w:r w:rsidRPr="003D4BAE">
              <w:rPr>
                <w:rFonts w:cs="Arial"/>
                <w:b/>
              </w:rPr>
              <w:t>Confirm your details</w:t>
            </w:r>
            <w:r w:rsidRPr="003D4BAE">
              <w:rPr>
                <w:rFonts w:cs="Arial"/>
                <w:b/>
                <w:bCs/>
              </w:rPr>
              <w:t xml:space="preserve">                           </w:t>
            </w:r>
          </w:p>
        </w:tc>
      </w:tr>
      <w:tr w:rsidR="002F0A59" w14:paraId="79984A73" w14:textId="77777777" w:rsidTr="00175059">
        <w:trPr>
          <w:trHeight w:val="429"/>
        </w:trPr>
        <w:tc>
          <w:tcPr>
            <w:tcW w:w="9691" w:type="dxa"/>
          </w:tcPr>
          <w:p w14:paraId="78367BA7" w14:textId="77777777" w:rsidR="002F0A59" w:rsidRPr="003F311A" w:rsidRDefault="002F0A59" w:rsidP="00175059">
            <w:pPr>
              <w:widowControl w:val="0"/>
              <w:autoSpaceDE w:val="0"/>
              <w:autoSpaceDN w:val="0"/>
              <w:adjustRightInd w:val="0"/>
              <w:ind w:right="337"/>
              <w:rPr>
                <w:rFonts w:cs="Arial"/>
                <w:bCs/>
                <w:color w:val="00B050"/>
              </w:rPr>
            </w:pPr>
            <w:r w:rsidRPr="003F311A">
              <w:rPr>
                <w:rFonts w:cs="Arial"/>
                <w:color w:val="FF0000"/>
              </w:rPr>
              <w:t xml:space="preserve">End </w:t>
            </w:r>
            <w:proofErr w:type="gramStart"/>
            <w:r w:rsidRPr="003F311A">
              <w:rPr>
                <w:rFonts w:cs="Arial"/>
                <w:color w:val="FF0000"/>
              </w:rPr>
              <w:t>if</w:t>
            </w:r>
            <w:proofErr w:type="gramEnd"/>
          </w:p>
          <w:p w14:paraId="5D329C05" w14:textId="77777777" w:rsidR="002F0A59" w:rsidRPr="003F311A" w:rsidRDefault="002F0A59" w:rsidP="00175059">
            <w:pPr>
              <w:widowControl w:val="0"/>
              <w:autoSpaceDE w:val="0"/>
              <w:autoSpaceDN w:val="0"/>
              <w:adjustRightInd w:val="0"/>
              <w:ind w:right="337"/>
              <w:rPr>
                <w:rFonts w:cs="Arial"/>
                <w:color w:val="FF0000"/>
              </w:rPr>
            </w:pPr>
          </w:p>
        </w:tc>
      </w:tr>
    </w:tbl>
    <w:p w14:paraId="626D076D" w14:textId="77777777" w:rsidR="002F0A59" w:rsidRPr="00E53217" w:rsidRDefault="002F0A59" w:rsidP="002F0A59">
      <w:pPr>
        <w:spacing w:before="100" w:beforeAutospacing="1" w:after="100" w:afterAutospacing="1"/>
        <w:rPr>
          <w:rFonts w:cs="Arial"/>
          <w:b/>
          <w:bCs/>
          <w:color w:val="000000"/>
        </w:rPr>
      </w:pPr>
      <w:r>
        <w:rPr>
          <w:rFonts w:cs="Arial"/>
          <w:b/>
        </w:rPr>
        <w:t xml:space="preserve">           </w:t>
      </w:r>
      <w:r w:rsidRPr="00B50087">
        <w:rPr>
          <w:rFonts w:cs="Arial"/>
          <w:b/>
          <w:bCs/>
          <w:color w:val="000000"/>
        </w:rPr>
        <w:t xml:space="preserve"> </w:t>
      </w:r>
      <w:r>
        <w:rPr>
          <w:rFonts w:cs="Arial"/>
          <w:b/>
          <w:bCs/>
          <w:color w:val="000000"/>
        </w:rPr>
        <w:t xml:space="preserve">                         </w:t>
      </w:r>
    </w:p>
    <w:tbl>
      <w:tblPr>
        <w:tblStyle w:val="TableGrid"/>
        <w:tblW w:w="0" w:type="auto"/>
        <w:tblLook w:val="04A0" w:firstRow="1" w:lastRow="0" w:firstColumn="1" w:lastColumn="0" w:noHBand="0" w:noVBand="1"/>
      </w:tblPr>
      <w:tblGrid>
        <w:gridCol w:w="9016"/>
      </w:tblGrid>
      <w:tr w:rsidR="002F0A59" w14:paraId="776E7040" w14:textId="77777777" w:rsidTr="00175059">
        <w:tc>
          <w:tcPr>
            <w:tcW w:w="9016" w:type="dxa"/>
          </w:tcPr>
          <w:p w14:paraId="0BC2BEF0" w14:textId="77777777" w:rsidR="002F0A59" w:rsidRPr="005E7D14" w:rsidRDefault="002F0A59" w:rsidP="00175059">
            <w:pPr>
              <w:widowControl w:val="0"/>
              <w:autoSpaceDE w:val="0"/>
              <w:autoSpaceDN w:val="0"/>
              <w:adjustRightInd w:val="0"/>
              <w:ind w:right="337"/>
              <w:rPr>
                <w:rFonts w:cs="Arial"/>
                <w:bCs/>
                <w:color w:val="00B050"/>
              </w:rPr>
            </w:pPr>
            <w:r w:rsidRPr="005E7D14">
              <w:rPr>
                <w:rFonts w:cs="Arial"/>
                <w:color w:val="FF0000"/>
              </w:rPr>
              <w:t xml:space="preserve">if </w:t>
            </w:r>
            <w:r w:rsidRPr="005E7D14">
              <w:rPr>
                <w:rFonts w:cs="Arial"/>
                <w:bCs/>
                <w:color w:val="00B050"/>
              </w:rPr>
              <w:t>{</w:t>
            </w:r>
            <w:proofErr w:type="gramStart"/>
            <w:r w:rsidRPr="005E7D14">
              <w:rPr>
                <w:rFonts w:cs="Arial"/>
                <w:bCs/>
                <w:color w:val="00B050"/>
              </w:rPr>
              <w:t xml:space="preserve">REVIEWTYPE} </w:t>
            </w:r>
            <w:r w:rsidRPr="005E7D14">
              <w:rPr>
                <w:rFonts w:cs="Arial"/>
                <w:color w:val="FF0000"/>
              </w:rPr>
              <w:t xml:space="preserve"> =</w:t>
            </w:r>
            <w:proofErr w:type="gramEnd"/>
            <w:r w:rsidRPr="005E7D14">
              <w:rPr>
                <w:rFonts w:cs="Arial"/>
                <w:color w:val="FF0000"/>
              </w:rPr>
              <w:t xml:space="preserve"> PUE display  /*</w:t>
            </w:r>
            <w:r w:rsidRPr="005E7D14">
              <w:rPr>
                <w:rFonts w:cs="Arial"/>
                <w:color w:val="008000"/>
                <w:lang w:val="en-US"/>
              </w:rPr>
              <w:t>'Enrolment Details Review</w:t>
            </w:r>
            <w:r w:rsidRPr="005E7D14">
              <w:rPr>
                <w:rFonts w:cs="Arial"/>
                <w:color w:val="FF0000"/>
              </w:rPr>
              <w:t>*/</w:t>
            </w:r>
          </w:p>
          <w:p w14:paraId="4923A499" w14:textId="77777777" w:rsidR="002F0A59" w:rsidRPr="005E7D14" w:rsidRDefault="002F0A59" w:rsidP="00175059">
            <w:pPr>
              <w:widowControl w:val="0"/>
              <w:autoSpaceDE w:val="0"/>
              <w:autoSpaceDN w:val="0"/>
              <w:adjustRightInd w:val="0"/>
              <w:ind w:right="337"/>
              <w:rPr>
                <w:rFonts w:cs="Arial"/>
                <w:b/>
                <w:bCs/>
              </w:rPr>
            </w:pPr>
            <w:r>
              <w:rPr>
                <w:rFonts w:cs="Arial"/>
              </w:rPr>
              <w:t>Y</w:t>
            </w:r>
            <w:r w:rsidRPr="004420AA">
              <w:rPr>
                <w:rFonts w:cs="Arial"/>
              </w:rPr>
              <w:t xml:space="preserve">our </w:t>
            </w:r>
            <w:r>
              <w:rPr>
                <w:rFonts w:cs="Arial"/>
              </w:rPr>
              <w:t xml:space="preserve">study </w:t>
            </w:r>
            <w:r w:rsidRPr="004420AA">
              <w:rPr>
                <w:rFonts w:cs="Arial"/>
              </w:rPr>
              <w:t xml:space="preserve">details </w:t>
            </w:r>
            <w:r>
              <w:rPr>
                <w:rFonts w:cs="Arial"/>
              </w:rPr>
              <w:t xml:space="preserve">may change during the year. To make sure you are getting the correct payment you need to complete a review of </w:t>
            </w:r>
            <w:r w:rsidRPr="00CF32E1">
              <w:rPr>
                <w:rFonts w:cs="Arial"/>
              </w:rPr>
              <w:t>your study details</w:t>
            </w:r>
            <w:r>
              <w:rPr>
                <w:rFonts w:cs="Arial"/>
              </w:rPr>
              <w:t>.</w:t>
            </w:r>
          </w:p>
        </w:tc>
      </w:tr>
      <w:tr w:rsidR="002F0A59" w14:paraId="281E8FFB" w14:textId="77777777" w:rsidTr="00175059">
        <w:tc>
          <w:tcPr>
            <w:tcW w:w="9016" w:type="dxa"/>
          </w:tcPr>
          <w:p w14:paraId="62D52BF4" w14:textId="77777777" w:rsidR="002F0A59" w:rsidRPr="005E7D14" w:rsidRDefault="002F0A59" w:rsidP="00175059">
            <w:pPr>
              <w:widowControl w:val="0"/>
              <w:autoSpaceDE w:val="0"/>
              <w:autoSpaceDN w:val="0"/>
              <w:adjustRightInd w:val="0"/>
              <w:ind w:right="337"/>
              <w:rPr>
                <w:rFonts w:cs="Arial"/>
                <w:bCs/>
                <w:color w:val="00B050"/>
              </w:rPr>
            </w:pPr>
            <w:r w:rsidRPr="005E7D14">
              <w:rPr>
                <w:rFonts w:cs="Arial"/>
                <w:color w:val="FF0000"/>
              </w:rPr>
              <w:t xml:space="preserve">Else if </w:t>
            </w:r>
            <w:r w:rsidRPr="005E7D14">
              <w:rPr>
                <w:rFonts w:cs="Arial"/>
                <w:bCs/>
                <w:color w:val="00B050"/>
              </w:rPr>
              <w:t>{</w:t>
            </w:r>
            <w:proofErr w:type="gramStart"/>
            <w:r w:rsidRPr="005E7D14">
              <w:rPr>
                <w:rFonts w:cs="Arial"/>
                <w:bCs/>
                <w:color w:val="00B050"/>
              </w:rPr>
              <w:t xml:space="preserve">REVIEWTYPE} </w:t>
            </w:r>
            <w:r w:rsidRPr="005E7D14">
              <w:rPr>
                <w:rFonts w:cs="Arial"/>
                <w:color w:val="FF0000"/>
              </w:rPr>
              <w:t xml:space="preserve"> =</w:t>
            </w:r>
            <w:proofErr w:type="gramEnd"/>
            <w:r w:rsidRPr="005E7D14">
              <w:rPr>
                <w:rFonts w:cs="Arial"/>
                <w:color w:val="FF0000"/>
              </w:rPr>
              <w:t xml:space="preserve"> NUE display     /*</w:t>
            </w:r>
            <w:r w:rsidRPr="005E7D14">
              <w:rPr>
                <w:rFonts w:cs="Arial"/>
                <w:color w:val="008000"/>
                <w:lang w:val="en-US"/>
              </w:rPr>
              <w:t>'No Match Review</w:t>
            </w:r>
            <w:r w:rsidRPr="005E7D14">
              <w:rPr>
                <w:rFonts w:cs="Arial"/>
                <w:color w:val="FF0000"/>
              </w:rPr>
              <w:t xml:space="preserve"> */</w:t>
            </w:r>
          </w:p>
          <w:p w14:paraId="27040E47" w14:textId="77777777" w:rsidR="002F0A59" w:rsidRPr="004420AA" w:rsidRDefault="002F0A59" w:rsidP="00175059">
            <w:pPr>
              <w:rPr>
                <w:rFonts w:cs="Arial"/>
              </w:rPr>
            </w:pPr>
            <w:r w:rsidRPr="004420AA">
              <w:rPr>
                <w:rFonts w:cs="Arial"/>
              </w:rPr>
              <w:t xml:space="preserve">We </w:t>
            </w:r>
            <w:r>
              <w:rPr>
                <w:rFonts w:cs="Arial"/>
              </w:rPr>
              <w:t>have not been able to confirm your enrolment details.</w:t>
            </w:r>
          </w:p>
          <w:p w14:paraId="61A47D14" w14:textId="77777777" w:rsidR="002F0A59" w:rsidRPr="005E7D14" w:rsidRDefault="002F0A59" w:rsidP="00175059">
            <w:pPr>
              <w:rPr>
                <w:rFonts w:cs="Arial"/>
              </w:rPr>
            </w:pPr>
          </w:p>
          <w:p w14:paraId="7E5F4672" w14:textId="77777777" w:rsidR="002F0A59" w:rsidRPr="005E7D14" w:rsidRDefault="002F0A59" w:rsidP="00175059">
            <w:pPr>
              <w:widowControl w:val="0"/>
              <w:autoSpaceDE w:val="0"/>
              <w:autoSpaceDN w:val="0"/>
              <w:adjustRightInd w:val="0"/>
              <w:ind w:right="337"/>
              <w:rPr>
                <w:rFonts w:cs="Arial"/>
                <w:b/>
                <w:bCs/>
              </w:rPr>
            </w:pPr>
          </w:p>
        </w:tc>
      </w:tr>
      <w:tr w:rsidR="002F0A59" w14:paraId="7902EF24" w14:textId="77777777" w:rsidTr="00175059">
        <w:tc>
          <w:tcPr>
            <w:tcW w:w="9016" w:type="dxa"/>
          </w:tcPr>
          <w:p w14:paraId="378660BB" w14:textId="77777777" w:rsidR="002F0A59" w:rsidRPr="005E7D14" w:rsidRDefault="002F0A59" w:rsidP="00175059">
            <w:pPr>
              <w:widowControl w:val="0"/>
              <w:autoSpaceDE w:val="0"/>
              <w:autoSpaceDN w:val="0"/>
              <w:adjustRightInd w:val="0"/>
              <w:ind w:right="337"/>
              <w:rPr>
                <w:rFonts w:cs="Arial"/>
                <w:bCs/>
                <w:color w:val="00B050"/>
              </w:rPr>
            </w:pPr>
            <w:r w:rsidRPr="005E7D14">
              <w:rPr>
                <w:rFonts w:cs="Arial"/>
                <w:color w:val="FF0000"/>
              </w:rPr>
              <w:t xml:space="preserve">Else if </w:t>
            </w:r>
            <w:r w:rsidRPr="005E7D14">
              <w:rPr>
                <w:rFonts w:cs="Arial"/>
                <w:bCs/>
                <w:color w:val="00B050"/>
              </w:rPr>
              <w:t>{</w:t>
            </w:r>
            <w:proofErr w:type="gramStart"/>
            <w:r w:rsidRPr="005E7D14">
              <w:rPr>
                <w:rFonts w:cs="Arial"/>
                <w:bCs/>
                <w:color w:val="00B050"/>
              </w:rPr>
              <w:t xml:space="preserve">REVIEWTYPE} </w:t>
            </w:r>
            <w:r w:rsidRPr="005E7D14">
              <w:rPr>
                <w:rFonts w:cs="Arial"/>
                <w:color w:val="FF0000"/>
              </w:rPr>
              <w:t xml:space="preserve"> =</w:t>
            </w:r>
            <w:proofErr w:type="gramEnd"/>
            <w:r w:rsidRPr="005E7D14">
              <w:rPr>
                <w:rFonts w:cs="Arial"/>
                <w:color w:val="FF0000"/>
              </w:rPr>
              <w:t xml:space="preserve"> SUE display     /*</w:t>
            </w:r>
            <w:r w:rsidRPr="005E7D14">
              <w:rPr>
                <w:rFonts w:cs="Arial"/>
                <w:color w:val="008000"/>
                <w:lang w:val="en-US"/>
              </w:rPr>
              <w:t xml:space="preserve">'Scholarship Review' </w:t>
            </w:r>
            <w:r w:rsidRPr="005E7D14">
              <w:rPr>
                <w:rFonts w:cs="Arial"/>
                <w:color w:val="FF0000"/>
              </w:rPr>
              <w:t>*/</w:t>
            </w:r>
          </w:p>
          <w:p w14:paraId="3939C9E4" w14:textId="77777777" w:rsidR="002F0A59" w:rsidRPr="005E7D14" w:rsidRDefault="002F0A59" w:rsidP="00175059">
            <w:pPr>
              <w:widowControl w:val="0"/>
              <w:autoSpaceDE w:val="0"/>
              <w:autoSpaceDN w:val="0"/>
              <w:adjustRightInd w:val="0"/>
              <w:ind w:right="337"/>
              <w:rPr>
                <w:rFonts w:cs="Arial"/>
                <w:b/>
                <w:bCs/>
              </w:rPr>
            </w:pPr>
            <w:r>
              <w:rPr>
                <w:rFonts w:cs="Arial"/>
              </w:rPr>
              <w:t>Y</w:t>
            </w:r>
            <w:r w:rsidRPr="004420AA">
              <w:rPr>
                <w:rFonts w:cs="Arial"/>
              </w:rPr>
              <w:t xml:space="preserve">our details </w:t>
            </w:r>
            <w:r>
              <w:rPr>
                <w:rFonts w:cs="Arial"/>
              </w:rPr>
              <w:t xml:space="preserve">may change during the year. You need to complete a review of your Commonwealth scholarship details. </w:t>
            </w:r>
          </w:p>
        </w:tc>
      </w:tr>
      <w:tr w:rsidR="002F0A59" w14:paraId="0D293B2F" w14:textId="77777777" w:rsidTr="00175059">
        <w:tc>
          <w:tcPr>
            <w:tcW w:w="9016" w:type="dxa"/>
          </w:tcPr>
          <w:p w14:paraId="009D2494" w14:textId="77777777" w:rsidR="002F0A59" w:rsidRPr="005E7D14" w:rsidRDefault="002F0A59" w:rsidP="00175059">
            <w:pPr>
              <w:widowControl w:val="0"/>
              <w:autoSpaceDE w:val="0"/>
              <w:autoSpaceDN w:val="0"/>
              <w:adjustRightInd w:val="0"/>
              <w:ind w:right="337"/>
              <w:rPr>
                <w:rFonts w:cs="Arial"/>
                <w:bCs/>
                <w:color w:val="00B050"/>
              </w:rPr>
            </w:pPr>
            <w:r w:rsidRPr="005E7D14">
              <w:rPr>
                <w:rFonts w:cs="Arial"/>
                <w:color w:val="FF0000"/>
              </w:rPr>
              <w:t xml:space="preserve">Else if </w:t>
            </w:r>
            <w:r w:rsidRPr="005E7D14">
              <w:rPr>
                <w:rFonts w:cs="Arial"/>
                <w:bCs/>
                <w:color w:val="00B050"/>
              </w:rPr>
              <w:t>{</w:t>
            </w:r>
            <w:proofErr w:type="gramStart"/>
            <w:r w:rsidRPr="005E7D14">
              <w:rPr>
                <w:rFonts w:cs="Arial"/>
                <w:bCs/>
                <w:color w:val="00B050"/>
              </w:rPr>
              <w:t xml:space="preserve">REVIEWTYPE} </w:t>
            </w:r>
            <w:r w:rsidRPr="005E7D14">
              <w:rPr>
                <w:rFonts w:cs="Arial"/>
                <w:color w:val="FF0000"/>
              </w:rPr>
              <w:t xml:space="preserve"> =</w:t>
            </w:r>
            <w:proofErr w:type="gramEnd"/>
            <w:r w:rsidRPr="005E7D14">
              <w:rPr>
                <w:rFonts w:cs="Arial"/>
                <w:color w:val="FF0000"/>
              </w:rPr>
              <w:t xml:space="preserve"> CUE display     /*</w:t>
            </w:r>
            <w:r w:rsidRPr="005E7D14">
              <w:rPr>
                <w:rFonts w:cs="Arial"/>
                <w:color w:val="008000"/>
                <w:lang w:val="en-US"/>
              </w:rPr>
              <w:t>Course Completion Review</w:t>
            </w:r>
            <w:r w:rsidRPr="005E7D14">
              <w:rPr>
                <w:rFonts w:cs="Arial"/>
                <w:color w:val="FF0000"/>
              </w:rPr>
              <w:t>*/</w:t>
            </w:r>
          </w:p>
          <w:p w14:paraId="2790F5D8" w14:textId="77777777" w:rsidR="002F0A59" w:rsidRPr="004420AA" w:rsidRDefault="002F0A59" w:rsidP="00175059">
            <w:pPr>
              <w:widowControl w:val="0"/>
              <w:autoSpaceDE w:val="0"/>
              <w:autoSpaceDN w:val="0"/>
              <w:adjustRightInd w:val="0"/>
              <w:ind w:right="337"/>
              <w:rPr>
                <w:rFonts w:cs="Arial"/>
              </w:rPr>
            </w:pPr>
            <w:r>
              <w:rPr>
                <w:rFonts w:cs="Arial"/>
              </w:rPr>
              <w:t xml:space="preserve">Your study details may change during the year. To make sure you are getting the correct payment you need to complete a review of </w:t>
            </w:r>
            <w:r w:rsidRPr="000B343E">
              <w:rPr>
                <w:rFonts w:cs="Arial"/>
              </w:rPr>
              <w:t>your study details</w:t>
            </w:r>
            <w:r>
              <w:rPr>
                <w:rFonts w:cs="Arial"/>
              </w:rPr>
              <w:t xml:space="preserve">. </w:t>
            </w:r>
          </w:p>
          <w:p w14:paraId="7F341C29" w14:textId="77777777" w:rsidR="002F0A59" w:rsidRPr="005E7D14" w:rsidRDefault="002F0A59" w:rsidP="00175059">
            <w:pPr>
              <w:widowControl w:val="0"/>
              <w:autoSpaceDE w:val="0"/>
              <w:autoSpaceDN w:val="0"/>
              <w:adjustRightInd w:val="0"/>
              <w:ind w:right="337"/>
              <w:rPr>
                <w:rFonts w:cs="Arial"/>
                <w:b/>
                <w:bCs/>
              </w:rPr>
            </w:pPr>
          </w:p>
        </w:tc>
      </w:tr>
      <w:tr w:rsidR="002F0A59" w14:paraId="03AA549F" w14:textId="77777777" w:rsidTr="00175059">
        <w:tc>
          <w:tcPr>
            <w:tcW w:w="9016" w:type="dxa"/>
          </w:tcPr>
          <w:p w14:paraId="01D033B3" w14:textId="77777777" w:rsidR="002F0A59" w:rsidRPr="005E7D14" w:rsidRDefault="002F0A59" w:rsidP="00175059">
            <w:pPr>
              <w:widowControl w:val="0"/>
              <w:autoSpaceDE w:val="0"/>
              <w:autoSpaceDN w:val="0"/>
              <w:adjustRightInd w:val="0"/>
              <w:ind w:right="337"/>
              <w:rPr>
                <w:rFonts w:cs="Arial"/>
                <w:bCs/>
                <w:color w:val="00B050"/>
              </w:rPr>
            </w:pPr>
            <w:r w:rsidRPr="005E7D14">
              <w:rPr>
                <w:rFonts w:cs="Arial"/>
                <w:color w:val="FF0000"/>
              </w:rPr>
              <w:t xml:space="preserve">Else if </w:t>
            </w:r>
            <w:r w:rsidRPr="005E7D14">
              <w:rPr>
                <w:rFonts w:cs="Arial"/>
                <w:bCs/>
                <w:color w:val="00B050"/>
              </w:rPr>
              <w:t>{</w:t>
            </w:r>
            <w:proofErr w:type="gramStart"/>
            <w:r w:rsidRPr="005E7D14">
              <w:rPr>
                <w:rFonts w:cs="Arial"/>
                <w:bCs/>
                <w:color w:val="00B050"/>
              </w:rPr>
              <w:t xml:space="preserve">REVIEWTYPE} </w:t>
            </w:r>
            <w:r w:rsidRPr="005E7D14">
              <w:rPr>
                <w:rFonts w:cs="Arial"/>
                <w:color w:val="FF0000"/>
              </w:rPr>
              <w:t xml:space="preserve"> =</w:t>
            </w:r>
            <w:proofErr w:type="gramEnd"/>
            <w:r w:rsidRPr="005E7D14">
              <w:rPr>
                <w:rFonts w:cs="Arial"/>
                <w:color w:val="FF0000"/>
              </w:rPr>
              <w:t xml:space="preserve"> WUE display       /*</w:t>
            </w:r>
            <w:r w:rsidRPr="005E7D14">
              <w:rPr>
                <w:rFonts w:cs="Arial"/>
                <w:color w:val="008000"/>
                <w:lang w:val="en-US"/>
              </w:rPr>
              <w:t>'Course Cessation Review</w:t>
            </w:r>
            <w:r w:rsidRPr="005E7D14">
              <w:rPr>
                <w:rFonts w:cs="Arial"/>
                <w:color w:val="FF0000"/>
              </w:rPr>
              <w:t xml:space="preserve"> */</w:t>
            </w:r>
          </w:p>
          <w:p w14:paraId="2B5C014B" w14:textId="77777777" w:rsidR="002F0A59" w:rsidRPr="005E7D14" w:rsidRDefault="002F0A59" w:rsidP="00175059">
            <w:pPr>
              <w:widowControl w:val="0"/>
              <w:autoSpaceDE w:val="0"/>
              <w:autoSpaceDN w:val="0"/>
              <w:adjustRightInd w:val="0"/>
              <w:ind w:right="337"/>
              <w:rPr>
                <w:rFonts w:cs="Arial"/>
                <w:b/>
                <w:bCs/>
              </w:rPr>
            </w:pPr>
            <w:r>
              <w:rPr>
                <w:rFonts w:cs="Arial"/>
              </w:rPr>
              <w:t xml:space="preserve">Your study details may change during the year. To make sure you are getting the correct payment you need to complete a review of </w:t>
            </w:r>
            <w:r w:rsidRPr="000B343E">
              <w:rPr>
                <w:rFonts w:cs="Arial"/>
              </w:rPr>
              <w:t>your study details</w:t>
            </w:r>
            <w:r>
              <w:rPr>
                <w:rFonts w:cs="Arial"/>
              </w:rPr>
              <w:t xml:space="preserve">. </w:t>
            </w:r>
          </w:p>
        </w:tc>
      </w:tr>
      <w:tr w:rsidR="002F0A59" w14:paraId="1E92174E" w14:textId="77777777" w:rsidTr="00175059">
        <w:tc>
          <w:tcPr>
            <w:tcW w:w="9016" w:type="dxa"/>
          </w:tcPr>
          <w:p w14:paraId="387D0EFC" w14:textId="77777777" w:rsidR="002F0A59" w:rsidRPr="005E7D14" w:rsidRDefault="002F0A59" w:rsidP="00175059">
            <w:pPr>
              <w:widowControl w:val="0"/>
              <w:autoSpaceDE w:val="0"/>
              <w:autoSpaceDN w:val="0"/>
              <w:adjustRightInd w:val="0"/>
              <w:ind w:right="337"/>
              <w:rPr>
                <w:rFonts w:cs="Arial"/>
                <w:bCs/>
                <w:color w:val="00B050"/>
              </w:rPr>
            </w:pPr>
            <w:r w:rsidRPr="005E7D14">
              <w:rPr>
                <w:rFonts w:cs="Arial"/>
                <w:color w:val="FF0000"/>
              </w:rPr>
              <w:t xml:space="preserve">End </w:t>
            </w:r>
            <w:proofErr w:type="gramStart"/>
            <w:r w:rsidRPr="005E7D14">
              <w:rPr>
                <w:rFonts w:cs="Arial"/>
                <w:color w:val="FF0000"/>
              </w:rPr>
              <w:t>if</w:t>
            </w:r>
            <w:proofErr w:type="gramEnd"/>
          </w:p>
          <w:p w14:paraId="30B4AE5E" w14:textId="77777777" w:rsidR="002F0A59" w:rsidRPr="005E7D14" w:rsidRDefault="002F0A59" w:rsidP="00175059">
            <w:pPr>
              <w:widowControl w:val="0"/>
              <w:autoSpaceDE w:val="0"/>
              <w:autoSpaceDN w:val="0"/>
              <w:adjustRightInd w:val="0"/>
              <w:ind w:right="337"/>
              <w:rPr>
                <w:rFonts w:cs="Arial"/>
                <w:b/>
                <w:bCs/>
              </w:rPr>
            </w:pPr>
          </w:p>
        </w:tc>
      </w:tr>
    </w:tbl>
    <w:p w14:paraId="6594C5EE" w14:textId="77777777" w:rsidR="002F0A59" w:rsidRDefault="002F0A59" w:rsidP="002F0A59">
      <w:pPr>
        <w:widowControl w:val="0"/>
        <w:autoSpaceDE w:val="0"/>
        <w:autoSpaceDN w:val="0"/>
        <w:adjustRightInd w:val="0"/>
        <w:ind w:right="337"/>
        <w:rPr>
          <w:rFonts w:cs="Arial"/>
          <w:b/>
          <w:bCs/>
        </w:rPr>
      </w:pPr>
      <w:r>
        <w:rPr>
          <w:rFonts w:cs="Arial"/>
          <w:b/>
          <w:bCs/>
        </w:rPr>
        <w:tab/>
      </w:r>
    </w:p>
    <w:p w14:paraId="177A16F4" w14:textId="77777777" w:rsidR="002F0A59" w:rsidRDefault="002F0A59" w:rsidP="002F0A59">
      <w:pPr>
        <w:widowControl w:val="0"/>
        <w:autoSpaceDE w:val="0"/>
        <w:autoSpaceDN w:val="0"/>
        <w:adjustRightInd w:val="0"/>
        <w:ind w:right="337"/>
        <w:rPr>
          <w:rFonts w:cs="Arial"/>
          <w:b/>
          <w:bCs/>
        </w:rPr>
      </w:pPr>
    </w:p>
    <w:tbl>
      <w:tblPr>
        <w:tblStyle w:val="TableGrid"/>
        <w:tblW w:w="0" w:type="auto"/>
        <w:tblLook w:val="04A0" w:firstRow="1" w:lastRow="0" w:firstColumn="1" w:lastColumn="0" w:noHBand="0" w:noVBand="1"/>
      </w:tblPr>
      <w:tblGrid>
        <w:gridCol w:w="9016"/>
      </w:tblGrid>
      <w:tr w:rsidR="002F0A59" w14:paraId="33DB8621" w14:textId="77777777" w:rsidTr="00175059">
        <w:tc>
          <w:tcPr>
            <w:tcW w:w="9016" w:type="dxa"/>
          </w:tcPr>
          <w:p w14:paraId="41CF39CD" w14:textId="77777777" w:rsidR="002F0A59" w:rsidRDefault="002F0A59" w:rsidP="00175059">
            <w:pPr>
              <w:widowControl w:val="0"/>
              <w:autoSpaceDE w:val="0"/>
              <w:autoSpaceDN w:val="0"/>
              <w:adjustRightInd w:val="0"/>
              <w:ind w:right="337"/>
              <w:rPr>
                <w:rFonts w:cs="Arial"/>
                <w:b/>
                <w:bCs/>
              </w:rPr>
            </w:pPr>
          </w:p>
          <w:p w14:paraId="45E938ED" w14:textId="77777777" w:rsidR="002F0A59" w:rsidRPr="005E7D14" w:rsidRDefault="002F0A59" w:rsidP="00175059">
            <w:pPr>
              <w:widowControl w:val="0"/>
              <w:autoSpaceDE w:val="0"/>
              <w:autoSpaceDN w:val="0"/>
              <w:adjustRightInd w:val="0"/>
              <w:ind w:right="337"/>
              <w:rPr>
                <w:rFonts w:cs="Arial"/>
                <w:b/>
                <w:bCs/>
              </w:rPr>
            </w:pPr>
            <w:r w:rsidRPr="005E7D14">
              <w:rPr>
                <w:rFonts w:cs="Arial"/>
                <w:b/>
                <w:bCs/>
              </w:rPr>
              <w:t>What you need to do</w:t>
            </w:r>
          </w:p>
          <w:p w14:paraId="1F39B291" w14:textId="77777777" w:rsidR="002F0A59" w:rsidRPr="005E7D14" w:rsidRDefault="002F0A59" w:rsidP="00175059">
            <w:pPr>
              <w:widowControl w:val="0"/>
              <w:autoSpaceDE w:val="0"/>
              <w:autoSpaceDN w:val="0"/>
              <w:adjustRightInd w:val="0"/>
              <w:ind w:right="337"/>
              <w:rPr>
                <w:rFonts w:cs="Arial"/>
                <w:b/>
                <w:bCs/>
              </w:rPr>
            </w:pPr>
            <w:r w:rsidRPr="005E7D14">
              <w:rPr>
                <w:rFonts w:cs="Arial"/>
              </w:rPr>
              <w:t>You need to</w:t>
            </w:r>
          </w:p>
          <w:tbl>
            <w:tblPr>
              <w:tblStyle w:val="TableGrid"/>
              <w:tblW w:w="0" w:type="auto"/>
              <w:tblLook w:val="04A0" w:firstRow="1" w:lastRow="0" w:firstColumn="1" w:lastColumn="0" w:noHBand="0" w:noVBand="1"/>
            </w:tblPr>
            <w:tblGrid>
              <w:gridCol w:w="6815"/>
            </w:tblGrid>
            <w:tr w:rsidR="002F0A59" w:rsidRPr="005E7D14" w14:paraId="0125F93C" w14:textId="77777777" w:rsidTr="00175059">
              <w:trPr>
                <w:trHeight w:val="358"/>
              </w:trPr>
              <w:tc>
                <w:tcPr>
                  <w:tcW w:w="6815" w:type="dxa"/>
                </w:tcPr>
                <w:p w14:paraId="03842FAF" w14:textId="77777777" w:rsidR="002F0A59" w:rsidRPr="005E7D14" w:rsidRDefault="002F0A59" w:rsidP="00175059">
                  <w:pPr>
                    <w:rPr>
                      <w:rFonts w:cs="Arial"/>
                    </w:rPr>
                  </w:pPr>
                </w:p>
              </w:tc>
            </w:tr>
            <w:tr w:rsidR="002F0A59" w:rsidRPr="005E7D14" w14:paraId="068BECE8" w14:textId="77777777" w:rsidTr="00175059">
              <w:trPr>
                <w:trHeight w:val="347"/>
              </w:trPr>
              <w:tc>
                <w:tcPr>
                  <w:tcW w:w="6815" w:type="dxa"/>
                </w:tcPr>
                <w:p w14:paraId="28D7302A" w14:textId="77777777" w:rsidR="002F0A59" w:rsidRPr="005E7D14" w:rsidRDefault="002F0A59" w:rsidP="00175059">
                  <w:pPr>
                    <w:rPr>
                      <w:rFonts w:cs="Arial"/>
                      <w:color w:val="FF0000"/>
                    </w:rPr>
                  </w:pPr>
                  <w:r w:rsidRPr="005E7D14">
                    <w:rPr>
                      <w:rFonts w:cs="Arial"/>
                      <w:color w:val="FF0000"/>
                    </w:rPr>
                    <w:t xml:space="preserve">if </w:t>
                  </w:r>
                  <w:r w:rsidRPr="005E7D14">
                    <w:rPr>
                      <w:rFonts w:cs="Arial"/>
                      <w:bCs/>
                      <w:color w:val="00B050"/>
                    </w:rPr>
                    <w:t>{</w:t>
                  </w:r>
                  <w:proofErr w:type="gramStart"/>
                  <w:r w:rsidRPr="005E7D14">
                    <w:rPr>
                      <w:rFonts w:cs="Arial"/>
                      <w:bCs/>
                      <w:color w:val="00B050"/>
                    </w:rPr>
                    <w:t xml:space="preserve">REVIEWTYPE} </w:t>
                  </w:r>
                  <w:r w:rsidRPr="005E7D14">
                    <w:rPr>
                      <w:rFonts w:cs="Arial"/>
                      <w:color w:val="FF0000"/>
                    </w:rPr>
                    <w:t xml:space="preserve"> =</w:t>
                  </w:r>
                  <w:proofErr w:type="gramEnd"/>
                  <w:r w:rsidRPr="005E7D14">
                    <w:rPr>
                      <w:rFonts w:cs="Arial"/>
                      <w:color w:val="FF0000"/>
                    </w:rPr>
                    <w:t xml:space="preserve"> WUE or CUE </w:t>
                  </w:r>
                  <w:r>
                    <w:rPr>
                      <w:rFonts w:cs="Arial"/>
                      <w:color w:val="FF0000"/>
                    </w:rPr>
                    <w:t xml:space="preserve">or PUE </w:t>
                  </w:r>
                  <w:r w:rsidRPr="005E7D14">
                    <w:rPr>
                      <w:rFonts w:cs="Arial"/>
                      <w:color w:val="FF0000"/>
                    </w:rPr>
                    <w:t xml:space="preserve">display </w:t>
                  </w:r>
                </w:p>
                <w:p w14:paraId="625F8C08" w14:textId="77777777" w:rsidR="002F0A59" w:rsidRPr="005E7D14" w:rsidRDefault="002F0A59" w:rsidP="00175059">
                  <w:pPr>
                    <w:rPr>
                      <w:rFonts w:cs="Arial"/>
                    </w:rPr>
                  </w:pPr>
                  <w:r>
                    <w:rPr>
                      <w:rFonts w:cs="Arial"/>
                    </w:rPr>
                    <w:t>complete the review</w:t>
                  </w:r>
                </w:p>
              </w:tc>
            </w:tr>
            <w:tr w:rsidR="002F0A59" w:rsidRPr="005E7D14" w14:paraId="3C599788" w14:textId="77777777" w:rsidTr="00175059">
              <w:trPr>
                <w:trHeight w:val="358"/>
              </w:trPr>
              <w:tc>
                <w:tcPr>
                  <w:tcW w:w="6815" w:type="dxa"/>
                </w:tcPr>
                <w:p w14:paraId="410C41EB" w14:textId="77777777" w:rsidR="002F0A59" w:rsidRPr="005E7D14" w:rsidRDefault="002F0A59" w:rsidP="00175059">
                  <w:pPr>
                    <w:rPr>
                      <w:rFonts w:cs="Arial"/>
                      <w:color w:val="FF0000"/>
                    </w:rPr>
                  </w:pPr>
                  <w:r w:rsidRPr="005E7D14">
                    <w:rPr>
                      <w:rFonts w:cs="Arial"/>
                      <w:color w:val="FF0000"/>
                    </w:rPr>
                    <w:t xml:space="preserve">else if </w:t>
                  </w:r>
                  <w:r w:rsidRPr="005E7D14">
                    <w:rPr>
                      <w:rFonts w:cs="Arial"/>
                      <w:bCs/>
                      <w:color w:val="00B050"/>
                    </w:rPr>
                    <w:t>{</w:t>
                  </w:r>
                  <w:proofErr w:type="gramStart"/>
                  <w:r w:rsidRPr="005E7D14">
                    <w:rPr>
                      <w:rFonts w:cs="Arial"/>
                      <w:bCs/>
                      <w:color w:val="00B050"/>
                    </w:rPr>
                    <w:t xml:space="preserve">REVIEWTYPE} </w:t>
                  </w:r>
                  <w:r w:rsidRPr="005E7D14">
                    <w:rPr>
                      <w:rFonts w:cs="Arial"/>
                      <w:color w:val="FF0000"/>
                    </w:rPr>
                    <w:t xml:space="preserve"> =</w:t>
                  </w:r>
                  <w:proofErr w:type="gramEnd"/>
                  <w:r w:rsidRPr="005E7D14">
                    <w:rPr>
                      <w:rFonts w:cs="Arial"/>
                      <w:color w:val="FF0000"/>
                    </w:rPr>
                    <w:t xml:space="preserve"> SUE display </w:t>
                  </w:r>
                </w:p>
                <w:p w14:paraId="0E49B2B6" w14:textId="77777777" w:rsidR="002F0A59" w:rsidRPr="005E7D14" w:rsidRDefault="002F0A59" w:rsidP="00175059">
                  <w:pPr>
                    <w:rPr>
                      <w:rFonts w:cs="Arial"/>
                    </w:rPr>
                  </w:pPr>
                  <w:r w:rsidRPr="005E7D14">
                    <w:rPr>
                      <w:rFonts w:cs="Arial"/>
                    </w:rPr>
                    <w:t xml:space="preserve">confirm </w:t>
                  </w:r>
                  <w:r>
                    <w:rPr>
                      <w:rFonts w:cs="Arial"/>
                    </w:rPr>
                    <w:t xml:space="preserve">or update </w:t>
                  </w:r>
                  <w:r w:rsidRPr="005E7D14">
                    <w:rPr>
                      <w:rFonts w:cs="Arial"/>
                    </w:rPr>
                    <w:t xml:space="preserve">your </w:t>
                  </w:r>
                  <w:r>
                    <w:rPr>
                      <w:rFonts w:cs="Arial"/>
                    </w:rPr>
                    <w:t xml:space="preserve">study and </w:t>
                  </w:r>
                  <w:r w:rsidRPr="005E7D14">
                    <w:rPr>
                      <w:rFonts w:cs="Arial"/>
                    </w:rPr>
                    <w:t>scholarship</w:t>
                  </w:r>
                  <w:r>
                    <w:rPr>
                      <w:rFonts w:cs="Arial"/>
                    </w:rPr>
                    <w:t xml:space="preserve"> details</w:t>
                  </w:r>
                </w:p>
              </w:tc>
            </w:tr>
            <w:tr w:rsidR="002F0A59" w:rsidRPr="005E7D14" w14:paraId="6F05BCEC" w14:textId="77777777" w:rsidTr="00175059">
              <w:trPr>
                <w:trHeight w:val="347"/>
              </w:trPr>
              <w:tc>
                <w:tcPr>
                  <w:tcW w:w="6815" w:type="dxa"/>
                </w:tcPr>
                <w:p w14:paraId="541704B6" w14:textId="77777777" w:rsidR="002F0A59" w:rsidRPr="005E7D14" w:rsidRDefault="002F0A59" w:rsidP="00175059">
                  <w:pPr>
                    <w:rPr>
                      <w:rFonts w:cs="Arial"/>
                      <w:color w:val="FF0000"/>
                    </w:rPr>
                  </w:pPr>
                  <w:r w:rsidRPr="005E7D14">
                    <w:rPr>
                      <w:rFonts w:cs="Arial"/>
                      <w:color w:val="FF0000"/>
                    </w:rPr>
                    <w:t xml:space="preserve">else if </w:t>
                  </w:r>
                  <w:r w:rsidRPr="005E7D14">
                    <w:rPr>
                      <w:rFonts w:cs="Arial"/>
                      <w:bCs/>
                      <w:color w:val="00B050"/>
                    </w:rPr>
                    <w:t>{</w:t>
                  </w:r>
                  <w:proofErr w:type="gramStart"/>
                  <w:r w:rsidRPr="005E7D14">
                    <w:rPr>
                      <w:rFonts w:cs="Arial"/>
                      <w:bCs/>
                      <w:color w:val="00B050"/>
                    </w:rPr>
                    <w:t xml:space="preserve">REVIEWTYPE} </w:t>
                  </w:r>
                  <w:r w:rsidRPr="005E7D14">
                    <w:rPr>
                      <w:rFonts w:cs="Arial"/>
                      <w:color w:val="FF0000"/>
                    </w:rPr>
                    <w:t xml:space="preserve"> =</w:t>
                  </w:r>
                  <w:proofErr w:type="gramEnd"/>
                  <w:r w:rsidRPr="005E7D14">
                    <w:rPr>
                      <w:rFonts w:cs="Arial"/>
                      <w:color w:val="FF0000"/>
                    </w:rPr>
                    <w:t xml:space="preserve"> NUE display </w:t>
                  </w:r>
                </w:p>
                <w:p w14:paraId="121C9ED3" w14:textId="77777777" w:rsidR="002F0A59" w:rsidRPr="005E7D14" w:rsidRDefault="002F0A59" w:rsidP="00175059">
                  <w:pPr>
                    <w:rPr>
                      <w:rFonts w:cs="Arial"/>
                    </w:rPr>
                  </w:pPr>
                  <w:r w:rsidRPr="005E7D14">
                    <w:rPr>
                      <w:rFonts w:cs="Arial"/>
                    </w:rPr>
                    <w:t>confirm or update your</w:t>
                  </w:r>
                  <w:r>
                    <w:rPr>
                      <w:rFonts w:cs="Arial"/>
                    </w:rPr>
                    <w:t xml:space="preserve"> details</w:t>
                  </w:r>
                </w:p>
              </w:tc>
            </w:tr>
            <w:tr w:rsidR="002F0A59" w:rsidRPr="005E7D14" w14:paraId="517BF4EF" w14:textId="77777777" w:rsidTr="00175059">
              <w:trPr>
                <w:trHeight w:val="179"/>
              </w:trPr>
              <w:tc>
                <w:tcPr>
                  <w:tcW w:w="6815" w:type="dxa"/>
                </w:tcPr>
                <w:p w14:paraId="4A2D9362" w14:textId="77777777" w:rsidR="002F0A59" w:rsidRPr="005E7D14" w:rsidRDefault="002F0A59" w:rsidP="00175059">
                  <w:pPr>
                    <w:rPr>
                      <w:rFonts w:cs="Arial"/>
                    </w:rPr>
                  </w:pPr>
                  <w:r w:rsidRPr="005E7D14">
                    <w:rPr>
                      <w:rFonts w:cs="Arial"/>
                      <w:color w:val="FF0000"/>
                    </w:rPr>
                    <w:t>End if</w:t>
                  </w:r>
                </w:p>
              </w:tc>
            </w:tr>
          </w:tbl>
          <w:p w14:paraId="1B7068F7" w14:textId="77777777" w:rsidR="002F0A59" w:rsidRPr="005E7D14" w:rsidRDefault="002F0A59" w:rsidP="00175059">
            <w:pPr>
              <w:rPr>
                <w:rFonts w:cs="Arial"/>
              </w:rPr>
            </w:pPr>
            <w:r w:rsidRPr="005E7D14">
              <w:rPr>
                <w:rFonts w:cs="Arial"/>
              </w:rPr>
              <w:t xml:space="preserve"> </w:t>
            </w:r>
            <w:r w:rsidRPr="005E7D14">
              <w:rPr>
                <w:rFonts w:cs="Arial"/>
                <w:b/>
              </w:rPr>
              <w:t xml:space="preserve">by </w:t>
            </w:r>
            <w:r w:rsidRPr="005E7D14">
              <w:rPr>
                <w:rFonts w:cs="Arial"/>
                <w:b/>
                <w:color w:val="00B050"/>
              </w:rPr>
              <w:t>{Date}</w:t>
            </w:r>
            <w:r w:rsidRPr="005E7D14">
              <w:rPr>
                <w:rFonts w:cs="Arial"/>
                <w:b/>
              </w:rPr>
              <w:t xml:space="preserve"> </w:t>
            </w:r>
            <w:r w:rsidRPr="005E7D14">
              <w:rPr>
                <w:rFonts w:cs="Arial"/>
              </w:rPr>
              <w:t xml:space="preserve"> </w:t>
            </w:r>
          </w:p>
          <w:tbl>
            <w:tblPr>
              <w:tblStyle w:val="TableGrid"/>
              <w:tblW w:w="0" w:type="auto"/>
              <w:tblLook w:val="04A0" w:firstRow="1" w:lastRow="0" w:firstColumn="1" w:lastColumn="0" w:noHBand="0" w:noVBand="1"/>
            </w:tblPr>
            <w:tblGrid>
              <w:gridCol w:w="8527"/>
            </w:tblGrid>
            <w:tr w:rsidR="002F0A59" w:rsidRPr="005E7D14" w14:paraId="70938C17" w14:textId="77777777" w:rsidTr="00175059">
              <w:tc>
                <w:tcPr>
                  <w:tcW w:w="8527" w:type="dxa"/>
                </w:tcPr>
                <w:p w14:paraId="42779409" w14:textId="77777777" w:rsidR="002F0A59" w:rsidRPr="005E7D14" w:rsidRDefault="002F0A59" w:rsidP="00175059">
                  <w:pPr>
                    <w:rPr>
                      <w:rFonts w:cs="Arial"/>
                      <w:color w:val="FF0000"/>
                    </w:rPr>
                  </w:pPr>
                  <w:r w:rsidRPr="005E7D14">
                    <w:rPr>
                      <w:rFonts w:cs="Arial"/>
                      <w:color w:val="FF0000"/>
                    </w:rPr>
                    <w:t xml:space="preserve">if </w:t>
                  </w:r>
                  <w:r w:rsidRPr="005E7D14">
                    <w:rPr>
                      <w:rFonts w:cs="Arial"/>
                      <w:bCs/>
                      <w:color w:val="00B050"/>
                    </w:rPr>
                    <w:t xml:space="preserve">{REVIEWTYPE} </w:t>
                  </w:r>
                  <w:r w:rsidRPr="005E7D14">
                    <w:rPr>
                      <w:rFonts w:cs="Arial"/>
                      <w:color w:val="FF0000"/>
                    </w:rPr>
                    <w:t>= PUE/CUE/WUE/NUE</w:t>
                  </w:r>
                  <w:r>
                    <w:rPr>
                      <w:rFonts w:cs="Arial"/>
                      <w:color w:val="FF0000"/>
                    </w:rPr>
                    <w:t xml:space="preserve"> </w:t>
                  </w:r>
                  <w:r w:rsidRPr="005E7D14">
                    <w:rPr>
                      <w:rFonts w:cs="Arial"/>
                      <w:color w:val="FF0000"/>
                    </w:rPr>
                    <w:t xml:space="preserve">display   </w:t>
                  </w:r>
                </w:p>
                <w:p w14:paraId="007701FA" w14:textId="77777777" w:rsidR="002F0A59" w:rsidRPr="005E7D14" w:rsidRDefault="002F0A59" w:rsidP="00175059">
                  <w:pPr>
                    <w:rPr>
                      <w:rFonts w:cs="Arial"/>
                    </w:rPr>
                  </w:pPr>
                  <w:r w:rsidRPr="005E7D14">
                    <w:rPr>
                      <w:rFonts w:cs="Arial"/>
                    </w:rPr>
                    <w:t>or your payment may stop. If you have been paid too much you will have to pay us back.</w:t>
                  </w:r>
                </w:p>
              </w:tc>
            </w:tr>
            <w:tr w:rsidR="002F0A59" w:rsidRPr="005E7D14" w14:paraId="3334F926" w14:textId="77777777" w:rsidTr="00175059">
              <w:tc>
                <w:tcPr>
                  <w:tcW w:w="8527" w:type="dxa"/>
                </w:tcPr>
                <w:p w14:paraId="67723801" w14:textId="77777777" w:rsidR="002F0A59" w:rsidRDefault="002F0A59" w:rsidP="00175059">
                  <w:pPr>
                    <w:rPr>
                      <w:rFonts w:cs="Arial"/>
                      <w:color w:val="FF0000"/>
                    </w:rPr>
                  </w:pPr>
                  <w:r w:rsidRPr="005E7D14">
                    <w:rPr>
                      <w:rFonts w:cs="Arial"/>
                      <w:color w:val="FF0000"/>
                    </w:rPr>
                    <w:t xml:space="preserve">else if </w:t>
                  </w:r>
                  <w:r w:rsidRPr="005E7D14">
                    <w:rPr>
                      <w:rFonts w:cs="Arial"/>
                      <w:bCs/>
                      <w:color w:val="00B050"/>
                    </w:rPr>
                    <w:t>{</w:t>
                  </w:r>
                  <w:proofErr w:type="gramStart"/>
                  <w:r w:rsidRPr="005E7D14">
                    <w:rPr>
                      <w:rFonts w:cs="Arial"/>
                      <w:bCs/>
                      <w:color w:val="00B050"/>
                    </w:rPr>
                    <w:t xml:space="preserve">REVIEWTYPE} </w:t>
                  </w:r>
                  <w:r w:rsidRPr="005E7D14">
                    <w:rPr>
                      <w:rFonts w:cs="Arial"/>
                      <w:color w:val="FF0000"/>
                    </w:rPr>
                    <w:t xml:space="preserve"> =</w:t>
                  </w:r>
                  <w:proofErr w:type="gramEnd"/>
                  <w:r w:rsidRPr="005E7D14">
                    <w:rPr>
                      <w:rFonts w:cs="Arial"/>
                      <w:color w:val="FF0000"/>
                    </w:rPr>
                    <w:t xml:space="preserve"> SUE display </w:t>
                  </w:r>
                </w:p>
                <w:p w14:paraId="23DB6817" w14:textId="77777777" w:rsidR="002F0A59" w:rsidRPr="005E7D14" w:rsidRDefault="002F0A59" w:rsidP="00175059">
                  <w:pPr>
                    <w:rPr>
                      <w:rFonts w:cs="Arial"/>
                    </w:rPr>
                  </w:pPr>
                  <w:r w:rsidRPr="005E7D14">
                    <w:rPr>
                      <w:rFonts w:cs="Arial"/>
                    </w:rPr>
                    <w:t xml:space="preserve">or </w:t>
                  </w:r>
                  <w:r>
                    <w:rPr>
                      <w:rFonts w:cs="Arial"/>
                    </w:rPr>
                    <w:t>an overpayment may be raised which</w:t>
                  </w:r>
                  <w:r w:rsidRPr="005E7D14">
                    <w:rPr>
                      <w:rFonts w:cs="Arial"/>
                    </w:rPr>
                    <w:t xml:space="preserve"> you will have to pay back.</w:t>
                  </w:r>
                </w:p>
              </w:tc>
            </w:tr>
            <w:tr w:rsidR="002F0A59" w:rsidRPr="005E7D14" w14:paraId="446CFF9A" w14:textId="77777777" w:rsidTr="00175059">
              <w:tc>
                <w:tcPr>
                  <w:tcW w:w="8527" w:type="dxa"/>
                </w:tcPr>
                <w:p w14:paraId="1246E287" w14:textId="77777777" w:rsidR="002F0A59" w:rsidRPr="005E7D14" w:rsidRDefault="002F0A59" w:rsidP="00175059">
                  <w:pPr>
                    <w:rPr>
                      <w:rFonts w:cs="Arial"/>
                    </w:rPr>
                  </w:pPr>
                  <w:r w:rsidRPr="005E7D14">
                    <w:rPr>
                      <w:rFonts w:cs="Arial"/>
                      <w:color w:val="FF0000"/>
                    </w:rPr>
                    <w:t>End if</w:t>
                  </w:r>
                </w:p>
              </w:tc>
            </w:tr>
          </w:tbl>
          <w:p w14:paraId="24969761" w14:textId="77777777" w:rsidR="002F0A59" w:rsidRPr="005E7D14" w:rsidRDefault="002F0A59" w:rsidP="00175059">
            <w:pPr>
              <w:widowControl w:val="0"/>
              <w:autoSpaceDE w:val="0"/>
              <w:autoSpaceDN w:val="0"/>
              <w:adjustRightInd w:val="0"/>
              <w:ind w:right="337"/>
              <w:rPr>
                <w:rFonts w:cs="Arial"/>
                <w:b/>
                <w:bCs/>
              </w:rPr>
            </w:pPr>
          </w:p>
          <w:p w14:paraId="403A3550" w14:textId="77777777" w:rsidR="002F0A59" w:rsidRDefault="002F0A59" w:rsidP="00175059">
            <w:pPr>
              <w:rPr>
                <w:rFonts w:cs="Arial"/>
              </w:rPr>
            </w:pPr>
            <w:r>
              <w:rPr>
                <w:rFonts w:cs="Arial"/>
              </w:rPr>
              <w:t>You can check and update your study details by:</w:t>
            </w:r>
          </w:p>
          <w:p w14:paraId="141C0612" w14:textId="77777777" w:rsidR="002F0A59" w:rsidRDefault="002F0A59" w:rsidP="002F0A59">
            <w:pPr>
              <w:pStyle w:val="ListParagraph"/>
              <w:numPr>
                <w:ilvl w:val="0"/>
                <w:numId w:val="58"/>
              </w:numPr>
              <w:rPr>
                <w:rFonts w:cs="Arial"/>
              </w:rPr>
            </w:pPr>
            <w:r>
              <w:rPr>
                <w:rFonts w:cs="Arial"/>
              </w:rPr>
              <w:t xml:space="preserve">going to </w:t>
            </w:r>
            <w:r>
              <w:rPr>
                <w:rFonts w:cs="Arial"/>
                <w:b/>
                <w:bCs/>
              </w:rPr>
              <w:t>my.gov.au</w:t>
            </w:r>
            <w:r>
              <w:rPr>
                <w:rFonts w:cs="Arial"/>
              </w:rPr>
              <w:t xml:space="preserve"> and signing in and selecting Centrelink to access your online account. Select the ‘</w:t>
            </w:r>
            <w:r>
              <w:rPr>
                <w:rFonts w:cs="Arial"/>
                <w:b/>
              </w:rPr>
              <w:t>Academic Reassessment</w:t>
            </w:r>
            <w:r>
              <w:rPr>
                <w:rFonts w:cs="Arial"/>
              </w:rPr>
              <w:t>’ task, then select the review.</w:t>
            </w:r>
          </w:p>
          <w:p w14:paraId="1221A95F" w14:textId="77777777" w:rsidR="002F0A59" w:rsidRDefault="002F0A59" w:rsidP="002F0A59">
            <w:pPr>
              <w:pStyle w:val="ListParagraph"/>
              <w:keepLines/>
              <w:numPr>
                <w:ilvl w:val="0"/>
                <w:numId w:val="58"/>
              </w:numPr>
              <w:spacing w:before="60" w:after="60"/>
              <w:rPr>
                <w:rFonts w:cs="Arial"/>
              </w:rPr>
            </w:pPr>
            <w:r>
              <w:rPr>
                <w:rFonts w:cs="Arial"/>
                <w:color w:val="000000" w:themeColor="text1"/>
              </w:rPr>
              <w:t xml:space="preserve">using the </w:t>
            </w:r>
            <w:r w:rsidRPr="00D948CF">
              <w:rPr>
                <w:rStyle w:val="Strong"/>
                <w:rFonts w:cs="Arial"/>
                <w:b/>
                <w:color w:val="000000" w:themeColor="text1"/>
                <w:shd w:val="clear" w:color="auto" w:fill="FFFFFF"/>
              </w:rPr>
              <w:t>Express Plus Centrelink mobile app</w:t>
            </w:r>
            <w:r>
              <w:rPr>
                <w:rStyle w:val="Strong"/>
                <w:rFonts w:cs="Arial"/>
                <w:color w:val="000000" w:themeColor="text1"/>
                <w:shd w:val="clear" w:color="auto" w:fill="FFFFFF"/>
              </w:rPr>
              <w:t xml:space="preserve">. </w:t>
            </w:r>
            <w:r>
              <w:rPr>
                <w:rFonts w:cs="Arial"/>
              </w:rPr>
              <w:t>Select the ‘</w:t>
            </w:r>
            <w:r>
              <w:rPr>
                <w:rFonts w:cs="Arial"/>
                <w:b/>
              </w:rPr>
              <w:t>Academic Reassessment</w:t>
            </w:r>
            <w:r>
              <w:rPr>
                <w:rFonts w:cs="Arial"/>
              </w:rPr>
              <w:t>’ task, then select the review.</w:t>
            </w:r>
            <w:r>
              <w:rPr>
                <w:rStyle w:val="Strong"/>
                <w:rFonts w:cs="Arial"/>
                <w:color w:val="000000" w:themeColor="text1"/>
                <w:shd w:val="clear" w:color="auto" w:fill="FFFFFF"/>
              </w:rPr>
              <w:t xml:space="preserve"> You can download the free app to your mobile device. Make sure you have the latest version installed. </w:t>
            </w:r>
            <w:r>
              <w:rPr>
                <w:rFonts w:cs="Arial"/>
                <w:color w:val="000000" w:themeColor="text1"/>
              </w:rPr>
              <w:t>For information, go to</w:t>
            </w:r>
            <w:r>
              <w:rPr>
                <w:rFonts w:cs="Arial"/>
              </w:rPr>
              <w:t xml:space="preserve"> </w:t>
            </w:r>
            <w:r>
              <w:rPr>
                <w:rFonts w:cs="Arial"/>
                <w:b/>
              </w:rPr>
              <w:t>servicesaustralia.gov.au/</w:t>
            </w:r>
            <w:proofErr w:type="spellStart"/>
            <w:proofErr w:type="gramStart"/>
            <w:r>
              <w:rPr>
                <w:rFonts w:cs="Arial"/>
                <w:b/>
              </w:rPr>
              <w:t>expressplus</w:t>
            </w:r>
            <w:proofErr w:type="spellEnd"/>
            <w:proofErr w:type="gramEnd"/>
          </w:p>
          <w:p w14:paraId="306B6A45" w14:textId="77777777" w:rsidR="002F0A59" w:rsidRPr="005E7D14" w:rsidRDefault="002F0A59" w:rsidP="00175059">
            <w:pPr>
              <w:rPr>
                <w:rFonts w:cs="Arial"/>
              </w:rPr>
            </w:pPr>
          </w:p>
          <w:p w14:paraId="23D89ADB" w14:textId="77777777" w:rsidR="002F0A59" w:rsidRPr="00A87EF1" w:rsidRDefault="002F0A59" w:rsidP="00175059">
            <w:pPr>
              <w:widowControl w:val="0"/>
              <w:autoSpaceDE w:val="0"/>
              <w:autoSpaceDN w:val="0"/>
              <w:adjustRightInd w:val="0"/>
              <w:ind w:right="337"/>
              <w:rPr>
                <w:rFonts w:cs="Arial"/>
                <w:bCs/>
              </w:rPr>
            </w:pPr>
            <w:r w:rsidRPr="00250300">
              <w:rPr>
                <w:rFonts w:cs="Arial"/>
                <w:bCs/>
              </w:rPr>
              <w:t>When you’re completing the review, you may be invited to provide documents. You can do this</w:t>
            </w:r>
            <w:r>
              <w:rPr>
                <w:rFonts w:cs="Arial"/>
                <w:bCs/>
              </w:rPr>
              <w:t xml:space="preserve"> </w:t>
            </w:r>
            <w:r w:rsidRPr="005E7D14">
              <w:rPr>
                <w:rFonts w:cs="Arial"/>
                <w:bCs/>
              </w:rPr>
              <w:lastRenderedPageBreak/>
              <w:t>by selecting</w:t>
            </w:r>
            <w:r>
              <w:rPr>
                <w:rFonts w:cs="Arial"/>
                <w:bCs/>
              </w:rPr>
              <w:t xml:space="preserve"> the</w:t>
            </w:r>
            <w:r w:rsidRPr="005E7D14">
              <w:rPr>
                <w:rFonts w:cs="Arial"/>
                <w:bCs/>
              </w:rPr>
              <w:t xml:space="preserve"> '</w:t>
            </w:r>
            <w:r w:rsidRPr="00561563">
              <w:rPr>
                <w:rFonts w:cs="Arial"/>
                <w:b/>
                <w:bCs/>
              </w:rPr>
              <w:t>Upload Document</w:t>
            </w:r>
            <w:r>
              <w:rPr>
                <w:rFonts w:cs="Arial"/>
                <w:b/>
                <w:bCs/>
              </w:rPr>
              <w:t>s</w:t>
            </w:r>
            <w:r w:rsidRPr="001F3EC9">
              <w:rPr>
                <w:rFonts w:cs="Arial"/>
                <w:bCs/>
              </w:rPr>
              <w:t>'</w:t>
            </w:r>
            <w:r w:rsidRPr="00233486">
              <w:rPr>
                <w:rFonts w:cs="Arial"/>
                <w:b/>
                <w:bCs/>
              </w:rPr>
              <w:t xml:space="preserve"> </w:t>
            </w:r>
            <w:r>
              <w:rPr>
                <w:rFonts w:cs="Arial"/>
                <w:bCs/>
              </w:rPr>
              <w:t>button in the ‘</w:t>
            </w:r>
            <w:r w:rsidRPr="00561563">
              <w:rPr>
                <w:rFonts w:cs="Arial"/>
                <w:b/>
                <w:bCs/>
              </w:rPr>
              <w:t>Academic Reassessment</w:t>
            </w:r>
            <w:r>
              <w:rPr>
                <w:rFonts w:cs="Arial"/>
                <w:bCs/>
              </w:rPr>
              <w:t>’ task.</w:t>
            </w:r>
          </w:p>
          <w:p w14:paraId="47B98977" w14:textId="77777777" w:rsidR="002F0A59" w:rsidRDefault="002F0A59" w:rsidP="00175059">
            <w:pPr>
              <w:widowControl w:val="0"/>
              <w:autoSpaceDE w:val="0"/>
              <w:autoSpaceDN w:val="0"/>
              <w:adjustRightInd w:val="0"/>
              <w:ind w:right="337"/>
              <w:rPr>
                <w:rFonts w:cs="Arial"/>
                <w:b/>
                <w:bCs/>
              </w:rPr>
            </w:pPr>
          </w:p>
        </w:tc>
      </w:tr>
    </w:tbl>
    <w:p w14:paraId="07B5690C" w14:textId="77777777" w:rsidR="002F0A59" w:rsidRDefault="002F0A59" w:rsidP="002F0A59">
      <w:pPr>
        <w:widowControl w:val="0"/>
        <w:autoSpaceDE w:val="0"/>
        <w:autoSpaceDN w:val="0"/>
        <w:adjustRightInd w:val="0"/>
        <w:ind w:right="337"/>
        <w:rPr>
          <w:rFonts w:cs="Arial"/>
          <w:b/>
          <w:bCs/>
        </w:rPr>
      </w:pPr>
    </w:p>
    <w:p w14:paraId="558BA8A8" w14:textId="77777777" w:rsidR="002F0A59" w:rsidRDefault="002F0A59" w:rsidP="002F0A59">
      <w:pPr>
        <w:widowControl w:val="0"/>
        <w:autoSpaceDE w:val="0"/>
        <w:autoSpaceDN w:val="0"/>
        <w:adjustRightInd w:val="0"/>
        <w:ind w:right="337"/>
        <w:rPr>
          <w:rFonts w:cs="Arial"/>
          <w:b/>
          <w:bCs/>
        </w:rPr>
      </w:pPr>
    </w:p>
    <w:p w14:paraId="69D210D1" w14:textId="77777777" w:rsidR="002F0A59" w:rsidRDefault="002F0A59" w:rsidP="002F0A59">
      <w:pPr>
        <w:rPr>
          <w:rFonts w:cs="Arial"/>
        </w:rPr>
      </w:pPr>
    </w:p>
    <w:p w14:paraId="3ADC0F52" w14:textId="77777777" w:rsidR="002F0A59" w:rsidRPr="002B3F27" w:rsidRDefault="002F0A59" w:rsidP="002F0A59">
      <w:pPr>
        <w:keepLines/>
        <w:rPr>
          <w:rFonts w:cs="Arial"/>
          <w:b/>
        </w:rPr>
      </w:pPr>
      <w:r w:rsidRPr="002B3F27">
        <w:rPr>
          <w:rFonts w:cs="Arial"/>
          <w:b/>
        </w:rPr>
        <w:t>More information</w:t>
      </w:r>
    </w:p>
    <w:p w14:paraId="27449E1F" w14:textId="77777777" w:rsidR="002F0A59" w:rsidRDefault="002F0A59" w:rsidP="002F0A59">
      <w:pPr>
        <w:rPr>
          <w:rFonts w:cs="Arial"/>
          <w:b/>
        </w:rPr>
      </w:pPr>
      <w:r w:rsidRPr="00C06578">
        <w:rPr>
          <w:rFonts w:cs="Arial"/>
        </w:rPr>
        <w:t xml:space="preserve">If you have any questions about the letter, </w:t>
      </w:r>
      <w:r>
        <w:rPr>
          <w:rFonts w:cs="Arial"/>
        </w:rPr>
        <w:t>please</w:t>
      </w:r>
      <w:r w:rsidRPr="007B7795">
        <w:rPr>
          <w:rFonts w:cs="Arial"/>
        </w:rPr>
        <w:t xml:space="preserve"> call us on </w:t>
      </w:r>
      <w:r w:rsidRPr="0080147A">
        <w:rPr>
          <w:rFonts w:cs="Arial"/>
          <w:color w:val="00B050"/>
        </w:rPr>
        <w:t>{PHONE.NUMBER}</w:t>
      </w:r>
      <w:r>
        <w:rPr>
          <w:rFonts w:cs="Arial"/>
          <w:color w:val="00B050"/>
        </w:rPr>
        <w:t xml:space="preserve"> </w:t>
      </w:r>
      <w:r>
        <w:rPr>
          <w:rFonts w:cs="Arial"/>
        </w:rPr>
        <w:t>(call charges may apply</w:t>
      </w:r>
      <w:proofErr w:type="gramStart"/>
      <w:r>
        <w:rPr>
          <w:rFonts w:cs="Arial"/>
        </w:rPr>
        <w:t>).For</w:t>
      </w:r>
      <w:proofErr w:type="gramEnd"/>
      <w:r>
        <w:rPr>
          <w:rFonts w:cs="Arial"/>
        </w:rPr>
        <w:t xml:space="preserve"> more information about student payments, please go to </w:t>
      </w:r>
      <w:r>
        <w:rPr>
          <w:rFonts w:cs="Arial"/>
          <w:b/>
        </w:rPr>
        <w:t>servicesaustralia.gov.au/students</w:t>
      </w:r>
    </w:p>
    <w:p w14:paraId="0E72E33B" w14:textId="77777777" w:rsidR="002F0A59" w:rsidRPr="002B3F27" w:rsidRDefault="002F0A59" w:rsidP="002F0A59">
      <w:pPr>
        <w:rPr>
          <w:rFonts w:cs="Arial"/>
        </w:rPr>
      </w:pPr>
    </w:p>
    <w:p w14:paraId="68840B59" w14:textId="77777777" w:rsidR="002F0A59" w:rsidRPr="002B3F27" w:rsidRDefault="002F0A59" w:rsidP="002F0A59">
      <w:pPr>
        <w:keepLines/>
        <w:rPr>
          <w:rFonts w:cs="Arial"/>
        </w:rPr>
      </w:pPr>
      <w:r w:rsidRPr="002B3F27">
        <w:rPr>
          <w:rFonts w:cs="Arial"/>
        </w:rPr>
        <w:t>Yours sincerely</w:t>
      </w:r>
    </w:p>
    <w:p w14:paraId="2CB44906" w14:textId="77777777" w:rsidR="002F0A59" w:rsidRPr="002B3F27" w:rsidRDefault="002F0A59" w:rsidP="002F0A59">
      <w:pPr>
        <w:keepLines/>
        <w:rPr>
          <w:rFonts w:cs="Arial"/>
        </w:rPr>
      </w:pPr>
    </w:p>
    <w:p w14:paraId="1B62300B" w14:textId="77777777" w:rsidR="002F0A59" w:rsidRPr="002B3F27" w:rsidRDefault="002F0A59" w:rsidP="002F0A59">
      <w:pPr>
        <w:keepLines/>
        <w:rPr>
          <w:rFonts w:cs="Arial"/>
        </w:rPr>
      </w:pPr>
    </w:p>
    <w:p w14:paraId="20D9C6B4" w14:textId="77777777" w:rsidR="002F0A59" w:rsidRDefault="002F0A59" w:rsidP="002F0A59">
      <w:pPr>
        <w:tabs>
          <w:tab w:val="right" w:pos="9781"/>
        </w:tabs>
        <w:autoSpaceDE w:val="0"/>
        <w:autoSpaceDN w:val="0"/>
        <w:adjustRightInd w:val="0"/>
        <w:ind w:right="284"/>
        <w:rPr>
          <w:rFonts w:cs="Arial"/>
          <w:color w:val="000000"/>
          <w:lang w:val="en-US"/>
        </w:rPr>
      </w:pPr>
      <w:r>
        <w:rPr>
          <w:rFonts w:cs="Arial"/>
          <w:color w:val="008000"/>
          <w:lang w:val="en-US"/>
        </w:rPr>
        <w:t>{OIC.NAME}</w:t>
      </w:r>
    </w:p>
    <w:p w14:paraId="5DA89D6A" w14:textId="77777777" w:rsidR="002F0A59" w:rsidRDefault="002F0A59" w:rsidP="002F0A59">
      <w:pPr>
        <w:tabs>
          <w:tab w:val="right" w:pos="9781"/>
        </w:tabs>
        <w:autoSpaceDE w:val="0"/>
        <w:autoSpaceDN w:val="0"/>
        <w:adjustRightInd w:val="0"/>
        <w:ind w:right="284"/>
        <w:rPr>
          <w:rFonts w:cs="Arial"/>
          <w:color w:val="008000"/>
          <w:lang w:val="en-US"/>
        </w:rPr>
      </w:pPr>
      <w:r w:rsidRPr="00446626">
        <w:rPr>
          <w:rFonts w:cs="Arial"/>
          <w:color w:val="008000"/>
          <w:lang w:val="en-US"/>
        </w:rPr>
        <w:t>{OIC.TITLE</w:t>
      </w:r>
      <w:r>
        <w:rPr>
          <w:rFonts w:cs="Arial"/>
          <w:color w:val="008000"/>
          <w:lang w:val="en-US"/>
        </w:rPr>
        <w:t>}</w:t>
      </w:r>
    </w:p>
    <w:p w14:paraId="28ABC3ED" w14:textId="77777777" w:rsidR="002F0A59" w:rsidRDefault="002F0A59" w:rsidP="002F0A59">
      <w:pPr>
        <w:widowControl w:val="0"/>
        <w:autoSpaceDE w:val="0"/>
        <w:autoSpaceDN w:val="0"/>
        <w:adjustRightInd w:val="0"/>
        <w:ind w:left="426" w:right="337"/>
        <w:rPr>
          <w:rFonts w:cs="Arial"/>
          <w:b/>
          <w:bCs/>
        </w:rPr>
      </w:pPr>
    </w:p>
    <w:p w14:paraId="60881B76" w14:textId="77777777" w:rsidR="002F0A59" w:rsidRDefault="002F0A59" w:rsidP="002F0A59">
      <w:pPr>
        <w:widowControl w:val="0"/>
        <w:autoSpaceDE w:val="0"/>
        <w:autoSpaceDN w:val="0"/>
        <w:adjustRightInd w:val="0"/>
        <w:ind w:left="426" w:right="337"/>
        <w:rPr>
          <w:rFonts w:cs="Arial"/>
          <w:b/>
          <w:bCs/>
        </w:rPr>
      </w:pPr>
    </w:p>
    <w:p w14:paraId="609258D4" w14:textId="77777777" w:rsidR="002F0A59" w:rsidRDefault="002F0A59" w:rsidP="002F0A59">
      <w:pPr>
        <w:spacing w:after="160" w:line="259" w:lineRule="auto"/>
        <w:rPr>
          <w:rFonts w:cs="Arial"/>
          <w:b/>
          <w:bCs/>
        </w:rPr>
      </w:pPr>
      <w:r>
        <w:rPr>
          <w:rFonts w:cs="Arial"/>
          <w:b/>
          <w:bCs/>
        </w:rPr>
        <w:br w:type="page"/>
      </w:r>
    </w:p>
    <w:p w14:paraId="6966AA7C" w14:textId="77777777" w:rsidR="002F0A59" w:rsidRPr="002B3F27" w:rsidRDefault="002F0A59" w:rsidP="002F0A59">
      <w:pPr>
        <w:widowControl w:val="0"/>
        <w:autoSpaceDE w:val="0"/>
        <w:autoSpaceDN w:val="0"/>
        <w:adjustRightInd w:val="0"/>
        <w:ind w:left="426" w:right="337"/>
        <w:rPr>
          <w:rFonts w:cs="Arial"/>
          <w:b/>
          <w:bCs/>
        </w:rPr>
      </w:pPr>
    </w:p>
    <w:p w14:paraId="22A73F59" w14:textId="77777777" w:rsidR="002F0A59" w:rsidRPr="006C79A3" w:rsidRDefault="002F0A59" w:rsidP="002F0A59">
      <w:pPr>
        <w:rPr>
          <w:sz w:val="16"/>
          <w:szCs w:val="16"/>
        </w:rPr>
      </w:pPr>
      <w:r w:rsidRPr="006C79A3">
        <w:rPr>
          <w:sz w:val="16"/>
          <w:szCs w:val="16"/>
        </w:rPr>
        <w:t>[Letter Back]</w:t>
      </w:r>
    </w:p>
    <w:p w14:paraId="05360D2E" w14:textId="77777777" w:rsidR="002F0A59" w:rsidRPr="00422D50" w:rsidRDefault="002F0A59" w:rsidP="002F0A59">
      <w:pPr>
        <w:widowControl w:val="0"/>
        <w:autoSpaceDE w:val="0"/>
        <w:autoSpaceDN w:val="0"/>
        <w:adjustRightInd w:val="0"/>
        <w:ind w:right="337"/>
        <w:rPr>
          <w:rFonts w:cs="Arial"/>
          <w:b/>
          <w:bCs/>
        </w:rPr>
      </w:pPr>
      <w:r w:rsidRPr="00422D50">
        <w:rPr>
          <w:rFonts w:cs="Arial"/>
          <w:b/>
          <w:bCs/>
        </w:rPr>
        <w:t xml:space="preserve">Your reference number is </w:t>
      </w:r>
      <w:r w:rsidRPr="00422D50">
        <w:rPr>
          <w:rFonts w:cs="Arial"/>
          <w:b/>
          <w:bCs/>
          <w:color w:val="009900"/>
        </w:rPr>
        <w:t>{CRN}</w:t>
      </w:r>
    </w:p>
    <w:p w14:paraId="05A45B02" w14:textId="77777777" w:rsidR="002F0A59" w:rsidRPr="00335C25" w:rsidRDefault="002F0A59" w:rsidP="002F0A59">
      <w:pPr>
        <w:ind w:right="337"/>
        <w:rPr>
          <w:rFonts w:cs="Arial"/>
          <w:b/>
        </w:rPr>
      </w:pPr>
    </w:p>
    <w:p w14:paraId="0D43FF2C" w14:textId="77777777" w:rsidR="002F0A59" w:rsidRDefault="002F0A59" w:rsidP="002F0A59">
      <w:pPr>
        <w:ind w:right="337"/>
        <w:rPr>
          <w:rFonts w:cs="Arial"/>
          <w:b/>
        </w:rPr>
      </w:pPr>
      <w:r>
        <w:rPr>
          <w:rFonts w:cs="Arial"/>
          <w:b/>
        </w:rPr>
        <w:t xml:space="preserve">Our authority to request this </w:t>
      </w:r>
      <w:proofErr w:type="gramStart"/>
      <w:r>
        <w:rPr>
          <w:rFonts w:cs="Arial"/>
          <w:b/>
        </w:rPr>
        <w:t>information</w:t>
      </w:r>
      <w:proofErr w:type="gramEnd"/>
    </w:p>
    <w:tbl>
      <w:tblPr>
        <w:tblStyle w:val="TableGrid"/>
        <w:tblW w:w="0" w:type="auto"/>
        <w:tblLook w:val="04A0" w:firstRow="1" w:lastRow="0" w:firstColumn="1" w:lastColumn="0" w:noHBand="0" w:noVBand="1"/>
      </w:tblPr>
      <w:tblGrid>
        <w:gridCol w:w="9016"/>
      </w:tblGrid>
      <w:tr w:rsidR="002F0A59" w14:paraId="2C6D5C1A" w14:textId="77777777" w:rsidTr="00175059">
        <w:tc>
          <w:tcPr>
            <w:tcW w:w="9016" w:type="dxa"/>
          </w:tcPr>
          <w:p w14:paraId="04A0EB3E" w14:textId="77777777" w:rsidR="002F0A59" w:rsidRDefault="002F0A59" w:rsidP="00175059">
            <w:pPr>
              <w:rPr>
                <w:rFonts w:cs="Arial"/>
              </w:rPr>
            </w:pPr>
            <w:r w:rsidRPr="00BC6AAA">
              <w:rPr>
                <w:rFonts w:cs="Arial"/>
                <w:color w:val="FF0000"/>
              </w:rPr>
              <w:t xml:space="preserve">If </w:t>
            </w:r>
            <w:r w:rsidRPr="00446626">
              <w:rPr>
                <w:rFonts w:cs="Arial"/>
                <w:color w:val="008000"/>
              </w:rPr>
              <w:t>{PAYMENT.TYPE}</w:t>
            </w:r>
            <w:r w:rsidRPr="00BC6AAA">
              <w:rPr>
                <w:rFonts w:cs="Arial"/>
                <w:color w:val="FF0000"/>
              </w:rPr>
              <w:t xml:space="preserve"> = AUS/</w:t>
            </w:r>
            <w:r>
              <w:rPr>
                <w:rFonts w:cs="Arial"/>
                <w:color w:val="FF0000"/>
              </w:rPr>
              <w:t>EPF/</w:t>
            </w:r>
            <w:r w:rsidRPr="00BC6AAA">
              <w:rPr>
                <w:rFonts w:cs="Arial"/>
                <w:color w:val="FF0000"/>
              </w:rPr>
              <w:t>PES/YAL</w:t>
            </w:r>
          </w:p>
        </w:tc>
      </w:tr>
      <w:tr w:rsidR="002F0A59" w14:paraId="24644A3E" w14:textId="77777777" w:rsidTr="00175059">
        <w:tc>
          <w:tcPr>
            <w:tcW w:w="9016" w:type="dxa"/>
          </w:tcPr>
          <w:p w14:paraId="7A731C38" w14:textId="77777777" w:rsidR="002F0A59" w:rsidRDefault="002F0A59" w:rsidP="00175059">
            <w:pPr>
              <w:rPr>
                <w:rFonts w:cs="Arial"/>
                <w:color w:val="000000"/>
              </w:rPr>
            </w:pPr>
            <w:r w:rsidRPr="00EF12F7">
              <w:rPr>
                <w:rFonts w:cs="Arial"/>
                <w:color w:val="000000"/>
              </w:rPr>
              <w:t>This is a</w:t>
            </w:r>
            <w:r>
              <w:rPr>
                <w:rFonts w:cs="Arial"/>
                <w:color w:val="000000"/>
              </w:rPr>
              <w:t xml:space="preserve">n information notice issued under social security law. </w:t>
            </w:r>
            <w:r w:rsidRPr="00250300">
              <w:rPr>
                <w:rFonts w:cs="Arial"/>
                <w:color w:val="000000"/>
              </w:rPr>
              <w:t>You must comply with it by providing the information requested by the due date specified in the notice. It is an offence to refuse or fail to comply with an information notice.</w:t>
            </w:r>
          </w:p>
          <w:p w14:paraId="2D0E9B30" w14:textId="77777777" w:rsidR="002F0A59" w:rsidRPr="00250300" w:rsidRDefault="002F0A59" w:rsidP="00175059">
            <w:pPr>
              <w:rPr>
                <w:rFonts w:cs="Arial"/>
                <w:color w:val="000000"/>
              </w:rPr>
            </w:pPr>
            <w:r w:rsidRPr="00250300">
              <w:rPr>
                <w:rFonts w:cs="Arial"/>
                <w:color w:val="000000"/>
              </w:rPr>
              <w:t xml:space="preserve">Giving false or misleading information is a serious offence. </w:t>
            </w:r>
          </w:p>
        </w:tc>
      </w:tr>
      <w:tr w:rsidR="002F0A59" w14:paraId="0E625505" w14:textId="77777777" w:rsidTr="00175059">
        <w:tc>
          <w:tcPr>
            <w:tcW w:w="9016" w:type="dxa"/>
          </w:tcPr>
          <w:p w14:paraId="36810324" w14:textId="77777777" w:rsidR="002F0A59" w:rsidRDefault="002F0A59" w:rsidP="00175059">
            <w:pPr>
              <w:rPr>
                <w:rFonts w:cs="Arial"/>
              </w:rPr>
            </w:pPr>
            <w:r>
              <w:rPr>
                <w:rFonts w:cs="Arial"/>
                <w:color w:val="FF0000"/>
              </w:rPr>
              <w:t xml:space="preserve">Else </w:t>
            </w:r>
            <w:r w:rsidRPr="00BC6AAA">
              <w:rPr>
                <w:rFonts w:cs="Arial"/>
                <w:color w:val="FF0000"/>
              </w:rPr>
              <w:t xml:space="preserve">If </w:t>
            </w:r>
            <w:r w:rsidRPr="00446626">
              <w:rPr>
                <w:rFonts w:cs="Arial"/>
                <w:color w:val="008000"/>
              </w:rPr>
              <w:t xml:space="preserve">{PAYMENT.TYPE} </w:t>
            </w:r>
            <w:r w:rsidRPr="00BC6AAA">
              <w:rPr>
                <w:rFonts w:cs="Arial"/>
                <w:color w:val="FF0000"/>
              </w:rPr>
              <w:t>= ABY/EPA</w:t>
            </w:r>
          </w:p>
        </w:tc>
      </w:tr>
      <w:tr w:rsidR="002F0A59" w14:paraId="40808AB3" w14:textId="77777777" w:rsidTr="00175059">
        <w:tc>
          <w:tcPr>
            <w:tcW w:w="9016" w:type="dxa"/>
          </w:tcPr>
          <w:p w14:paraId="6D646B98" w14:textId="77777777" w:rsidR="002F0A59" w:rsidRDefault="002F0A59" w:rsidP="00175059">
            <w:pPr>
              <w:spacing w:before="100" w:beforeAutospacing="1" w:after="100" w:afterAutospacing="1"/>
              <w:rPr>
                <w:rFonts w:cs="Arial"/>
              </w:rPr>
            </w:pPr>
            <w:r w:rsidRPr="00EF12F7">
              <w:rPr>
                <w:rFonts w:cs="Arial"/>
                <w:color w:val="000000"/>
              </w:rPr>
              <w:t xml:space="preserve">This is a request made under chapter 1.5 of the </w:t>
            </w:r>
            <w:r w:rsidRPr="00EF12F7">
              <w:rPr>
                <w:rFonts w:cs="Arial"/>
                <w:i/>
                <w:iCs/>
                <w:color w:val="000000"/>
              </w:rPr>
              <w:t>ABSTUDY Policy Manual</w:t>
            </w:r>
            <w:r w:rsidRPr="00EF12F7">
              <w:rPr>
                <w:rFonts w:cs="Arial"/>
                <w:color w:val="000000"/>
              </w:rPr>
              <w:t>.</w:t>
            </w:r>
          </w:p>
        </w:tc>
      </w:tr>
      <w:tr w:rsidR="002F0A59" w14:paraId="5A86C7FF" w14:textId="77777777" w:rsidTr="00175059">
        <w:tc>
          <w:tcPr>
            <w:tcW w:w="9016" w:type="dxa"/>
          </w:tcPr>
          <w:p w14:paraId="1E55BED6" w14:textId="77777777" w:rsidR="002F0A59" w:rsidDel="00486AB4" w:rsidRDefault="002F0A59" w:rsidP="00175059">
            <w:pPr>
              <w:spacing w:before="100" w:beforeAutospacing="1" w:after="100" w:afterAutospacing="1"/>
              <w:rPr>
                <w:rFonts w:cs="Arial"/>
              </w:rPr>
            </w:pPr>
            <w:r w:rsidRPr="00585DC7">
              <w:rPr>
                <w:rFonts w:cs="Arial"/>
                <w:color w:val="FF0000"/>
              </w:rPr>
              <w:t>End IF</w:t>
            </w:r>
          </w:p>
        </w:tc>
      </w:tr>
    </w:tbl>
    <w:p w14:paraId="7FB35A93" w14:textId="77777777" w:rsidR="002F0A59" w:rsidRDefault="002F0A59" w:rsidP="002F0A59">
      <w:pPr>
        <w:ind w:right="337"/>
        <w:rPr>
          <w:rFonts w:cs="Arial"/>
          <w:b/>
        </w:rPr>
      </w:pPr>
    </w:p>
    <w:p w14:paraId="1EA6AA8C" w14:textId="77777777" w:rsidR="002F0A59" w:rsidRPr="003E546F" w:rsidRDefault="002F0A59" w:rsidP="002F0A59">
      <w:pPr>
        <w:ind w:right="337"/>
        <w:rPr>
          <w:rFonts w:cs="Arial"/>
          <w:b/>
        </w:rPr>
      </w:pPr>
      <w:r w:rsidRPr="003E546F">
        <w:rPr>
          <w:rFonts w:cs="Arial"/>
          <w:b/>
        </w:rPr>
        <w:t>Privacy and your personal information</w:t>
      </w:r>
    </w:p>
    <w:p w14:paraId="7AE97B1F" w14:textId="77777777" w:rsidR="002F0A59" w:rsidRDefault="002F0A59" w:rsidP="002F0A59">
      <w:pPr>
        <w:ind w:right="337"/>
        <w:rPr>
          <w:rFonts w:cs="Arial"/>
        </w:rPr>
      </w:pPr>
      <w:r w:rsidRPr="008A4D42">
        <w:rPr>
          <w:rFonts w:cs="Arial"/>
        </w:rPr>
        <w:t xml:space="preserve">The privacy and security of your personal information is important to </w:t>
      </w:r>
      <w:proofErr w:type="gramStart"/>
      <w:r w:rsidRPr="008A4D42">
        <w:rPr>
          <w:rFonts w:cs="Arial"/>
        </w:rPr>
        <w:t>us, and</w:t>
      </w:r>
      <w:proofErr w:type="gramEnd"/>
      <w:r w:rsidRPr="008A4D42">
        <w:rPr>
          <w:rFonts w:cs="Arial"/>
        </w:rPr>
        <w:t xml:space="preserve"> is protected by law. We need to collect this information so we can process and manage your applications and </w:t>
      </w:r>
      <w:proofErr w:type="gramStart"/>
      <w:r w:rsidRPr="008A4D42">
        <w:rPr>
          <w:rFonts w:cs="Arial"/>
        </w:rPr>
        <w:t>payments, and</w:t>
      </w:r>
      <w:proofErr w:type="gramEnd"/>
      <w:r w:rsidRPr="008A4D42">
        <w:rPr>
          <w:rFonts w:cs="Arial"/>
        </w:rPr>
        <w:t xml:space="preserve"> provide services to you. We only share your information with other parties where you have agreed, or where the law allows or requires it. For more information, go to </w:t>
      </w:r>
      <w:r w:rsidRPr="008A4D42">
        <w:rPr>
          <w:rFonts w:cs="Arial"/>
          <w:b/>
        </w:rPr>
        <w:t>servicesaustralia.gov.au/</w:t>
      </w:r>
      <w:proofErr w:type="gramStart"/>
      <w:r w:rsidRPr="008A4D42">
        <w:rPr>
          <w:rFonts w:cs="Arial"/>
          <w:b/>
        </w:rPr>
        <w:t>privacy</w:t>
      </w:r>
      <w:proofErr w:type="gramEnd"/>
      <w:r w:rsidRPr="003E546F">
        <w:rPr>
          <w:rFonts w:cs="Arial"/>
        </w:rPr>
        <w:t xml:space="preserve"> </w:t>
      </w:r>
    </w:p>
    <w:p w14:paraId="6A25524A" w14:textId="77777777" w:rsidR="002F0A59" w:rsidRDefault="002F0A59" w:rsidP="002F0A59">
      <w:pPr>
        <w:ind w:right="337"/>
        <w:rPr>
          <w:rFonts w:cs="Arial"/>
        </w:rPr>
      </w:pPr>
    </w:p>
    <w:p w14:paraId="34D2CECE" w14:textId="77777777" w:rsidR="002F0A59" w:rsidRPr="008F4AF7" w:rsidRDefault="002F0A59" w:rsidP="002F0A59">
      <w:pPr>
        <w:ind w:right="337"/>
        <w:rPr>
          <w:rFonts w:cs="Arial"/>
          <w:b/>
          <w:bCs/>
        </w:rPr>
      </w:pPr>
      <w:r w:rsidRPr="008F4AF7">
        <w:rPr>
          <w:rFonts w:cs="Arial"/>
          <w:b/>
          <w:bCs/>
        </w:rPr>
        <w:t>If you would like to speak to us in your language</w:t>
      </w:r>
    </w:p>
    <w:p w14:paraId="16547A39" w14:textId="77777777" w:rsidR="002F0A59" w:rsidRPr="008F4AF7" w:rsidRDefault="002F0A59" w:rsidP="002F0A59">
      <w:pPr>
        <w:ind w:right="337"/>
        <w:rPr>
          <w:rFonts w:cs="Arial"/>
        </w:rPr>
      </w:pPr>
      <w:r w:rsidRPr="008F4AF7">
        <w:rPr>
          <w:rFonts w:cs="Arial"/>
        </w:rPr>
        <w:t>If you would like to speak to us in your language, please call 131 202 (call charges may apply). You can also go to </w:t>
      </w:r>
      <w:r w:rsidRPr="008F4AF7">
        <w:rPr>
          <w:rFonts w:cs="Arial"/>
          <w:b/>
          <w:bCs/>
        </w:rPr>
        <w:t>servicesaustralia.gov.au/</w:t>
      </w:r>
      <w:proofErr w:type="spellStart"/>
      <w:r w:rsidRPr="008F4AF7">
        <w:rPr>
          <w:rFonts w:cs="Arial"/>
          <w:b/>
          <w:bCs/>
        </w:rPr>
        <w:t>yourlanguage</w:t>
      </w:r>
      <w:proofErr w:type="spellEnd"/>
      <w:r w:rsidRPr="008F4AF7">
        <w:rPr>
          <w:rFonts w:cs="Arial"/>
        </w:rPr>
        <w:t xml:space="preserve"> where you can read, listen </w:t>
      </w:r>
      <w:proofErr w:type="gramStart"/>
      <w:r w:rsidRPr="008F4AF7">
        <w:rPr>
          <w:rFonts w:cs="Arial"/>
        </w:rPr>
        <w:t>to</w:t>
      </w:r>
      <w:proofErr w:type="gramEnd"/>
      <w:r w:rsidRPr="008F4AF7">
        <w:rPr>
          <w:rFonts w:cs="Arial"/>
        </w:rPr>
        <w:t xml:space="preserve"> or watch information in your language.​</w:t>
      </w:r>
    </w:p>
    <w:p w14:paraId="41E197D3" w14:textId="77777777" w:rsidR="002F0A59" w:rsidRPr="008F4AF7" w:rsidRDefault="002F0A59" w:rsidP="002F0A59">
      <w:pPr>
        <w:ind w:right="337"/>
        <w:rPr>
          <w:rFonts w:cs="Arial"/>
        </w:rPr>
      </w:pPr>
    </w:p>
    <w:p w14:paraId="068A5F8F" w14:textId="77777777" w:rsidR="002F0A59" w:rsidRPr="008F4AF7" w:rsidRDefault="002F0A59" w:rsidP="002F0A59">
      <w:pPr>
        <w:ind w:right="337"/>
        <w:rPr>
          <w:rFonts w:cs="Arial"/>
          <w:b/>
        </w:rPr>
      </w:pPr>
      <w:r w:rsidRPr="008F4AF7">
        <w:rPr>
          <w:rFonts w:cs="Arial"/>
          <w:b/>
        </w:rPr>
        <w:t xml:space="preserve">To make a complaint or give us </w:t>
      </w:r>
      <w:proofErr w:type="gramStart"/>
      <w:r w:rsidRPr="008F4AF7">
        <w:rPr>
          <w:rFonts w:cs="Arial"/>
          <w:b/>
        </w:rPr>
        <w:t>feedback</w:t>
      </w:r>
      <w:proofErr w:type="gramEnd"/>
      <w:r w:rsidRPr="008F4AF7">
        <w:rPr>
          <w:rFonts w:cs="Arial"/>
          <w:b/>
        </w:rPr>
        <w:t xml:space="preserve"> </w:t>
      </w:r>
    </w:p>
    <w:p w14:paraId="0580A5A1" w14:textId="77777777" w:rsidR="002F0A59" w:rsidRPr="008F4AF7" w:rsidRDefault="002F0A59" w:rsidP="002F0A59">
      <w:pPr>
        <w:ind w:right="337"/>
        <w:rPr>
          <w:rFonts w:cs="Arial"/>
        </w:rPr>
      </w:pPr>
      <w:r w:rsidRPr="008F4AF7">
        <w:rPr>
          <w:rFonts w:cs="Arial"/>
        </w:rPr>
        <w:t>We aim to resolve your concerns as quickly as possible. If you want to make a complaint or give us feedback you can:</w:t>
      </w:r>
    </w:p>
    <w:p w14:paraId="335EB934" w14:textId="77777777" w:rsidR="002F0A59" w:rsidRPr="008F4AF7" w:rsidRDefault="002F0A59" w:rsidP="002F0A59">
      <w:pPr>
        <w:numPr>
          <w:ilvl w:val="0"/>
          <w:numId w:val="59"/>
        </w:numPr>
        <w:ind w:right="337"/>
        <w:rPr>
          <w:rFonts w:cs="Arial"/>
        </w:rPr>
      </w:pPr>
      <w:r w:rsidRPr="008F4AF7">
        <w:rPr>
          <w:rFonts w:cs="Arial"/>
        </w:rPr>
        <w:t xml:space="preserve">call our feedback and complaints line </w:t>
      </w:r>
      <w:proofErr w:type="gramStart"/>
      <w:r w:rsidRPr="008F4AF7">
        <w:rPr>
          <w:rFonts w:cs="Arial"/>
        </w:rPr>
        <w:t>on</w:t>
      </w:r>
      <w:proofErr w:type="gramEnd"/>
      <w:r w:rsidRPr="008F4AF7">
        <w:rPr>
          <w:rFonts w:cs="Arial"/>
        </w:rPr>
        <w:t xml:space="preserve"> </w:t>
      </w:r>
      <w:r w:rsidRPr="008F4AF7">
        <w:rPr>
          <w:rFonts w:cs="Arial"/>
          <w:b/>
        </w:rPr>
        <w:t>1800 132 468</w:t>
      </w:r>
      <w:r w:rsidRPr="008F4AF7">
        <w:rPr>
          <w:rFonts w:cs="Arial"/>
        </w:rPr>
        <w:t xml:space="preserve"> </w:t>
      </w:r>
    </w:p>
    <w:p w14:paraId="53F3BDB5" w14:textId="77777777" w:rsidR="002F0A59" w:rsidRPr="008F4AF7" w:rsidRDefault="002F0A59" w:rsidP="002F0A59">
      <w:pPr>
        <w:numPr>
          <w:ilvl w:val="0"/>
          <w:numId w:val="59"/>
        </w:numPr>
        <w:ind w:right="337"/>
        <w:rPr>
          <w:rFonts w:cs="Arial"/>
        </w:rPr>
      </w:pPr>
      <w:r w:rsidRPr="008F4AF7">
        <w:rPr>
          <w:rFonts w:cs="Arial"/>
        </w:rPr>
        <w:t xml:space="preserve">go to </w:t>
      </w:r>
      <w:r w:rsidRPr="008F4AF7">
        <w:rPr>
          <w:rFonts w:cs="Arial"/>
          <w:b/>
        </w:rPr>
        <w:t>servicesaustralia.gov.au/feedback</w:t>
      </w:r>
      <w:r w:rsidRPr="008F4AF7">
        <w:rPr>
          <w:rFonts w:cs="Arial"/>
        </w:rPr>
        <w:t xml:space="preserve"> for other options.</w:t>
      </w:r>
    </w:p>
    <w:p w14:paraId="48C19CF9" w14:textId="77777777" w:rsidR="002F0A59" w:rsidRPr="008F4AF7" w:rsidRDefault="002F0A59" w:rsidP="002F0A59">
      <w:pPr>
        <w:ind w:right="337"/>
        <w:rPr>
          <w:rFonts w:cs="Arial"/>
        </w:rPr>
      </w:pPr>
    </w:p>
    <w:p w14:paraId="46AFDC97" w14:textId="77777777" w:rsidR="002F0A59" w:rsidRPr="008F4AF7" w:rsidRDefault="002F0A59" w:rsidP="002F0A59">
      <w:pPr>
        <w:ind w:right="337"/>
        <w:rPr>
          <w:rFonts w:cs="Arial"/>
        </w:rPr>
      </w:pPr>
      <w:r w:rsidRPr="008F4AF7">
        <w:rPr>
          <w:rFonts w:cs="Arial"/>
        </w:rPr>
        <w:t xml:space="preserve">If this does not resolve your concerns, you can make a complaint to the Commonwealth Ombudsman at </w:t>
      </w:r>
      <w:r w:rsidRPr="008F4AF7">
        <w:rPr>
          <w:rFonts w:cs="Arial"/>
          <w:b/>
          <w:bCs/>
        </w:rPr>
        <w:t xml:space="preserve">ombudsman.gov.au </w:t>
      </w:r>
      <w:r w:rsidRPr="008F4AF7">
        <w:rPr>
          <w:rFonts w:cs="Arial"/>
        </w:rPr>
        <w:t>using the online complaints form. If you are unable to complete the online form, you can call them on 1300 362 072</w:t>
      </w:r>
      <w:r w:rsidRPr="008F4AF7">
        <w:rPr>
          <w:rFonts w:cs="Arial"/>
          <w:b/>
          <w:bCs/>
        </w:rPr>
        <w:t>.</w:t>
      </w:r>
    </w:p>
    <w:p w14:paraId="63AE686A" w14:textId="77777777" w:rsidR="002F0A59" w:rsidRPr="003E546F" w:rsidRDefault="002F0A59" w:rsidP="002F0A59">
      <w:pPr>
        <w:ind w:right="337"/>
        <w:rPr>
          <w:rFonts w:cs="Arial"/>
        </w:rPr>
      </w:pPr>
    </w:p>
    <w:p w14:paraId="6AAF1DA0" w14:textId="77777777" w:rsidR="00484EDA" w:rsidRDefault="00484EDA" w:rsidP="006E117F">
      <w:pPr>
        <w:pStyle w:val="DHSBodytext"/>
        <w:rPr>
          <w:i/>
        </w:rPr>
      </w:pPr>
    </w:p>
    <w:p w14:paraId="713ED0F9" w14:textId="77777777" w:rsidR="0021322B" w:rsidRDefault="0021322B" w:rsidP="006E117F">
      <w:pPr>
        <w:pStyle w:val="DHSBodytext"/>
        <w:rPr>
          <w:i/>
        </w:rPr>
      </w:pPr>
    </w:p>
    <w:p w14:paraId="58F2AAE6" w14:textId="367DCF5C" w:rsidR="00812BB9" w:rsidRDefault="00812BB9" w:rsidP="00F64FDE">
      <w:pPr>
        <w:pStyle w:val="DHSHeadinglevel2"/>
      </w:pPr>
      <w:r w:rsidRPr="00812BB9">
        <w:t>Example of MyGov Message</w:t>
      </w:r>
      <w:r w:rsidR="008E0FA3">
        <w:t>s</w:t>
      </w:r>
    </w:p>
    <w:p w14:paraId="0E941128" w14:textId="77777777" w:rsidR="00812BB9" w:rsidRPr="00F64FDE" w:rsidRDefault="00812BB9">
      <w:pPr>
        <w:pStyle w:val="DHSBodytext"/>
        <w:rPr>
          <w:lang w:eastAsia="en-US"/>
        </w:rPr>
      </w:pPr>
    </w:p>
    <w:tbl>
      <w:tblPr>
        <w:tblStyle w:val="TableGrid"/>
        <w:tblW w:w="9561" w:type="dxa"/>
        <w:tblInd w:w="-147" w:type="dxa"/>
        <w:tblLook w:val="04A0" w:firstRow="1" w:lastRow="0" w:firstColumn="1" w:lastColumn="0" w:noHBand="0" w:noVBand="1"/>
      </w:tblPr>
      <w:tblGrid>
        <w:gridCol w:w="9561"/>
      </w:tblGrid>
      <w:tr w:rsidR="002F0A59" w:rsidRPr="007D01EA" w14:paraId="16FC424C" w14:textId="77777777" w:rsidTr="00175059">
        <w:trPr>
          <w:trHeight w:val="684"/>
        </w:trPr>
        <w:tc>
          <w:tcPr>
            <w:tcW w:w="9561" w:type="dxa"/>
          </w:tcPr>
          <w:p w14:paraId="4C8B1C72" w14:textId="77777777" w:rsidR="002F0A59" w:rsidRPr="00A524F5" w:rsidRDefault="002F0A59" w:rsidP="00175059">
            <w:pPr>
              <w:spacing w:before="100" w:beforeAutospacing="1" w:after="100" w:afterAutospacing="1"/>
              <w:rPr>
                <w:rFonts w:cs="Arial"/>
                <w:color w:val="000000"/>
              </w:rPr>
            </w:pPr>
            <w:r w:rsidRPr="00A524F5">
              <w:rPr>
                <w:rFonts w:cs="Arial"/>
                <w:b/>
                <w:color w:val="FF0000"/>
              </w:rPr>
              <w:t xml:space="preserve">Subject line: </w:t>
            </w:r>
            <w:r w:rsidRPr="00744A0E">
              <w:rPr>
                <w:rFonts w:cs="Arial"/>
                <w:b/>
                <w:bCs/>
                <w:color w:val="008000"/>
              </w:rPr>
              <w:t xml:space="preserve">You have an online task to </w:t>
            </w:r>
            <w:proofErr w:type="gramStart"/>
            <w:r w:rsidRPr="00744A0E">
              <w:rPr>
                <w:rFonts w:cs="Arial"/>
                <w:b/>
                <w:bCs/>
                <w:color w:val="008000"/>
              </w:rPr>
              <w:t>complete</w:t>
            </w:r>
            <w:proofErr w:type="gramEnd"/>
          </w:p>
          <w:p w14:paraId="0FCF18EF" w14:textId="77777777" w:rsidR="002F0A59" w:rsidRPr="007D01EA" w:rsidRDefault="002F0A59" w:rsidP="00175059">
            <w:pPr>
              <w:rPr>
                <w:rFonts w:cs="Arial"/>
                <w:b/>
              </w:rPr>
            </w:pPr>
          </w:p>
        </w:tc>
      </w:tr>
      <w:tr w:rsidR="002F0A59" w:rsidRPr="007D01EA" w14:paraId="5D886F64" w14:textId="77777777" w:rsidTr="00175059">
        <w:trPr>
          <w:trHeight w:val="994"/>
        </w:trPr>
        <w:tc>
          <w:tcPr>
            <w:tcW w:w="9561" w:type="dxa"/>
          </w:tcPr>
          <w:p w14:paraId="66881D4C" w14:textId="77777777" w:rsidR="002F0A59" w:rsidRPr="005E7D14" w:rsidRDefault="002F0A59" w:rsidP="00175059">
            <w:pPr>
              <w:spacing w:after="160" w:line="259" w:lineRule="auto"/>
              <w:rPr>
                <w:rFonts w:eastAsia="Calibri" w:cs="Arial"/>
              </w:rPr>
            </w:pPr>
            <w:r w:rsidRPr="005E7D14">
              <w:rPr>
                <w:rFonts w:eastAsia="Calibri" w:cs="Arial"/>
              </w:rPr>
              <w:t xml:space="preserve">Hello </w:t>
            </w:r>
            <w:r w:rsidRPr="005E7D14">
              <w:rPr>
                <w:rFonts w:cs="Arial"/>
                <w:bCs/>
                <w:color w:val="00B050"/>
              </w:rPr>
              <w:t>&lt;First/Preferred name&gt;</w:t>
            </w:r>
          </w:p>
          <w:p w14:paraId="0ED8D596" w14:textId="77777777" w:rsidR="002F0A59" w:rsidRPr="00744A0E" w:rsidRDefault="002F0A59" w:rsidP="00175059">
            <w:pPr>
              <w:rPr>
                <w:rFonts w:cs="Arial"/>
              </w:rPr>
            </w:pPr>
            <w:r w:rsidRPr="00744A0E">
              <w:rPr>
                <w:rFonts w:cs="Arial"/>
              </w:rPr>
              <w:t>You need to complete a task in your online account.</w:t>
            </w:r>
          </w:p>
          <w:p w14:paraId="2F86A154" w14:textId="77777777" w:rsidR="002F0A59" w:rsidRPr="00744A0E" w:rsidRDefault="002F0A59" w:rsidP="00175059">
            <w:pPr>
              <w:rPr>
                <w:rFonts w:cs="Arial"/>
              </w:rPr>
            </w:pPr>
          </w:p>
          <w:p w14:paraId="5AE7D214" w14:textId="77777777" w:rsidR="002F0A59" w:rsidRPr="00744A0E" w:rsidRDefault="002F0A59" w:rsidP="00175059">
            <w:pPr>
              <w:rPr>
                <w:rFonts w:cs="Arial"/>
              </w:rPr>
            </w:pPr>
            <w:r w:rsidRPr="00744A0E">
              <w:rPr>
                <w:rFonts w:cs="Arial"/>
              </w:rPr>
              <w:t xml:space="preserve">Please read the attached letter and complete the task by clicking the link below.  </w:t>
            </w:r>
          </w:p>
          <w:p w14:paraId="0A733CCF" w14:textId="77777777" w:rsidR="002F0A59" w:rsidRPr="00744A0E" w:rsidRDefault="002F0A59" w:rsidP="00175059">
            <w:pPr>
              <w:rPr>
                <w:rFonts w:cs="Arial"/>
              </w:rPr>
            </w:pPr>
          </w:p>
          <w:p w14:paraId="01F08820" w14:textId="77777777" w:rsidR="002F0A59" w:rsidRPr="00744A0E" w:rsidRDefault="002F0A59" w:rsidP="00175059">
            <w:pPr>
              <w:rPr>
                <w:rFonts w:cs="Arial"/>
              </w:rPr>
            </w:pPr>
            <w:r w:rsidRPr="00744A0E">
              <w:rPr>
                <w:rFonts w:cs="Arial"/>
              </w:rPr>
              <w:t>When you are in the task you need to select ‘submit’ to finalise it.</w:t>
            </w:r>
          </w:p>
          <w:p w14:paraId="03A2EC93" w14:textId="77777777" w:rsidR="002F0A59" w:rsidRPr="00744A0E" w:rsidRDefault="002F0A59" w:rsidP="00175059">
            <w:pPr>
              <w:rPr>
                <w:rFonts w:cs="Arial"/>
              </w:rPr>
            </w:pPr>
          </w:p>
          <w:p w14:paraId="1C5A78AE" w14:textId="77777777" w:rsidR="002F0A59" w:rsidRDefault="002F0A59" w:rsidP="00175059">
            <w:pPr>
              <w:rPr>
                <w:rFonts w:cs="Arial"/>
              </w:rPr>
            </w:pPr>
            <w:r w:rsidRPr="00744A0E">
              <w:rPr>
                <w:rFonts w:cs="Arial"/>
              </w:rPr>
              <w:t>Supporting information is available at the link below.</w:t>
            </w:r>
          </w:p>
          <w:p w14:paraId="55D47B4D" w14:textId="77777777" w:rsidR="002F0A59" w:rsidRPr="00A524F5" w:rsidRDefault="002F0A59" w:rsidP="00175059">
            <w:pPr>
              <w:spacing w:after="160" w:line="259" w:lineRule="auto"/>
              <w:rPr>
                <w:rFonts w:eastAsia="Calibri" w:cs="Arial"/>
                <w:color w:val="000000"/>
              </w:rPr>
            </w:pPr>
          </w:p>
          <w:p w14:paraId="538B0A3B" w14:textId="77777777" w:rsidR="002F0A59" w:rsidRPr="00A524F5" w:rsidRDefault="002F0A59" w:rsidP="00175059">
            <w:pPr>
              <w:spacing w:after="160" w:line="259" w:lineRule="auto"/>
              <w:rPr>
                <w:rFonts w:eastAsia="Calibri" w:cs="Arial"/>
                <w:color w:val="000000"/>
              </w:rPr>
            </w:pPr>
            <w:r w:rsidRPr="00A524F5">
              <w:rPr>
                <w:rFonts w:eastAsia="Calibri" w:cs="Arial"/>
                <w:color w:val="000000"/>
              </w:rPr>
              <w:t>Regards</w:t>
            </w:r>
          </w:p>
          <w:p w14:paraId="18146615" w14:textId="77777777" w:rsidR="002F0A59" w:rsidRPr="00A524F5" w:rsidRDefault="002F0A59" w:rsidP="00175059">
            <w:pPr>
              <w:spacing w:after="160" w:line="259" w:lineRule="auto"/>
              <w:rPr>
                <w:rFonts w:eastAsia="Calibri" w:cs="Arial"/>
                <w:color w:val="4472C4"/>
              </w:rPr>
            </w:pPr>
            <w:r w:rsidRPr="00A524F5">
              <w:rPr>
                <w:rFonts w:eastAsia="Calibri" w:cs="Arial"/>
                <w:color w:val="000000"/>
              </w:rPr>
              <w:lastRenderedPageBreak/>
              <w:t>&lt;Centrelink&gt;</w:t>
            </w:r>
          </w:p>
          <w:p w14:paraId="619CF5A4" w14:textId="77777777" w:rsidR="002F0A59" w:rsidRPr="00A524F5" w:rsidRDefault="002F0A59" w:rsidP="00175059">
            <w:pPr>
              <w:rPr>
                <w:rFonts w:cs="Arial"/>
                <w:b/>
              </w:rPr>
            </w:pPr>
          </w:p>
        </w:tc>
      </w:tr>
      <w:tr w:rsidR="002F0A59" w:rsidRPr="007D01EA" w14:paraId="712C0E53" w14:textId="77777777" w:rsidTr="00175059">
        <w:trPr>
          <w:trHeight w:val="931"/>
        </w:trPr>
        <w:tc>
          <w:tcPr>
            <w:tcW w:w="9561" w:type="dxa"/>
          </w:tcPr>
          <w:p w14:paraId="56262EDC" w14:textId="77777777" w:rsidR="002F0A59" w:rsidRPr="00C143E6" w:rsidRDefault="002F0A59" w:rsidP="00175059">
            <w:pPr>
              <w:rPr>
                <w:rFonts w:cs="Arial"/>
                <w:color w:val="000000" w:themeColor="text1"/>
                <w:shd w:val="clear" w:color="auto" w:fill="FFFFFF"/>
              </w:rPr>
            </w:pPr>
            <w:r w:rsidRPr="00A524F5">
              <w:rPr>
                <w:rFonts w:cs="Arial"/>
                <w:noProof/>
              </w:rPr>
              <w:lastRenderedPageBreak/>
              <w:drawing>
                <wp:anchor distT="0" distB="0" distL="114300" distR="114300" simplePos="0" relativeHeight="251661312" behindDoc="0" locked="0" layoutInCell="1" allowOverlap="1" wp14:anchorId="72ED2916" wp14:editId="0F4E291B">
                  <wp:simplePos x="0" y="0"/>
                  <wp:positionH relativeFrom="margin">
                    <wp:posOffset>105410</wp:posOffset>
                  </wp:positionH>
                  <wp:positionV relativeFrom="paragraph">
                    <wp:posOffset>1270</wp:posOffset>
                  </wp:positionV>
                  <wp:extent cx="409575" cy="3524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9575" cy="352425"/>
                          </a:xfrm>
                          <a:prstGeom prst="rect">
                            <a:avLst/>
                          </a:prstGeom>
                        </pic:spPr>
                      </pic:pic>
                    </a:graphicData>
                  </a:graphic>
                </wp:anchor>
              </w:drawing>
            </w:r>
            <w:r>
              <w:rPr>
                <w:rFonts w:cs="Arial"/>
                <w:color w:val="0F6493"/>
                <w:shd w:val="clear" w:color="auto" w:fill="FFFFFF"/>
              </w:rPr>
              <w:t xml:space="preserve"> </w:t>
            </w:r>
            <w:r w:rsidRPr="00A524F5">
              <w:rPr>
                <w:rFonts w:cs="Arial"/>
                <w:color w:val="0F6493"/>
                <w:shd w:val="clear" w:color="auto" w:fill="FFFFFF"/>
              </w:rPr>
              <w:t xml:space="preserve"> </w:t>
            </w:r>
            <w:r>
              <w:rPr>
                <w:rFonts w:cs="Arial"/>
                <w:color w:val="0F6493"/>
                <w:shd w:val="clear" w:color="auto" w:fill="FFFFFF"/>
              </w:rPr>
              <w:t xml:space="preserve">Link to </w:t>
            </w:r>
            <w:proofErr w:type="gramStart"/>
            <w:r>
              <w:rPr>
                <w:rFonts w:cs="Arial"/>
                <w:color w:val="0F6493"/>
                <w:shd w:val="clear" w:color="auto" w:fill="FFFFFF"/>
              </w:rPr>
              <w:t>letter</w:t>
            </w:r>
            <w:proofErr w:type="gramEnd"/>
            <w:r w:rsidRPr="00C143E6">
              <w:rPr>
                <w:rFonts w:cs="Arial"/>
                <w:color w:val="000000" w:themeColor="text1"/>
                <w:shd w:val="clear" w:color="auto" w:fill="FFFFFF"/>
              </w:rPr>
              <w:t xml:space="preserve"> </w:t>
            </w:r>
          </w:p>
          <w:p w14:paraId="11E09E78" w14:textId="77777777" w:rsidR="002F0A59" w:rsidRPr="00A524F5" w:rsidRDefault="002F0A59" w:rsidP="00175059">
            <w:pPr>
              <w:rPr>
                <w:rFonts w:cs="Arial"/>
                <w:b/>
              </w:rPr>
            </w:pPr>
          </w:p>
        </w:tc>
      </w:tr>
      <w:tr w:rsidR="002F0A59" w:rsidRPr="007D01EA" w14:paraId="098182B5" w14:textId="77777777" w:rsidTr="00175059">
        <w:trPr>
          <w:trHeight w:val="931"/>
        </w:trPr>
        <w:tc>
          <w:tcPr>
            <w:tcW w:w="9561" w:type="dxa"/>
          </w:tcPr>
          <w:p w14:paraId="422E70DA" w14:textId="77777777" w:rsidR="002F0A59" w:rsidRDefault="002F0A59" w:rsidP="00175059">
            <w:r>
              <w:t xml:space="preserve">Complete your online </w:t>
            </w:r>
            <w:proofErr w:type="gramStart"/>
            <w:r>
              <w:t>task</w:t>
            </w:r>
            <w:proofErr w:type="gramEnd"/>
          </w:p>
          <w:p w14:paraId="0AAC27DA" w14:textId="77777777" w:rsidR="002F0A59" w:rsidRPr="00A524F5" w:rsidRDefault="002F0A59" w:rsidP="00175059">
            <w:pPr>
              <w:rPr>
                <w:rFonts w:cs="Arial"/>
                <w:noProof/>
              </w:rPr>
            </w:pPr>
            <w:r>
              <w:t>Supporting Information</w:t>
            </w:r>
          </w:p>
        </w:tc>
      </w:tr>
    </w:tbl>
    <w:p w14:paraId="4880092F" w14:textId="77777777" w:rsidR="002F0A59" w:rsidRPr="00D946EC" w:rsidRDefault="002F0A59" w:rsidP="002F0A59"/>
    <w:p w14:paraId="0194ED6B" w14:textId="2DB5C576" w:rsidR="008E0FA3" w:rsidRDefault="008E0FA3">
      <w:pPr>
        <w:rPr>
          <w:rFonts w:ascii="Times New Roman" w:hAnsi="Times New Roman"/>
          <w:sz w:val="24"/>
          <w:szCs w:val="24"/>
          <w:lang w:eastAsia="en-US"/>
        </w:rPr>
      </w:pPr>
      <w:r>
        <w:rPr>
          <w:rFonts w:ascii="Times New Roman" w:hAnsi="Times New Roman"/>
          <w:sz w:val="24"/>
          <w:szCs w:val="24"/>
        </w:rPr>
        <w:br w:type="page"/>
      </w:r>
    </w:p>
    <w:p w14:paraId="40CD4DA0" w14:textId="77777777" w:rsidR="00812BB9" w:rsidRPr="0087277C" w:rsidRDefault="00812BB9" w:rsidP="00812BB9">
      <w:pPr>
        <w:pStyle w:val="DHSHeadinglevel2"/>
      </w:pPr>
      <w:r w:rsidRPr="0087277C">
        <w:lastRenderedPageBreak/>
        <w:t xml:space="preserve">Example of </w:t>
      </w:r>
      <w:r>
        <w:t>SMS</w:t>
      </w:r>
    </w:p>
    <w:p w14:paraId="19AB2E99" w14:textId="77777777" w:rsidR="006D44D2" w:rsidRDefault="006D44D2" w:rsidP="006D44D2">
      <w:pPr>
        <w:rPr>
          <w:rFonts w:cs="Arial"/>
          <w:i/>
          <w:iCs/>
        </w:rPr>
      </w:pPr>
    </w:p>
    <w:tbl>
      <w:tblPr>
        <w:tblStyle w:val="TableGrid"/>
        <w:tblW w:w="0" w:type="auto"/>
        <w:tblLook w:val="04A0" w:firstRow="1" w:lastRow="0" w:firstColumn="1" w:lastColumn="0" w:noHBand="0" w:noVBand="1"/>
      </w:tblPr>
      <w:tblGrid>
        <w:gridCol w:w="8954"/>
      </w:tblGrid>
      <w:tr w:rsidR="002F0A59" w14:paraId="022C968A" w14:textId="77777777" w:rsidTr="00175059">
        <w:trPr>
          <w:trHeight w:val="1027"/>
        </w:trPr>
        <w:tc>
          <w:tcPr>
            <w:tcW w:w="8954" w:type="dxa"/>
          </w:tcPr>
          <w:p w14:paraId="07C8EA09" w14:textId="77777777" w:rsidR="002F0A59" w:rsidRDefault="002F0A59" w:rsidP="00175059">
            <w:pPr>
              <w:rPr>
                <w:color w:val="C9C9C9" w:themeColor="accent3" w:themeTint="99"/>
              </w:rPr>
            </w:pPr>
          </w:p>
          <w:p w14:paraId="41C70874" w14:textId="77777777" w:rsidR="002F0A59" w:rsidRDefault="002F0A59" w:rsidP="00175059">
            <w:pPr>
              <w:rPr>
                <w:rFonts w:cs="Arial"/>
              </w:rPr>
            </w:pPr>
            <w:r w:rsidRPr="004B09DA">
              <w:rPr>
                <w:rFonts w:cs="Arial"/>
                <w:iCs/>
              </w:rPr>
              <w:t xml:space="preserve">You have </w:t>
            </w:r>
            <w:r w:rsidRPr="0069670C">
              <w:rPr>
                <w:rFonts w:cs="Arial"/>
                <w:iCs/>
                <w:color w:val="00B050"/>
              </w:rPr>
              <w:t xml:space="preserve">{NUMBER} </w:t>
            </w:r>
            <w:r w:rsidRPr="004B09DA">
              <w:rPr>
                <w:rFonts w:cs="Arial"/>
                <w:iCs/>
              </w:rPr>
              <w:t xml:space="preserve">days to do the online review of your study details. If you do not complete this by </w:t>
            </w:r>
            <w:r w:rsidRPr="0069670C">
              <w:rPr>
                <w:rFonts w:cs="Arial"/>
                <w:iCs/>
                <w:color w:val="00B050"/>
              </w:rPr>
              <w:t>{DATE}</w:t>
            </w:r>
            <w:r w:rsidRPr="004B09DA">
              <w:rPr>
                <w:rFonts w:cs="Arial"/>
                <w:iCs/>
              </w:rPr>
              <w:t xml:space="preserve"> your payments may stop.</w:t>
            </w:r>
            <w:r>
              <w:rPr>
                <w:rFonts w:cs="Arial"/>
              </w:rPr>
              <w:t xml:space="preserve"> </w:t>
            </w:r>
            <w:r w:rsidRPr="00B203CF">
              <w:rPr>
                <w:rFonts w:cs="Arial"/>
                <w:iCs/>
              </w:rPr>
              <w:t xml:space="preserve">Do not reply by </w:t>
            </w:r>
            <w:proofErr w:type="gramStart"/>
            <w:r w:rsidRPr="00B203CF">
              <w:rPr>
                <w:rFonts w:cs="Arial"/>
                <w:iCs/>
              </w:rPr>
              <w:t>SMS</w:t>
            </w:r>
            <w:proofErr w:type="gramEnd"/>
          </w:p>
          <w:p w14:paraId="0B9C11ED" w14:textId="77777777" w:rsidR="002F0A59" w:rsidRDefault="002F0A59" w:rsidP="00175059">
            <w:pPr>
              <w:rPr>
                <w:rFonts w:cs="Arial"/>
                <w:color w:val="0070C0"/>
              </w:rPr>
            </w:pPr>
          </w:p>
          <w:p w14:paraId="7D686505" w14:textId="77777777" w:rsidR="002F0A59" w:rsidRDefault="002F0A59" w:rsidP="00175059">
            <w:pPr>
              <w:rPr>
                <w:rFonts w:cs="Arial"/>
                <w:color w:val="0070C0"/>
              </w:rPr>
            </w:pPr>
          </w:p>
          <w:p w14:paraId="28F86C4D" w14:textId="77777777" w:rsidR="002F0A59" w:rsidRPr="00DA47D1" w:rsidRDefault="002F0A59" w:rsidP="00175059">
            <w:pPr>
              <w:rPr>
                <w:rFonts w:cs="Arial"/>
                <w:color w:val="0070C0"/>
                <w:u w:val="single"/>
              </w:rPr>
            </w:pPr>
            <w:r w:rsidRPr="00DA47D1">
              <w:rPr>
                <w:rFonts w:cs="Arial"/>
                <w:color w:val="0070C0"/>
                <w:u w:val="single"/>
              </w:rPr>
              <w:t>SMS example</w:t>
            </w:r>
          </w:p>
          <w:p w14:paraId="5D5F86A2" w14:textId="77777777" w:rsidR="002F0A59" w:rsidRDefault="002F0A59" w:rsidP="00175059">
            <w:pPr>
              <w:rPr>
                <w:color w:val="C9C9C9" w:themeColor="accent3" w:themeTint="99"/>
              </w:rPr>
            </w:pPr>
          </w:p>
          <w:p w14:paraId="34BCEBB0" w14:textId="77777777" w:rsidR="002F0A59" w:rsidRDefault="002F0A59" w:rsidP="00175059">
            <w:pPr>
              <w:rPr>
                <w:rFonts w:cs="Arial"/>
              </w:rPr>
            </w:pPr>
            <w:r w:rsidRPr="004B09DA">
              <w:rPr>
                <w:rFonts w:cs="Arial"/>
                <w:iCs/>
              </w:rPr>
              <w:t xml:space="preserve">You have </w:t>
            </w:r>
            <w:r>
              <w:rPr>
                <w:rFonts w:cs="Arial"/>
                <w:iCs/>
              </w:rPr>
              <w:t>3</w:t>
            </w:r>
            <w:r w:rsidRPr="004B09DA">
              <w:rPr>
                <w:rFonts w:cs="Arial"/>
                <w:iCs/>
              </w:rPr>
              <w:t xml:space="preserve"> days to do the online review of your study details. If you do not complete this by </w:t>
            </w:r>
            <w:r>
              <w:rPr>
                <w:rFonts w:cs="Arial"/>
                <w:iCs/>
              </w:rPr>
              <w:t>02/10/18</w:t>
            </w:r>
            <w:r w:rsidRPr="004B09DA">
              <w:rPr>
                <w:rFonts w:cs="Arial"/>
                <w:iCs/>
              </w:rPr>
              <w:t xml:space="preserve"> your payments may stop.</w:t>
            </w:r>
            <w:r>
              <w:rPr>
                <w:rFonts w:cs="Arial"/>
                <w:iCs/>
              </w:rPr>
              <w:t xml:space="preserve"> </w:t>
            </w:r>
            <w:r w:rsidRPr="00DA47D1">
              <w:rPr>
                <w:rFonts w:cs="Arial"/>
                <w:iCs/>
              </w:rPr>
              <w:t xml:space="preserve">Do not reply by </w:t>
            </w:r>
            <w:proofErr w:type="gramStart"/>
            <w:r w:rsidRPr="00DA47D1">
              <w:rPr>
                <w:rFonts w:cs="Arial"/>
                <w:iCs/>
              </w:rPr>
              <w:t>SMS</w:t>
            </w:r>
            <w:proofErr w:type="gramEnd"/>
            <w:r>
              <w:rPr>
                <w:rFonts w:cs="Arial"/>
                <w:color w:val="808080" w:themeColor="background1" w:themeShade="80"/>
              </w:rPr>
              <w:t xml:space="preserve"> </w:t>
            </w:r>
          </w:p>
          <w:p w14:paraId="4EAA9BEC" w14:textId="77777777" w:rsidR="002F0A59" w:rsidRDefault="002F0A59" w:rsidP="00175059">
            <w:pPr>
              <w:rPr>
                <w:color w:val="C9C9C9" w:themeColor="accent3" w:themeTint="99"/>
              </w:rPr>
            </w:pPr>
            <w:r>
              <w:rPr>
                <w:color w:val="C9C9C9" w:themeColor="accent3" w:themeTint="99"/>
              </w:rPr>
              <w:t xml:space="preserve">Character Count </w:t>
            </w:r>
            <w:r w:rsidRPr="00DA47D1">
              <w:rPr>
                <w:color w:val="C9C9C9" w:themeColor="accent3" w:themeTint="99"/>
              </w:rPr>
              <w:t>(146)</w:t>
            </w:r>
          </w:p>
        </w:tc>
      </w:tr>
    </w:tbl>
    <w:p w14:paraId="0397CB88" w14:textId="77777777" w:rsidR="002F0A59" w:rsidRDefault="002F0A59" w:rsidP="002F0A59">
      <w:pPr>
        <w:pStyle w:val="NoSpacing"/>
      </w:pPr>
    </w:p>
    <w:p w14:paraId="7167D801" w14:textId="77777777" w:rsidR="002F0A59" w:rsidRDefault="002F0A59" w:rsidP="002F0A59">
      <w:pPr>
        <w:pStyle w:val="NoSpacing"/>
      </w:pPr>
    </w:p>
    <w:p w14:paraId="37D686A8" w14:textId="77777777" w:rsidR="002F0A59" w:rsidRDefault="002F0A59" w:rsidP="002F0A59">
      <w:pPr>
        <w:pStyle w:val="NoSpacing"/>
      </w:pPr>
    </w:p>
    <w:p w14:paraId="39C5D79A" w14:textId="77777777" w:rsidR="00484EDA" w:rsidRPr="00F64FDE" w:rsidRDefault="00484EDA" w:rsidP="00F64FDE">
      <w:pPr>
        <w:pStyle w:val="DHSBodytext"/>
        <w:rPr>
          <w:i/>
        </w:rPr>
      </w:pPr>
    </w:p>
    <w:p w14:paraId="0FBC0D36" w14:textId="7A5F33B9" w:rsidR="00733C71" w:rsidRDefault="00733C71">
      <w:pPr>
        <w:rPr>
          <w:rFonts w:cs="Arial"/>
          <w:i/>
          <w:sz w:val="22"/>
          <w:szCs w:val="22"/>
        </w:rPr>
      </w:pPr>
      <w:r>
        <w:rPr>
          <w:i/>
        </w:rPr>
        <w:br w:type="page"/>
      </w:r>
    </w:p>
    <w:p w14:paraId="62AF4713" w14:textId="7333EAAA" w:rsidR="006D44D2" w:rsidRDefault="006D44D2" w:rsidP="00F64FDE">
      <w:pPr>
        <w:pStyle w:val="DHSHeadinglevel2"/>
      </w:pPr>
      <w:r w:rsidRPr="00F64FDE">
        <w:lastRenderedPageBreak/>
        <w:t xml:space="preserve">Example of </w:t>
      </w:r>
      <w:r w:rsidRPr="006D44D2">
        <w:t>Email</w:t>
      </w:r>
      <w:r w:rsidR="00733C71">
        <w:t>s</w:t>
      </w:r>
    </w:p>
    <w:p w14:paraId="7AE4BE19" w14:textId="79FA1E12" w:rsidR="006D44D2" w:rsidRDefault="006D44D2" w:rsidP="00F64FDE">
      <w:pPr>
        <w:pStyle w:val="DHSBodytext"/>
        <w:rPr>
          <w:lang w:eastAsia="en-US"/>
        </w:rPr>
      </w:pPr>
    </w:p>
    <w:tbl>
      <w:tblPr>
        <w:tblStyle w:val="TableGrid"/>
        <w:tblW w:w="0" w:type="auto"/>
        <w:tblLook w:val="04A0" w:firstRow="1" w:lastRow="0" w:firstColumn="1" w:lastColumn="0" w:noHBand="0" w:noVBand="1"/>
      </w:tblPr>
      <w:tblGrid>
        <w:gridCol w:w="8954"/>
      </w:tblGrid>
      <w:tr w:rsidR="002F0A59" w14:paraId="74DBD067" w14:textId="77777777" w:rsidTr="00175059">
        <w:trPr>
          <w:trHeight w:val="1027"/>
        </w:trPr>
        <w:tc>
          <w:tcPr>
            <w:tcW w:w="8954" w:type="dxa"/>
          </w:tcPr>
          <w:p w14:paraId="217200E8" w14:textId="77777777" w:rsidR="002F0A59" w:rsidRPr="00880730" w:rsidRDefault="002F0A59" w:rsidP="00175059">
            <w:pPr>
              <w:spacing w:after="120"/>
            </w:pPr>
            <w:r>
              <w:rPr>
                <w:i/>
                <w:color w:val="FF0000"/>
              </w:rPr>
              <w:t>Subject Line:</w:t>
            </w:r>
            <w:r>
              <w:t xml:space="preserve"> </w:t>
            </w:r>
            <w:r w:rsidRPr="00D75A09">
              <w:rPr>
                <w:rFonts w:cs="Arial"/>
                <w:iCs/>
              </w:rPr>
              <w:t>Reminder: Online review of study details</w:t>
            </w:r>
          </w:p>
          <w:p w14:paraId="2D99804D" w14:textId="77777777" w:rsidR="002F0A59" w:rsidRDefault="002F0A59" w:rsidP="00175059">
            <w:pPr>
              <w:rPr>
                <w:color w:val="C9C9C9" w:themeColor="accent3" w:themeTint="99"/>
              </w:rPr>
            </w:pPr>
          </w:p>
        </w:tc>
      </w:tr>
      <w:tr w:rsidR="002F0A59" w14:paraId="6A48548F" w14:textId="77777777" w:rsidTr="00175059">
        <w:trPr>
          <w:trHeight w:val="3616"/>
        </w:trPr>
        <w:tc>
          <w:tcPr>
            <w:tcW w:w="8954" w:type="dxa"/>
          </w:tcPr>
          <w:p w14:paraId="2FD6F5BB" w14:textId="77777777" w:rsidR="002F0A59" w:rsidRPr="00B203CF" w:rsidRDefault="002F0A59" w:rsidP="00175059">
            <w:pPr>
              <w:rPr>
                <w:rFonts w:cs="Arial"/>
                <w:iCs/>
              </w:rPr>
            </w:pPr>
            <w:r w:rsidRPr="00B203CF">
              <w:rPr>
                <w:rFonts w:cs="Arial"/>
                <w:iCs/>
              </w:rPr>
              <w:t xml:space="preserve">This message is from </w:t>
            </w:r>
            <w:r>
              <w:rPr>
                <w:rFonts w:cs="Arial"/>
                <w:iCs/>
              </w:rPr>
              <w:t>Services Australia</w:t>
            </w:r>
            <w:r w:rsidRPr="00B203CF">
              <w:rPr>
                <w:rFonts w:cs="Arial"/>
                <w:iCs/>
              </w:rPr>
              <w:t>.</w:t>
            </w:r>
          </w:p>
          <w:p w14:paraId="649DD994" w14:textId="77777777" w:rsidR="002F0A59" w:rsidRPr="00B203CF" w:rsidRDefault="002F0A59" w:rsidP="00175059">
            <w:pPr>
              <w:rPr>
                <w:rFonts w:cs="Arial"/>
                <w:iCs/>
              </w:rPr>
            </w:pPr>
            <w:r w:rsidRPr="00B203CF">
              <w:rPr>
                <w:rFonts w:cs="Arial"/>
                <w:iCs/>
              </w:rPr>
              <w:t>Please DO NOT REPLY by email as this mailbox is not monitored.</w:t>
            </w:r>
          </w:p>
          <w:p w14:paraId="16B0EA05" w14:textId="77777777" w:rsidR="002F0A59" w:rsidRDefault="002F0A59" w:rsidP="00175059">
            <w:pPr>
              <w:rPr>
                <w:rFonts w:cs="Arial"/>
                <w:color w:val="808080" w:themeColor="background1" w:themeShade="80"/>
              </w:rPr>
            </w:pPr>
          </w:p>
          <w:p w14:paraId="1C0E80D5" w14:textId="77777777" w:rsidR="002F0A59" w:rsidRDefault="002F0A59" w:rsidP="00175059">
            <w:pPr>
              <w:rPr>
                <w:rFonts w:cs="Arial"/>
                <w:iCs/>
              </w:rPr>
            </w:pPr>
            <w:r>
              <w:rPr>
                <w:rFonts w:cs="Arial"/>
                <w:iCs/>
              </w:rPr>
              <w:t xml:space="preserve">We recently asked you to check your study details. </w:t>
            </w:r>
          </w:p>
          <w:p w14:paraId="73713C00" w14:textId="77777777" w:rsidR="002F0A59" w:rsidRDefault="002F0A59" w:rsidP="00175059">
            <w:pPr>
              <w:rPr>
                <w:rFonts w:cs="Arial"/>
                <w:iCs/>
              </w:rPr>
            </w:pPr>
          </w:p>
          <w:p w14:paraId="5A17B6EC" w14:textId="77777777" w:rsidR="002F0A59" w:rsidRDefault="002F0A59" w:rsidP="00175059">
            <w:pPr>
              <w:rPr>
                <w:rFonts w:cs="Arial"/>
                <w:color w:val="009900"/>
              </w:rPr>
            </w:pPr>
            <w:r w:rsidRPr="004B09DA">
              <w:rPr>
                <w:rFonts w:cs="Arial"/>
                <w:iCs/>
              </w:rPr>
              <w:t xml:space="preserve">You have </w:t>
            </w:r>
            <w:r w:rsidRPr="0069670C">
              <w:rPr>
                <w:rFonts w:cs="Arial"/>
                <w:iCs/>
                <w:color w:val="00B050"/>
              </w:rPr>
              <w:t xml:space="preserve">{NUMBER} </w:t>
            </w:r>
            <w:r w:rsidRPr="004B09DA">
              <w:rPr>
                <w:rFonts w:cs="Arial"/>
                <w:iCs/>
              </w:rPr>
              <w:t xml:space="preserve">days to do the online review of your study details. If you do not complete this by </w:t>
            </w:r>
            <w:r w:rsidRPr="0069670C">
              <w:rPr>
                <w:rFonts w:cs="Arial"/>
                <w:iCs/>
                <w:color w:val="00B050"/>
              </w:rPr>
              <w:t xml:space="preserve">{DATE} </w:t>
            </w:r>
            <w:r w:rsidRPr="004B09DA">
              <w:rPr>
                <w:rFonts w:cs="Arial"/>
                <w:iCs/>
              </w:rPr>
              <w:t>your payments may stop.</w:t>
            </w:r>
          </w:p>
          <w:p w14:paraId="5AD15D5D" w14:textId="77777777" w:rsidR="002F0A59" w:rsidRDefault="002F0A59" w:rsidP="00175059">
            <w:pPr>
              <w:rPr>
                <w:rFonts w:cs="Arial"/>
                <w:color w:val="009900"/>
              </w:rPr>
            </w:pPr>
          </w:p>
          <w:p w14:paraId="2CF7ACA0" w14:textId="77777777" w:rsidR="002F0A59" w:rsidRDefault="002F0A59" w:rsidP="00175059">
            <w:pPr>
              <w:rPr>
                <w:rFonts w:ascii="Times New Roman" w:hAnsi="Times New Roman"/>
                <w:sz w:val="24"/>
                <w:szCs w:val="24"/>
              </w:rPr>
            </w:pPr>
            <w:r>
              <w:rPr>
                <w:rFonts w:cs="Arial"/>
              </w:rPr>
              <w:t>You can complete the review by g</w:t>
            </w:r>
            <w:r w:rsidRPr="00381AFC">
              <w:rPr>
                <w:rFonts w:cs="Arial"/>
              </w:rPr>
              <w:t>o</w:t>
            </w:r>
            <w:r>
              <w:rPr>
                <w:rFonts w:cs="Arial"/>
              </w:rPr>
              <w:t>ing</w:t>
            </w:r>
            <w:r w:rsidRPr="00381AFC">
              <w:rPr>
                <w:rFonts w:cs="Arial"/>
              </w:rPr>
              <w:t xml:space="preserve"> to</w:t>
            </w:r>
            <w:r>
              <w:rPr>
                <w:rFonts w:cs="Arial"/>
              </w:rPr>
              <w:t xml:space="preserve"> the </w:t>
            </w:r>
            <w:proofErr w:type="spellStart"/>
            <w:r>
              <w:rPr>
                <w:rFonts w:cs="Arial"/>
              </w:rPr>
              <w:t>myGov</w:t>
            </w:r>
            <w:proofErr w:type="spellEnd"/>
            <w:r>
              <w:rPr>
                <w:rFonts w:cs="Arial"/>
              </w:rPr>
              <w:t xml:space="preserve"> website</w:t>
            </w:r>
            <w:r w:rsidRPr="00381AFC">
              <w:rPr>
                <w:rFonts w:cs="Arial"/>
                <w:b/>
                <w:bCs/>
              </w:rPr>
              <w:t xml:space="preserve"> </w:t>
            </w:r>
            <w:r w:rsidRPr="00381AFC">
              <w:rPr>
                <w:rFonts w:cs="Arial"/>
              </w:rPr>
              <w:t>and sign</w:t>
            </w:r>
            <w:r>
              <w:rPr>
                <w:rFonts w:cs="Arial"/>
              </w:rPr>
              <w:t>ing</w:t>
            </w:r>
            <w:r w:rsidRPr="00381AFC">
              <w:rPr>
                <w:rFonts w:cs="Arial"/>
              </w:rPr>
              <w:t xml:space="preserve"> in to access your Centrelink online account</w:t>
            </w:r>
            <w:r>
              <w:rPr>
                <w:rFonts w:cs="Arial"/>
              </w:rPr>
              <w:t>.</w:t>
            </w:r>
            <w:r w:rsidRPr="00381AFC">
              <w:rPr>
                <w:rFonts w:cs="Arial"/>
              </w:rPr>
              <w:t xml:space="preserve"> </w:t>
            </w:r>
            <w:r w:rsidRPr="007F692C">
              <w:rPr>
                <w:rFonts w:cs="Arial"/>
              </w:rPr>
              <w:t>Select the ‘Academic Reassessment’ task, then select the review.</w:t>
            </w:r>
            <w:r>
              <w:rPr>
                <w:rFonts w:ascii="Times New Roman" w:hAnsi="Times New Roman"/>
                <w:sz w:val="24"/>
                <w:szCs w:val="24"/>
              </w:rPr>
              <w:t xml:space="preserve"> </w:t>
            </w:r>
          </w:p>
          <w:p w14:paraId="34A648EC" w14:textId="77777777" w:rsidR="002F0A59" w:rsidRPr="0074301C" w:rsidRDefault="002F0A59" w:rsidP="00175059">
            <w:pPr>
              <w:rPr>
                <w:color w:val="C9C9C9" w:themeColor="accent3" w:themeTint="99"/>
              </w:rPr>
            </w:pPr>
          </w:p>
        </w:tc>
      </w:tr>
    </w:tbl>
    <w:p w14:paraId="73E0CF15" w14:textId="77777777" w:rsidR="002F0A59" w:rsidRDefault="002F0A59" w:rsidP="002F0A59"/>
    <w:p w14:paraId="65801ECD" w14:textId="77777777" w:rsidR="00195E75" w:rsidRPr="00F64FDE" w:rsidRDefault="00195E75" w:rsidP="00F64FDE">
      <w:pPr>
        <w:pStyle w:val="DHSBodytext"/>
        <w:rPr>
          <w:i/>
        </w:rPr>
      </w:pPr>
    </w:p>
    <w:p w14:paraId="19E16BAA" w14:textId="7AE3DC2F" w:rsidR="009D30B1" w:rsidRPr="0087277C" w:rsidRDefault="005F3AE5" w:rsidP="009D30B1">
      <w:pPr>
        <w:pStyle w:val="DHSHeadinglevel2"/>
      </w:pPr>
      <w:r>
        <w:t>Example Email Review Not Required Notification</w:t>
      </w:r>
    </w:p>
    <w:p w14:paraId="3263C2ED" w14:textId="77777777" w:rsidR="005F3AE5" w:rsidRDefault="005F3AE5" w:rsidP="005F3AE5">
      <w:pPr>
        <w:spacing w:after="120"/>
        <w:rPr>
          <w:rFonts w:cs="Arial"/>
          <w:color w:val="009900"/>
        </w:rPr>
      </w:pPr>
      <w:r w:rsidRPr="00B8467A">
        <w:rPr>
          <w:rFonts w:cs="Arial"/>
          <w:color w:val="FF0000"/>
        </w:rPr>
        <w:t xml:space="preserve">Subject line: </w:t>
      </w:r>
      <w:r w:rsidRPr="007605FB">
        <w:rPr>
          <w:rFonts w:cs="Arial"/>
        </w:rPr>
        <w:t xml:space="preserve">You do not need to complete your </w:t>
      </w:r>
      <w:proofErr w:type="gramStart"/>
      <w:r w:rsidRPr="007605FB">
        <w:rPr>
          <w:rFonts w:cs="Arial"/>
        </w:rPr>
        <w:t>review</w:t>
      </w:r>
      <w:proofErr w:type="gramEnd"/>
    </w:p>
    <w:tbl>
      <w:tblPr>
        <w:tblStyle w:val="TableGrid"/>
        <w:tblW w:w="0" w:type="auto"/>
        <w:tblLook w:val="04A0" w:firstRow="1" w:lastRow="0" w:firstColumn="1" w:lastColumn="0" w:noHBand="0" w:noVBand="1"/>
      </w:tblPr>
      <w:tblGrid>
        <w:gridCol w:w="9016"/>
      </w:tblGrid>
      <w:tr w:rsidR="005F3AE5" w14:paraId="393EBB25" w14:textId="77777777" w:rsidTr="00870846">
        <w:tc>
          <w:tcPr>
            <w:tcW w:w="9016" w:type="dxa"/>
          </w:tcPr>
          <w:p w14:paraId="3839C727" w14:textId="77777777" w:rsidR="005F3AE5" w:rsidRPr="00C143E6" w:rsidRDefault="005F3AE5" w:rsidP="00870846">
            <w:pPr>
              <w:rPr>
                <w:rFonts w:cs="Arial"/>
              </w:rPr>
            </w:pPr>
            <w:r w:rsidRPr="00C143E6">
              <w:rPr>
                <w:rFonts w:cs="Arial"/>
              </w:rPr>
              <w:t xml:space="preserve">This message is from </w:t>
            </w:r>
            <w:r>
              <w:rPr>
                <w:rFonts w:cs="Arial"/>
              </w:rPr>
              <w:t>Services Australia</w:t>
            </w:r>
            <w:r w:rsidRPr="00C143E6">
              <w:rPr>
                <w:rFonts w:cs="Arial"/>
              </w:rPr>
              <w:t>.</w:t>
            </w:r>
          </w:p>
          <w:p w14:paraId="1B9A00D5" w14:textId="77777777" w:rsidR="005F3AE5" w:rsidRPr="00C143E6" w:rsidRDefault="005F3AE5" w:rsidP="00870846">
            <w:pPr>
              <w:rPr>
                <w:rFonts w:cs="Arial"/>
              </w:rPr>
            </w:pPr>
            <w:r w:rsidRPr="00C143E6">
              <w:rPr>
                <w:rFonts w:cs="Arial"/>
              </w:rPr>
              <w:t xml:space="preserve"> </w:t>
            </w:r>
          </w:p>
          <w:p w14:paraId="7E1EA0CD" w14:textId="77777777" w:rsidR="005F3AE5" w:rsidRPr="00C143E6" w:rsidRDefault="005F3AE5" w:rsidP="00870846">
            <w:pPr>
              <w:rPr>
                <w:rFonts w:cs="Arial"/>
              </w:rPr>
            </w:pPr>
            <w:r w:rsidRPr="00C143E6">
              <w:rPr>
                <w:rFonts w:cs="Arial"/>
              </w:rPr>
              <w:t>Please DO NOT REPLY by email as this mailbox is not monitored.</w:t>
            </w:r>
          </w:p>
          <w:p w14:paraId="780BC5DD" w14:textId="77777777" w:rsidR="005F3AE5" w:rsidRPr="00C143E6" w:rsidRDefault="005F3AE5" w:rsidP="00870846">
            <w:pPr>
              <w:rPr>
                <w:rFonts w:cs="Arial"/>
              </w:rPr>
            </w:pPr>
          </w:p>
          <w:tbl>
            <w:tblPr>
              <w:tblStyle w:val="TableGrid"/>
              <w:tblW w:w="0" w:type="auto"/>
              <w:tblLook w:val="04A0" w:firstRow="1" w:lastRow="0" w:firstColumn="1" w:lastColumn="0" w:noHBand="0" w:noVBand="1"/>
            </w:tblPr>
            <w:tblGrid>
              <w:gridCol w:w="8790"/>
            </w:tblGrid>
            <w:tr w:rsidR="005F3AE5" w:rsidRPr="00C143E6" w14:paraId="340B7EE5" w14:textId="77777777" w:rsidTr="00870846">
              <w:tc>
                <w:tcPr>
                  <w:tcW w:w="8790" w:type="dxa"/>
                </w:tcPr>
                <w:p w14:paraId="76B2B6FA" w14:textId="77777777" w:rsidR="005F3AE5" w:rsidRPr="00C143E6" w:rsidRDefault="005F3AE5" w:rsidP="00870846">
                  <w:pPr>
                    <w:pStyle w:val="DefaultText"/>
                    <w:rPr>
                      <w:rFonts w:ascii="Arial" w:hAnsi="Arial" w:cs="Arial"/>
                      <w:color w:val="FF0000"/>
                      <w:sz w:val="22"/>
                      <w:szCs w:val="22"/>
                    </w:rPr>
                  </w:pPr>
                  <w:r w:rsidRPr="00C143E6">
                    <w:rPr>
                      <w:rFonts w:ascii="Arial" w:hAnsi="Arial" w:cs="Arial"/>
                      <w:color w:val="FF0000"/>
                      <w:sz w:val="22"/>
                      <w:szCs w:val="22"/>
                    </w:rPr>
                    <w:t xml:space="preserve">If </w:t>
                  </w:r>
                  <w:r w:rsidRPr="00C143E6">
                    <w:rPr>
                      <w:rFonts w:ascii="Arial" w:hAnsi="Arial" w:cs="Arial"/>
                      <w:color w:val="00B050"/>
                      <w:sz w:val="22"/>
                      <w:szCs w:val="22"/>
                    </w:rPr>
                    <w:t xml:space="preserve">{REVIEWTYPE} = </w:t>
                  </w:r>
                  <w:r w:rsidRPr="00C143E6">
                    <w:rPr>
                      <w:rFonts w:ascii="Arial" w:hAnsi="Arial" w:cs="Arial"/>
                      <w:color w:val="FF0000"/>
                      <w:sz w:val="22"/>
                      <w:szCs w:val="22"/>
                    </w:rPr>
                    <w:t>PUE</w:t>
                  </w:r>
                  <w:r>
                    <w:rPr>
                      <w:rFonts w:ascii="Arial" w:hAnsi="Arial" w:cs="Arial"/>
                      <w:color w:val="FF0000"/>
                      <w:sz w:val="22"/>
                      <w:szCs w:val="22"/>
                    </w:rPr>
                    <w:t xml:space="preserve">, </w:t>
                  </w:r>
                  <w:proofErr w:type="gramStart"/>
                  <w:r w:rsidRPr="00C143E6">
                    <w:rPr>
                      <w:rFonts w:ascii="Arial" w:hAnsi="Arial" w:cs="Arial"/>
                      <w:color w:val="FF0000"/>
                      <w:sz w:val="22"/>
                      <w:szCs w:val="22"/>
                    </w:rPr>
                    <w:t>NUE</w:t>
                  </w:r>
                  <w:r>
                    <w:rPr>
                      <w:rFonts w:ascii="Arial" w:hAnsi="Arial" w:cs="Arial"/>
                      <w:color w:val="FF0000"/>
                      <w:sz w:val="22"/>
                      <w:szCs w:val="22"/>
                    </w:rPr>
                    <w:t>,WUR</w:t>
                  </w:r>
                  <w:proofErr w:type="gramEnd"/>
                  <w:r>
                    <w:rPr>
                      <w:rFonts w:ascii="Arial" w:hAnsi="Arial" w:cs="Arial"/>
                      <w:color w:val="FF0000"/>
                      <w:sz w:val="22"/>
                      <w:szCs w:val="22"/>
                    </w:rPr>
                    <w:t>, SUE OR CUE</w:t>
                  </w:r>
                  <w:r w:rsidRPr="00C143E6">
                    <w:rPr>
                      <w:rFonts w:ascii="Arial" w:hAnsi="Arial" w:cs="Arial"/>
                      <w:color w:val="FF0000"/>
                      <w:sz w:val="22"/>
                      <w:szCs w:val="22"/>
                    </w:rPr>
                    <w:t xml:space="preserve"> display:</w:t>
                  </w:r>
                </w:p>
                <w:tbl>
                  <w:tblPr>
                    <w:tblStyle w:val="TableGrid"/>
                    <w:tblW w:w="0" w:type="auto"/>
                    <w:tblLook w:val="04A0" w:firstRow="1" w:lastRow="0" w:firstColumn="1" w:lastColumn="0" w:noHBand="0" w:noVBand="1"/>
                  </w:tblPr>
                  <w:tblGrid>
                    <w:gridCol w:w="8564"/>
                  </w:tblGrid>
                  <w:tr w:rsidR="005F3AE5" w:rsidRPr="00C143E6" w14:paraId="78E3EF14" w14:textId="77777777" w:rsidTr="00870846">
                    <w:tc>
                      <w:tcPr>
                        <w:tcW w:w="8790" w:type="dxa"/>
                      </w:tcPr>
                      <w:p w14:paraId="41229339" w14:textId="77777777" w:rsidR="005F3AE5" w:rsidRPr="00C143E6" w:rsidRDefault="005F3AE5" w:rsidP="00870846">
                        <w:pPr>
                          <w:autoSpaceDE w:val="0"/>
                          <w:autoSpaceDN w:val="0"/>
                          <w:spacing w:before="40" w:after="40"/>
                          <w:rPr>
                            <w:rFonts w:cs="Arial"/>
                            <w:color w:val="FF0000"/>
                          </w:rPr>
                        </w:pPr>
                        <w:r w:rsidRPr="00C143E6">
                          <w:rPr>
                            <w:rFonts w:cs="Arial"/>
                          </w:rPr>
                          <w:t>You no longer need to complete</w:t>
                        </w:r>
                        <w:r>
                          <w:rPr>
                            <w:rFonts w:cs="Arial"/>
                          </w:rPr>
                          <w:t xml:space="preserve"> your</w:t>
                        </w:r>
                        <w:r w:rsidRPr="00C143E6">
                          <w:rPr>
                            <w:rFonts w:cs="Arial"/>
                          </w:rPr>
                          <w:t xml:space="preserve"> </w:t>
                        </w:r>
                        <w:r w:rsidRPr="00C143E6">
                          <w:rPr>
                            <w:rFonts w:cs="Arial"/>
                            <w:color w:val="FF0000"/>
                          </w:rPr>
                          <w:t xml:space="preserve">If </w:t>
                        </w:r>
                        <w:r w:rsidRPr="00C143E6">
                          <w:rPr>
                            <w:rFonts w:cs="Arial"/>
                            <w:color w:val="00B050"/>
                          </w:rPr>
                          <w:t xml:space="preserve">{REVIEWTYPE} = </w:t>
                        </w:r>
                        <w:r w:rsidRPr="00C143E6">
                          <w:rPr>
                            <w:rFonts w:cs="Arial"/>
                            <w:color w:val="FF0000"/>
                          </w:rPr>
                          <w:t>PUE display</w:t>
                        </w:r>
                      </w:p>
                      <w:p w14:paraId="6676DC07" w14:textId="77777777" w:rsidR="005F3AE5" w:rsidRPr="00C143E6" w:rsidRDefault="005F3AE5" w:rsidP="00870846">
                        <w:pPr>
                          <w:autoSpaceDE w:val="0"/>
                          <w:autoSpaceDN w:val="0"/>
                          <w:spacing w:before="40" w:after="40"/>
                          <w:rPr>
                            <w:rFonts w:cs="Arial"/>
                          </w:rPr>
                        </w:pPr>
                        <w:r w:rsidRPr="005A10FA">
                          <w:rPr>
                            <w:rFonts w:cs="Arial"/>
                          </w:rPr>
                          <w:t xml:space="preserve">Enrolment </w:t>
                        </w:r>
                        <w:r>
                          <w:rPr>
                            <w:rFonts w:cs="Arial"/>
                          </w:rPr>
                          <w:t>D</w:t>
                        </w:r>
                        <w:r w:rsidRPr="005A10FA">
                          <w:rPr>
                            <w:rFonts w:cs="Arial"/>
                          </w:rPr>
                          <w:t>etails</w:t>
                        </w:r>
                        <w:r w:rsidRPr="005A10FA" w:rsidDel="005A10FA">
                          <w:rPr>
                            <w:rFonts w:cs="Arial"/>
                          </w:rPr>
                          <w:t xml:space="preserve"> </w:t>
                        </w:r>
                        <w:r>
                          <w:rPr>
                            <w:rFonts w:cs="Arial"/>
                          </w:rPr>
                          <w:t>Review.</w:t>
                        </w:r>
                        <w:r w:rsidRPr="00C143E6">
                          <w:rPr>
                            <w:rFonts w:cs="Arial"/>
                          </w:rPr>
                          <w:t xml:space="preserve"> </w:t>
                        </w:r>
                      </w:p>
                    </w:tc>
                  </w:tr>
                  <w:tr w:rsidR="005F3AE5" w:rsidRPr="00C143E6" w14:paraId="1CF1C50C" w14:textId="77777777" w:rsidTr="00870846">
                    <w:tc>
                      <w:tcPr>
                        <w:tcW w:w="8790" w:type="dxa"/>
                      </w:tcPr>
                      <w:p w14:paraId="5B57B9BE" w14:textId="77777777" w:rsidR="005F3AE5" w:rsidRPr="00C143E6" w:rsidRDefault="005F3AE5" w:rsidP="00870846">
                        <w:pPr>
                          <w:autoSpaceDE w:val="0"/>
                          <w:autoSpaceDN w:val="0"/>
                          <w:spacing w:before="40" w:after="40"/>
                          <w:rPr>
                            <w:rFonts w:cs="Arial"/>
                            <w:color w:val="FF0000"/>
                          </w:rPr>
                        </w:pPr>
                        <w:r w:rsidRPr="00C143E6">
                          <w:rPr>
                            <w:rFonts w:cs="Arial"/>
                            <w:color w:val="FF0000"/>
                          </w:rPr>
                          <w:t xml:space="preserve">If </w:t>
                        </w:r>
                        <w:r w:rsidRPr="00C143E6">
                          <w:rPr>
                            <w:rFonts w:cs="Arial"/>
                            <w:color w:val="00B050"/>
                          </w:rPr>
                          <w:t xml:space="preserve">{REVIEWTYPE} = </w:t>
                        </w:r>
                        <w:r w:rsidRPr="00C143E6">
                          <w:rPr>
                            <w:rFonts w:cs="Arial"/>
                            <w:color w:val="FF0000"/>
                          </w:rPr>
                          <w:t>NUE display</w:t>
                        </w:r>
                      </w:p>
                      <w:p w14:paraId="4F7D8204" w14:textId="77777777" w:rsidR="005F3AE5" w:rsidRPr="00C143E6" w:rsidRDefault="005F3AE5" w:rsidP="00870846">
                        <w:pPr>
                          <w:autoSpaceDE w:val="0"/>
                          <w:autoSpaceDN w:val="0"/>
                          <w:spacing w:before="40" w:after="40"/>
                          <w:rPr>
                            <w:rFonts w:cs="Arial"/>
                          </w:rPr>
                        </w:pPr>
                        <w:r w:rsidRPr="005A10FA">
                          <w:rPr>
                            <w:rFonts w:cs="Arial"/>
                          </w:rPr>
                          <w:t>No Match</w:t>
                        </w:r>
                        <w:r w:rsidRPr="005A10FA" w:rsidDel="005A10FA">
                          <w:rPr>
                            <w:rFonts w:cs="Arial"/>
                          </w:rPr>
                          <w:t xml:space="preserve"> </w:t>
                        </w:r>
                        <w:r>
                          <w:rPr>
                            <w:rFonts w:cs="Arial"/>
                          </w:rPr>
                          <w:t>Review.</w:t>
                        </w:r>
                      </w:p>
                    </w:tc>
                  </w:tr>
                  <w:tr w:rsidR="005F3AE5" w:rsidRPr="00C143E6" w14:paraId="24988659" w14:textId="77777777" w:rsidTr="00870846">
                    <w:tc>
                      <w:tcPr>
                        <w:tcW w:w="8790" w:type="dxa"/>
                      </w:tcPr>
                      <w:p w14:paraId="02211EED" w14:textId="77777777" w:rsidR="005F3AE5" w:rsidRPr="00C143E6" w:rsidRDefault="005F3AE5" w:rsidP="00870846">
                        <w:pPr>
                          <w:autoSpaceDE w:val="0"/>
                          <w:autoSpaceDN w:val="0"/>
                          <w:spacing w:before="40" w:after="40"/>
                          <w:rPr>
                            <w:rFonts w:cs="Arial"/>
                            <w:color w:val="FF0000"/>
                          </w:rPr>
                        </w:pPr>
                        <w:r w:rsidRPr="00C143E6">
                          <w:rPr>
                            <w:rFonts w:cs="Arial"/>
                            <w:color w:val="FF0000"/>
                          </w:rPr>
                          <w:t xml:space="preserve">If </w:t>
                        </w:r>
                        <w:r w:rsidRPr="00C143E6">
                          <w:rPr>
                            <w:rFonts w:cs="Arial"/>
                            <w:color w:val="00B050"/>
                          </w:rPr>
                          <w:t xml:space="preserve">{REVIEWTYPE} = </w:t>
                        </w:r>
                        <w:r w:rsidRPr="00C143E6">
                          <w:rPr>
                            <w:rFonts w:cs="Arial"/>
                            <w:color w:val="FF0000"/>
                          </w:rPr>
                          <w:t>SUE display</w:t>
                        </w:r>
                      </w:p>
                      <w:p w14:paraId="4BAC1B1A" w14:textId="77777777" w:rsidR="005F3AE5" w:rsidRPr="00C143E6" w:rsidRDefault="005F3AE5" w:rsidP="00870846">
                        <w:pPr>
                          <w:autoSpaceDE w:val="0"/>
                          <w:autoSpaceDN w:val="0"/>
                          <w:spacing w:before="40" w:after="40"/>
                          <w:rPr>
                            <w:rFonts w:cs="Arial"/>
                          </w:rPr>
                        </w:pPr>
                        <w:r w:rsidRPr="005A10FA">
                          <w:rPr>
                            <w:rFonts w:cs="Arial"/>
                          </w:rPr>
                          <w:t>Scholarship</w:t>
                        </w:r>
                        <w:r w:rsidRPr="005A10FA" w:rsidDel="005A10FA">
                          <w:rPr>
                            <w:rFonts w:cs="Arial"/>
                          </w:rPr>
                          <w:t xml:space="preserve"> </w:t>
                        </w:r>
                        <w:r>
                          <w:rPr>
                            <w:rFonts w:cs="Arial"/>
                          </w:rPr>
                          <w:t>Review.</w:t>
                        </w:r>
                        <w:r w:rsidRPr="00C143E6">
                          <w:rPr>
                            <w:rFonts w:cs="Arial"/>
                          </w:rPr>
                          <w:t xml:space="preserve"> </w:t>
                        </w:r>
                      </w:p>
                    </w:tc>
                  </w:tr>
                  <w:tr w:rsidR="005F3AE5" w:rsidRPr="00C143E6" w14:paraId="4F53D1F7" w14:textId="77777777" w:rsidTr="00870846">
                    <w:tc>
                      <w:tcPr>
                        <w:tcW w:w="8790" w:type="dxa"/>
                      </w:tcPr>
                      <w:p w14:paraId="0A66BCE8" w14:textId="77777777" w:rsidR="005F3AE5" w:rsidRPr="00C143E6" w:rsidRDefault="005F3AE5" w:rsidP="00870846">
                        <w:pPr>
                          <w:autoSpaceDE w:val="0"/>
                          <w:autoSpaceDN w:val="0"/>
                          <w:spacing w:before="40" w:after="40"/>
                          <w:rPr>
                            <w:rFonts w:cs="Arial"/>
                            <w:color w:val="FF0000"/>
                          </w:rPr>
                        </w:pPr>
                        <w:r w:rsidRPr="00C143E6">
                          <w:rPr>
                            <w:rFonts w:cs="Arial"/>
                            <w:color w:val="FF0000"/>
                          </w:rPr>
                          <w:t xml:space="preserve">If </w:t>
                        </w:r>
                        <w:r w:rsidRPr="00C143E6">
                          <w:rPr>
                            <w:rFonts w:cs="Arial"/>
                            <w:color w:val="00B050"/>
                          </w:rPr>
                          <w:t xml:space="preserve">{REVIEWTYPE} = </w:t>
                        </w:r>
                        <w:r>
                          <w:rPr>
                            <w:rFonts w:cs="Arial"/>
                            <w:color w:val="FF0000"/>
                          </w:rPr>
                          <w:t>W</w:t>
                        </w:r>
                        <w:r w:rsidRPr="00C143E6">
                          <w:rPr>
                            <w:rFonts w:cs="Arial"/>
                            <w:color w:val="FF0000"/>
                          </w:rPr>
                          <w:t>UE display</w:t>
                        </w:r>
                      </w:p>
                      <w:p w14:paraId="2269C914" w14:textId="77777777" w:rsidR="005F3AE5" w:rsidRPr="00C143E6" w:rsidRDefault="005F3AE5" w:rsidP="00870846">
                        <w:pPr>
                          <w:autoSpaceDE w:val="0"/>
                          <w:autoSpaceDN w:val="0"/>
                          <w:spacing w:before="40" w:after="40"/>
                          <w:rPr>
                            <w:rFonts w:cs="Arial"/>
                            <w:color w:val="FF0000"/>
                          </w:rPr>
                        </w:pPr>
                        <w:r w:rsidRPr="005A10FA">
                          <w:rPr>
                            <w:rFonts w:cs="Arial"/>
                          </w:rPr>
                          <w:t>Cessation</w:t>
                        </w:r>
                        <w:r w:rsidRPr="005A10FA" w:rsidDel="005A10FA">
                          <w:rPr>
                            <w:rFonts w:cs="Arial"/>
                          </w:rPr>
                          <w:t xml:space="preserve"> </w:t>
                        </w:r>
                        <w:r>
                          <w:rPr>
                            <w:rFonts w:cs="Arial"/>
                          </w:rPr>
                          <w:t>Review.</w:t>
                        </w:r>
                      </w:p>
                    </w:tc>
                  </w:tr>
                  <w:tr w:rsidR="005F3AE5" w:rsidRPr="00C143E6" w14:paraId="264BE948" w14:textId="77777777" w:rsidTr="00870846">
                    <w:tc>
                      <w:tcPr>
                        <w:tcW w:w="8790" w:type="dxa"/>
                      </w:tcPr>
                      <w:p w14:paraId="5DAAD86E" w14:textId="77777777" w:rsidR="005F3AE5" w:rsidRPr="00C143E6" w:rsidRDefault="005F3AE5" w:rsidP="00870846">
                        <w:pPr>
                          <w:autoSpaceDE w:val="0"/>
                          <w:autoSpaceDN w:val="0"/>
                          <w:spacing w:before="40" w:after="40"/>
                          <w:rPr>
                            <w:rFonts w:cs="Arial"/>
                            <w:color w:val="FF0000"/>
                          </w:rPr>
                        </w:pPr>
                        <w:r w:rsidRPr="00C143E6">
                          <w:rPr>
                            <w:rFonts w:cs="Arial"/>
                            <w:color w:val="FF0000"/>
                          </w:rPr>
                          <w:t xml:space="preserve">If </w:t>
                        </w:r>
                        <w:r w:rsidRPr="00C143E6">
                          <w:rPr>
                            <w:rFonts w:cs="Arial"/>
                            <w:color w:val="00B050"/>
                          </w:rPr>
                          <w:t xml:space="preserve">{REVIEWTYPE} = </w:t>
                        </w:r>
                        <w:r>
                          <w:rPr>
                            <w:rFonts w:cs="Arial"/>
                            <w:color w:val="FF0000"/>
                          </w:rPr>
                          <w:t>C</w:t>
                        </w:r>
                        <w:r w:rsidRPr="00C143E6">
                          <w:rPr>
                            <w:rFonts w:cs="Arial"/>
                            <w:color w:val="FF0000"/>
                          </w:rPr>
                          <w:t>UE display</w:t>
                        </w:r>
                      </w:p>
                      <w:p w14:paraId="7E3DDCC8" w14:textId="77777777" w:rsidR="005F3AE5" w:rsidRPr="00C143E6" w:rsidRDefault="005F3AE5" w:rsidP="00870846">
                        <w:pPr>
                          <w:autoSpaceDE w:val="0"/>
                          <w:autoSpaceDN w:val="0"/>
                          <w:spacing w:before="40" w:after="40"/>
                          <w:rPr>
                            <w:rFonts w:cs="Arial"/>
                            <w:color w:val="FF0000"/>
                          </w:rPr>
                        </w:pPr>
                        <w:r w:rsidRPr="005A10FA">
                          <w:rPr>
                            <w:rFonts w:cs="Arial"/>
                          </w:rPr>
                          <w:t xml:space="preserve">Course </w:t>
                        </w:r>
                        <w:r>
                          <w:rPr>
                            <w:rFonts w:cs="Arial"/>
                          </w:rPr>
                          <w:t>C</w:t>
                        </w:r>
                        <w:r w:rsidRPr="005A10FA">
                          <w:rPr>
                            <w:rFonts w:cs="Arial"/>
                          </w:rPr>
                          <w:t>ompletion</w:t>
                        </w:r>
                        <w:r w:rsidRPr="005A10FA" w:rsidDel="005A10FA">
                          <w:rPr>
                            <w:rFonts w:cs="Arial"/>
                          </w:rPr>
                          <w:t xml:space="preserve"> </w:t>
                        </w:r>
                        <w:r>
                          <w:rPr>
                            <w:rFonts w:cs="Arial"/>
                          </w:rPr>
                          <w:t>Review.</w:t>
                        </w:r>
                      </w:p>
                    </w:tc>
                  </w:tr>
                  <w:tr w:rsidR="005F3AE5" w:rsidRPr="00C143E6" w14:paraId="65C5D0E6" w14:textId="77777777" w:rsidTr="00870846">
                    <w:tc>
                      <w:tcPr>
                        <w:tcW w:w="8790" w:type="dxa"/>
                      </w:tcPr>
                      <w:p w14:paraId="4941361D" w14:textId="77777777" w:rsidR="005F3AE5" w:rsidRPr="00C143E6" w:rsidRDefault="005F3AE5" w:rsidP="00870846">
                        <w:pPr>
                          <w:autoSpaceDE w:val="0"/>
                          <w:autoSpaceDN w:val="0"/>
                          <w:spacing w:before="40" w:after="40"/>
                          <w:rPr>
                            <w:rFonts w:cs="Arial"/>
                          </w:rPr>
                        </w:pPr>
                        <w:r w:rsidRPr="00C143E6">
                          <w:rPr>
                            <w:rFonts w:cs="Arial"/>
                            <w:color w:val="FF0000"/>
                          </w:rPr>
                          <w:t>End if</w:t>
                        </w:r>
                      </w:p>
                    </w:tc>
                  </w:tr>
                </w:tbl>
                <w:p w14:paraId="70EBE3A4" w14:textId="77777777" w:rsidR="005F3AE5" w:rsidRPr="00C143E6" w:rsidRDefault="005F3AE5" w:rsidP="00870846">
                  <w:pPr>
                    <w:rPr>
                      <w:rFonts w:cs="Arial"/>
                    </w:rPr>
                  </w:pPr>
                </w:p>
                <w:p w14:paraId="2488ED7C" w14:textId="77777777" w:rsidR="005F3AE5" w:rsidRPr="00C143E6" w:rsidRDefault="005F3AE5" w:rsidP="00870846">
                  <w:pPr>
                    <w:rPr>
                      <w:rFonts w:cs="Arial"/>
                      <w:color w:val="FF0000"/>
                    </w:rPr>
                  </w:pPr>
                </w:p>
              </w:tc>
            </w:tr>
            <w:tr w:rsidR="005F3AE5" w:rsidRPr="00C143E6" w14:paraId="56903239" w14:textId="77777777" w:rsidTr="00870846">
              <w:tc>
                <w:tcPr>
                  <w:tcW w:w="8790" w:type="dxa"/>
                </w:tcPr>
                <w:p w14:paraId="380FF0A8" w14:textId="77777777" w:rsidR="005F3AE5" w:rsidRPr="00C143E6" w:rsidRDefault="005F3AE5" w:rsidP="00870846">
                  <w:pPr>
                    <w:rPr>
                      <w:rFonts w:cs="Arial"/>
                      <w:color w:val="FF0000"/>
                    </w:rPr>
                  </w:pPr>
                  <w:r w:rsidRPr="00C143E6">
                    <w:rPr>
                      <w:rFonts w:cs="Arial"/>
                      <w:color w:val="FF0000"/>
                    </w:rPr>
                    <w:t>End if</w:t>
                  </w:r>
                </w:p>
              </w:tc>
            </w:tr>
          </w:tbl>
          <w:p w14:paraId="74E3A2B3" w14:textId="77777777" w:rsidR="005F3AE5" w:rsidRPr="00C143E6" w:rsidRDefault="005F3AE5" w:rsidP="00870846">
            <w:pPr>
              <w:rPr>
                <w:rFonts w:cs="Arial"/>
              </w:rPr>
            </w:pPr>
          </w:p>
          <w:p w14:paraId="5BE59FBE" w14:textId="77777777" w:rsidR="005F3AE5" w:rsidRPr="00531B33" w:rsidRDefault="005F3AE5" w:rsidP="00870846">
            <w:pPr>
              <w:rPr>
                <w:rFonts w:cs="Arial"/>
              </w:rPr>
            </w:pPr>
            <w:r w:rsidRPr="00C143E6">
              <w:rPr>
                <w:rFonts w:cs="Arial"/>
              </w:rPr>
              <w:t xml:space="preserve">For more information about student payments, please go to the </w:t>
            </w:r>
            <w:r>
              <w:rPr>
                <w:rFonts w:cs="Arial"/>
              </w:rPr>
              <w:t>Services Australia</w:t>
            </w:r>
            <w:r w:rsidRPr="00C143E6">
              <w:rPr>
                <w:rFonts w:cs="Arial"/>
              </w:rPr>
              <w:t xml:space="preserve"> website and search 'student</w:t>
            </w:r>
            <w:r>
              <w:rPr>
                <w:rFonts w:cs="Arial"/>
              </w:rPr>
              <w:t xml:space="preserve"> payment</w:t>
            </w:r>
            <w:r w:rsidRPr="00C143E6">
              <w:rPr>
                <w:rFonts w:cs="Arial"/>
              </w:rPr>
              <w:t>'</w:t>
            </w:r>
            <w:r w:rsidRPr="00531B33">
              <w:rPr>
                <w:rFonts w:cs="Arial"/>
              </w:rPr>
              <w:t>.</w:t>
            </w:r>
          </w:p>
          <w:p w14:paraId="132E1976" w14:textId="77777777" w:rsidR="005F3AE5" w:rsidRPr="00531B33" w:rsidRDefault="005F3AE5" w:rsidP="00870846"/>
          <w:p w14:paraId="6A938ABF" w14:textId="77777777" w:rsidR="005F3AE5" w:rsidRDefault="005F3AE5" w:rsidP="00870846">
            <w:pPr>
              <w:spacing w:after="120"/>
              <w:rPr>
                <w:rFonts w:cs="Arial"/>
                <w:b/>
              </w:rPr>
            </w:pPr>
          </w:p>
        </w:tc>
      </w:tr>
    </w:tbl>
    <w:p w14:paraId="6980AB27" w14:textId="0140A6ED" w:rsidR="00484EDA" w:rsidRDefault="005F3AE5" w:rsidP="00926FAE">
      <w:pPr>
        <w:pStyle w:val="DHSHeadinglevel2"/>
      </w:pPr>
      <w:r>
        <w:lastRenderedPageBreak/>
        <w:t>Example SMS Review Not Required Notification</w:t>
      </w:r>
    </w:p>
    <w:tbl>
      <w:tblPr>
        <w:tblStyle w:val="TableGrid"/>
        <w:tblW w:w="0" w:type="auto"/>
        <w:tblLook w:val="04A0" w:firstRow="1" w:lastRow="0" w:firstColumn="1" w:lastColumn="0" w:noHBand="0" w:noVBand="1"/>
      </w:tblPr>
      <w:tblGrid>
        <w:gridCol w:w="9016"/>
      </w:tblGrid>
      <w:tr w:rsidR="005F3AE5" w14:paraId="78B9CD3E" w14:textId="77777777" w:rsidTr="00870846">
        <w:tc>
          <w:tcPr>
            <w:tcW w:w="9016" w:type="dxa"/>
          </w:tcPr>
          <w:p w14:paraId="2E4442D1" w14:textId="77777777" w:rsidR="005F3AE5" w:rsidRPr="00C143E6" w:rsidRDefault="005F3AE5" w:rsidP="00870846">
            <w:pPr>
              <w:autoSpaceDE w:val="0"/>
              <w:autoSpaceDN w:val="0"/>
              <w:spacing w:before="40" w:after="40"/>
              <w:rPr>
                <w:rFonts w:cs="Arial"/>
              </w:rPr>
            </w:pPr>
            <w:r w:rsidRPr="00C143E6">
              <w:rPr>
                <w:rFonts w:cs="Arial"/>
              </w:rPr>
              <w:t xml:space="preserve">You no longer need to complete </w:t>
            </w:r>
            <w:r>
              <w:rPr>
                <w:rFonts w:cs="Arial"/>
              </w:rPr>
              <w:t>your</w:t>
            </w:r>
          </w:p>
          <w:tbl>
            <w:tblPr>
              <w:tblStyle w:val="TableGrid"/>
              <w:tblW w:w="0" w:type="auto"/>
              <w:tblLook w:val="04A0" w:firstRow="1" w:lastRow="0" w:firstColumn="1" w:lastColumn="0" w:noHBand="0" w:noVBand="1"/>
            </w:tblPr>
            <w:tblGrid>
              <w:gridCol w:w="8790"/>
            </w:tblGrid>
            <w:tr w:rsidR="005F3AE5" w:rsidRPr="00C143E6" w14:paraId="52F5004C" w14:textId="77777777" w:rsidTr="00870846">
              <w:tc>
                <w:tcPr>
                  <w:tcW w:w="8790" w:type="dxa"/>
                </w:tcPr>
                <w:p w14:paraId="0BC4089F" w14:textId="77777777" w:rsidR="005F3AE5" w:rsidRPr="00C143E6" w:rsidRDefault="005F3AE5" w:rsidP="00870846">
                  <w:pPr>
                    <w:autoSpaceDE w:val="0"/>
                    <w:autoSpaceDN w:val="0"/>
                    <w:spacing w:before="40" w:after="40"/>
                    <w:rPr>
                      <w:rFonts w:cs="Arial"/>
                      <w:color w:val="FF0000"/>
                    </w:rPr>
                  </w:pPr>
                  <w:r w:rsidRPr="00C143E6">
                    <w:rPr>
                      <w:rFonts w:cs="Arial"/>
                      <w:color w:val="FF0000"/>
                    </w:rPr>
                    <w:t xml:space="preserve">If </w:t>
                  </w:r>
                  <w:r w:rsidRPr="00C143E6">
                    <w:rPr>
                      <w:rFonts w:cs="Arial"/>
                      <w:color w:val="00B050"/>
                    </w:rPr>
                    <w:t xml:space="preserve">{REVIEWTYPE} = </w:t>
                  </w:r>
                  <w:r w:rsidRPr="00C143E6">
                    <w:rPr>
                      <w:rFonts w:cs="Arial"/>
                      <w:color w:val="FF0000"/>
                    </w:rPr>
                    <w:t>PUE display</w:t>
                  </w:r>
                </w:p>
                <w:p w14:paraId="7A8B742E" w14:textId="77777777" w:rsidR="005F3AE5" w:rsidRPr="00C143E6" w:rsidRDefault="005F3AE5" w:rsidP="00870846">
                  <w:pPr>
                    <w:autoSpaceDE w:val="0"/>
                    <w:autoSpaceDN w:val="0"/>
                    <w:spacing w:before="40" w:after="40"/>
                    <w:rPr>
                      <w:rFonts w:cs="Arial"/>
                    </w:rPr>
                  </w:pPr>
                  <w:r w:rsidRPr="005A10FA">
                    <w:rPr>
                      <w:rFonts w:cs="Arial"/>
                    </w:rPr>
                    <w:t>Enrolment details</w:t>
                  </w:r>
                  <w:r w:rsidRPr="005A10FA" w:rsidDel="005A10FA">
                    <w:rPr>
                      <w:rFonts w:cs="Arial"/>
                    </w:rPr>
                    <w:t xml:space="preserve"> </w:t>
                  </w:r>
                  <w:r>
                    <w:rPr>
                      <w:rFonts w:cs="Arial"/>
                    </w:rPr>
                    <w:t>review.</w:t>
                  </w:r>
                  <w:r w:rsidRPr="00C143E6">
                    <w:rPr>
                      <w:rFonts w:cs="Arial"/>
                    </w:rPr>
                    <w:t xml:space="preserve"> </w:t>
                  </w:r>
                </w:p>
              </w:tc>
            </w:tr>
            <w:tr w:rsidR="005F3AE5" w:rsidRPr="00C143E6" w14:paraId="398330DA" w14:textId="77777777" w:rsidTr="00870846">
              <w:tc>
                <w:tcPr>
                  <w:tcW w:w="8790" w:type="dxa"/>
                </w:tcPr>
                <w:p w14:paraId="1C19398E" w14:textId="77777777" w:rsidR="005F3AE5" w:rsidRPr="00C143E6" w:rsidRDefault="005F3AE5" w:rsidP="00870846">
                  <w:pPr>
                    <w:autoSpaceDE w:val="0"/>
                    <w:autoSpaceDN w:val="0"/>
                    <w:spacing w:before="40" w:after="40"/>
                    <w:rPr>
                      <w:rFonts w:cs="Arial"/>
                      <w:color w:val="FF0000"/>
                    </w:rPr>
                  </w:pPr>
                  <w:r w:rsidRPr="00C143E6">
                    <w:rPr>
                      <w:rFonts w:cs="Arial"/>
                      <w:color w:val="FF0000"/>
                    </w:rPr>
                    <w:t xml:space="preserve">If </w:t>
                  </w:r>
                  <w:r w:rsidRPr="00C143E6">
                    <w:rPr>
                      <w:rFonts w:cs="Arial"/>
                      <w:color w:val="00B050"/>
                    </w:rPr>
                    <w:t xml:space="preserve">{REVIEWTYPE} = </w:t>
                  </w:r>
                  <w:r w:rsidRPr="00C143E6">
                    <w:rPr>
                      <w:rFonts w:cs="Arial"/>
                      <w:color w:val="FF0000"/>
                    </w:rPr>
                    <w:t>NUE display</w:t>
                  </w:r>
                </w:p>
                <w:p w14:paraId="0EC1BD2D" w14:textId="77777777" w:rsidR="005F3AE5" w:rsidRPr="00C143E6" w:rsidRDefault="005F3AE5" w:rsidP="00870846">
                  <w:pPr>
                    <w:autoSpaceDE w:val="0"/>
                    <w:autoSpaceDN w:val="0"/>
                    <w:spacing w:before="40" w:after="40"/>
                    <w:rPr>
                      <w:rFonts w:cs="Arial"/>
                    </w:rPr>
                  </w:pPr>
                  <w:r w:rsidRPr="005A10FA">
                    <w:rPr>
                      <w:rFonts w:cs="Arial"/>
                    </w:rPr>
                    <w:t>No Match</w:t>
                  </w:r>
                  <w:r w:rsidRPr="005A10FA" w:rsidDel="005A10FA">
                    <w:rPr>
                      <w:rFonts w:cs="Arial"/>
                    </w:rPr>
                    <w:t xml:space="preserve"> </w:t>
                  </w:r>
                  <w:proofErr w:type="gramStart"/>
                  <w:r>
                    <w:rPr>
                      <w:rFonts w:cs="Arial"/>
                    </w:rPr>
                    <w:t>review</w:t>
                  </w:r>
                  <w:proofErr w:type="gramEnd"/>
                  <w:r>
                    <w:rPr>
                      <w:rFonts w:cs="Arial"/>
                    </w:rPr>
                    <w:t>.</w:t>
                  </w:r>
                </w:p>
              </w:tc>
            </w:tr>
            <w:tr w:rsidR="005F3AE5" w:rsidRPr="00C143E6" w14:paraId="2C3EB569" w14:textId="77777777" w:rsidTr="00870846">
              <w:tc>
                <w:tcPr>
                  <w:tcW w:w="8790" w:type="dxa"/>
                </w:tcPr>
                <w:p w14:paraId="78F5FC4D" w14:textId="77777777" w:rsidR="005F3AE5" w:rsidRPr="00C143E6" w:rsidRDefault="005F3AE5" w:rsidP="00870846">
                  <w:pPr>
                    <w:autoSpaceDE w:val="0"/>
                    <w:autoSpaceDN w:val="0"/>
                    <w:spacing w:before="40" w:after="40"/>
                    <w:rPr>
                      <w:rFonts w:cs="Arial"/>
                      <w:color w:val="FF0000"/>
                    </w:rPr>
                  </w:pPr>
                  <w:r w:rsidRPr="00C143E6">
                    <w:rPr>
                      <w:rFonts w:cs="Arial"/>
                      <w:color w:val="FF0000"/>
                    </w:rPr>
                    <w:t xml:space="preserve">If </w:t>
                  </w:r>
                  <w:r w:rsidRPr="00C143E6">
                    <w:rPr>
                      <w:rFonts w:cs="Arial"/>
                      <w:color w:val="00B050"/>
                    </w:rPr>
                    <w:t xml:space="preserve">{REVIEWTYPE} = </w:t>
                  </w:r>
                  <w:r w:rsidRPr="00C143E6">
                    <w:rPr>
                      <w:rFonts w:cs="Arial"/>
                      <w:color w:val="FF0000"/>
                    </w:rPr>
                    <w:t>SUE display</w:t>
                  </w:r>
                </w:p>
                <w:p w14:paraId="0FDCFF66" w14:textId="77777777" w:rsidR="005F3AE5" w:rsidRPr="00C143E6" w:rsidRDefault="005F3AE5" w:rsidP="00870846">
                  <w:pPr>
                    <w:autoSpaceDE w:val="0"/>
                    <w:autoSpaceDN w:val="0"/>
                    <w:spacing w:before="40" w:after="40"/>
                    <w:rPr>
                      <w:rFonts w:cs="Arial"/>
                    </w:rPr>
                  </w:pPr>
                  <w:r w:rsidRPr="005A10FA">
                    <w:rPr>
                      <w:rFonts w:cs="Arial"/>
                    </w:rPr>
                    <w:t>Scholarship</w:t>
                  </w:r>
                  <w:r w:rsidRPr="005A10FA" w:rsidDel="005A10FA">
                    <w:rPr>
                      <w:rFonts w:cs="Arial"/>
                    </w:rPr>
                    <w:t xml:space="preserve"> </w:t>
                  </w:r>
                  <w:r>
                    <w:rPr>
                      <w:rFonts w:cs="Arial"/>
                    </w:rPr>
                    <w:t>review.</w:t>
                  </w:r>
                  <w:r w:rsidRPr="00C143E6">
                    <w:rPr>
                      <w:rFonts w:cs="Arial"/>
                    </w:rPr>
                    <w:t xml:space="preserve"> </w:t>
                  </w:r>
                </w:p>
              </w:tc>
            </w:tr>
            <w:tr w:rsidR="005F3AE5" w:rsidRPr="00C143E6" w14:paraId="402C148A" w14:textId="77777777" w:rsidTr="00870846">
              <w:tc>
                <w:tcPr>
                  <w:tcW w:w="8790" w:type="dxa"/>
                </w:tcPr>
                <w:p w14:paraId="7CC25050" w14:textId="77777777" w:rsidR="005F3AE5" w:rsidRPr="00C143E6" w:rsidRDefault="005F3AE5" w:rsidP="00870846">
                  <w:pPr>
                    <w:autoSpaceDE w:val="0"/>
                    <w:autoSpaceDN w:val="0"/>
                    <w:spacing w:before="40" w:after="40"/>
                    <w:rPr>
                      <w:rFonts w:cs="Arial"/>
                      <w:color w:val="FF0000"/>
                    </w:rPr>
                  </w:pPr>
                  <w:r w:rsidRPr="00C143E6">
                    <w:rPr>
                      <w:rFonts w:cs="Arial"/>
                      <w:color w:val="FF0000"/>
                    </w:rPr>
                    <w:t xml:space="preserve">If </w:t>
                  </w:r>
                  <w:r w:rsidRPr="00C143E6">
                    <w:rPr>
                      <w:rFonts w:cs="Arial"/>
                      <w:color w:val="00B050"/>
                    </w:rPr>
                    <w:t xml:space="preserve">{REVIEWTYPE} = </w:t>
                  </w:r>
                  <w:r>
                    <w:rPr>
                      <w:rFonts w:cs="Arial"/>
                      <w:color w:val="FF0000"/>
                    </w:rPr>
                    <w:t>W</w:t>
                  </w:r>
                  <w:r w:rsidRPr="00C143E6">
                    <w:rPr>
                      <w:rFonts w:cs="Arial"/>
                      <w:color w:val="FF0000"/>
                    </w:rPr>
                    <w:t>UE display</w:t>
                  </w:r>
                </w:p>
                <w:p w14:paraId="458FFEBB" w14:textId="77777777" w:rsidR="005F3AE5" w:rsidRPr="00C143E6" w:rsidRDefault="005F3AE5" w:rsidP="00870846">
                  <w:pPr>
                    <w:autoSpaceDE w:val="0"/>
                    <w:autoSpaceDN w:val="0"/>
                    <w:spacing w:before="40" w:after="40"/>
                    <w:rPr>
                      <w:rFonts w:cs="Arial"/>
                      <w:color w:val="FF0000"/>
                    </w:rPr>
                  </w:pPr>
                  <w:r w:rsidRPr="005A10FA">
                    <w:rPr>
                      <w:rFonts w:cs="Arial"/>
                    </w:rPr>
                    <w:t>Cessation</w:t>
                  </w:r>
                  <w:r w:rsidRPr="005A10FA" w:rsidDel="005A10FA">
                    <w:rPr>
                      <w:rFonts w:cs="Arial"/>
                    </w:rPr>
                    <w:t xml:space="preserve"> </w:t>
                  </w:r>
                  <w:r>
                    <w:rPr>
                      <w:rFonts w:cs="Arial"/>
                    </w:rPr>
                    <w:t>review.</w:t>
                  </w:r>
                </w:p>
              </w:tc>
            </w:tr>
            <w:tr w:rsidR="005F3AE5" w:rsidRPr="00C143E6" w14:paraId="082E99E9" w14:textId="77777777" w:rsidTr="00870846">
              <w:tc>
                <w:tcPr>
                  <w:tcW w:w="8790" w:type="dxa"/>
                </w:tcPr>
                <w:p w14:paraId="761CCC58" w14:textId="77777777" w:rsidR="005F3AE5" w:rsidRPr="00C143E6" w:rsidRDefault="005F3AE5" w:rsidP="00870846">
                  <w:pPr>
                    <w:autoSpaceDE w:val="0"/>
                    <w:autoSpaceDN w:val="0"/>
                    <w:spacing w:before="40" w:after="40"/>
                    <w:rPr>
                      <w:rFonts w:cs="Arial"/>
                      <w:color w:val="FF0000"/>
                    </w:rPr>
                  </w:pPr>
                  <w:r w:rsidRPr="00C143E6">
                    <w:rPr>
                      <w:rFonts w:cs="Arial"/>
                      <w:color w:val="FF0000"/>
                    </w:rPr>
                    <w:t xml:space="preserve">If </w:t>
                  </w:r>
                  <w:r w:rsidRPr="00C143E6">
                    <w:rPr>
                      <w:rFonts w:cs="Arial"/>
                      <w:color w:val="00B050"/>
                    </w:rPr>
                    <w:t xml:space="preserve">{REVIEWTYPE} = </w:t>
                  </w:r>
                  <w:r>
                    <w:rPr>
                      <w:rFonts w:cs="Arial"/>
                      <w:color w:val="FF0000"/>
                    </w:rPr>
                    <w:t>C</w:t>
                  </w:r>
                  <w:r w:rsidRPr="00C143E6">
                    <w:rPr>
                      <w:rFonts w:cs="Arial"/>
                      <w:color w:val="FF0000"/>
                    </w:rPr>
                    <w:t>UE display</w:t>
                  </w:r>
                </w:p>
                <w:p w14:paraId="49D8407B" w14:textId="77777777" w:rsidR="005F3AE5" w:rsidRPr="00C143E6" w:rsidRDefault="005F3AE5" w:rsidP="00870846">
                  <w:pPr>
                    <w:autoSpaceDE w:val="0"/>
                    <w:autoSpaceDN w:val="0"/>
                    <w:spacing w:before="40" w:after="40"/>
                    <w:rPr>
                      <w:rFonts w:cs="Arial"/>
                      <w:color w:val="FF0000"/>
                    </w:rPr>
                  </w:pPr>
                  <w:r w:rsidRPr="005A10FA">
                    <w:rPr>
                      <w:rFonts w:cs="Arial"/>
                    </w:rPr>
                    <w:t>Course completion</w:t>
                  </w:r>
                  <w:r w:rsidRPr="005A10FA" w:rsidDel="005A10FA">
                    <w:rPr>
                      <w:rFonts w:cs="Arial"/>
                    </w:rPr>
                    <w:t xml:space="preserve"> </w:t>
                  </w:r>
                  <w:r>
                    <w:rPr>
                      <w:rFonts w:cs="Arial"/>
                    </w:rPr>
                    <w:t>review.</w:t>
                  </w:r>
                </w:p>
              </w:tc>
            </w:tr>
            <w:tr w:rsidR="005F3AE5" w:rsidRPr="00C143E6" w14:paraId="06F2A2B9" w14:textId="77777777" w:rsidTr="00870846">
              <w:tc>
                <w:tcPr>
                  <w:tcW w:w="8790" w:type="dxa"/>
                </w:tcPr>
                <w:p w14:paraId="7ED33058" w14:textId="77777777" w:rsidR="005F3AE5" w:rsidRPr="00C143E6" w:rsidRDefault="005F3AE5" w:rsidP="00870846">
                  <w:pPr>
                    <w:autoSpaceDE w:val="0"/>
                    <w:autoSpaceDN w:val="0"/>
                    <w:spacing w:before="40" w:after="40"/>
                    <w:rPr>
                      <w:rFonts w:cs="Arial"/>
                    </w:rPr>
                  </w:pPr>
                  <w:r w:rsidRPr="00C143E6">
                    <w:rPr>
                      <w:rFonts w:cs="Arial"/>
                      <w:color w:val="FF0000"/>
                    </w:rPr>
                    <w:t>End if</w:t>
                  </w:r>
                </w:p>
              </w:tc>
            </w:tr>
          </w:tbl>
          <w:p w14:paraId="25594556" w14:textId="77777777" w:rsidR="005F3AE5" w:rsidRPr="00C143E6" w:rsidRDefault="005F3AE5" w:rsidP="00870846">
            <w:pPr>
              <w:autoSpaceDE w:val="0"/>
              <w:autoSpaceDN w:val="0"/>
              <w:spacing w:before="40" w:after="40"/>
              <w:rPr>
                <w:rFonts w:cs="Arial"/>
              </w:rPr>
            </w:pPr>
            <w:r w:rsidRPr="00C143E6">
              <w:rPr>
                <w:rFonts w:cs="Arial"/>
              </w:rPr>
              <w:t xml:space="preserve">Do not reply by </w:t>
            </w:r>
            <w:proofErr w:type="gramStart"/>
            <w:r w:rsidRPr="00C143E6">
              <w:rPr>
                <w:rFonts w:cs="Arial"/>
              </w:rPr>
              <w:t>SMS</w:t>
            </w:r>
            <w:proofErr w:type="gramEnd"/>
            <w:r w:rsidRPr="00C143E6">
              <w:rPr>
                <w:rFonts w:cs="Arial"/>
              </w:rPr>
              <w:t xml:space="preserve"> </w:t>
            </w:r>
          </w:p>
          <w:p w14:paraId="6CC5BB92" w14:textId="77777777" w:rsidR="005F3AE5" w:rsidRDefault="005F3AE5" w:rsidP="00870846">
            <w:pPr>
              <w:rPr>
                <w:rFonts w:cs="Arial"/>
              </w:rPr>
            </w:pPr>
          </w:p>
        </w:tc>
      </w:tr>
    </w:tbl>
    <w:p w14:paraId="642C1250" w14:textId="77777777" w:rsidR="005F3AE5" w:rsidRPr="00F64FDE" w:rsidRDefault="005F3AE5" w:rsidP="00F64FDE">
      <w:pPr>
        <w:pStyle w:val="DHSBodytext"/>
        <w:rPr>
          <w:lang w:eastAsia="en-US"/>
        </w:rPr>
      </w:pPr>
    </w:p>
    <w:p w14:paraId="1CF0D69B" w14:textId="72DD3039" w:rsidR="005F3AE5" w:rsidRDefault="005F3AE5">
      <w:pPr>
        <w:rPr>
          <w:rFonts w:ascii="Times New Roman" w:hAnsi="Times New Roman"/>
          <w:sz w:val="24"/>
          <w:szCs w:val="24"/>
        </w:rPr>
      </w:pPr>
      <w:r>
        <w:rPr>
          <w:rFonts w:ascii="Times New Roman" w:hAnsi="Times New Roman"/>
          <w:sz w:val="24"/>
          <w:szCs w:val="24"/>
        </w:rPr>
        <w:br w:type="page"/>
      </w:r>
    </w:p>
    <w:p w14:paraId="61878BCC" w14:textId="77777777" w:rsidR="00195E75" w:rsidRDefault="00195E75">
      <w:pPr>
        <w:rPr>
          <w:rFonts w:ascii="Times New Roman" w:hAnsi="Times New Roman"/>
          <w:sz w:val="24"/>
          <w:szCs w:val="24"/>
          <w:lang w:eastAsia="en-US"/>
        </w:rPr>
      </w:pPr>
    </w:p>
    <w:p w14:paraId="5CE2932A" w14:textId="183366CB" w:rsidR="00E97A4D" w:rsidRPr="00F64FDE" w:rsidRDefault="00E97A4D" w:rsidP="00926FAE">
      <w:pPr>
        <w:rPr>
          <w:rFonts w:ascii="Times New Roman" w:hAnsi="Times New Roman"/>
          <w:sz w:val="24"/>
          <w:szCs w:val="24"/>
        </w:rPr>
      </w:pPr>
    </w:p>
    <w:p w14:paraId="54753F2C" w14:textId="06FB2A9A" w:rsidR="00812BB9" w:rsidRDefault="00812BB9">
      <w:pPr>
        <w:rPr>
          <w:b/>
          <w:sz w:val="34"/>
          <w:lang w:eastAsia="en-US"/>
        </w:rPr>
      </w:pPr>
    </w:p>
    <w:p w14:paraId="1842B0BF" w14:textId="6C9E19E7" w:rsidR="00C74FEC" w:rsidRDefault="00335180" w:rsidP="00926FAE">
      <w:pPr>
        <w:pStyle w:val="Heading1"/>
        <w:numPr>
          <w:ilvl w:val="0"/>
          <w:numId w:val="0"/>
        </w:numPr>
        <w:ind w:left="851" w:hanging="851"/>
      </w:pPr>
      <w:bookmarkStart w:id="119" w:name="_Toc58929617"/>
      <w:r>
        <w:t xml:space="preserve">Appendix </w:t>
      </w:r>
      <w:r w:rsidR="005574AD">
        <w:t>C</w:t>
      </w:r>
      <w:r>
        <w:t xml:space="preserve"> – </w:t>
      </w:r>
      <w:r w:rsidR="00C74FEC">
        <w:t>Glossary</w:t>
      </w:r>
      <w:bookmarkEnd w:id="119"/>
      <w:r w:rsidR="00C74FEC">
        <w:t xml:space="preserve"> </w:t>
      </w:r>
    </w:p>
    <w:p w14:paraId="5183572B" w14:textId="77777777" w:rsidR="00D7133E" w:rsidRPr="00E066AF" w:rsidRDefault="00D7133E" w:rsidP="00E066AF">
      <w:pPr>
        <w:pStyle w:val="BodyIndent1"/>
        <w:spacing w:before="0"/>
        <w:rPr>
          <w:lang w:eastAsia="en-US"/>
        </w:rPr>
      </w:pPr>
    </w:p>
    <w:tbl>
      <w:tblPr>
        <w:tblStyle w:val="TableGrid"/>
        <w:tblW w:w="9634" w:type="dxa"/>
        <w:tblLook w:val="0000" w:firstRow="0" w:lastRow="0" w:firstColumn="0" w:lastColumn="0" w:noHBand="0" w:noVBand="0"/>
      </w:tblPr>
      <w:tblGrid>
        <w:gridCol w:w="1838"/>
        <w:gridCol w:w="7796"/>
      </w:tblGrid>
      <w:tr w:rsidR="00590B1B" w14:paraId="6FEA18DD" w14:textId="77777777" w:rsidTr="004B183A">
        <w:tc>
          <w:tcPr>
            <w:tcW w:w="1838" w:type="dxa"/>
            <w:shd w:val="clear" w:color="auto" w:fill="D9D9D9" w:themeFill="background1" w:themeFillShade="D9"/>
          </w:tcPr>
          <w:p w14:paraId="36B3E6E9" w14:textId="77777777" w:rsidR="00590B1B" w:rsidRPr="00E066AF" w:rsidRDefault="00590B1B" w:rsidP="00590B1B">
            <w:pPr>
              <w:pStyle w:val="BodyIndent1"/>
              <w:spacing w:after="240"/>
              <w:ind w:left="0"/>
              <w:rPr>
                <w:b/>
                <w:lang w:eastAsia="en-US"/>
              </w:rPr>
            </w:pPr>
            <w:r>
              <w:rPr>
                <w:b/>
                <w:lang w:eastAsia="en-US"/>
              </w:rPr>
              <w:t>Term</w:t>
            </w:r>
          </w:p>
        </w:tc>
        <w:tc>
          <w:tcPr>
            <w:tcW w:w="7796" w:type="dxa"/>
            <w:shd w:val="clear" w:color="auto" w:fill="D9D9D9" w:themeFill="background1" w:themeFillShade="D9"/>
          </w:tcPr>
          <w:p w14:paraId="2EAE4DC4" w14:textId="77777777" w:rsidR="00590B1B" w:rsidRPr="00E066AF" w:rsidRDefault="00590B1B" w:rsidP="00590B1B">
            <w:pPr>
              <w:pStyle w:val="BodyIndent1"/>
              <w:spacing w:after="240"/>
              <w:ind w:left="0"/>
              <w:rPr>
                <w:b/>
                <w:lang w:eastAsia="en-US"/>
              </w:rPr>
            </w:pPr>
            <w:r w:rsidRPr="00E066AF">
              <w:rPr>
                <w:b/>
                <w:lang w:eastAsia="en-US"/>
              </w:rPr>
              <w:t>Meaning</w:t>
            </w:r>
          </w:p>
        </w:tc>
      </w:tr>
      <w:tr w:rsidR="003B4252" w14:paraId="3D27AAD3" w14:textId="77777777" w:rsidTr="004B183A">
        <w:tc>
          <w:tcPr>
            <w:tcW w:w="1838" w:type="dxa"/>
          </w:tcPr>
          <w:p w14:paraId="0B92A2FE" w14:textId="0854A975" w:rsidR="003B4252" w:rsidRDefault="00001E81" w:rsidP="00590B1B">
            <w:pPr>
              <w:pStyle w:val="BodyIndent1"/>
              <w:spacing w:after="240"/>
              <w:ind w:left="0"/>
              <w:rPr>
                <w:lang w:eastAsia="en-US"/>
              </w:rPr>
            </w:pPr>
            <w:r>
              <w:rPr>
                <w:lang w:eastAsia="en-US"/>
              </w:rPr>
              <w:t>A</w:t>
            </w:r>
            <w:r w:rsidR="00A75C9A">
              <w:rPr>
                <w:lang w:eastAsia="en-US"/>
              </w:rPr>
              <w:t>BY</w:t>
            </w:r>
          </w:p>
        </w:tc>
        <w:tc>
          <w:tcPr>
            <w:tcW w:w="7796" w:type="dxa"/>
          </w:tcPr>
          <w:p w14:paraId="1383AA44" w14:textId="7CF2B5DA" w:rsidR="003B4252" w:rsidRDefault="00001E81" w:rsidP="00590B1B">
            <w:pPr>
              <w:pStyle w:val="BodyIndent1"/>
              <w:spacing w:after="240"/>
              <w:ind w:left="0"/>
              <w:rPr>
                <w:lang w:eastAsia="en-US"/>
              </w:rPr>
            </w:pPr>
            <w:r>
              <w:rPr>
                <w:lang w:eastAsia="en-US"/>
              </w:rPr>
              <w:t>means the ABSTUDY student payment for eligible Indigenous customers</w:t>
            </w:r>
          </w:p>
        </w:tc>
      </w:tr>
      <w:tr w:rsidR="00DC53D8" w14:paraId="6BC6496D" w14:textId="77777777" w:rsidTr="004B183A">
        <w:tc>
          <w:tcPr>
            <w:tcW w:w="1838" w:type="dxa"/>
          </w:tcPr>
          <w:p w14:paraId="02C8CD20" w14:textId="77777777" w:rsidR="00DC53D8" w:rsidRDefault="00DC53D8" w:rsidP="00590B1B">
            <w:pPr>
              <w:pStyle w:val="BodyIndent1"/>
              <w:spacing w:after="240"/>
              <w:ind w:left="0"/>
              <w:rPr>
                <w:lang w:eastAsia="en-US"/>
              </w:rPr>
            </w:pPr>
            <w:r>
              <w:rPr>
                <w:lang w:eastAsia="en-US"/>
              </w:rPr>
              <w:t>Administrative action</w:t>
            </w:r>
          </w:p>
        </w:tc>
        <w:tc>
          <w:tcPr>
            <w:tcW w:w="7796" w:type="dxa"/>
          </w:tcPr>
          <w:p w14:paraId="6C71FB65" w14:textId="77777777" w:rsidR="00DC53D8" w:rsidRDefault="00DC53D8" w:rsidP="00590B1B">
            <w:pPr>
              <w:pStyle w:val="BodyIndent1"/>
              <w:spacing w:after="240"/>
              <w:ind w:left="0"/>
              <w:rPr>
                <w:lang w:eastAsia="en-US"/>
              </w:rPr>
            </w:pPr>
            <w:r>
              <w:rPr>
                <w:lang w:eastAsia="en-US"/>
              </w:rPr>
              <w:t>means action taken in response to a match obtained through a data matching program that materially affects an individual, such as reducing a benefit or imposing a penalty</w:t>
            </w:r>
            <w:r w:rsidR="00B76DA2">
              <w:rPr>
                <w:lang w:eastAsia="en-US"/>
              </w:rPr>
              <w:t>.</w:t>
            </w:r>
          </w:p>
        </w:tc>
      </w:tr>
      <w:tr w:rsidR="00590B1B" w14:paraId="2A349CB6" w14:textId="77777777" w:rsidTr="004B183A">
        <w:tc>
          <w:tcPr>
            <w:tcW w:w="1838" w:type="dxa"/>
          </w:tcPr>
          <w:p w14:paraId="0868254E" w14:textId="77777777" w:rsidR="00590B1B" w:rsidRDefault="00590B1B" w:rsidP="00590B1B">
            <w:pPr>
              <w:pStyle w:val="BodyIndent1"/>
              <w:spacing w:after="240"/>
              <w:ind w:left="0"/>
              <w:rPr>
                <w:lang w:eastAsia="en-US"/>
              </w:rPr>
            </w:pPr>
            <w:r>
              <w:rPr>
                <w:lang w:eastAsia="en-US"/>
              </w:rPr>
              <w:t>APPs</w:t>
            </w:r>
          </w:p>
        </w:tc>
        <w:tc>
          <w:tcPr>
            <w:tcW w:w="7796" w:type="dxa"/>
          </w:tcPr>
          <w:p w14:paraId="1E6BD770" w14:textId="77777777" w:rsidR="00590B1B" w:rsidRDefault="00590B1B" w:rsidP="00590B1B">
            <w:pPr>
              <w:pStyle w:val="BodyIndent1"/>
              <w:spacing w:after="240"/>
              <w:ind w:left="0"/>
              <w:rPr>
                <w:lang w:eastAsia="en-US"/>
              </w:rPr>
            </w:pPr>
            <w:r>
              <w:rPr>
                <w:lang w:eastAsia="en-US"/>
              </w:rPr>
              <w:t>mean the Australian Privacy Principles, set out in Schedule 1 of the Privacy Act.</w:t>
            </w:r>
          </w:p>
        </w:tc>
      </w:tr>
      <w:tr w:rsidR="00001E81" w14:paraId="4D1D344A" w14:textId="77777777" w:rsidTr="004B183A">
        <w:tc>
          <w:tcPr>
            <w:tcW w:w="1838" w:type="dxa"/>
          </w:tcPr>
          <w:p w14:paraId="5B299BF6" w14:textId="6329679B" w:rsidR="00001E81" w:rsidRDefault="00001E81" w:rsidP="00590B1B">
            <w:pPr>
              <w:pStyle w:val="BodyIndent1"/>
              <w:spacing w:after="240"/>
              <w:ind w:left="0"/>
              <w:rPr>
                <w:lang w:eastAsia="en-US"/>
              </w:rPr>
            </w:pPr>
            <w:r>
              <w:rPr>
                <w:lang w:eastAsia="en-US"/>
              </w:rPr>
              <w:t>AUS</w:t>
            </w:r>
          </w:p>
        </w:tc>
        <w:tc>
          <w:tcPr>
            <w:tcW w:w="7796" w:type="dxa"/>
          </w:tcPr>
          <w:p w14:paraId="66510442" w14:textId="0F254D1C" w:rsidR="00001E81" w:rsidRDefault="00001E81" w:rsidP="00590B1B">
            <w:pPr>
              <w:pStyle w:val="BodyIndent1"/>
              <w:spacing w:after="240"/>
              <w:ind w:left="0"/>
              <w:rPr>
                <w:lang w:eastAsia="en-US"/>
              </w:rPr>
            </w:pPr>
            <w:r>
              <w:rPr>
                <w:lang w:eastAsia="en-US"/>
              </w:rPr>
              <w:t xml:space="preserve">means the </w:t>
            </w:r>
            <w:proofErr w:type="spellStart"/>
            <w:r>
              <w:rPr>
                <w:lang w:eastAsia="en-US"/>
              </w:rPr>
              <w:t>Austudy</w:t>
            </w:r>
            <w:proofErr w:type="spellEnd"/>
            <w:r>
              <w:rPr>
                <w:lang w:eastAsia="en-US"/>
              </w:rPr>
              <w:t xml:space="preserve"> payment for eligible students and apprentices over the age of 25</w:t>
            </w:r>
          </w:p>
        </w:tc>
      </w:tr>
      <w:tr w:rsidR="00590B1B" w14:paraId="42FA2E6D" w14:textId="77777777" w:rsidTr="004B183A">
        <w:tc>
          <w:tcPr>
            <w:tcW w:w="1838" w:type="dxa"/>
          </w:tcPr>
          <w:p w14:paraId="3F6CAE5C" w14:textId="77777777" w:rsidR="00590B1B" w:rsidRDefault="00590B1B" w:rsidP="00590B1B">
            <w:pPr>
              <w:pStyle w:val="BodyIndent1"/>
              <w:spacing w:after="240"/>
              <w:ind w:left="0"/>
            </w:pPr>
            <w:r>
              <w:t>CART</w:t>
            </w:r>
          </w:p>
        </w:tc>
        <w:tc>
          <w:tcPr>
            <w:tcW w:w="7796" w:type="dxa"/>
          </w:tcPr>
          <w:p w14:paraId="4769DAC2" w14:textId="75081B4F" w:rsidR="00590B1B" w:rsidRDefault="00590B1B" w:rsidP="00590B1B">
            <w:pPr>
              <w:pStyle w:val="BodyIndent1"/>
              <w:spacing w:after="240"/>
              <w:ind w:left="0"/>
            </w:pPr>
            <w:r>
              <w:t xml:space="preserve">means the Centrelink </w:t>
            </w:r>
            <w:r w:rsidR="00DC3F3B">
              <w:t xml:space="preserve">Academic </w:t>
            </w:r>
            <w:r>
              <w:t xml:space="preserve">Reassessment Transformation process. </w:t>
            </w:r>
          </w:p>
        </w:tc>
      </w:tr>
      <w:tr w:rsidR="00CC1AC5" w14:paraId="1CB2C086" w14:textId="77777777" w:rsidTr="004B183A">
        <w:tc>
          <w:tcPr>
            <w:tcW w:w="1838" w:type="dxa"/>
          </w:tcPr>
          <w:p w14:paraId="13385D62" w14:textId="77777777" w:rsidR="00CC1AC5" w:rsidRDefault="00CC1AC5" w:rsidP="00CC1AC5">
            <w:pPr>
              <w:pStyle w:val="BodyIndent1"/>
              <w:spacing w:after="240"/>
              <w:ind w:left="0"/>
            </w:pPr>
            <w:r>
              <w:t>Data Exchange Hub</w:t>
            </w:r>
          </w:p>
        </w:tc>
        <w:tc>
          <w:tcPr>
            <w:tcW w:w="7796" w:type="dxa"/>
          </w:tcPr>
          <w:p w14:paraId="74633344" w14:textId="77777777" w:rsidR="00CC1AC5" w:rsidRDefault="00CC1AC5" w:rsidP="00CC1AC5">
            <w:pPr>
              <w:pStyle w:val="BodyIndent1"/>
              <w:spacing w:after="240"/>
              <w:ind w:left="0"/>
            </w:pPr>
            <w:r>
              <w:t xml:space="preserve">means Services Australia’s repository of information, comprised of </w:t>
            </w:r>
            <w:proofErr w:type="gramStart"/>
            <w:r>
              <w:t>a number of</w:t>
            </w:r>
            <w:proofErr w:type="gramEnd"/>
            <w:r>
              <w:t xml:space="preserve"> tenancies that are either “owned” by Services Australia</w:t>
            </w:r>
            <w:r w:rsidDel="005804BA">
              <w:t xml:space="preserve"> </w:t>
            </w:r>
            <w:r>
              <w:t xml:space="preserve">(i.e. they contain Services Australia data and are controlled by Services Australia), or provided by Services Australia to other agencies as a service. </w:t>
            </w:r>
          </w:p>
        </w:tc>
      </w:tr>
      <w:tr w:rsidR="00CC1AC5" w14:paraId="5164EE3B" w14:textId="77777777" w:rsidTr="004B183A">
        <w:tc>
          <w:tcPr>
            <w:tcW w:w="1838" w:type="dxa"/>
          </w:tcPr>
          <w:p w14:paraId="1090A23C" w14:textId="77777777" w:rsidR="00CC1AC5" w:rsidRDefault="00CC1AC5" w:rsidP="00CC1AC5">
            <w:pPr>
              <w:pStyle w:val="BodyIndent1"/>
              <w:spacing w:after="240"/>
              <w:ind w:left="0"/>
              <w:rPr>
                <w:lang w:eastAsia="en-US"/>
              </w:rPr>
            </w:pPr>
            <w:r>
              <w:rPr>
                <w:lang w:eastAsia="en-US"/>
              </w:rPr>
              <w:t>Data matching</w:t>
            </w:r>
          </w:p>
        </w:tc>
        <w:tc>
          <w:tcPr>
            <w:tcW w:w="7796" w:type="dxa"/>
          </w:tcPr>
          <w:p w14:paraId="17AC8B33" w14:textId="77777777" w:rsidR="00CC1AC5" w:rsidRDefault="00CC1AC5" w:rsidP="00CC1AC5">
            <w:pPr>
              <w:pStyle w:val="BodyIndent1"/>
              <w:spacing w:after="240"/>
              <w:ind w:left="0"/>
              <w:rPr>
                <w:lang w:eastAsia="en-US"/>
              </w:rPr>
            </w:pPr>
            <w:r>
              <w:rPr>
                <w:lang w:eastAsia="en-US"/>
              </w:rPr>
              <w:t>means the bringing together of at least two data sets that contain personal information, and that come from different sources, and the comparison of those datasets with the intention of producing a match.</w:t>
            </w:r>
          </w:p>
        </w:tc>
      </w:tr>
      <w:tr w:rsidR="00CC1AC5" w14:paraId="755A5579" w14:textId="77777777" w:rsidTr="004B183A">
        <w:tc>
          <w:tcPr>
            <w:tcW w:w="1838" w:type="dxa"/>
          </w:tcPr>
          <w:p w14:paraId="28142AF2" w14:textId="77777777" w:rsidR="00CC1AC5" w:rsidRDefault="00CC1AC5" w:rsidP="00CC1AC5">
            <w:pPr>
              <w:pStyle w:val="BodyIndent1"/>
              <w:spacing w:after="240"/>
              <w:ind w:left="0"/>
              <w:rPr>
                <w:lang w:eastAsia="en-US"/>
              </w:rPr>
            </w:pPr>
            <w:r>
              <w:rPr>
                <w:lang w:eastAsia="en-US"/>
              </w:rPr>
              <w:t>Data matching program</w:t>
            </w:r>
          </w:p>
        </w:tc>
        <w:tc>
          <w:tcPr>
            <w:tcW w:w="7796" w:type="dxa"/>
          </w:tcPr>
          <w:p w14:paraId="28C053C4" w14:textId="77777777" w:rsidR="00CC1AC5" w:rsidRDefault="00CC1AC5" w:rsidP="00CC1AC5">
            <w:pPr>
              <w:pStyle w:val="BodyIndent1"/>
              <w:spacing w:after="240"/>
              <w:ind w:left="0"/>
              <w:rPr>
                <w:lang w:eastAsia="en-US"/>
              </w:rPr>
            </w:pPr>
            <w:r>
              <w:rPr>
                <w:lang w:eastAsia="en-US"/>
              </w:rPr>
              <w:t xml:space="preserve">means the conduct of data matching to assist one or more agencies to achieve a specific objective. </w:t>
            </w:r>
          </w:p>
        </w:tc>
      </w:tr>
      <w:tr w:rsidR="00B76DA2" w14:paraId="18056719" w14:textId="77777777" w:rsidTr="004B183A">
        <w:tc>
          <w:tcPr>
            <w:tcW w:w="1838" w:type="dxa"/>
          </w:tcPr>
          <w:p w14:paraId="258E09E8" w14:textId="77777777" w:rsidR="00B76DA2" w:rsidDel="00CC1AC5" w:rsidRDefault="00B76DA2" w:rsidP="00B76DA2">
            <w:pPr>
              <w:pStyle w:val="BodyIndent1"/>
              <w:spacing w:after="240"/>
              <w:ind w:left="0"/>
              <w:rPr>
                <w:lang w:eastAsia="en-US"/>
              </w:rPr>
            </w:pPr>
            <w:r>
              <w:rPr>
                <w:lang w:eastAsia="en-US"/>
              </w:rPr>
              <w:t>Database</w:t>
            </w:r>
          </w:p>
        </w:tc>
        <w:tc>
          <w:tcPr>
            <w:tcW w:w="7796" w:type="dxa"/>
          </w:tcPr>
          <w:p w14:paraId="551EC200" w14:textId="77777777" w:rsidR="00B76DA2" w:rsidDel="00CC1AC5" w:rsidRDefault="00B76DA2" w:rsidP="00B76DA2">
            <w:pPr>
              <w:pStyle w:val="BodyIndent1"/>
              <w:spacing w:after="240"/>
              <w:ind w:left="0"/>
              <w:rPr>
                <w:lang w:eastAsia="en-US"/>
              </w:rPr>
            </w:pPr>
            <w:r>
              <w:rPr>
                <w:lang w:eastAsia="en-US"/>
              </w:rPr>
              <w:t xml:space="preserve">means a structured collection of data or records, stored by means of a computer in a manner that facilitates retrieval. A dataset is a subset of a database. </w:t>
            </w:r>
          </w:p>
        </w:tc>
      </w:tr>
      <w:tr w:rsidR="00B76DA2" w14:paraId="75995AE8" w14:textId="77777777" w:rsidTr="004B183A">
        <w:tc>
          <w:tcPr>
            <w:tcW w:w="1838" w:type="dxa"/>
          </w:tcPr>
          <w:p w14:paraId="2250EF8B" w14:textId="2BCAEBFC" w:rsidR="00B76DA2" w:rsidRPr="00FE5EDC" w:rsidRDefault="00B76DA2" w:rsidP="00B76DA2">
            <w:pPr>
              <w:pStyle w:val="BodyIndent1"/>
              <w:spacing w:after="240"/>
              <w:ind w:left="0"/>
              <w:rPr>
                <w:lang w:eastAsia="en-US"/>
              </w:rPr>
            </w:pPr>
            <w:r w:rsidRPr="00FE5EDC">
              <w:rPr>
                <w:lang w:eastAsia="en-US"/>
              </w:rPr>
              <w:t>Dataset</w:t>
            </w:r>
          </w:p>
        </w:tc>
        <w:tc>
          <w:tcPr>
            <w:tcW w:w="7796" w:type="dxa"/>
          </w:tcPr>
          <w:p w14:paraId="16026996" w14:textId="38C1E1D2" w:rsidR="00B76DA2" w:rsidRPr="00FE5EDC" w:rsidRDefault="00B76DA2" w:rsidP="00B76DA2">
            <w:pPr>
              <w:pStyle w:val="BodyIndent1"/>
              <w:spacing w:after="240"/>
              <w:ind w:left="0"/>
              <w:rPr>
                <w:lang w:eastAsia="en-US"/>
              </w:rPr>
            </w:pPr>
            <w:r w:rsidRPr="00FE5EDC">
              <w:rPr>
                <w:lang w:eastAsia="en-US"/>
              </w:rPr>
              <w:t xml:space="preserve">means a discrete, ordered collection of data. A data set may be sourced from a </w:t>
            </w:r>
            <w:proofErr w:type="gramStart"/>
            <w:r w:rsidRPr="00FE5EDC">
              <w:rPr>
                <w:lang w:eastAsia="en-US"/>
              </w:rPr>
              <w:t>database, and</w:t>
            </w:r>
            <w:proofErr w:type="gramEnd"/>
            <w:r w:rsidRPr="00FE5EDC">
              <w:rPr>
                <w:lang w:eastAsia="en-US"/>
              </w:rPr>
              <w:t xml:space="preserve"> may be defined by specific criteria — for example, the receipt of a certain benefit within a given period.</w:t>
            </w:r>
          </w:p>
        </w:tc>
      </w:tr>
      <w:tr w:rsidR="00D119BF" w14:paraId="1AA24ACD" w14:textId="77777777" w:rsidTr="004B183A">
        <w:tc>
          <w:tcPr>
            <w:tcW w:w="1838" w:type="dxa"/>
          </w:tcPr>
          <w:p w14:paraId="16F576DE" w14:textId="1A520110" w:rsidR="00D119BF" w:rsidRDefault="00D119BF" w:rsidP="00B76DA2">
            <w:pPr>
              <w:pStyle w:val="BodyIndent1"/>
              <w:spacing w:after="240"/>
              <w:ind w:left="0"/>
              <w:rPr>
                <w:lang w:eastAsia="en-US"/>
              </w:rPr>
            </w:pPr>
            <w:r>
              <w:rPr>
                <w:lang w:eastAsia="en-US"/>
              </w:rPr>
              <w:t>DE</w:t>
            </w:r>
          </w:p>
        </w:tc>
        <w:tc>
          <w:tcPr>
            <w:tcW w:w="7796" w:type="dxa"/>
          </w:tcPr>
          <w:p w14:paraId="61DDF238" w14:textId="126D99E5" w:rsidR="00D119BF" w:rsidRDefault="00D119BF" w:rsidP="00B76DA2">
            <w:pPr>
              <w:pStyle w:val="BodyIndent1"/>
              <w:spacing w:after="240"/>
              <w:ind w:left="0"/>
              <w:rPr>
                <w:lang w:eastAsia="en-US"/>
              </w:rPr>
            </w:pPr>
            <w:r>
              <w:rPr>
                <w:lang w:eastAsia="en-US"/>
              </w:rPr>
              <w:t>means the Department of Education</w:t>
            </w:r>
          </w:p>
        </w:tc>
      </w:tr>
      <w:tr w:rsidR="00B76DA2" w14:paraId="4AFECFF0" w14:textId="77777777" w:rsidTr="004B183A">
        <w:tc>
          <w:tcPr>
            <w:tcW w:w="1838" w:type="dxa"/>
          </w:tcPr>
          <w:p w14:paraId="1741780F" w14:textId="1EDD53FF" w:rsidR="00B76DA2" w:rsidRDefault="00B76DA2" w:rsidP="00B76DA2">
            <w:pPr>
              <w:pStyle w:val="BodyIndent1"/>
              <w:spacing w:after="240"/>
              <w:ind w:left="0"/>
              <w:rPr>
                <w:lang w:eastAsia="en-US"/>
              </w:rPr>
            </w:pPr>
            <w:r>
              <w:rPr>
                <w:lang w:eastAsia="en-US"/>
              </w:rPr>
              <w:lastRenderedPageBreak/>
              <w:t>DESE</w:t>
            </w:r>
          </w:p>
        </w:tc>
        <w:tc>
          <w:tcPr>
            <w:tcW w:w="7796" w:type="dxa"/>
          </w:tcPr>
          <w:p w14:paraId="45A7A201" w14:textId="406C128E" w:rsidR="00B76DA2" w:rsidRDefault="00B76DA2" w:rsidP="00B76DA2">
            <w:pPr>
              <w:pStyle w:val="BodyIndent1"/>
              <w:spacing w:after="240"/>
              <w:ind w:left="0"/>
              <w:rPr>
                <w:lang w:eastAsia="en-US"/>
              </w:rPr>
            </w:pPr>
            <w:r>
              <w:rPr>
                <w:lang w:eastAsia="en-US"/>
              </w:rPr>
              <w:t xml:space="preserve">means the Department of Education, </w:t>
            </w:r>
            <w:proofErr w:type="gramStart"/>
            <w:r>
              <w:rPr>
                <w:lang w:eastAsia="en-US"/>
              </w:rPr>
              <w:t>Skills</w:t>
            </w:r>
            <w:proofErr w:type="gramEnd"/>
            <w:r>
              <w:rPr>
                <w:lang w:eastAsia="en-US"/>
              </w:rPr>
              <w:t xml:space="preserve"> and Employment.</w:t>
            </w:r>
          </w:p>
        </w:tc>
      </w:tr>
      <w:tr w:rsidR="00B76DA2" w14:paraId="15FDE18C" w14:textId="77777777" w:rsidTr="004B183A">
        <w:tc>
          <w:tcPr>
            <w:tcW w:w="1838" w:type="dxa"/>
          </w:tcPr>
          <w:p w14:paraId="455768FD" w14:textId="77777777" w:rsidR="00B76DA2" w:rsidRDefault="00B76DA2" w:rsidP="00B76DA2">
            <w:pPr>
              <w:pStyle w:val="BodyIndent1"/>
              <w:spacing w:after="240"/>
              <w:ind w:left="0"/>
              <w:rPr>
                <w:lang w:eastAsia="en-US"/>
              </w:rPr>
            </w:pPr>
            <w:r>
              <w:rPr>
                <w:lang w:eastAsia="en-US"/>
              </w:rPr>
              <w:t>Guidelines</w:t>
            </w:r>
          </w:p>
        </w:tc>
        <w:tc>
          <w:tcPr>
            <w:tcW w:w="7796" w:type="dxa"/>
          </w:tcPr>
          <w:p w14:paraId="4563854E" w14:textId="77777777" w:rsidR="00B76DA2" w:rsidRPr="00237B73" w:rsidRDefault="00B76DA2" w:rsidP="00B76DA2">
            <w:pPr>
              <w:pStyle w:val="BodyIndent1"/>
              <w:spacing w:after="240"/>
              <w:ind w:left="0"/>
              <w:rPr>
                <w:lang w:eastAsia="en-US"/>
              </w:rPr>
            </w:pPr>
            <w:r>
              <w:rPr>
                <w:lang w:eastAsia="en-US"/>
              </w:rPr>
              <w:t xml:space="preserve">means the </w:t>
            </w:r>
            <w:r>
              <w:rPr>
                <w:i/>
                <w:lang w:eastAsia="en-US"/>
              </w:rPr>
              <w:t>Guidelines on data matching in Australian Government administration</w:t>
            </w:r>
            <w:r>
              <w:rPr>
                <w:lang w:eastAsia="en-US"/>
              </w:rPr>
              <w:t>, published by the Office of the Australian Information Commissioner (</w:t>
            </w:r>
            <w:r>
              <w:rPr>
                <w:b/>
                <w:lang w:eastAsia="en-US"/>
              </w:rPr>
              <w:t>OAIC</w:t>
            </w:r>
            <w:r>
              <w:rPr>
                <w:lang w:eastAsia="en-US"/>
              </w:rPr>
              <w:t xml:space="preserve">), available at </w:t>
            </w:r>
            <w:hyperlink r:id="rId11" w:history="1">
              <w:r>
                <w:rPr>
                  <w:rStyle w:val="Hyperlink"/>
                </w:rPr>
                <w:t>https://www.oaic.gov.au/privacy/guidance-and-advice/guidelines-on-data-matching-in-australian-government-administration/</w:t>
              </w:r>
            </w:hyperlink>
            <w:r>
              <w:rPr>
                <w:lang w:eastAsia="en-US"/>
              </w:rPr>
              <w:t>.</w:t>
            </w:r>
          </w:p>
        </w:tc>
      </w:tr>
      <w:tr w:rsidR="00B76DA2" w14:paraId="71CB4CB6" w14:textId="77777777" w:rsidTr="004B183A">
        <w:tc>
          <w:tcPr>
            <w:tcW w:w="1838" w:type="dxa"/>
          </w:tcPr>
          <w:p w14:paraId="47C27407" w14:textId="77777777" w:rsidR="00B76DA2" w:rsidRDefault="00B76DA2" w:rsidP="00B76DA2">
            <w:pPr>
              <w:pStyle w:val="BodyIndent1"/>
              <w:spacing w:after="240"/>
              <w:ind w:left="0"/>
            </w:pPr>
            <w:r>
              <w:t>HEPCAT</w:t>
            </w:r>
          </w:p>
        </w:tc>
        <w:tc>
          <w:tcPr>
            <w:tcW w:w="7796" w:type="dxa"/>
          </w:tcPr>
          <w:p w14:paraId="09EA04EA" w14:textId="77777777" w:rsidR="00B76DA2" w:rsidRPr="008E75DE" w:rsidRDefault="00B76DA2" w:rsidP="00B76DA2">
            <w:pPr>
              <w:pStyle w:val="BodyIndent1"/>
              <w:spacing w:after="240"/>
              <w:ind w:left="0"/>
              <w:rPr>
                <w:i/>
              </w:rPr>
            </w:pPr>
            <w:r>
              <w:t xml:space="preserve">means the Higher Education Provider Client Assurance Tool. </w:t>
            </w:r>
          </w:p>
        </w:tc>
      </w:tr>
      <w:tr w:rsidR="00B76DA2" w14:paraId="2BF6CCC5" w14:textId="77777777" w:rsidTr="004B183A">
        <w:tc>
          <w:tcPr>
            <w:tcW w:w="1838" w:type="dxa"/>
          </w:tcPr>
          <w:p w14:paraId="1F4ADBCE" w14:textId="77777777" w:rsidR="00B76DA2" w:rsidRDefault="00B76DA2" w:rsidP="00B76DA2">
            <w:pPr>
              <w:pStyle w:val="BodyIndent1"/>
              <w:spacing w:after="240"/>
              <w:ind w:left="0"/>
            </w:pPr>
            <w:r>
              <w:t>HESA</w:t>
            </w:r>
          </w:p>
        </w:tc>
        <w:tc>
          <w:tcPr>
            <w:tcW w:w="7796" w:type="dxa"/>
          </w:tcPr>
          <w:p w14:paraId="15DF20B7" w14:textId="1AE04282" w:rsidR="00B76DA2" w:rsidRPr="00055AFF" w:rsidRDefault="00B76DA2" w:rsidP="00B76DA2">
            <w:pPr>
              <w:pStyle w:val="BodyIndent1"/>
              <w:spacing w:after="240"/>
              <w:ind w:left="0"/>
            </w:pPr>
            <w:r>
              <w:t xml:space="preserve">means the </w:t>
            </w:r>
            <w:r>
              <w:rPr>
                <w:i/>
              </w:rPr>
              <w:t>Higher Education Support A</w:t>
            </w:r>
            <w:r w:rsidR="00392AA0">
              <w:rPr>
                <w:i/>
              </w:rPr>
              <w:t>c</w:t>
            </w:r>
            <w:r>
              <w:rPr>
                <w:i/>
              </w:rPr>
              <w:t xml:space="preserve">t 2003 </w:t>
            </w:r>
            <w:r>
              <w:t>(</w:t>
            </w:r>
            <w:proofErr w:type="spellStart"/>
            <w:r>
              <w:t>Cth</w:t>
            </w:r>
            <w:proofErr w:type="spellEnd"/>
            <w:r>
              <w:t xml:space="preserve">). </w:t>
            </w:r>
          </w:p>
        </w:tc>
      </w:tr>
      <w:tr w:rsidR="00B76DA2" w14:paraId="5EDEF60F" w14:textId="77777777" w:rsidTr="004B183A">
        <w:tc>
          <w:tcPr>
            <w:tcW w:w="1838" w:type="dxa"/>
          </w:tcPr>
          <w:p w14:paraId="361A7590" w14:textId="77777777" w:rsidR="00B76DA2" w:rsidRDefault="00B76DA2" w:rsidP="00B76DA2">
            <w:pPr>
              <w:pStyle w:val="BodyIndent1"/>
              <w:spacing w:after="240"/>
              <w:ind w:left="0"/>
            </w:pPr>
            <w:r>
              <w:t>Icon Network</w:t>
            </w:r>
          </w:p>
        </w:tc>
        <w:tc>
          <w:tcPr>
            <w:tcW w:w="7796" w:type="dxa"/>
          </w:tcPr>
          <w:p w14:paraId="301CE08B" w14:textId="77777777" w:rsidR="00B76DA2" w:rsidRDefault="00B76DA2" w:rsidP="00B76DA2">
            <w:pPr>
              <w:pStyle w:val="Heading3"/>
              <w:widowControl w:val="0"/>
              <w:numPr>
                <w:ilvl w:val="0"/>
                <w:numId w:val="0"/>
              </w:numPr>
              <w:tabs>
                <w:tab w:val="left" w:pos="284"/>
              </w:tabs>
              <w:autoSpaceDE w:val="0"/>
              <w:autoSpaceDN w:val="0"/>
              <w:adjustRightInd w:val="0"/>
              <w:spacing w:after="240"/>
              <w:ind w:right="471"/>
            </w:pPr>
            <w:r>
              <w:t>means the secure network used by Government entities to transfer confidential information</w:t>
            </w:r>
            <w:r w:rsidRPr="002111B2">
              <w:t>.</w:t>
            </w:r>
          </w:p>
        </w:tc>
      </w:tr>
      <w:tr w:rsidR="00B76DA2" w14:paraId="20083196" w14:textId="77777777" w:rsidTr="004B183A">
        <w:tc>
          <w:tcPr>
            <w:tcW w:w="1838" w:type="dxa"/>
          </w:tcPr>
          <w:p w14:paraId="2A9274D1" w14:textId="77777777" w:rsidR="00B76DA2" w:rsidRDefault="00B76DA2" w:rsidP="00B76DA2">
            <w:pPr>
              <w:pStyle w:val="BodyIndent1"/>
              <w:spacing w:after="240"/>
              <w:ind w:left="0"/>
              <w:rPr>
                <w:lang w:eastAsia="en-US"/>
              </w:rPr>
            </w:pPr>
            <w:r>
              <w:rPr>
                <w:lang w:eastAsia="en-US"/>
              </w:rPr>
              <w:t>Match</w:t>
            </w:r>
          </w:p>
        </w:tc>
        <w:tc>
          <w:tcPr>
            <w:tcW w:w="7796" w:type="dxa"/>
          </w:tcPr>
          <w:p w14:paraId="4F9847D2" w14:textId="77777777" w:rsidR="00B76DA2" w:rsidRDefault="00B76DA2" w:rsidP="00B76DA2">
            <w:pPr>
              <w:pStyle w:val="BodyIndent1"/>
              <w:spacing w:after="240"/>
              <w:ind w:left="0"/>
              <w:rPr>
                <w:lang w:eastAsia="en-US"/>
              </w:rPr>
            </w:pPr>
            <w:r>
              <w:rPr>
                <w:lang w:eastAsia="en-US"/>
              </w:rPr>
              <w:t>means a result produced by data matching, including a meaningful discrepancy, in relation to which administrative action may be taken by the Matching Entity or Source Entity.</w:t>
            </w:r>
          </w:p>
        </w:tc>
      </w:tr>
      <w:tr w:rsidR="00B76DA2" w14:paraId="5FAC1CC0" w14:textId="77777777" w:rsidTr="004B183A">
        <w:trPr>
          <w:trHeight w:val="458"/>
        </w:trPr>
        <w:tc>
          <w:tcPr>
            <w:tcW w:w="1838" w:type="dxa"/>
          </w:tcPr>
          <w:p w14:paraId="7563095A" w14:textId="77777777" w:rsidR="00B76DA2" w:rsidRDefault="00B76DA2" w:rsidP="00B76DA2">
            <w:pPr>
              <w:pStyle w:val="BodyIndent1"/>
              <w:spacing w:after="240"/>
              <w:ind w:left="0"/>
              <w:rPr>
                <w:lang w:eastAsia="en-US"/>
              </w:rPr>
            </w:pPr>
            <w:r>
              <w:rPr>
                <w:lang w:eastAsia="en-US"/>
              </w:rPr>
              <w:t>Matching Agency</w:t>
            </w:r>
          </w:p>
        </w:tc>
        <w:tc>
          <w:tcPr>
            <w:tcW w:w="7796" w:type="dxa"/>
          </w:tcPr>
          <w:p w14:paraId="736AB4EF" w14:textId="77777777" w:rsidR="00B76DA2" w:rsidRDefault="00B76DA2" w:rsidP="00B76DA2">
            <w:pPr>
              <w:pStyle w:val="BodyIndent1"/>
              <w:spacing w:after="240"/>
              <w:ind w:left="0"/>
              <w:rPr>
                <w:lang w:eastAsia="en-US"/>
              </w:rPr>
            </w:pPr>
            <w:r>
              <w:rPr>
                <w:lang w:eastAsia="en-US"/>
              </w:rPr>
              <w:t xml:space="preserve">means, in relation to a data matching program, the agency whose information technology facilities or resources are used to conduct the data matching. </w:t>
            </w:r>
          </w:p>
        </w:tc>
      </w:tr>
      <w:tr w:rsidR="00B76DA2" w14:paraId="086DA4EF" w14:textId="77777777" w:rsidTr="004B183A">
        <w:trPr>
          <w:trHeight w:val="458"/>
        </w:trPr>
        <w:tc>
          <w:tcPr>
            <w:tcW w:w="1838" w:type="dxa"/>
          </w:tcPr>
          <w:p w14:paraId="68D7C930" w14:textId="77777777" w:rsidR="00B76DA2" w:rsidRDefault="00B76DA2" w:rsidP="00B76DA2">
            <w:pPr>
              <w:pStyle w:val="BodyIndent1"/>
              <w:spacing w:after="240"/>
              <w:ind w:left="0"/>
            </w:pPr>
            <w:r>
              <w:t>MCR</w:t>
            </w:r>
          </w:p>
        </w:tc>
        <w:tc>
          <w:tcPr>
            <w:tcW w:w="7796" w:type="dxa"/>
          </w:tcPr>
          <w:p w14:paraId="394E35AB" w14:textId="77777777" w:rsidR="00B76DA2" w:rsidRDefault="00B76DA2" w:rsidP="00B76DA2">
            <w:pPr>
              <w:pStyle w:val="BodyIndent1"/>
              <w:spacing w:after="240"/>
              <w:ind w:left="0"/>
            </w:pPr>
            <w:r>
              <w:t xml:space="preserve">means the Mutual Customer Register. </w:t>
            </w:r>
          </w:p>
        </w:tc>
      </w:tr>
      <w:tr w:rsidR="00B76DA2" w14:paraId="117FF6DF" w14:textId="77777777" w:rsidTr="004B183A">
        <w:trPr>
          <w:trHeight w:val="458"/>
        </w:trPr>
        <w:tc>
          <w:tcPr>
            <w:tcW w:w="1838" w:type="dxa"/>
          </w:tcPr>
          <w:p w14:paraId="715D270F" w14:textId="77777777" w:rsidR="00B76DA2" w:rsidRDefault="00B76DA2" w:rsidP="00B76DA2">
            <w:pPr>
              <w:pStyle w:val="BodyIndent1"/>
              <w:spacing w:after="240"/>
              <w:ind w:left="0"/>
              <w:rPr>
                <w:lang w:eastAsia="en-US"/>
              </w:rPr>
            </w:pPr>
            <w:r>
              <w:rPr>
                <w:lang w:eastAsia="en-US"/>
              </w:rPr>
              <w:t>OAIC</w:t>
            </w:r>
          </w:p>
        </w:tc>
        <w:tc>
          <w:tcPr>
            <w:tcW w:w="7796" w:type="dxa"/>
          </w:tcPr>
          <w:p w14:paraId="1DB05A2B" w14:textId="77777777" w:rsidR="00B76DA2" w:rsidRDefault="00B76DA2" w:rsidP="00B76DA2">
            <w:pPr>
              <w:pStyle w:val="BodyIndent1"/>
              <w:spacing w:after="240"/>
              <w:ind w:left="0"/>
              <w:rPr>
                <w:lang w:eastAsia="en-US"/>
              </w:rPr>
            </w:pPr>
            <w:r>
              <w:rPr>
                <w:lang w:eastAsia="en-US"/>
              </w:rPr>
              <w:t xml:space="preserve">means the Office of the Australian Information Commissioner. </w:t>
            </w:r>
          </w:p>
        </w:tc>
      </w:tr>
      <w:tr w:rsidR="00B76DA2" w14:paraId="22E4C839" w14:textId="77777777" w:rsidTr="004B183A">
        <w:trPr>
          <w:trHeight w:val="458"/>
        </w:trPr>
        <w:tc>
          <w:tcPr>
            <w:tcW w:w="1838" w:type="dxa"/>
          </w:tcPr>
          <w:p w14:paraId="752E74EB" w14:textId="77777777" w:rsidR="00B76DA2" w:rsidRDefault="00B76DA2" w:rsidP="00B76DA2">
            <w:pPr>
              <w:pStyle w:val="BodyIndent1"/>
              <w:spacing w:after="240"/>
              <w:ind w:left="0"/>
              <w:rPr>
                <w:lang w:eastAsia="en-US"/>
              </w:rPr>
            </w:pPr>
            <w:r>
              <w:rPr>
                <w:lang w:eastAsia="en-US"/>
              </w:rPr>
              <w:t>Personal Information</w:t>
            </w:r>
          </w:p>
        </w:tc>
        <w:tc>
          <w:tcPr>
            <w:tcW w:w="7796" w:type="dxa"/>
          </w:tcPr>
          <w:p w14:paraId="79B7CD22" w14:textId="77777777" w:rsidR="00B76DA2" w:rsidRPr="00CC1AC5" w:rsidRDefault="00B76DA2" w:rsidP="00C62682">
            <w:pPr>
              <w:pStyle w:val="BodyIndent1"/>
              <w:ind w:left="0"/>
              <w:rPr>
                <w:lang w:eastAsia="en-US"/>
              </w:rPr>
            </w:pPr>
            <w:r w:rsidRPr="00CC1AC5">
              <w:rPr>
                <w:lang w:eastAsia="en-US"/>
              </w:rPr>
              <w:t>means information or an opinion about an identified individual, or an individual who is reasonably identifiable:</w:t>
            </w:r>
          </w:p>
          <w:p w14:paraId="1B458D6F" w14:textId="77777777" w:rsidR="00B76DA2" w:rsidRPr="00CC1AC5" w:rsidRDefault="00B76DA2" w:rsidP="00B76DA2">
            <w:pPr>
              <w:pStyle w:val="BodyIndent1"/>
              <w:numPr>
                <w:ilvl w:val="0"/>
                <w:numId w:val="44"/>
              </w:numPr>
              <w:spacing w:after="240"/>
              <w:rPr>
                <w:lang w:eastAsia="en-US"/>
              </w:rPr>
            </w:pPr>
            <w:r w:rsidRPr="00CC1AC5">
              <w:rPr>
                <w:lang w:eastAsia="en-US"/>
              </w:rPr>
              <w:t>whether the information or opinion is true or not, and</w:t>
            </w:r>
          </w:p>
          <w:p w14:paraId="564FAD5F" w14:textId="77777777" w:rsidR="00B76DA2" w:rsidRDefault="00B76DA2" w:rsidP="00B76DA2">
            <w:pPr>
              <w:pStyle w:val="BodyIndent1"/>
              <w:numPr>
                <w:ilvl w:val="0"/>
                <w:numId w:val="44"/>
              </w:numPr>
              <w:spacing w:after="240"/>
              <w:rPr>
                <w:lang w:eastAsia="en-US"/>
              </w:rPr>
            </w:pPr>
            <w:r w:rsidRPr="00CC1AC5">
              <w:rPr>
                <w:lang w:eastAsia="en-US"/>
              </w:rPr>
              <w:t>whether the information or opinion is recorded in a material form or not</w:t>
            </w:r>
            <w:r>
              <w:rPr>
                <w:lang w:eastAsia="en-US"/>
              </w:rPr>
              <w:t>.</w:t>
            </w:r>
          </w:p>
          <w:p w14:paraId="49BAEB61" w14:textId="77777777" w:rsidR="00B76DA2" w:rsidRDefault="00B76DA2">
            <w:pPr>
              <w:pStyle w:val="BodyIndent1"/>
              <w:spacing w:after="240"/>
              <w:ind w:left="0"/>
              <w:rPr>
                <w:lang w:eastAsia="en-US"/>
              </w:rPr>
            </w:pPr>
            <w:r>
              <w:rPr>
                <w:lang w:eastAsia="en-US"/>
              </w:rPr>
              <w:t>(see section 6 of the Privacy Act)</w:t>
            </w:r>
          </w:p>
        </w:tc>
      </w:tr>
      <w:tr w:rsidR="00001E81" w14:paraId="2AAD2F9E" w14:textId="77777777" w:rsidTr="004B183A">
        <w:trPr>
          <w:trHeight w:val="458"/>
        </w:trPr>
        <w:tc>
          <w:tcPr>
            <w:tcW w:w="1838" w:type="dxa"/>
          </w:tcPr>
          <w:p w14:paraId="52E2BC30" w14:textId="43795483" w:rsidR="00001E81" w:rsidRDefault="00001E81" w:rsidP="00B76DA2">
            <w:pPr>
              <w:pStyle w:val="BodyIndent1"/>
              <w:spacing w:after="240"/>
              <w:ind w:left="0"/>
              <w:rPr>
                <w:lang w:eastAsia="en-US"/>
              </w:rPr>
            </w:pPr>
            <w:r>
              <w:rPr>
                <w:lang w:eastAsia="en-US"/>
              </w:rPr>
              <w:t>PES</w:t>
            </w:r>
          </w:p>
        </w:tc>
        <w:tc>
          <w:tcPr>
            <w:tcW w:w="7796" w:type="dxa"/>
          </w:tcPr>
          <w:p w14:paraId="5F5A6A4F" w14:textId="73B753F4" w:rsidR="00001E81" w:rsidRPr="00CC1AC5" w:rsidRDefault="00001E81" w:rsidP="00C62682">
            <w:pPr>
              <w:pStyle w:val="BodyIndent1"/>
              <w:ind w:left="0"/>
              <w:rPr>
                <w:lang w:eastAsia="en-US"/>
              </w:rPr>
            </w:pPr>
            <w:r>
              <w:rPr>
                <w:lang w:eastAsia="en-US"/>
              </w:rPr>
              <w:t xml:space="preserve">means Pensioner Education Supplement </w:t>
            </w:r>
          </w:p>
        </w:tc>
      </w:tr>
      <w:tr w:rsidR="00B76DA2" w14:paraId="3132569E" w14:textId="77777777" w:rsidTr="004B183A">
        <w:trPr>
          <w:trHeight w:val="458"/>
        </w:trPr>
        <w:tc>
          <w:tcPr>
            <w:tcW w:w="1838" w:type="dxa"/>
          </w:tcPr>
          <w:p w14:paraId="3DE20055" w14:textId="77777777" w:rsidR="00B76DA2" w:rsidRDefault="00B76DA2" w:rsidP="00B76DA2">
            <w:pPr>
              <w:pStyle w:val="BodyIndent1"/>
              <w:spacing w:after="240"/>
              <w:ind w:left="0"/>
              <w:rPr>
                <w:lang w:eastAsia="en-US"/>
              </w:rPr>
            </w:pPr>
            <w:r>
              <w:rPr>
                <w:lang w:eastAsia="en-US"/>
              </w:rPr>
              <w:t>Primary User Agency</w:t>
            </w:r>
          </w:p>
        </w:tc>
        <w:tc>
          <w:tcPr>
            <w:tcW w:w="7796" w:type="dxa"/>
          </w:tcPr>
          <w:p w14:paraId="22339D9D" w14:textId="77777777" w:rsidR="00B76DA2" w:rsidRDefault="00B76DA2" w:rsidP="00B76DA2">
            <w:pPr>
              <w:pStyle w:val="BodyIndent1"/>
              <w:spacing w:after="240"/>
              <w:ind w:left="0"/>
              <w:rPr>
                <w:lang w:eastAsia="en-US"/>
              </w:rPr>
            </w:pPr>
            <w:r>
              <w:rPr>
                <w:lang w:eastAsia="en-US"/>
              </w:rPr>
              <w:t xml:space="preserve">means, where a data matching program involves more than one agency, the agency that makes the most use of the results of a data matching program. </w:t>
            </w:r>
          </w:p>
        </w:tc>
      </w:tr>
      <w:tr w:rsidR="00B76DA2" w14:paraId="22E3C8DE" w14:textId="77777777" w:rsidTr="004B183A">
        <w:trPr>
          <w:trHeight w:val="458"/>
        </w:trPr>
        <w:tc>
          <w:tcPr>
            <w:tcW w:w="1838" w:type="dxa"/>
          </w:tcPr>
          <w:p w14:paraId="7331C948" w14:textId="77777777" w:rsidR="00B76DA2" w:rsidRDefault="00B76DA2" w:rsidP="00B76DA2">
            <w:pPr>
              <w:pStyle w:val="BodyIndent1"/>
              <w:spacing w:after="240"/>
              <w:ind w:left="0"/>
            </w:pPr>
            <w:r>
              <w:rPr>
                <w:lang w:eastAsia="en-US"/>
              </w:rPr>
              <w:t>Privacy Act</w:t>
            </w:r>
          </w:p>
        </w:tc>
        <w:tc>
          <w:tcPr>
            <w:tcW w:w="7796" w:type="dxa"/>
          </w:tcPr>
          <w:p w14:paraId="5803BFD9" w14:textId="77777777" w:rsidR="00B76DA2" w:rsidRDefault="00B76DA2" w:rsidP="00B76DA2">
            <w:pPr>
              <w:pStyle w:val="BodyIndent1"/>
              <w:spacing w:after="240"/>
              <w:ind w:left="0"/>
            </w:pPr>
            <w:r>
              <w:rPr>
                <w:lang w:eastAsia="en-US"/>
              </w:rPr>
              <w:t xml:space="preserve">means the </w:t>
            </w:r>
            <w:r>
              <w:rPr>
                <w:i/>
                <w:lang w:eastAsia="en-US"/>
              </w:rPr>
              <w:t xml:space="preserve">Privacy Act 1988 </w:t>
            </w:r>
            <w:r>
              <w:rPr>
                <w:lang w:eastAsia="en-US"/>
              </w:rPr>
              <w:t>(</w:t>
            </w:r>
            <w:proofErr w:type="spellStart"/>
            <w:r>
              <w:rPr>
                <w:lang w:eastAsia="en-US"/>
              </w:rPr>
              <w:t>Cth</w:t>
            </w:r>
            <w:proofErr w:type="spellEnd"/>
            <w:r>
              <w:rPr>
                <w:lang w:eastAsia="en-US"/>
              </w:rPr>
              <w:t>).</w:t>
            </w:r>
          </w:p>
        </w:tc>
      </w:tr>
      <w:tr w:rsidR="00B76DA2" w14:paraId="6150776C" w14:textId="77777777" w:rsidTr="004B183A">
        <w:trPr>
          <w:trHeight w:val="458"/>
        </w:trPr>
        <w:tc>
          <w:tcPr>
            <w:tcW w:w="1838" w:type="dxa"/>
          </w:tcPr>
          <w:p w14:paraId="179DA8BE" w14:textId="77777777" w:rsidR="00B76DA2" w:rsidRDefault="00B76DA2" w:rsidP="00B76DA2">
            <w:pPr>
              <w:pStyle w:val="BodyIndent1"/>
              <w:spacing w:after="240"/>
              <w:ind w:left="0"/>
            </w:pPr>
            <w:r>
              <w:t>Program</w:t>
            </w:r>
          </w:p>
        </w:tc>
        <w:tc>
          <w:tcPr>
            <w:tcW w:w="7796" w:type="dxa"/>
          </w:tcPr>
          <w:p w14:paraId="165F4E6D" w14:textId="77777777" w:rsidR="00B76DA2" w:rsidRDefault="00B76DA2" w:rsidP="00B76DA2">
            <w:pPr>
              <w:pStyle w:val="BodyIndent1"/>
              <w:spacing w:after="240"/>
              <w:ind w:left="0"/>
            </w:pPr>
            <w:r>
              <w:t xml:space="preserve">means the data-matching program that is part of the TCSI solution. </w:t>
            </w:r>
          </w:p>
        </w:tc>
      </w:tr>
      <w:tr w:rsidR="00B76DA2" w14:paraId="7790C0DE" w14:textId="77777777" w:rsidTr="004B183A">
        <w:trPr>
          <w:trHeight w:val="458"/>
        </w:trPr>
        <w:tc>
          <w:tcPr>
            <w:tcW w:w="1838" w:type="dxa"/>
          </w:tcPr>
          <w:p w14:paraId="6702638B" w14:textId="77777777" w:rsidR="00B76DA2" w:rsidRDefault="00B76DA2" w:rsidP="00B76DA2">
            <w:pPr>
              <w:pStyle w:val="BodyIndent1"/>
              <w:spacing w:after="240"/>
              <w:ind w:left="0"/>
              <w:rPr>
                <w:lang w:eastAsia="en-US"/>
              </w:rPr>
            </w:pPr>
            <w:r>
              <w:rPr>
                <w:lang w:eastAsia="en-US"/>
              </w:rPr>
              <w:lastRenderedPageBreak/>
              <w:t xml:space="preserve">Providers </w:t>
            </w:r>
          </w:p>
        </w:tc>
        <w:tc>
          <w:tcPr>
            <w:tcW w:w="7796" w:type="dxa"/>
          </w:tcPr>
          <w:p w14:paraId="61B1A841" w14:textId="77777777" w:rsidR="00B76DA2" w:rsidRDefault="00B76DA2" w:rsidP="00B76DA2">
            <w:pPr>
              <w:pStyle w:val="BodyIndent1"/>
              <w:spacing w:after="240"/>
              <w:ind w:left="0"/>
              <w:rPr>
                <w:lang w:eastAsia="en-US"/>
              </w:rPr>
            </w:pPr>
            <w:r>
              <w:rPr>
                <w:lang w:eastAsia="en-US"/>
              </w:rPr>
              <w:t xml:space="preserve">means providers of higher education and vocational education and training services. </w:t>
            </w:r>
          </w:p>
        </w:tc>
      </w:tr>
      <w:tr w:rsidR="00B76DA2" w14:paraId="4422B34D" w14:textId="77777777" w:rsidTr="004B183A">
        <w:trPr>
          <w:trHeight w:val="458"/>
        </w:trPr>
        <w:tc>
          <w:tcPr>
            <w:tcW w:w="1838" w:type="dxa"/>
          </w:tcPr>
          <w:p w14:paraId="0743FD23" w14:textId="77777777" w:rsidR="00B76DA2" w:rsidRDefault="00B76DA2" w:rsidP="00B76DA2">
            <w:pPr>
              <w:pStyle w:val="BodyIndent1"/>
              <w:spacing w:after="240"/>
              <w:ind w:left="0"/>
              <w:rPr>
                <w:lang w:eastAsia="en-US"/>
              </w:rPr>
            </w:pPr>
            <w:r>
              <w:t>Services Australia</w:t>
            </w:r>
          </w:p>
        </w:tc>
        <w:tc>
          <w:tcPr>
            <w:tcW w:w="7796" w:type="dxa"/>
          </w:tcPr>
          <w:p w14:paraId="5652DE30" w14:textId="4A71AEB7" w:rsidR="00B76DA2" w:rsidRDefault="00B76DA2" w:rsidP="00B76DA2">
            <w:pPr>
              <w:pStyle w:val="BodyIndent1"/>
              <w:spacing w:after="240"/>
              <w:ind w:left="0"/>
              <w:rPr>
                <w:lang w:eastAsia="en-US"/>
              </w:rPr>
            </w:pPr>
            <w:r>
              <w:rPr>
                <w:lang w:eastAsia="en-US"/>
              </w:rPr>
              <w:t>means the Services Australia agency within the Social Services Portfolio.</w:t>
            </w:r>
          </w:p>
        </w:tc>
      </w:tr>
      <w:tr w:rsidR="00B76DA2" w14:paraId="0FEB9F78" w14:textId="77777777" w:rsidTr="004B183A">
        <w:trPr>
          <w:trHeight w:val="458"/>
        </w:trPr>
        <w:tc>
          <w:tcPr>
            <w:tcW w:w="1838" w:type="dxa"/>
          </w:tcPr>
          <w:p w14:paraId="02455EFA" w14:textId="77777777" w:rsidR="00B76DA2" w:rsidRDefault="00B76DA2" w:rsidP="00B76DA2">
            <w:pPr>
              <w:pStyle w:val="BodyIndent1"/>
              <w:spacing w:after="240"/>
              <w:ind w:left="0"/>
              <w:rPr>
                <w:lang w:eastAsia="en-US"/>
              </w:rPr>
            </w:pPr>
            <w:r>
              <w:rPr>
                <w:lang w:eastAsia="en-US"/>
              </w:rPr>
              <w:t>SLA</w:t>
            </w:r>
          </w:p>
        </w:tc>
        <w:tc>
          <w:tcPr>
            <w:tcW w:w="7796" w:type="dxa"/>
          </w:tcPr>
          <w:p w14:paraId="3A5953AB" w14:textId="163E7710" w:rsidR="00B76DA2" w:rsidRDefault="00B76DA2" w:rsidP="00B76DA2">
            <w:pPr>
              <w:pStyle w:val="BodyIndent1"/>
              <w:spacing w:after="240"/>
              <w:ind w:left="0"/>
              <w:rPr>
                <w:lang w:eastAsia="en-US"/>
              </w:rPr>
            </w:pPr>
            <w:r>
              <w:t>means the Service Level Agreement between Services Australia and DE, under which DE shares a subset of the data it has collected from Providers under the HESA and the VSLA with Services Australia to enable Services Australia to administer its student payments and services in a more streamlined manner.</w:t>
            </w:r>
          </w:p>
        </w:tc>
      </w:tr>
      <w:tr w:rsidR="00B76DA2" w14:paraId="6AC448C8" w14:textId="77777777" w:rsidTr="004B183A">
        <w:trPr>
          <w:trHeight w:val="458"/>
        </w:trPr>
        <w:tc>
          <w:tcPr>
            <w:tcW w:w="1838" w:type="dxa"/>
          </w:tcPr>
          <w:p w14:paraId="5D5168A1" w14:textId="77777777" w:rsidR="00B76DA2" w:rsidRDefault="00B76DA2" w:rsidP="00B76DA2">
            <w:pPr>
              <w:pStyle w:val="BodyIndent1"/>
              <w:spacing w:after="240"/>
              <w:ind w:left="0"/>
              <w:rPr>
                <w:lang w:eastAsia="en-US"/>
              </w:rPr>
            </w:pPr>
            <w:r>
              <w:rPr>
                <w:lang w:eastAsia="en-US"/>
              </w:rPr>
              <w:t>Source Entity</w:t>
            </w:r>
          </w:p>
        </w:tc>
        <w:tc>
          <w:tcPr>
            <w:tcW w:w="7796" w:type="dxa"/>
          </w:tcPr>
          <w:p w14:paraId="1727BE82" w14:textId="77777777" w:rsidR="00B76DA2" w:rsidRDefault="00B76DA2" w:rsidP="00B76DA2">
            <w:pPr>
              <w:pStyle w:val="BodyIndent1"/>
              <w:spacing w:after="240"/>
              <w:ind w:left="0"/>
              <w:rPr>
                <w:lang w:eastAsia="en-US"/>
              </w:rPr>
            </w:pPr>
            <w:r>
              <w:rPr>
                <w:lang w:eastAsia="en-US"/>
              </w:rPr>
              <w:t xml:space="preserve">means any entity that discloses a dataset or database containing personal information to a Matching Agency for use in a data matching program. </w:t>
            </w:r>
          </w:p>
        </w:tc>
      </w:tr>
      <w:tr w:rsidR="00B76DA2" w14:paraId="096ED976" w14:textId="77777777" w:rsidTr="004B183A">
        <w:trPr>
          <w:trHeight w:val="458"/>
        </w:trPr>
        <w:tc>
          <w:tcPr>
            <w:tcW w:w="1838" w:type="dxa"/>
          </w:tcPr>
          <w:p w14:paraId="07290C68" w14:textId="77777777" w:rsidR="00B76DA2" w:rsidRDefault="00B76DA2" w:rsidP="00B76DA2">
            <w:pPr>
              <w:pStyle w:val="BodyIndent1"/>
              <w:spacing w:after="240"/>
              <w:ind w:left="0"/>
            </w:pPr>
            <w:r>
              <w:t>SSA Act</w:t>
            </w:r>
          </w:p>
        </w:tc>
        <w:tc>
          <w:tcPr>
            <w:tcW w:w="7796" w:type="dxa"/>
          </w:tcPr>
          <w:p w14:paraId="4CCDACE6" w14:textId="77777777" w:rsidR="00B76DA2" w:rsidRPr="00055AFF" w:rsidRDefault="00B76DA2" w:rsidP="00B76DA2">
            <w:pPr>
              <w:pStyle w:val="BodyIndent1"/>
              <w:spacing w:after="240"/>
              <w:ind w:left="0"/>
            </w:pPr>
            <w:r>
              <w:t xml:space="preserve">means the </w:t>
            </w:r>
            <w:r>
              <w:rPr>
                <w:i/>
              </w:rPr>
              <w:t xml:space="preserve">Social Security (Administration) Act 1999 </w:t>
            </w:r>
            <w:r>
              <w:t>(</w:t>
            </w:r>
            <w:proofErr w:type="spellStart"/>
            <w:r>
              <w:t>Cth</w:t>
            </w:r>
            <w:proofErr w:type="spellEnd"/>
            <w:r>
              <w:t xml:space="preserve">). </w:t>
            </w:r>
          </w:p>
        </w:tc>
      </w:tr>
      <w:tr w:rsidR="00B76DA2" w14:paraId="2F0B975F" w14:textId="77777777" w:rsidTr="004B183A">
        <w:trPr>
          <w:trHeight w:val="458"/>
        </w:trPr>
        <w:tc>
          <w:tcPr>
            <w:tcW w:w="1838" w:type="dxa"/>
          </w:tcPr>
          <w:p w14:paraId="7C99388A" w14:textId="77777777" w:rsidR="00B76DA2" w:rsidRDefault="00B76DA2" w:rsidP="00B76DA2">
            <w:pPr>
              <w:pStyle w:val="BodyIndent1"/>
              <w:spacing w:after="240"/>
              <w:ind w:left="0"/>
            </w:pPr>
            <w:r>
              <w:t>TCSI</w:t>
            </w:r>
          </w:p>
        </w:tc>
        <w:tc>
          <w:tcPr>
            <w:tcW w:w="7796" w:type="dxa"/>
          </w:tcPr>
          <w:p w14:paraId="1D1AFA93" w14:textId="756A5CD4" w:rsidR="00B76DA2" w:rsidRDefault="00B76DA2" w:rsidP="00B76DA2">
            <w:pPr>
              <w:pStyle w:val="BodyIndent1"/>
              <w:spacing w:after="240"/>
              <w:ind w:left="0"/>
            </w:pPr>
            <w:r>
              <w:t xml:space="preserve">means </w:t>
            </w:r>
            <w:r w:rsidR="00F438ED">
              <w:t>Tertiary</w:t>
            </w:r>
            <w:r>
              <w:t xml:space="preserve"> Collection of Student Information. </w:t>
            </w:r>
          </w:p>
        </w:tc>
      </w:tr>
      <w:tr w:rsidR="00B76DA2" w14:paraId="3EA5A062" w14:textId="77777777" w:rsidTr="004B183A">
        <w:trPr>
          <w:trHeight w:val="458"/>
        </w:trPr>
        <w:tc>
          <w:tcPr>
            <w:tcW w:w="1838" w:type="dxa"/>
          </w:tcPr>
          <w:p w14:paraId="6ABAD34D" w14:textId="77777777" w:rsidR="00B76DA2" w:rsidRDefault="00B76DA2" w:rsidP="00B76DA2">
            <w:pPr>
              <w:pStyle w:val="BodyIndent1"/>
              <w:spacing w:after="240"/>
              <w:ind w:left="0"/>
              <w:rPr>
                <w:lang w:eastAsia="en-US"/>
              </w:rPr>
            </w:pPr>
            <w:r>
              <w:rPr>
                <w:lang w:eastAsia="en-US"/>
              </w:rPr>
              <w:t>Technical Standards Report</w:t>
            </w:r>
          </w:p>
        </w:tc>
        <w:tc>
          <w:tcPr>
            <w:tcW w:w="7796" w:type="dxa"/>
          </w:tcPr>
          <w:p w14:paraId="1C492F3B" w14:textId="64F30BC4" w:rsidR="00B76DA2" w:rsidRDefault="00B76DA2" w:rsidP="00B76DA2">
            <w:pPr>
              <w:pStyle w:val="BodyIndent1"/>
              <w:spacing w:after="240"/>
              <w:ind w:left="0"/>
              <w:rPr>
                <w:lang w:eastAsia="en-US"/>
              </w:rPr>
            </w:pPr>
            <w:r>
              <w:rPr>
                <w:lang w:eastAsia="en-US"/>
              </w:rPr>
              <w:t xml:space="preserve">means the report at Attachment </w:t>
            </w:r>
            <w:r w:rsidR="000063FE">
              <w:rPr>
                <w:lang w:eastAsia="en-US"/>
              </w:rPr>
              <w:t>1</w:t>
            </w:r>
            <w:r>
              <w:rPr>
                <w:lang w:eastAsia="en-US"/>
              </w:rPr>
              <w:t xml:space="preserve"> to this Protocol. </w:t>
            </w:r>
          </w:p>
        </w:tc>
      </w:tr>
      <w:tr w:rsidR="00B76DA2" w14:paraId="72A8AFFD" w14:textId="77777777" w:rsidTr="004B183A">
        <w:trPr>
          <w:trHeight w:val="458"/>
        </w:trPr>
        <w:tc>
          <w:tcPr>
            <w:tcW w:w="1838" w:type="dxa"/>
          </w:tcPr>
          <w:p w14:paraId="7306A10C" w14:textId="77777777" w:rsidR="00B76DA2" w:rsidRDefault="00B76DA2" w:rsidP="00B76DA2">
            <w:pPr>
              <w:pStyle w:val="BodyIndent1"/>
              <w:spacing w:after="240"/>
              <w:ind w:left="0"/>
              <w:rPr>
                <w:lang w:eastAsia="en-US"/>
              </w:rPr>
            </w:pPr>
            <w:r>
              <w:rPr>
                <w:lang w:eastAsia="en-US"/>
              </w:rPr>
              <w:t>User Agency</w:t>
            </w:r>
          </w:p>
        </w:tc>
        <w:tc>
          <w:tcPr>
            <w:tcW w:w="7796" w:type="dxa"/>
          </w:tcPr>
          <w:p w14:paraId="605D3435" w14:textId="77777777" w:rsidR="00B76DA2" w:rsidRDefault="00B76DA2" w:rsidP="00B76DA2">
            <w:pPr>
              <w:pStyle w:val="BodyIndent1"/>
              <w:spacing w:after="240"/>
              <w:ind w:left="0"/>
              <w:rPr>
                <w:lang w:eastAsia="en-US"/>
              </w:rPr>
            </w:pPr>
            <w:r>
              <w:rPr>
                <w:lang w:eastAsia="en-US"/>
              </w:rPr>
              <w:t xml:space="preserve">means an agency that uses the results of a data matching program. </w:t>
            </w:r>
          </w:p>
        </w:tc>
      </w:tr>
      <w:tr w:rsidR="00B76DA2" w14:paraId="74A4E93E" w14:textId="77777777" w:rsidTr="004B183A">
        <w:trPr>
          <w:trHeight w:val="458"/>
        </w:trPr>
        <w:tc>
          <w:tcPr>
            <w:tcW w:w="1838" w:type="dxa"/>
          </w:tcPr>
          <w:p w14:paraId="4C747BD7" w14:textId="77777777" w:rsidR="00B76DA2" w:rsidRDefault="00B76DA2" w:rsidP="00B76DA2">
            <w:pPr>
              <w:pStyle w:val="BodyIndent1"/>
              <w:spacing w:after="240"/>
              <w:ind w:left="0"/>
            </w:pPr>
            <w:r>
              <w:t>VSLA</w:t>
            </w:r>
          </w:p>
        </w:tc>
        <w:tc>
          <w:tcPr>
            <w:tcW w:w="7796" w:type="dxa"/>
          </w:tcPr>
          <w:p w14:paraId="2BBFB58F" w14:textId="77777777" w:rsidR="00B76DA2" w:rsidRPr="00055AFF" w:rsidRDefault="00B76DA2" w:rsidP="00B76DA2">
            <w:pPr>
              <w:pStyle w:val="BodyIndent1"/>
              <w:spacing w:after="240"/>
              <w:ind w:left="0"/>
            </w:pPr>
            <w:r>
              <w:t xml:space="preserve">means the </w:t>
            </w:r>
            <w:r>
              <w:rPr>
                <w:i/>
              </w:rPr>
              <w:t xml:space="preserve">VET Student Loans Act 2016 </w:t>
            </w:r>
            <w:r>
              <w:t>(</w:t>
            </w:r>
            <w:proofErr w:type="spellStart"/>
            <w:r>
              <w:t>Cth</w:t>
            </w:r>
            <w:proofErr w:type="spellEnd"/>
            <w:r>
              <w:t xml:space="preserve">). </w:t>
            </w:r>
          </w:p>
        </w:tc>
      </w:tr>
      <w:tr w:rsidR="00BA0CA0" w14:paraId="44D785B5" w14:textId="77777777" w:rsidTr="004B183A">
        <w:trPr>
          <w:trHeight w:val="458"/>
        </w:trPr>
        <w:tc>
          <w:tcPr>
            <w:tcW w:w="1838" w:type="dxa"/>
          </w:tcPr>
          <w:p w14:paraId="2EB46885" w14:textId="365EFA65" w:rsidR="00BA0CA0" w:rsidRDefault="00BA0CA0" w:rsidP="00B76DA2">
            <w:pPr>
              <w:pStyle w:val="BodyIndent1"/>
              <w:spacing w:after="240"/>
              <w:ind w:left="0"/>
            </w:pPr>
            <w:r>
              <w:t>YAL</w:t>
            </w:r>
          </w:p>
        </w:tc>
        <w:tc>
          <w:tcPr>
            <w:tcW w:w="7796" w:type="dxa"/>
          </w:tcPr>
          <w:p w14:paraId="5A1A7A6D" w14:textId="7BAA2873" w:rsidR="00BA0CA0" w:rsidRDefault="00BA0CA0" w:rsidP="00B76DA2">
            <w:pPr>
              <w:pStyle w:val="BodyIndent1"/>
              <w:spacing w:after="240"/>
              <w:ind w:left="0"/>
            </w:pPr>
            <w:r>
              <w:t>means Youth Allowance</w:t>
            </w:r>
          </w:p>
        </w:tc>
      </w:tr>
    </w:tbl>
    <w:p w14:paraId="7594D57F" w14:textId="77777777" w:rsidR="00D7133E" w:rsidRPr="00E066AF" w:rsidRDefault="00D7133E" w:rsidP="00E066AF">
      <w:pPr>
        <w:pStyle w:val="BodyIndent1"/>
        <w:rPr>
          <w:lang w:eastAsia="en-US"/>
        </w:rPr>
      </w:pPr>
    </w:p>
    <w:sectPr w:rsidR="00D7133E" w:rsidRPr="00E066AF" w:rsidSect="007B6E63">
      <w:footerReference w:type="even" r:id="rId12"/>
      <w:footerReference w:type="default" r:id="rId13"/>
      <w:headerReference w:type="first" r:id="rId14"/>
      <w:footerReference w:type="first" r:id="rId15"/>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4D55D" w14:textId="77777777" w:rsidR="00DE54FB" w:rsidRDefault="00DE54FB">
      <w:r>
        <w:separator/>
      </w:r>
    </w:p>
  </w:endnote>
  <w:endnote w:type="continuationSeparator" w:id="0">
    <w:p w14:paraId="30B54AD7" w14:textId="77777777" w:rsidR="00DE54FB" w:rsidRDefault="00DE54FB">
      <w:r>
        <w:continuationSeparator/>
      </w:r>
    </w:p>
  </w:endnote>
  <w:endnote w:type="continuationNotice" w:id="1">
    <w:p w14:paraId="75493104" w14:textId="77777777" w:rsidR="00DE54FB" w:rsidRDefault="00DE5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2D0B" w14:textId="77777777" w:rsidR="003F06ED" w:rsidRDefault="003F06ED">
    <w:pPr>
      <w:pStyle w:val="Footer"/>
    </w:pPr>
  </w:p>
  <w:p w14:paraId="39EFDCCF" w14:textId="77777777" w:rsidR="003F06ED" w:rsidRPr="00F04E71" w:rsidRDefault="003F06ED">
    <w:pPr>
      <w:pStyle w:val="Footer"/>
      <w:rPr>
        <w:rFonts w:cs="Arial"/>
        <w:sz w:val="14"/>
      </w:rPr>
    </w:pPr>
    <w:r w:rsidRPr="00167C4F">
      <w:rPr>
        <w:rFonts w:cs="Arial"/>
        <w:sz w:val="14"/>
      </w:rPr>
      <w:t>[8017528: 25304771_3]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B71B" w14:textId="1BC28CBF" w:rsidR="003F06ED" w:rsidRDefault="003F06ED" w:rsidP="00082A25">
    <w:pPr>
      <w:pStyle w:val="Footer"/>
      <w:tabs>
        <w:tab w:val="clear" w:pos="8306"/>
        <w:tab w:val="right" w:pos="9639"/>
      </w:tabs>
      <w:rPr>
        <w:rFonts w:cs="Arial"/>
        <w:color w:val="A6A6A6"/>
        <w:sz w:val="18"/>
        <w:szCs w:val="18"/>
      </w:rPr>
    </w:pPr>
    <w:r w:rsidRPr="000D0E18">
      <w:rPr>
        <w:rFonts w:cs="Arial"/>
        <w:color w:val="999999"/>
        <w:sz w:val="18"/>
        <w:szCs w:val="18"/>
      </w:rPr>
      <w:t xml:space="preserve">PAGE </w:t>
    </w:r>
    <w:r w:rsidRPr="000D0E18">
      <w:rPr>
        <w:rFonts w:cs="Arial"/>
        <w:color w:val="999999"/>
        <w:sz w:val="18"/>
        <w:szCs w:val="18"/>
      </w:rPr>
      <w:fldChar w:fldCharType="begin"/>
    </w:r>
    <w:r w:rsidRPr="000D0E18">
      <w:rPr>
        <w:rFonts w:cs="Arial"/>
        <w:color w:val="999999"/>
        <w:sz w:val="18"/>
        <w:szCs w:val="18"/>
      </w:rPr>
      <w:instrText xml:space="preserve"> PAGE </w:instrText>
    </w:r>
    <w:r w:rsidRPr="000D0E18">
      <w:rPr>
        <w:rFonts w:cs="Arial"/>
        <w:color w:val="999999"/>
        <w:sz w:val="18"/>
        <w:szCs w:val="18"/>
      </w:rPr>
      <w:fldChar w:fldCharType="separate"/>
    </w:r>
    <w:r w:rsidR="009542C6">
      <w:rPr>
        <w:rFonts w:cs="Arial"/>
        <w:noProof/>
        <w:color w:val="999999"/>
        <w:sz w:val="18"/>
        <w:szCs w:val="18"/>
      </w:rPr>
      <w:t>33</w:t>
    </w:r>
    <w:r w:rsidRPr="000D0E18">
      <w:rPr>
        <w:rFonts w:cs="Arial"/>
        <w:color w:val="999999"/>
        <w:sz w:val="18"/>
        <w:szCs w:val="18"/>
      </w:rPr>
      <w:fldChar w:fldCharType="end"/>
    </w:r>
    <w:r w:rsidRPr="000D0E18">
      <w:rPr>
        <w:rFonts w:cs="Arial"/>
        <w:color w:val="999999"/>
        <w:sz w:val="18"/>
        <w:szCs w:val="18"/>
      </w:rPr>
      <w:t xml:space="preserve"> OF </w:t>
    </w:r>
    <w:r w:rsidRPr="000D0E18">
      <w:rPr>
        <w:rFonts w:cs="Arial"/>
        <w:color w:val="999999"/>
        <w:sz w:val="18"/>
        <w:szCs w:val="18"/>
      </w:rPr>
      <w:fldChar w:fldCharType="begin"/>
    </w:r>
    <w:r w:rsidRPr="000D0E18">
      <w:rPr>
        <w:rFonts w:cs="Arial"/>
        <w:color w:val="999999"/>
        <w:sz w:val="18"/>
        <w:szCs w:val="18"/>
      </w:rPr>
      <w:instrText xml:space="preserve"> NUMPAGES </w:instrText>
    </w:r>
    <w:r w:rsidRPr="000D0E18">
      <w:rPr>
        <w:rFonts w:cs="Arial"/>
        <w:color w:val="999999"/>
        <w:sz w:val="18"/>
        <w:szCs w:val="18"/>
      </w:rPr>
      <w:fldChar w:fldCharType="separate"/>
    </w:r>
    <w:r w:rsidR="009542C6">
      <w:rPr>
        <w:rFonts w:cs="Arial"/>
        <w:noProof/>
        <w:color w:val="999999"/>
        <w:sz w:val="18"/>
        <w:szCs w:val="18"/>
      </w:rPr>
      <w:t>35</w:t>
    </w:r>
    <w:r w:rsidRPr="000D0E18">
      <w:rPr>
        <w:rFonts w:cs="Arial"/>
        <w:color w:val="999999"/>
        <w:sz w:val="18"/>
        <w:szCs w:val="18"/>
      </w:rPr>
      <w:fldChar w:fldCharType="end"/>
    </w:r>
    <w:r>
      <w:rPr>
        <w:rFonts w:cs="Arial"/>
        <w:color w:val="999999"/>
        <w:sz w:val="18"/>
        <w:szCs w:val="18"/>
      </w:rPr>
      <w:tab/>
    </w:r>
    <w:r>
      <w:rPr>
        <w:rFonts w:cs="Arial"/>
        <w:color w:val="999999"/>
        <w:sz w:val="18"/>
        <w:szCs w:val="18"/>
      </w:rPr>
      <w:tab/>
    </w:r>
    <w:r>
      <w:rPr>
        <w:rFonts w:cs="Arial"/>
        <w:color w:val="A6A6A6"/>
        <w:sz w:val="18"/>
        <w:szCs w:val="18"/>
      </w:rPr>
      <w:t>Services Australia</w:t>
    </w:r>
  </w:p>
  <w:p w14:paraId="48724287" w14:textId="77777777" w:rsidR="003F06ED" w:rsidRPr="00F04E71" w:rsidRDefault="003F06ED" w:rsidP="00082A25">
    <w:pPr>
      <w:pStyle w:val="Footer"/>
      <w:tabs>
        <w:tab w:val="clear" w:pos="8306"/>
        <w:tab w:val="right" w:pos="9639"/>
      </w:tabs>
      <w:rPr>
        <w:rFonts w:cs="Arial"/>
        <w:color w:val="A6A6A6"/>
        <w:sz w:val="14"/>
        <w:szCs w:val="18"/>
      </w:rPr>
    </w:pPr>
    <w:r w:rsidRPr="00167C4F">
      <w:rPr>
        <w:rFonts w:cs="Arial"/>
        <w:color w:val="A6A6A6"/>
        <w:sz w:val="14"/>
        <w:szCs w:val="18"/>
      </w:rPr>
      <w:t>[8017528: 25304771_3]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5CDE2" w14:textId="30F9A4DB" w:rsidR="003F06ED" w:rsidRDefault="003F06ED"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D8F6F" w14:textId="77777777" w:rsidR="00DE54FB" w:rsidRDefault="00DE54FB">
      <w:r>
        <w:separator/>
      </w:r>
    </w:p>
  </w:footnote>
  <w:footnote w:type="continuationSeparator" w:id="0">
    <w:p w14:paraId="3F2EA711" w14:textId="77777777" w:rsidR="00DE54FB" w:rsidRDefault="00DE54FB">
      <w:r>
        <w:continuationSeparator/>
      </w:r>
    </w:p>
  </w:footnote>
  <w:footnote w:type="continuationNotice" w:id="1">
    <w:p w14:paraId="5C5153AC" w14:textId="77777777" w:rsidR="00DE54FB" w:rsidRDefault="00DE54FB"/>
  </w:footnote>
  <w:footnote w:id="2">
    <w:p w14:paraId="40DA1343" w14:textId="77777777" w:rsidR="003F06ED" w:rsidRDefault="003F06ED">
      <w:pPr>
        <w:pStyle w:val="FootnoteText"/>
      </w:pPr>
      <w:r>
        <w:rPr>
          <w:rStyle w:val="FootnoteReference"/>
        </w:rPr>
        <w:footnoteRef/>
      </w:r>
      <w:r>
        <w:t xml:space="preserve"> Manual compliance processes are only used in respect of information reported by the Providers of higher education services. </w:t>
      </w:r>
    </w:p>
  </w:footnote>
  <w:footnote w:id="3">
    <w:p w14:paraId="0921B860" w14:textId="2C0E76EB" w:rsidR="003F06ED" w:rsidRDefault="003F06ED">
      <w:pPr>
        <w:pStyle w:val="FootnoteText"/>
      </w:pPr>
      <w:r>
        <w:rPr>
          <w:rStyle w:val="FootnoteReference"/>
        </w:rPr>
        <w:footnoteRef/>
      </w:r>
      <w:r>
        <w:t xml:space="preserve"> Services Australia’s Privacy Policy is available at </w:t>
      </w:r>
      <w:hyperlink r:id="rId1" w:history="1">
        <w:r w:rsidR="00CB4C69" w:rsidRPr="00836A57">
          <w:rPr>
            <w:rStyle w:val="Hyperlink"/>
          </w:rPr>
          <w:t>https://www.servicesaustralia.gov.au/organisations/about-us/publications-and-resources/privacy-policy</w:t>
        </w:r>
      </w:hyperlink>
      <w:r w:rsidR="00CB4C69">
        <w:t xml:space="preserve">. </w:t>
      </w:r>
      <w:r>
        <w:t>DE’s Privacy Policy is available at</w:t>
      </w:r>
      <w:hyperlink r:id="rId2" w:history="1">
        <w:r w:rsidR="00CB4C69" w:rsidRPr="00CB4C69">
          <w:rPr>
            <w:rStyle w:val="Hyperlink"/>
          </w:rPr>
          <w:t>https://www.education.gov.au</w:t>
        </w:r>
      </w:hyperlink>
      <w:r w:rsidR="00CB4C69">
        <w:t>/using-site/privacy</w:t>
      </w:r>
      <w:r>
        <w:t>.</w:t>
      </w:r>
    </w:p>
    <w:p w14:paraId="6DAAF5D7" w14:textId="77777777" w:rsidR="003F06ED" w:rsidRPr="00A74F79" w:rsidRDefault="003F06ED">
      <w:pPr>
        <w:pStyle w:val="FootnoteText"/>
      </w:pPr>
    </w:p>
  </w:footnote>
  <w:footnote w:id="4">
    <w:p w14:paraId="52A6376F" w14:textId="77777777" w:rsidR="003F06ED" w:rsidRPr="002A6FEE" w:rsidRDefault="003F06ED" w:rsidP="00557727">
      <w:pPr>
        <w:pStyle w:val="FootnoteText"/>
      </w:pPr>
      <w:r>
        <w:rPr>
          <w:rStyle w:val="FootnoteReference"/>
        </w:rPr>
        <w:footnoteRef/>
      </w:r>
      <w:r>
        <w:t xml:space="preserve"> As defined under section 23 of the </w:t>
      </w:r>
      <w:r w:rsidRPr="0023495D">
        <w:rPr>
          <w:i/>
        </w:rPr>
        <w:t>Social Security Act 1991</w:t>
      </w:r>
      <w:r>
        <w:rPr>
          <w:i/>
        </w:rPr>
        <w:t xml:space="preserve"> </w:t>
      </w:r>
      <w:r>
        <w:t xml:space="preserve">(Cth).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4B529" w14:textId="3B5BCF17" w:rsidR="003F06ED" w:rsidRDefault="00307221" w:rsidP="00AA010B">
    <w:pPr>
      <w:pStyle w:val="Header"/>
    </w:pPr>
    <w:r w:rsidRPr="00213E92">
      <w:rPr>
        <w:rFonts w:cstheme="minorHAnsi"/>
        <w:noProof/>
        <w:color w:val="1F497D"/>
      </w:rPr>
      <w:drawing>
        <wp:inline distT="0" distB="0" distL="0" distR="0" wp14:anchorId="4C24C4A2" wp14:editId="1584B1BB">
          <wp:extent cx="4238045" cy="930275"/>
          <wp:effectExtent l="0" t="0" r="0" b="3175"/>
          <wp:docPr id="1015991332" name="Picture 1015991332" descr="cid:image002.png@01CEC01C.D980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CEC01C.D98014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33862" cy="1324467"/>
                  </a:xfrm>
                  <a:prstGeom prst="rect">
                    <a:avLst/>
                  </a:prstGeom>
                  <a:noFill/>
                  <a:ln>
                    <a:noFill/>
                  </a:ln>
                </pic:spPr>
              </pic:pic>
            </a:graphicData>
          </a:graphic>
        </wp:inline>
      </w:drawing>
    </w:r>
    <w:r w:rsidR="003F06ED" w:rsidRPr="00162AE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94EE99A"/>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1135"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E916B4EE"/>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4764198"/>
    <w:multiLevelType w:val="multilevel"/>
    <w:tmpl w:val="1C80CB20"/>
    <w:lvl w:ilvl="0">
      <w:start w:val="1"/>
      <w:numFmt w:val="upperLetter"/>
      <w:pStyle w:val="legalPart"/>
      <w:lvlText w:val="Part %1"/>
      <w:lvlJc w:val="left"/>
      <w:pPr>
        <w:tabs>
          <w:tab w:val="num" w:pos="1701"/>
        </w:tabs>
        <w:ind w:left="1701" w:hanging="1701"/>
      </w:pPr>
      <w:rPr>
        <w:rFonts w:ascii="Arial Bold" w:hAnsi="Arial Bold" w:cs="Times New Roman" w:hint="default"/>
        <w:b/>
        <w:i w:val="0"/>
        <w:color w:val="82002A"/>
        <w:sz w:val="36"/>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 w15:restartNumberingAfterBreak="0">
    <w:nsid w:val="059147AB"/>
    <w:multiLevelType w:val="hybridMultilevel"/>
    <w:tmpl w:val="76503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B40A9F"/>
    <w:multiLevelType w:val="hybridMultilevel"/>
    <w:tmpl w:val="B5E8FD8C"/>
    <w:lvl w:ilvl="0" w:tplc="36DCE36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2023C0"/>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E879E4"/>
    <w:multiLevelType w:val="hybridMultilevel"/>
    <w:tmpl w:val="FB3AA29E"/>
    <w:lvl w:ilvl="0" w:tplc="0C090001">
      <w:start w:val="1"/>
      <w:numFmt w:val="bullet"/>
      <w:lvlText w:val=""/>
      <w:lvlJc w:val="left"/>
      <w:pPr>
        <w:ind w:left="1123" w:hanging="360"/>
      </w:pPr>
      <w:rPr>
        <w:rFonts w:ascii="Symbol" w:hAnsi="Symbol" w:hint="default"/>
      </w:rPr>
    </w:lvl>
    <w:lvl w:ilvl="1" w:tplc="0C090003" w:tentative="1">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15:restartNumberingAfterBreak="0">
    <w:nsid w:val="132944D5"/>
    <w:multiLevelType w:val="multilevel"/>
    <w:tmpl w:val="E1201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B0A73BA"/>
    <w:multiLevelType w:val="hybridMultilevel"/>
    <w:tmpl w:val="F2F40130"/>
    <w:lvl w:ilvl="0" w:tplc="2092FA46">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AC23DF"/>
    <w:multiLevelType w:val="hybridMultilevel"/>
    <w:tmpl w:val="CC822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85A23"/>
    <w:multiLevelType w:val="hybridMultilevel"/>
    <w:tmpl w:val="11B81648"/>
    <w:lvl w:ilvl="0" w:tplc="EA08DA2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97706"/>
    <w:multiLevelType w:val="hybridMultilevel"/>
    <w:tmpl w:val="D37CC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B6707E"/>
    <w:multiLevelType w:val="hybridMultilevel"/>
    <w:tmpl w:val="C322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7A4CBB"/>
    <w:multiLevelType w:val="hybridMultilevel"/>
    <w:tmpl w:val="EB1C57A8"/>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6" w15:restartNumberingAfterBreak="0">
    <w:nsid w:val="4D167A5A"/>
    <w:multiLevelType w:val="hybridMultilevel"/>
    <w:tmpl w:val="5B3434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F17FBE"/>
    <w:multiLevelType w:val="multilevel"/>
    <w:tmpl w:val="EC6ED3D4"/>
    <w:lvl w:ilvl="0">
      <w:start w:val="1"/>
      <w:numFmt w:val="none"/>
      <w:pStyle w:val="IndentParaLevel1"/>
      <w:lvlText w:val="%1"/>
      <w:lvlJc w:val="left"/>
      <w:pPr>
        <w:tabs>
          <w:tab w:val="num" w:pos="964"/>
        </w:tabs>
        <w:ind w:left="964" w:firstLine="0"/>
      </w:pPr>
    </w:lvl>
    <w:lvl w:ilvl="1">
      <w:start w:val="1"/>
      <w:numFmt w:val="none"/>
      <w:pStyle w:val="IndentParaLevel2"/>
      <w:lvlText w:val="%2"/>
      <w:lvlJc w:val="left"/>
      <w:pPr>
        <w:tabs>
          <w:tab w:val="num" w:pos="1928"/>
        </w:tabs>
        <w:ind w:left="1928" w:firstLine="0"/>
      </w:pPr>
    </w:lvl>
    <w:lvl w:ilvl="2">
      <w:start w:val="1"/>
      <w:numFmt w:val="none"/>
      <w:pStyle w:val="IndentParaLevel3"/>
      <w:lvlText w:val=""/>
      <w:lvlJc w:val="left"/>
      <w:pPr>
        <w:tabs>
          <w:tab w:val="num" w:pos="2892"/>
        </w:tabs>
        <w:ind w:left="2892" w:firstLine="0"/>
      </w:pPr>
    </w:lvl>
    <w:lvl w:ilvl="3">
      <w:start w:val="1"/>
      <w:numFmt w:val="none"/>
      <w:pStyle w:val="IndentParaLevel4"/>
      <w:lvlText w:val=""/>
      <w:lvlJc w:val="left"/>
      <w:pPr>
        <w:tabs>
          <w:tab w:val="num" w:pos="3856"/>
        </w:tabs>
        <w:ind w:left="3856" w:firstLine="0"/>
      </w:pPr>
    </w:lvl>
    <w:lvl w:ilvl="4">
      <w:start w:val="1"/>
      <w:numFmt w:val="none"/>
      <w:pStyle w:val="IndentParaLevel5"/>
      <w:lvlText w:val=""/>
      <w:lvlJc w:val="left"/>
      <w:pPr>
        <w:tabs>
          <w:tab w:val="num" w:pos="4820"/>
        </w:tabs>
        <w:ind w:left="4820" w:firstLine="0"/>
      </w:pPr>
    </w:lvl>
    <w:lvl w:ilvl="5">
      <w:start w:val="1"/>
      <w:numFmt w:val="none"/>
      <w:pStyle w:val="IndentParaLevel6"/>
      <w:lvlText w:val=""/>
      <w:lvlJc w:val="left"/>
      <w:pPr>
        <w:tabs>
          <w:tab w:val="num" w:pos="5783"/>
        </w:tabs>
        <w:ind w:left="5783" w:firstLine="0"/>
      </w:pPr>
    </w:lvl>
    <w:lvl w:ilvl="6">
      <w:start w:val="1"/>
      <w:numFmt w:val="none"/>
      <w:lvlText w:val=""/>
      <w:lvlJc w:val="left"/>
      <w:pPr>
        <w:tabs>
          <w:tab w:val="num" w:pos="964"/>
        </w:tabs>
        <w:ind w:left="964" w:firstLine="0"/>
      </w:pPr>
    </w:lvl>
    <w:lvl w:ilvl="7">
      <w:start w:val="1"/>
      <w:numFmt w:val="none"/>
      <w:lvlText w:val=""/>
      <w:lvlJc w:val="left"/>
      <w:pPr>
        <w:tabs>
          <w:tab w:val="num" w:pos="964"/>
        </w:tabs>
        <w:ind w:left="964" w:firstLine="0"/>
      </w:pPr>
    </w:lvl>
    <w:lvl w:ilvl="8">
      <w:start w:val="1"/>
      <w:numFmt w:val="none"/>
      <w:lvlText w:val=""/>
      <w:lvlJc w:val="left"/>
      <w:pPr>
        <w:tabs>
          <w:tab w:val="num" w:pos="964"/>
        </w:tabs>
        <w:ind w:left="964" w:firstLine="0"/>
      </w:pPr>
    </w:lvl>
  </w:abstractNum>
  <w:abstractNum w:abstractNumId="18" w15:restartNumberingAfterBreak="0">
    <w:nsid w:val="5AE55DE1"/>
    <w:multiLevelType w:val="hybridMultilevel"/>
    <w:tmpl w:val="745C704A"/>
    <w:lvl w:ilvl="0" w:tplc="9D9290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0" w15:restartNumberingAfterBreak="0">
    <w:nsid w:val="635C1687"/>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B31082"/>
    <w:multiLevelType w:val="hybridMultilevel"/>
    <w:tmpl w:val="A8600194"/>
    <w:lvl w:ilvl="0" w:tplc="D8D4CAB2">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CE7D63"/>
    <w:multiLevelType w:val="hybridMultilevel"/>
    <w:tmpl w:val="139A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24499"/>
    <w:multiLevelType w:val="hybridMultilevel"/>
    <w:tmpl w:val="00A29694"/>
    <w:lvl w:ilvl="0" w:tplc="DCCC25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9D0E5E"/>
    <w:multiLevelType w:val="hybridMultilevel"/>
    <w:tmpl w:val="CC407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B549E2"/>
    <w:multiLevelType w:val="multilevel"/>
    <w:tmpl w:val="4246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621FAE"/>
    <w:multiLevelType w:val="hybridMultilevel"/>
    <w:tmpl w:val="FCE0D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32414950">
    <w:abstractNumId w:val="21"/>
  </w:num>
  <w:num w:numId="2" w16cid:durableId="1926837597">
    <w:abstractNumId w:val="14"/>
  </w:num>
  <w:num w:numId="3" w16cid:durableId="1660689320">
    <w:abstractNumId w:val="19"/>
  </w:num>
  <w:num w:numId="4" w16cid:durableId="477963267">
    <w:abstractNumId w:val="27"/>
  </w:num>
  <w:num w:numId="5" w16cid:durableId="255598472">
    <w:abstractNumId w:val="1"/>
  </w:num>
  <w:num w:numId="6" w16cid:durableId="38407547">
    <w:abstractNumId w:val="26"/>
  </w:num>
  <w:num w:numId="7" w16cid:durableId="380977119">
    <w:abstractNumId w:val="5"/>
  </w:num>
  <w:num w:numId="8" w16cid:durableId="862406096">
    <w:abstractNumId w:val="20"/>
  </w:num>
  <w:num w:numId="9" w16cid:durableId="874393782">
    <w:abstractNumId w:val="0"/>
  </w:num>
  <w:num w:numId="10" w16cid:durableId="1368719542">
    <w:abstractNumId w:val="6"/>
  </w:num>
  <w:num w:numId="11" w16cid:durableId="1057313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0522049">
    <w:abstractNumId w:val="22"/>
  </w:num>
  <w:num w:numId="13" w16cid:durableId="249700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7510070">
    <w:abstractNumId w:val="2"/>
  </w:num>
  <w:num w:numId="15" w16cid:durableId="667906991">
    <w:abstractNumId w:val="10"/>
  </w:num>
  <w:num w:numId="16" w16cid:durableId="1708291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6865731">
    <w:abstractNumId w:val="0"/>
  </w:num>
  <w:num w:numId="18" w16cid:durableId="431895394">
    <w:abstractNumId w:val="16"/>
  </w:num>
  <w:num w:numId="19" w16cid:durableId="106850304">
    <w:abstractNumId w:val="3"/>
  </w:num>
  <w:num w:numId="20" w16cid:durableId="563178894">
    <w:abstractNumId w:val="0"/>
  </w:num>
  <w:num w:numId="21" w16cid:durableId="856653015">
    <w:abstractNumId w:val="0"/>
  </w:num>
  <w:num w:numId="22" w16cid:durableId="1706909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674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4797263">
    <w:abstractNumId w:val="0"/>
  </w:num>
  <w:num w:numId="25" w16cid:durableId="278339837">
    <w:abstractNumId w:val="15"/>
  </w:num>
  <w:num w:numId="26" w16cid:durableId="899634658">
    <w:abstractNumId w:val="0"/>
  </w:num>
  <w:num w:numId="27" w16cid:durableId="307394825">
    <w:abstractNumId w:val="0"/>
  </w:num>
  <w:num w:numId="28" w16cid:durableId="795563387">
    <w:abstractNumId w:val="0"/>
  </w:num>
  <w:num w:numId="29" w16cid:durableId="687679622">
    <w:abstractNumId w:val="0"/>
  </w:num>
  <w:num w:numId="30" w16cid:durableId="1310131529">
    <w:abstractNumId w:val="0"/>
  </w:num>
  <w:num w:numId="31" w16cid:durableId="527642306">
    <w:abstractNumId w:val="0"/>
  </w:num>
  <w:num w:numId="32" w16cid:durableId="917908816">
    <w:abstractNumId w:val="0"/>
  </w:num>
  <w:num w:numId="33" w16cid:durableId="1544439373">
    <w:abstractNumId w:val="0"/>
  </w:num>
  <w:num w:numId="34" w16cid:durableId="1074740226">
    <w:abstractNumId w:val="0"/>
  </w:num>
  <w:num w:numId="35" w16cid:durableId="167445752">
    <w:abstractNumId w:val="0"/>
  </w:num>
  <w:num w:numId="36" w16cid:durableId="349112826">
    <w:abstractNumId w:val="0"/>
  </w:num>
  <w:num w:numId="37" w16cid:durableId="1516768427">
    <w:abstractNumId w:val="0"/>
  </w:num>
  <w:num w:numId="38" w16cid:durableId="1405908922">
    <w:abstractNumId w:val="12"/>
  </w:num>
  <w:num w:numId="39" w16cid:durableId="1018654946">
    <w:abstractNumId w:val="0"/>
  </w:num>
  <w:num w:numId="40" w16cid:durableId="1317299587">
    <w:abstractNumId w:val="0"/>
  </w:num>
  <w:num w:numId="41" w16cid:durableId="1746488882">
    <w:abstractNumId w:val="24"/>
  </w:num>
  <w:num w:numId="42" w16cid:durableId="1878160075">
    <w:abstractNumId w:val="0"/>
  </w:num>
  <w:num w:numId="43" w16cid:durableId="524631783">
    <w:abstractNumId w:val="9"/>
  </w:num>
  <w:num w:numId="44" w16cid:durableId="1140071905">
    <w:abstractNumId w:val="8"/>
  </w:num>
  <w:num w:numId="45" w16cid:durableId="434594078">
    <w:abstractNumId w:val="4"/>
  </w:num>
  <w:num w:numId="46" w16cid:durableId="706486318">
    <w:abstractNumId w:val="25"/>
  </w:num>
  <w:num w:numId="47" w16cid:durableId="428235871">
    <w:abstractNumId w:val="18"/>
  </w:num>
  <w:num w:numId="48" w16cid:durableId="831914584">
    <w:abstractNumId w:val="0"/>
  </w:num>
  <w:num w:numId="49" w16cid:durableId="994339204">
    <w:abstractNumId w:val="0"/>
  </w:num>
  <w:num w:numId="50" w16cid:durableId="81879130">
    <w:abstractNumId w:val="0"/>
  </w:num>
  <w:num w:numId="51" w16cid:durableId="144398117">
    <w:abstractNumId w:val="0"/>
  </w:num>
  <w:num w:numId="52" w16cid:durableId="411240023">
    <w:abstractNumId w:val="0"/>
  </w:num>
  <w:num w:numId="53" w16cid:durableId="1490294530">
    <w:abstractNumId w:val="0"/>
  </w:num>
  <w:num w:numId="54" w16cid:durableId="1855653889">
    <w:abstractNumId w:val="0"/>
  </w:num>
  <w:num w:numId="55" w16cid:durableId="145442286">
    <w:abstractNumId w:val="0"/>
  </w:num>
  <w:num w:numId="56" w16cid:durableId="380246854">
    <w:abstractNumId w:val="11"/>
  </w:num>
  <w:num w:numId="57" w16cid:durableId="1915316544">
    <w:abstractNumId w:val="7"/>
  </w:num>
  <w:num w:numId="58" w16cid:durableId="133525012">
    <w:abstractNumId w:val="28"/>
  </w:num>
  <w:num w:numId="59" w16cid:durableId="1463767909">
    <w:abstractNumId w:val="13"/>
  </w:num>
  <w:num w:numId="60" w16cid:durableId="1407534120">
    <w:abstractNumId w:val="23"/>
  </w:num>
  <w:num w:numId="61" w16cid:durableId="1463690698">
    <w:abstractNumId w:val="0"/>
    <w:lvlOverride w:ilvl="0">
      <w:startOverride w:val="1"/>
    </w:lvlOverride>
  </w:num>
  <w:num w:numId="62" w16cid:durableId="673066726">
    <w:abstractNumId w:val="0"/>
  </w:num>
  <w:num w:numId="63" w16cid:durableId="1999770151">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08F3"/>
    <w:rsid w:val="00001E81"/>
    <w:rsid w:val="00002CEB"/>
    <w:rsid w:val="00005391"/>
    <w:rsid w:val="000063FE"/>
    <w:rsid w:val="000114D5"/>
    <w:rsid w:val="00011592"/>
    <w:rsid w:val="00012B33"/>
    <w:rsid w:val="00015579"/>
    <w:rsid w:val="00017C11"/>
    <w:rsid w:val="0002011B"/>
    <w:rsid w:val="000222FB"/>
    <w:rsid w:val="00023E40"/>
    <w:rsid w:val="00024729"/>
    <w:rsid w:val="00026916"/>
    <w:rsid w:val="00027335"/>
    <w:rsid w:val="000375A7"/>
    <w:rsid w:val="00041A39"/>
    <w:rsid w:val="00043EC5"/>
    <w:rsid w:val="000449E4"/>
    <w:rsid w:val="0004545A"/>
    <w:rsid w:val="000459A8"/>
    <w:rsid w:val="000461AB"/>
    <w:rsid w:val="00051A26"/>
    <w:rsid w:val="00051F2D"/>
    <w:rsid w:val="00053527"/>
    <w:rsid w:val="00060152"/>
    <w:rsid w:val="00060D91"/>
    <w:rsid w:val="00062997"/>
    <w:rsid w:val="00062FDA"/>
    <w:rsid w:val="00066319"/>
    <w:rsid w:val="00067808"/>
    <w:rsid w:val="00070178"/>
    <w:rsid w:val="00071FEF"/>
    <w:rsid w:val="00076117"/>
    <w:rsid w:val="0008133B"/>
    <w:rsid w:val="00082A25"/>
    <w:rsid w:val="00086EA1"/>
    <w:rsid w:val="0009044F"/>
    <w:rsid w:val="00092F0C"/>
    <w:rsid w:val="00093892"/>
    <w:rsid w:val="00093911"/>
    <w:rsid w:val="00093C96"/>
    <w:rsid w:val="000A3394"/>
    <w:rsid w:val="000B18AC"/>
    <w:rsid w:val="000B1C97"/>
    <w:rsid w:val="000B2222"/>
    <w:rsid w:val="000B5B69"/>
    <w:rsid w:val="000C44FB"/>
    <w:rsid w:val="000C6965"/>
    <w:rsid w:val="000C6C57"/>
    <w:rsid w:val="000D0E18"/>
    <w:rsid w:val="000D0E53"/>
    <w:rsid w:val="000D604D"/>
    <w:rsid w:val="000D61A1"/>
    <w:rsid w:val="000D62A2"/>
    <w:rsid w:val="000E1276"/>
    <w:rsid w:val="000E42EE"/>
    <w:rsid w:val="000E6643"/>
    <w:rsid w:val="000E6E07"/>
    <w:rsid w:val="000F3076"/>
    <w:rsid w:val="000F770A"/>
    <w:rsid w:val="00104692"/>
    <w:rsid w:val="00105C52"/>
    <w:rsid w:val="001070C2"/>
    <w:rsid w:val="00112F82"/>
    <w:rsid w:val="00113D60"/>
    <w:rsid w:val="00114CC1"/>
    <w:rsid w:val="001240E8"/>
    <w:rsid w:val="00124368"/>
    <w:rsid w:val="00124F6F"/>
    <w:rsid w:val="001258EA"/>
    <w:rsid w:val="00131E96"/>
    <w:rsid w:val="0013362E"/>
    <w:rsid w:val="00133924"/>
    <w:rsid w:val="0013686F"/>
    <w:rsid w:val="00137BC9"/>
    <w:rsid w:val="00144409"/>
    <w:rsid w:val="001460A3"/>
    <w:rsid w:val="00152D60"/>
    <w:rsid w:val="00152EE7"/>
    <w:rsid w:val="001617C5"/>
    <w:rsid w:val="00162496"/>
    <w:rsid w:val="00162AE3"/>
    <w:rsid w:val="00165A30"/>
    <w:rsid w:val="00167C4F"/>
    <w:rsid w:val="001732C8"/>
    <w:rsid w:val="00177217"/>
    <w:rsid w:val="00185DE7"/>
    <w:rsid w:val="0019217F"/>
    <w:rsid w:val="00193A43"/>
    <w:rsid w:val="00193D8D"/>
    <w:rsid w:val="00195E75"/>
    <w:rsid w:val="0019715B"/>
    <w:rsid w:val="001A03ED"/>
    <w:rsid w:val="001A1B66"/>
    <w:rsid w:val="001A4EB0"/>
    <w:rsid w:val="001A518D"/>
    <w:rsid w:val="001B2A71"/>
    <w:rsid w:val="001B325B"/>
    <w:rsid w:val="001B7833"/>
    <w:rsid w:val="001C14AF"/>
    <w:rsid w:val="001C3391"/>
    <w:rsid w:val="001C3993"/>
    <w:rsid w:val="001C4B0B"/>
    <w:rsid w:val="001C4DC9"/>
    <w:rsid w:val="001D0874"/>
    <w:rsid w:val="001D1F61"/>
    <w:rsid w:val="001D4174"/>
    <w:rsid w:val="001D4BB5"/>
    <w:rsid w:val="001D6E98"/>
    <w:rsid w:val="001E61DE"/>
    <w:rsid w:val="001E6CFA"/>
    <w:rsid w:val="001F1508"/>
    <w:rsid w:val="001F163B"/>
    <w:rsid w:val="001F2A23"/>
    <w:rsid w:val="001F2AE0"/>
    <w:rsid w:val="001F3088"/>
    <w:rsid w:val="001F4C94"/>
    <w:rsid w:val="001F64D9"/>
    <w:rsid w:val="001F6C60"/>
    <w:rsid w:val="001F6DC9"/>
    <w:rsid w:val="001F754C"/>
    <w:rsid w:val="001F7C4C"/>
    <w:rsid w:val="00201269"/>
    <w:rsid w:val="00203691"/>
    <w:rsid w:val="002044B7"/>
    <w:rsid w:val="0021083C"/>
    <w:rsid w:val="00210DA2"/>
    <w:rsid w:val="002111B2"/>
    <w:rsid w:val="00212129"/>
    <w:rsid w:val="0021322B"/>
    <w:rsid w:val="002220CE"/>
    <w:rsid w:val="00222BE7"/>
    <w:rsid w:val="0023450E"/>
    <w:rsid w:val="0023495D"/>
    <w:rsid w:val="0023781F"/>
    <w:rsid w:val="00237B73"/>
    <w:rsid w:val="0024008E"/>
    <w:rsid w:val="002417D9"/>
    <w:rsid w:val="00241AB2"/>
    <w:rsid w:val="00244072"/>
    <w:rsid w:val="00245ECD"/>
    <w:rsid w:val="0025045A"/>
    <w:rsid w:val="002517D0"/>
    <w:rsid w:val="00254016"/>
    <w:rsid w:val="00257F40"/>
    <w:rsid w:val="002606A8"/>
    <w:rsid w:val="0026152A"/>
    <w:rsid w:val="002629A1"/>
    <w:rsid w:val="00262BB5"/>
    <w:rsid w:val="00267F96"/>
    <w:rsid w:val="0027366D"/>
    <w:rsid w:val="002810C9"/>
    <w:rsid w:val="00283821"/>
    <w:rsid w:val="00284263"/>
    <w:rsid w:val="002846B9"/>
    <w:rsid w:val="00284ADE"/>
    <w:rsid w:val="00290FA5"/>
    <w:rsid w:val="00291B0E"/>
    <w:rsid w:val="002935D8"/>
    <w:rsid w:val="00294045"/>
    <w:rsid w:val="00294895"/>
    <w:rsid w:val="00295C1D"/>
    <w:rsid w:val="00296BB4"/>
    <w:rsid w:val="002A04EE"/>
    <w:rsid w:val="002A0F5F"/>
    <w:rsid w:val="002A4360"/>
    <w:rsid w:val="002A5831"/>
    <w:rsid w:val="002A6FEE"/>
    <w:rsid w:val="002A7F08"/>
    <w:rsid w:val="002B2851"/>
    <w:rsid w:val="002B7382"/>
    <w:rsid w:val="002C19E4"/>
    <w:rsid w:val="002C476A"/>
    <w:rsid w:val="002D2738"/>
    <w:rsid w:val="002E18F0"/>
    <w:rsid w:val="002E1CC4"/>
    <w:rsid w:val="002E385B"/>
    <w:rsid w:val="002E4A86"/>
    <w:rsid w:val="002E64DD"/>
    <w:rsid w:val="002F0A59"/>
    <w:rsid w:val="002F29BC"/>
    <w:rsid w:val="002F412F"/>
    <w:rsid w:val="002F4707"/>
    <w:rsid w:val="002F5ACF"/>
    <w:rsid w:val="00300015"/>
    <w:rsid w:val="00303379"/>
    <w:rsid w:val="00305A45"/>
    <w:rsid w:val="00307221"/>
    <w:rsid w:val="00312E1A"/>
    <w:rsid w:val="003131F6"/>
    <w:rsid w:val="00316E71"/>
    <w:rsid w:val="003200FE"/>
    <w:rsid w:val="0032075C"/>
    <w:rsid w:val="00325DF4"/>
    <w:rsid w:val="003274B7"/>
    <w:rsid w:val="00335180"/>
    <w:rsid w:val="00336DF7"/>
    <w:rsid w:val="0034304C"/>
    <w:rsid w:val="00344532"/>
    <w:rsid w:val="0034518A"/>
    <w:rsid w:val="003455F8"/>
    <w:rsid w:val="00345D58"/>
    <w:rsid w:val="00347BDC"/>
    <w:rsid w:val="00354F80"/>
    <w:rsid w:val="00357352"/>
    <w:rsid w:val="00360533"/>
    <w:rsid w:val="00362580"/>
    <w:rsid w:val="00375F64"/>
    <w:rsid w:val="003766FB"/>
    <w:rsid w:val="0038253F"/>
    <w:rsid w:val="003918DD"/>
    <w:rsid w:val="00392AA0"/>
    <w:rsid w:val="00392E06"/>
    <w:rsid w:val="003A012C"/>
    <w:rsid w:val="003A447D"/>
    <w:rsid w:val="003A53A0"/>
    <w:rsid w:val="003A5408"/>
    <w:rsid w:val="003A7EC8"/>
    <w:rsid w:val="003B4252"/>
    <w:rsid w:val="003B453F"/>
    <w:rsid w:val="003C1121"/>
    <w:rsid w:val="003C1BC0"/>
    <w:rsid w:val="003C7265"/>
    <w:rsid w:val="003D0FFD"/>
    <w:rsid w:val="003D61E9"/>
    <w:rsid w:val="003D77F2"/>
    <w:rsid w:val="003E0848"/>
    <w:rsid w:val="003E1365"/>
    <w:rsid w:val="003E4ECC"/>
    <w:rsid w:val="003E7696"/>
    <w:rsid w:val="003F06ED"/>
    <w:rsid w:val="003F1188"/>
    <w:rsid w:val="003F5259"/>
    <w:rsid w:val="003F72E8"/>
    <w:rsid w:val="003F79A7"/>
    <w:rsid w:val="0040067A"/>
    <w:rsid w:val="00401A27"/>
    <w:rsid w:val="00401E6F"/>
    <w:rsid w:val="0040315D"/>
    <w:rsid w:val="00404D0B"/>
    <w:rsid w:val="00410738"/>
    <w:rsid w:val="0041297F"/>
    <w:rsid w:val="00414BF8"/>
    <w:rsid w:val="0041578A"/>
    <w:rsid w:val="00415D24"/>
    <w:rsid w:val="004162FA"/>
    <w:rsid w:val="004203AA"/>
    <w:rsid w:val="0042109C"/>
    <w:rsid w:val="004215C4"/>
    <w:rsid w:val="00424B31"/>
    <w:rsid w:val="00426192"/>
    <w:rsid w:val="00426CFE"/>
    <w:rsid w:val="004321BA"/>
    <w:rsid w:val="00432428"/>
    <w:rsid w:val="0043686D"/>
    <w:rsid w:val="00436881"/>
    <w:rsid w:val="00440916"/>
    <w:rsid w:val="004419BD"/>
    <w:rsid w:val="004442C8"/>
    <w:rsid w:val="00444AB7"/>
    <w:rsid w:val="00446FAF"/>
    <w:rsid w:val="00450AD6"/>
    <w:rsid w:val="004518C3"/>
    <w:rsid w:val="00452985"/>
    <w:rsid w:val="00457846"/>
    <w:rsid w:val="00460096"/>
    <w:rsid w:val="00463067"/>
    <w:rsid w:val="004662A9"/>
    <w:rsid w:val="0047166C"/>
    <w:rsid w:val="004745FC"/>
    <w:rsid w:val="00474B20"/>
    <w:rsid w:val="00480768"/>
    <w:rsid w:val="0048319C"/>
    <w:rsid w:val="00483985"/>
    <w:rsid w:val="00484665"/>
    <w:rsid w:val="00484996"/>
    <w:rsid w:val="00484EDA"/>
    <w:rsid w:val="00484FF5"/>
    <w:rsid w:val="00485715"/>
    <w:rsid w:val="00487D09"/>
    <w:rsid w:val="00491AFF"/>
    <w:rsid w:val="004922B8"/>
    <w:rsid w:val="00492665"/>
    <w:rsid w:val="00496048"/>
    <w:rsid w:val="00496391"/>
    <w:rsid w:val="004A3953"/>
    <w:rsid w:val="004B183A"/>
    <w:rsid w:val="004B4BB6"/>
    <w:rsid w:val="004B5364"/>
    <w:rsid w:val="004C02AB"/>
    <w:rsid w:val="004C236B"/>
    <w:rsid w:val="004D07ED"/>
    <w:rsid w:val="004D2974"/>
    <w:rsid w:val="004D4E37"/>
    <w:rsid w:val="004D50D5"/>
    <w:rsid w:val="004D6C2E"/>
    <w:rsid w:val="004D7E2C"/>
    <w:rsid w:val="004E03C5"/>
    <w:rsid w:val="004E0DA8"/>
    <w:rsid w:val="004E49A7"/>
    <w:rsid w:val="004E4CFF"/>
    <w:rsid w:val="004E7C7C"/>
    <w:rsid w:val="004E7D5B"/>
    <w:rsid w:val="004F00C7"/>
    <w:rsid w:val="004F125F"/>
    <w:rsid w:val="004F2ABD"/>
    <w:rsid w:val="004F33E7"/>
    <w:rsid w:val="004F6285"/>
    <w:rsid w:val="005001BC"/>
    <w:rsid w:val="005004F7"/>
    <w:rsid w:val="00504AA8"/>
    <w:rsid w:val="00505FFD"/>
    <w:rsid w:val="00507EB2"/>
    <w:rsid w:val="005119EE"/>
    <w:rsid w:val="00512303"/>
    <w:rsid w:val="00516D40"/>
    <w:rsid w:val="00520569"/>
    <w:rsid w:val="00520A5E"/>
    <w:rsid w:val="00521140"/>
    <w:rsid w:val="005230CD"/>
    <w:rsid w:val="0053062E"/>
    <w:rsid w:val="00530887"/>
    <w:rsid w:val="00530914"/>
    <w:rsid w:val="005364FC"/>
    <w:rsid w:val="0054373E"/>
    <w:rsid w:val="00544A64"/>
    <w:rsid w:val="00547402"/>
    <w:rsid w:val="00547F2B"/>
    <w:rsid w:val="0055272C"/>
    <w:rsid w:val="00557164"/>
    <w:rsid w:val="005574AD"/>
    <w:rsid w:val="00557727"/>
    <w:rsid w:val="00557ED0"/>
    <w:rsid w:val="00561CF1"/>
    <w:rsid w:val="00562B2D"/>
    <w:rsid w:val="005637FD"/>
    <w:rsid w:val="00567E4C"/>
    <w:rsid w:val="00571396"/>
    <w:rsid w:val="00571C3F"/>
    <w:rsid w:val="00572290"/>
    <w:rsid w:val="00573186"/>
    <w:rsid w:val="00573C0E"/>
    <w:rsid w:val="00573DAC"/>
    <w:rsid w:val="00577716"/>
    <w:rsid w:val="005804BA"/>
    <w:rsid w:val="0058430F"/>
    <w:rsid w:val="00587535"/>
    <w:rsid w:val="00590B1B"/>
    <w:rsid w:val="00590D53"/>
    <w:rsid w:val="0059298D"/>
    <w:rsid w:val="005A47AE"/>
    <w:rsid w:val="005A6E16"/>
    <w:rsid w:val="005B2830"/>
    <w:rsid w:val="005B2B97"/>
    <w:rsid w:val="005B5F4D"/>
    <w:rsid w:val="005C738D"/>
    <w:rsid w:val="005C7D3C"/>
    <w:rsid w:val="005D0E57"/>
    <w:rsid w:val="005E0C34"/>
    <w:rsid w:val="005E350E"/>
    <w:rsid w:val="005E3570"/>
    <w:rsid w:val="005E45F4"/>
    <w:rsid w:val="005E7E67"/>
    <w:rsid w:val="005F2252"/>
    <w:rsid w:val="005F233C"/>
    <w:rsid w:val="005F32F3"/>
    <w:rsid w:val="005F3AE5"/>
    <w:rsid w:val="005F3D23"/>
    <w:rsid w:val="00602EE6"/>
    <w:rsid w:val="006042FC"/>
    <w:rsid w:val="00605BC8"/>
    <w:rsid w:val="006116B0"/>
    <w:rsid w:val="00611819"/>
    <w:rsid w:val="00617353"/>
    <w:rsid w:val="006218CD"/>
    <w:rsid w:val="00622896"/>
    <w:rsid w:val="00623F58"/>
    <w:rsid w:val="006276AB"/>
    <w:rsid w:val="00630B71"/>
    <w:rsid w:val="00630E4F"/>
    <w:rsid w:val="00630E9A"/>
    <w:rsid w:val="00633119"/>
    <w:rsid w:val="006357E6"/>
    <w:rsid w:val="0063781B"/>
    <w:rsid w:val="006402C5"/>
    <w:rsid w:val="00640BC9"/>
    <w:rsid w:val="00640C6E"/>
    <w:rsid w:val="00641C3F"/>
    <w:rsid w:val="0064249E"/>
    <w:rsid w:val="00645A7F"/>
    <w:rsid w:val="00646C9F"/>
    <w:rsid w:val="00652D92"/>
    <w:rsid w:val="00664850"/>
    <w:rsid w:val="00666DEE"/>
    <w:rsid w:val="006678BA"/>
    <w:rsid w:val="00667CD4"/>
    <w:rsid w:val="00671CE7"/>
    <w:rsid w:val="0067371F"/>
    <w:rsid w:val="006750C6"/>
    <w:rsid w:val="006751D3"/>
    <w:rsid w:val="006764AA"/>
    <w:rsid w:val="0067669C"/>
    <w:rsid w:val="00682F68"/>
    <w:rsid w:val="00685C7C"/>
    <w:rsid w:val="006909CA"/>
    <w:rsid w:val="00693D76"/>
    <w:rsid w:val="00695093"/>
    <w:rsid w:val="00696DD3"/>
    <w:rsid w:val="006A2FC1"/>
    <w:rsid w:val="006A368F"/>
    <w:rsid w:val="006A50BD"/>
    <w:rsid w:val="006A53DA"/>
    <w:rsid w:val="006A562B"/>
    <w:rsid w:val="006B5FDB"/>
    <w:rsid w:val="006B7C4F"/>
    <w:rsid w:val="006C04AB"/>
    <w:rsid w:val="006C27A5"/>
    <w:rsid w:val="006C3A51"/>
    <w:rsid w:val="006D3284"/>
    <w:rsid w:val="006D44D2"/>
    <w:rsid w:val="006D7C96"/>
    <w:rsid w:val="006E117F"/>
    <w:rsid w:val="006E1F85"/>
    <w:rsid w:val="006E3853"/>
    <w:rsid w:val="006F038D"/>
    <w:rsid w:val="006F2D80"/>
    <w:rsid w:val="006F43F9"/>
    <w:rsid w:val="00700CAF"/>
    <w:rsid w:val="0070668A"/>
    <w:rsid w:val="00706A38"/>
    <w:rsid w:val="00711D12"/>
    <w:rsid w:val="00715039"/>
    <w:rsid w:val="0071522E"/>
    <w:rsid w:val="0071788D"/>
    <w:rsid w:val="007252B1"/>
    <w:rsid w:val="0072642B"/>
    <w:rsid w:val="00726440"/>
    <w:rsid w:val="00726BB3"/>
    <w:rsid w:val="00731910"/>
    <w:rsid w:val="00733C71"/>
    <w:rsid w:val="007403DB"/>
    <w:rsid w:val="00744CE8"/>
    <w:rsid w:val="00747031"/>
    <w:rsid w:val="00753C22"/>
    <w:rsid w:val="00756927"/>
    <w:rsid w:val="00760192"/>
    <w:rsid w:val="00762035"/>
    <w:rsid w:val="00763ABB"/>
    <w:rsid w:val="00764809"/>
    <w:rsid w:val="007649B6"/>
    <w:rsid w:val="00765794"/>
    <w:rsid w:val="007668D2"/>
    <w:rsid w:val="00770BC0"/>
    <w:rsid w:val="00772C06"/>
    <w:rsid w:val="00776535"/>
    <w:rsid w:val="00787221"/>
    <w:rsid w:val="007906F2"/>
    <w:rsid w:val="00791062"/>
    <w:rsid w:val="00791EFC"/>
    <w:rsid w:val="0079681D"/>
    <w:rsid w:val="007A319E"/>
    <w:rsid w:val="007A6A82"/>
    <w:rsid w:val="007A7FD7"/>
    <w:rsid w:val="007B3362"/>
    <w:rsid w:val="007B4F51"/>
    <w:rsid w:val="007B5D8C"/>
    <w:rsid w:val="007B644B"/>
    <w:rsid w:val="007B6E63"/>
    <w:rsid w:val="007B7F3D"/>
    <w:rsid w:val="007C116D"/>
    <w:rsid w:val="007C26AC"/>
    <w:rsid w:val="007C3363"/>
    <w:rsid w:val="007C6512"/>
    <w:rsid w:val="007D1947"/>
    <w:rsid w:val="007D4D6B"/>
    <w:rsid w:val="007E5944"/>
    <w:rsid w:val="007F14B5"/>
    <w:rsid w:val="007F5512"/>
    <w:rsid w:val="007F6812"/>
    <w:rsid w:val="007F6BD5"/>
    <w:rsid w:val="007F7428"/>
    <w:rsid w:val="008008E4"/>
    <w:rsid w:val="00801E6E"/>
    <w:rsid w:val="008027E8"/>
    <w:rsid w:val="00810395"/>
    <w:rsid w:val="008125BC"/>
    <w:rsid w:val="00812BB9"/>
    <w:rsid w:val="00815007"/>
    <w:rsid w:val="008154F9"/>
    <w:rsid w:val="00824580"/>
    <w:rsid w:val="00824586"/>
    <w:rsid w:val="00825DD5"/>
    <w:rsid w:val="00827F60"/>
    <w:rsid w:val="008322CE"/>
    <w:rsid w:val="008436C0"/>
    <w:rsid w:val="008457BC"/>
    <w:rsid w:val="00846971"/>
    <w:rsid w:val="008506B7"/>
    <w:rsid w:val="0085311C"/>
    <w:rsid w:val="00862713"/>
    <w:rsid w:val="00863A82"/>
    <w:rsid w:val="00864204"/>
    <w:rsid w:val="0087008B"/>
    <w:rsid w:val="00870B4A"/>
    <w:rsid w:val="00873080"/>
    <w:rsid w:val="00874088"/>
    <w:rsid w:val="0087534C"/>
    <w:rsid w:val="00881858"/>
    <w:rsid w:val="0088676A"/>
    <w:rsid w:val="00891214"/>
    <w:rsid w:val="00891ED2"/>
    <w:rsid w:val="00892AF2"/>
    <w:rsid w:val="008933C9"/>
    <w:rsid w:val="00893FF0"/>
    <w:rsid w:val="008954E7"/>
    <w:rsid w:val="008968B7"/>
    <w:rsid w:val="008A49EF"/>
    <w:rsid w:val="008A7EEF"/>
    <w:rsid w:val="008B0195"/>
    <w:rsid w:val="008B7114"/>
    <w:rsid w:val="008B7FDB"/>
    <w:rsid w:val="008C1AF8"/>
    <w:rsid w:val="008C1FD3"/>
    <w:rsid w:val="008C2032"/>
    <w:rsid w:val="008C6001"/>
    <w:rsid w:val="008D1360"/>
    <w:rsid w:val="008D3EE2"/>
    <w:rsid w:val="008D54A2"/>
    <w:rsid w:val="008E0FA3"/>
    <w:rsid w:val="008E2335"/>
    <w:rsid w:val="008E4CCC"/>
    <w:rsid w:val="008E558D"/>
    <w:rsid w:val="008E71C9"/>
    <w:rsid w:val="008F37E2"/>
    <w:rsid w:val="008F4255"/>
    <w:rsid w:val="008F4953"/>
    <w:rsid w:val="008F52F2"/>
    <w:rsid w:val="008F6BD5"/>
    <w:rsid w:val="008F76C1"/>
    <w:rsid w:val="0090262C"/>
    <w:rsid w:val="00902643"/>
    <w:rsid w:val="00903839"/>
    <w:rsid w:val="009048E7"/>
    <w:rsid w:val="009073A2"/>
    <w:rsid w:val="00907B1D"/>
    <w:rsid w:val="00907D7A"/>
    <w:rsid w:val="0091158F"/>
    <w:rsid w:val="009123BA"/>
    <w:rsid w:val="0091346C"/>
    <w:rsid w:val="00913D3B"/>
    <w:rsid w:val="00915C56"/>
    <w:rsid w:val="00916699"/>
    <w:rsid w:val="00916E71"/>
    <w:rsid w:val="009174A0"/>
    <w:rsid w:val="00917644"/>
    <w:rsid w:val="00920E73"/>
    <w:rsid w:val="00922F3F"/>
    <w:rsid w:val="00923854"/>
    <w:rsid w:val="00925D7F"/>
    <w:rsid w:val="00926FAE"/>
    <w:rsid w:val="009312D4"/>
    <w:rsid w:val="00932AA3"/>
    <w:rsid w:val="009350E8"/>
    <w:rsid w:val="00941C18"/>
    <w:rsid w:val="00941F3D"/>
    <w:rsid w:val="0094615D"/>
    <w:rsid w:val="00952CE5"/>
    <w:rsid w:val="00953497"/>
    <w:rsid w:val="009542C6"/>
    <w:rsid w:val="00955685"/>
    <w:rsid w:val="009616DA"/>
    <w:rsid w:val="009627CA"/>
    <w:rsid w:val="009629FD"/>
    <w:rsid w:val="00965631"/>
    <w:rsid w:val="009664D3"/>
    <w:rsid w:val="00966E65"/>
    <w:rsid w:val="0097065D"/>
    <w:rsid w:val="00970CEF"/>
    <w:rsid w:val="009735C2"/>
    <w:rsid w:val="00973E5E"/>
    <w:rsid w:val="009758E5"/>
    <w:rsid w:val="00983682"/>
    <w:rsid w:val="00984DF3"/>
    <w:rsid w:val="0098532A"/>
    <w:rsid w:val="009866A3"/>
    <w:rsid w:val="00986794"/>
    <w:rsid w:val="009905A7"/>
    <w:rsid w:val="00994A8D"/>
    <w:rsid w:val="00995023"/>
    <w:rsid w:val="009A099C"/>
    <w:rsid w:val="009A1C3A"/>
    <w:rsid w:val="009A1D68"/>
    <w:rsid w:val="009A2BAF"/>
    <w:rsid w:val="009A4E71"/>
    <w:rsid w:val="009A5574"/>
    <w:rsid w:val="009A5A6D"/>
    <w:rsid w:val="009B3AAE"/>
    <w:rsid w:val="009D1B88"/>
    <w:rsid w:val="009D30B1"/>
    <w:rsid w:val="009D6D5A"/>
    <w:rsid w:val="009E0BA9"/>
    <w:rsid w:val="009E1401"/>
    <w:rsid w:val="009E1E1B"/>
    <w:rsid w:val="009E2BFD"/>
    <w:rsid w:val="009E3B3A"/>
    <w:rsid w:val="009E5301"/>
    <w:rsid w:val="009E6D29"/>
    <w:rsid w:val="009E7524"/>
    <w:rsid w:val="009E79D7"/>
    <w:rsid w:val="009F0A19"/>
    <w:rsid w:val="009F1E2A"/>
    <w:rsid w:val="009F4389"/>
    <w:rsid w:val="009F6EEC"/>
    <w:rsid w:val="00A00CEB"/>
    <w:rsid w:val="00A01207"/>
    <w:rsid w:val="00A02EEF"/>
    <w:rsid w:val="00A0317B"/>
    <w:rsid w:val="00A048C1"/>
    <w:rsid w:val="00A12A59"/>
    <w:rsid w:val="00A12E0D"/>
    <w:rsid w:val="00A16C8F"/>
    <w:rsid w:val="00A16DED"/>
    <w:rsid w:val="00A17BD5"/>
    <w:rsid w:val="00A218E3"/>
    <w:rsid w:val="00A21AC5"/>
    <w:rsid w:val="00A23F88"/>
    <w:rsid w:val="00A2487C"/>
    <w:rsid w:val="00A25AC7"/>
    <w:rsid w:val="00A263BC"/>
    <w:rsid w:val="00A2783E"/>
    <w:rsid w:val="00A31636"/>
    <w:rsid w:val="00A340A1"/>
    <w:rsid w:val="00A3536B"/>
    <w:rsid w:val="00A37E90"/>
    <w:rsid w:val="00A41E4B"/>
    <w:rsid w:val="00A4222F"/>
    <w:rsid w:val="00A52424"/>
    <w:rsid w:val="00A52660"/>
    <w:rsid w:val="00A52AE3"/>
    <w:rsid w:val="00A5491E"/>
    <w:rsid w:val="00A550A5"/>
    <w:rsid w:val="00A554E9"/>
    <w:rsid w:val="00A56E62"/>
    <w:rsid w:val="00A637BC"/>
    <w:rsid w:val="00A641FB"/>
    <w:rsid w:val="00A6617D"/>
    <w:rsid w:val="00A66D27"/>
    <w:rsid w:val="00A74F79"/>
    <w:rsid w:val="00A75C9A"/>
    <w:rsid w:val="00A8004F"/>
    <w:rsid w:val="00A816F6"/>
    <w:rsid w:val="00A848C2"/>
    <w:rsid w:val="00A86E41"/>
    <w:rsid w:val="00A87853"/>
    <w:rsid w:val="00A87B63"/>
    <w:rsid w:val="00A92D87"/>
    <w:rsid w:val="00A9403E"/>
    <w:rsid w:val="00A9690E"/>
    <w:rsid w:val="00A974D8"/>
    <w:rsid w:val="00AA010B"/>
    <w:rsid w:val="00AA280A"/>
    <w:rsid w:val="00AA5615"/>
    <w:rsid w:val="00AA64CA"/>
    <w:rsid w:val="00AB22F0"/>
    <w:rsid w:val="00AB2C5B"/>
    <w:rsid w:val="00AB62B5"/>
    <w:rsid w:val="00AC0A4D"/>
    <w:rsid w:val="00AC2247"/>
    <w:rsid w:val="00AC2E32"/>
    <w:rsid w:val="00AC34FD"/>
    <w:rsid w:val="00AD0B09"/>
    <w:rsid w:val="00AD0D26"/>
    <w:rsid w:val="00AD36A5"/>
    <w:rsid w:val="00AD4ADE"/>
    <w:rsid w:val="00AE0688"/>
    <w:rsid w:val="00AE1F4E"/>
    <w:rsid w:val="00AE2FC8"/>
    <w:rsid w:val="00AE375C"/>
    <w:rsid w:val="00AE3E24"/>
    <w:rsid w:val="00AE4198"/>
    <w:rsid w:val="00AF0587"/>
    <w:rsid w:val="00AF39AA"/>
    <w:rsid w:val="00AF4424"/>
    <w:rsid w:val="00B022D2"/>
    <w:rsid w:val="00B0695D"/>
    <w:rsid w:val="00B07609"/>
    <w:rsid w:val="00B14829"/>
    <w:rsid w:val="00B14B32"/>
    <w:rsid w:val="00B15103"/>
    <w:rsid w:val="00B15513"/>
    <w:rsid w:val="00B1570E"/>
    <w:rsid w:val="00B15AF8"/>
    <w:rsid w:val="00B20A0A"/>
    <w:rsid w:val="00B22000"/>
    <w:rsid w:val="00B30056"/>
    <w:rsid w:val="00B36171"/>
    <w:rsid w:val="00B362B6"/>
    <w:rsid w:val="00B36D0C"/>
    <w:rsid w:val="00B40A2F"/>
    <w:rsid w:val="00B43CBD"/>
    <w:rsid w:val="00B46C32"/>
    <w:rsid w:val="00B53EE8"/>
    <w:rsid w:val="00B56AD2"/>
    <w:rsid w:val="00B57271"/>
    <w:rsid w:val="00B57CB3"/>
    <w:rsid w:val="00B57F10"/>
    <w:rsid w:val="00B76DA2"/>
    <w:rsid w:val="00B83F6C"/>
    <w:rsid w:val="00B84EEC"/>
    <w:rsid w:val="00B857D4"/>
    <w:rsid w:val="00B86E2B"/>
    <w:rsid w:val="00B9008C"/>
    <w:rsid w:val="00B90300"/>
    <w:rsid w:val="00B92220"/>
    <w:rsid w:val="00B92A96"/>
    <w:rsid w:val="00B93837"/>
    <w:rsid w:val="00B97265"/>
    <w:rsid w:val="00BA0CA0"/>
    <w:rsid w:val="00BA0F78"/>
    <w:rsid w:val="00BA1A7F"/>
    <w:rsid w:val="00BA7AA3"/>
    <w:rsid w:val="00BB3C12"/>
    <w:rsid w:val="00BB7DE5"/>
    <w:rsid w:val="00BC1A5F"/>
    <w:rsid w:val="00BC5BBE"/>
    <w:rsid w:val="00BC6058"/>
    <w:rsid w:val="00BC7A79"/>
    <w:rsid w:val="00BD0A82"/>
    <w:rsid w:val="00BD0B10"/>
    <w:rsid w:val="00BD6682"/>
    <w:rsid w:val="00BE58A7"/>
    <w:rsid w:val="00BE5B60"/>
    <w:rsid w:val="00BE5C24"/>
    <w:rsid w:val="00BE7B81"/>
    <w:rsid w:val="00BF13C6"/>
    <w:rsid w:val="00BF3FEF"/>
    <w:rsid w:val="00BF7FB2"/>
    <w:rsid w:val="00C021DC"/>
    <w:rsid w:val="00C024CA"/>
    <w:rsid w:val="00C025D8"/>
    <w:rsid w:val="00C04848"/>
    <w:rsid w:val="00C04F21"/>
    <w:rsid w:val="00C068B3"/>
    <w:rsid w:val="00C124A3"/>
    <w:rsid w:val="00C13D52"/>
    <w:rsid w:val="00C15DA5"/>
    <w:rsid w:val="00C2024C"/>
    <w:rsid w:val="00C207C1"/>
    <w:rsid w:val="00C23D71"/>
    <w:rsid w:val="00C2472D"/>
    <w:rsid w:val="00C24D9D"/>
    <w:rsid w:val="00C24E3E"/>
    <w:rsid w:val="00C27EAD"/>
    <w:rsid w:val="00C30FCF"/>
    <w:rsid w:val="00C35459"/>
    <w:rsid w:val="00C35589"/>
    <w:rsid w:val="00C40930"/>
    <w:rsid w:val="00C46C74"/>
    <w:rsid w:val="00C46EFA"/>
    <w:rsid w:val="00C47787"/>
    <w:rsid w:val="00C5311F"/>
    <w:rsid w:val="00C542FA"/>
    <w:rsid w:val="00C55068"/>
    <w:rsid w:val="00C60743"/>
    <w:rsid w:val="00C61A35"/>
    <w:rsid w:val="00C62682"/>
    <w:rsid w:val="00C70FE9"/>
    <w:rsid w:val="00C71D82"/>
    <w:rsid w:val="00C72AFE"/>
    <w:rsid w:val="00C73B25"/>
    <w:rsid w:val="00C73E21"/>
    <w:rsid w:val="00C74B43"/>
    <w:rsid w:val="00C74FEC"/>
    <w:rsid w:val="00C75AF7"/>
    <w:rsid w:val="00C76A3E"/>
    <w:rsid w:val="00C80594"/>
    <w:rsid w:val="00C852C3"/>
    <w:rsid w:val="00C863AD"/>
    <w:rsid w:val="00C87853"/>
    <w:rsid w:val="00C9368D"/>
    <w:rsid w:val="00CA0B15"/>
    <w:rsid w:val="00CA27D3"/>
    <w:rsid w:val="00CA5C41"/>
    <w:rsid w:val="00CA5CCD"/>
    <w:rsid w:val="00CA6096"/>
    <w:rsid w:val="00CA7CFB"/>
    <w:rsid w:val="00CB03CB"/>
    <w:rsid w:val="00CB12F7"/>
    <w:rsid w:val="00CB2DF9"/>
    <w:rsid w:val="00CB48D7"/>
    <w:rsid w:val="00CB4C69"/>
    <w:rsid w:val="00CB4F98"/>
    <w:rsid w:val="00CC05CA"/>
    <w:rsid w:val="00CC0C9D"/>
    <w:rsid w:val="00CC1821"/>
    <w:rsid w:val="00CC1AC5"/>
    <w:rsid w:val="00CC4712"/>
    <w:rsid w:val="00CC6252"/>
    <w:rsid w:val="00CC691A"/>
    <w:rsid w:val="00CC7C5A"/>
    <w:rsid w:val="00CD0717"/>
    <w:rsid w:val="00CD6670"/>
    <w:rsid w:val="00CD72EE"/>
    <w:rsid w:val="00CE009D"/>
    <w:rsid w:val="00CE178D"/>
    <w:rsid w:val="00CE34EC"/>
    <w:rsid w:val="00CE56A0"/>
    <w:rsid w:val="00CE760E"/>
    <w:rsid w:val="00CF0C9F"/>
    <w:rsid w:val="00CF2684"/>
    <w:rsid w:val="00CF7193"/>
    <w:rsid w:val="00CF739B"/>
    <w:rsid w:val="00CF7FDA"/>
    <w:rsid w:val="00D001B6"/>
    <w:rsid w:val="00D0273E"/>
    <w:rsid w:val="00D062D1"/>
    <w:rsid w:val="00D07045"/>
    <w:rsid w:val="00D070BC"/>
    <w:rsid w:val="00D07BC7"/>
    <w:rsid w:val="00D10EE5"/>
    <w:rsid w:val="00D119BF"/>
    <w:rsid w:val="00D13062"/>
    <w:rsid w:val="00D14B82"/>
    <w:rsid w:val="00D15B45"/>
    <w:rsid w:val="00D1664A"/>
    <w:rsid w:val="00D17E39"/>
    <w:rsid w:val="00D2009E"/>
    <w:rsid w:val="00D213B4"/>
    <w:rsid w:val="00D21918"/>
    <w:rsid w:val="00D21C33"/>
    <w:rsid w:val="00D220CD"/>
    <w:rsid w:val="00D22F74"/>
    <w:rsid w:val="00D27F29"/>
    <w:rsid w:val="00D31F99"/>
    <w:rsid w:val="00D37454"/>
    <w:rsid w:val="00D4154C"/>
    <w:rsid w:val="00D4357B"/>
    <w:rsid w:val="00D45A26"/>
    <w:rsid w:val="00D50FC4"/>
    <w:rsid w:val="00D5176B"/>
    <w:rsid w:val="00D51E31"/>
    <w:rsid w:val="00D55007"/>
    <w:rsid w:val="00D57FFE"/>
    <w:rsid w:val="00D6028B"/>
    <w:rsid w:val="00D602FF"/>
    <w:rsid w:val="00D60BF9"/>
    <w:rsid w:val="00D62717"/>
    <w:rsid w:val="00D629D0"/>
    <w:rsid w:val="00D64241"/>
    <w:rsid w:val="00D6424E"/>
    <w:rsid w:val="00D6505A"/>
    <w:rsid w:val="00D66B3F"/>
    <w:rsid w:val="00D67A01"/>
    <w:rsid w:val="00D67D69"/>
    <w:rsid w:val="00D70761"/>
    <w:rsid w:val="00D7133E"/>
    <w:rsid w:val="00D739C4"/>
    <w:rsid w:val="00D80FC4"/>
    <w:rsid w:val="00D81C54"/>
    <w:rsid w:val="00D82B1A"/>
    <w:rsid w:val="00D83698"/>
    <w:rsid w:val="00D84EED"/>
    <w:rsid w:val="00D90DA9"/>
    <w:rsid w:val="00D93511"/>
    <w:rsid w:val="00D94ADB"/>
    <w:rsid w:val="00D95C6D"/>
    <w:rsid w:val="00D962E4"/>
    <w:rsid w:val="00D96482"/>
    <w:rsid w:val="00DA03AA"/>
    <w:rsid w:val="00DA20DE"/>
    <w:rsid w:val="00DA7EBC"/>
    <w:rsid w:val="00DB0A21"/>
    <w:rsid w:val="00DB3E8D"/>
    <w:rsid w:val="00DB5914"/>
    <w:rsid w:val="00DB5AB3"/>
    <w:rsid w:val="00DB6FCC"/>
    <w:rsid w:val="00DB7932"/>
    <w:rsid w:val="00DB7D8A"/>
    <w:rsid w:val="00DB7DD8"/>
    <w:rsid w:val="00DC2F5C"/>
    <w:rsid w:val="00DC3AC1"/>
    <w:rsid w:val="00DC3F3B"/>
    <w:rsid w:val="00DC428A"/>
    <w:rsid w:val="00DC53D8"/>
    <w:rsid w:val="00DC6043"/>
    <w:rsid w:val="00DC6D61"/>
    <w:rsid w:val="00DC6E1D"/>
    <w:rsid w:val="00DD19DB"/>
    <w:rsid w:val="00DD2330"/>
    <w:rsid w:val="00DD2861"/>
    <w:rsid w:val="00DD4011"/>
    <w:rsid w:val="00DD49A2"/>
    <w:rsid w:val="00DD4BEB"/>
    <w:rsid w:val="00DD517B"/>
    <w:rsid w:val="00DD617D"/>
    <w:rsid w:val="00DD7B5C"/>
    <w:rsid w:val="00DE2478"/>
    <w:rsid w:val="00DE29B5"/>
    <w:rsid w:val="00DE2BC2"/>
    <w:rsid w:val="00DE44FC"/>
    <w:rsid w:val="00DE4F66"/>
    <w:rsid w:val="00DE54FB"/>
    <w:rsid w:val="00DE709E"/>
    <w:rsid w:val="00DF490E"/>
    <w:rsid w:val="00DF4B17"/>
    <w:rsid w:val="00E00CAD"/>
    <w:rsid w:val="00E00EC6"/>
    <w:rsid w:val="00E026A1"/>
    <w:rsid w:val="00E02AC3"/>
    <w:rsid w:val="00E030CC"/>
    <w:rsid w:val="00E03B44"/>
    <w:rsid w:val="00E040CA"/>
    <w:rsid w:val="00E0473E"/>
    <w:rsid w:val="00E066AF"/>
    <w:rsid w:val="00E076AE"/>
    <w:rsid w:val="00E123FE"/>
    <w:rsid w:val="00E12F96"/>
    <w:rsid w:val="00E13E42"/>
    <w:rsid w:val="00E1472C"/>
    <w:rsid w:val="00E149AB"/>
    <w:rsid w:val="00E202A9"/>
    <w:rsid w:val="00E20E50"/>
    <w:rsid w:val="00E23342"/>
    <w:rsid w:val="00E23DC8"/>
    <w:rsid w:val="00E277F4"/>
    <w:rsid w:val="00E27922"/>
    <w:rsid w:val="00E31B70"/>
    <w:rsid w:val="00E40463"/>
    <w:rsid w:val="00E409B0"/>
    <w:rsid w:val="00E4650A"/>
    <w:rsid w:val="00E515D9"/>
    <w:rsid w:val="00E5160D"/>
    <w:rsid w:val="00E54887"/>
    <w:rsid w:val="00E56C3E"/>
    <w:rsid w:val="00E5725A"/>
    <w:rsid w:val="00E63ADD"/>
    <w:rsid w:val="00E63EC2"/>
    <w:rsid w:val="00E673DA"/>
    <w:rsid w:val="00E6788F"/>
    <w:rsid w:val="00E679AF"/>
    <w:rsid w:val="00E7092B"/>
    <w:rsid w:val="00E731CC"/>
    <w:rsid w:val="00E73646"/>
    <w:rsid w:val="00E73879"/>
    <w:rsid w:val="00E7461B"/>
    <w:rsid w:val="00E754D1"/>
    <w:rsid w:val="00E768D0"/>
    <w:rsid w:val="00E8127A"/>
    <w:rsid w:val="00E82419"/>
    <w:rsid w:val="00E82602"/>
    <w:rsid w:val="00E922AE"/>
    <w:rsid w:val="00E935B5"/>
    <w:rsid w:val="00E93E7B"/>
    <w:rsid w:val="00E95D8B"/>
    <w:rsid w:val="00E97A4D"/>
    <w:rsid w:val="00EA15DA"/>
    <w:rsid w:val="00EA2350"/>
    <w:rsid w:val="00EA2A1B"/>
    <w:rsid w:val="00EA2FFB"/>
    <w:rsid w:val="00EA4AFD"/>
    <w:rsid w:val="00EB2CB7"/>
    <w:rsid w:val="00EB38B0"/>
    <w:rsid w:val="00EB6F2C"/>
    <w:rsid w:val="00EC3D00"/>
    <w:rsid w:val="00ED3432"/>
    <w:rsid w:val="00EE017C"/>
    <w:rsid w:val="00EE12BA"/>
    <w:rsid w:val="00EE611D"/>
    <w:rsid w:val="00EE7478"/>
    <w:rsid w:val="00EE78F0"/>
    <w:rsid w:val="00EE7922"/>
    <w:rsid w:val="00EE7A34"/>
    <w:rsid w:val="00EF1368"/>
    <w:rsid w:val="00EF6F12"/>
    <w:rsid w:val="00EF75BE"/>
    <w:rsid w:val="00F011E0"/>
    <w:rsid w:val="00F039E3"/>
    <w:rsid w:val="00F03F4E"/>
    <w:rsid w:val="00F04E71"/>
    <w:rsid w:val="00F0504B"/>
    <w:rsid w:val="00F05D47"/>
    <w:rsid w:val="00F10227"/>
    <w:rsid w:val="00F10F2D"/>
    <w:rsid w:val="00F14D45"/>
    <w:rsid w:val="00F16870"/>
    <w:rsid w:val="00F17060"/>
    <w:rsid w:val="00F17067"/>
    <w:rsid w:val="00F17318"/>
    <w:rsid w:val="00F20685"/>
    <w:rsid w:val="00F23B6C"/>
    <w:rsid w:val="00F246C8"/>
    <w:rsid w:val="00F25BE8"/>
    <w:rsid w:val="00F27EBA"/>
    <w:rsid w:val="00F327CE"/>
    <w:rsid w:val="00F333E7"/>
    <w:rsid w:val="00F34E10"/>
    <w:rsid w:val="00F40789"/>
    <w:rsid w:val="00F438ED"/>
    <w:rsid w:val="00F43DA5"/>
    <w:rsid w:val="00F44C36"/>
    <w:rsid w:val="00F45EA4"/>
    <w:rsid w:val="00F47D8C"/>
    <w:rsid w:val="00F521F0"/>
    <w:rsid w:val="00F543A2"/>
    <w:rsid w:val="00F54927"/>
    <w:rsid w:val="00F622E7"/>
    <w:rsid w:val="00F640F6"/>
    <w:rsid w:val="00F64FDE"/>
    <w:rsid w:val="00F651B6"/>
    <w:rsid w:val="00F70698"/>
    <w:rsid w:val="00F7183A"/>
    <w:rsid w:val="00F8091B"/>
    <w:rsid w:val="00F87447"/>
    <w:rsid w:val="00F9199D"/>
    <w:rsid w:val="00F9379E"/>
    <w:rsid w:val="00F97E7C"/>
    <w:rsid w:val="00FA2E50"/>
    <w:rsid w:val="00FA6B0F"/>
    <w:rsid w:val="00FA7748"/>
    <w:rsid w:val="00FB1B8D"/>
    <w:rsid w:val="00FB41D8"/>
    <w:rsid w:val="00FB587D"/>
    <w:rsid w:val="00FB58BA"/>
    <w:rsid w:val="00FB5FD8"/>
    <w:rsid w:val="00FB772B"/>
    <w:rsid w:val="00FC3645"/>
    <w:rsid w:val="00FC3673"/>
    <w:rsid w:val="00FC3954"/>
    <w:rsid w:val="00FC65B2"/>
    <w:rsid w:val="00FC7C1B"/>
    <w:rsid w:val="00FD26D4"/>
    <w:rsid w:val="00FD2828"/>
    <w:rsid w:val="00FD63BC"/>
    <w:rsid w:val="00FD6E80"/>
    <w:rsid w:val="00FE1AF8"/>
    <w:rsid w:val="00FE3485"/>
    <w:rsid w:val="00FE3A31"/>
    <w:rsid w:val="00FE59B3"/>
    <w:rsid w:val="00FE5EDC"/>
    <w:rsid w:val="00FE695C"/>
    <w:rsid w:val="00FE7E53"/>
    <w:rsid w:val="00FE7E5E"/>
    <w:rsid w:val="00FF511F"/>
    <w:rsid w:val="00FF6526"/>
    <w:rsid w:val="04F8A219"/>
    <w:rsid w:val="42D06414"/>
    <w:rsid w:val="5EA54290"/>
    <w:rsid w:val="6A1195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B3F"/>
    <w:rPr>
      <w:rFonts w:ascii="Arial" w:hAnsi="Arial"/>
    </w:rPr>
  </w:style>
  <w:style w:type="paragraph" w:styleId="Heading1">
    <w:name w:val="heading 1"/>
    <w:basedOn w:val="Normal"/>
    <w:next w:val="BodyIndent1"/>
    <w:link w:val="Heading1Char"/>
    <w:rsid w:val="00D66B3F"/>
    <w:pPr>
      <w:keepNext/>
      <w:numPr>
        <w:numId w:val="17"/>
      </w:numPr>
      <w:pBdr>
        <w:top w:val="single" w:sz="4" w:space="6" w:color="auto"/>
      </w:pBdr>
      <w:spacing w:before="480"/>
      <w:outlineLvl w:val="0"/>
    </w:pPr>
    <w:rPr>
      <w:rFonts w:cstheme="minorBidi"/>
      <w:b/>
      <w:kern w:val="28"/>
      <w:sz w:val="22"/>
      <w:lang w:eastAsia="en-US"/>
    </w:rPr>
  </w:style>
  <w:style w:type="paragraph" w:styleId="Heading2">
    <w:name w:val="heading 2"/>
    <w:basedOn w:val="Normal"/>
    <w:next w:val="BodyIndent1"/>
    <w:link w:val="Heading2Char"/>
    <w:rsid w:val="00D66B3F"/>
    <w:pPr>
      <w:keepNext/>
      <w:numPr>
        <w:ilvl w:val="1"/>
        <w:numId w:val="17"/>
      </w:numPr>
      <w:spacing w:before="240"/>
      <w:ind w:left="851"/>
      <w:outlineLvl w:val="1"/>
    </w:pPr>
    <w:rPr>
      <w:rFonts w:cstheme="minorBidi"/>
      <w:b/>
      <w:lang w:eastAsia="en-US"/>
    </w:rPr>
  </w:style>
  <w:style w:type="paragraph" w:styleId="Heading3">
    <w:name w:val="heading 3"/>
    <w:basedOn w:val="Normal"/>
    <w:link w:val="Heading3Char"/>
    <w:qFormat/>
    <w:rsid w:val="00D66B3F"/>
    <w:pPr>
      <w:numPr>
        <w:ilvl w:val="2"/>
        <w:numId w:val="17"/>
      </w:numPr>
      <w:spacing w:before="240"/>
      <w:outlineLvl w:val="2"/>
    </w:pPr>
    <w:rPr>
      <w:rFonts w:cstheme="minorBidi"/>
      <w:lang w:eastAsia="en-US"/>
    </w:rPr>
  </w:style>
  <w:style w:type="paragraph" w:styleId="Heading4">
    <w:name w:val="heading 4"/>
    <w:basedOn w:val="Normal"/>
    <w:link w:val="Heading4Char"/>
    <w:qFormat/>
    <w:rsid w:val="00D66B3F"/>
    <w:pPr>
      <w:numPr>
        <w:ilvl w:val="3"/>
        <w:numId w:val="17"/>
      </w:numPr>
      <w:spacing w:before="240"/>
      <w:outlineLvl w:val="3"/>
    </w:pPr>
    <w:rPr>
      <w:rFonts w:cstheme="minorBidi"/>
      <w:lang w:eastAsia="en-US"/>
    </w:rPr>
  </w:style>
  <w:style w:type="paragraph" w:styleId="Heading5">
    <w:name w:val="heading 5"/>
    <w:basedOn w:val="Normal"/>
    <w:link w:val="Heading5Char"/>
    <w:qFormat/>
    <w:rsid w:val="00D66B3F"/>
    <w:pPr>
      <w:numPr>
        <w:ilvl w:val="4"/>
        <w:numId w:val="17"/>
      </w:numPr>
      <w:spacing w:before="240"/>
      <w:outlineLvl w:val="4"/>
    </w:pPr>
    <w:rPr>
      <w:rFonts w:cstheme="minorBidi"/>
      <w:lang w:eastAsia="en-US"/>
    </w:rPr>
  </w:style>
  <w:style w:type="paragraph" w:styleId="Heading6">
    <w:name w:val="heading 6"/>
    <w:basedOn w:val="Heading2"/>
    <w:next w:val="Normal"/>
    <w:link w:val="Heading6Char"/>
    <w:qFormat/>
    <w:rsid w:val="00611819"/>
    <w:pPr>
      <w:outlineLvl w:val="5"/>
    </w:pPr>
    <w:rPr>
      <w:b w:val="0"/>
      <w:iCs/>
    </w:rPr>
  </w:style>
  <w:style w:type="paragraph" w:styleId="Heading7">
    <w:name w:val="heading 7"/>
    <w:basedOn w:val="Normal"/>
    <w:next w:val="Normal"/>
    <w:link w:val="Heading7Char"/>
    <w:qFormat/>
    <w:rsid w:val="00D66B3F"/>
    <w:pPr>
      <w:outlineLvl w:val="6"/>
    </w:pPr>
  </w:style>
  <w:style w:type="paragraph" w:styleId="Heading8">
    <w:name w:val="heading 8"/>
    <w:basedOn w:val="Normal"/>
    <w:next w:val="Normal"/>
    <w:link w:val="Heading8Char"/>
    <w:qFormat/>
    <w:rsid w:val="00D66B3F"/>
    <w:pPr>
      <w:outlineLvl w:val="7"/>
    </w:pPr>
    <w:rPr>
      <w:iCs/>
    </w:rPr>
  </w:style>
  <w:style w:type="paragraph" w:styleId="Heading9">
    <w:name w:val="heading 9"/>
    <w:basedOn w:val="Normal"/>
    <w:next w:val="Normal"/>
    <w:link w:val="Heading9Char"/>
    <w:qFormat/>
    <w:rsid w:val="00D66B3F"/>
    <w:pPr>
      <w:outlineLvl w:val="8"/>
    </w:pPr>
    <w:rPr>
      <w:bCs/>
      <w:i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numPr>
        <w:numId w:val="0"/>
      </w:numPr>
      <w:spacing w:before="60" w:after="240"/>
    </w:pPr>
    <w:rPr>
      <w:rFonts w:cs="Arial"/>
      <w:sz w:val="40"/>
      <w:szCs w:val="40"/>
    </w:rPr>
  </w:style>
  <w:style w:type="paragraph" w:customStyle="1" w:styleId="DHSHeadinglevel2">
    <w:name w:val="DHS Heading level 2"/>
    <w:basedOn w:val="Heading2"/>
    <w:next w:val="DHSBodytext"/>
    <w:qFormat/>
    <w:rsid w:val="00995023"/>
    <w:pPr>
      <w:numPr>
        <w:ilvl w:val="0"/>
        <w:numId w:val="0"/>
      </w:numPr>
      <w:spacing w:before="60" w:after="240"/>
    </w:pPr>
    <w:rPr>
      <w:rFonts w:cs="Arial"/>
      <w:i/>
      <w:color w:val="000000"/>
      <w:sz w:val="32"/>
    </w:rPr>
  </w:style>
  <w:style w:type="paragraph" w:customStyle="1" w:styleId="DHSHeadinglevel3">
    <w:name w:val="DHS Heading level 3"/>
    <w:basedOn w:val="Heading3"/>
    <w:next w:val="DHSBodytext"/>
    <w:qFormat/>
    <w:rsid w:val="00995023"/>
    <w:pPr>
      <w:spacing w:before="60" w:after="120"/>
    </w:pPr>
    <w:rPr>
      <w:rFonts w:cs="Arial"/>
      <w:b/>
      <w:sz w:val="28"/>
    </w:rPr>
  </w:style>
  <w:style w:type="paragraph" w:customStyle="1" w:styleId="DHSHeadinglevel4">
    <w:name w:val="DHS Heading level 4"/>
    <w:basedOn w:val="Heading4"/>
    <w:next w:val="DHSBodytext"/>
    <w:qFormat/>
    <w:rsid w:val="00995023"/>
    <w:pPr>
      <w:spacing w:before="60" w:after="120"/>
    </w:pPr>
    <w:rPr>
      <w:rFonts w:cs="Arial"/>
      <w:b/>
      <w:sz w:val="24"/>
      <w:szCs w:val="22"/>
    </w:rPr>
  </w:style>
  <w:style w:type="paragraph" w:customStyle="1" w:styleId="DHSBodytext">
    <w:name w:val="DHS Body text"/>
    <w:basedOn w:val="Normal"/>
    <w:qFormat/>
    <w:rsid w:val="00C025D8"/>
    <w:pPr>
      <w:spacing w:after="120"/>
    </w:pPr>
    <w:rPr>
      <w:rFonts w:cs="Arial"/>
      <w:sz w:val="22"/>
      <w:szCs w:val="22"/>
    </w:rPr>
  </w:style>
  <w:style w:type="paragraph" w:customStyle="1" w:styleId="DHSBulletslevel2">
    <w:name w:val="DHS Bullets level 2"/>
    <w:basedOn w:val="Normal"/>
    <w:qFormat/>
    <w:rsid w:val="00EE611D"/>
    <w:pPr>
      <w:numPr>
        <w:numId w:val="2"/>
      </w:numPr>
      <w:spacing w:after="120"/>
      <w:ind w:left="680" w:hanging="340"/>
    </w:pPr>
    <w:rPr>
      <w:rFonts w:cs="Arial"/>
      <w:sz w:val="22"/>
      <w:szCs w:val="22"/>
    </w:rPr>
  </w:style>
  <w:style w:type="paragraph" w:styleId="TOC1">
    <w:name w:val="toc 1"/>
    <w:basedOn w:val="Normal"/>
    <w:next w:val="Normal"/>
    <w:autoRedefine/>
    <w:uiPriority w:val="39"/>
    <w:rsid w:val="00893FF0"/>
    <w:pPr>
      <w:tabs>
        <w:tab w:val="right" w:leader="dot" w:pos="9628"/>
      </w:tabs>
      <w:spacing w:after="120"/>
    </w:pPr>
    <w:rPr>
      <w:b/>
      <w:sz w:val="22"/>
    </w:rPr>
  </w:style>
  <w:style w:type="paragraph" w:styleId="TOC2">
    <w:name w:val="toc 2"/>
    <w:basedOn w:val="Normal"/>
    <w:next w:val="Normal"/>
    <w:autoRedefine/>
    <w:uiPriority w:val="39"/>
    <w:rsid w:val="00E731CC"/>
    <w:pPr>
      <w:tabs>
        <w:tab w:val="left" w:pos="660"/>
        <w:tab w:val="right" w:leader="dot" w:pos="9628"/>
      </w:tabs>
      <w:spacing w:after="120"/>
      <w:ind w:left="238"/>
    </w:pPr>
    <w:rPr>
      <w:b/>
      <w:noProof/>
      <w:sz w:val="22"/>
    </w:rPr>
  </w:style>
  <w:style w:type="paragraph" w:styleId="TOC3">
    <w:name w:val="toc 3"/>
    <w:basedOn w:val="Normal"/>
    <w:next w:val="Normal"/>
    <w:autoRedefine/>
    <w:uiPriority w:val="39"/>
    <w:rsid w:val="001D0874"/>
    <w:pPr>
      <w:tabs>
        <w:tab w:val="left" w:pos="1320"/>
        <w:tab w:val="right" w:leader="dot" w:pos="9628"/>
      </w:tabs>
      <w:spacing w:after="120"/>
      <w:ind w:left="658"/>
    </w:pPr>
    <w:rPr>
      <w:sz w:val="22"/>
    </w:rPr>
  </w:style>
  <w:style w:type="character" w:styleId="Hyperlink">
    <w:name w:val="Hyperlink"/>
    <w:uiPriority w:val="99"/>
    <w:rsid w:val="009E3B3A"/>
    <w:rPr>
      <w:color w:val="0000FF"/>
      <w:u w:val="single"/>
    </w:rPr>
  </w:style>
  <w:style w:type="paragraph" w:customStyle="1" w:styleId="DHSNumberslevel1">
    <w:name w:val="DHS Numbers level 1"/>
    <w:basedOn w:val="Normal"/>
    <w:qFormat/>
    <w:rsid w:val="00EE611D"/>
    <w:pPr>
      <w:numPr>
        <w:numId w:val="3"/>
      </w:numPr>
      <w:spacing w:after="120"/>
      <w:ind w:left="357" w:hanging="357"/>
    </w:pPr>
    <w:rPr>
      <w:rFonts w:cs="Arial"/>
      <w:sz w:val="22"/>
      <w:szCs w:val="22"/>
    </w:rPr>
  </w:style>
  <w:style w:type="paragraph" w:customStyle="1" w:styleId="DHSNumberslevel2">
    <w:name w:val="DHS Numbers level 2"/>
    <w:basedOn w:val="DHSNumberslevel1"/>
    <w:qFormat/>
    <w:rsid w:val="00772C06"/>
    <w:pPr>
      <w:numPr>
        <w:numId w:val="4"/>
      </w:numPr>
      <w:ind w:left="680" w:hanging="340"/>
    </w:pPr>
  </w:style>
  <w:style w:type="character" w:customStyle="1" w:styleId="Heading1Char">
    <w:name w:val="Heading 1 Char"/>
    <w:basedOn w:val="DefaultParagraphFont"/>
    <w:link w:val="Heading1"/>
    <w:rsid w:val="00D66B3F"/>
    <w:rPr>
      <w:rFonts w:ascii="Arial" w:hAnsi="Arial" w:cstheme="minorBidi"/>
      <w:b/>
      <w:kern w:val="28"/>
      <w:sz w:val="22"/>
      <w:lang w:eastAsia="en-US"/>
    </w:rPr>
  </w:style>
  <w:style w:type="character" w:customStyle="1" w:styleId="Heading2Char">
    <w:name w:val="Heading 2 Char"/>
    <w:basedOn w:val="DefaultParagraphFont"/>
    <w:link w:val="Heading2"/>
    <w:rsid w:val="00D66B3F"/>
    <w:rPr>
      <w:rFonts w:ascii="Arial" w:hAnsi="Arial" w:cstheme="minorBidi"/>
      <w:b/>
      <w:lang w:eastAsia="en-US"/>
    </w:rPr>
  </w:style>
  <w:style w:type="character" w:customStyle="1" w:styleId="Heading3Char">
    <w:name w:val="Heading 3 Char"/>
    <w:basedOn w:val="DefaultParagraphFont"/>
    <w:link w:val="Heading3"/>
    <w:rsid w:val="00D66B3F"/>
    <w:rPr>
      <w:rFonts w:ascii="Arial" w:hAnsi="Arial" w:cstheme="minorBidi"/>
      <w:lang w:eastAsia="en-US"/>
    </w:rPr>
  </w:style>
  <w:style w:type="character" w:customStyle="1" w:styleId="Heading4Char">
    <w:name w:val="Heading 4 Char"/>
    <w:basedOn w:val="DefaultParagraphFont"/>
    <w:link w:val="Heading4"/>
    <w:rsid w:val="00D66B3F"/>
    <w:rPr>
      <w:rFonts w:ascii="Arial" w:hAnsi="Arial" w:cstheme="minorBidi"/>
      <w:lang w:eastAsia="en-US"/>
    </w:rPr>
  </w:style>
  <w:style w:type="paragraph" w:customStyle="1" w:styleId="DHSBulletslevel1">
    <w:name w:val="DHS Bullets level 1"/>
    <w:basedOn w:val="Normal"/>
    <w:qFormat/>
    <w:rsid w:val="00EE611D"/>
    <w:pPr>
      <w:numPr>
        <w:numId w:val="1"/>
      </w:numPr>
      <w:spacing w:after="120"/>
    </w:pPr>
    <w:rPr>
      <w:rFonts w:cs="Arial"/>
      <w:sz w:val="22"/>
      <w:szCs w:val="22"/>
    </w:rPr>
  </w:style>
  <w:style w:type="paragraph" w:customStyle="1" w:styleId="DHSHeading1">
    <w:name w:val="DHS Heading 1"/>
    <w:basedOn w:val="Heading1"/>
    <w:qFormat/>
    <w:rsid w:val="00294045"/>
    <w:pPr>
      <w:spacing w:before="0" w:after="240"/>
    </w:pPr>
    <w:rPr>
      <w:rFonts w:cs="Arial"/>
      <w:sz w:val="40"/>
      <w:szCs w:val="40"/>
    </w:rPr>
  </w:style>
  <w:style w:type="paragraph" w:customStyle="1" w:styleId="DHSHEADING2">
    <w:name w:val="DHS HEADING 2"/>
    <w:basedOn w:val="Heading2"/>
    <w:qFormat/>
    <w:rsid w:val="00294045"/>
    <w:pPr>
      <w:spacing w:before="0" w:after="120"/>
    </w:pPr>
    <w:rPr>
      <w:rFonts w:cs="Arial"/>
      <w:i/>
      <w:color w:val="000000"/>
      <w:sz w:val="32"/>
    </w:rPr>
  </w:style>
  <w:style w:type="paragraph" w:customStyle="1" w:styleId="DHSHeading3">
    <w:name w:val="DHS Heading 3"/>
    <w:basedOn w:val="Heading3"/>
    <w:qFormat/>
    <w:rsid w:val="00294045"/>
    <w:pPr>
      <w:spacing w:before="0" w:after="120"/>
    </w:pPr>
    <w:rPr>
      <w:rFonts w:cs="Arial"/>
      <w:b/>
      <w:sz w:val="28"/>
    </w:rPr>
  </w:style>
  <w:style w:type="paragraph" w:customStyle="1" w:styleId="DHSbodytext0">
    <w:name w:val="DHS body text"/>
    <w:basedOn w:val="BodyText"/>
    <w:autoRedefine/>
    <w:qFormat/>
    <w:rsid w:val="00562B2D"/>
    <w:pPr>
      <w:spacing w:before="120"/>
    </w:pPr>
    <w:rPr>
      <w:rFonts w:cs="Arial"/>
      <w:sz w:val="22"/>
      <w:szCs w:val="22"/>
    </w:rPr>
  </w:style>
  <w:style w:type="paragraph" w:customStyle="1" w:styleId="DHSbullets">
    <w:name w:val="DHS bullets"/>
    <w:basedOn w:val="BulletList"/>
    <w:link w:val="DHSbulletsChar"/>
    <w:qFormat/>
    <w:rsid w:val="00294045"/>
  </w:style>
  <w:style w:type="character" w:customStyle="1" w:styleId="DHSbulletsChar">
    <w:name w:val="DHS bullets Char"/>
    <w:link w:val="DHSbullets"/>
    <w:rsid w:val="00294045"/>
    <w:rPr>
      <w:rFonts w:ascii="Arial" w:hAnsi="Arial" w:cs="Arial"/>
      <w:sz w:val="22"/>
      <w:szCs w:val="22"/>
    </w:rPr>
  </w:style>
  <w:style w:type="paragraph" w:customStyle="1" w:styleId="BulletList">
    <w:name w:val="Bullet List"/>
    <w:basedOn w:val="Normal"/>
    <w:link w:val="BulletListChar"/>
    <w:rsid w:val="00294045"/>
    <w:pPr>
      <w:tabs>
        <w:tab w:val="num" w:pos="284"/>
      </w:tabs>
      <w:spacing w:after="120"/>
      <w:ind w:left="284" w:hanging="284"/>
    </w:pPr>
    <w:rPr>
      <w:rFonts w:cs="Arial"/>
      <w:sz w:val="22"/>
      <w:szCs w:val="22"/>
    </w:rPr>
  </w:style>
  <w:style w:type="character" w:customStyle="1" w:styleId="BulletListChar">
    <w:name w:val="Bullet List Char"/>
    <w:link w:val="BulletList"/>
    <w:rsid w:val="00294045"/>
    <w:rPr>
      <w:rFonts w:ascii="Arial" w:hAnsi="Arial" w:cs="Arial"/>
      <w:sz w:val="22"/>
      <w:szCs w:val="22"/>
    </w:rPr>
  </w:style>
  <w:style w:type="paragraph" w:customStyle="1" w:styleId="TableText">
    <w:name w:val="Table Text"/>
    <w:basedOn w:val="Normal"/>
    <w:link w:val="TableTextChar"/>
    <w:qFormat/>
    <w:rsid w:val="00294045"/>
    <w:rPr>
      <w:snapToGrid w:val="0"/>
      <w:lang w:val="en-US" w:eastAsia="en-US"/>
    </w:rPr>
  </w:style>
  <w:style w:type="character" w:customStyle="1" w:styleId="TableTextChar">
    <w:name w:val="Table Text Char"/>
    <w:link w:val="TableText"/>
    <w:locked/>
    <w:rsid w:val="00294045"/>
    <w:rPr>
      <w:rFonts w:ascii="Arial" w:hAnsi="Arial"/>
      <w:snapToGrid w:val="0"/>
      <w:sz w:val="24"/>
      <w:lang w:val="en-US" w:eastAsia="en-US"/>
    </w:rPr>
  </w:style>
  <w:style w:type="table" w:customStyle="1" w:styleId="TableGridLight1">
    <w:name w:val="Table Grid Light1"/>
    <w:basedOn w:val="TableNormal"/>
    <w:uiPriority w:val="40"/>
    <w:rsid w:val="00294045"/>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294045"/>
    <w:rPr>
      <w:i/>
      <w:iCs/>
    </w:rPr>
  </w:style>
  <w:style w:type="paragraph" w:styleId="BodyText">
    <w:name w:val="Body Text"/>
    <w:basedOn w:val="Normal"/>
    <w:link w:val="BodyTextChar"/>
    <w:rsid w:val="00294045"/>
    <w:pPr>
      <w:spacing w:after="120"/>
    </w:pPr>
  </w:style>
  <w:style w:type="character" w:customStyle="1" w:styleId="BodyTextChar">
    <w:name w:val="Body Text Char"/>
    <w:basedOn w:val="DefaultParagraphFont"/>
    <w:link w:val="BodyText"/>
    <w:rsid w:val="00294045"/>
    <w:rPr>
      <w:sz w:val="24"/>
      <w:szCs w:val="24"/>
    </w:rPr>
  </w:style>
  <w:style w:type="paragraph" w:styleId="BalloonText">
    <w:name w:val="Balloon Text"/>
    <w:basedOn w:val="Normal"/>
    <w:link w:val="BalloonTextChar"/>
    <w:rsid w:val="008E2335"/>
    <w:rPr>
      <w:rFonts w:ascii="Segoe UI" w:hAnsi="Segoe UI" w:cs="Segoe UI"/>
      <w:sz w:val="18"/>
      <w:szCs w:val="18"/>
    </w:rPr>
  </w:style>
  <w:style w:type="character" w:customStyle="1" w:styleId="BalloonTextChar">
    <w:name w:val="Balloon Text Char"/>
    <w:basedOn w:val="DefaultParagraphFont"/>
    <w:link w:val="BalloonText"/>
    <w:rsid w:val="008E2335"/>
    <w:rPr>
      <w:rFonts w:ascii="Segoe UI" w:hAnsi="Segoe UI" w:cs="Segoe UI"/>
      <w:sz w:val="18"/>
      <w:szCs w:val="18"/>
    </w:rPr>
  </w:style>
  <w:style w:type="character" w:styleId="CommentReference">
    <w:name w:val="annotation reference"/>
    <w:basedOn w:val="DefaultParagraphFont"/>
    <w:uiPriority w:val="99"/>
    <w:rsid w:val="0048319C"/>
    <w:rPr>
      <w:sz w:val="16"/>
      <w:szCs w:val="16"/>
    </w:rPr>
  </w:style>
  <w:style w:type="paragraph" w:styleId="CommentText">
    <w:name w:val="annotation text"/>
    <w:basedOn w:val="Normal"/>
    <w:link w:val="CommentTextChar"/>
    <w:uiPriority w:val="99"/>
    <w:rsid w:val="0048319C"/>
  </w:style>
  <w:style w:type="character" w:customStyle="1" w:styleId="CommentTextChar">
    <w:name w:val="Comment Text Char"/>
    <w:basedOn w:val="DefaultParagraphFont"/>
    <w:link w:val="CommentText"/>
    <w:uiPriority w:val="99"/>
    <w:rsid w:val="0048319C"/>
  </w:style>
  <w:style w:type="paragraph" w:styleId="CommentSubject">
    <w:name w:val="annotation subject"/>
    <w:basedOn w:val="CommentText"/>
    <w:next w:val="CommentText"/>
    <w:link w:val="CommentSubjectChar"/>
    <w:rsid w:val="0048319C"/>
    <w:rPr>
      <w:b/>
      <w:bCs/>
    </w:rPr>
  </w:style>
  <w:style w:type="character" w:customStyle="1" w:styleId="CommentSubjectChar">
    <w:name w:val="Comment Subject Char"/>
    <w:basedOn w:val="CommentTextChar"/>
    <w:link w:val="CommentSubject"/>
    <w:rsid w:val="0048319C"/>
    <w:rPr>
      <w:b/>
      <w:bCs/>
    </w:rPr>
  </w:style>
  <w:style w:type="paragraph" w:styleId="Revision">
    <w:name w:val="Revision"/>
    <w:hidden/>
    <w:uiPriority w:val="99"/>
    <w:semiHidden/>
    <w:rsid w:val="00AF39AA"/>
    <w:rPr>
      <w:sz w:val="24"/>
      <w:szCs w:val="24"/>
    </w:rPr>
  </w:style>
  <w:style w:type="paragraph" w:styleId="ListParagraph">
    <w:name w:val="List Paragraph"/>
    <w:aliases w:val="L,List Paragraph1,Recommendation,AR bullet 1,List Bullet Cab,CAB - List Bullet,List Paragraph11,Figure_name,Equipment,Numbered Indented Text,List Paragraph2,Bullet point,List Paragraph Number,Bullet- First level,List NUmber,Listenabsatz1"/>
    <w:basedOn w:val="Normal"/>
    <w:link w:val="ListParagraphChar"/>
    <w:uiPriority w:val="34"/>
    <w:qFormat/>
    <w:rsid w:val="00C35459"/>
    <w:pPr>
      <w:ind w:left="720"/>
      <w:contextualSpacing/>
    </w:pPr>
  </w:style>
  <w:style w:type="character" w:customStyle="1" w:styleId="ListParagraphChar">
    <w:name w:val="List Paragraph Char"/>
    <w:aliases w:val="L Char,List Paragraph1 Char,Recommendation Char,AR bullet 1 Char,List Bullet Cab Char,CAB - List Bullet Char,List Paragraph11 Char,Figure_name Char,Equipment Char,Numbered Indented Text Char,List Paragraph2 Char,Bullet point Char"/>
    <w:basedOn w:val="DefaultParagraphFont"/>
    <w:link w:val="ListParagraph"/>
    <w:uiPriority w:val="34"/>
    <w:locked/>
    <w:rsid w:val="00F05D47"/>
    <w:rPr>
      <w:sz w:val="24"/>
      <w:szCs w:val="24"/>
    </w:rPr>
  </w:style>
  <w:style w:type="paragraph" w:customStyle="1" w:styleId="DHSBodyText1">
    <w:name w:val="DHS Body Text"/>
    <w:basedOn w:val="BodyText"/>
    <w:qFormat/>
    <w:rsid w:val="0072642B"/>
    <w:rPr>
      <w:rFonts w:cs="Arial"/>
      <w:sz w:val="22"/>
    </w:rPr>
  </w:style>
  <w:style w:type="paragraph" w:styleId="BodyTextIndent">
    <w:name w:val="Body Text Indent"/>
    <w:basedOn w:val="Normal"/>
    <w:link w:val="BodyTextIndentChar"/>
    <w:rsid w:val="001F2AE0"/>
    <w:pPr>
      <w:spacing w:after="120"/>
      <w:ind w:left="283"/>
    </w:pPr>
  </w:style>
  <w:style w:type="character" w:customStyle="1" w:styleId="BodyTextIndentChar">
    <w:name w:val="Body Text Indent Char"/>
    <w:basedOn w:val="DefaultParagraphFont"/>
    <w:link w:val="BodyTextIndent"/>
    <w:rsid w:val="001F2AE0"/>
    <w:rPr>
      <w:sz w:val="24"/>
      <w:szCs w:val="24"/>
    </w:rPr>
  </w:style>
  <w:style w:type="paragraph" w:styleId="BlockText">
    <w:name w:val="Block Text"/>
    <w:basedOn w:val="Normal"/>
    <w:unhideWhenUsed/>
    <w:rsid w:val="001F2AE0"/>
    <w:pPr>
      <w:widowControl w:val="0"/>
      <w:tabs>
        <w:tab w:val="left" w:pos="284"/>
      </w:tabs>
      <w:autoSpaceDE w:val="0"/>
      <w:autoSpaceDN w:val="0"/>
      <w:adjustRightInd w:val="0"/>
      <w:spacing w:before="60" w:after="60"/>
      <w:ind w:left="284" w:right="471" w:hanging="426"/>
    </w:pPr>
    <w:rPr>
      <w:lang w:eastAsia="en-US"/>
    </w:rPr>
  </w:style>
  <w:style w:type="paragraph" w:styleId="FootnoteText">
    <w:name w:val="footnote text"/>
    <w:basedOn w:val="Normal"/>
    <w:link w:val="FootnoteTextChar"/>
    <w:uiPriority w:val="99"/>
    <w:rsid w:val="00D07BC7"/>
  </w:style>
  <w:style w:type="character" w:customStyle="1" w:styleId="FootnoteTextChar">
    <w:name w:val="Footnote Text Char"/>
    <w:basedOn w:val="DefaultParagraphFont"/>
    <w:link w:val="FootnoteText"/>
    <w:uiPriority w:val="99"/>
    <w:rsid w:val="00D07BC7"/>
  </w:style>
  <w:style w:type="character" w:styleId="FootnoteReference">
    <w:name w:val="footnote reference"/>
    <w:basedOn w:val="DefaultParagraphFont"/>
    <w:uiPriority w:val="99"/>
    <w:rsid w:val="00D07BC7"/>
    <w:rPr>
      <w:vertAlign w:val="superscript"/>
    </w:rPr>
  </w:style>
  <w:style w:type="paragraph" w:customStyle="1" w:styleId="DHSTableBody">
    <w:name w:val="DHS Table Body"/>
    <w:basedOn w:val="Normal"/>
    <w:uiPriority w:val="99"/>
    <w:rsid w:val="002D2738"/>
    <w:pPr>
      <w:spacing w:before="120" w:after="120"/>
    </w:pPr>
    <w:rPr>
      <w:rFonts w:eastAsiaTheme="minorHAnsi" w:cs="Arial"/>
    </w:rPr>
  </w:style>
  <w:style w:type="character" w:customStyle="1" w:styleId="Heading5Char">
    <w:name w:val="Heading 5 Char"/>
    <w:basedOn w:val="DefaultParagraphFont"/>
    <w:link w:val="Heading5"/>
    <w:rsid w:val="00D66B3F"/>
    <w:rPr>
      <w:rFonts w:ascii="Arial" w:hAnsi="Arial" w:cstheme="minorBidi"/>
      <w:lang w:eastAsia="en-US"/>
    </w:rPr>
  </w:style>
  <w:style w:type="character" w:customStyle="1" w:styleId="Heading6Char">
    <w:name w:val="Heading 6 Char"/>
    <w:basedOn w:val="DefaultParagraphFont"/>
    <w:link w:val="Heading6"/>
    <w:rsid w:val="00611819"/>
    <w:rPr>
      <w:rFonts w:ascii="Arial" w:hAnsi="Arial" w:cstheme="minorBidi"/>
      <w:iCs/>
      <w:lang w:eastAsia="en-US"/>
    </w:rPr>
  </w:style>
  <w:style w:type="character" w:customStyle="1" w:styleId="Heading7Char">
    <w:name w:val="Heading 7 Char"/>
    <w:basedOn w:val="DefaultParagraphFont"/>
    <w:link w:val="Heading7"/>
    <w:rsid w:val="00D66B3F"/>
    <w:rPr>
      <w:rFonts w:ascii="Arial" w:hAnsi="Arial"/>
    </w:rPr>
  </w:style>
  <w:style w:type="character" w:customStyle="1" w:styleId="Heading8Char">
    <w:name w:val="Heading 8 Char"/>
    <w:basedOn w:val="DefaultParagraphFont"/>
    <w:link w:val="Heading8"/>
    <w:uiPriority w:val="9"/>
    <w:rsid w:val="00D66B3F"/>
    <w:rPr>
      <w:rFonts w:ascii="Arial" w:hAnsi="Arial"/>
      <w:iCs/>
    </w:rPr>
  </w:style>
  <w:style w:type="character" w:customStyle="1" w:styleId="Heading9Char">
    <w:name w:val="Heading 9 Char"/>
    <w:basedOn w:val="DefaultParagraphFont"/>
    <w:link w:val="Heading9"/>
    <w:rsid w:val="00D66B3F"/>
    <w:rPr>
      <w:rFonts w:ascii="Arial" w:hAnsi="Arial"/>
      <w:bCs/>
      <w:iCs/>
      <w:szCs w:val="18"/>
    </w:rPr>
  </w:style>
  <w:style w:type="paragraph" w:customStyle="1" w:styleId="Bullet1">
    <w:name w:val="Bullet1"/>
    <w:basedOn w:val="Normal"/>
    <w:qFormat/>
    <w:rsid w:val="00D66B3F"/>
    <w:pPr>
      <w:numPr>
        <w:numId w:val="6"/>
      </w:numPr>
      <w:spacing w:before="240"/>
    </w:pPr>
  </w:style>
  <w:style w:type="paragraph" w:customStyle="1" w:styleId="Bullet2">
    <w:name w:val="Bullet2"/>
    <w:basedOn w:val="Normal"/>
    <w:qFormat/>
    <w:rsid w:val="00D66B3F"/>
    <w:pPr>
      <w:numPr>
        <w:numId w:val="7"/>
      </w:numPr>
      <w:spacing w:before="240"/>
    </w:pPr>
  </w:style>
  <w:style w:type="paragraph" w:customStyle="1" w:styleId="BodyIndent1">
    <w:name w:val="Body Indent 1"/>
    <w:basedOn w:val="Normal"/>
    <w:qFormat/>
    <w:rsid w:val="00D66B3F"/>
    <w:pPr>
      <w:spacing w:before="240"/>
      <w:ind w:left="851"/>
    </w:pPr>
    <w:rPr>
      <w:rFonts w:cs="Arial"/>
    </w:rPr>
  </w:style>
  <w:style w:type="paragraph" w:customStyle="1" w:styleId="Numpara3">
    <w:name w:val="Numpara3"/>
    <w:basedOn w:val="Normal"/>
    <w:qFormat/>
    <w:rsid w:val="00D66B3F"/>
    <w:pPr>
      <w:numPr>
        <w:ilvl w:val="2"/>
        <w:numId w:val="5"/>
      </w:numPr>
      <w:spacing w:before="240"/>
    </w:pPr>
    <w:rPr>
      <w:rFonts w:cs="Arial"/>
      <w:szCs w:val="22"/>
    </w:rPr>
  </w:style>
  <w:style w:type="paragraph" w:customStyle="1" w:styleId="correspQuote">
    <w:name w:val="correspQuote"/>
    <w:basedOn w:val="Normal"/>
    <w:qFormat/>
    <w:rsid w:val="00D66B3F"/>
    <w:pPr>
      <w:spacing w:before="240"/>
      <w:ind w:left="851" w:right="851"/>
    </w:pPr>
    <w:rPr>
      <w:sz w:val="18"/>
    </w:rPr>
  </w:style>
  <w:style w:type="paragraph" w:customStyle="1" w:styleId="correspTableText">
    <w:name w:val="correspTableText"/>
    <w:basedOn w:val="Normal"/>
    <w:rsid w:val="00D66B3F"/>
    <w:rPr>
      <w:sz w:val="18"/>
    </w:rPr>
  </w:style>
  <w:style w:type="paragraph" w:customStyle="1" w:styleId="BodyIndent2">
    <w:name w:val="Body Indent 2"/>
    <w:basedOn w:val="Normal"/>
    <w:qFormat/>
    <w:rsid w:val="00D66B3F"/>
    <w:pPr>
      <w:spacing w:before="240"/>
      <w:ind w:left="1701"/>
    </w:pPr>
  </w:style>
  <w:style w:type="paragraph" w:customStyle="1" w:styleId="BodyIndent3">
    <w:name w:val="Body Indent 3"/>
    <w:basedOn w:val="Normal"/>
    <w:qFormat/>
    <w:rsid w:val="00D66B3F"/>
    <w:pPr>
      <w:spacing w:before="240"/>
      <w:ind w:left="2268"/>
    </w:pPr>
  </w:style>
  <w:style w:type="paragraph" w:customStyle="1" w:styleId="Numpara1">
    <w:name w:val="Numpara1"/>
    <w:basedOn w:val="Normal"/>
    <w:qFormat/>
    <w:rsid w:val="00D66B3F"/>
    <w:pPr>
      <w:numPr>
        <w:numId w:val="5"/>
      </w:numPr>
      <w:spacing w:before="240"/>
    </w:pPr>
    <w:rPr>
      <w:rFonts w:cs="Arial"/>
      <w:szCs w:val="22"/>
    </w:rPr>
  </w:style>
  <w:style w:type="paragraph" w:customStyle="1" w:styleId="Numpara2">
    <w:name w:val="Numpara2"/>
    <w:basedOn w:val="Normal"/>
    <w:qFormat/>
    <w:rsid w:val="00D66B3F"/>
    <w:pPr>
      <w:numPr>
        <w:ilvl w:val="1"/>
        <w:numId w:val="5"/>
      </w:numPr>
      <w:spacing w:before="240"/>
    </w:pPr>
    <w:rPr>
      <w:rFonts w:cs="Arial"/>
      <w:szCs w:val="22"/>
    </w:rPr>
  </w:style>
  <w:style w:type="paragraph" w:customStyle="1" w:styleId="Bullet3">
    <w:name w:val="Bullet3"/>
    <w:basedOn w:val="Normal"/>
    <w:qFormat/>
    <w:rsid w:val="00D66B3F"/>
    <w:pPr>
      <w:numPr>
        <w:numId w:val="8"/>
      </w:numPr>
      <w:spacing w:before="240"/>
    </w:pPr>
  </w:style>
  <w:style w:type="paragraph" w:customStyle="1" w:styleId="pageNumber">
    <w:name w:val="pageNumber"/>
    <w:basedOn w:val="Normal"/>
    <w:qFormat/>
    <w:rsid w:val="00D66B3F"/>
    <w:pPr>
      <w:tabs>
        <w:tab w:val="right" w:pos="9072"/>
      </w:tabs>
    </w:pPr>
    <w:rPr>
      <w:sz w:val="14"/>
      <w:szCs w:val="14"/>
    </w:rPr>
  </w:style>
  <w:style w:type="paragraph" w:customStyle="1" w:styleId="Numpara4">
    <w:name w:val="Numpara4"/>
    <w:basedOn w:val="Normal"/>
    <w:qFormat/>
    <w:rsid w:val="00D66B3F"/>
    <w:pPr>
      <w:numPr>
        <w:ilvl w:val="3"/>
        <w:numId w:val="5"/>
      </w:numPr>
      <w:spacing w:before="240"/>
    </w:pPr>
    <w:rPr>
      <w:rFonts w:cs="Arial"/>
      <w:szCs w:val="22"/>
    </w:rPr>
  </w:style>
  <w:style w:type="paragraph" w:customStyle="1" w:styleId="correspHeading">
    <w:name w:val="correspHeading"/>
    <w:basedOn w:val="Normal"/>
    <w:next w:val="Normal"/>
    <w:qFormat/>
    <w:rsid w:val="00D66B3F"/>
    <w:pPr>
      <w:keepNext/>
      <w:pBdr>
        <w:top w:val="single" w:sz="4" w:space="6" w:color="82002A"/>
      </w:pBdr>
      <w:spacing w:before="240"/>
    </w:pPr>
    <w:rPr>
      <w:b/>
      <w:color w:val="82002A"/>
      <w:sz w:val="22"/>
      <w:szCs w:val="21"/>
    </w:rPr>
  </w:style>
  <w:style w:type="table" w:customStyle="1" w:styleId="MadTabPlumGrid">
    <w:name w:val="MadTabPlumGrid"/>
    <w:basedOn w:val="TableNormal"/>
    <w:uiPriority w:val="99"/>
    <w:rsid w:val="00D66B3F"/>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66B3F"/>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table" w:styleId="TableGrid">
    <w:name w:val="Table Grid"/>
    <w:basedOn w:val="TableNormal"/>
    <w:uiPriority w:val="39"/>
    <w:rsid w:val="00D66B3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D713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ainTitle">
    <w:name w:val="mainTitle"/>
    <w:basedOn w:val="Normal"/>
    <w:next w:val="Normal"/>
    <w:qFormat/>
    <w:rsid w:val="00E066AF"/>
    <w:pPr>
      <w:pBdr>
        <w:top w:val="single" w:sz="4" w:space="1" w:color="auto"/>
      </w:pBdr>
    </w:pPr>
    <w:rPr>
      <w:b/>
      <w:sz w:val="34"/>
    </w:rPr>
  </w:style>
  <w:style w:type="paragraph" w:customStyle="1" w:styleId="legalAttachment">
    <w:name w:val="legalAttachment"/>
    <w:basedOn w:val="Normal"/>
    <w:next w:val="Normal"/>
    <w:qFormat/>
    <w:rsid w:val="00262BB5"/>
    <w:pPr>
      <w:pageBreakBefore/>
      <w:numPr>
        <w:numId w:val="10"/>
      </w:numPr>
      <w:pBdr>
        <w:top w:val="single" w:sz="4" w:space="1" w:color="auto"/>
      </w:pBdr>
    </w:pPr>
    <w:rPr>
      <w:b/>
      <w:sz w:val="34"/>
      <w:lang w:eastAsia="en-US"/>
    </w:rPr>
  </w:style>
  <w:style w:type="paragraph" w:customStyle="1" w:styleId="legalPart">
    <w:name w:val="legalPart"/>
    <w:basedOn w:val="Normal"/>
    <w:next w:val="Normal"/>
    <w:qFormat/>
    <w:rsid w:val="00104692"/>
    <w:pPr>
      <w:keepNext/>
      <w:numPr>
        <w:numId w:val="14"/>
      </w:numPr>
      <w:pBdr>
        <w:top w:val="single" w:sz="4" w:space="6" w:color="82002A"/>
      </w:pBdr>
      <w:spacing w:before="480" w:after="480"/>
    </w:pPr>
    <w:rPr>
      <w:b/>
      <w:color w:val="82002A"/>
      <w:sz w:val="36"/>
      <w:szCs w:val="36"/>
      <w:lang w:eastAsia="en-US"/>
    </w:rPr>
  </w:style>
  <w:style w:type="paragraph" w:styleId="TOC4">
    <w:name w:val="toc 4"/>
    <w:basedOn w:val="Normal"/>
    <w:next w:val="Normal"/>
    <w:autoRedefine/>
    <w:uiPriority w:val="39"/>
    <w:unhideWhenUsed/>
    <w:rsid w:val="00DD617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D617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D617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D617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D617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D617D"/>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DD617D"/>
    <w:rPr>
      <w:color w:val="605E5C"/>
      <w:shd w:val="clear" w:color="auto" w:fill="E1DFDD"/>
    </w:rPr>
  </w:style>
  <w:style w:type="paragraph" w:customStyle="1" w:styleId="Headingpara2">
    <w:name w:val="Headingpara2"/>
    <w:basedOn w:val="Heading2"/>
    <w:qFormat/>
    <w:rsid w:val="00827F60"/>
    <w:pPr>
      <w:keepNext w:val="0"/>
      <w:numPr>
        <w:ilvl w:val="0"/>
        <w:numId w:val="0"/>
      </w:numPr>
    </w:pPr>
    <w:rPr>
      <w:b w:val="0"/>
    </w:rPr>
  </w:style>
  <w:style w:type="paragraph" w:customStyle="1" w:styleId="IndentParaLevel1">
    <w:name w:val="IndentParaLevel1"/>
    <w:basedOn w:val="Normal"/>
    <w:rsid w:val="00C72AFE"/>
    <w:pPr>
      <w:numPr>
        <w:numId w:val="22"/>
      </w:numPr>
      <w:spacing w:after="120" w:line="288" w:lineRule="auto"/>
    </w:pPr>
    <w:rPr>
      <w:rFonts w:eastAsiaTheme="minorHAnsi" w:cs="Arial"/>
      <w:lang w:eastAsia="en-US"/>
    </w:rPr>
  </w:style>
  <w:style w:type="paragraph" w:customStyle="1" w:styleId="IndentParaLevel2">
    <w:name w:val="IndentParaLevel2"/>
    <w:basedOn w:val="Normal"/>
    <w:rsid w:val="00C72AFE"/>
    <w:pPr>
      <w:numPr>
        <w:ilvl w:val="1"/>
        <w:numId w:val="22"/>
      </w:numPr>
      <w:spacing w:after="240" w:line="288" w:lineRule="auto"/>
    </w:pPr>
    <w:rPr>
      <w:rFonts w:eastAsiaTheme="minorHAnsi" w:cs="Arial"/>
      <w:lang w:eastAsia="en-US"/>
    </w:rPr>
  </w:style>
  <w:style w:type="paragraph" w:customStyle="1" w:styleId="IndentParaLevel3">
    <w:name w:val="IndentParaLevel3"/>
    <w:basedOn w:val="Normal"/>
    <w:rsid w:val="00C72AFE"/>
    <w:pPr>
      <w:numPr>
        <w:ilvl w:val="2"/>
        <w:numId w:val="22"/>
      </w:numPr>
      <w:spacing w:after="240" w:line="288" w:lineRule="auto"/>
    </w:pPr>
    <w:rPr>
      <w:rFonts w:eastAsiaTheme="minorHAnsi" w:cs="Arial"/>
      <w:lang w:eastAsia="en-US"/>
    </w:rPr>
  </w:style>
  <w:style w:type="paragraph" w:customStyle="1" w:styleId="IndentParaLevel4">
    <w:name w:val="IndentParaLevel4"/>
    <w:basedOn w:val="Normal"/>
    <w:rsid w:val="00C72AFE"/>
    <w:pPr>
      <w:numPr>
        <w:ilvl w:val="3"/>
        <w:numId w:val="22"/>
      </w:numPr>
      <w:spacing w:after="240" w:line="288" w:lineRule="auto"/>
    </w:pPr>
    <w:rPr>
      <w:rFonts w:eastAsiaTheme="minorHAnsi" w:cs="Arial"/>
      <w:lang w:eastAsia="en-US"/>
    </w:rPr>
  </w:style>
  <w:style w:type="paragraph" w:customStyle="1" w:styleId="IndentParaLevel5">
    <w:name w:val="IndentParaLevel5"/>
    <w:basedOn w:val="Normal"/>
    <w:rsid w:val="00C72AFE"/>
    <w:pPr>
      <w:numPr>
        <w:ilvl w:val="4"/>
        <w:numId w:val="22"/>
      </w:numPr>
      <w:spacing w:after="240" w:line="288" w:lineRule="auto"/>
    </w:pPr>
    <w:rPr>
      <w:rFonts w:eastAsiaTheme="minorHAnsi" w:cs="Arial"/>
      <w:lang w:eastAsia="en-US"/>
    </w:rPr>
  </w:style>
  <w:style w:type="paragraph" w:customStyle="1" w:styleId="IndentParaLevel6">
    <w:name w:val="IndentParaLevel6"/>
    <w:basedOn w:val="Normal"/>
    <w:rsid w:val="00C72AFE"/>
    <w:pPr>
      <w:numPr>
        <w:ilvl w:val="5"/>
        <w:numId w:val="22"/>
      </w:numPr>
      <w:spacing w:after="240" w:line="288" w:lineRule="auto"/>
    </w:pPr>
    <w:rPr>
      <w:rFonts w:eastAsiaTheme="minorHAnsi" w:cs="Arial"/>
      <w:lang w:eastAsia="en-US"/>
    </w:rPr>
  </w:style>
  <w:style w:type="character" w:styleId="FollowedHyperlink">
    <w:name w:val="FollowedHyperlink"/>
    <w:basedOn w:val="DefaultParagraphFont"/>
    <w:rsid w:val="00F9379E"/>
    <w:rPr>
      <w:color w:val="954F72" w:themeColor="followedHyperlink"/>
      <w:u w:val="single"/>
    </w:rPr>
  </w:style>
  <w:style w:type="character" w:customStyle="1" w:styleId="HeaderChar">
    <w:name w:val="Header Char"/>
    <w:basedOn w:val="DefaultParagraphFont"/>
    <w:link w:val="Header"/>
    <w:rsid w:val="002F0A59"/>
    <w:rPr>
      <w:rFonts w:ascii="Arial" w:hAnsi="Arial"/>
    </w:rPr>
  </w:style>
  <w:style w:type="paragraph" w:customStyle="1" w:styleId="boldheadingnonumbering">
    <w:name w:val="bold heading no numbering"/>
    <w:basedOn w:val="Normal"/>
    <w:link w:val="boldheadingnonumberingChar"/>
    <w:qFormat/>
    <w:rsid w:val="002F0A59"/>
    <w:pPr>
      <w:widowControl w:val="0"/>
      <w:autoSpaceDE w:val="0"/>
      <w:autoSpaceDN w:val="0"/>
      <w:adjustRightInd w:val="0"/>
      <w:ind w:left="33" w:right="130"/>
    </w:pPr>
    <w:rPr>
      <w:rFonts w:eastAsiaTheme="minorHAnsi" w:cs="Arial"/>
      <w:b/>
      <w:color w:val="008084"/>
      <w:sz w:val="24"/>
      <w:szCs w:val="22"/>
    </w:rPr>
  </w:style>
  <w:style w:type="character" w:customStyle="1" w:styleId="boldheadingnonumberingChar">
    <w:name w:val="bold heading no numbering Char"/>
    <w:basedOn w:val="DefaultParagraphFont"/>
    <w:link w:val="boldheadingnonumbering"/>
    <w:rsid w:val="002F0A59"/>
    <w:rPr>
      <w:rFonts w:ascii="Arial" w:eastAsiaTheme="minorHAnsi" w:hAnsi="Arial" w:cs="Arial"/>
      <w:b/>
      <w:color w:val="008084"/>
      <w:sz w:val="24"/>
      <w:szCs w:val="22"/>
    </w:rPr>
  </w:style>
  <w:style w:type="paragraph" w:customStyle="1" w:styleId="DefaultText">
    <w:name w:val="Default Text"/>
    <w:basedOn w:val="Normal"/>
    <w:link w:val="DefaultTextChar1"/>
    <w:rsid w:val="002F0A59"/>
    <w:pPr>
      <w:autoSpaceDE w:val="0"/>
      <w:autoSpaceDN w:val="0"/>
      <w:adjustRightInd w:val="0"/>
    </w:pPr>
    <w:rPr>
      <w:rFonts w:ascii="Times New Roman" w:eastAsiaTheme="minorHAnsi" w:hAnsi="Times New Roman"/>
      <w:sz w:val="24"/>
      <w:szCs w:val="24"/>
    </w:rPr>
  </w:style>
  <w:style w:type="paragraph" w:customStyle="1" w:styleId="BodySingle">
    <w:name w:val="Body Single"/>
    <w:basedOn w:val="Normal"/>
    <w:rsid w:val="002F0A59"/>
    <w:pPr>
      <w:autoSpaceDE w:val="0"/>
      <w:autoSpaceDN w:val="0"/>
      <w:adjustRightInd w:val="0"/>
      <w:spacing w:before="120" w:after="120"/>
    </w:pPr>
    <w:rPr>
      <w:rFonts w:eastAsia="MS Mincho" w:cs="Arial"/>
      <w:sz w:val="24"/>
      <w:szCs w:val="36"/>
      <w:lang w:val="en-US"/>
    </w:rPr>
  </w:style>
  <w:style w:type="character" w:styleId="Strong">
    <w:name w:val="Strong"/>
    <w:basedOn w:val="DefaultParagraphFont"/>
    <w:uiPriority w:val="22"/>
    <w:qFormat/>
    <w:rsid w:val="002F0A59"/>
    <w:rPr>
      <w:b w:val="0"/>
      <w:bCs w:val="0"/>
      <w:i w:val="0"/>
      <w:iCs w:val="0"/>
    </w:rPr>
  </w:style>
  <w:style w:type="character" w:customStyle="1" w:styleId="DefaultTextChar1">
    <w:name w:val="Default Text Char1"/>
    <w:basedOn w:val="DefaultParagraphFont"/>
    <w:link w:val="DefaultText"/>
    <w:locked/>
    <w:rsid w:val="002F0A59"/>
    <w:rPr>
      <w:rFonts w:eastAsiaTheme="minorHAnsi"/>
      <w:sz w:val="24"/>
      <w:szCs w:val="24"/>
    </w:rPr>
  </w:style>
  <w:style w:type="character" w:customStyle="1" w:styleId="BRSNormalChar">
    <w:name w:val="BRS Normal Char"/>
    <w:basedOn w:val="DefaultParagraphFont"/>
    <w:link w:val="BRSNormal"/>
    <w:locked/>
    <w:rsid w:val="002F0A59"/>
    <w:rPr>
      <w:rFonts w:ascii="Arial" w:hAnsi="Arial" w:cs="Arial"/>
    </w:rPr>
  </w:style>
  <w:style w:type="paragraph" w:customStyle="1" w:styleId="BRSNormal">
    <w:name w:val="BRS Normal"/>
    <w:basedOn w:val="NormalIndent"/>
    <w:link w:val="BRSNormalChar"/>
    <w:qFormat/>
    <w:rsid w:val="002F0A59"/>
    <w:pPr>
      <w:spacing w:before="60" w:after="60"/>
      <w:ind w:left="0"/>
    </w:pPr>
    <w:rPr>
      <w:rFonts w:cs="Arial"/>
    </w:rPr>
  </w:style>
  <w:style w:type="paragraph" w:styleId="NormalIndent">
    <w:name w:val="Normal Indent"/>
    <w:basedOn w:val="Normal"/>
    <w:semiHidden/>
    <w:unhideWhenUsed/>
    <w:rsid w:val="002F0A59"/>
    <w:pPr>
      <w:ind w:left="720"/>
    </w:pPr>
  </w:style>
  <w:style w:type="paragraph" w:styleId="NoSpacing">
    <w:name w:val="No Spacing"/>
    <w:link w:val="NoSpacingChar"/>
    <w:uiPriority w:val="1"/>
    <w:qFormat/>
    <w:rsid w:val="002F0A59"/>
    <w:rPr>
      <w:rFonts w:asciiTheme="minorHAnsi" w:eastAsiaTheme="minorHAnsi" w:hAnsiTheme="minorHAnsi" w:cstheme="minorBidi"/>
      <w:lang w:eastAsia="en-US"/>
    </w:rPr>
  </w:style>
  <w:style w:type="character" w:customStyle="1" w:styleId="NoSpacingChar">
    <w:name w:val="No Spacing Char"/>
    <w:basedOn w:val="DefaultParagraphFont"/>
    <w:link w:val="NoSpacing"/>
    <w:uiPriority w:val="1"/>
    <w:rsid w:val="002F0A59"/>
    <w:rPr>
      <w:rFonts w:asciiTheme="minorHAnsi" w:eastAsiaTheme="minorHAnsi" w:hAnsiTheme="minorHAnsi" w:cstheme="minorBidi"/>
      <w:lang w:eastAsia="en-US"/>
    </w:rPr>
  </w:style>
  <w:style w:type="character" w:customStyle="1" w:styleId="cf01">
    <w:name w:val="cf01"/>
    <w:basedOn w:val="DefaultParagraphFont"/>
    <w:rsid w:val="00B14B32"/>
    <w:rPr>
      <w:rFonts w:ascii="Segoe UI" w:hAnsi="Segoe UI" w:cs="Segoe UI" w:hint="default"/>
      <w:sz w:val="18"/>
      <w:szCs w:val="18"/>
    </w:rPr>
  </w:style>
  <w:style w:type="character" w:styleId="UnresolvedMention">
    <w:name w:val="Unresolved Mention"/>
    <w:basedOn w:val="DefaultParagraphFont"/>
    <w:uiPriority w:val="99"/>
    <w:semiHidden/>
    <w:unhideWhenUsed/>
    <w:rsid w:val="0070668A"/>
    <w:rPr>
      <w:color w:val="605E5C"/>
      <w:shd w:val="clear" w:color="auto" w:fill="E1DFDD"/>
    </w:rPr>
  </w:style>
  <w:style w:type="table" w:customStyle="1" w:styleId="TableGrid1">
    <w:name w:val="Table Grid1"/>
    <w:basedOn w:val="TableNormal"/>
    <w:next w:val="TableGrid"/>
    <w:rsid w:val="009D30B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1">
    <w:name w:val="Style1"/>
    <w:basedOn w:val="DefaultParagraphFont"/>
    <w:uiPriority w:val="1"/>
    <w:rsid w:val="004E49A7"/>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0025">
      <w:bodyDiv w:val="1"/>
      <w:marLeft w:val="0"/>
      <w:marRight w:val="0"/>
      <w:marTop w:val="0"/>
      <w:marBottom w:val="0"/>
      <w:divBdr>
        <w:top w:val="none" w:sz="0" w:space="0" w:color="auto"/>
        <w:left w:val="none" w:sz="0" w:space="0" w:color="auto"/>
        <w:bottom w:val="none" w:sz="0" w:space="0" w:color="auto"/>
        <w:right w:val="none" w:sz="0" w:space="0" w:color="auto"/>
      </w:divBdr>
    </w:div>
    <w:div w:id="135614051">
      <w:bodyDiv w:val="1"/>
      <w:marLeft w:val="0"/>
      <w:marRight w:val="0"/>
      <w:marTop w:val="0"/>
      <w:marBottom w:val="0"/>
      <w:divBdr>
        <w:top w:val="none" w:sz="0" w:space="0" w:color="auto"/>
        <w:left w:val="none" w:sz="0" w:space="0" w:color="auto"/>
        <w:bottom w:val="none" w:sz="0" w:space="0" w:color="auto"/>
        <w:right w:val="none" w:sz="0" w:space="0" w:color="auto"/>
      </w:divBdr>
    </w:div>
    <w:div w:id="174267601">
      <w:bodyDiv w:val="1"/>
      <w:marLeft w:val="0"/>
      <w:marRight w:val="0"/>
      <w:marTop w:val="0"/>
      <w:marBottom w:val="0"/>
      <w:divBdr>
        <w:top w:val="none" w:sz="0" w:space="0" w:color="auto"/>
        <w:left w:val="none" w:sz="0" w:space="0" w:color="auto"/>
        <w:bottom w:val="none" w:sz="0" w:space="0" w:color="auto"/>
        <w:right w:val="none" w:sz="0" w:space="0" w:color="auto"/>
      </w:divBdr>
    </w:div>
    <w:div w:id="180710409">
      <w:bodyDiv w:val="1"/>
      <w:marLeft w:val="0"/>
      <w:marRight w:val="0"/>
      <w:marTop w:val="0"/>
      <w:marBottom w:val="0"/>
      <w:divBdr>
        <w:top w:val="none" w:sz="0" w:space="0" w:color="auto"/>
        <w:left w:val="none" w:sz="0" w:space="0" w:color="auto"/>
        <w:bottom w:val="none" w:sz="0" w:space="0" w:color="auto"/>
        <w:right w:val="none" w:sz="0" w:space="0" w:color="auto"/>
      </w:divBdr>
    </w:div>
    <w:div w:id="185295841">
      <w:bodyDiv w:val="1"/>
      <w:marLeft w:val="0"/>
      <w:marRight w:val="0"/>
      <w:marTop w:val="0"/>
      <w:marBottom w:val="0"/>
      <w:divBdr>
        <w:top w:val="none" w:sz="0" w:space="0" w:color="auto"/>
        <w:left w:val="none" w:sz="0" w:space="0" w:color="auto"/>
        <w:bottom w:val="none" w:sz="0" w:space="0" w:color="auto"/>
        <w:right w:val="none" w:sz="0" w:space="0" w:color="auto"/>
      </w:divBdr>
    </w:div>
    <w:div w:id="196816124">
      <w:bodyDiv w:val="1"/>
      <w:marLeft w:val="0"/>
      <w:marRight w:val="0"/>
      <w:marTop w:val="0"/>
      <w:marBottom w:val="0"/>
      <w:divBdr>
        <w:top w:val="none" w:sz="0" w:space="0" w:color="auto"/>
        <w:left w:val="none" w:sz="0" w:space="0" w:color="auto"/>
        <w:bottom w:val="none" w:sz="0" w:space="0" w:color="auto"/>
        <w:right w:val="none" w:sz="0" w:space="0" w:color="auto"/>
      </w:divBdr>
    </w:div>
    <w:div w:id="321542270">
      <w:bodyDiv w:val="1"/>
      <w:marLeft w:val="0"/>
      <w:marRight w:val="0"/>
      <w:marTop w:val="0"/>
      <w:marBottom w:val="0"/>
      <w:divBdr>
        <w:top w:val="none" w:sz="0" w:space="0" w:color="auto"/>
        <w:left w:val="none" w:sz="0" w:space="0" w:color="auto"/>
        <w:bottom w:val="none" w:sz="0" w:space="0" w:color="auto"/>
        <w:right w:val="none" w:sz="0" w:space="0" w:color="auto"/>
      </w:divBdr>
    </w:div>
    <w:div w:id="473984326">
      <w:bodyDiv w:val="1"/>
      <w:marLeft w:val="0"/>
      <w:marRight w:val="0"/>
      <w:marTop w:val="0"/>
      <w:marBottom w:val="0"/>
      <w:divBdr>
        <w:top w:val="none" w:sz="0" w:space="0" w:color="auto"/>
        <w:left w:val="none" w:sz="0" w:space="0" w:color="auto"/>
        <w:bottom w:val="none" w:sz="0" w:space="0" w:color="auto"/>
        <w:right w:val="none" w:sz="0" w:space="0" w:color="auto"/>
      </w:divBdr>
    </w:div>
    <w:div w:id="660622740">
      <w:bodyDiv w:val="1"/>
      <w:marLeft w:val="0"/>
      <w:marRight w:val="0"/>
      <w:marTop w:val="0"/>
      <w:marBottom w:val="0"/>
      <w:divBdr>
        <w:top w:val="none" w:sz="0" w:space="0" w:color="auto"/>
        <w:left w:val="none" w:sz="0" w:space="0" w:color="auto"/>
        <w:bottom w:val="none" w:sz="0" w:space="0" w:color="auto"/>
        <w:right w:val="none" w:sz="0" w:space="0" w:color="auto"/>
      </w:divBdr>
    </w:div>
    <w:div w:id="803935631">
      <w:bodyDiv w:val="1"/>
      <w:marLeft w:val="0"/>
      <w:marRight w:val="0"/>
      <w:marTop w:val="0"/>
      <w:marBottom w:val="0"/>
      <w:divBdr>
        <w:top w:val="none" w:sz="0" w:space="0" w:color="auto"/>
        <w:left w:val="none" w:sz="0" w:space="0" w:color="auto"/>
        <w:bottom w:val="none" w:sz="0" w:space="0" w:color="auto"/>
        <w:right w:val="none" w:sz="0" w:space="0" w:color="auto"/>
      </w:divBdr>
    </w:div>
    <w:div w:id="1154643757">
      <w:bodyDiv w:val="1"/>
      <w:marLeft w:val="0"/>
      <w:marRight w:val="0"/>
      <w:marTop w:val="0"/>
      <w:marBottom w:val="0"/>
      <w:divBdr>
        <w:top w:val="none" w:sz="0" w:space="0" w:color="auto"/>
        <w:left w:val="none" w:sz="0" w:space="0" w:color="auto"/>
        <w:bottom w:val="none" w:sz="0" w:space="0" w:color="auto"/>
        <w:right w:val="none" w:sz="0" w:space="0" w:color="auto"/>
      </w:divBdr>
    </w:div>
    <w:div w:id="1417629193">
      <w:bodyDiv w:val="1"/>
      <w:marLeft w:val="0"/>
      <w:marRight w:val="0"/>
      <w:marTop w:val="0"/>
      <w:marBottom w:val="0"/>
      <w:divBdr>
        <w:top w:val="none" w:sz="0" w:space="0" w:color="auto"/>
        <w:left w:val="none" w:sz="0" w:space="0" w:color="auto"/>
        <w:bottom w:val="none" w:sz="0" w:space="0" w:color="auto"/>
        <w:right w:val="none" w:sz="0" w:space="0" w:color="auto"/>
      </w:divBdr>
    </w:div>
    <w:div w:id="1480459948">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827623494">
      <w:bodyDiv w:val="1"/>
      <w:marLeft w:val="0"/>
      <w:marRight w:val="0"/>
      <w:marTop w:val="0"/>
      <w:marBottom w:val="0"/>
      <w:divBdr>
        <w:top w:val="none" w:sz="0" w:space="0" w:color="auto"/>
        <w:left w:val="none" w:sz="0" w:space="0" w:color="auto"/>
        <w:bottom w:val="none" w:sz="0" w:space="0" w:color="auto"/>
        <w:right w:val="none" w:sz="0" w:space="0" w:color="auto"/>
      </w:divBdr>
    </w:div>
    <w:div w:id="21195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ic.gov.au/privacy/guidance-and-advice/guidelines-on-data-matching-in-australian-government-administratio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v.au" TargetMode="External"/><Relationship Id="rId1" Type="http://schemas.openxmlformats.org/officeDocument/2006/relationships/hyperlink" Target="https://www.servicesaustralia.gov.au/organisations/about-us/publications-and-resources/privacy-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CEC047.CA344FC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6EFB1-D212-4805-A14D-C89A8EA6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8770</Words>
  <Characters>49995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Tertiary Collection of Student Information</dc:title>
  <dc:subject/>
  <dc:creator>Services Australia</dc:creator>
  <cp:keywords/>
  <cp:lastModifiedBy/>
  <cp:revision>1</cp:revision>
  <dcterms:created xsi:type="dcterms:W3CDTF">2024-06-26T06:07:00Z</dcterms:created>
  <dcterms:modified xsi:type="dcterms:W3CDTF">2024-06-26T06:08:00Z</dcterms:modified>
</cp:coreProperties>
</file>