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E5F5" w14:textId="77777777" w:rsidR="0092720B" w:rsidRPr="00E979E7" w:rsidRDefault="00F21846" w:rsidP="00092987">
      <w:pPr>
        <w:pStyle w:val="DHSHeadinglevel1"/>
      </w:pPr>
      <w:bookmarkStart w:id="0" w:name="_GoBack"/>
      <w:bookmarkEnd w:id="0"/>
      <w:r>
        <w:t xml:space="preserve">PIP </w:t>
      </w:r>
      <w:r w:rsidR="0092720B" w:rsidRPr="00E979E7">
        <w:t xml:space="preserve">Procedural GP Payment guidelines </w:t>
      </w:r>
    </w:p>
    <w:p w14:paraId="0A21D084" w14:textId="2DFDE453" w:rsidR="0040506F" w:rsidRDefault="0040506F" w:rsidP="00092987">
      <w:pPr>
        <w:pStyle w:val="DHSBodytext"/>
      </w:pPr>
      <w:r>
        <w:t>Effective from June 2017</w:t>
      </w:r>
    </w:p>
    <w:p w14:paraId="3DB68D36" w14:textId="3B2B6080" w:rsidR="009D053A" w:rsidRDefault="0025149B" w:rsidP="00092987">
      <w:pPr>
        <w:pStyle w:val="DHSBodytext"/>
      </w:pPr>
      <w:r>
        <w:t>A</w:t>
      </w:r>
      <w:r w:rsidR="009F7235">
        <w:t>n</w:t>
      </w:r>
      <w:r w:rsidR="00EA6B4A">
        <w:t xml:space="preserve"> </w:t>
      </w:r>
      <w:r>
        <w:t xml:space="preserve">incentive to </w:t>
      </w:r>
      <w:r w:rsidR="00EA6B4A">
        <w:t xml:space="preserve">encourage </w:t>
      </w:r>
      <w:r w:rsidR="00E569C4">
        <w:t>general practitioners (</w:t>
      </w:r>
      <w:r w:rsidR="0092720B" w:rsidRPr="00E979E7">
        <w:t>GPs</w:t>
      </w:r>
      <w:r w:rsidR="00E569C4">
        <w:t>)</w:t>
      </w:r>
      <w:r w:rsidR="0092720B" w:rsidRPr="00E979E7">
        <w:t xml:space="preserve"> in rural and remote areas to maintain local access to surgical, anaesthetic and obstetric services. </w:t>
      </w:r>
    </w:p>
    <w:p w14:paraId="799A6B6F" w14:textId="20468970" w:rsidR="00B52F75" w:rsidRPr="00E11C73" w:rsidRDefault="00ED623E" w:rsidP="00092987">
      <w:pPr>
        <w:pStyle w:val="DHSHeadinglevel2"/>
      </w:pPr>
      <w:r w:rsidRPr="00E11C73">
        <w:t xml:space="preserve">About </w:t>
      </w:r>
      <w:r w:rsidR="00D71751" w:rsidRPr="00E11C73">
        <w:t>p</w:t>
      </w:r>
      <w:r w:rsidRPr="002B50DB">
        <w:t>rocedural GPs</w:t>
      </w:r>
    </w:p>
    <w:p w14:paraId="3A9B0CA3" w14:textId="515A4687" w:rsidR="009F7235" w:rsidRDefault="00ED623E" w:rsidP="00092987">
      <w:pPr>
        <w:pStyle w:val="DHSBodytext"/>
      </w:pPr>
      <w:r w:rsidRPr="009E74A3">
        <w:t xml:space="preserve">Procedural </w:t>
      </w:r>
      <w:r w:rsidR="00F63040" w:rsidRPr="009E74A3">
        <w:t>g</w:t>
      </w:r>
      <w:r w:rsidRPr="00266FB2">
        <w:t xml:space="preserve">eneral </w:t>
      </w:r>
      <w:r w:rsidR="00F63040" w:rsidRPr="009E74A3">
        <w:t>p</w:t>
      </w:r>
      <w:r w:rsidRPr="00266FB2">
        <w:t>ractitioners</w:t>
      </w:r>
      <w:r w:rsidRPr="009E74A3">
        <w:t xml:space="preserve"> (GPs) provide non-referred procedural services in a hospital theatre, maternity care setting or other appropriately equipped facilit</w:t>
      </w:r>
      <w:r w:rsidR="005B7542" w:rsidRPr="009E74A3">
        <w:t>y</w:t>
      </w:r>
      <w:r w:rsidRPr="009E74A3">
        <w:t>,</w:t>
      </w:r>
      <w:r w:rsidRPr="00E979E7">
        <w:t xml:space="preserve"> which in urban areas would normally be a specific referral based specialty. </w:t>
      </w:r>
      <w:r w:rsidR="00571D41">
        <w:t xml:space="preserve"> </w:t>
      </w:r>
    </w:p>
    <w:p w14:paraId="6DAE196C" w14:textId="77777777" w:rsidR="009F7235" w:rsidRDefault="009F7235" w:rsidP="007A2F1F">
      <w:pPr>
        <w:pStyle w:val="DHSHeadinglevel3"/>
      </w:pPr>
      <w:r>
        <w:t>Procedural services</w:t>
      </w:r>
    </w:p>
    <w:p w14:paraId="293F8009" w14:textId="4B1236E0" w:rsidR="00ED623E" w:rsidRPr="00E979E7" w:rsidRDefault="00ED623E" w:rsidP="00092987">
      <w:pPr>
        <w:pStyle w:val="DHSBodytext"/>
      </w:pPr>
      <w:r w:rsidRPr="00E979E7">
        <w:t>Eligible procedural services are clinically relevant professional service</w:t>
      </w:r>
      <w:r w:rsidR="001F3979">
        <w:t>s</w:t>
      </w:r>
      <w:r w:rsidRPr="00E979E7">
        <w:t xml:space="preserve"> </w:t>
      </w:r>
      <w:r w:rsidR="001F3979">
        <w:t>that are</w:t>
      </w:r>
      <w:r w:rsidRPr="00E979E7">
        <w:t xml:space="preserve"> listed in the Medicare Benefits Schedule and attract an anaesthetic fee.</w:t>
      </w:r>
    </w:p>
    <w:p w14:paraId="041FA58D" w14:textId="77777777" w:rsidR="00ED623E" w:rsidRPr="00E979E7" w:rsidRDefault="00ED623E" w:rsidP="00092987">
      <w:pPr>
        <w:pStyle w:val="DHSBodytext"/>
      </w:pPr>
      <w:r w:rsidRPr="00E979E7">
        <w:t xml:space="preserve">Eligible procedural services are: </w:t>
      </w:r>
    </w:p>
    <w:p w14:paraId="4D1EC240" w14:textId="77777777" w:rsidR="00ED623E" w:rsidRPr="007A2F1F" w:rsidRDefault="00ED623E" w:rsidP="007A2F1F">
      <w:pPr>
        <w:pStyle w:val="DHSBulletslevel"/>
      </w:pPr>
      <w:r w:rsidRPr="007A2F1F">
        <w:t xml:space="preserve">obstetric delivery </w:t>
      </w:r>
    </w:p>
    <w:p w14:paraId="300EFBA6" w14:textId="77777777" w:rsidR="00ED623E" w:rsidRPr="007A2F1F" w:rsidRDefault="00ED623E" w:rsidP="007A2F1F">
      <w:pPr>
        <w:pStyle w:val="DHSBulletslevel"/>
      </w:pPr>
      <w:r w:rsidRPr="007A2F1F">
        <w:t xml:space="preserve">general anaesthetic </w:t>
      </w:r>
    </w:p>
    <w:p w14:paraId="49D8E672" w14:textId="77777777" w:rsidR="00ED623E" w:rsidRPr="007A2F1F" w:rsidRDefault="00ED623E" w:rsidP="007A2F1F">
      <w:pPr>
        <w:pStyle w:val="DHSBulletslevel"/>
      </w:pPr>
      <w:r w:rsidRPr="007A2F1F">
        <w:t>major regional blocks</w:t>
      </w:r>
    </w:p>
    <w:p w14:paraId="210D86C5" w14:textId="77777777" w:rsidR="00ED623E" w:rsidRPr="007A2F1F" w:rsidRDefault="00ED623E" w:rsidP="007A2F1F">
      <w:pPr>
        <w:pStyle w:val="DHSBulletslevel"/>
      </w:pPr>
      <w:r w:rsidRPr="007A2F1F">
        <w:t>abdominal surgery</w:t>
      </w:r>
    </w:p>
    <w:p w14:paraId="1EF807DD" w14:textId="1C3AD3E7" w:rsidR="00ED623E" w:rsidRPr="007A2F1F" w:rsidRDefault="00ED623E" w:rsidP="007A2F1F">
      <w:pPr>
        <w:pStyle w:val="DHSBulletslevel"/>
      </w:pPr>
      <w:r w:rsidRPr="007A2F1F">
        <w:t>gynaecological surgery requiring general anaesthetic</w:t>
      </w:r>
    </w:p>
    <w:p w14:paraId="2C526A06" w14:textId="7FAE540E" w:rsidR="00ED623E" w:rsidRPr="00E979E7" w:rsidRDefault="00ED623E" w:rsidP="007A2F1F">
      <w:pPr>
        <w:pStyle w:val="DHSBulletslevel"/>
      </w:pPr>
      <w:r w:rsidRPr="007A2F1F">
        <w:t>endoscopy</w:t>
      </w:r>
      <w:r w:rsidR="007A2F1F">
        <w:t>.</w:t>
      </w:r>
    </w:p>
    <w:p w14:paraId="70BA3F9E" w14:textId="77777777" w:rsidR="00ED623E" w:rsidRPr="00E979E7" w:rsidRDefault="00ED623E" w:rsidP="00092987">
      <w:pPr>
        <w:pStyle w:val="DHSBodytext"/>
      </w:pPr>
      <w:r w:rsidRPr="00E979E7">
        <w:t>The procedural service must:</w:t>
      </w:r>
    </w:p>
    <w:p w14:paraId="34278FA1" w14:textId="77777777" w:rsidR="00ED623E" w:rsidRPr="00E979E7" w:rsidRDefault="00ED623E" w:rsidP="00092987">
      <w:pPr>
        <w:pStyle w:val="DHSBulletslevel"/>
      </w:pPr>
      <w:r w:rsidRPr="00E979E7">
        <w:t xml:space="preserve">use facilities and resources which are centralised </w:t>
      </w:r>
    </w:p>
    <w:p w14:paraId="6CBDD772" w14:textId="17E01758" w:rsidR="00ED623E" w:rsidRPr="00E979E7" w:rsidRDefault="00ED623E" w:rsidP="00092987">
      <w:pPr>
        <w:pStyle w:val="DHSBulletslevel"/>
      </w:pPr>
      <w:r w:rsidRPr="00E979E7">
        <w:t xml:space="preserve">involve a team of health professionals </w:t>
      </w:r>
    </w:p>
    <w:p w14:paraId="49FF26F3" w14:textId="0AEC36F5" w:rsidR="00ED623E" w:rsidRPr="00E979E7" w:rsidRDefault="00D71751" w:rsidP="00092987">
      <w:pPr>
        <w:pStyle w:val="DHSBulletslevel"/>
      </w:pPr>
      <w:r>
        <w:t xml:space="preserve">be done by a </w:t>
      </w:r>
      <w:r w:rsidR="00ED623E" w:rsidRPr="00E979E7">
        <w:t xml:space="preserve">GP </w:t>
      </w:r>
      <w:r>
        <w:t xml:space="preserve">who </w:t>
      </w:r>
      <w:r w:rsidRPr="00E979E7">
        <w:t>participat</w:t>
      </w:r>
      <w:r>
        <w:t>es</w:t>
      </w:r>
      <w:r w:rsidRPr="00E979E7">
        <w:t xml:space="preserve"> </w:t>
      </w:r>
      <w:r w:rsidR="00ED623E" w:rsidRPr="00E979E7">
        <w:t>in an appropriate skills maintenance program in the relevant procedural areas</w:t>
      </w:r>
      <w:r w:rsidR="007A2F1F">
        <w:t>.</w:t>
      </w:r>
    </w:p>
    <w:p w14:paraId="5C861FE7" w14:textId="77777777" w:rsidR="00ED623E" w:rsidRPr="00E979E7" w:rsidRDefault="00ED623E" w:rsidP="00092987">
      <w:pPr>
        <w:pStyle w:val="DHSBodytext"/>
      </w:pPr>
      <w:r w:rsidRPr="00E979E7">
        <w:t xml:space="preserve">Minor procedures, such as aspiration of a knee joint, don’t fit the intent of this </w:t>
      </w:r>
      <w:r w:rsidR="00527C2F">
        <w:t>payment.</w:t>
      </w:r>
    </w:p>
    <w:p w14:paraId="2082C2C7" w14:textId="77777777" w:rsidR="00ED623E" w:rsidRPr="00E979E7" w:rsidRDefault="00ED623E" w:rsidP="007A2F1F">
      <w:pPr>
        <w:pStyle w:val="DHSHeadinglevel3"/>
      </w:pPr>
      <w:r w:rsidRPr="00E979E7">
        <w:t xml:space="preserve">After </w:t>
      </w:r>
      <w:r w:rsidR="00D71751">
        <w:t>h</w:t>
      </w:r>
      <w:r w:rsidRPr="00E979E7">
        <w:t>ours</w:t>
      </w:r>
    </w:p>
    <w:p w14:paraId="5377084F" w14:textId="77777777" w:rsidR="00ED623E" w:rsidRPr="00E979E7" w:rsidRDefault="00ED623E" w:rsidP="00092987">
      <w:pPr>
        <w:pStyle w:val="DHSBodytext"/>
      </w:pPr>
      <w:r w:rsidRPr="00E979E7">
        <w:t xml:space="preserve">For the purposes of the Procedural GP Payment, after hours </w:t>
      </w:r>
      <w:r w:rsidR="00AD4657">
        <w:t>is any time</w:t>
      </w:r>
      <w:r w:rsidRPr="00E979E7">
        <w:t>:</w:t>
      </w:r>
    </w:p>
    <w:p w14:paraId="1886AB7F" w14:textId="77777777" w:rsidR="00ED623E" w:rsidRPr="00E979E7" w:rsidRDefault="00ED623E" w:rsidP="00092987">
      <w:pPr>
        <w:pStyle w:val="DHSBulletslevel"/>
      </w:pPr>
      <w:r w:rsidRPr="00E979E7">
        <w:t xml:space="preserve">outside 8 </w:t>
      </w:r>
      <w:r w:rsidR="00453AB6">
        <w:t xml:space="preserve">am </w:t>
      </w:r>
      <w:r w:rsidRPr="00E979E7">
        <w:t xml:space="preserve">to </w:t>
      </w:r>
      <w:r w:rsidR="00453AB6">
        <w:t>6</w:t>
      </w:r>
      <w:r w:rsidRPr="00E979E7">
        <w:t xml:space="preserve"> pm weekdays</w:t>
      </w:r>
    </w:p>
    <w:p w14:paraId="016DF717" w14:textId="20A67657" w:rsidR="00ED623E" w:rsidRPr="00E979E7" w:rsidRDefault="00ED623E" w:rsidP="00092987">
      <w:pPr>
        <w:pStyle w:val="DHSBulletslevel"/>
      </w:pPr>
      <w:r w:rsidRPr="00E979E7">
        <w:t>outside 8 am to 12 noon on Saturdays</w:t>
      </w:r>
    </w:p>
    <w:p w14:paraId="72ACD98F" w14:textId="77777777" w:rsidR="00ED623E" w:rsidRPr="00E979E7" w:rsidRDefault="00ED623E" w:rsidP="00092987">
      <w:pPr>
        <w:pStyle w:val="DHSBulletslevel"/>
      </w:pPr>
      <w:r w:rsidRPr="00E979E7">
        <w:t>on a Sunday or public holiday</w:t>
      </w:r>
    </w:p>
    <w:p w14:paraId="6C234998" w14:textId="77777777" w:rsidR="00ED623E" w:rsidRDefault="00ED623E" w:rsidP="00092987">
      <w:pPr>
        <w:pStyle w:val="DHSBodytext"/>
      </w:pPr>
    </w:p>
    <w:p w14:paraId="20CB4155" w14:textId="4D134D87" w:rsidR="00ED623E" w:rsidRDefault="00ED623E" w:rsidP="00092987">
      <w:pPr>
        <w:pStyle w:val="DHSHeadinglevel2"/>
      </w:pPr>
      <w:r w:rsidRPr="00BD2B2A">
        <w:t>Eligibility</w:t>
      </w:r>
    </w:p>
    <w:p w14:paraId="3096301F" w14:textId="77777777" w:rsidR="0092720B" w:rsidRPr="00E979E7" w:rsidRDefault="0092720B" w:rsidP="00092987">
      <w:pPr>
        <w:pStyle w:val="DHSBodytext"/>
      </w:pPr>
      <w:r w:rsidRPr="00E979E7">
        <w:t>To be eligible for the Practice Incentives Program (PIP) Procedural GP Payment, the practice must:</w:t>
      </w:r>
    </w:p>
    <w:p w14:paraId="0CC0F1BA" w14:textId="77777777" w:rsidR="0092720B" w:rsidRDefault="0092720B" w:rsidP="00092987">
      <w:pPr>
        <w:pStyle w:val="DHSBulletslevel"/>
      </w:pPr>
      <w:r w:rsidRPr="00E979E7">
        <w:t>participate in the PIP</w:t>
      </w:r>
    </w:p>
    <w:p w14:paraId="61062597" w14:textId="4210AB03" w:rsidR="00C23945" w:rsidRPr="00E16816" w:rsidRDefault="00C23945" w:rsidP="00092987">
      <w:pPr>
        <w:pStyle w:val="DHSBulletslevel"/>
      </w:pPr>
      <w:r w:rsidRPr="00E16816">
        <w:t xml:space="preserve">meet the </w:t>
      </w:r>
      <w:r w:rsidRPr="00266FB2">
        <w:t>PIP eligibility criteria</w:t>
      </w:r>
    </w:p>
    <w:p w14:paraId="43DCF476" w14:textId="7D0A0B0E" w:rsidR="0092720B" w:rsidRPr="00E979E7" w:rsidRDefault="0092720B" w:rsidP="00092987">
      <w:pPr>
        <w:pStyle w:val="DHSBulletslevel"/>
      </w:pPr>
      <w:r w:rsidRPr="00E979E7">
        <w:lastRenderedPageBreak/>
        <w:t>have at least 1 procedural GP registered with the PIP for the entire reference period, providing 1 or more eligible procedural services</w:t>
      </w:r>
    </w:p>
    <w:p w14:paraId="0E9B2E35" w14:textId="77777777" w:rsidR="0092720B" w:rsidRPr="00E979E7" w:rsidRDefault="0092720B" w:rsidP="00092987">
      <w:pPr>
        <w:pStyle w:val="DHSBulletslevel"/>
      </w:pPr>
      <w:r w:rsidRPr="00E979E7">
        <w:t xml:space="preserve">meet the activity requirements for claiming the relevant payment tier </w:t>
      </w:r>
    </w:p>
    <w:p w14:paraId="72486AD6" w14:textId="2D16A2CD" w:rsidR="0092720B" w:rsidRPr="00E979E7" w:rsidRDefault="0092720B" w:rsidP="00092987">
      <w:pPr>
        <w:pStyle w:val="DHSBulletslevel"/>
      </w:pPr>
      <w:r w:rsidRPr="00E979E7">
        <w:t>be in</w:t>
      </w:r>
      <w:r w:rsidR="00296962">
        <w:t xml:space="preserve"> a</w:t>
      </w:r>
      <w:r w:rsidRPr="00E979E7">
        <w:t xml:space="preserve"> </w:t>
      </w:r>
      <w:hyperlink r:id="rId8" w:history="1">
        <w:r w:rsidRPr="00FF2981">
          <w:rPr>
            <w:rStyle w:val="Hyperlink"/>
          </w:rPr>
          <w:t>Rura</w:t>
        </w:r>
        <w:r w:rsidR="00740A29">
          <w:rPr>
            <w:rStyle w:val="Hyperlink"/>
          </w:rPr>
          <w:t>l, Remote and Metropolitan Area</w:t>
        </w:r>
        <w:r w:rsidRPr="00FF2981">
          <w:rPr>
            <w:rStyle w:val="Hyperlink"/>
          </w:rPr>
          <w:t xml:space="preserve"> (RRMA) 3–7</w:t>
        </w:r>
      </w:hyperlink>
      <w:r w:rsidR="00296962">
        <w:rPr>
          <w:rStyle w:val="Hyperlink"/>
        </w:rPr>
        <w:t xml:space="preserve"> location</w:t>
      </w:r>
      <w:r w:rsidRPr="00E979E7">
        <w:t xml:space="preserve">, </w:t>
      </w:r>
      <w:r w:rsidR="00405025">
        <w:t xml:space="preserve">as defined </w:t>
      </w:r>
      <w:r w:rsidR="00F52FA3">
        <w:t>on the Australian Institute of Health and Welfare website</w:t>
      </w:r>
    </w:p>
    <w:p w14:paraId="5F378DCC" w14:textId="587058FB" w:rsidR="0092720B" w:rsidRPr="00E979E7" w:rsidRDefault="0092720B" w:rsidP="00092987">
      <w:pPr>
        <w:pStyle w:val="DHSBulletslevel"/>
      </w:pPr>
      <w:r w:rsidRPr="00E979E7">
        <w:t xml:space="preserve">ensure the GP providing the services </w:t>
      </w:r>
      <w:r w:rsidR="006D39F3">
        <w:t xml:space="preserve">has </w:t>
      </w:r>
      <w:r w:rsidR="00E11C73">
        <w:t>a</w:t>
      </w:r>
      <w:r w:rsidR="006D39F3">
        <w:t xml:space="preserve"> level of </w:t>
      </w:r>
      <w:r w:rsidRPr="00E979E7">
        <w:t>professional indemnity insurance</w:t>
      </w:r>
      <w:r w:rsidR="006D39F3">
        <w:t xml:space="preserve"> that</w:t>
      </w:r>
      <w:r w:rsidRPr="00E979E7">
        <w:t xml:space="preserve"> </w:t>
      </w:r>
      <w:r w:rsidR="0087078D">
        <w:t xml:space="preserve">indicates they are covered </w:t>
      </w:r>
      <w:r w:rsidRPr="00E979E7">
        <w:t>to perform procedural services</w:t>
      </w:r>
      <w:r w:rsidR="007A2F1F">
        <w:t>.</w:t>
      </w:r>
    </w:p>
    <w:p w14:paraId="7147C743" w14:textId="77777777" w:rsidR="008625A7" w:rsidRDefault="0092720B" w:rsidP="00092987">
      <w:pPr>
        <w:pStyle w:val="DHSBodytext"/>
      </w:pPr>
      <w:r w:rsidRPr="00E979E7">
        <w:t xml:space="preserve">Practices that register </w:t>
      </w:r>
      <w:r w:rsidR="009C2AC9">
        <w:t xml:space="preserve">their </w:t>
      </w:r>
      <w:r w:rsidRPr="00E979E7">
        <w:t xml:space="preserve">procedural GPs part way through a reference period </w:t>
      </w:r>
      <w:r w:rsidR="008625A7">
        <w:t>can</w:t>
      </w:r>
      <w:r w:rsidRPr="00E979E7">
        <w:t xml:space="preserve"> apply for the Procedural GP </w:t>
      </w:r>
      <w:r w:rsidR="00CD49CE">
        <w:t>P</w:t>
      </w:r>
      <w:r w:rsidR="004D454A">
        <w:t xml:space="preserve">ayment </w:t>
      </w:r>
      <w:r w:rsidR="009C2AC9">
        <w:t>during that reference period</w:t>
      </w:r>
      <w:r w:rsidRPr="00E979E7">
        <w:t xml:space="preserve">. </w:t>
      </w:r>
    </w:p>
    <w:p w14:paraId="69B454B7" w14:textId="5BBACD70" w:rsidR="006D6CDA" w:rsidRDefault="0092720B" w:rsidP="00092987">
      <w:pPr>
        <w:pStyle w:val="DHSBodytext"/>
      </w:pPr>
      <w:r w:rsidRPr="00E979E7">
        <w:t xml:space="preserve">Practices will be eligible for payment in the first reference period where </w:t>
      </w:r>
      <w:r w:rsidR="006D0526">
        <w:t xml:space="preserve">they have met </w:t>
      </w:r>
      <w:r w:rsidRPr="001C370B">
        <w:rPr>
          <w:bCs/>
        </w:rPr>
        <w:t>all other</w:t>
      </w:r>
      <w:r w:rsidRPr="00E979E7">
        <w:t xml:space="preserve"> eligibility requirements. </w:t>
      </w:r>
    </w:p>
    <w:p w14:paraId="4622E897" w14:textId="22874CEF" w:rsidR="00EA6B4A" w:rsidRDefault="0092720B" w:rsidP="00092987">
      <w:pPr>
        <w:pStyle w:val="DHSBodytext"/>
      </w:pPr>
      <w:r w:rsidRPr="001C370B">
        <w:t xml:space="preserve">Practices need to ensure </w:t>
      </w:r>
      <w:r w:rsidR="00B21C32">
        <w:t xml:space="preserve">they meet </w:t>
      </w:r>
      <w:r w:rsidRPr="00B21C32">
        <w:t>all</w:t>
      </w:r>
      <w:r w:rsidRPr="001C370B">
        <w:t xml:space="preserve"> eligibility requirements </w:t>
      </w:r>
      <w:r w:rsidR="00B21C32">
        <w:t>for</w:t>
      </w:r>
      <w:r w:rsidRPr="001C370B">
        <w:t xml:space="preserve"> </w:t>
      </w:r>
      <w:r w:rsidR="009C2AC9" w:rsidRPr="001C370B">
        <w:t>each</w:t>
      </w:r>
      <w:r w:rsidRPr="001C370B">
        <w:t xml:space="preserve"> </w:t>
      </w:r>
      <w:r w:rsidR="00B21C32">
        <w:t xml:space="preserve">entire </w:t>
      </w:r>
      <w:r w:rsidRPr="001C370B">
        <w:t>reference period</w:t>
      </w:r>
      <w:r w:rsidR="009C2AC9" w:rsidRPr="001C370B">
        <w:t xml:space="preserve"> after</w:t>
      </w:r>
      <w:r w:rsidRPr="001C370B">
        <w:t xml:space="preserve"> </w:t>
      </w:r>
      <w:r w:rsidR="00B21C32">
        <w:t xml:space="preserve">that </w:t>
      </w:r>
      <w:r w:rsidRPr="001C370B">
        <w:t xml:space="preserve">to </w:t>
      </w:r>
      <w:r w:rsidR="00B21C32">
        <w:t>continue to be</w:t>
      </w:r>
      <w:r w:rsidR="00B21C32" w:rsidRPr="001C370B">
        <w:t xml:space="preserve"> </w:t>
      </w:r>
      <w:r w:rsidRPr="001C370B">
        <w:t>eligibl</w:t>
      </w:r>
      <w:r w:rsidR="00B21C32">
        <w:t>e</w:t>
      </w:r>
      <w:r w:rsidRPr="001C370B">
        <w:t xml:space="preserve"> for payment.</w:t>
      </w:r>
      <w:r w:rsidR="00EA6B4A" w:rsidRPr="001C370B">
        <w:t xml:space="preserve"> </w:t>
      </w:r>
    </w:p>
    <w:p w14:paraId="3B9F441E" w14:textId="77777777" w:rsidR="00525A7C" w:rsidRPr="001C370B" w:rsidRDefault="00525A7C" w:rsidP="00092987">
      <w:pPr>
        <w:pStyle w:val="DHSBodytext"/>
      </w:pPr>
    </w:p>
    <w:p w14:paraId="7B365AB7" w14:textId="78920496" w:rsidR="00EA6B4A" w:rsidRDefault="00F52FA3" w:rsidP="00092987">
      <w:pPr>
        <w:pStyle w:val="DHSHeadinglevel2"/>
      </w:pPr>
      <w:r>
        <w:t>Payments and r</w:t>
      </w:r>
      <w:r w:rsidR="00EA6B4A" w:rsidRPr="0047741E">
        <w:t>equirements</w:t>
      </w:r>
    </w:p>
    <w:p w14:paraId="56CB71FB" w14:textId="77777777" w:rsidR="000B0207" w:rsidRDefault="001C370B" w:rsidP="00092987">
      <w:pPr>
        <w:pStyle w:val="DHSBodytext"/>
      </w:pPr>
      <w:r w:rsidRPr="009E74A3">
        <w:t>The Procedural GP Payment has 4 tiers of payments</w:t>
      </w:r>
      <w:r w:rsidR="007F4639" w:rsidRPr="009E74A3">
        <w:t>.</w:t>
      </w:r>
    </w:p>
    <w:p w14:paraId="34A91C97" w14:textId="77777777" w:rsidR="000B0207" w:rsidRDefault="000B0207" w:rsidP="00092987">
      <w:pPr>
        <w:pStyle w:val="DHSBodytext"/>
      </w:pPr>
      <w:r>
        <w:t>The tiers are not cumulative and each individual GP can only qualify for 1 tier per reference period.</w:t>
      </w:r>
    </w:p>
    <w:tbl>
      <w:tblPr>
        <w:tblStyle w:val="GridTable1Light10"/>
        <w:tblW w:w="10090" w:type="dxa"/>
        <w:tblLook w:val="04A0" w:firstRow="1" w:lastRow="0" w:firstColumn="1" w:lastColumn="0" w:noHBand="0" w:noVBand="1"/>
        <w:tblCaption w:val="Table 1 - Payments and requirements"/>
        <w:tblDescription w:val="The requirements and payment levels of the PIP Procedural GP Payment are outlined in this table"/>
      </w:tblPr>
      <w:tblGrid>
        <w:gridCol w:w="2857"/>
        <w:gridCol w:w="7233"/>
      </w:tblGrid>
      <w:tr w:rsidR="00EA6B4A" w:rsidRPr="00E979E7" w14:paraId="16FCB8E3" w14:textId="77777777" w:rsidTr="00D76FAD">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857" w:type="dxa"/>
          </w:tcPr>
          <w:p w14:paraId="6F43111E" w14:textId="33DFF214" w:rsidR="00EA6B4A" w:rsidRPr="009E74A3" w:rsidRDefault="00EA6B4A" w:rsidP="00092987">
            <w:pPr>
              <w:pStyle w:val="DHSBodytext"/>
            </w:pPr>
            <w:r w:rsidRPr="009E74A3">
              <w:t>Tier</w:t>
            </w:r>
          </w:p>
        </w:tc>
        <w:tc>
          <w:tcPr>
            <w:tcW w:w="7233" w:type="dxa"/>
          </w:tcPr>
          <w:p w14:paraId="7AF4A8CD" w14:textId="77777777" w:rsidR="00EA6B4A" w:rsidRPr="00E979E7" w:rsidRDefault="00EA6B4A" w:rsidP="00092987">
            <w:pPr>
              <w:pStyle w:val="DHSBodytext"/>
              <w:cnfStyle w:val="100000000000" w:firstRow="1" w:lastRow="0" w:firstColumn="0" w:lastColumn="0" w:oddVBand="0" w:evenVBand="0" w:oddHBand="0" w:evenHBand="0" w:firstRowFirstColumn="0" w:firstRowLastColumn="0" w:lastRowFirstColumn="0" w:lastRowLastColumn="0"/>
            </w:pPr>
            <w:r w:rsidRPr="009E74A3">
              <w:t>Activity required for payment</w:t>
            </w:r>
          </w:p>
        </w:tc>
      </w:tr>
      <w:tr w:rsidR="00EA6B4A" w:rsidRPr="00E979E7" w14:paraId="4C78CEF6" w14:textId="77777777" w:rsidTr="00D76FAD">
        <w:trPr>
          <w:trHeight w:val="1140"/>
        </w:trPr>
        <w:tc>
          <w:tcPr>
            <w:cnfStyle w:val="001000000000" w:firstRow="0" w:lastRow="0" w:firstColumn="1" w:lastColumn="0" w:oddVBand="0" w:evenVBand="0" w:oddHBand="0" w:evenHBand="0" w:firstRowFirstColumn="0" w:firstRowLastColumn="0" w:lastRowFirstColumn="0" w:lastRowLastColumn="0"/>
            <w:tcW w:w="2857" w:type="dxa"/>
          </w:tcPr>
          <w:p w14:paraId="784D8C0B" w14:textId="77777777" w:rsidR="00EA6B4A" w:rsidRPr="007A2F1F" w:rsidRDefault="00EA6B4A" w:rsidP="00092987">
            <w:pPr>
              <w:pStyle w:val="DHSBodytext"/>
              <w:rPr>
                <w:b w:val="0"/>
              </w:rPr>
            </w:pPr>
            <w:r w:rsidRPr="007A2F1F">
              <w:rPr>
                <w:b w:val="0"/>
              </w:rPr>
              <w:t xml:space="preserve">Tier 1 </w:t>
            </w:r>
          </w:p>
          <w:p w14:paraId="520268F2" w14:textId="77777777" w:rsidR="00EA6B4A" w:rsidRPr="007A2F1F" w:rsidRDefault="00EA6B4A" w:rsidP="00092987">
            <w:pPr>
              <w:pStyle w:val="DHSBodytext"/>
              <w:rPr>
                <w:b w:val="0"/>
              </w:rPr>
            </w:pPr>
            <w:r w:rsidRPr="007A2F1F">
              <w:rPr>
                <w:b w:val="0"/>
              </w:rPr>
              <w:t>$1,000 per procedural GP per 6 month reference period</w:t>
            </w:r>
          </w:p>
        </w:tc>
        <w:tc>
          <w:tcPr>
            <w:tcW w:w="7233" w:type="dxa"/>
          </w:tcPr>
          <w:p w14:paraId="4180FBEF" w14:textId="77777777" w:rsidR="00EA6B4A"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 xml:space="preserve">A GP must provide </w:t>
            </w:r>
            <w:r w:rsidRPr="001C370B">
              <w:t>at least 1 of the following procedural services</w:t>
            </w:r>
            <w:r>
              <w:t xml:space="preserve"> </w:t>
            </w:r>
            <w:r w:rsidRPr="00E979E7">
              <w:t>in the 6 month reference period</w:t>
            </w:r>
            <w:r>
              <w:t>:</w:t>
            </w:r>
          </w:p>
          <w:p w14:paraId="0C4DC882" w14:textId="77777777"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 xml:space="preserve">obstetric delivery </w:t>
            </w:r>
          </w:p>
          <w:p w14:paraId="1F11DE0C" w14:textId="77777777"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 xml:space="preserve">general anaesthetic </w:t>
            </w:r>
          </w:p>
          <w:p w14:paraId="0B803C64" w14:textId="77777777"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major regional blocks</w:t>
            </w:r>
          </w:p>
          <w:p w14:paraId="51998D7C" w14:textId="77777777"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abdominal surgery</w:t>
            </w:r>
          </w:p>
          <w:p w14:paraId="0AD5C0FE" w14:textId="6645FC7E"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gynaecological surgery requiring general anaesthetic</w:t>
            </w:r>
          </w:p>
          <w:p w14:paraId="455975D0" w14:textId="018AD14F" w:rsidR="00EA6B4A" w:rsidRPr="00E979E7"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endoscopy</w:t>
            </w:r>
            <w:r w:rsidR="007A2F1F">
              <w:t>.</w:t>
            </w:r>
          </w:p>
          <w:p w14:paraId="1409867B" w14:textId="77777777" w:rsidR="00EA6B4A" w:rsidRPr="00E979E7" w:rsidRDefault="00EA6B4A" w:rsidP="00D76FAD">
            <w:pPr>
              <w:spacing w:after="0" w:line="259" w:lineRule="auto"/>
              <w:ind w:left="-5"/>
              <w:cnfStyle w:val="000000000000" w:firstRow="0" w:lastRow="0" w:firstColumn="0" w:lastColumn="0" w:oddVBand="0" w:evenVBand="0" w:oddHBand="0" w:evenHBand="0" w:firstRowFirstColumn="0" w:firstRowLastColumn="0" w:lastRowFirstColumn="0" w:lastRowLastColumn="0"/>
            </w:pPr>
          </w:p>
        </w:tc>
      </w:tr>
      <w:tr w:rsidR="00EA6B4A" w:rsidRPr="00E979E7" w14:paraId="408C9876" w14:textId="77777777" w:rsidTr="00D76FAD">
        <w:trPr>
          <w:trHeight w:val="1860"/>
        </w:trPr>
        <w:tc>
          <w:tcPr>
            <w:cnfStyle w:val="001000000000" w:firstRow="0" w:lastRow="0" w:firstColumn="1" w:lastColumn="0" w:oddVBand="0" w:evenVBand="0" w:oddHBand="0" w:evenHBand="0" w:firstRowFirstColumn="0" w:firstRowLastColumn="0" w:lastRowFirstColumn="0" w:lastRowLastColumn="0"/>
            <w:tcW w:w="2857" w:type="dxa"/>
          </w:tcPr>
          <w:p w14:paraId="51A888A3" w14:textId="77777777" w:rsidR="00EA6B4A" w:rsidRPr="007A2F1F" w:rsidRDefault="00EA6B4A" w:rsidP="00092987">
            <w:pPr>
              <w:pStyle w:val="DHSBodytext"/>
              <w:rPr>
                <w:b w:val="0"/>
              </w:rPr>
            </w:pPr>
            <w:r w:rsidRPr="007A2F1F">
              <w:rPr>
                <w:b w:val="0"/>
              </w:rPr>
              <w:t xml:space="preserve">Tier 2 </w:t>
            </w:r>
          </w:p>
          <w:p w14:paraId="498EA3D0" w14:textId="77777777" w:rsidR="00EA6B4A" w:rsidRPr="00E979E7" w:rsidRDefault="00EA6B4A" w:rsidP="00092987">
            <w:pPr>
              <w:pStyle w:val="DHSBodytext"/>
            </w:pPr>
            <w:r w:rsidRPr="007A2F1F">
              <w:rPr>
                <w:b w:val="0"/>
              </w:rPr>
              <w:t>$2,000 per procedural GP per 6 month reference period</w:t>
            </w:r>
          </w:p>
        </w:tc>
        <w:tc>
          <w:tcPr>
            <w:tcW w:w="7233" w:type="dxa"/>
          </w:tcPr>
          <w:p w14:paraId="02B60F8E" w14:textId="6A694C44" w:rsidR="00DC24A8"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A GP must</w:t>
            </w:r>
            <w:r w:rsidR="007A2F1F">
              <w:t xml:space="preserve"> both:</w:t>
            </w:r>
          </w:p>
          <w:p w14:paraId="090E54AA" w14:textId="083A8C71" w:rsidR="00DC24A8"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 xml:space="preserve">meet the Tier 1 requirements </w:t>
            </w:r>
          </w:p>
          <w:p w14:paraId="1BF96BF2" w14:textId="239C4DD7" w:rsidR="00920143" w:rsidRPr="008955C3" w:rsidRDefault="00EA6B4A" w:rsidP="00092987">
            <w:pPr>
              <w:pStyle w:val="DHSBulletslevel"/>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8955C3">
              <w:t xml:space="preserve">provide after hours procedural services on a regular or rostered basis </w:t>
            </w:r>
            <w:r w:rsidR="00DC24A8" w:rsidRPr="008955C3">
              <w:t xml:space="preserve">- </w:t>
            </w:r>
            <w:r w:rsidRPr="008955C3">
              <w:t>15 hours per week on average, either on call or on a roster</w:t>
            </w:r>
            <w:r w:rsidR="00DC24A8" w:rsidRPr="008955C3">
              <w:t xml:space="preserve">, </w:t>
            </w:r>
            <w:r w:rsidRPr="008955C3">
              <w:t>throughout the entire 6 month reference period</w:t>
            </w:r>
            <w:r w:rsidR="00920143" w:rsidRPr="008955C3">
              <w:t>, except for the first reference period when they apply.</w:t>
            </w:r>
          </w:p>
          <w:p w14:paraId="32494945" w14:textId="77777777" w:rsidR="00EA6B4A" w:rsidRPr="00E979E7" w:rsidRDefault="00EA6B4A" w:rsidP="00920143">
            <w:pPr>
              <w:pStyle w:val="ListParagraph"/>
              <w:numPr>
                <w:ilvl w:val="0"/>
                <w:numId w:val="0"/>
              </w:numPr>
              <w:ind w:left="720"/>
              <w:cnfStyle w:val="000000000000" w:firstRow="0" w:lastRow="0" w:firstColumn="0" w:lastColumn="0" w:oddVBand="0" w:evenVBand="0" w:oddHBand="0" w:evenHBand="0" w:firstRowFirstColumn="0" w:firstRowLastColumn="0" w:lastRowFirstColumn="0" w:lastRowLastColumn="0"/>
            </w:pPr>
          </w:p>
        </w:tc>
      </w:tr>
      <w:tr w:rsidR="00EA6B4A" w:rsidRPr="00E979E7" w14:paraId="2DB6B005" w14:textId="77777777" w:rsidTr="00D76FAD">
        <w:trPr>
          <w:trHeight w:val="970"/>
        </w:trPr>
        <w:tc>
          <w:tcPr>
            <w:cnfStyle w:val="001000000000" w:firstRow="0" w:lastRow="0" w:firstColumn="1" w:lastColumn="0" w:oddVBand="0" w:evenVBand="0" w:oddHBand="0" w:evenHBand="0" w:firstRowFirstColumn="0" w:firstRowLastColumn="0" w:lastRowFirstColumn="0" w:lastRowLastColumn="0"/>
            <w:tcW w:w="2857" w:type="dxa"/>
          </w:tcPr>
          <w:p w14:paraId="6CC1B829" w14:textId="1D7F6FCA" w:rsidR="00EA6B4A" w:rsidRPr="007A2F1F" w:rsidRDefault="00EA6B4A" w:rsidP="00092987">
            <w:pPr>
              <w:pStyle w:val="DHSBodytext"/>
              <w:rPr>
                <w:b w:val="0"/>
              </w:rPr>
            </w:pPr>
            <w:r w:rsidRPr="007A2F1F">
              <w:rPr>
                <w:b w:val="0"/>
              </w:rPr>
              <w:t xml:space="preserve">Tier 3 </w:t>
            </w:r>
          </w:p>
          <w:p w14:paraId="5EC3002B" w14:textId="77777777" w:rsidR="00EA6B4A" w:rsidRPr="00E979E7" w:rsidRDefault="00EA6B4A" w:rsidP="00092987">
            <w:pPr>
              <w:pStyle w:val="DHSBodytext"/>
            </w:pPr>
            <w:r w:rsidRPr="007A2F1F">
              <w:rPr>
                <w:b w:val="0"/>
              </w:rPr>
              <w:t>$5,000 per procedural GP per 6 month reference period</w:t>
            </w:r>
          </w:p>
        </w:tc>
        <w:tc>
          <w:tcPr>
            <w:tcW w:w="7233" w:type="dxa"/>
          </w:tcPr>
          <w:p w14:paraId="09B31DFA" w14:textId="6F1900B5" w:rsidR="00DC24A8"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A GP must</w:t>
            </w:r>
            <w:r w:rsidR="007A2F1F">
              <w:t xml:space="preserve"> both</w:t>
            </w:r>
            <w:r w:rsidR="00DC24A8">
              <w:t>:</w:t>
            </w:r>
          </w:p>
          <w:p w14:paraId="7BDBAC10" w14:textId="77777777" w:rsidR="007A2F1F" w:rsidRDefault="00EA6B4A" w:rsidP="007A2F1F">
            <w:pPr>
              <w:pStyle w:val="DHSBulletslevel"/>
              <w:cnfStyle w:val="000000000000" w:firstRow="0" w:lastRow="0" w:firstColumn="0" w:lastColumn="0" w:oddVBand="0" w:evenVBand="0" w:oddHBand="0" w:evenHBand="0" w:firstRowFirstColumn="0" w:firstRowLastColumn="0" w:lastRowFirstColumn="0" w:lastRowLastColumn="0"/>
            </w:pPr>
            <w:r w:rsidRPr="00E979E7">
              <w:t>meet the Tier 2 requirements</w:t>
            </w:r>
          </w:p>
          <w:p w14:paraId="79EA5473" w14:textId="2D3CFF84" w:rsidR="00EA6B4A" w:rsidRPr="00E979E7" w:rsidRDefault="00EA6B4A" w:rsidP="007A2F1F">
            <w:pPr>
              <w:pStyle w:val="DHSBulletslevel"/>
              <w:cnfStyle w:val="000000000000" w:firstRow="0" w:lastRow="0" w:firstColumn="0" w:lastColumn="0" w:oddVBand="0" w:evenVBand="0" w:oddHBand="0" w:evenHBand="0" w:firstRowFirstColumn="0" w:firstRowLastColumn="0" w:lastRowFirstColumn="0" w:lastRowLastColumn="0"/>
            </w:pPr>
            <w:r w:rsidRPr="00E979E7">
              <w:t xml:space="preserve">provide </w:t>
            </w:r>
            <w:r w:rsidRPr="007B1A87">
              <w:t>25 or more eligible surgical, anaesthetic, or obstetric services</w:t>
            </w:r>
            <w:r w:rsidRPr="00933B9B">
              <w:t xml:space="preserve"> </w:t>
            </w:r>
            <w:r w:rsidRPr="00E979E7">
              <w:t>in the 6 month reference period</w:t>
            </w:r>
            <w:r w:rsidR="007A2F1F">
              <w:t>.</w:t>
            </w:r>
          </w:p>
        </w:tc>
      </w:tr>
      <w:tr w:rsidR="00EA6B4A" w:rsidRPr="00E979E7" w14:paraId="24C213A8" w14:textId="77777777" w:rsidTr="00D76FAD">
        <w:trPr>
          <w:trHeight w:val="3160"/>
        </w:trPr>
        <w:tc>
          <w:tcPr>
            <w:cnfStyle w:val="001000000000" w:firstRow="0" w:lastRow="0" w:firstColumn="1" w:lastColumn="0" w:oddVBand="0" w:evenVBand="0" w:oddHBand="0" w:evenHBand="0" w:firstRowFirstColumn="0" w:firstRowLastColumn="0" w:lastRowFirstColumn="0" w:lastRowLastColumn="0"/>
            <w:tcW w:w="2857" w:type="dxa"/>
          </w:tcPr>
          <w:p w14:paraId="548B8D8D" w14:textId="3791C175" w:rsidR="00EA6B4A" w:rsidRPr="007A2F1F" w:rsidRDefault="00EA6B4A" w:rsidP="00092987">
            <w:pPr>
              <w:pStyle w:val="DHSBodytext"/>
              <w:rPr>
                <w:b w:val="0"/>
              </w:rPr>
            </w:pPr>
            <w:r w:rsidRPr="007A2F1F">
              <w:rPr>
                <w:b w:val="0"/>
              </w:rPr>
              <w:lastRenderedPageBreak/>
              <w:t xml:space="preserve">Tier 4 </w:t>
            </w:r>
          </w:p>
          <w:p w14:paraId="08C23CFB" w14:textId="66E9E0DC" w:rsidR="00EA6B4A" w:rsidRPr="00E979E7" w:rsidRDefault="00EA6B4A" w:rsidP="00092987">
            <w:pPr>
              <w:pStyle w:val="DHSBodytext"/>
            </w:pPr>
            <w:r w:rsidRPr="007A2F1F">
              <w:rPr>
                <w:b w:val="0"/>
              </w:rPr>
              <w:t>$8,500 per procedural GP per 6 month reference period</w:t>
            </w:r>
          </w:p>
        </w:tc>
        <w:tc>
          <w:tcPr>
            <w:tcW w:w="7233" w:type="dxa"/>
          </w:tcPr>
          <w:p w14:paraId="1EAA2C19" w14:textId="444BA435" w:rsidR="00EA6B4A"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A GP must</w:t>
            </w:r>
            <w:r w:rsidR="007A2F1F">
              <w:t xml:space="preserve"> both</w:t>
            </w:r>
            <w:r>
              <w:t>:</w:t>
            </w:r>
          </w:p>
          <w:p w14:paraId="016A766E" w14:textId="24E76C82" w:rsidR="00EA6B4A"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E979E7">
              <w:t xml:space="preserve">meet the Tier 2 requirements </w:t>
            </w:r>
          </w:p>
          <w:p w14:paraId="6C4E080A" w14:textId="5D3A763D" w:rsidR="00EA6B4A" w:rsidRPr="00933B9B" w:rsidRDefault="00EA6B4A" w:rsidP="00092987">
            <w:pPr>
              <w:pStyle w:val="DHSBulletslevel"/>
              <w:cnfStyle w:val="000000000000" w:firstRow="0" w:lastRow="0" w:firstColumn="0" w:lastColumn="0" w:oddVBand="0" w:evenVBand="0" w:oddHBand="0" w:evenHBand="0" w:firstRowFirstColumn="0" w:firstRowLastColumn="0" w:lastRowFirstColumn="0" w:lastRowLastColumn="0"/>
            </w:pPr>
            <w:r w:rsidRPr="00933B9B">
              <w:t xml:space="preserve">deliver </w:t>
            </w:r>
            <w:r w:rsidRPr="007B1A87">
              <w:t>10 or more babies</w:t>
            </w:r>
            <w:r w:rsidRPr="00933B9B">
              <w:t xml:space="preserve"> in the 6 month reference period</w:t>
            </w:r>
            <w:r w:rsidR="007A2F1F">
              <w:t>.</w:t>
            </w:r>
          </w:p>
          <w:p w14:paraId="08975CAD" w14:textId="77777777" w:rsidR="00EA6B4A"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 xml:space="preserve">If a sole GP in a community delivers less than 10 babies, but meets the obstetric needs of the community, the practice may qualify for a Tier 4 payment. </w:t>
            </w:r>
          </w:p>
          <w:p w14:paraId="31CB0D39" w14:textId="24F3DAA5" w:rsidR="00EA6B4A" w:rsidRPr="00E979E7"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The practice will need to show that it is delivering all the babies in the community to be eligible for this payment.</w:t>
            </w:r>
          </w:p>
          <w:p w14:paraId="55C71C45" w14:textId="77777777" w:rsidR="00EA6B4A" w:rsidRPr="00E979E7"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Practices with more than 1 GP can’t combine the number of deliveries in the practice to qualify for this tier.</w:t>
            </w:r>
          </w:p>
          <w:p w14:paraId="529477BB" w14:textId="77777777" w:rsidR="00EA6B4A" w:rsidRPr="00E979E7" w:rsidRDefault="00EA6B4A" w:rsidP="00092987">
            <w:pPr>
              <w:pStyle w:val="DHSBodytext"/>
              <w:cnfStyle w:val="000000000000" w:firstRow="0" w:lastRow="0" w:firstColumn="0" w:lastColumn="0" w:oddVBand="0" w:evenVBand="0" w:oddHBand="0" w:evenHBand="0" w:firstRowFirstColumn="0" w:firstRowLastColumn="0" w:lastRowFirstColumn="0" w:lastRowLastColumn="0"/>
            </w:pPr>
            <w:r w:rsidRPr="00E979E7">
              <w:t>Practices with exceptional circumstances should contact us. We will consider their circumstances on a case by case basis.</w:t>
            </w:r>
          </w:p>
        </w:tc>
      </w:tr>
    </w:tbl>
    <w:p w14:paraId="208EC535" w14:textId="1657F917" w:rsidR="00F52FA3" w:rsidRDefault="00F52FA3" w:rsidP="007A2F1F">
      <w:pPr>
        <w:pStyle w:val="DHSHeadinglevel3"/>
      </w:pPr>
      <w:r w:rsidRPr="009E74A3">
        <w:t>Limits</w:t>
      </w:r>
    </w:p>
    <w:p w14:paraId="21C4CFFF" w14:textId="77777777" w:rsidR="00272532" w:rsidRDefault="00BE7731" w:rsidP="00092987">
      <w:pPr>
        <w:pStyle w:val="DHSBodytext"/>
      </w:pPr>
      <w:r w:rsidRPr="00E979E7">
        <w:t>There is no limit to the number of procedural GPs who can generate payments for a practice</w:t>
      </w:r>
      <w:r>
        <w:t>.</w:t>
      </w:r>
      <w:r w:rsidRPr="00E979E7">
        <w:t xml:space="preserve"> </w:t>
      </w:r>
      <w:r>
        <w:t>H</w:t>
      </w:r>
      <w:r w:rsidRPr="00E979E7">
        <w:t xml:space="preserve">owever, </w:t>
      </w:r>
      <w:r w:rsidR="00D13659">
        <w:t>to be eligible for a payment</w:t>
      </w:r>
      <w:r w:rsidR="00272532">
        <w:t>,</w:t>
      </w:r>
      <w:r w:rsidR="00D13659" w:rsidRPr="00E979E7">
        <w:t xml:space="preserve"> </w:t>
      </w:r>
      <w:r w:rsidRPr="00E979E7">
        <w:t>GPs must</w:t>
      </w:r>
      <w:r w:rsidR="00272532">
        <w:t>:</w:t>
      </w:r>
    </w:p>
    <w:p w14:paraId="6808D460" w14:textId="14BE6F5F" w:rsidR="00272532" w:rsidRDefault="00BE7731" w:rsidP="00092987">
      <w:pPr>
        <w:pStyle w:val="DHSBulletslevel"/>
      </w:pPr>
      <w:r w:rsidRPr="00E979E7">
        <w:t>individually meet the requirements of the tier</w:t>
      </w:r>
      <w:r>
        <w:t xml:space="preserve"> </w:t>
      </w:r>
    </w:p>
    <w:p w14:paraId="1473162D" w14:textId="68C35258" w:rsidR="00BE7731" w:rsidRDefault="00BE7731" w:rsidP="00092987">
      <w:pPr>
        <w:pStyle w:val="DHSBulletslevel"/>
      </w:pPr>
      <w:r>
        <w:t>be at the practice</w:t>
      </w:r>
      <w:r w:rsidRPr="00E979E7">
        <w:t xml:space="preserve"> at the point</w:t>
      </w:r>
      <w:r w:rsidR="005D69D7">
        <w:t xml:space="preserve"> </w:t>
      </w:r>
      <w:r w:rsidRPr="00E979E7">
        <w:t>in</w:t>
      </w:r>
      <w:r w:rsidR="005D69D7">
        <w:t xml:space="preserve"> </w:t>
      </w:r>
      <w:r w:rsidRPr="00E979E7">
        <w:t>tim</w:t>
      </w:r>
      <w:r>
        <w:t>e date before the payment month</w:t>
      </w:r>
      <w:r w:rsidR="007A2F1F">
        <w:t>.</w:t>
      </w:r>
      <w:r>
        <w:t xml:space="preserve"> </w:t>
      </w:r>
    </w:p>
    <w:p w14:paraId="1E2665C9" w14:textId="17074CA3" w:rsidR="00BE7731" w:rsidRDefault="00BE7731" w:rsidP="00092987">
      <w:pPr>
        <w:pStyle w:val="DHSBodytext"/>
      </w:pPr>
      <w:r w:rsidRPr="00E979E7">
        <w:t xml:space="preserve">Practices with more than 1 GP performing procedural services can’t combine the number of services to receive a payment. </w:t>
      </w:r>
    </w:p>
    <w:p w14:paraId="7F0233E3" w14:textId="271AD9E3" w:rsidR="008E458B" w:rsidRDefault="008E458B" w:rsidP="00092987">
      <w:pPr>
        <w:pStyle w:val="DHSBodytext"/>
      </w:pPr>
      <w:r>
        <w:t xml:space="preserve">GP’s who perform procedural services at more than </w:t>
      </w:r>
      <w:r w:rsidR="00910407">
        <w:t>1</w:t>
      </w:r>
      <w:r>
        <w:t xml:space="preserve"> PIP </w:t>
      </w:r>
      <w:r w:rsidR="00740A29">
        <w:t>p</w:t>
      </w:r>
      <w:r>
        <w:t xml:space="preserve">ractice must </w:t>
      </w:r>
      <w:r w:rsidR="00557F25">
        <w:t xml:space="preserve">tell us which </w:t>
      </w:r>
      <w:r>
        <w:t>practice the payment should go to</w:t>
      </w:r>
      <w:r w:rsidR="00557F25">
        <w:t>, they can’t claim procedural services for more than 1 practice at a time</w:t>
      </w:r>
      <w:r>
        <w:t>.</w:t>
      </w:r>
    </w:p>
    <w:p w14:paraId="47FBAA1E" w14:textId="77777777" w:rsidR="00F52FA3" w:rsidRDefault="00F52FA3" w:rsidP="00092987">
      <w:pPr>
        <w:pStyle w:val="DHSBodytext"/>
      </w:pPr>
    </w:p>
    <w:p w14:paraId="2B7D7A8D" w14:textId="24AA0393" w:rsidR="00D13659" w:rsidRPr="00E979E7" w:rsidRDefault="00D13659" w:rsidP="00092987">
      <w:pPr>
        <w:pStyle w:val="DHSHeadinglevel2"/>
      </w:pPr>
      <w:r>
        <w:t xml:space="preserve">When </w:t>
      </w:r>
      <w:r w:rsidR="00296962">
        <w:t xml:space="preserve">we make </w:t>
      </w:r>
      <w:r>
        <w:t>payments</w:t>
      </w:r>
    </w:p>
    <w:p w14:paraId="421B94A7" w14:textId="7E67E335" w:rsidR="00BE7731" w:rsidRDefault="00BE7731" w:rsidP="00092987">
      <w:pPr>
        <w:pStyle w:val="DHSBodytext"/>
      </w:pPr>
      <w:r w:rsidRPr="00E979E7">
        <w:t xml:space="preserve">The quarterly PIP payment advice for the February and August payments will </w:t>
      </w:r>
      <w:r w:rsidR="00EF09C6">
        <w:t>show</w:t>
      </w:r>
      <w:r w:rsidRPr="00E979E7">
        <w:t xml:space="preserve"> </w:t>
      </w:r>
      <w:r w:rsidR="00272532">
        <w:t>which GP provided</w:t>
      </w:r>
      <w:r w:rsidRPr="00E979E7">
        <w:t xml:space="preserve"> the procedural service and the payment amount.</w:t>
      </w:r>
    </w:p>
    <w:p w14:paraId="49E59F7D" w14:textId="6480CBF8" w:rsidR="00AC69A8" w:rsidRDefault="00AC69A8" w:rsidP="00092987">
      <w:pPr>
        <w:pStyle w:val="DHSBodytext"/>
      </w:pPr>
      <w:r>
        <w:t>We will automatically pay t</w:t>
      </w:r>
      <w:r w:rsidRPr="00E979E7">
        <w:t xml:space="preserve">he </w:t>
      </w:r>
      <w:r>
        <w:t>PIP Procedural GP Payment</w:t>
      </w:r>
      <w:r w:rsidRPr="00E979E7">
        <w:t xml:space="preserve"> directly to the practice’s nominated bank account every 6 months in February and August. </w:t>
      </w:r>
    </w:p>
    <w:p w14:paraId="3722B332" w14:textId="6094D0E9" w:rsidR="00BE7731" w:rsidRPr="00E979E7" w:rsidRDefault="00BE7731" w:rsidP="007A2F1F">
      <w:pPr>
        <w:pStyle w:val="DHSHeadinglevel3"/>
      </w:pPr>
      <w:r>
        <w:t>Reference</w:t>
      </w:r>
      <w:r w:rsidR="00272532">
        <w:t xml:space="preserve"> periods, point</w:t>
      </w:r>
      <w:r w:rsidR="005D69D7">
        <w:t xml:space="preserve"> </w:t>
      </w:r>
      <w:r w:rsidR="00272532">
        <w:t>in</w:t>
      </w:r>
      <w:r w:rsidR="005D69D7">
        <w:t xml:space="preserve"> </w:t>
      </w:r>
      <w:r>
        <w:t>time dates and payment months</w:t>
      </w:r>
    </w:p>
    <w:tbl>
      <w:tblPr>
        <w:tblStyle w:val="GridTable1Light10"/>
        <w:tblW w:w="7772" w:type="dxa"/>
        <w:tblLook w:val="04A0" w:firstRow="1" w:lastRow="0" w:firstColumn="1" w:lastColumn="0" w:noHBand="0" w:noVBand="1"/>
        <w:tblCaption w:val="Table 2 - Timing of Payments"/>
        <w:tblDescription w:val="This table shows dates, when the PIP Procedural GP Payment is paid. It is paid to practices twice a year, in February and August, and is based on practices meeting the requirements for procedural activities undertaken within the preceding six month reference period"/>
      </w:tblPr>
      <w:tblGrid>
        <w:gridCol w:w="2493"/>
        <w:gridCol w:w="2623"/>
        <w:gridCol w:w="2656"/>
      </w:tblGrid>
      <w:tr w:rsidR="00557F25" w:rsidRPr="00E979E7" w14:paraId="2831CF28" w14:textId="77777777" w:rsidTr="00266FB2">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493" w:type="dxa"/>
          </w:tcPr>
          <w:p w14:paraId="4941478D" w14:textId="77777777" w:rsidR="00557F25" w:rsidRPr="00E979E7" w:rsidRDefault="00557F25" w:rsidP="00092987">
            <w:pPr>
              <w:pStyle w:val="DHSBodytext"/>
            </w:pPr>
            <w:r w:rsidRPr="00E979E7">
              <w:t>Reference period</w:t>
            </w:r>
          </w:p>
        </w:tc>
        <w:tc>
          <w:tcPr>
            <w:tcW w:w="2623" w:type="dxa"/>
          </w:tcPr>
          <w:p w14:paraId="6862C383" w14:textId="70EF6F10" w:rsidR="00557F25" w:rsidRPr="00E979E7" w:rsidRDefault="00557F25" w:rsidP="00092987">
            <w:pPr>
              <w:pStyle w:val="DHSBodytext"/>
              <w:cnfStyle w:val="100000000000" w:firstRow="1" w:lastRow="0" w:firstColumn="0" w:lastColumn="0" w:oddVBand="0" w:evenVBand="0" w:oddHBand="0" w:evenHBand="0" w:firstRowFirstColumn="0" w:firstRowLastColumn="0" w:lastRowFirstColumn="0" w:lastRowLastColumn="0"/>
            </w:pPr>
            <w:r w:rsidRPr="00E979E7">
              <w:t>Point</w:t>
            </w:r>
            <w:r w:rsidR="005D69D7">
              <w:t xml:space="preserve"> </w:t>
            </w:r>
            <w:r w:rsidRPr="00E979E7">
              <w:t>in</w:t>
            </w:r>
            <w:r w:rsidR="005D69D7">
              <w:t xml:space="preserve"> </w:t>
            </w:r>
            <w:r w:rsidRPr="00E979E7">
              <w:t>time</w:t>
            </w:r>
          </w:p>
        </w:tc>
        <w:tc>
          <w:tcPr>
            <w:tcW w:w="2656" w:type="dxa"/>
          </w:tcPr>
          <w:p w14:paraId="2FF369E2" w14:textId="20BB2353" w:rsidR="00557F25" w:rsidRPr="00E979E7" w:rsidRDefault="00557F25" w:rsidP="00092987">
            <w:pPr>
              <w:pStyle w:val="DHSBodytext"/>
              <w:cnfStyle w:val="100000000000" w:firstRow="1" w:lastRow="0" w:firstColumn="0" w:lastColumn="0" w:oddVBand="0" w:evenVBand="0" w:oddHBand="0" w:evenHBand="0" w:firstRowFirstColumn="0" w:firstRowLastColumn="0" w:lastRowFirstColumn="0" w:lastRowLastColumn="0"/>
            </w:pPr>
            <w:r w:rsidRPr="00E979E7">
              <w:t xml:space="preserve">Payment </w:t>
            </w:r>
            <w:r>
              <w:t>month</w:t>
            </w:r>
          </w:p>
        </w:tc>
      </w:tr>
      <w:tr w:rsidR="00557F25" w:rsidRPr="00E979E7" w14:paraId="6BF3DA8E" w14:textId="77777777" w:rsidTr="00266FB2">
        <w:trPr>
          <w:trHeight w:val="490"/>
        </w:trPr>
        <w:tc>
          <w:tcPr>
            <w:cnfStyle w:val="001000000000" w:firstRow="0" w:lastRow="0" w:firstColumn="1" w:lastColumn="0" w:oddVBand="0" w:evenVBand="0" w:oddHBand="0" w:evenHBand="0" w:firstRowFirstColumn="0" w:firstRowLastColumn="0" w:lastRowFirstColumn="0" w:lastRowLastColumn="0"/>
            <w:tcW w:w="2493" w:type="dxa"/>
          </w:tcPr>
          <w:p w14:paraId="19E4F305" w14:textId="77777777" w:rsidR="00557F25" w:rsidRPr="007A2F1F" w:rsidRDefault="00557F25" w:rsidP="00092987">
            <w:pPr>
              <w:pStyle w:val="DHSBodytext"/>
              <w:rPr>
                <w:b w:val="0"/>
              </w:rPr>
            </w:pPr>
            <w:r w:rsidRPr="007A2F1F">
              <w:rPr>
                <w:b w:val="0"/>
              </w:rPr>
              <w:t>1 January – 30 June</w:t>
            </w:r>
          </w:p>
        </w:tc>
        <w:tc>
          <w:tcPr>
            <w:tcW w:w="2623" w:type="dxa"/>
          </w:tcPr>
          <w:p w14:paraId="7F4BD736" w14:textId="7D4633A9" w:rsidR="00557F25" w:rsidRPr="00E979E7" w:rsidRDefault="00557F25" w:rsidP="00092987">
            <w:pPr>
              <w:pStyle w:val="DHSBodytext"/>
              <w:cnfStyle w:val="000000000000" w:firstRow="0" w:lastRow="0" w:firstColumn="0" w:lastColumn="0" w:oddVBand="0" w:evenVBand="0" w:oddHBand="0" w:evenHBand="0" w:firstRowFirstColumn="0" w:firstRowLastColumn="0" w:lastRowFirstColumn="0" w:lastRowLastColumn="0"/>
            </w:pPr>
            <w:r w:rsidRPr="00E979E7">
              <w:t>31 July</w:t>
            </w:r>
          </w:p>
        </w:tc>
        <w:tc>
          <w:tcPr>
            <w:tcW w:w="2656" w:type="dxa"/>
          </w:tcPr>
          <w:p w14:paraId="1B8C2F00" w14:textId="77777777" w:rsidR="00557F25" w:rsidRPr="00E979E7" w:rsidRDefault="00557F25" w:rsidP="00092987">
            <w:pPr>
              <w:pStyle w:val="DHSBodytext"/>
              <w:cnfStyle w:val="000000000000" w:firstRow="0" w:lastRow="0" w:firstColumn="0" w:lastColumn="0" w:oddVBand="0" w:evenVBand="0" w:oddHBand="0" w:evenHBand="0" w:firstRowFirstColumn="0" w:firstRowLastColumn="0" w:lastRowFirstColumn="0" w:lastRowLastColumn="0"/>
            </w:pPr>
            <w:r w:rsidRPr="00E979E7">
              <w:t>August</w:t>
            </w:r>
          </w:p>
        </w:tc>
      </w:tr>
      <w:tr w:rsidR="00557F25" w:rsidRPr="00E979E7" w14:paraId="2062B920" w14:textId="77777777" w:rsidTr="00266FB2">
        <w:trPr>
          <w:trHeight w:val="490"/>
        </w:trPr>
        <w:tc>
          <w:tcPr>
            <w:cnfStyle w:val="001000000000" w:firstRow="0" w:lastRow="0" w:firstColumn="1" w:lastColumn="0" w:oddVBand="0" w:evenVBand="0" w:oddHBand="0" w:evenHBand="0" w:firstRowFirstColumn="0" w:firstRowLastColumn="0" w:lastRowFirstColumn="0" w:lastRowLastColumn="0"/>
            <w:tcW w:w="2493" w:type="dxa"/>
          </w:tcPr>
          <w:p w14:paraId="05146556" w14:textId="77777777" w:rsidR="00557F25" w:rsidRPr="007A2F1F" w:rsidRDefault="00557F25" w:rsidP="00092987">
            <w:pPr>
              <w:pStyle w:val="DHSBodytext"/>
              <w:rPr>
                <w:b w:val="0"/>
              </w:rPr>
            </w:pPr>
            <w:r w:rsidRPr="007A2F1F">
              <w:rPr>
                <w:b w:val="0"/>
              </w:rPr>
              <w:t>1 July – 31 December</w:t>
            </w:r>
          </w:p>
        </w:tc>
        <w:tc>
          <w:tcPr>
            <w:tcW w:w="2623" w:type="dxa"/>
          </w:tcPr>
          <w:p w14:paraId="7A804F82" w14:textId="671DFAC5" w:rsidR="00557F25" w:rsidRPr="00E979E7" w:rsidRDefault="00557F25" w:rsidP="00092987">
            <w:pPr>
              <w:pStyle w:val="DHSBodytext"/>
              <w:cnfStyle w:val="000000000000" w:firstRow="0" w:lastRow="0" w:firstColumn="0" w:lastColumn="0" w:oddVBand="0" w:evenVBand="0" w:oddHBand="0" w:evenHBand="0" w:firstRowFirstColumn="0" w:firstRowLastColumn="0" w:lastRowFirstColumn="0" w:lastRowLastColumn="0"/>
            </w:pPr>
            <w:r w:rsidRPr="00E979E7">
              <w:t>31 January</w:t>
            </w:r>
          </w:p>
        </w:tc>
        <w:tc>
          <w:tcPr>
            <w:tcW w:w="2656" w:type="dxa"/>
          </w:tcPr>
          <w:p w14:paraId="27772211" w14:textId="77777777" w:rsidR="00557F25" w:rsidRPr="00E979E7" w:rsidRDefault="00557F25" w:rsidP="00092987">
            <w:pPr>
              <w:pStyle w:val="DHSBodytext"/>
              <w:cnfStyle w:val="000000000000" w:firstRow="0" w:lastRow="0" w:firstColumn="0" w:lastColumn="0" w:oddVBand="0" w:evenVBand="0" w:oddHBand="0" w:evenHBand="0" w:firstRowFirstColumn="0" w:firstRowLastColumn="0" w:lastRowFirstColumn="0" w:lastRowLastColumn="0"/>
            </w:pPr>
            <w:r w:rsidRPr="00E979E7">
              <w:t>February</w:t>
            </w:r>
          </w:p>
        </w:tc>
      </w:tr>
    </w:tbl>
    <w:p w14:paraId="60CE3612" w14:textId="516506ED" w:rsidR="00BE7731" w:rsidRPr="00E979E7" w:rsidRDefault="00296962" w:rsidP="00092987">
      <w:pPr>
        <w:pStyle w:val="DHSBodytext"/>
      </w:pPr>
      <w:r>
        <w:t>We calculate the p</w:t>
      </w:r>
      <w:r w:rsidR="00BE7731" w:rsidRPr="00E979E7">
        <w:t xml:space="preserve">ractice payments based on the eligibility status at a </w:t>
      </w:r>
      <w:r w:rsidR="00BE7731">
        <w:t>point</w:t>
      </w:r>
      <w:r w:rsidR="005D69D7">
        <w:t xml:space="preserve"> </w:t>
      </w:r>
      <w:r w:rsidR="00BE7731">
        <w:t>in</w:t>
      </w:r>
      <w:r w:rsidR="005D69D7">
        <w:t xml:space="preserve"> </w:t>
      </w:r>
      <w:r w:rsidR="00BE7731" w:rsidRPr="00E979E7">
        <w:t>time. The point</w:t>
      </w:r>
      <w:r>
        <w:t xml:space="preserve"> </w:t>
      </w:r>
      <w:r w:rsidR="00BE7731" w:rsidRPr="00E979E7">
        <w:t>in</w:t>
      </w:r>
      <w:r>
        <w:t xml:space="preserve"> t</w:t>
      </w:r>
      <w:r w:rsidR="00BE7731" w:rsidRPr="00E979E7">
        <w:t xml:space="preserve">ime date is the last day of the month before the next PIP Procedural GP Payment. </w:t>
      </w:r>
    </w:p>
    <w:p w14:paraId="61FD4906" w14:textId="262CF307" w:rsidR="00BE7731" w:rsidRDefault="0027598B" w:rsidP="00092987">
      <w:pPr>
        <w:pStyle w:val="DHSBodytext"/>
      </w:pPr>
      <w:r>
        <w:t>T</w:t>
      </w:r>
      <w:r w:rsidR="00BE7731" w:rsidRPr="00E979E7">
        <w:t xml:space="preserve">o </w:t>
      </w:r>
      <w:r w:rsidR="00395237">
        <w:t>get</w:t>
      </w:r>
      <w:r w:rsidR="00BE7731" w:rsidRPr="00E979E7">
        <w:t xml:space="preserve"> a payment in August</w:t>
      </w:r>
      <w:r w:rsidR="00BE7731">
        <w:t>,</w:t>
      </w:r>
      <w:r w:rsidR="00BE7731" w:rsidRPr="00E979E7">
        <w:t xml:space="preserve"> practices must meet the requirements throughout the reference period of 1</w:t>
      </w:r>
      <w:r w:rsidR="00BE7731">
        <w:t> </w:t>
      </w:r>
      <w:r w:rsidR="00BE7731" w:rsidRPr="00E979E7">
        <w:t>January to 30 June</w:t>
      </w:r>
      <w:r w:rsidR="008A4731">
        <w:t xml:space="preserve">. We must have </w:t>
      </w:r>
      <w:r w:rsidR="00BE7731" w:rsidRPr="00E979E7">
        <w:t xml:space="preserve">assessed </w:t>
      </w:r>
      <w:r w:rsidR="008A4731">
        <w:t xml:space="preserve">the practice </w:t>
      </w:r>
      <w:r w:rsidR="00BE7731" w:rsidRPr="00E979E7">
        <w:t>as eligible at 31 July (the point</w:t>
      </w:r>
      <w:r w:rsidR="005D69D7">
        <w:t xml:space="preserve"> </w:t>
      </w:r>
      <w:r w:rsidR="00BE7731" w:rsidRPr="00E979E7">
        <w:t>in</w:t>
      </w:r>
      <w:r w:rsidR="005D69D7">
        <w:t xml:space="preserve"> </w:t>
      </w:r>
      <w:r w:rsidR="00BE7731" w:rsidRPr="00E979E7">
        <w:t xml:space="preserve">time). </w:t>
      </w:r>
    </w:p>
    <w:p w14:paraId="4CE74804" w14:textId="52B5CD9B" w:rsidR="00BE7731" w:rsidRPr="00E979E7" w:rsidRDefault="00BE7731" w:rsidP="00092987">
      <w:pPr>
        <w:pStyle w:val="DHSBodytext"/>
      </w:pPr>
      <w:r w:rsidRPr="00E979E7">
        <w:t xml:space="preserve">To </w:t>
      </w:r>
      <w:r w:rsidR="00395237">
        <w:t>get</w:t>
      </w:r>
      <w:r w:rsidRPr="00E979E7">
        <w:t xml:space="preserve"> a payment in February, </w:t>
      </w:r>
      <w:r w:rsidR="00EF09C6">
        <w:t xml:space="preserve">practices must meet </w:t>
      </w:r>
      <w:r>
        <w:t xml:space="preserve">the </w:t>
      </w:r>
      <w:r w:rsidRPr="00E979E7">
        <w:t>requirements throughout the reference period of 1 July to 31</w:t>
      </w:r>
      <w:r w:rsidR="00EF09C6">
        <w:t> </w:t>
      </w:r>
      <w:r w:rsidRPr="00E979E7">
        <w:t>December</w:t>
      </w:r>
      <w:r w:rsidR="008A4731">
        <w:t xml:space="preserve">. We must have </w:t>
      </w:r>
      <w:r w:rsidRPr="00E979E7">
        <w:t xml:space="preserve">assessed </w:t>
      </w:r>
      <w:r w:rsidR="008A4731">
        <w:t xml:space="preserve">the practice </w:t>
      </w:r>
      <w:r w:rsidRPr="00E979E7">
        <w:t>as eligible at 31 January (the</w:t>
      </w:r>
      <w:r w:rsidR="00740A29">
        <w:t xml:space="preserve"> </w:t>
      </w:r>
      <w:r w:rsidRPr="00E979E7">
        <w:t>point</w:t>
      </w:r>
      <w:r w:rsidR="005D69D7">
        <w:t xml:space="preserve"> </w:t>
      </w:r>
      <w:r w:rsidRPr="00E979E7">
        <w:t>in</w:t>
      </w:r>
      <w:r w:rsidR="005D69D7">
        <w:t xml:space="preserve"> </w:t>
      </w:r>
      <w:r w:rsidRPr="00E979E7">
        <w:t>time).</w:t>
      </w:r>
    </w:p>
    <w:p w14:paraId="5FC29D50" w14:textId="07E71923" w:rsidR="00BE7731" w:rsidRPr="00E979E7" w:rsidRDefault="00BE7731" w:rsidP="00092987">
      <w:pPr>
        <w:pStyle w:val="DHSBodytext"/>
      </w:pPr>
      <w:r w:rsidRPr="00E979E7">
        <w:lastRenderedPageBreak/>
        <w:t>Practices must tell us at least 7 days before the relevant point</w:t>
      </w:r>
      <w:r w:rsidR="005D69D7">
        <w:t xml:space="preserve"> </w:t>
      </w:r>
      <w:r w:rsidRPr="00E979E7">
        <w:t>in</w:t>
      </w:r>
      <w:r w:rsidR="005D69D7">
        <w:t xml:space="preserve"> </w:t>
      </w:r>
      <w:r>
        <w:t>time date if the procedural GP</w:t>
      </w:r>
      <w:r w:rsidRPr="00E979E7">
        <w:t>s have not met the requirements for the activity tier claimed or have ceased working at the practice.</w:t>
      </w:r>
    </w:p>
    <w:p w14:paraId="4819FA6D" w14:textId="5FE6D8B7" w:rsidR="00BE7731" w:rsidRPr="00E979E7" w:rsidRDefault="008A4731" w:rsidP="00092987">
      <w:pPr>
        <w:pStyle w:val="DHSBodytext"/>
      </w:pPr>
      <w:r>
        <w:t>We automatically apply a</w:t>
      </w:r>
      <w:r w:rsidR="00BE7731" w:rsidRPr="00E979E7">
        <w:t xml:space="preserve"> rural loading</w:t>
      </w:r>
      <w:r w:rsidRPr="008A4731">
        <w:t xml:space="preserve"> </w:t>
      </w:r>
      <w:r w:rsidRPr="00E979E7">
        <w:t>to the PIP Procedural GP Payment</w:t>
      </w:r>
      <w:r>
        <w:t>. This</w:t>
      </w:r>
      <w:r w:rsidR="00BE7731" w:rsidRPr="00E979E7">
        <w:t xml:space="preserve"> varies according to the location of the main practice.</w:t>
      </w:r>
    </w:p>
    <w:p w14:paraId="217067BC" w14:textId="22BAEA84" w:rsidR="002F78FF" w:rsidRDefault="00E16816" w:rsidP="00092987">
      <w:pPr>
        <w:pStyle w:val="DHSHeadinglevel2"/>
      </w:pPr>
      <w:r w:rsidRPr="005E23A4">
        <w:t>Applying</w:t>
      </w:r>
    </w:p>
    <w:p w14:paraId="6AF9A0CC" w14:textId="3CCF05D9" w:rsidR="00EA6B4A" w:rsidRPr="009E74A3" w:rsidRDefault="00EA6B4A" w:rsidP="00092987">
      <w:pPr>
        <w:pStyle w:val="DHSBodytext"/>
      </w:pPr>
      <w:r w:rsidRPr="009E74A3">
        <w:t xml:space="preserve">To </w:t>
      </w:r>
      <w:r w:rsidR="00740A29" w:rsidRPr="009E74A3">
        <w:t>apply for the Procedural GP P</w:t>
      </w:r>
      <w:r w:rsidRPr="009E74A3">
        <w:t>ayment your practice must be eligible for the PIP</w:t>
      </w:r>
      <w:r w:rsidR="007F4639" w:rsidRPr="009E74A3">
        <w:t xml:space="preserve"> as defined in the PIP Guidelines.</w:t>
      </w:r>
    </w:p>
    <w:p w14:paraId="087DAC5D" w14:textId="6E892E8C" w:rsidR="00FE372C" w:rsidRDefault="00EA6B4A" w:rsidP="00092987">
      <w:pPr>
        <w:pStyle w:val="DHSBodytext"/>
      </w:pPr>
      <w:r w:rsidRPr="009E74A3">
        <w:t xml:space="preserve">Your </w:t>
      </w:r>
      <w:r w:rsidR="000063BD" w:rsidRPr="009E74A3">
        <w:t>p</w:t>
      </w:r>
      <w:r w:rsidR="004020F6" w:rsidRPr="009E74A3">
        <w:t xml:space="preserve">ractice can apply for the PIP Procedural GP Payment when </w:t>
      </w:r>
      <w:r w:rsidRPr="009E74A3">
        <w:t>you</w:t>
      </w:r>
      <w:r w:rsidR="004020F6" w:rsidRPr="009E74A3">
        <w:t xml:space="preserve"> apply for the PIP</w:t>
      </w:r>
      <w:r w:rsidR="00FE372C" w:rsidRPr="009E74A3">
        <w:t>.</w:t>
      </w:r>
    </w:p>
    <w:p w14:paraId="7EFA06E4" w14:textId="73287BCC" w:rsidR="007535ED" w:rsidRDefault="00FB0ECC" w:rsidP="00092987">
      <w:pPr>
        <w:pStyle w:val="DHSHeadinglevel2"/>
      </w:pPr>
      <w:r>
        <w:t>How to apply</w:t>
      </w:r>
    </w:p>
    <w:p w14:paraId="3B21DE2E" w14:textId="3BCE16D7" w:rsidR="007535ED" w:rsidRDefault="007535ED" w:rsidP="00092987">
      <w:pPr>
        <w:pStyle w:val="DHSBodytext"/>
      </w:pPr>
      <w:r>
        <w:t xml:space="preserve">You can apply online or </w:t>
      </w:r>
      <w:r w:rsidR="00FB0ECC">
        <w:t>using</w:t>
      </w:r>
      <w:r>
        <w:t xml:space="preserve"> form.</w:t>
      </w:r>
    </w:p>
    <w:p w14:paraId="6C7B8F5F" w14:textId="77777777" w:rsidR="007535ED" w:rsidRDefault="007535ED" w:rsidP="007A2F1F">
      <w:pPr>
        <w:pStyle w:val="DHSHeadinglevel3"/>
      </w:pPr>
      <w:r>
        <w:t>Online</w:t>
      </w:r>
    </w:p>
    <w:p w14:paraId="7301CA9E" w14:textId="77777777" w:rsidR="002B1A76" w:rsidRPr="00087E5B" w:rsidRDefault="002B1A76" w:rsidP="00092987">
      <w:pPr>
        <w:pStyle w:val="DHSBodytext"/>
      </w:pPr>
      <w:r w:rsidRPr="00087E5B">
        <w:t xml:space="preserve">Apply through </w:t>
      </w:r>
      <w:r w:rsidRPr="00B56EFC">
        <w:t>Health Professional Online Services (HPOS)</w:t>
      </w:r>
      <w:r w:rsidRPr="00087E5B">
        <w:t xml:space="preserve"> </w:t>
      </w:r>
      <w:r>
        <w:t xml:space="preserve">at </w:t>
      </w:r>
      <w:hyperlink r:id="rId9" w:history="1">
        <w:r w:rsidRPr="00FB0ECC">
          <w:rPr>
            <w:rStyle w:val="Hyperlink"/>
            <w:b/>
            <w:szCs w:val="20"/>
          </w:rPr>
          <w:t>humanservices.gov.au/hpos</w:t>
        </w:r>
      </w:hyperlink>
      <w:r>
        <w:t xml:space="preserve"> </w:t>
      </w:r>
      <w:r w:rsidRPr="00087E5B">
        <w:t>using your Provider Digital Access (PRODA) account.</w:t>
      </w:r>
    </w:p>
    <w:p w14:paraId="26C70DE1" w14:textId="77777777" w:rsidR="002B1A76" w:rsidRPr="00FB0ECC" w:rsidRDefault="002B1A76" w:rsidP="00092987">
      <w:pPr>
        <w:pStyle w:val="DHSBodytext"/>
        <w:rPr>
          <w:b/>
          <w:szCs w:val="20"/>
        </w:rPr>
      </w:pPr>
      <w:r w:rsidRPr="00087E5B">
        <w:rPr>
          <w:szCs w:val="20"/>
        </w:rPr>
        <w:t xml:space="preserve">Read more about </w:t>
      </w:r>
      <w:r w:rsidRPr="00B56EFC">
        <w:rPr>
          <w:szCs w:val="20"/>
        </w:rPr>
        <w:t>PRODA</w:t>
      </w:r>
      <w:r w:rsidRPr="00087E5B">
        <w:rPr>
          <w:szCs w:val="20"/>
        </w:rPr>
        <w:t xml:space="preserve"> including how to create an account</w:t>
      </w:r>
      <w:r>
        <w:rPr>
          <w:szCs w:val="20"/>
        </w:rPr>
        <w:t xml:space="preserve"> at </w:t>
      </w:r>
      <w:hyperlink r:id="rId10" w:history="1">
        <w:r w:rsidRPr="00FB0ECC">
          <w:rPr>
            <w:rStyle w:val="Hyperlink"/>
            <w:b/>
            <w:szCs w:val="20"/>
          </w:rPr>
          <w:t>humanservices.gov.au/proda</w:t>
        </w:r>
      </w:hyperlink>
      <w:r w:rsidRPr="00FB0ECC">
        <w:rPr>
          <w:b/>
          <w:szCs w:val="20"/>
        </w:rPr>
        <w:t xml:space="preserve"> </w:t>
      </w:r>
    </w:p>
    <w:p w14:paraId="67B17E72" w14:textId="66CE8292" w:rsidR="007535ED" w:rsidRDefault="00FB0ECC" w:rsidP="007A2F1F">
      <w:pPr>
        <w:pStyle w:val="DHSHeadinglevel3"/>
      </w:pPr>
      <w:r>
        <w:t>Using a</w:t>
      </w:r>
      <w:r w:rsidR="007535ED">
        <w:t xml:space="preserve"> form</w:t>
      </w:r>
    </w:p>
    <w:p w14:paraId="15ECF10F" w14:textId="584C220B" w:rsidR="007535ED" w:rsidRDefault="007535ED" w:rsidP="00092987">
      <w:pPr>
        <w:pStyle w:val="DHSBodytext"/>
      </w:pPr>
      <w:r>
        <w:t>C</w:t>
      </w:r>
      <w:r w:rsidR="004020F6">
        <w:t>omplet</w:t>
      </w:r>
      <w:r>
        <w:t>e</w:t>
      </w:r>
      <w:r w:rsidR="004020F6">
        <w:t xml:space="preserve"> the</w:t>
      </w:r>
      <w:r>
        <w:t>:</w:t>
      </w:r>
    </w:p>
    <w:p w14:paraId="72F46427" w14:textId="0721A690" w:rsidR="004020F6" w:rsidRPr="00B728C4" w:rsidRDefault="00587866" w:rsidP="00092987">
      <w:pPr>
        <w:pStyle w:val="DHSBulletslevel"/>
      </w:pPr>
      <w:hyperlink r:id="rId11" w:history="1">
        <w:r w:rsidR="002B1A76" w:rsidRPr="002B1A76">
          <w:rPr>
            <w:rStyle w:val="Hyperlink"/>
          </w:rPr>
          <w:t>Practice Incentives Program</w:t>
        </w:r>
        <w:r w:rsidR="004020F6" w:rsidRPr="00B728C4">
          <w:rPr>
            <w:rStyle w:val="Hyperlink"/>
          </w:rPr>
          <w:t xml:space="preserve"> Procedural GP Payment application form</w:t>
        </w:r>
      </w:hyperlink>
      <w:r w:rsidR="004020F6" w:rsidRPr="00B728C4">
        <w:t xml:space="preserve"> to register the practice</w:t>
      </w:r>
    </w:p>
    <w:p w14:paraId="4F4B9C60" w14:textId="3E1201D1" w:rsidR="00525A7C" w:rsidRDefault="00587866" w:rsidP="007A2F1F">
      <w:pPr>
        <w:pStyle w:val="DHSBulletslevel"/>
      </w:pPr>
      <w:hyperlink r:id="rId12" w:history="1">
        <w:r w:rsidR="004020F6" w:rsidRPr="00B728C4">
          <w:rPr>
            <w:rStyle w:val="Hyperlink"/>
            <w:lang w:val="en-GB" w:eastAsia="en-US"/>
          </w:rPr>
          <w:t>Individual general practitioner or nurse practitioner details form</w:t>
        </w:r>
      </w:hyperlink>
      <w:r w:rsidR="004020F6" w:rsidRPr="00B728C4">
        <w:rPr>
          <w:lang w:val="en-GB" w:eastAsia="en-US"/>
        </w:rPr>
        <w:t xml:space="preserve"> to register</w:t>
      </w:r>
      <w:r w:rsidR="004020F6">
        <w:rPr>
          <w:lang w:val="en-GB" w:eastAsia="en-US"/>
        </w:rPr>
        <w:t xml:space="preserve"> individual GPs </w:t>
      </w:r>
    </w:p>
    <w:p w14:paraId="1005E9B5" w14:textId="58339E45" w:rsidR="007535ED" w:rsidRDefault="007535ED" w:rsidP="00FB0ECC">
      <w:pPr>
        <w:pStyle w:val="DHSHeadinglevel4"/>
      </w:pPr>
      <w:r>
        <w:t>Who should complete the form</w:t>
      </w:r>
    </w:p>
    <w:p w14:paraId="4457C0F2" w14:textId="0901BF87" w:rsidR="003D72E6" w:rsidRDefault="003D72E6" w:rsidP="00092987">
      <w:pPr>
        <w:pStyle w:val="DHSBodytext"/>
      </w:pPr>
      <w:r>
        <w:t>The practice’s authorised contact person</w:t>
      </w:r>
      <w:r w:rsidR="002B50DB">
        <w:t xml:space="preserve"> or owner</w:t>
      </w:r>
      <w:r>
        <w:t>, and the GPs providing the procedural services, must complete and sign the relevant parts of the form.</w:t>
      </w:r>
    </w:p>
    <w:p w14:paraId="6AF32332" w14:textId="7BBA77F6" w:rsidR="007535ED" w:rsidRDefault="007535ED" w:rsidP="00FB0ECC">
      <w:pPr>
        <w:pStyle w:val="DHSHeadinglevel4"/>
      </w:pPr>
      <w:r>
        <w:t>Submit your form</w:t>
      </w:r>
    </w:p>
    <w:p w14:paraId="62788C92" w14:textId="77777777" w:rsidR="000F2DB1" w:rsidRPr="003D11E2" w:rsidRDefault="000F2DB1" w:rsidP="00092987">
      <w:pPr>
        <w:pStyle w:val="DHSBodytext"/>
      </w:pPr>
      <w:bookmarkStart w:id="1" w:name="_Minimum_requirements_of"/>
      <w:bookmarkEnd w:id="1"/>
      <w:r>
        <w:t>Fax</w:t>
      </w:r>
      <w:r w:rsidRPr="003D11E2">
        <w:t xml:space="preserve"> your completed form and supporting documents to </w:t>
      </w:r>
      <w:r w:rsidRPr="00A65907">
        <w:rPr>
          <w:b/>
        </w:rPr>
        <w:t>1300 587 696</w:t>
      </w:r>
      <w:r w:rsidRPr="003D11E2">
        <w:t>.</w:t>
      </w:r>
    </w:p>
    <w:p w14:paraId="1B4DECA0" w14:textId="77777777" w:rsidR="0049003C" w:rsidRDefault="0049003C" w:rsidP="00092987">
      <w:pPr>
        <w:pStyle w:val="DHSBodytext"/>
      </w:pPr>
    </w:p>
    <w:p w14:paraId="5C29C514" w14:textId="3C34F79D" w:rsidR="00236865" w:rsidRDefault="00BD2B2A" w:rsidP="00092987">
      <w:pPr>
        <w:pStyle w:val="DHSHeadinglevel2"/>
      </w:pPr>
      <w:r>
        <w:t>Your obligations</w:t>
      </w:r>
    </w:p>
    <w:p w14:paraId="31FAAB05" w14:textId="2969C1C5" w:rsidR="00021EF5" w:rsidRDefault="00021EF5" w:rsidP="00092987">
      <w:pPr>
        <w:pStyle w:val="DHSBodytext"/>
      </w:pPr>
      <w:r>
        <w:t>To be eligible for payments under the PIP</w:t>
      </w:r>
      <w:r w:rsidR="00B02A53">
        <w:t xml:space="preserve"> Procedural GP payment</w:t>
      </w:r>
      <w:r>
        <w:t>, your practice must:</w:t>
      </w:r>
    </w:p>
    <w:p w14:paraId="787FA0FA" w14:textId="77777777" w:rsidR="00021EF5" w:rsidRDefault="00021EF5" w:rsidP="00092987">
      <w:pPr>
        <w:pStyle w:val="DHSBulletslevel"/>
      </w:pPr>
      <w:r>
        <w:t>meet the PIP obligations</w:t>
      </w:r>
    </w:p>
    <w:p w14:paraId="593B6327" w14:textId="706875C8" w:rsidR="00B02A53" w:rsidRDefault="00B02A53" w:rsidP="00092987">
      <w:pPr>
        <w:pStyle w:val="DHSBulletslevel"/>
      </w:pPr>
      <w:r>
        <w:t xml:space="preserve">meet the PIP Procedural </w:t>
      </w:r>
      <w:r w:rsidR="00740A29">
        <w:t>P</w:t>
      </w:r>
      <w:r>
        <w:t>ayment obligations</w:t>
      </w:r>
    </w:p>
    <w:p w14:paraId="534F7F92" w14:textId="6D6B2D0A" w:rsidR="00021EF5" w:rsidRDefault="00021EF5" w:rsidP="00092987">
      <w:pPr>
        <w:pStyle w:val="DHSBulletslevel"/>
      </w:pPr>
      <w:r>
        <w:t>be able to substantiate its claim</w:t>
      </w:r>
      <w:r w:rsidR="00FB0ECC">
        <w:t>.</w:t>
      </w:r>
    </w:p>
    <w:p w14:paraId="2BDDDB7B" w14:textId="77777777" w:rsidR="00021EF5" w:rsidRDefault="00021EF5" w:rsidP="00092987">
      <w:pPr>
        <w:pStyle w:val="DHSBodytext"/>
      </w:pPr>
      <w:r>
        <w:t>This may include evidence of a GP’s procedural activity and volume from existing hospital records and, if applicable, a statement or evidence of their after hours commitments.</w:t>
      </w:r>
    </w:p>
    <w:p w14:paraId="3B04463A" w14:textId="7C759D97" w:rsidR="00416F07" w:rsidRPr="00254D94" w:rsidRDefault="009D51E3" w:rsidP="00092987">
      <w:pPr>
        <w:pStyle w:val="DHSHeadinglevel2"/>
      </w:pPr>
      <w:r w:rsidRPr="00254D94">
        <w:t xml:space="preserve">Rights of </w:t>
      </w:r>
      <w:r w:rsidR="008607B8" w:rsidRPr="00254D94">
        <w:t>r</w:t>
      </w:r>
      <w:r w:rsidRPr="00254D94">
        <w:t>eview</w:t>
      </w:r>
    </w:p>
    <w:p w14:paraId="2E07050D" w14:textId="3B0543D9" w:rsidR="00EB2032" w:rsidRPr="00254D94" w:rsidRDefault="00EB2032" w:rsidP="00092987">
      <w:pPr>
        <w:pStyle w:val="DHSBodytext"/>
      </w:pPr>
      <w:r w:rsidRPr="00254D94">
        <w:t xml:space="preserve">The Practice Incentives Program (PIP) has a </w:t>
      </w:r>
      <w:r w:rsidR="00E70021">
        <w:t>r</w:t>
      </w:r>
      <w:r w:rsidRPr="00254D94">
        <w:t xml:space="preserve">eview </w:t>
      </w:r>
      <w:r w:rsidR="00E70021">
        <w:t>o</w:t>
      </w:r>
      <w:r w:rsidRPr="00254D94">
        <w:t xml:space="preserve">f </w:t>
      </w:r>
      <w:r w:rsidR="00E70021">
        <w:t>d</w:t>
      </w:r>
      <w:r w:rsidR="007154AF">
        <w:t xml:space="preserve">ecision </w:t>
      </w:r>
      <w:r w:rsidRPr="00254D94">
        <w:t>process. This is separate from reviews relating to program audits.</w:t>
      </w:r>
    </w:p>
    <w:p w14:paraId="5E597F5D" w14:textId="7D506417" w:rsidR="00EB2032" w:rsidRPr="00254D94" w:rsidRDefault="008A4731" w:rsidP="00092987">
      <w:pPr>
        <w:pStyle w:val="DHSBodytext"/>
      </w:pPr>
      <w:r w:rsidRPr="00254D94">
        <w:lastRenderedPageBreak/>
        <w:t>We base our d</w:t>
      </w:r>
      <w:r w:rsidR="00EB2032" w:rsidRPr="00254D94">
        <w:t>ecisions made under the program on the published guidelines as at the date of the event.</w:t>
      </w:r>
    </w:p>
    <w:p w14:paraId="2A78031B" w14:textId="65F09ECD" w:rsidR="00EB2032" w:rsidRPr="00254D94" w:rsidRDefault="00EB2032" w:rsidP="00092987">
      <w:pPr>
        <w:pStyle w:val="DHSBodytext"/>
        <w:rPr>
          <w:lang w:val="en-US"/>
        </w:rPr>
      </w:pPr>
      <w:r w:rsidRPr="00254D94">
        <w:rPr>
          <w:lang w:val="en-US"/>
        </w:rPr>
        <w:t xml:space="preserve">To request a review of a decision, the authorised contact person or the owners of the practice must write to us using the </w:t>
      </w:r>
      <w:hyperlink r:id="rId13" w:history="1">
        <w:r w:rsidRPr="00254D94">
          <w:rPr>
            <w:rStyle w:val="Hyperlink"/>
            <w:lang w:val="en-US"/>
          </w:rPr>
          <w:t xml:space="preserve">Practice Incentives </w:t>
        </w:r>
        <w:r w:rsidR="000F2DB1">
          <w:rPr>
            <w:rStyle w:val="Hyperlink"/>
            <w:lang w:val="en-US"/>
          </w:rPr>
          <w:t>R</w:t>
        </w:r>
        <w:r w:rsidRPr="00254D94">
          <w:rPr>
            <w:rStyle w:val="Hyperlink"/>
            <w:lang w:val="en-US"/>
          </w:rPr>
          <w:t>eview of decision form</w:t>
        </w:r>
      </w:hyperlink>
      <w:r w:rsidRPr="00254D94">
        <w:rPr>
          <w:lang w:val="en-US"/>
        </w:rPr>
        <w:t>.</w:t>
      </w:r>
    </w:p>
    <w:p w14:paraId="591BE0FF" w14:textId="77777777" w:rsidR="00EB2032" w:rsidRPr="00254D94" w:rsidRDefault="00EB2032" w:rsidP="00092987">
      <w:pPr>
        <w:pStyle w:val="DHSBodytext"/>
      </w:pPr>
      <w:r w:rsidRPr="00254D94">
        <w:t>You must do this within 28 days of receiving the decision you want reviewed.</w:t>
      </w:r>
    </w:p>
    <w:p w14:paraId="1D938DB3" w14:textId="59B38C40" w:rsidR="00EB2032" w:rsidRPr="00254D94" w:rsidRDefault="00EB2032" w:rsidP="00092987">
      <w:pPr>
        <w:pStyle w:val="DHSBodytext"/>
      </w:pPr>
      <w:r w:rsidRPr="00254D94">
        <w:t>We will review our decision against the PIP eligibility criteria and Procedural GP Payment eligibility criteria</w:t>
      </w:r>
      <w:r w:rsidR="003D3868" w:rsidRPr="00254D94">
        <w:t>.</w:t>
      </w:r>
      <w:r w:rsidRPr="00254D94">
        <w:t xml:space="preserve"> </w:t>
      </w:r>
      <w:r w:rsidR="003D3868" w:rsidRPr="00254D94">
        <w:t xml:space="preserve">We will write to your </w:t>
      </w:r>
      <w:r w:rsidRPr="00254D94">
        <w:t xml:space="preserve">practice </w:t>
      </w:r>
      <w:r w:rsidR="003D3868" w:rsidRPr="00254D94">
        <w:t>to let you know</w:t>
      </w:r>
      <w:r w:rsidRPr="00254D94">
        <w:t xml:space="preserve"> the outcome</w:t>
      </w:r>
      <w:r w:rsidR="003D3868" w:rsidRPr="00254D94">
        <w:t xml:space="preserve"> o</w:t>
      </w:r>
      <w:r w:rsidR="008C196B" w:rsidRPr="00254D94">
        <w:t>f</w:t>
      </w:r>
      <w:r w:rsidR="003D3868" w:rsidRPr="00254D94">
        <w:t xml:space="preserve"> the review</w:t>
      </w:r>
      <w:r w:rsidRPr="00254D94">
        <w:t>.</w:t>
      </w:r>
    </w:p>
    <w:p w14:paraId="40AFD78E" w14:textId="2ABB949D" w:rsidR="00EB2032" w:rsidRPr="00254D94" w:rsidRDefault="00700436" w:rsidP="00092987">
      <w:pPr>
        <w:pStyle w:val="DHSBodytext"/>
      </w:pPr>
      <w:r w:rsidRPr="00254D94">
        <w:t>If</w:t>
      </w:r>
      <w:r w:rsidR="00EB2032" w:rsidRPr="00254D94">
        <w:t xml:space="preserve"> you aren’t satisfied with the review decision</w:t>
      </w:r>
      <w:r w:rsidRPr="00254D94">
        <w:t>, you can ask our</w:t>
      </w:r>
      <w:r w:rsidR="00EB2032" w:rsidRPr="00254D94">
        <w:t xml:space="preserve"> Formal Review Committee</w:t>
      </w:r>
      <w:r w:rsidRPr="00254D94">
        <w:t xml:space="preserve"> to reconsider it</w:t>
      </w:r>
      <w:r w:rsidR="00EB2032" w:rsidRPr="00254D94">
        <w:t xml:space="preserve">. The Formal Review Committee is the last avenue of appeal and its decision is final. </w:t>
      </w:r>
    </w:p>
    <w:p w14:paraId="03A655AB" w14:textId="77777777" w:rsidR="000F2DB1" w:rsidRPr="00842473" w:rsidRDefault="000F2DB1" w:rsidP="00092987">
      <w:pPr>
        <w:pStyle w:val="DHSBodytext"/>
      </w:pPr>
      <w:r>
        <w:t xml:space="preserve">Call us on </w:t>
      </w:r>
      <w:r w:rsidRPr="00A65907">
        <w:rPr>
          <w:b/>
        </w:rPr>
        <w:t>1800 222 032</w:t>
      </w:r>
      <w:r>
        <w:t xml:space="preserve"> (call charges may apply) </w:t>
      </w:r>
      <w:r w:rsidRPr="00842473">
        <w:t>to find out more about the formal review process.</w:t>
      </w:r>
    </w:p>
    <w:p w14:paraId="0CBDED11" w14:textId="77777777" w:rsidR="005379B2" w:rsidRDefault="005379B2" w:rsidP="00092987">
      <w:pPr>
        <w:pStyle w:val="DHSBodytext"/>
      </w:pPr>
    </w:p>
    <w:p w14:paraId="6D3C5235" w14:textId="5AFC9EE6" w:rsidR="005379B2" w:rsidRPr="005E23A4" w:rsidRDefault="005379B2" w:rsidP="00092987">
      <w:pPr>
        <w:pStyle w:val="DHSBodytext"/>
      </w:pPr>
      <w:r w:rsidRPr="005E23A4">
        <w:t>Withdrawing from the program</w:t>
      </w:r>
    </w:p>
    <w:p w14:paraId="3B72E332" w14:textId="727B670C" w:rsidR="00B728C4" w:rsidRPr="00B45D64" w:rsidRDefault="00B728C4" w:rsidP="00092987">
      <w:pPr>
        <w:pStyle w:val="DHSBodytext"/>
      </w:pPr>
      <w:r w:rsidRPr="00B45D64">
        <w:t>Practices can withdraw from the Procedural GP Payment:</w:t>
      </w:r>
    </w:p>
    <w:p w14:paraId="2B7E44B8" w14:textId="79E7E12D" w:rsidR="000F2DB1" w:rsidRPr="008F1766" w:rsidRDefault="000F2DB1" w:rsidP="00FB0ECC">
      <w:pPr>
        <w:pStyle w:val="DHSBodytext"/>
        <w:numPr>
          <w:ilvl w:val="0"/>
          <w:numId w:val="43"/>
        </w:numPr>
        <w:rPr>
          <w:color w:val="171616"/>
          <w:szCs w:val="20"/>
        </w:rPr>
      </w:pPr>
      <w:r w:rsidRPr="008F1766">
        <w:rPr>
          <w:color w:val="171616"/>
          <w:szCs w:val="20"/>
        </w:rPr>
        <w:t>online through</w:t>
      </w:r>
      <w:r w:rsidRPr="008F1766">
        <w:rPr>
          <w:szCs w:val="20"/>
        </w:rPr>
        <w:t xml:space="preserve"> HPOS</w:t>
      </w:r>
      <w:r>
        <w:rPr>
          <w:szCs w:val="20"/>
        </w:rPr>
        <w:t xml:space="preserve"> at </w:t>
      </w:r>
      <w:hyperlink r:id="rId14" w:history="1">
        <w:r w:rsidRPr="00FB0ECC">
          <w:rPr>
            <w:rStyle w:val="Hyperlink"/>
            <w:b/>
            <w:szCs w:val="20"/>
          </w:rPr>
          <w:t>humanservices.gov.au/hpos</w:t>
        </w:r>
      </w:hyperlink>
      <w:r w:rsidRPr="008F1766">
        <w:rPr>
          <w:color w:val="0462C1"/>
          <w:szCs w:val="20"/>
        </w:rPr>
        <w:t xml:space="preserve"> </w:t>
      </w:r>
      <w:r w:rsidRPr="008F1766">
        <w:rPr>
          <w:color w:val="171616"/>
          <w:szCs w:val="20"/>
        </w:rPr>
        <w:t>by the relevant point in time date</w:t>
      </w:r>
    </w:p>
    <w:p w14:paraId="261F16B8" w14:textId="77777777" w:rsidR="000F2DB1" w:rsidRPr="008F1766" w:rsidRDefault="000F2DB1" w:rsidP="00FB0ECC">
      <w:pPr>
        <w:pStyle w:val="DHSBodytext"/>
        <w:numPr>
          <w:ilvl w:val="0"/>
          <w:numId w:val="43"/>
        </w:numPr>
        <w:rPr>
          <w:rFonts w:ascii="Georgia" w:hAnsi="Georgia" w:cs="Georgia"/>
          <w:color w:val="000000"/>
        </w:rPr>
      </w:pPr>
      <w:r w:rsidRPr="008F1766">
        <w:t xml:space="preserve">by completing and faxing us the </w:t>
      </w:r>
      <w:hyperlink r:id="rId15" w:history="1">
        <w:r w:rsidRPr="00B56EFC">
          <w:rPr>
            <w:rStyle w:val="Hyperlink"/>
            <w:szCs w:val="20"/>
          </w:rPr>
          <w:t>Practice Incentives Practice closure or withdrawal form (IP007)</w:t>
        </w:r>
      </w:hyperlink>
      <w:r w:rsidRPr="008F1766">
        <w:rPr>
          <w:color w:val="0462C1"/>
        </w:rPr>
        <w:t xml:space="preserve"> </w:t>
      </w:r>
      <w:r w:rsidRPr="008F1766">
        <w:t>at least 7 days before the relevant point in time date</w:t>
      </w:r>
      <w:r>
        <w:t>.</w:t>
      </w:r>
      <w:r w:rsidRPr="008F1766">
        <w:t xml:space="preserve"> </w:t>
      </w:r>
    </w:p>
    <w:p w14:paraId="60B64AA9" w14:textId="6E827702" w:rsidR="00B728C4" w:rsidRPr="00B45D64" w:rsidRDefault="00B728C4" w:rsidP="00092987">
      <w:pPr>
        <w:pStyle w:val="DHSBodytext"/>
      </w:pPr>
      <w:r w:rsidRPr="00B45D64">
        <w:t xml:space="preserve">You need to do this </w:t>
      </w:r>
      <w:r w:rsidRPr="00AD7B74">
        <w:t>for</w:t>
      </w:r>
      <w:r w:rsidRPr="00B45D64">
        <w:t xml:space="preserve"> the quarter from which you no longer wish to receive the payment. </w:t>
      </w:r>
    </w:p>
    <w:p w14:paraId="4C5B1B99" w14:textId="77777777" w:rsidR="00B728C4" w:rsidRPr="00B45D64" w:rsidRDefault="00B728C4" w:rsidP="00092987">
      <w:pPr>
        <w:pStyle w:val="DHSBodytext"/>
      </w:pPr>
      <w:r w:rsidRPr="00B45D64">
        <w:t xml:space="preserve">You can re-apply for the Procedural GP Payment at any time through HPOS.  </w:t>
      </w:r>
    </w:p>
    <w:p w14:paraId="2889D346" w14:textId="2868D24B" w:rsidR="00416F07" w:rsidRPr="00372EE7" w:rsidRDefault="000523E8" w:rsidP="00092987">
      <w:pPr>
        <w:pStyle w:val="DHSHeadinglevel2"/>
      </w:pPr>
      <w:r w:rsidRPr="00372EE7">
        <w:t>A</w:t>
      </w:r>
      <w:r w:rsidR="00416F07" w:rsidRPr="00372EE7">
        <w:t>udits</w:t>
      </w:r>
    </w:p>
    <w:p w14:paraId="4A7AE4B8" w14:textId="26A55423" w:rsidR="00EB2032" w:rsidRPr="00372EE7" w:rsidRDefault="00EB2032" w:rsidP="00092987">
      <w:pPr>
        <w:pStyle w:val="DHSBodytext"/>
      </w:pPr>
      <w:r w:rsidRPr="00372EE7">
        <w:t xml:space="preserve">The Department of Health </w:t>
      </w:r>
      <w:r w:rsidR="00557F25">
        <w:t xml:space="preserve">(Health) </w:t>
      </w:r>
      <w:r w:rsidRPr="00372EE7">
        <w:t xml:space="preserve">conducts program audits to check practices are complying with </w:t>
      </w:r>
      <w:r w:rsidR="00066ECC" w:rsidRPr="00372EE7">
        <w:t>the</w:t>
      </w:r>
      <w:r w:rsidRPr="00372EE7">
        <w:t xml:space="preserve"> </w:t>
      </w:r>
      <w:r w:rsidR="00D04CA4" w:rsidRPr="00372EE7">
        <w:t xml:space="preserve">PIP eligibility requirements for </w:t>
      </w:r>
      <w:r w:rsidRPr="00372EE7">
        <w:t>payments</w:t>
      </w:r>
      <w:r w:rsidR="00D04CA4" w:rsidRPr="00372EE7">
        <w:t>,</w:t>
      </w:r>
      <w:r w:rsidRPr="00372EE7">
        <w:t xml:space="preserve"> including the Procedural GP </w:t>
      </w:r>
      <w:r w:rsidR="00F63040">
        <w:t>P</w:t>
      </w:r>
      <w:r w:rsidRPr="00372EE7">
        <w:t xml:space="preserve">ayment. </w:t>
      </w:r>
    </w:p>
    <w:p w14:paraId="67A53AD6" w14:textId="2F99991C" w:rsidR="00567136" w:rsidRPr="00372EE7" w:rsidRDefault="00567136" w:rsidP="00092987">
      <w:pPr>
        <w:pStyle w:val="DHSBodytext"/>
      </w:pPr>
      <w:r w:rsidRPr="00372EE7">
        <w:t xml:space="preserve">This may include practice visits or a review of practice </w:t>
      </w:r>
      <w:r w:rsidR="004F6B1E" w:rsidRPr="00372EE7">
        <w:t>documents</w:t>
      </w:r>
      <w:r w:rsidRPr="00372EE7">
        <w:t xml:space="preserve">. </w:t>
      </w:r>
    </w:p>
    <w:p w14:paraId="48CF1555" w14:textId="3717BBE7" w:rsidR="00D04CA4" w:rsidRPr="00372EE7" w:rsidRDefault="00D04CA4" w:rsidP="00092987">
      <w:pPr>
        <w:pStyle w:val="DHSBodytext"/>
      </w:pPr>
      <w:r w:rsidRPr="00372EE7">
        <w:t xml:space="preserve">If </w:t>
      </w:r>
      <w:r w:rsidR="004F6B1E" w:rsidRPr="00372EE7">
        <w:t xml:space="preserve">your </w:t>
      </w:r>
      <w:r w:rsidRPr="00372EE7">
        <w:t xml:space="preserve">practice is unable to provide information to substantiate </w:t>
      </w:r>
      <w:r w:rsidR="004F6B1E" w:rsidRPr="00372EE7">
        <w:t xml:space="preserve">your </w:t>
      </w:r>
      <w:r w:rsidRPr="00372EE7">
        <w:t>eligibility</w:t>
      </w:r>
      <w:r w:rsidR="004F6B1E" w:rsidRPr="00372EE7">
        <w:t xml:space="preserve"> </w:t>
      </w:r>
      <w:r w:rsidR="004F6B1E" w:rsidRPr="00372EE7">
        <w:rPr>
          <w:lang w:val="en-GB"/>
        </w:rPr>
        <w:t>and claims for incentives</w:t>
      </w:r>
      <w:r w:rsidRPr="00372EE7">
        <w:t xml:space="preserve">, </w:t>
      </w:r>
      <w:r w:rsidR="00557F25">
        <w:t xml:space="preserve">Health </w:t>
      </w:r>
      <w:r w:rsidR="00700436" w:rsidRPr="00372EE7">
        <w:t xml:space="preserve">may recover </w:t>
      </w:r>
      <w:r w:rsidRPr="00372EE7">
        <w:t>past PIP payments for up to 6 years.</w:t>
      </w:r>
    </w:p>
    <w:p w14:paraId="79ECC733" w14:textId="77777777" w:rsidR="00D04CA4" w:rsidRPr="00372EE7" w:rsidRDefault="00567136" w:rsidP="00092987">
      <w:pPr>
        <w:pStyle w:val="DHSBodytext"/>
        <w:rPr>
          <w:lang w:val="en-GB"/>
        </w:rPr>
      </w:pPr>
      <w:r w:rsidRPr="00372EE7">
        <w:rPr>
          <w:lang w:val="en-GB"/>
        </w:rPr>
        <w:t>Evidence of eligibility may include:</w:t>
      </w:r>
    </w:p>
    <w:p w14:paraId="0BA2E7CA" w14:textId="77777777" w:rsidR="00D04CA4" w:rsidRPr="00372EE7" w:rsidRDefault="00D04CA4" w:rsidP="00092987">
      <w:pPr>
        <w:pStyle w:val="DHSBulletslevel"/>
      </w:pPr>
      <w:r w:rsidRPr="00372EE7">
        <w:t>copies of public liability insurance including amount covered</w:t>
      </w:r>
    </w:p>
    <w:p w14:paraId="03A2F865" w14:textId="6F03BE2A" w:rsidR="00D04CA4" w:rsidRPr="00372EE7" w:rsidRDefault="00D04CA4" w:rsidP="00092987">
      <w:pPr>
        <w:pStyle w:val="DHSBulletslevel"/>
      </w:pPr>
      <w:r w:rsidRPr="00372EE7">
        <w:t>copies of a practitioner’s professional indemnity insurance</w:t>
      </w:r>
      <w:r w:rsidR="00066ECC" w:rsidRPr="00372EE7">
        <w:t xml:space="preserve"> </w:t>
      </w:r>
      <w:r w:rsidR="00700436" w:rsidRPr="00372EE7">
        <w:t xml:space="preserve">that shows cover to perform </w:t>
      </w:r>
      <w:r w:rsidR="00066ECC" w:rsidRPr="00372EE7">
        <w:t>procedural services</w:t>
      </w:r>
    </w:p>
    <w:p w14:paraId="1E1FDD29" w14:textId="59FAC17B" w:rsidR="00D04CA4" w:rsidRPr="00372EE7" w:rsidRDefault="00FD0AB7" w:rsidP="00092987">
      <w:pPr>
        <w:pStyle w:val="DHSBulletslevel"/>
      </w:pPr>
      <w:r>
        <w:t xml:space="preserve">confirmation </w:t>
      </w:r>
      <w:r w:rsidR="00D04CA4" w:rsidRPr="00372EE7">
        <w:t>of details contained in the annual confirmation statements</w:t>
      </w:r>
    </w:p>
    <w:p w14:paraId="477436A6" w14:textId="78CB10D3" w:rsidR="00D04CA4" w:rsidRPr="00372EE7" w:rsidRDefault="00D04CA4" w:rsidP="00092987">
      <w:pPr>
        <w:pStyle w:val="DHSBulletslevel"/>
      </w:pPr>
      <w:r w:rsidRPr="00372EE7">
        <w:t>document</w:t>
      </w:r>
      <w:r w:rsidR="004F6B1E" w:rsidRPr="00372EE7">
        <w:t>s</w:t>
      </w:r>
      <w:r w:rsidRPr="00372EE7">
        <w:t xml:space="preserve"> showing the GP’s procedural activity and volume has met the requirements of the </w:t>
      </w:r>
      <w:r w:rsidR="004F6B1E" w:rsidRPr="00372EE7">
        <w:t xml:space="preserve">relevant </w:t>
      </w:r>
      <w:r w:rsidRPr="00372EE7">
        <w:t>payment tier</w:t>
      </w:r>
    </w:p>
    <w:p w14:paraId="50616674" w14:textId="21516976" w:rsidR="00D04CA4" w:rsidRPr="00372EE7" w:rsidRDefault="00D04CA4" w:rsidP="00092987">
      <w:pPr>
        <w:pStyle w:val="DHSBulletslevel"/>
      </w:pPr>
      <w:r w:rsidRPr="00372EE7">
        <w:t>evidence of the GP’s after hours commitment</w:t>
      </w:r>
      <w:r w:rsidR="0027598B">
        <w:t>s</w:t>
      </w:r>
      <w:r w:rsidR="00FB0ECC">
        <w:t>.</w:t>
      </w:r>
    </w:p>
    <w:p w14:paraId="250C8D2F" w14:textId="77777777" w:rsidR="004F6B1E" w:rsidRPr="00372EE7" w:rsidRDefault="00D04CA4" w:rsidP="00092987">
      <w:pPr>
        <w:pStyle w:val="DHSBodytext"/>
      </w:pPr>
      <w:r w:rsidRPr="00372EE7">
        <w:t xml:space="preserve">Copies of the evidence should be kept on practice files. </w:t>
      </w:r>
    </w:p>
    <w:p w14:paraId="43A45C69" w14:textId="7B73AADD" w:rsidR="00D04CA4" w:rsidRPr="00527C2F" w:rsidRDefault="00D04CA4" w:rsidP="00092987">
      <w:pPr>
        <w:pStyle w:val="DHSBodytext"/>
      </w:pPr>
      <w:r w:rsidRPr="00372EE7">
        <w:t xml:space="preserve">If a practitioner leaves a practice and an audit is conducted for the time the practitioner was there, </w:t>
      </w:r>
      <w:r w:rsidR="004F6B1E" w:rsidRPr="00372EE7">
        <w:t xml:space="preserve">a practice will still need to provide </w:t>
      </w:r>
      <w:r w:rsidRPr="00372EE7">
        <w:t xml:space="preserve">evidence that the </w:t>
      </w:r>
      <w:r w:rsidR="005E2CD6" w:rsidRPr="00372EE7">
        <w:t xml:space="preserve">professional </w:t>
      </w:r>
      <w:r w:rsidRPr="00372EE7">
        <w:t>indemnity insurance was maintained during their employment</w:t>
      </w:r>
      <w:r w:rsidR="004F6B1E" w:rsidRPr="00372EE7">
        <w:t>.</w:t>
      </w:r>
    </w:p>
    <w:p w14:paraId="484E9AA1" w14:textId="72612506" w:rsidR="00D11163" w:rsidRPr="00B56EFC" w:rsidRDefault="00D11163" w:rsidP="00092987">
      <w:pPr>
        <w:pStyle w:val="DHSHeadinglevel2"/>
      </w:pPr>
      <w:r w:rsidRPr="00B56EFC">
        <w:lastRenderedPageBreak/>
        <w:t>For more information</w:t>
      </w:r>
    </w:p>
    <w:p w14:paraId="0A8EFE3D" w14:textId="77777777" w:rsidR="00D11163" w:rsidRPr="00FB0ECC" w:rsidRDefault="00D11163" w:rsidP="00092987">
      <w:pPr>
        <w:pStyle w:val="DHSBodytext"/>
        <w:rPr>
          <w:b/>
        </w:rPr>
      </w:pPr>
      <w:r w:rsidRPr="00B56EFC">
        <w:t>Online:</w:t>
      </w:r>
      <w:r w:rsidRPr="00B56EFC">
        <w:tab/>
      </w:r>
      <w:r w:rsidRPr="00FB0ECC">
        <w:rPr>
          <w:b/>
        </w:rPr>
        <w:t>humanservices.gov.au/pip</w:t>
      </w:r>
    </w:p>
    <w:p w14:paraId="2ABC2548" w14:textId="77777777" w:rsidR="00D11163" w:rsidRPr="00B56EFC" w:rsidRDefault="00D11163" w:rsidP="00092987">
      <w:pPr>
        <w:pStyle w:val="DHSBodytext"/>
      </w:pPr>
      <w:r w:rsidRPr="00FB0ECC">
        <w:t>Email:</w:t>
      </w:r>
      <w:r w:rsidRPr="00B56EFC">
        <w:tab/>
      </w:r>
      <w:r w:rsidRPr="00FB0ECC">
        <w:rPr>
          <w:b/>
        </w:rPr>
        <w:t>pip@humanservices.gov.au</w:t>
      </w:r>
    </w:p>
    <w:p w14:paraId="0EEEFAB3" w14:textId="77777777" w:rsidR="00D11163" w:rsidRPr="00B56EFC" w:rsidRDefault="00D11163" w:rsidP="00092987">
      <w:pPr>
        <w:pStyle w:val="DHSBodytext"/>
      </w:pPr>
      <w:r w:rsidRPr="00FB0ECC">
        <w:t>Call:</w:t>
      </w:r>
      <w:r w:rsidRPr="00B56EFC">
        <w:tab/>
      </w:r>
      <w:r w:rsidRPr="00B56EFC">
        <w:rPr>
          <w:b/>
        </w:rPr>
        <w:t xml:space="preserve">1800 222 032 </w:t>
      </w:r>
      <w:r w:rsidRPr="00B56EFC">
        <w:t>(call charges may apply).</w:t>
      </w:r>
    </w:p>
    <w:p w14:paraId="16A7A664" w14:textId="77777777" w:rsidR="00D04CA4" w:rsidRPr="006D34FC" w:rsidRDefault="004F19B1" w:rsidP="00092987">
      <w:pPr>
        <w:pStyle w:val="DHSBodytext"/>
      </w:pPr>
      <w:r>
        <w:tab/>
      </w:r>
      <w:r>
        <w:tab/>
      </w:r>
    </w:p>
    <w:p w14:paraId="38A71170" w14:textId="5519CBCC" w:rsidR="00416F07" w:rsidRDefault="00092987" w:rsidP="00092987">
      <w:pPr>
        <w:pStyle w:val="DHSHeadinglevel2"/>
      </w:pPr>
      <w:r>
        <w:t>D</w:t>
      </w:r>
      <w:r w:rsidR="00416F07" w:rsidRPr="00416F07">
        <w:t>isclaimer</w:t>
      </w:r>
    </w:p>
    <w:p w14:paraId="78A9AC32" w14:textId="77777777" w:rsidR="00D11163" w:rsidRPr="00B56EFC" w:rsidRDefault="00D11163" w:rsidP="00092987">
      <w:pPr>
        <w:pStyle w:val="DHSBodytext"/>
        <w:rPr>
          <w:color w:val="171616"/>
        </w:rPr>
      </w:pPr>
      <w:r w:rsidRPr="00B56EFC">
        <w:t>These guidelines are for information purposes and provide the basis upon which PIP payments are made.</w:t>
      </w:r>
    </w:p>
    <w:p w14:paraId="203FED7B" w14:textId="77777777" w:rsidR="00D11163" w:rsidRPr="00BE06E5" w:rsidRDefault="00D11163" w:rsidP="00092987">
      <w:pPr>
        <w:pStyle w:val="DHSBodytext"/>
      </w:pPr>
      <w:r w:rsidRPr="00BE06E5">
        <w:t>While it’s intended that the Australian Government will make payments as set out in these guidelines, payments are made at its sole discretion.</w:t>
      </w:r>
    </w:p>
    <w:p w14:paraId="4F865023" w14:textId="77777777" w:rsidR="00D11163" w:rsidRPr="00BE06E5" w:rsidRDefault="00D11163" w:rsidP="00092987">
      <w:pPr>
        <w:pStyle w:val="DHSBodytext"/>
      </w:pPr>
      <w:r w:rsidRPr="00BE06E5">
        <w:t xml:space="preserve">The Australian Government may alter arrangements for the PIP at any time and without notice. </w:t>
      </w:r>
    </w:p>
    <w:p w14:paraId="6EBD415A" w14:textId="77777777" w:rsidR="00D11163" w:rsidRPr="00BE06E5" w:rsidRDefault="00D11163" w:rsidP="00092987">
      <w:pPr>
        <w:pStyle w:val="DHSBodytext"/>
      </w:pPr>
      <w:r w:rsidRPr="00BE06E5">
        <w:t>The Australian Government does not accept any legal liability or responsibility for any injury, loss or damage incurred by the use of, reliance on, or interpretation of the information provided in these guidelines.</w:t>
      </w:r>
    </w:p>
    <w:p w14:paraId="0838733D" w14:textId="77777777" w:rsidR="00D11163" w:rsidRPr="00D11163" w:rsidRDefault="00D11163" w:rsidP="00092987">
      <w:pPr>
        <w:pStyle w:val="DHSBodytext"/>
      </w:pPr>
    </w:p>
    <w:sectPr w:rsidR="00D11163" w:rsidRPr="00D11163" w:rsidSect="00092987">
      <w:footerReference w:type="default" r:id="rId16"/>
      <w:type w:val="continuous"/>
      <w:pgSz w:w="11906" w:h="16838"/>
      <w:pgMar w:top="1440" w:right="1440" w:bottom="1440" w:left="1440" w:header="720" w:footer="720" w:gutter="0"/>
      <w:cols w:space="24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A31BC" w14:textId="77777777" w:rsidR="00587866" w:rsidRDefault="00587866" w:rsidP="00680E3C">
      <w:pPr>
        <w:spacing w:before="0" w:after="0"/>
      </w:pPr>
      <w:r>
        <w:separator/>
      </w:r>
    </w:p>
  </w:endnote>
  <w:endnote w:type="continuationSeparator" w:id="0">
    <w:p w14:paraId="0347BC90" w14:textId="77777777" w:rsidR="00587866" w:rsidRDefault="00587866" w:rsidP="00680E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FCentroSansPr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B93B" w14:textId="07C211A3" w:rsidR="00680E3C" w:rsidRDefault="00680E3C">
    <w:pPr>
      <w:pStyle w:val="Footer"/>
    </w:pPr>
  </w:p>
  <w:p w14:paraId="35CF6BAF" w14:textId="77777777" w:rsidR="00680E3C" w:rsidRDefault="0068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BE38" w14:textId="77777777" w:rsidR="00587866" w:rsidRDefault="00587866" w:rsidP="00680E3C">
      <w:pPr>
        <w:spacing w:before="0" w:after="0"/>
      </w:pPr>
      <w:r>
        <w:separator/>
      </w:r>
    </w:p>
  </w:footnote>
  <w:footnote w:type="continuationSeparator" w:id="0">
    <w:p w14:paraId="66164818" w14:textId="77777777" w:rsidR="00587866" w:rsidRDefault="00587866" w:rsidP="00680E3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829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C8C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ECFD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3AA3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42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E3E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0C11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EC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DCFB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DCD1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915BB"/>
    <w:multiLevelType w:val="hybridMultilevel"/>
    <w:tmpl w:val="A8904944"/>
    <w:lvl w:ilvl="0" w:tplc="E4D69300">
      <w:numFmt w:val="bullet"/>
      <w:lvlText w:val="•"/>
      <w:lvlJc w:val="left"/>
      <w:pPr>
        <w:ind w:left="1430" w:hanging="360"/>
      </w:pPr>
      <w:rPr>
        <w:rFonts w:ascii="Calibri" w:eastAsia="Times New Roman" w:hAnsi="Calibri" w:cs="Times New Roman" w:hint="default"/>
      </w:rPr>
    </w:lvl>
    <w:lvl w:ilvl="1" w:tplc="0C090003">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1" w15:restartNumberingAfterBreak="0">
    <w:nsid w:val="06A170B5"/>
    <w:multiLevelType w:val="hybridMultilevel"/>
    <w:tmpl w:val="1F2C2EA4"/>
    <w:lvl w:ilvl="0" w:tplc="9D205838">
      <w:start w:val="1"/>
      <w:numFmt w:val="bullet"/>
      <w:lvlText w:val=""/>
      <w:lvlJc w:val="left"/>
      <w:pPr>
        <w:ind w:left="706" w:hanging="360"/>
      </w:pPr>
      <w:rPr>
        <w:rFonts w:ascii="Symbol" w:hAnsi="Symbol" w:hint="default"/>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12" w15:restartNumberingAfterBreak="0">
    <w:nsid w:val="0B6D088E"/>
    <w:multiLevelType w:val="hybridMultilevel"/>
    <w:tmpl w:val="EA903ECE"/>
    <w:lvl w:ilvl="0" w:tplc="E01414B0">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0F0B3D34"/>
    <w:multiLevelType w:val="hybridMultilevel"/>
    <w:tmpl w:val="E610764E"/>
    <w:lvl w:ilvl="0" w:tplc="280A780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AA0609"/>
    <w:multiLevelType w:val="hybridMultilevel"/>
    <w:tmpl w:val="DCD8F498"/>
    <w:lvl w:ilvl="0" w:tplc="3006E4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B8519E"/>
    <w:multiLevelType w:val="multilevel"/>
    <w:tmpl w:val="CABE6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A42CC"/>
    <w:multiLevelType w:val="hybridMultilevel"/>
    <w:tmpl w:val="AE5EEEC6"/>
    <w:lvl w:ilvl="0" w:tplc="C4348B90">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8F2AB0EE">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52227CAC">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36B2A7B4">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50727644">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A934B642">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918E756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E4F8BC28">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DEDEA6C0">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17" w15:restartNumberingAfterBreak="0">
    <w:nsid w:val="17F5481D"/>
    <w:multiLevelType w:val="hybridMultilevel"/>
    <w:tmpl w:val="974E03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8" w15:restartNumberingAfterBreak="0">
    <w:nsid w:val="19910563"/>
    <w:multiLevelType w:val="hybridMultilevel"/>
    <w:tmpl w:val="BAAE40BA"/>
    <w:lvl w:ilvl="0" w:tplc="A3CE9594">
      <w:numFmt w:val="bullet"/>
      <w:lvlText w:val="•"/>
      <w:lvlJc w:val="left"/>
      <w:pPr>
        <w:ind w:left="360" w:hanging="360"/>
      </w:pPr>
      <w:rPr>
        <w:rFonts w:ascii="Calibri" w:eastAsia="Times New Roman" w:hAnsi="Calibri" w:cs="Times New Roman" w:hint="default"/>
      </w:rPr>
    </w:lvl>
    <w:lvl w:ilvl="1" w:tplc="E38ADA6A">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7A2493"/>
    <w:multiLevelType w:val="hybridMultilevel"/>
    <w:tmpl w:val="4930375C"/>
    <w:lvl w:ilvl="0" w:tplc="1584C73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9A4973"/>
    <w:multiLevelType w:val="hybridMultilevel"/>
    <w:tmpl w:val="35D47BD0"/>
    <w:lvl w:ilvl="0" w:tplc="6B90F84A">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1" w15:restartNumberingAfterBreak="0">
    <w:nsid w:val="23437A64"/>
    <w:multiLevelType w:val="hybridMultilevel"/>
    <w:tmpl w:val="C970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9F09E1"/>
    <w:multiLevelType w:val="hybridMultilevel"/>
    <w:tmpl w:val="55D4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76688C"/>
    <w:multiLevelType w:val="hybridMultilevel"/>
    <w:tmpl w:val="A0DC937E"/>
    <w:lvl w:ilvl="0" w:tplc="B05EAB6A">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2F645DD9"/>
    <w:multiLevelType w:val="multilevel"/>
    <w:tmpl w:val="CABE6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92F18"/>
    <w:multiLevelType w:val="hybridMultilevel"/>
    <w:tmpl w:val="B582DBC8"/>
    <w:lvl w:ilvl="0" w:tplc="20582F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05EA4"/>
    <w:multiLevelType w:val="hybridMultilevel"/>
    <w:tmpl w:val="AA2A8DE8"/>
    <w:lvl w:ilvl="0" w:tplc="5FD85D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E7AC6"/>
    <w:multiLevelType w:val="hybridMultilevel"/>
    <w:tmpl w:val="63B698D8"/>
    <w:lvl w:ilvl="0" w:tplc="19F656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2D3E4C"/>
    <w:multiLevelType w:val="hybridMultilevel"/>
    <w:tmpl w:val="4FF290C0"/>
    <w:lvl w:ilvl="0" w:tplc="A1E42A58">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F55A0384">
      <w:start w:val="1"/>
      <w:numFmt w:val="bullet"/>
      <w:lvlText w:val="-"/>
      <w:lvlJc w:val="left"/>
      <w:pPr>
        <w:ind w:left="439"/>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3D3ED218">
      <w:start w:val="1"/>
      <w:numFmt w:val="bullet"/>
      <w:lvlText w:val="▪"/>
      <w:lvlJc w:val="left"/>
      <w:pPr>
        <w:ind w:left="13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738ADBA6">
      <w:start w:val="1"/>
      <w:numFmt w:val="bullet"/>
      <w:lvlText w:val="•"/>
      <w:lvlJc w:val="left"/>
      <w:pPr>
        <w:ind w:left="20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234EB382">
      <w:start w:val="1"/>
      <w:numFmt w:val="bullet"/>
      <w:lvlText w:val="o"/>
      <w:lvlJc w:val="left"/>
      <w:pPr>
        <w:ind w:left="274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F7CCE2F8">
      <w:start w:val="1"/>
      <w:numFmt w:val="bullet"/>
      <w:lvlText w:val="▪"/>
      <w:lvlJc w:val="left"/>
      <w:pPr>
        <w:ind w:left="346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CE68EA4E">
      <w:start w:val="1"/>
      <w:numFmt w:val="bullet"/>
      <w:lvlText w:val="•"/>
      <w:lvlJc w:val="left"/>
      <w:pPr>
        <w:ind w:left="418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6D2E1F3A">
      <w:start w:val="1"/>
      <w:numFmt w:val="bullet"/>
      <w:lvlText w:val="o"/>
      <w:lvlJc w:val="left"/>
      <w:pPr>
        <w:ind w:left="49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385EF764">
      <w:start w:val="1"/>
      <w:numFmt w:val="bullet"/>
      <w:lvlText w:val="▪"/>
      <w:lvlJc w:val="left"/>
      <w:pPr>
        <w:ind w:left="56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0" w15:restartNumberingAfterBreak="0">
    <w:nsid w:val="474E4421"/>
    <w:multiLevelType w:val="hybridMultilevel"/>
    <w:tmpl w:val="F196C2A8"/>
    <w:lvl w:ilvl="0" w:tplc="22C2CA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8D417D"/>
    <w:multiLevelType w:val="hybridMultilevel"/>
    <w:tmpl w:val="57C827C4"/>
    <w:lvl w:ilvl="0" w:tplc="DA6854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471636"/>
    <w:multiLevelType w:val="hybridMultilevel"/>
    <w:tmpl w:val="7D5E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640ED2"/>
    <w:multiLevelType w:val="hybridMultilevel"/>
    <w:tmpl w:val="5FB4F89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4" w15:restartNumberingAfterBreak="0">
    <w:nsid w:val="58FD3BEB"/>
    <w:multiLevelType w:val="hybridMultilevel"/>
    <w:tmpl w:val="06ECF862"/>
    <w:lvl w:ilvl="0" w:tplc="7AD4887A">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5" w15:restartNumberingAfterBreak="0">
    <w:nsid w:val="613154B9"/>
    <w:multiLevelType w:val="hybridMultilevel"/>
    <w:tmpl w:val="14B60842"/>
    <w:lvl w:ilvl="0" w:tplc="4D0E7056">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12CEDDDE">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1366870C">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7EB67228">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F56A9C48">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E15E4FE2">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FD7E641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B798D84C">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775A421A">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6"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7" w15:restartNumberingAfterBreak="0">
    <w:nsid w:val="6AB31082"/>
    <w:multiLevelType w:val="hybridMultilevel"/>
    <w:tmpl w:val="72FA6812"/>
    <w:lvl w:ilvl="0" w:tplc="E0AA65B6">
      <w:start w:val="1"/>
      <w:numFmt w:val="bullet"/>
      <w:pStyle w:val="DHSBulletslevel"/>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C43AC"/>
    <w:multiLevelType w:val="hybridMultilevel"/>
    <w:tmpl w:val="E37E151C"/>
    <w:lvl w:ilvl="0" w:tplc="13ECC382">
      <w:start w:val="1"/>
      <w:numFmt w:val="bullet"/>
      <w:lvlText w:val=""/>
      <w:lvlJc w:val="left"/>
      <w:pPr>
        <w:ind w:left="1440" w:hanging="360"/>
      </w:pPr>
      <w:rPr>
        <w:rFonts w:ascii="Symbol" w:hAnsi="Symbol" w:hint="default"/>
      </w:rPr>
    </w:lvl>
    <w:lvl w:ilvl="1" w:tplc="96C2F73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CF0623F"/>
    <w:multiLevelType w:val="hybridMultilevel"/>
    <w:tmpl w:val="3468D570"/>
    <w:lvl w:ilvl="0" w:tplc="B5C871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4D0B50"/>
    <w:multiLevelType w:val="hybridMultilevel"/>
    <w:tmpl w:val="89F03C90"/>
    <w:lvl w:ilvl="0" w:tplc="AEC67A06">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num w:numId="1">
    <w:abstractNumId w:val="35"/>
  </w:num>
  <w:num w:numId="2">
    <w:abstractNumId w:val="16"/>
  </w:num>
  <w:num w:numId="3">
    <w:abstractNumId w:val="29"/>
  </w:num>
  <w:num w:numId="4">
    <w:abstractNumId w:val="10"/>
  </w:num>
  <w:num w:numId="5">
    <w:abstractNumId w:val="27"/>
  </w:num>
  <w:num w:numId="6">
    <w:abstractNumId w:val="18"/>
  </w:num>
  <w:num w:numId="7">
    <w:abstractNumId w:val="39"/>
  </w:num>
  <w:num w:numId="8">
    <w:abstractNumId w:val="30"/>
  </w:num>
  <w:num w:numId="9">
    <w:abstractNumId w:val="13"/>
  </w:num>
  <w:num w:numId="10">
    <w:abstractNumId w:val="15"/>
  </w:num>
  <w:num w:numId="11">
    <w:abstractNumId w:val="12"/>
  </w:num>
  <w:num w:numId="12">
    <w:abstractNumId w:val="24"/>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1"/>
  </w:num>
  <w:num w:numId="25">
    <w:abstractNumId w:val="14"/>
  </w:num>
  <w:num w:numId="26">
    <w:abstractNumId w:val="20"/>
  </w:num>
  <w:num w:numId="27">
    <w:abstractNumId w:val="33"/>
  </w:num>
  <w:num w:numId="28">
    <w:abstractNumId w:val="17"/>
  </w:num>
  <w:num w:numId="29">
    <w:abstractNumId w:val="41"/>
  </w:num>
  <w:num w:numId="30">
    <w:abstractNumId w:val="25"/>
  </w:num>
  <w:num w:numId="31">
    <w:abstractNumId w:val="28"/>
  </w:num>
  <w:num w:numId="32">
    <w:abstractNumId w:val="11"/>
  </w:num>
  <w:num w:numId="33">
    <w:abstractNumId w:val="38"/>
  </w:num>
  <w:num w:numId="34">
    <w:abstractNumId w:val="34"/>
  </w:num>
  <w:num w:numId="35">
    <w:abstractNumId w:val="23"/>
  </w:num>
  <w:num w:numId="36">
    <w:abstractNumId w:val="19"/>
  </w:num>
  <w:num w:numId="37">
    <w:abstractNumId w:val="19"/>
  </w:num>
  <w:num w:numId="38">
    <w:abstractNumId w:val="21"/>
  </w:num>
  <w:num w:numId="39">
    <w:abstractNumId w:val="37"/>
  </w:num>
  <w:num w:numId="40">
    <w:abstractNumId w:val="26"/>
  </w:num>
  <w:num w:numId="41">
    <w:abstractNumId w:val="36"/>
  </w:num>
  <w:num w:numId="42">
    <w:abstractNumId w:val="4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E4"/>
    <w:rsid w:val="000063BD"/>
    <w:rsid w:val="00021EF5"/>
    <w:rsid w:val="000320DB"/>
    <w:rsid w:val="00036843"/>
    <w:rsid w:val="000523E8"/>
    <w:rsid w:val="00052648"/>
    <w:rsid w:val="00066ECC"/>
    <w:rsid w:val="00076A6C"/>
    <w:rsid w:val="000776EA"/>
    <w:rsid w:val="00081CB7"/>
    <w:rsid w:val="00092987"/>
    <w:rsid w:val="00094A39"/>
    <w:rsid w:val="000A1F78"/>
    <w:rsid w:val="000B0207"/>
    <w:rsid w:val="000B5F2A"/>
    <w:rsid w:val="000C0ECC"/>
    <w:rsid w:val="000E328A"/>
    <w:rsid w:val="000E3754"/>
    <w:rsid w:val="000E3E18"/>
    <w:rsid w:val="000E3E96"/>
    <w:rsid w:val="000F2DB1"/>
    <w:rsid w:val="00104122"/>
    <w:rsid w:val="00110EFC"/>
    <w:rsid w:val="00121677"/>
    <w:rsid w:val="00123147"/>
    <w:rsid w:val="001279B5"/>
    <w:rsid w:val="00132FD7"/>
    <w:rsid w:val="0015721B"/>
    <w:rsid w:val="00160D1F"/>
    <w:rsid w:val="00174577"/>
    <w:rsid w:val="001958EE"/>
    <w:rsid w:val="001C370B"/>
    <w:rsid w:val="001C52D7"/>
    <w:rsid w:val="001C58A4"/>
    <w:rsid w:val="001E23E1"/>
    <w:rsid w:val="001E5EBD"/>
    <w:rsid w:val="001F1CF2"/>
    <w:rsid w:val="001F3979"/>
    <w:rsid w:val="00213DD8"/>
    <w:rsid w:val="00231340"/>
    <w:rsid w:val="002345DF"/>
    <w:rsid w:val="00236865"/>
    <w:rsid w:val="00243BBA"/>
    <w:rsid w:val="00247441"/>
    <w:rsid w:val="0025149B"/>
    <w:rsid w:val="00254D94"/>
    <w:rsid w:val="00255058"/>
    <w:rsid w:val="002613ED"/>
    <w:rsid w:val="00261591"/>
    <w:rsid w:val="00266FB2"/>
    <w:rsid w:val="00272532"/>
    <w:rsid w:val="0027598B"/>
    <w:rsid w:val="0028275C"/>
    <w:rsid w:val="00296962"/>
    <w:rsid w:val="002A2E20"/>
    <w:rsid w:val="002B1A76"/>
    <w:rsid w:val="002B4B43"/>
    <w:rsid w:val="002B50DB"/>
    <w:rsid w:val="002C103B"/>
    <w:rsid w:val="002C6DA2"/>
    <w:rsid w:val="002D7535"/>
    <w:rsid w:val="002E2598"/>
    <w:rsid w:val="002F2DC0"/>
    <w:rsid w:val="002F770B"/>
    <w:rsid w:val="002F78FF"/>
    <w:rsid w:val="00300027"/>
    <w:rsid w:val="003028F8"/>
    <w:rsid w:val="00303F23"/>
    <w:rsid w:val="00315BDD"/>
    <w:rsid w:val="00331F3B"/>
    <w:rsid w:val="00342B48"/>
    <w:rsid w:val="00363319"/>
    <w:rsid w:val="00372EE7"/>
    <w:rsid w:val="00375403"/>
    <w:rsid w:val="00382A65"/>
    <w:rsid w:val="00395237"/>
    <w:rsid w:val="003A20E4"/>
    <w:rsid w:val="003C28EA"/>
    <w:rsid w:val="003D1BCB"/>
    <w:rsid w:val="003D3868"/>
    <w:rsid w:val="003D4A8B"/>
    <w:rsid w:val="003D72E6"/>
    <w:rsid w:val="003E137F"/>
    <w:rsid w:val="003F1BF7"/>
    <w:rsid w:val="003F7BB5"/>
    <w:rsid w:val="004020F6"/>
    <w:rsid w:val="00405025"/>
    <w:rsid w:val="0040506F"/>
    <w:rsid w:val="00410287"/>
    <w:rsid w:val="00411BBF"/>
    <w:rsid w:val="00412B60"/>
    <w:rsid w:val="00416F07"/>
    <w:rsid w:val="00423CC7"/>
    <w:rsid w:val="00440025"/>
    <w:rsid w:val="00453AB6"/>
    <w:rsid w:val="00456C2A"/>
    <w:rsid w:val="00457C7F"/>
    <w:rsid w:val="004656E9"/>
    <w:rsid w:val="0047741E"/>
    <w:rsid w:val="0049003C"/>
    <w:rsid w:val="0049052E"/>
    <w:rsid w:val="004C1FEF"/>
    <w:rsid w:val="004C3343"/>
    <w:rsid w:val="004C6780"/>
    <w:rsid w:val="004D454A"/>
    <w:rsid w:val="004E1EA0"/>
    <w:rsid w:val="004F1267"/>
    <w:rsid w:val="004F19B1"/>
    <w:rsid w:val="004F6B1E"/>
    <w:rsid w:val="00512756"/>
    <w:rsid w:val="00525A7C"/>
    <w:rsid w:val="00527C2F"/>
    <w:rsid w:val="00531008"/>
    <w:rsid w:val="005379B2"/>
    <w:rsid w:val="00545E83"/>
    <w:rsid w:val="00557F25"/>
    <w:rsid w:val="00567136"/>
    <w:rsid w:val="00571A86"/>
    <w:rsid w:val="00571D41"/>
    <w:rsid w:val="00572728"/>
    <w:rsid w:val="00581DC4"/>
    <w:rsid w:val="00587866"/>
    <w:rsid w:val="005946B1"/>
    <w:rsid w:val="005948A0"/>
    <w:rsid w:val="005B4DB2"/>
    <w:rsid w:val="005B7542"/>
    <w:rsid w:val="005C339A"/>
    <w:rsid w:val="005D69D7"/>
    <w:rsid w:val="005E23A4"/>
    <w:rsid w:val="005E2CD6"/>
    <w:rsid w:val="005F56F8"/>
    <w:rsid w:val="00614147"/>
    <w:rsid w:val="006178FA"/>
    <w:rsid w:val="006532F6"/>
    <w:rsid w:val="00653A3B"/>
    <w:rsid w:val="00657618"/>
    <w:rsid w:val="00672B3A"/>
    <w:rsid w:val="0067791E"/>
    <w:rsid w:val="00680E3C"/>
    <w:rsid w:val="00683F5F"/>
    <w:rsid w:val="006932BF"/>
    <w:rsid w:val="006D0526"/>
    <w:rsid w:val="006D34FC"/>
    <w:rsid w:val="006D39F3"/>
    <w:rsid w:val="006D6CDA"/>
    <w:rsid w:val="006E315B"/>
    <w:rsid w:val="006E3304"/>
    <w:rsid w:val="006E6C3D"/>
    <w:rsid w:val="006F1BFF"/>
    <w:rsid w:val="00700436"/>
    <w:rsid w:val="00701B63"/>
    <w:rsid w:val="00713123"/>
    <w:rsid w:val="007154AF"/>
    <w:rsid w:val="00722F40"/>
    <w:rsid w:val="00740A29"/>
    <w:rsid w:val="007535ED"/>
    <w:rsid w:val="00755522"/>
    <w:rsid w:val="007620D1"/>
    <w:rsid w:val="007857F0"/>
    <w:rsid w:val="007A2F1F"/>
    <w:rsid w:val="007A2F7E"/>
    <w:rsid w:val="007B1A87"/>
    <w:rsid w:val="007D06A1"/>
    <w:rsid w:val="007D0EBD"/>
    <w:rsid w:val="007F40A9"/>
    <w:rsid w:val="007F4639"/>
    <w:rsid w:val="00805E2E"/>
    <w:rsid w:val="008062CE"/>
    <w:rsid w:val="008204BA"/>
    <w:rsid w:val="008223E0"/>
    <w:rsid w:val="008232E2"/>
    <w:rsid w:val="00826FD4"/>
    <w:rsid w:val="00833D11"/>
    <w:rsid w:val="00840ED4"/>
    <w:rsid w:val="008528EA"/>
    <w:rsid w:val="008607B8"/>
    <w:rsid w:val="008625A7"/>
    <w:rsid w:val="0087078D"/>
    <w:rsid w:val="00874A06"/>
    <w:rsid w:val="008955C3"/>
    <w:rsid w:val="008A4731"/>
    <w:rsid w:val="008B2753"/>
    <w:rsid w:val="008C196B"/>
    <w:rsid w:val="008D42A5"/>
    <w:rsid w:val="008E16E6"/>
    <w:rsid w:val="008E458B"/>
    <w:rsid w:val="008F208B"/>
    <w:rsid w:val="00903F6B"/>
    <w:rsid w:val="009072C7"/>
    <w:rsid w:val="00907CFA"/>
    <w:rsid w:val="00910407"/>
    <w:rsid w:val="00920143"/>
    <w:rsid w:val="0092198B"/>
    <w:rsid w:val="0092720B"/>
    <w:rsid w:val="00930A0E"/>
    <w:rsid w:val="009314DD"/>
    <w:rsid w:val="00933B9B"/>
    <w:rsid w:val="00951CD5"/>
    <w:rsid w:val="0095665F"/>
    <w:rsid w:val="0096134A"/>
    <w:rsid w:val="00971629"/>
    <w:rsid w:val="00975940"/>
    <w:rsid w:val="00986E79"/>
    <w:rsid w:val="009950E2"/>
    <w:rsid w:val="009B2E2E"/>
    <w:rsid w:val="009C2AC9"/>
    <w:rsid w:val="009D053A"/>
    <w:rsid w:val="009D313D"/>
    <w:rsid w:val="009D51E3"/>
    <w:rsid w:val="009E254D"/>
    <w:rsid w:val="009E578D"/>
    <w:rsid w:val="009E74A3"/>
    <w:rsid w:val="009F7131"/>
    <w:rsid w:val="009F7235"/>
    <w:rsid w:val="00A221F7"/>
    <w:rsid w:val="00A347FB"/>
    <w:rsid w:val="00A658BE"/>
    <w:rsid w:val="00A65907"/>
    <w:rsid w:val="00A81680"/>
    <w:rsid w:val="00AA3859"/>
    <w:rsid w:val="00AC69A8"/>
    <w:rsid w:val="00AD4657"/>
    <w:rsid w:val="00AD7B74"/>
    <w:rsid w:val="00AE0F1D"/>
    <w:rsid w:val="00B02A53"/>
    <w:rsid w:val="00B05D69"/>
    <w:rsid w:val="00B116AB"/>
    <w:rsid w:val="00B12E2C"/>
    <w:rsid w:val="00B21C32"/>
    <w:rsid w:val="00B2328E"/>
    <w:rsid w:val="00B523D3"/>
    <w:rsid w:val="00B52F75"/>
    <w:rsid w:val="00B61454"/>
    <w:rsid w:val="00B728C4"/>
    <w:rsid w:val="00B775E1"/>
    <w:rsid w:val="00BA6C27"/>
    <w:rsid w:val="00BB61CD"/>
    <w:rsid w:val="00BD2B2A"/>
    <w:rsid w:val="00BD2F64"/>
    <w:rsid w:val="00BE7399"/>
    <w:rsid w:val="00BE7731"/>
    <w:rsid w:val="00BE7F44"/>
    <w:rsid w:val="00BF3BC6"/>
    <w:rsid w:val="00C007DF"/>
    <w:rsid w:val="00C0196E"/>
    <w:rsid w:val="00C10EEA"/>
    <w:rsid w:val="00C15084"/>
    <w:rsid w:val="00C23945"/>
    <w:rsid w:val="00C239CB"/>
    <w:rsid w:val="00C306C8"/>
    <w:rsid w:val="00C532D8"/>
    <w:rsid w:val="00C7119A"/>
    <w:rsid w:val="00C725B2"/>
    <w:rsid w:val="00C765F5"/>
    <w:rsid w:val="00C93D11"/>
    <w:rsid w:val="00CB196B"/>
    <w:rsid w:val="00CD49CE"/>
    <w:rsid w:val="00CD68BF"/>
    <w:rsid w:val="00CE2ABC"/>
    <w:rsid w:val="00CE3EB2"/>
    <w:rsid w:val="00CE5BE7"/>
    <w:rsid w:val="00D04CA4"/>
    <w:rsid w:val="00D104A8"/>
    <w:rsid w:val="00D11163"/>
    <w:rsid w:val="00D13659"/>
    <w:rsid w:val="00D60358"/>
    <w:rsid w:val="00D66C3C"/>
    <w:rsid w:val="00D71751"/>
    <w:rsid w:val="00D77DDC"/>
    <w:rsid w:val="00D909E6"/>
    <w:rsid w:val="00DB7418"/>
    <w:rsid w:val="00DC24A8"/>
    <w:rsid w:val="00DC4E53"/>
    <w:rsid w:val="00DC67B0"/>
    <w:rsid w:val="00DE465A"/>
    <w:rsid w:val="00DE46E4"/>
    <w:rsid w:val="00DE730A"/>
    <w:rsid w:val="00DE7D1B"/>
    <w:rsid w:val="00DF55C3"/>
    <w:rsid w:val="00E11C73"/>
    <w:rsid w:val="00E16816"/>
    <w:rsid w:val="00E248C9"/>
    <w:rsid w:val="00E308D7"/>
    <w:rsid w:val="00E32181"/>
    <w:rsid w:val="00E349B2"/>
    <w:rsid w:val="00E45A3B"/>
    <w:rsid w:val="00E472AA"/>
    <w:rsid w:val="00E569C4"/>
    <w:rsid w:val="00E57228"/>
    <w:rsid w:val="00E604E8"/>
    <w:rsid w:val="00E70021"/>
    <w:rsid w:val="00E872EA"/>
    <w:rsid w:val="00E907A5"/>
    <w:rsid w:val="00E91EB7"/>
    <w:rsid w:val="00E9493D"/>
    <w:rsid w:val="00EA6B4A"/>
    <w:rsid w:val="00EB2032"/>
    <w:rsid w:val="00EB6D59"/>
    <w:rsid w:val="00EC56B5"/>
    <w:rsid w:val="00ED623E"/>
    <w:rsid w:val="00EE494B"/>
    <w:rsid w:val="00EF01F1"/>
    <w:rsid w:val="00EF09C6"/>
    <w:rsid w:val="00F03DC3"/>
    <w:rsid w:val="00F21846"/>
    <w:rsid w:val="00F33867"/>
    <w:rsid w:val="00F36677"/>
    <w:rsid w:val="00F4065C"/>
    <w:rsid w:val="00F52FA3"/>
    <w:rsid w:val="00F63040"/>
    <w:rsid w:val="00F72729"/>
    <w:rsid w:val="00F74E38"/>
    <w:rsid w:val="00FB0ECC"/>
    <w:rsid w:val="00FC5115"/>
    <w:rsid w:val="00FC580F"/>
    <w:rsid w:val="00FC595C"/>
    <w:rsid w:val="00FD0AB7"/>
    <w:rsid w:val="00FD27B9"/>
    <w:rsid w:val="00FD56B5"/>
    <w:rsid w:val="00FE27E0"/>
    <w:rsid w:val="00FE372C"/>
    <w:rsid w:val="00FF2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3DF4"/>
  <w15:docId w15:val="{82D77D27-70C5-47F5-8D05-891A6695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46"/>
    <w:pPr>
      <w:spacing w:before="120" w:after="120" w:line="240" w:lineRule="auto"/>
      <w:ind w:left="11" w:hanging="11"/>
    </w:pPr>
    <w:rPr>
      <w:rFonts w:ascii="Calibri" w:eastAsia="Calibri" w:hAnsi="Calibri" w:cs="Calibri"/>
      <w:color w:val="181717"/>
      <w:sz w:val="20"/>
    </w:rPr>
  </w:style>
  <w:style w:type="paragraph" w:styleId="Heading1">
    <w:name w:val="heading 1"/>
    <w:next w:val="Normal"/>
    <w:link w:val="Heading1Char"/>
    <w:autoRedefine/>
    <w:uiPriority w:val="9"/>
    <w:unhideWhenUsed/>
    <w:qFormat/>
    <w:rsid w:val="004F1267"/>
    <w:pPr>
      <w:keepNext/>
      <w:keepLines/>
      <w:spacing w:before="240" w:after="240" w:line="240" w:lineRule="auto"/>
      <w:ind w:left="-11"/>
      <w:outlineLvl w:val="0"/>
    </w:pPr>
    <w:rPr>
      <w:rFonts w:ascii="Georgia" w:eastAsia="Times New Roman" w:hAnsi="Georgia" w:cs="Times New Roman"/>
      <w:b/>
      <w:sz w:val="36"/>
      <w:szCs w:val="36"/>
    </w:rPr>
  </w:style>
  <w:style w:type="paragraph" w:styleId="Heading2">
    <w:name w:val="heading 2"/>
    <w:next w:val="Normal"/>
    <w:link w:val="Heading2Char"/>
    <w:uiPriority w:val="9"/>
    <w:unhideWhenUsed/>
    <w:qFormat/>
    <w:rsid w:val="00272532"/>
    <w:pPr>
      <w:keepNext/>
      <w:keepLines/>
      <w:spacing w:before="120" w:after="120"/>
      <w:outlineLvl w:val="1"/>
    </w:pPr>
    <w:rPr>
      <w:rFonts w:ascii="Georgia" w:eastAsia="Calibri" w:hAnsi="Georgia" w:cs="Calibri"/>
      <w:color w:val="005D44"/>
      <w:sz w:val="32"/>
      <w:szCs w:val="32"/>
    </w:rPr>
  </w:style>
  <w:style w:type="paragraph" w:styleId="Heading3">
    <w:name w:val="heading 3"/>
    <w:basedOn w:val="Normal"/>
    <w:next w:val="Normal"/>
    <w:link w:val="Heading3Char"/>
    <w:uiPriority w:val="9"/>
    <w:unhideWhenUsed/>
    <w:qFormat/>
    <w:rsid w:val="009F7235"/>
    <w:pPr>
      <w:outlineLvl w:val="2"/>
    </w:pPr>
    <w:rPr>
      <w:rFonts w:ascii="Georgia" w:hAnsi="Georgia"/>
      <w:b/>
      <w:sz w:val="32"/>
    </w:rPr>
  </w:style>
  <w:style w:type="paragraph" w:styleId="Heading4">
    <w:name w:val="heading 4"/>
    <w:basedOn w:val="Normal"/>
    <w:next w:val="Normal"/>
    <w:link w:val="Heading4Char"/>
    <w:uiPriority w:val="9"/>
    <w:unhideWhenUsed/>
    <w:qFormat/>
    <w:rsid w:val="00CD68BF"/>
    <w:pPr>
      <w:keepNext/>
      <w:keepLines/>
      <w:spacing w:before="40" w:after="0"/>
      <w:outlineLvl w:val="3"/>
    </w:pPr>
    <w:rPr>
      <w:rFonts w:ascii="Georgia" w:eastAsiaTheme="majorEastAsia" w:hAnsi="Georgia"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72532"/>
    <w:rPr>
      <w:rFonts w:ascii="Georgia" w:eastAsia="Calibri" w:hAnsi="Georgia" w:cs="Calibri"/>
      <w:color w:val="005D44"/>
      <w:sz w:val="32"/>
      <w:szCs w:val="32"/>
    </w:rPr>
  </w:style>
  <w:style w:type="character" w:customStyle="1" w:styleId="Heading1Char">
    <w:name w:val="Heading 1 Char"/>
    <w:link w:val="Heading1"/>
    <w:uiPriority w:val="9"/>
    <w:rsid w:val="004F1267"/>
    <w:rPr>
      <w:rFonts w:ascii="Georgia" w:eastAsia="Times New Roman" w:hAnsi="Georgia" w:cs="Times New Roman"/>
      <w:b/>
      <w:sz w:val="36"/>
      <w:szCs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2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6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6AB"/>
    <w:rPr>
      <w:rFonts w:ascii="Segoe UI" w:eastAsia="Calibri" w:hAnsi="Segoe UI" w:cs="Segoe UI"/>
      <w:color w:val="181717"/>
      <w:sz w:val="18"/>
      <w:szCs w:val="18"/>
    </w:rPr>
  </w:style>
  <w:style w:type="paragraph" w:styleId="ListParagraph">
    <w:name w:val="List Paragraph"/>
    <w:basedOn w:val="Normal"/>
    <w:autoRedefine/>
    <w:uiPriority w:val="34"/>
    <w:qFormat/>
    <w:rsid w:val="007535ED"/>
    <w:pPr>
      <w:numPr>
        <w:numId w:val="36"/>
      </w:numPr>
      <w:spacing w:after="0" w:line="259" w:lineRule="auto"/>
      <w:ind w:right="657"/>
      <w:contextualSpacing/>
    </w:pPr>
  </w:style>
  <w:style w:type="paragraph" w:styleId="Title">
    <w:name w:val="Title"/>
    <w:basedOn w:val="Normal"/>
    <w:next w:val="Normal"/>
    <w:link w:val="TitleChar"/>
    <w:uiPriority w:val="10"/>
    <w:qFormat/>
    <w:rsid w:val="004C1FEF"/>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C1FEF"/>
    <w:rPr>
      <w:rFonts w:asciiTheme="majorHAnsi" w:eastAsiaTheme="majorEastAsia" w:hAnsiTheme="majorHAnsi" w:cstheme="majorBidi"/>
      <w:spacing w:val="-10"/>
      <w:kern w:val="28"/>
      <w:sz w:val="56"/>
      <w:szCs w:val="56"/>
    </w:rPr>
  </w:style>
  <w:style w:type="table" w:customStyle="1" w:styleId="GridTable1Light1">
    <w:name w:val="Grid Table 1 Light1"/>
    <w:basedOn w:val="TableNormal"/>
    <w:uiPriority w:val="46"/>
    <w:rsid w:val="004C1F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5C339A"/>
    <w:rPr>
      <w:sz w:val="16"/>
      <w:szCs w:val="16"/>
    </w:rPr>
  </w:style>
  <w:style w:type="paragraph" w:styleId="CommentText">
    <w:name w:val="annotation text"/>
    <w:basedOn w:val="Normal"/>
    <w:link w:val="CommentTextChar"/>
    <w:uiPriority w:val="99"/>
    <w:unhideWhenUsed/>
    <w:rsid w:val="005C339A"/>
    <w:rPr>
      <w:szCs w:val="20"/>
    </w:rPr>
  </w:style>
  <w:style w:type="character" w:customStyle="1" w:styleId="CommentTextChar">
    <w:name w:val="Comment Text Char"/>
    <w:basedOn w:val="DefaultParagraphFont"/>
    <w:link w:val="CommentText"/>
    <w:uiPriority w:val="99"/>
    <w:rsid w:val="005C339A"/>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5C339A"/>
    <w:rPr>
      <w:b/>
      <w:bCs/>
    </w:rPr>
  </w:style>
  <w:style w:type="character" w:customStyle="1" w:styleId="CommentSubjectChar">
    <w:name w:val="Comment Subject Char"/>
    <w:basedOn w:val="CommentTextChar"/>
    <w:link w:val="CommentSubject"/>
    <w:uiPriority w:val="99"/>
    <w:semiHidden/>
    <w:rsid w:val="005C339A"/>
    <w:rPr>
      <w:rFonts w:ascii="Calibri" w:eastAsia="Calibri" w:hAnsi="Calibri" w:cs="Calibri"/>
      <w:b/>
      <w:bCs/>
      <w:color w:val="181717"/>
      <w:sz w:val="20"/>
      <w:szCs w:val="20"/>
    </w:rPr>
  </w:style>
  <w:style w:type="paragraph" w:styleId="Revision">
    <w:name w:val="Revision"/>
    <w:hidden/>
    <w:uiPriority w:val="99"/>
    <w:semiHidden/>
    <w:rsid w:val="005C339A"/>
    <w:pPr>
      <w:spacing w:after="0" w:line="240" w:lineRule="auto"/>
    </w:pPr>
    <w:rPr>
      <w:rFonts w:ascii="Calibri" w:eastAsia="Calibri" w:hAnsi="Calibri" w:cs="Calibri"/>
      <w:color w:val="181717"/>
      <w:sz w:val="20"/>
    </w:rPr>
  </w:style>
  <w:style w:type="character" w:customStyle="1" w:styleId="Heading3Char">
    <w:name w:val="Heading 3 Char"/>
    <w:basedOn w:val="DefaultParagraphFont"/>
    <w:link w:val="Heading3"/>
    <w:uiPriority w:val="9"/>
    <w:rsid w:val="009F7235"/>
    <w:rPr>
      <w:rFonts w:ascii="Georgia" w:eastAsia="Calibri" w:hAnsi="Georgia" w:cs="Calibri"/>
      <w:b/>
      <w:color w:val="181717"/>
      <w:sz w:val="32"/>
    </w:rPr>
  </w:style>
  <w:style w:type="table" w:customStyle="1" w:styleId="TableGrid1">
    <w:name w:val="TableGrid1"/>
    <w:rsid w:val="002613ED"/>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2613ED"/>
    <w:rPr>
      <w:color w:val="954F72" w:themeColor="followedHyperlink"/>
      <w:u w:val="single"/>
    </w:rPr>
  </w:style>
  <w:style w:type="character" w:styleId="Hyperlink">
    <w:name w:val="Hyperlink"/>
    <w:basedOn w:val="DefaultParagraphFont"/>
    <w:uiPriority w:val="99"/>
    <w:unhideWhenUsed/>
    <w:rsid w:val="00EF01F1"/>
    <w:rPr>
      <w:color w:val="0563C1" w:themeColor="hyperlink"/>
      <w:u w:val="single"/>
    </w:rPr>
  </w:style>
  <w:style w:type="table" w:customStyle="1" w:styleId="GridTable1Light10">
    <w:name w:val="Grid Table 1 Light1"/>
    <w:basedOn w:val="TableNormal"/>
    <w:next w:val="GridTable1Light1"/>
    <w:uiPriority w:val="46"/>
    <w:rsid w:val="003633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IPtablecaption">
    <w:name w:val="PIP table caption"/>
    <w:basedOn w:val="Heading3"/>
    <w:qFormat/>
    <w:rsid w:val="00272532"/>
    <w:rPr>
      <w:rFonts w:asciiTheme="minorHAnsi" w:hAnsiTheme="minorHAnsi"/>
    </w:rPr>
  </w:style>
  <w:style w:type="character" w:customStyle="1" w:styleId="Heading4Char">
    <w:name w:val="Heading 4 Char"/>
    <w:basedOn w:val="DefaultParagraphFont"/>
    <w:link w:val="Heading4"/>
    <w:uiPriority w:val="9"/>
    <w:rsid w:val="00CD68BF"/>
    <w:rPr>
      <w:rFonts w:ascii="Georgia" w:eastAsiaTheme="majorEastAsia" w:hAnsi="Georgia" w:cstheme="majorBidi"/>
      <w:i/>
      <w:iCs/>
      <w:color w:val="2E74B5" w:themeColor="accent1" w:themeShade="BF"/>
      <w:sz w:val="28"/>
      <w:szCs w:val="28"/>
    </w:rPr>
  </w:style>
  <w:style w:type="paragraph" w:customStyle="1" w:styleId="01BodyText">
    <w:name w:val="01 Body Text"/>
    <w:basedOn w:val="Normal"/>
    <w:uiPriority w:val="99"/>
    <w:rsid w:val="00342B48"/>
    <w:pPr>
      <w:widowControl w:val="0"/>
      <w:suppressAutoHyphens/>
      <w:autoSpaceDE w:val="0"/>
      <w:autoSpaceDN w:val="0"/>
      <w:adjustRightInd w:val="0"/>
      <w:spacing w:before="0" w:after="170" w:line="288" w:lineRule="auto"/>
      <w:ind w:left="0" w:firstLine="0"/>
      <w:textAlignment w:val="center"/>
    </w:pPr>
    <w:rPr>
      <w:rFonts w:ascii="Times New Roman" w:eastAsiaTheme="minorEastAsia" w:hAnsi="Times New Roman" w:cs="PFCentroSansPro-Regular"/>
      <w:color w:val="000000" w:themeColor="text1"/>
      <w:spacing w:val="-1"/>
      <w:sz w:val="24"/>
      <w:szCs w:val="20"/>
      <w:lang w:val="en-GB"/>
    </w:rPr>
  </w:style>
  <w:style w:type="paragraph" w:styleId="NoSpacing">
    <w:name w:val="No Spacing"/>
    <w:uiPriority w:val="1"/>
    <w:qFormat/>
    <w:rsid w:val="0092198B"/>
    <w:pPr>
      <w:spacing w:after="0" w:line="240" w:lineRule="auto"/>
      <w:ind w:left="11" w:hanging="11"/>
    </w:pPr>
    <w:rPr>
      <w:rFonts w:ascii="Calibri" w:eastAsia="Calibri" w:hAnsi="Calibri" w:cs="Calibri"/>
      <w:color w:val="181717"/>
      <w:sz w:val="20"/>
    </w:rPr>
  </w:style>
  <w:style w:type="paragraph" w:styleId="Header">
    <w:name w:val="header"/>
    <w:basedOn w:val="Normal"/>
    <w:link w:val="HeaderChar"/>
    <w:uiPriority w:val="99"/>
    <w:unhideWhenUsed/>
    <w:rsid w:val="00680E3C"/>
    <w:pPr>
      <w:tabs>
        <w:tab w:val="center" w:pos="4513"/>
        <w:tab w:val="right" w:pos="9026"/>
      </w:tabs>
      <w:spacing w:before="0" w:after="0"/>
    </w:pPr>
  </w:style>
  <w:style w:type="character" w:customStyle="1" w:styleId="HeaderChar">
    <w:name w:val="Header Char"/>
    <w:basedOn w:val="DefaultParagraphFont"/>
    <w:link w:val="Header"/>
    <w:uiPriority w:val="99"/>
    <w:rsid w:val="00680E3C"/>
    <w:rPr>
      <w:rFonts w:ascii="Calibri" w:eastAsia="Calibri" w:hAnsi="Calibri" w:cs="Calibri"/>
      <w:color w:val="181717"/>
      <w:sz w:val="20"/>
    </w:rPr>
  </w:style>
  <w:style w:type="paragraph" w:styleId="Footer">
    <w:name w:val="footer"/>
    <w:basedOn w:val="Normal"/>
    <w:link w:val="FooterChar"/>
    <w:uiPriority w:val="99"/>
    <w:unhideWhenUsed/>
    <w:rsid w:val="00680E3C"/>
    <w:pPr>
      <w:tabs>
        <w:tab w:val="center" w:pos="4513"/>
        <w:tab w:val="right" w:pos="9026"/>
      </w:tabs>
      <w:spacing w:before="0" w:after="0"/>
    </w:pPr>
  </w:style>
  <w:style w:type="character" w:customStyle="1" w:styleId="FooterChar">
    <w:name w:val="Footer Char"/>
    <w:basedOn w:val="DefaultParagraphFont"/>
    <w:link w:val="Footer"/>
    <w:uiPriority w:val="99"/>
    <w:rsid w:val="00680E3C"/>
    <w:rPr>
      <w:rFonts w:ascii="Calibri" w:eastAsia="Calibri" w:hAnsi="Calibri" w:cs="Calibri"/>
      <w:color w:val="181717"/>
      <w:sz w:val="20"/>
    </w:rPr>
  </w:style>
  <w:style w:type="paragraph" w:customStyle="1" w:styleId="DHSHeadinglevel1">
    <w:name w:val="DHS Heading level 1"/>
    <w:basedOn w:val="Heading1"/>
    <w:next w:val="DHSBodytext"/>
    <w:qFormat/>
    <w:rsid w:val="00092987"/>
    <w:pPr>
      <w:keepLines w:val="0"/>
      <w:spacing w:before="60"/>
      <w:ind w:left="0"/>
    </w:pPr>
    <w:rPr>
      <w:rFonts w:ascii="Arial" w:hAnsi="Arial" w:cs="Arial"/>
      <w:bCs/>
      <w:kern w:val="32"/>
      <w:sz w:val="40"/>
      <w:szCs w:val="40"/>
    </w:rPr>
  </w:style>
  <w:style w:type="paragraph" w:customStyle="1" w:styleId="DHSHeadinglevel2">
    <w:name w:val="DHS Heading level 2"/>
    <w:basedOn w:val="Heading2"/>
    <w:next w:val="DHSBodytext"/>
    <w:qFormat/>
    <w:rsid w:val="00092987"/>
    <w:pPr>
      <w:keepLines w:val="0"/>
      <w:spacing w:before="60" w:after="240" w:line="240" w:lineRule="auto"/>
    </w:pPr>
    <w:rPr>
      <w:rFonts w:ascii="Arial" w:eastAsia="Times New Roman" w:hAnsi="Arial" w:cs="Arial"/>
      <w:b/>
      <w:bCs/>
      <w:iCs/>
      <w:color w:val="000000"/>
      <w:szCs w:val="28"/>
    </w:rPr>
  </w:style>
  <w:style w:type="paragraph" w:customStyle="1" w:styleId="DHSHeadinglevel3">
    <w:name w:val="DHS Heading level 3"/>
    <w:basedOn w:val="Heading3"/>
    <w:next w:val="DHSBodytext"/>
    <w:qFormat/>
    <w:rsid w:val="00092987"/>
    <w:pPr>
      <w:keepNext/>
      <w:spacing w:before="60"/>
      <w:ind w:left="0" w:firstLine="0"/>
    </w:pPr>
    <w:rPr>
      <w:rFonts w:ascii="Arial" w:eastAsia="Times New Roman" w:hAnsi="Arial" w:cs="Arial"/>
      <w:b w:val="0"/>
      <w:bCs/>
      <w:color w:val="auto"/>
      <w:sz w:val="28"/>
      <w:szCs w:val="26"/>
    </w:rPr>
  </w:style>
  <w:style w:type="paragraph" w:customStyle="1" w:styleId="DHSHeadinglevel4">
    <w:name w:val="DHS Heading level 4"/>
    <w:basedOn w:val="Heading4"/>
    <w:next w:val="DHSBodytext"/>
    <w:qFormat/>
    <w:rsid w:val="00092987"/>
    <w:pPr>
      <w:keepLines w:val="0"/>
      <w:spacing w:before="60" w:after="120"/>
      <w:ind w:left="0" w:firstLine="0"/>
    </w:pPr>
    <w:rPr>
      <w:rFonts w:ascii="Arial" w:eastAsia="Times New Roman" w:hAnsi="Arial" w:cs="Arial"/>
      <w:bCs/>
      <w:i w:val="0"/>
      <w:iCs w:val="0"/>
      <w:color w:val="auto"/>
      <w:sz w:val="24"/>
      <w:szCs w:val="22"/>
    </w:rPr>
  </w:style>
  <w:style w:type="paragraph" w:customStyle="1" w:styleId="DHSBodytext">
    <w:name w:val="DHS Body text"/>
    <w:basedOn w:val="Normal"/>
    <w:qFormat/>
    <w:rsid w:val="00092987"/>
    <w:pPr>
      <w:spacing w:before="0"/>
      <w:ind w:left="0" w:firstLine="0"/>
    </w:pPr>
    <w:rPr>
      <w:rFonts w:ascii="Arial" w:eastAsia="Times New Roman" w:hAnsi="Arial" w:cs="Arial"/>
      <w:color w:val="auto"/>
      <w:sz w:val="22"/>
    </w:rPr>
  </w:style>
  <w:style w:type="paragraph" w:customStyle="1" w:styleId="DHSBulletslevel2">
    <w:name w:val="DHS Bullets level 2"/>
    <w:basedOn w:val="Normal"/>
    <w:qFormat/>
    <w:rsid w:val="00092987"/>
    <w:pPr>
      <w:numPr>
        <w:numId w:val="40"/>
      </w:numPr>
      <w:spacing w:before="0"/>
      <w:ind w:left="680" w:hanging="340"/>
    </w:pPr>
    <w:rPr>
      <w:rFonts w:ascii="Arial" w:eastAsia="Times New Roman" w:hAnsi="Arial" w:cs="Arial"/>
      <w:color w:val="auto"/>
      <w:sz w:val="22"/>
    </w:rPr>
  </w:style>
  <w:style w:type="paragraph" w:customStyle="1" w:styleId="DHSNumberslevel1">
    <w:name w:val="DHS Numbers level 1"/>
    <w:basedOn w:val="Normal"/>
    <w:qFormat/>
    <w:rsid w:val="00092987"/>
    <w:pPr>
      <w:numPr>
        <w:numId w:val="41"/>
      </w:numPr>
      <w:spacing w:before="0"/>
      <w:ind w:left="357" w:hanging="357"/>
    </w:pPr>
    <w:rPr>
      <w:rFonts w:ascii="Arial" w:eastAsia="Times New Roman" w:hAnsi="Arial" w:cs="Arial"/>
      <w:color w:val="auto"/>
      <w:sz w:val="22"/>
    </w:rPr>
  </w:style>
  <w:style w:type="paragraph" w:customStyle="1" w:styleId="DHSNumberslevel2">
    <w:name w:val="DHS Numbers level 2"/>
    <w:basedOn w:val="DHSNumberslevel1"/>
    <w:qFormat/>
    <w:rsid w:val="00092987"/>
    <w:pPr>
      <w:numPr>
        <w:numId w:val="42"/>
      </w:numPr>
      <w:ind w:left="680" w:hanging="340"/>
    </w:pPr>
  </w:style>
  <w:style w:type="paragraph" w:customStyle="1" w:styleId="DHSBulletslevel">
    <w:name w:val="DHS Bullets level"/>
    <w:basedOn w:val="Normal"/>
    <w:qFormat/>
    <w:rsid w:val="00092987"/>
    <w:pPr>
      <w:numPr>
        <w:numId w:val="39"/>
      </w:numPr>
      <w:spacing w:before="0"/>
    </w:pPr>
    <w:rPr>
      <w:rFonts w:ascii="Arial" w:eastAsia="Times New Roman"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0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ihw.gov.au/rural-health-rrma-classification/" TargetMode="External"/><Relationship Id="rId13" Type="http://schemas.openxmlformats.org/officeDocument/2006/relationships/hyperlink" Target="https://www.humanservices.gov.au/health-professionals/forms/ip0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manservices.gov.au/health-professionals/forms/ip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services.gov.au/health-professionals/forms/ip004" TargetMode="External"/><Relationship Id="rId5" Type="http://schemas.openxmlformats.org/officeDocument/2006/relationships/webSettings" Target="webSettings.xml"/><Relationship Id="rId15" Type="http://schemas.openxmlformats.org/officeDocument/2006/relationships/hyperlink" Target="https://www.humanservices.gov.au/health-professionals/forms/ip007" TargetMode="External"/><Relationship Id="rId10" Type="http://schemas.openxmlformats.org/officeDocument/2006/relationships/hyperlink" Target="https://www.humanservices.gov.au/health-professionals/services/medicare/proda" TargetMode="External"/><Relationship Id="rId4" Type="http://schemas.openxmlformats.org/officeDocument/2006/relationships/settings" Target="settings.xml"/><Relationship Id="rId9" Type="http://schemas.openxmlformats.org/officeDocument/2006/relationships/hyperlink" Target="https://www.humanservices.gov.au/health-professionals/services/medicare/hpos" TargetMode="External"/><Relationship Id="rId14" Type="http://schemas.openxmlformats.org/officeDocument/2006/relationships/hyperlink" Target="https://www.humanservices.gov.au/health-professionals/services/medicare/h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E951-9323-4A49-8F9B-16D741AA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Procedural General Practitioner Payment Guidelines</vt:lpstr>
    </vt:vector>
  </TitlesOfParts>
  <Company>Australian Government</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General Practitioner Payment Guidelines</dc:title>
  <dc:creator>Department of Human Services</dc:creator>
  <cp:lastModifiedBy>Strachan, Pam</cp:lastModifiedBy>
  <cp:revision>2</cp:revision>
  <cp:lastPrinted>2017-06-08T22:28:00Z</cp:lastPrinted>
  <dcterms:created xsi:type="dcterms:W3CDTF">2020-07-28T05:16:00Z</dcterms:created>
  <dcterms:modified xsi:type="dcterms:W3CDTF">2020-07-28T05:16:00Z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