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D85" w:rsidRPr="00477C4B" w:rsidRDefault="00A53D85" w:rsidP="00A53D85">
      <w:pPr>
        <w:pStyle w:val="Title"/>
        <w:rPr>
          <w:rFonts w:ascii="Arial" w:hAnsi="Arial" w:cs="Arial"/>
          <w:sz w:val="40"/>
          <w:szCs w:val="40"/>
        </w:rPr>
      </w:pPr>
      <w:bookmarkStart w:id="0" w:name="_GoBack"/>
      <w:bookmarkEnd w:id="0"/>
      <w:r w:rsidRPr="00477C4B">
        <w:rPr>
          <w:rFonts w:ascii="Arial" w:hAnsi="Arial" w:cs="Arial"/>
          <w:sz w:val="40"/>
          <w:szCs w:val="40"/>
        </w:rPr>
        <w:t xml:space="preserve">Practice Incentives Program eHealth Incentive </w:t>
      </w:r>
    </w:p>
    <w:p w:rsidR="00A53D85" w:rsidRDefault="00A53D85" w:rsidP="00A53D85">
      <w:pPr>
        <w:pStyle w:val="Title"/>
        <w:rPr>
          <w:rFonts w:ascii="Arial" w:hAnsi="Arial" w:cs="Arial"/>
          <w:sz w:val="40"/>
          <w:szCs w:val="40"/>
        </w:rPr>
      </w:pPr>
      <w:r>
        <w:rPr>
          <w:rFonts w:ascii="Arial" w:hAnsi="Arial" w:cs="Arial"/>
          <w:sz w:val="40"/>
          <w:szCs w:val="40"/>
        </w:rPr>
        <w:t>Guidelines</w:t>
      </w:r>
    </w:p>
    <w:p w:rsidR="00A53D85" w:rsidRPr="00477C4B" w:rsidRDefault="00A53D85" w:rsidP="00A53D85">
      <w:pPr>
        <w:rPr>
          <w:rFonts w:ascii="Arial" w:hAnsi="Arial" w:cs="Arial"/>
        </w:rPr>
      </w:pPr>
      <w:r w:rsidRPr="00477C4B">
        <w:rPr>
          <w:rFonts w:ascii="Arial" w:hAnsi="Arial" w:cs="Arial"/>
        </w:rPr>
        <w:t>Effective May 2016.</w:t>
      </w:r>
    </w:p>
    <w:p w:rsidR="00A53D85" w:rsidRPr="00477C4B" w:rsidRDefault="00A53D85" w:rsidP="00A53D85">
      <w:pPr>
        <w:rPr>
          <w:rFonts w:ascii="Arial" w:hAnsi="Arial" w:cs="Arial"/>
        </w:rPr>
      </w:pPr>
      <w:r w:rsidRPr="00477C4B">
        <w:rPr>
          <w:rFonts w:ascii="Arial" w:hAnsi="Arial" w:cs="Arial"/>
        </w:rPr>
        <w:t>The Practice Incentives Program (PIP) eHealth Incentive aims to encourage general practices to keep up to date with the latest developments in digital health and adopt new digital health technology as it becomes available. It aims to help practices improve administration processes and patient care.</w:t>
      </w:r>
    </w:p>
    <w:p w:rsidR="00A53D85" w:rsidRPr="00477C4B" w:rsidRDefault="00A53D85" w:rsidP="00A53D85">
      <w:pPr>
        <w:rPr>
          <w:rFonts w:ascii="Arial" w:hAnsi="Arial" w:cs="Arial"/>
        </w:rPr>
      </w:pPr>
      <w:r w:rsidRPr="00477C4B">
        <w:rPr>
          <w:rFonts w:ascii="Arial" w:hAnsi="Arial" w:cs="Arial"/>
        </w:rPr>
        <w:t>To be eligible for the PIP eHealth Incentive, practices must be registered in the PIP and meet each of the five eligibility requirements below.</w:t>
      </w:r>
    </w:p>
    <w:p w:rsidR="00A53D85" w:rsidRPr="00477C4B" w:rsidRDefault="00A53D85" w:rsidP="00A53D85">
      <w:pPr>
        <w:rPr>
          <w:rFonts w:ascii="Arial" w:hAnsi="Arial" w:cs="Arial"/>
        </w:rPr>
      </w:pPr>
      <w:r w:rsidRPr="00477C4B">
        <w:rPr>
          <w:rFonts w:ascii="Arial" w:hAnsi="Arial" w:cs="Arial"/>
        </w:rPr>
        <w:t>The requirements for this incentive support the direction of the Australian Government’s My Health Record Strategy.</w:t>
      </w:r>
    </w:p>
    <w:p w:rsidR="00A53D85" w:rsidRPr="00477C4B" w:rsidRDefault="00A53D85" w:rsidP="00A53D85">
      <w:pPr>
        <w:pStyle w:val="Heading1"/>
        <w:rPr>
          <w:rFonts w:ascii="Arial" w:hAnsi="Arial" w:cs="Arial"/>
        </w:rPr>
      </w:pPr>
      <w:r w:rsidRPr="00477C4B">
        <w:rPr>
          <w:rFonts w:ascii="Arial" w:hAnsi="Arial" w:cs="Arial"/>
        </w:rPr>
        <w:t>Definition of a GP</w:t>
      </w:r>
    </w:p>
    <w:p w:rsidR="00A53D85" w:rsidRPr="00477C4B" w:rsidRDefault="00A53D85" w:rsidP="00A53D85">
      <w:pPr>
        <w:rPr>
          <w:rFonts w:ascii="Arial" w:hAnsi="Arial" w:cs="Arial"/>
        </w:rPr>
      </w:pPr>
      <w:r w:rsidRPr="00477C4B">
        <w:rPr>
          <w:rFonts w:ascii="Arial" w:hAnsi="Arial" w:cs="Arial"/>
        </w:rPr>
        <w:t>For the purposes of the PIP, General Practitioners (GPs) include GPs or non-specialist medical practitioners, known as other medical practitioners, who provide non-referred services but are not GPs. GPs include:</w:t>
      </w:r>
    </w:p>
    <w:p w:rsidR="00A53D85" w:rsidRPr="00477C4B" w:rsidRDefault="00A53D85" w:rsidP="00A53D85">
      <w:pPr>
        <w:pStyle w:val="ListParagraph"/>
        <w:numPr>
          <w:ilvl w:val="0"/>
          <w:numId w:val="6"/>
        </w:numPr>
        <w:ind w:left="284" w:hanging="218"/>
        <w:rPr>
          <w:rFonts w:ascii="Arial" w:hAnsi="Arial" w:cs="Arial"/>
        </w:rPr>
      </w:pPr>
      <w:r w:rsidRPr="00477C4B">
        <w:rPr>
          <w:rFonts w:ascii="Arial" w:hAnsi="Arial" w:cs="Arial"/>
          <w:sz w:val="22"/>
          <w:szCs w:val="22"/>
        </w:rPr>
        <w:t xml:space="preserve">Fellows of the Royal Australian College of General Practitioners (RACGP) and the Australian College of Rural and Remote Medicine </w:t>
      </w:r>
    </w:p>
    <w:p w:rsidR="00A53D85" w:rsidRPr="00477C4B" w:rsidRDefault="00A53D85" w:rsidP="00A53D85">
      <w:pPr>
        <w:pStyle w:val="ListParagraph"/>
        <w:numPr>
          <w:ilvl w:val="0"/>
          <w:numId w:val="6"/>
        </w:numPr>
        <w:ind w:left="284" w:hanging="218"/>
        <w:rPr>
          <w:rFonts w:ascii="Arial" w:hAnsi="Arial" w:cs="Arial"/>
        </w:rPr>
      </w:pPr>
      <w:r w:rsidRPr="00477C4B">
        <w:rPr>
          <w:rFonts w:ascii="Arial" w:hAnsi="Arial" w:cs="Arial"/>
          <w:sz w:val="22"/>
          <w:szCs w:val="22"/>
        </w:rPr>
        <w:t xml:space="preserve">vocationally registered general practitioners, and </w:t>
      </w:r>
    </w:p>
    <w:p w:rsidR="00A53D85" w:rsidRPr="00477C4B" w:rsidRDefault="00A53D85" w:rsidP="00A53D85">
      <w:pPr>
        <w:pStyle w:val="ListParagraph"/>
        <w:numPr>
          <w:ilvl w:val="0"/>
          <w:numId w:val="6"/>
        </w:numPr>
        <w:ind w:left="284" w:hanging="218"/>
        <w:rPr>
          <w:rFonts w:ascii="Arial" w:hAnsi="Arial" w:cs="Arial"/>
        </w:rPr>
      </w:pPr>
      <w:r w:rsidRPr="00477C4B">
        <w:rPr>
          <w:rFonts w:ascii="Arial" w:hAnsi="Arial" w:cs="Arial"/>
          <w:sz w:val="22"/>
          <w:szCs w:val="22"/>
        </w:rPr>
        <w:t>medical practitioners undertaking approved training.</w:t>
      </w:r>
    </w:p>
    <w:p w:rsidR="00A53D85" w:rsidRPr="00477C4B" w:rsidRDefault="00A53D85" w:rsidP="00A53D85">
      <w:pPr>
        <w:pStyle w:val="Heading1"/>
        <w:rPr>
          <w:rFonts w:ascii="Arial" w:hAnsi="Arial" w:cs="Arial"/>
        </w:rPr>
      </w:pPr>
      <w:r w:rsidRPr="00477C4B">
        <w:rPr>
          <w:rFonts w:ascii="Arial" w:hAnsi="Arial" w:cs="Arial"/>
        </w:rPr>
        <w:t>Payments and eligibility requirements</w:t>
      </w:r>
    </w:p>
    <w:p w:rsidR="00A53D85" w:rsidRPr="00477C4B" w:rsidRDefault="00A53D85" w:rsidP="00A53D85">
      <w:pPr>
        <w:rPr>
          <w:rFonts w:ascii="Arial" w:hAnsi="Arial" w:cs="Arial"/>
        </w:rPr>
      </w:pPr>
      <w:r w:rsidRPr="00477C4B">
        <w:rPr>
          <w:rFonts w:ascii="Arial" w:hAnsi="Arial" w:cs="Arial"/>
        </w:rPr>
        <w:t>To be eligible for the PIP eHealth Incentive, practices must:</w:t>
      </w:r>
    </w:p>
    <w:p w:rsidR="00A53D85" w:rsidRPr="00477C4B" w:rsidRDefault="00A53D85" w:rsidP="00A53D85">
      <w:pPr>
        <w:numPr>
          <w:ilvl w:val="0"/>
          <w:numId w:val="1"/>
        </w:numPr>
        <w:spacing w:before="0" w:after="14"/>
        <w:ind w:right="40" w:hanging="227"/>
        <w:rPr>
          <w:rFonts w:ascii="Arial" w:hAnsi="Arial" w:cs="Arial"/>
        </w:rPr>
      </w:pPr>
      <w:r w:rsidRPr="00477C4B">
        <w:rPr>
          <w:rFonts w:ascii="Arial" w:hAnsi="Arial" w:cs="Arial"/>
        </w:rPr>
        <w:t xml:space="preserve">participate in the PIP </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 xml:space="preserve">meet </w:t>
      </w:r>
      <w:r w:rsidRPr="00477C4B">
        <w:rPr>
          <w:rFonts w:ascii="Arial" w:hAnsi="Arial" w:cs="Arial"/>
          <w:i/>
        </w:rPr>
        <w:t>each</w:t>
      </w:r>
      <w:r w:rsidRPr="00477C4B">
        <w:rPr>
          <w:rFonts w:ascii="Arial" w:hAnsi="Arial" w:cs="Arial"/>
        </w:rPr>
        <w:t xml:space="preserve"> of the eligibility requirements 1 through to 5(ii) described below for the entire quarter, including the point-in-time date, and</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 xml:space="preserve">have met their practice’s shared health summary minimum upload target under requirement 5(iii) by the point-in-time date for each payment quarter. </w:t>
      </w:r>
    </w:p>
    <w:p w:rsidR="00A53D85" w:rsidRPr="00477C4B" w:rsidRDefault="00A53D85" w:rsidP="00A53D85">
      <w:pPr>
        <w:ind w:left="0" w:right="39" w:firstLine="0"/>
        <w:rPr>
          <w:rFonts w:ascii="Arial" w:hAnsi="Arial" w:cs="Arial"/>
        </w:rPr>
      </w:pPr>
      <w:r w:rsidRPr="00477C4B">
        <w:rPr>
          <w:rFonts w:ascii="Arial" w:hAnsi="Arial" w:cs="Arial"/>
        </w:rPr>
        <w:t>Practices need to ensure they opt-out of individual payment quarters online by the point-in-time date, when they determine they will not meet the requirements.</w:t>
      </w:r>
    </w:p>
    <w:p w:rsidR="00A53D85" w:rsidRPr="00477C4B" w:rsidRDefault="00A53D85" w:rsidP="00A53D85">
      <w:pPr>
        <w:rPr>
          <w:rFonts w:ascii="Arial" w:hAnsi="Arial" w:cs="Arial"/>
        </w:rPr>
      </w:pPr>
      <w:r w:rsidRPr="00477C4B">
        <w:rPr>
          <w:rFonts w:ascii="Arial" w:hAnsi="Arial" w:cs="Arial"/>
        </w:rPr>
        <w:t>Eligible practices can receive a maximum payment of $12,500 per quarter, based on $6.50 per Standardised Whole Patient Equivalent (SWPE) per year.</w:t>
      </w:r>
    </w:p>
    <w:p w:rsidR="00A53D85" w:rsidRPr="00477C4B" w:rsidRDefault="00A53D85" w:rsidP="00A53D85">
      <w:pPr>
        <w:rPr>
          <w:rFonts w:ascii="Arial" w:hAnsi="Arial" w:cs="Arial"/>
        </w:rPr>
      </w:pPr>
      <w:r w:rsidRPr="00477C4B">
        <w:rPr>
          <w:rFonts w:ascii="Arial" w:hAnsi="Arial" w:cs="Arial"/>
        </w:rPr>
        <w:t xml:space="preserve">Please note, where there are several PIP ID practices that share a Healthcare Provider Identifier–Organisation (HPI–O) such as in a seed arrangement, each PIP ID practice must meet all of the requirements under this incentive, noting that 1(i) would be met by all PIP ID practices being linked to the organisation’s seed HPI–O. </w:t>
      </w:r>
    </w:p>
    <w:p w:rsidR="00A53D85" w:rsidRPr="00477C4B" w:rsidRDefault="00A53D85" w:rsidP="00A53D85">
      <w:pPr>
        <w:rPr>
          <w:rFonts w:ascii="Arial" w:hAnsi="Arial" w:cs="Arial"/>
        </w:rPr>
      </w:pPr>
      <w:r w:rsidRPr="00477C4B">
        <w:rPr>
          <w:rFonts w:ascii="Arial" w:hAnsi="Arial" w:cs="Arial"/>
        </w:rPr>
        <w:t>Please note, where there are multiple HPI–Os linked to a single PIP ID each separate HPI-O must meet requirements 1 through to 5(ii), and requirement 5(iii) must be met by each single PIP ID.</w:t>
      </w:r>
    </w:p>
    <w:p w:rsidR="00A53D85" w:rsidRPr="00477C4B" w:rsidRDefault="00A53D85" w:rsidP="00A53D85">
      <w:pPr>
        <w:rPr>
          <w:rFonts w:ascii="Arial" w:hAnsi="Arial" w:cs="Arial"/>
          <w:b/>
        </w:rPr>
      </w:pPr>
      <w:r w:rsidRPr="00477C4B">
        <w:rPr>
          <w:rFonts w:ascii="Arial" w:hAnsi="Arial" w:cs="Arial"/>
        </w:rPr>
        <w:t xml:space="preserve">For more information on incentive payments, go to the PIP guidelines at </w:t>
      </w:r>
      <w:r w:rsidRPr="00477C4B">
        <w:rPr>
          <w:rFonts w:ascii="Arial" w:hAnsi="Arial" w:cs="Arial"/>
          <w:b/>
        </w:rPr>
        <w:t>humanservices.gov.au/pip</w:t>
      </w:r>
    </w:p>
    <w:p w:rsidR="00A53D85" w:rsidRPr="00477C4B" w:rsidRDefault="00A53D85" w:rsidP="00A53D85">
      <w:pPr>
        <w:pStyle w:val="Heading1"/>
        <w:rPr>
          <w:rFonts w:ascii="Arial" w:hAnsi="Arial" w:cs="Arial"/>
        </w:rPr>
      </w:pPr>
      <w:r w:rsidRPr="00477C4B">
        <w:rPr>
          <w:rFonts w:ascii="Arial" w:hAnsi="Arial" w:cs="Arial"/>
        </w:rPr>
        <w:t>Eligibility requirements</w:t>
      </w:r>
    </w:p>
    <w:p w:rsidR="00A53D85" w:rsidRPr="00477C4B" w:rsidRDefault="00A53D85" w:rsidP="00A53D85">
      <w:pPr>
        <w:rPr>
          <w:rFonts w:ascii="Arial" w:hAnsi="Arial" w:cs="Arial"/>
          <w:b/>
        </w:rPr>
      </w:pPr>
      <w:r w:rsidRPr="00477C4B">
        <w:rPr>
          <w:rFonts w:ascii="Arial" w:hAnsi="Arial" w:cs="Arial"/>
        </w:rPr>
        <w:t xml:space="preserve">For guidance about meeting these requirements, please refer to the implementation overview documents for each requirement available at </w:t>
      </w:r>
      <w:r w:rsidRPr="00477C4B">
        <w:rPr>
          <w:rFonts w:ascii="Arial" w:hAnsi="Arial" w:cs="Arial"/>
          <w:b/>
        </w:rPr>
        <w:t>pip.nehta.gov.au</w:t>
      </w:r>
    </w:p>
    <w:p w:rsidR="00A53D85" w:rsidRPr="00477C4B" w:rsidRDefault="00A53D85" w:rsidP="00A53D85">
      <w:pPr>
        <w:pStyle w:val="Heading2"/>
        <w:rPr>
          <w:rFonts w:ascii="Arial" w:hAnsi="Arial" w:cs="Arial"/>
        </w:rPr>
      </w:pPr>
      <w:r w:rsidRPr="00477C4B">
        <w:rPr>
          <w:rFonts w:ascii="Arial" w:hAnsi="Arial" w:cs="Arial"/>
        </w:rPr>
        <w:t>Requirement 1—Integrating Healthcare Identifiers into Electronic Practice Records</w:t>
      </w:r>
    </w:p>
    <w:p w:rsidR="00A53D85" w:rsidRPr="00477C4B" w:rsidRDefault="00A53D85" w:rsidP="00A53D85">
      <w:pPr>
        <w:spacing w:after="43"/>
        <w:ind w:left="-5" w:right="90"/>
        <w:rPr>
          <w:rFonts w:ascii="Arial" w:hAnsi="Arial" w:cs="Arial"/>
        </w:rPr>
      </w:pPr>
      <w:r w:rsidRPr="00477C4B">
        <w:rPr>
          <w:rFonts w:ascii="Arial" w:hAnsi="Arial" w:cs="Arial"/>
          <w:i/>
        </w:rPr>
        <w:t>The practice must:</w:t>
      </w:r>
    </w:p>
    <w:p w:rsidR="00A53D85" w:rsidRPr="00477C4B" w:rsidRDefault="00A53D85" w:rsidP="00A53D85">
      <w:pPr>
        <w:numPr>
          <w:ilvl w:val="0"/>
          <w:numId w:val="2"/>
        </w:numPr>
        <w:spacing w:before="0" w:after="47"/>
        <w:ind w:right="91" w:hanging="284"/>
        <w:rPr>
          <w:rFonts w:ascii="Arial" w:hAnsi="Arial" w:cs="Arial"/>
        </w:rPr>
      </w:pPr>
      <w:r w:rsidRPr="00477C4B">
        <w:rPr>
          <w:rFonts w:ascii="Arial" w:hAnsi="Arial" w:cs="Arial"/>
          <w:i/>
        </w:rPr>
        <w:t>apply to Human Services to obtain a HPI</w:t>
      </w:r>
      <w:r w:rsidRPr="00477C4B">
        <w:rPr>
          <w:rFonts w:ascii="Arial" w:hAnsi="Arial" w:cs="Arial"/>
        </w:rPr>
        <w:t>–</w:t>
      </w:r>
      <w:r w:rsidRPr="00477C4B">
        <w:rPr>
          <w:rFonts w:ascii="Arial" w:hAnsi="Arial" w:cs="Arial"/>
          <w:i/>
        </w:rPr>
        <w:t>O for the practice, and store the HPI–O in a compliant clinical software system,</w:t>
      </w:r>
    </w:p>
    <w:p w:rsidR="00A53D85" w:rsidRPr="00477C4B" w:rsidRDefault="00A53D85" w:rsidP="00A53D85">
      <w:pPr>
        <w:numPr>
          <w:ilvl w:val="0"/>
          <w:numId w:val="2"/>
        </w:numPr>
        <w:spacing w:before="0" w:after="47"/>
        <w:ind w:right="91" w:hanging="284"/>
        <w:rPr>
          <w:rFonts w:ascii="Arial" w:hAnsi="Arial" w:cs="Arial"/>
        </w:rPr>
      </w:pPr>
      <w:r w:rsidRPr="00477C4B">
        <w:rPr>
          <w:rFonts w:ascii="Arial" w:hAnsi="Arial" w:cs="Arial"/>
          <w:i/>
        </w:rPr>
        <w:lastRenderedPageBreak/>
        <w:t>ensure that each general practitioner within the practice has their Healthcare Provider Identifier</w:t>
      </w:r>
      <w:r w:rsidRPr="00477C4B">
        <w:rPr>
          <w:rFonts w:ascii="Arial" w:hAnsi="Arial" w:cs="Arial"/>
        </w:rPr>
        <w:t>–</w:t>
      </w:r>
      <w:r w:rsidRPr="00477C4B">
        <w:rPr>
          <w:rFonts w:ascii="Arial" w:hAnsi="Arial" w:cs="Arial"/>
          <w:i/>
        </w:rPr>
        <w:t>Individual (HPI</w:t>
      </w:r>
      <w:r w:rsidRPr="00477C4B">
        <w:rPr>
          <w:rFonts w:ascii="Arial" w:hAnsi="Arial" w:cs="Arial"/>
        </w:rPr>
        <w:t>–</w:t>
      </w:r>
      <w:r w:rsidRPr="00477C4B">
        <w:rPr>
          <w:rFonts w:ascii="Arial" w:hAnsi="Arial" w:cs="Arial"/>
          <w:i/>
        </w:rPr>
        <w:t>I) stored in a compliant clinical software system, and</w:t>
      </w:r>
    </w:p>
    <w:p w:rsidR="00A53D85" w:rsidRPr="00477C4B" w:rsidRDefault="00A53D85" w:rsidP="00A53D85">
      <w:pPr>
        <w:numPr>
          <w:ilvl w:val="0"/>
          <w:numId w:val="2"/>
        </w:numPr>
        <w:spacing w:before="0" w:after="159"/>
        <w:ind w:right="91" w:hanging="284"/>
        <w:rPr>
          <w:rFonts w:ascii="Arial" w:hAnsi="Arial" w:cs="Arial"/>
        </w:rPr>
      </w:pPr>
      <w:r w:rsidRPr="00477C4B">
        <w:rPr>
          <w:rFonts w:ascii="Arial" w:hAnsi="Arial" w:cs="Arial"/>
          <w:i/>
        </w:rPr>
        <w:t xml:space="preserve"> use a compliant clinical software system to access, retrieve and store verified Individual Healthcare Identifiers (IHI) for presenting patients.</w:t>
      </w:r>
    </w:p>
    <w:p w:rsidR="00A53D85" w:rsidRPr="00477C4B" w:rsidRDefault="00A53D85" w:rsidP="00A53D85">
      <w:pPr>
        <w:rPr>
          <w:rFonts w:ascii="Arial" w:hAnsi="Arial" w:cs="Arial"/>
        </w:rPr>
      </w:pPr>
      <w:r w:rsidRPr="00477C4B">
        <w:rPr>
          <w:rFonts w:ascii="Arial" w:hAnsi="Arial" w:cs="Arial"/>
        </w:rPr>
        <w:t>This requirement is to make Healthcare Identifiers (HIs) available for Secure Message Delivery and for use in the My Health Record system.</w:t>
      </w:r>
    </w:p>
    <w:p w:rsidR="00A53D85" w:rsidRPr="00477C4B" w:rsidRDefault="00A53D85" w:rsidP="00A53D85">
      <w:pPr>
        <w:rPr>
          <w:rFonts w:ascii="Arial" w:hAnsi="Arial" w:cs="Arial"/>
        </w:rPr>
      </w:pPr>
      <w:r w:rsidRPr="00477C4B">
        <w:rPr>
          <w:rFonts w:ascii="Arial" w:hAnsi="Arial" w:cs="Arial"/>
        </w:rPr>
        <w:t xml:space="preserve">Practices can apply for a HPI–O by completing the Application to Register a Seed Organisation form (HW018) available at </w:t>
      </w:r>
      <w:r w:rsidRPr="00477C4B">
        <w:rPr>
          <w:rFonts w:ascii="Arial" w:hAnsi="Arial" w:cs="Arial"/>
          <w:b/>
        </w:rPr>
        <w:t xml:space="preserve">humanservices.gov.au/hpforms  </w:t>
      </w:r>
      <w:r w:rsidRPr="00477C4B">
        <w:rPr>
          <w:rFonts w:ascii="Arial" w:hAnsi="Arial" w:cs="Arial"/>
        </w:rPr>
        <w:t>Evidence of their application must be retained.</w:t>
      </w:r>
    </w:p>
    <w:p w:rsidR="00A53D85" w:rsidRPr="00477C4B" w:rsidRDefault="00A53D85" w:rsidP="00A53D85">
      <w:pPr>
        <w:rPr>
          <w:rFonts w:ascii="Arial" w:hAnsi="Arial" w:cs="Arial"/>
        </w:rPr>
      </w:pPr>
      <w:r w:rsidRPr="00477C4B">
        <w:rPr>
          <w:rFonts w:ascii="Arial" w:hAnsi="Arial" w:cs="Arial"/>
        </w:rPr>
        <w:t xml:space="preserve">HPI–Is can be obtained from the Australian Health Practitioner Regulation Agency or by contacting the HI Service Operator on </w:t>
      </w:r>
      <w:r w:rsidRPr="00477C4B">
        <w:rPr>
          <w:rFonts w:ascii="Arial" w:hAnsi="Arial" w:cs="Arial"/>
          <w:b/>
        </w:rPr>
        <w:t>1300 361 457</w:t>
      </w:r>
      <w:r w:rsidRPr="00477C4B">
        <w:rPr>
          <w:rFonts w:ascii="Arial" w:hAnsi="Arial" w:cs="Arial"/>
        </w:rPr>
        <w:t xml:space="preserve"> (call charges may apply).</w:t>
      </w:r>
    </w:p>
    <w:p w:rsidR="00A53D85" w:rsidRPr="00477C4B" w:rsidRDefault="00A53D85" w:rsidP="00A53D85">
      <w:pPr>
        <w:rPr>
          <w:rFonts w:ascii="Arial" w:hAnsi="Arial" w:cs="Arial"/>
        </w:rPr>
      </w:pPr>
      <w:r w:rsidRPr="00477C4B">
        <w:rPr>
          <w:rFonts w:ascii="Arial" w:hAnsi="Arial" w:cs="Arial"/>
          <w:b/>
        </w:rPr>
        <w:t>Note:</w:t>
      </w:r>
      <w:r w:rsidRPr="00477C4B">
        <w:rPr>
          <w:rFonts w:ascii="Arial" w:hAnsi="Arial" w:cs="Arial"/>
        </w:rPr>
        <w:t xml:space="preserve"> all medical practitioners registered through AHPRA have been allocated their HPI–I. </w:t>
      </w:r>
    </w:p>
    <w:p w:rsidR="00A53D85" w:rsidRPr="00477C4B" w:rsidRDefault="00A53D85" w:rsidP="00A53D85">
      <w:pPr>
        <w:rPr>
          <w:rFonts w:ascii="Arial" w:hAnsi="Arial" w:cs="Arial"/>
        </w:rPr>
      </w:pPr>
      <w:r w:rsidRPr="00477C4B">
        <w:rPr>
          <w:rFonts w:ascii="Arial" w:hAnsi="Arial" w:cs="Arial"/>
        </w:rPr>
        <w:t xml:space="preserve">The practice must ensure that its HPI–O (once obtained) and the HPI–I for each general practitioner is recorded in their compliant clinical software system listed on the PIP Digital Health Product Register for Healthcare Identifiers, available at </w:t>
      </w:r>
      <w:r w:rsidRPr="00477C4B">
        <w:rPr>
          <w:rFonts w:ascii="Arial" w:hAnsi="Arial" w:cs="Arial"/>
          <w:b/>
        </w:rPr>
        <w:t>pip.</w:t>
      </w:r>
      <w:hyperlink r:id="rId7">
        <w:r w:rsidRPr="00477C4B">
          <w:rPr>
            <w:rFonts w:ascii="Arial" w:hAnsi="Arial" w:cs="Arial"/>
            <w:b/>
          </w:rPr>
          <w:t>nehta.gov.au</w:t>
        </w:r>
      </w:hyperlink>
      <w:r w:rsidRPr="00477C4B">
        <w:rPr>
          <w:rFonts w:ascii="Arial" w:hAnsi="Arial" w:cs="Arial"/>
        </w:rPr>
        <w:t xml:space="preserve">  Recording of HPI–Is may assist practices that share Clinical Information Software (CIS) to track uploads to the My Health Record.</w:t>
      </w:r>
    </w:p>
    <w:p w:rsidR="00A53D85" w:rsidRPr="00477C4B" w:rsidRDefault="00A53D85" w:rsidP="00A53D85">
      <w:pPr>
        <w:rPr>
          <w:rFonts w:ascii="Arial" w:hAnsi="Arial" w:cs="Arial"/>
        </w:rPr>
      </w:pPr>
      <w:r w:rsidRPr="00477C4B">
        <w:rPr>
          <w:rFonts w:ascii="Arial" w:hAnsi="Arial" w:cs="Arial"/>
        </w:rPr>
        <w:t>Practices:</w:t>
      </w:r>
    </w:p>
    <w:p w:rsidR="00A53D85" w:rsidRPr="00477C4B" w:rsidRDefault="00A53D85" w:rsidP="00A53D85">
      <w:pPr>
        <w:pStyle w:val="ListParagraph"/>
        <w:numPr>
          <w:ilvl w:val="0"/>
          <w:numId w:val="7"/>
        </w:numPr>
        <w:ind w:left="142" w:hanging="218"/>
        <w:rPr>
          <w:rFonts w:ascii="Arial" w:hAnsi="Arial" w:cs="Arial"/>
        </w:rPr>
      </w:pPr>
      <w:r w:rsidRPr="00477C4B">
        <w:rPr>
          <w:rFonts w:ascii="Arial" w:hAnsi="Arial" w:cs="Arial"/>
          <w:sz w:val="22"/>
          <w:szCs w:val="22"/>
        </w:rPr>
        <w:t xml:space="preserve">can use their compliant clinical software system to electronically access verified IHIs from the HI Service Operator, Human Services. You can find further information on how to access the HI Service on the Human Services website at </w:t>
      </w:r>
      <w:r w:rsidRPr="00477C4B">
        <w:rPr>
          <w:rFonts w:ascii="Arial" w:hAnsi="Arial" w:cs="Arial"/>
          <w:b/>
          <w:sz w:val="22"/>
          <w:szCs w:val="22"/>
        </w:rPr>
        <w:t>humanservices.gov.au/hiservice</w:t>
      </w:r>
    </w:p>
    <w:p w:rsidR="00A53D85" w:rsidRPr="00477C4B" w:rsidRDefault="00A53D85" w:rsidP="00A53D85">
      <w:pPr>
        <w:pStyle w:val="ListParagraph"/>
        <w:numPr>
          <w:ilvl w:val="0"/>
          <w:numId w:val="7"/>
        </w:numPr>
        <w:ind w:left="142" w:hanging="218"/>
        <w:rPr>
          <w:rFonts w:ascii="Arial" w:hAnsi="Arial" w:cs="Arial"/>
        </w:rPr>
      </w:pPr>
      <w:r w:rsidRPr="00477C4B">
        <w:rPr>
          <w:rFonts w:ascii="Arial" w:hAnsi="Arial" w:cs="Arial"/>
          <w:sz w:val="22"/>
          <w:szCs w:val="22"/>
        </w:rPr>
        <w:t xml:space="preserve">must ensure their implementation and use of HIs complies, where relevant, with instructions provided by the practice management system product supplier and the HI Service Operator, Human Services, at </w:t>
      </w:r>
      <w:r w:rsidRPr="00477C4B">
        <w:rPr>
          <w:rFonts w:ascii="Arial" w:hAnsi="Arial" w:cs="Arial"/>
          <w:b/>
          <w:sz w:val="22"/>
          <w:szCs w:val="22"/>
        </w:rPr>
        <w:t>humanservices.gov.au/hiservice</w:t>
      </w:r>
    </w:p>
    <w:p w:rsidR="00A53D85" w:rsidRPr="00477C4B" w:rsidRDefault="00A53D85" w:rsidP="00A53D85">
      <w:pPr>
        <w:rPr>
          <w:rFonts w:ascii="Arial" w:hAnsi="Arial" w:cs="Arial"/>
          <w:b/>
        </w:rPr>
      </w:pPr>
      <w:r w:rsidRPr="00477C4B">
        <w:rPr>
          <w:rFonts w:ascii="Arial" w:hAnsi="Arial" w:cs="Arial"/>
        </w:rPr>
        <w:t xml:space="preserve">For further information please refer to the Implementation Overview for Healthcare Identifiers, available at </w:t>
      </w:r>
      <w:r w:rsidRPr="00477C4B">
        <w:rPr>
          <w:rFonts w:ascii="Arial" w:hAnsi="Arial" w:cs="Arial"/>
          <w:b/>
        </w:rPr>
        <w:t>pip.nehta.gov.au</w:t>
      </w:r>
    </w:p>
    <w:p w:rsidR="00A53D85" w:rsidRPr="00477C4B" w:rsidRDefault="00A53D85" w:rsidP="00A53D85">
      <w:pPr>
        <w:pStyle w:val="Heading2"/>
        <w:rPr>
          <w:rFonts w:ascii="Arial" w:hAnsi="Arial" w:cs="Arial"/>
        </w:rPr>
      </w:pPr>
      <w:r w:rsidRPr="00477C4B">
        <w:rPr>
          <w:rFonts w:ascii="Arial" w:hAnsi="Arial" w:cs="Arial"/>
        </w:rPr>
        <w:t>Requirement 2—Secure Messaging Capability</w:t>
      </w:r>
    </w:p>
    <w:p w:rsidR="00A53D85" w:rsidRPr="00477C4B" w:rsidRDefault="00A53D85" w:rsidP="00A53D85">
      <w:pPr>
        <w:spacing w:after="159"/>
        <w:ind w:left="-5" w:right="282"/>
        <w:rPr>
          <w:rFonts w:ascii="Arial" w:hAnsi="Arial" w:cs="Arial"/>
        </w:rPr>
      </w:pPr>
      <w:r w:rsidRPr="00477C4B">
        <w:rPr>
          <w:rFonts w:ascii="Arial" w:hAnsi="Arial" w:cs="Arial"/>
          <w:i/>
        </w:rPr>
        <w:t>The practice must have a standards-compliant secure messaging capability to electronically transmit and receive clinical messages to and from other healthcare providers, use it where feasible, and have a written policy to encourage its use in place.</w:t>
      </w:r>
    </w:p>
    <w:p w:rsidR="00A53D85" w:rsidRPr="00477C4B" w:rsidRDefault="00A53D85" w:rsidP="00A53D85">
      <w:pPr>
        <w:rPr>
          <w:rFonts w:ascii="Arial" w:hAnsi="Arial" w:cs="Arial"/>
        </w:rPr>
      </w:pPr>
      <w:r w:rsidRPr="00477C4B">
        <w:rPr>
          <w:rFonts w:ascii="Arial" w:hAnsi="Arial" w:cs="Arial"/>
        </w:rPr>
        <w:t>To meet this requirement practices must have applied for a National Authentication Service for Health (NASH) Public Key Infrastructure (PKI) Certificate for Healthcare Provider Organisations, or must apply for one within two weeks of receiving a HPI–O.</w:t>
      </w:r>
    </w:p>
    <w:p w:rsidR="00A53D85" w:rsidRPr="00477C4B" w:rsidRDefault="00A53D85" w:rsidP="00A53D85">
      <w:pPr>
        <w:rPr>
          <w:rFonts w:ascii="Arial" w:hAnsi="Arial" w:cs="Arial"/>
        </w:rPr>
      </w:pPr>
      <w:r w:rsidRPr="00477C4B">
        <w:rPr>
          <w:rFonts w:ascii="Arial" w:hAnsi="Arial" w:cs="Arial"/>
        </w:rPr>
        <w:t>To meet the installation and configuration aspect of this requirement (see below), practices must have their HPI–O (Requirement 1) and NASH PKI certificate for secure messaging.</w:t>
      </w:r>
    </w:p>
    <w:p w:rsidR="00A53D85" w:rsidRPr="00477C4B" w:rsidRDefault="00A53D85" w:rsidP="00A53D85">
      <w:pPr>
        <w:rPr>
          <w:rFonts w:ascii="Arial" w:hAnsi="Arial" w:cs="Arial"/>
          <w:i/>
        </w:rPr>
      </w:pPr>
      <w:r w:rsidRPr="00477C4B">
        <w:rPr>
          <w:rFonts w:ascii="Arial" w:hAnsi="Arial" w:cs="Arial"/>
        </w:rPr>
        <w:t xml:space="preserve">The practice must have, or obtain within four weeks of receiving the NASH PKI certificate, a product with secure messaging capability to both send and receive messages. Standards-compliant software is listed on the </w:t>
      </w:r>
      <w:r w:rsidRPr="00477C4B">
        <w:rPr>
          <w:rFonts w:ascii="Arial" w:hAnsi="Arial" w:cs="Arial"/>
          <w:i/>
        </w:rPr>
        <w:t xml:space="preserve">PIP Digital Health Product Register for Secure Message Delivery </w:t>
      </w:r>
      <w:r w:rsidRPr="00477C4B">
        <w:rPr>
          <w:rFonts w:ascii="Arial" w:hAnsi="Arial" w:cs="Arial"/>
        </w:rPr>
        <w:t xml:space="preserve">at </w:t>
      </w:r>
      <w:r w:rsidRPr="00477C4B">
        <w:rPr>
          <w:rFonts w:ascii="Arial" w:hAnsi="Arial" w:cs="Arial"/>
          <w:b/>
        </w:rPr>
        <w:t>pip.nehta.gov.au</w:t>
      </w:r>
    </w:p>
    <w:p w:rsidR="00A53D85" w:rsidRPr="00477C4B" w:rsidRDefault="00A53D85" w:rsidP="00A53D85">
      <w:pPr>
        <w:spacing w:after="0"/>
        <w:ind w:left="-5" w:right="39"/>
        <w:rPr>
          <w:rFonts w:ascii="Arial" w:hAnsi="Arial" w:cs="Arial"/>
          <w:b/>
        </w:rPr>
      </w:pPr>
      <w:r w:rsidRPr="00477C4B">
        <w:rPr>
          <w:rFonts w:ascii="Arial" w:hAnsi="Arial" w:cs="Arial"/>
        </w:rPr>
        <w:t xml:space="preserve">Practices must also be able to verify that their compliant secure messaging product has been installed and configured to be interoperable with other standards-compliant products, in line with the </w:t>
      </w:r>
      <w:r w:rsidRPr="00477C4B">
        <w:rPr>
          <w:rFonts w:ascii="Arial" w:hAnsi="Arial" w:cs="Arial"/>
          <w:i/>
        </w:rPr>
        <w:t>Commissioning Requirements for Secure Message Delivery</w:t>
      </w:r>
      <w:r w:rsidRPr="00477C4B">
        <w:rPr>
          <w:rFonts w:ascii="Arial" w:hAnsi="Arial" w:cs="Arial"/>
        </w:rPr>
        <w:t xml:space="preserve"> available at </w:t>
      </w:r>
      <w:r w:rsidRPr="00477C4B">
        <w:rPr>
          <w:rFonts w:ascii="Arial" w:hAnsi="Arial" w:cs="Arial"/>
          <w:b/>
        </w:rPr>
        <w:t>pip.nehta.gov.au</w:t>
      </w:r>
    </w:p>
    <w:p w:rsidR="00A53D85" w:rsidRPr="00477C4B" w:rsidRDefault="00A53D85" w:rsidP="00A53D85">
      <w:pPr>
        <w:rPr>
          <w:rFonts w:ascii="Arial" w:hAnsi="Arial" w:cs="Arial"/>
        </w:rPr>
      </w:pPr>
      <w:r w:rsidRPr="00477C4B">
        <w:rPr>
          <w:rFonts w:ascii="Arial" w:hAnsi="Arial" w:cs="Arial"/>
        </w:rPr>
        <w:t>The procedures for verification are specified in the commissioning requirements and may be undertaken by a third party.</w:t>
      </w:r>
    </w:p>
    <w:p w:rsidR="00A53D85" w:rsidRPr="00477C4B" w:rsidRDefault="00A53D85" w:rsidP="00A53D85">
      <w:pPr>
        <w:rPr>
          <w:rFonts w:ascii="Arial" w:hAnsi="Arial" w:cs="Arial"/>
        </w:rPr>
      </w:pPr>
      <w:r w:rsidRPr="00477C4B">
        <w:rPr>
          <w:rFonts w:ascii="Arial" w:hAnsi="Arial" w:cs="Arial"/>
        </w:rPr>
        <w:t xml:space="preserve">For further information please refer to the Implementation Overview for Secure Messaging, available at </w:t>
      </w:r>
      <w:r w:rsidRPr="00477C4B">
        <w:rPr>
          <w:rFonts w:ascii="Arial" w:hAnsi="Arial" w:cs="Arial"/>
          <w:b/>
        </w:rPr>
        <w:t>pip</w:t>
      </w:r>
      <w:r w:rsidRPr="00477C4B">
        <w:rPr>
          <w:rFonts w:ascii="Arial" w:hAnsi="Arial" w:cs="Arial"/>
        </w:rPr>
        <w:t>.</w:t>
      </w:r>
      <w:r w:rsidRPr="00477C4B">
        <w:rPr>
          <w:rFonts w:ascii="Arial" w:hAnsi="Arial" w:cs="Arial"/>
          <w:b/>
        </w:rPr>
        <w:t>nehta.gov.au</w:t>
      </w:r>
    </w:p>
    <w:p w:rsidR="00A53D85" w:rsidRPr="00477C4B" w:rsidRDefault="00A53D85" w:rsidP="00A53D85">
      <w:pPr>
        <w:rPr>
          <w:rFonts w:ascii="Arial" w:hAnsi="Arial" w:cs="Arial"/>
        </w:rPr>
      </w:pPr>
      <w:r w:rsidRPr="00477C4B">
        <w:rPr>
          <w:rFonts w:ascii="Arial" w:hAnsi="Arial" w:cs="Arial"/>
        </w:rPr>
        <w:t>The requirement to use secure messaging ‘where feasible’ means where the sender and receiver have compatible standards-compliant software, hold the appropriate authentication credentials, and where there is a clinical need to convey information.</w:t>
      </w:r>
    </w:p>
    <w:p w:rsidR="00A53D85" w:rsidRPr="00477C4B" w:rsidRDefault="00A53D85" w:rsidP="00A53D85">
      <w:pPr>
        <w:rPr>
          <w:rFonts w:ascii="Arial" w:hAnsi="Arial" w:cs="Arial"/>
        </w:rPr>
      </w:pPr>
      <w:r w:rsidRPr="00477C4B">
        <w:rPr>
          <w:rFonts w:ascii="Arial" w:hAnsi="Arial" w:cs="Arial"/>
        </w:rPr>
        <w:lastRenderedPageBreak/>
        <w:t>The written policy on Secure Messaging must set an objective of increasing usage of secure electronic messages (sent and received) using compliant Secure Messaging products. Practices may keep a record of secure messaging usage to measure and assess progress against this policy. Most products are able to keep a record of messages sent and/or received and must be installed with this function activated.</w:t>
      </w:r>
    </w:p>
    <w:p w:rsidR="00A53D85" w:rsidRPr="00477C4B" w:rsidRDefault="00A53D85" w:rsidP="00A53D85">
      <w:pPr>
        <w:pStyle w:val="Heading2"/>
        <w:rPr>
          <w:rFonts w:ascii="Arial" w:hAnsi="Arial" w:cs="Arial"/>
        </w:rPr>
      </w:pPr>
      <w:r w:rsidRPr="00477C4B">
        <w:rPr>
          <w:rFonts w:ascii="Arial" w:hAnsi="Arial" w:cs="Arial"/>
        </w:rPr>
        <w:t>Requirement 3—Data Records and Clinical Coding</w:t>
      </w:r>
    </w:p>
    <w:p w:rsidR="00A53D85" w:rsidRPr="00477C4B" w:rsidRDefault="00A53D85" w:rsidP="00A53D85">
      <w:pPr>
        <w:spacing w:after="159"/>
        <w:ind w:left="-5" w:right="90"/>
        <w:rPr>
          <w:rFonts w:ascii="Arial" w:hAnsi="Arial" w:cs="Arial"/>
        </w:rPr>
      </w:pPr>
      <w:r w:rsidRPr="00477C4B">
        <w:rPr>
          <w:rFonts w:ascii="Arial" w:hAnsi="Arial" w:cs="Arial"/>
          <w:i/>
        </w:rPr>
        <w:t>Practices must ensure that where clinically relevant, they are working towards recording the majority of diagnoses for active patients electronically, using a medical vocabulary that can be mapped against a nationally recognised disease classification or terminology system. Practices must provide a written policy to this effect to all GPs within the practice.</w:t>
      </w:r>
    </w:p>
    <w:p w:rsidR="00A53D85" w:rsidRPr="00477C4B" w:rsidRDefault="00A53D85" w:rsidP="00A53D85">
      <w:pPr>
        <w:rPr>
          <w:rFonts w:ascii="Arial" w:hAnsi="Arial" w:cs="Arial"/>
        </w:rPr>
      </w:pPr>
      <w:r w:rsidRPr="00477C4B">
        <w:rPr>
          <w:rFonts w:ascii="Arial" w:hAnsi="Arial" w:cs="Arial"/>
        </w:rPr>
        <w:t>An active patient is a patient who has attended the practice three or more times in the past two years.</w:t>
      </w:r>
    </w:p>
    <w:p w:rsidR="00A53D85" w:rsidRPr="00477C4B" w:rsidRDefault="00A53D85" w:rsidP="00A53D85">
      <w:pPr>
        <w:rPr>
          <w:rFonts w:ascii="Arial" w:hAnsi="Arial" w:cs="Arial"/>
        </w:rPr>
      </w:pPr>
      <w:r w:rsidRPr="00477C4B">
        <w:rPr>
          <w:rFonts w:ascii="Arial" w:hAnsi="Arial" w:cs="Arial"/>
        </w:rPr>
        <w:t>Medical vocabularies include SNOMED-CT, DOCLE, PYEFINCH and ICPC2+. Nationally recognised disease classification and terminology systems include ICPC2, ICD10-AM and SNOMED-CT.</w:t>
      </w:r>
    </w:p>
    <w:p w:rsidR="00A53D85" w:rsidRPr="00477C4B" w:rsidRDefault="00A53D85" w:rsidP="00A53D85">
      <w:pPr>
        <w:rPr>
          <w:rFonts w:ascii="Arial" w:hAnsi="Arial" w:cs="Arial"/>
        </w:rPr>
      </w:pPr>
      <w:r w:rsidRPr="00477C4B">
        <w:rPr>
          <w:rFonts w:ascii="Arial" w:hAnsi="Arial" w:cs="Arial"/>
        </w:rPr>
        <w:t xml:space="preserve">SNOMED CT has been identified as the preferred clinical terminology system. More information on SNOMED-CT is available at </w:t>
      </w:r>
      <w:r w:rsidRPr="00477C4B">
        <w:rPr>
          <w:rFonts w:ascii="Arial" w:hAnsi="Arial" w:cs="Arial"/>
          <w:b/>
        </w:rPr>
        <w:t>nehta.gov.au</w:t>
      </w:r>
    </w:p>
    <w:p w:rsidR="00A53D85" w:rsidRPr="00477C4B" w:rsidRDefault="00A53D85" w:rsidP="00A53D85">
      <w:pPr>
        <w:spacing w:after="0"/>
        <w:ind w:left="-5" w:right="39"/>
        <w:rPr>
          <w:rFonts w:ascii="Arial" w:hAnsi="Arial" w:cs="Arial"/>
        </w:rPr>
      </w:pPr>
      <w:r w:rsidRPr="00477C4B">
        <w:rPr>
          <w:rFonts w:ascii="Arial" w:hAnsi="Arial" w:cs="Arial"/>
        </w:rPr>
        <w:t xml:space="preserve">To facilitate best practice management of clinical data that is created, stored and shared electronically, practices may wish to refer to the guidelines for the content of patient records (contained in the RACGP standards)  available at </w:t>
      </w:r>
      <w:r w:rsidRPr="00477C4B">
        <w:rPr>
          <w:rFonts w:ascii="Arial" w:hAnsi="Arial" w:cs="Arial"/>
          <w:b/>
        </w:rPr>
        <w:t>racgp.org.au</w:t>
      </w:r>
    </w:p>
    <w:p w:rsidR="00A53D85" w:rsidRPr="00477C4B" w:rsidRDefault="00A53D85" w:rsidP="00A53D85">
      <w:pPr>
        <w:spacing w:after="240"/>
        <w:ind w:left="-6" w:right="40"/>
        <w:rPr>
          <w:rFonts w:ascii="Arial" w:hAnsi="Arial" w:cs="Arial"/>
        </w:rPr>
      </w:pPr>
      <w:r w:rsidRPr="00477C4B">
        <w:rPr>
          <w:rFonts w:ascii="Arial" w:hAnsi="Arial" w:cs="Arial"/>
        </w:rPr>
        <w:t xml:space="preserve">For further information please refer to the Implementation Overview for Data Records and Clinical Coding, available at </w:t>
      </w:r>
      <w:r w:rsidRPr="00477C4B">
        <w:rPr>
          <w:rFonts w:ascii="Arial" w:hAnsi="Arial" w:cs="Arial"/>
          <w:b/>
        </w:rPr>
        <w:t>pip.nehta.gov.au</w:t>
      </w:r>
    </w:p>
    <w:p w:rsidR="00A53D85" w:rsidRPr="00477C4B" w:rsidRDefault="00A53D85" w:rsidP="00A53D85">
      <w:pPr>
        <w:spacing w:before="60"/>
        <w:ind w:right="91"/>
        <w:rPr>
          <w:rFonts w:ascii="Arial" w:hAnsi="Arial" w:cs="Arial"/>
          <w:szCs w:val="24"/>
        </w:rPr>
      </w:pPr>
      <w:r w:rsidRPr="00477C4B">
        <w:rPr>
          <w:rFonts w:ascii="Arial" w:hAnsi="Arial" w:cs="Arial"/>
          <w:b/>
          <w:sz w:val="24"/>
          <w:szCs w:val="24"/>
        </w:rPr>
        <w:t>Requirement 4—Electronic Transfer of Prescriptions</w:t>
      </w:r>
    </w:p>
    <w:p w:rsidR="00A53D85" w:rsidRPr="00477C4B" w:rsidRDefault="00A53D85" w:rsidP="00A53D85">
      <w:pPr>
        <w:spacing w:after="159"/>
        <w:ind w:left="-5" w:right="90"/>
        <w:rPr>
          <w:rFonts w:ascii="Arial" w:hAnsi="Arial" w:cs="Arial"/>
        </w:rPr>
      </w:pPr>
      <w:r w:rsidRPr="00477C4B">
        <w:rPr>
          <w:rFonts w:ascii="Arial" w:hAnsi="Arial" w:cs="Arial"/>
          <w:i/>
        </w:rPr>
        <w:t>The practice must ensure that the majority of their prescriptions are sent electronically to a Prescription Exchange Service (PES).</w:t>
      </w:r>
    </w:p>
    <w:p w:rsidR="00A53D85" w:rsidRPr="00477C4B" w:rsidRDefault="00A53D85" w:rsidP="00A53D85">
      <w:pPr>
        <w:spacing w:after="10"/>
        <w:ind w:left="-5" w:right="39"/>
        <w:rPr>
          <w:rFonts w:ascii="Arial" w:hAnsi="Arial" w:cs="Arial"/>
        </w:rPr>
      </w:pPr>
      <w:r w:rsidRPr="00477C4B">
        <w:rPr>
          <w:rFonts w:ascii="Arial" w:hAnsi="Arial" w:cs="Arial"/>
        </w:rPr>
        <w:t xml:space="preserve">Practices must use a product that is listed on the PIP Digital Health Product Register for Electronic Transfer of Prescriptions, at </w:t>
      </w:r>
      <w:r w:rsidRPr="00477C4B">
        <w:rPr>
          <w:rFonts w:ascii="Arial" w:hAnsi="Arial" w:cs="Arial"/>
          <w:b/>
        </w:rPr>
        <w:t>pip.nehta.gov.au</w:t>
      </w:r>
      <w:r w:rsidRPr="00477C4B">
        <w:rPr>
          <w:rFonts w:ascii="Arial" w:hAnsi="Arial" w:cs="Arial"/>
        </w:rPr>
        <w:t>, to send prescriptions to a Prescription Exchange Service (PES). Product listings will be updated from time to time to reflect changing Australian Technical Specifications (ATS). Practices will be given six months’ notice, in writing, to comply with updated product listings as a result of a change in ATS.</w:t>
      </w:r>
    </w:p>
    <w:p w:rsidR="00A53D85" w:rsidRPr="00477C4B" w:rsidRDefault="00A53D85" w:rsidP="00A53D85">
      <w:pPr>
        <w:ind w:left="-5" w:right="39"/>
        <w:rPr>
          <w:rFonts w:ascii="Arial" w:hAnsi="Arial" w:cs="Arial"/>
          <w:b/>
        </w:rPr>
      </w:pPr>
      <w:r w:rsidRPr="00477C4B">
        <w:rPr>
          <w:rFonts w:ascii="Arial" w:hAnsi="Arial" w:cs="Arial"/>
        </w:rPr>
        <w:t xml:space="preserve">For further information please refer to the Implementation Overview for Electronic Transfer of Prescriptions, available at </w:t>
      </w:r>
      <w:r w:rsidRPr="00477C4B">
        <w:rPr>
          <w:rFonts w:ascii="Arial" w:hAnsi="Arial" w:cs="Arial"/>
          <w:b/>
        </w:rPr>
        <w:t>pip.nehta.gov.au</w:t>
      </w:r>
    </w:p>
    <w:p w:rsidR="00A53D85" w:rsidRPr="00477C4B" w:rsidRDefault="00A53D85" w:rsidP="00A53D85">
      <w:pPr>
        <w:rPr>
          <w:rFonts w:ascii="Arial" w:hAnsi="Arial" w:cs="Arial"/>
        </w:rPr>
      </w:pPr>
      <w:r w:rsidRPr="00477C4B">
        <w:rPr>
          <w:rFonts w:ascii="Arial" w:hAnsi="Arial" w:cs="Arial"/>
        </w:rPr>
        <w:t>As a transitional measure to full electronic transfer of prescriptions, including electronic signatures, prescribers will still be required to provide patients with signed paper prescriptions when sending prescriptions to the PES. During the transition period, the paper prescription with the handwritten signature will remain the legal document. The paper record generated by the prescriber and provided to the patient, will contain a barcode to enable retrieval of prescriptions from the PES for dispensing.</w:t>
      </w:r>
    </w:p>
    <w:p w:rsidR="00A53D85" w:rsidRPr="00477C4B" w:rsidRDefault="00A53D85" w:rsidP="00A53D85">
      <w:pPr>
        <w:spacing w:before="60"/>
        <w:ind w:right="91"/>
        <w:rPr>
          <w:rFonts w:ascii="Arial" w:hAnsi="Arial" w:cs="Arial"/>
          <w:b/>
          <w:sz w:val="24"/>
          <w:szCs w:val="24"/>
        </w:rPr>
      </w:pPr>
      <w:r w:rsidRPr="00477C4B">
        <w:rPr>
          <w:rFonts w:ascii="Arial" w:hAnsi="Arial" w:cs="Arial"/>
          <w:b/>
          <w:sz w:val="24"/>
          <w:szCs w:val="24"/>
        </w:rPr>
        <w:t>Requirement 5—My Health Record system</w:t>
      </w:r>
    </w:p>
    <w:p w:rsidR="00A53D85" w:rsidRPr="00477C4B" w:rsidRDefault="00A53D85" w:rsidP="00A53D85">
      <w:pPr>
        <w:spacing w:before="60"/>
        <w:ind w:right="91"/>
        <w:rPr>
          <w:rFonts w:ascii="Arial" w:hAnsi="Arial" w:cs="Arial"/>
          <w:i/>
          <w:sz w:val="24"/>
          <w:szCs w:val="24"/>
        </w:rPr>
      </w:pPr>
      <w:r w:rsidRPr="00477C4B">
        <w:rPr>
          <w:rFonts w:ascii="Arial" w:hAnsi="Arial" w:cs="Arial"/>
          <w:i/>
          <w:sz w:val="24"/>
          <w:szCs w:val="24"/>
        </w:rPr>
        <w:t>The practice must:</w:t>
      </w:r>
    </w:p>
    <w:p w:rsidR="00A53D85" w:rsidRPr="00477C4B" w:rsidRDefault="00A53D85" w:rsidP="00A53D85">
      <w:pPr>
        <w:numPr>
          <w:ilvl w:val="0"/>
          <w:numId w:val="4"/>
        </w:numPr>
        <w:spacing w:after="47"/>
        <w:ind w:left="709" w:right="90" w:hanging="436"/>
        <w:rPr>
          <w:rFonts w:ascii="Arial" w:hAnsi="Arial" w:cs="Arial"/>
          <w:i/>
          <w:szCs w:val="24"/>
        </w:rPr>
      </w:pPr>
      <w:r w:rsidRPr="00477C4B">
        <w:rPr>
          <w:rFonts w:ascii="Arial" w:hAnsi="Arial" w:cs="Arial"/>
          <w:i/>
          <w:szCs w:val="24"/>
        </w:rPr>
        <w:t>use compliant software for accessing the My Health Record system, and creating and posting shared health summaries and event summaries,</w:t>
      </w:r>
    </w:p>
    <w:p w:rsidR="00A53D85" w:rsidRPr="00477C4B" w:rsidRDefault="00A53D85" w:rsidP="00A53D85">
      <w:pPr>
        <w:numPr>
          <w:ilvl w:val="0"/>
          <w:numId w:val="4"/>
        </w:numPr>
        <w:spacing w:after="47"/>
        <w:ind w:right="90"/>
        <w:rPr>
          <w:rFonts w:ascii="Arial" w:hAnsi="Arial" w:cs="Arial"/>
          <w:i/>
          <w:szCs w:val="24"/>
        </w:rPr>
      </w:pPr>
      <w:r w:rsidRPr="00477C4B">
        <w:rPr>
          <w:rFonts w:ascii="Arial" w:hAnsi="Arial" w:cs="Arial"/>
          <w:i/>
          <w:szCs w:val="24"/>
        </w:rPr>
        <w:t>apply to participate in the My Health Record system upon obtaining a HPI–O, and</w:t>
      </w:r>
    </w:p>
    <w:p w:rsidR="00A53D85" w:rsidRPr="00477C4B" w:rsidRDefault="00A53D85" w:rsidP="00A53D85">
      <w:pPr>
        <w:numPr>
          <w:ilvl w:val="0"/>
          <w:numId w:val="4"/>
        </w:numPr>
        <w:spacing w:after="47"/>
        <w:ind w:left="709" w:right="90" w:hanging="436"/>
        <w:rPr>
          <w:rFonts w:ascii="Arial" w:hAnsi="Arial" w:cs="Arial"/>
          <w:i/>
          <w:szCs w:val="24"/>
        </w:rPr>
      </w:pPr>
      <w:r w:rsidRPr="00477C4B">
        <w:rPr>
          <w:rFonts w:ascii="Arial" w:hAnsi="Arial" w:cs="Arial"/>
          <w:i/>
          <w:szCs w:val="24"/>
        </w:rPr>
        <w:t>upload shared health summaries for a minimum of 0.5 per cent of the practice’s Standardised Whole Patient Equivalent (SWPE) count of patients per PIP</w:t>
      </w:r>
      <w:r w:rsidRPr="00477C4B">
        <w:rPr>
          <w:rFonts w:ascii="Arial" w:hAnsi="Arial" w:cs="Arial"/>
          <w:i/>
          <w:color w:val="000000" w:themeColor="text1"/>
          <w:szCs w:val="24"/>
        </w:rPr>
        <w:t xml:space="preserve"> payment </w:t>
      </w:r>
      <w:r w:rsidRPr="00477C4B">
        <w:rPr>
          <w:rFonts w:ascii="Arial" w:hAnsi="Arial" w:cs="Arial"/>
          <w:i/>
          <w:szCs w:val="24"/>
        </w:rPr>
        <w:t>quarter.</w:t>
      </w:r>
    </w:p>
    <w:p w:rsidR="00A53D85" w:rsidRPr="00477C4B" w:rsidRDefault="00A53D85" w:rsidP="00A53D85">
      <w:pPr>
        <w:rPr>
          <w:rFonts w:ascii="Arial" w:hAnsi="Arial" w:cs="Arial"/>
        </w:rPr>
      </w:pPr>
      <w:r w:rsidRPr="00477C4B">
        <w:rPr>
          <w:rFonts w:ascii="Arial" w:hAnsi="Arial" w:cs="Arial"/>
        </w:rPr>
        <w:t xml:space="preserve">The practice must register to participate in the My Health Record system within four weeks of receiving a </w:t>
      </w:r>
      <w:r w:rsidRPr="00477C4B">
        <w:rPr>
          <w:rFonts w:ascii="Arial" w:hAnsi="Arial" w:cs="Arial"/>
        </w:rPr>
        <w:br/>
        <w:t>HPI–O.</w:t>
      </w:r>
    </w:p>
    <w:p w:rsidR="00A53D85" w:rsidRPr="00477C4B" w:rsidRDefault="00A53D85" w:rsidP="00A53D85">
      <w:pPr>
        <w:rPr>
          <w:rFonts w:ascii="Arial" w:hAnsi="Arial" w:cs="Arial"/>
        </w:rPr>
      </w:pPr>
      <w:r w:rsidRPr="00477C4B">
        <w:rPr>
          <w:rFonts w:ascii="Arial" w:hAnsi="Arial" w:cs="Arial"/>
        </w:rPr>
        <w:lastRenderedPageBreak/>
        <w:t xml:space="preserve">Practices must use compliant software that is listed on the PIP Digital Health Product Register for the My Health Record System at </w:t>
      </w:r>
      <w:r w:rsidRPr="00477C4B">
        <w:rPr>
          <w:rFonts w:ascii="Arial" w:hAnsi="Arial" w:cs="Arial"/>
          <w:b/>
        </w:rPr>
        <w:t>pip.nehta.gov.au</w:t>
      </w:r>
      <w:r w:rsidRPr="00477C4B">
        <w:rPr>
          <w:rFonts w:ascii="Arial" w:hAnsi="Arial" w:cs="Arial"/>
        </w:rPr>
        <w:t xml:space="preserve">  The products listed on the register may be updated from time to time. Practices will receive six months’ notice, in writing, to comply with product listings that are updated. This is only expected to occur in the event of new functionality embedded into GP desktop software as part of the usual upgrade cycle.</w:t>
      </w:r>
    </w:p>
    <w:p w:rsidR="00A53D85" w:rsidRPr="00477C4B" w:rsidRDefault="00A53D85" w:rsidP="00A53D85">
      <w:pPr>
        <w:rPr>
          <w:rFonts w:ascii="Arial" w:hAnsi="Arial" w:cs="Arial"/>
        </w:rPr>
      </w:pPr>
      <w:r w:rsidRPr="00477C4B">
        <w:rPr>
          <w:rFonts w:ascii="Arial" w:hAnsi="Arial" w:cs="Arial"/>
        </w:rPr>
        <w:t>Practices may need to work with their software or service provider to ensure that the compliant product is set up correctly to access the My Health Record system and track shared health summary uploads if possible.</w:t>
      </w:r>
    </w:p>
    <w:p w:rsidR="00A53D85" w:rsidRPr="00477C4B" w:rsidRDefault="00A53D85" w:rsidP="00A53D85">
      <w:pPr>
        <w:rPr>
          <w:rFonts w:ascii="Arial" w:hAnsi="Arial" w:cs="Arial"/>
        </w:rPr>
      </w:pPr>
      <w:r w:rsidRPr="00477C4B">
        <w:rPr>
          <w:rFonts w:ascii="Arial" w:hAnsi="Arial" w:cs="Arial"/>
        </w:rPr>
        <w:t xml:space="preserve">Practices should read the information about the My Health Record system at myhealthrecord.gov.au. To apply to participate in the My Health Record system, complete the Application to Register a Seed Organisation form (HW018) available at </w:t>
      </w:r>
      <w:r w:rsidRPr="00477C4B">
        <w:rPr>
          <w:rFonts w:ascii="Arial" w:hAnsi="Arial" w:cs="Arial"/>
          <w:b/>
        </w:rPr>
        <w:t>humanservices.gov.au/hpforms</w:t>
      </w:r>
      <w:r w:rsidRPr="00477C4B">
        <w:rPr>
          <w:rFonts w:ascii="Arial" w:hAnsi="Arial" w:cs="Arial"/>
        </w:rPr>
        <w:t xml:space="preserve">  Evidence of the application must be retained.</w:t>
      </w:r>
    </w:p>
    <w:p w:rsidR="00A53D85" w:rsidRPr="00477C4B" w:rsidRDefault="00A53D85" w:rsidP="00A53D85">
      <w:pPr>
        <w:rPr>
          <w:rFonts w:ascii="Arial" w:hAnsi="Arial" w:cs="Arial"/>
        </w:rPr>
      </w:pPr>
      <w:r w:rsidRPr="00477C4B">
        <w:rPr>
          <w:rFonts w:ascii="Arial" w:hAnsi="Arial" w:cs="Arial"/>
        </w:rPr>
        <w:t>Practices will need to calculate the minimum shared health summary upload target for the current quarter using the previous quarter’s payment advice and opt-out if the minimum upload will not be met.</w:t>
      </w:r>
    </w:p>
    <w:p w:rsidR="00A53D85" w:rsidRPr="00477C4B" w:rsidRDefault="00A53D85" w:rsidP="00A53D85">
      <w:pPr>
        <w:rPr>
          <w:rFonts w:ascii="Arial" w:hAnsi="Arial" w:cs="Arial"/>
        </w:rPr>
      </w:pPr>
      <w:r w:rsidRPr="00477C4B">
        <w:rPr>
          <w:rFonts w:ascii="Arial" w:hAnsi="Arial" w:cs="Arial"/>
        </w:rPr>
        <w:t>Requirement 5 (iii) is linked to the PIP Practice ID and practices that share a HPI-O must still meet requirement 5 (iii) at each separately registered PIP practice.</w:t>
      </w:r>
    </w:p>
    <w:p w:rsidR="00A53D85" w:rsidRPr="00477C4B" w:rsidRDefault="00A53D85" w:rsidP="00A53D85">
      <w:pPr>
        <w:rPr>
          <w:rFonts w:ascii="Arial" w:hAnsi="Arial" w:cs="Arial"/>
          <w:b/>
          <w:i/>
        </w:rPr>
      </w:pPr>
      <w:r w:rsidRPr="00477C4B">
        <w:rPr>
          <w:rFonts w:ascii="Arial" w:hAnsi="Arial" w:cs="Arial"/>
          <w:b/>
          <w:i/>
        </w:rPr>
        <w:t>Preparing for the new requirement</w:t>
      </w:r>
    </w:p>
    <w:p w:rsidR="00A53D85" w:rsidRPr="00477C4B" w:rsidRDefault="00A53D85" w:rsidP="00A53D85">
      <w:pPr>
        <w:rPr>
          <w:rFonts w:ascii="Arial" w:hAnsi="Arial" w:cs="Arial"/>
        </w:rPr>
      </w:pPr>
      <w:r w:rsidRPr="00477C4B">
        <w:rPr>
          <w:rFonts w:ascii="Arial" w:hAnsi="Arial" w:cs="Arial"/>
        </w:rPr>
        <w:t xml:space="preserve">Practices will need to ensure that they are familiar with the My Health Record system and their general practitioners, registered nurses and Aboriginal and/or Torres Strait Islander health practitioners (where applicable) know how to create and upload shared health summaries. </w:t>
      </w:r>
    </w:p>
    <w:p w:rsidR="00A53D85" w:rsidRPr="00477C4B" w:rsidRDefault="00A53D85" w:rsidP="00A53D85">
      <w:pPr>
        <w:rPr>
          <w:rFonts w:ascii="Arial" w:hAnsi="Arial" w:cs="Arial"/>
        </w:rPr>
      </w:pPr>
      <w:r w:rsidRPr="00477C4B">
        <w:rPr>
          <w:rFonts w:ascii="Arial" w:hAnsi="Arial" w:cs="Arial"/>
        </w:rPr>
        <w:t xml:space="preserve">Practices need to keep their NASH PKI certificate up to date to use the My Health Record system. For assistance with your NASH PKI certificate call </w:t>
      </w:r>
      <w:r w:rsidRPr="00477C4B">
        <w:rPr>
          <w:rFonts w:ascii="Arial" w:hAnsi="Arial" w:cs="Arial"/>
          <w:b/>
        </w:rPr>
        <w:t>1800 700 199.</w:t>
      </w:r>
      <w:r w:rsidRPr="00477C4B">
        <w:rPr>
          <w:rFonts w:ascii="Arial" w:hAnsi="Arial" w:cs="Arial"/>
        </w:rPr>
        <w:t xml:space="preserve"> </w:t>
      </w:r>
    </w:p>
    <w:p w:rsidR="00A53D85" w:rsidRPr="00477C4B" w:rsidRDefault="00A53D85" w:rsidP="00A53D85">
      <w:pPr>
        <w:rPr>
          <w:rFonts w:ascii="Arial" w:hAnsi="Arial" w:cs="Arial"/>
          <w:b/>
          <w:i/>
        </w:rPr>
      </w:pPr>
      <w:r w:rsidRPr="00477C4B">
        <w:rPr>
          <w:rFonts w:ascii="Arial" w:hAnsi="Arial" w:cs="Arial"/>
          <w:b/>
          <w:i/>
        </w:rPr>
        <w:t>Calculating targets and monitoring shared health summary uploads</w:t>
      </w:r>
    </w:p>
    <w:p w:rsidR="00A53D85" w:rsidRPr="00477C4B" w:rsidRDefault="00A53D85" w:rsidP="00A53D85">
      <w:pPr>
        <w:rPr>
          <w:rFonts w:ascii="Arial" w:hAnsi="Arial" w:cs="Arial"/>
          <w:i/>
        </w:rPr>
      </w:pPr>
      <w:r w:rsidRPr="00477C4B">
        <w:rPr>
          <w:rFonts w:ascii="Arial" w:hAnsi="Arial" w:cs="Arial"/>
          <w:i/>
        </w:rPr>
        <w:t>Viewing and calculating the minimum shared health summary upload target</w:t>
      </w:r>
    </w:p>
    <w:p w:rsidR="00A53D85" w:rsidRPr="00477C4B" w:rsidRDefault="00A53D85" w:rsidP="00A53D85">
      <w:pPr>
        <w:rPr>
          <w:rFonts w:ascii="Arial" w:hAnsi="Arial" w:cs="Arial"/>
        </w:rPr>
      </w:pPr>
      <w:r w:rsidRPr="00477C4B">
        <w:rPr>
          <w:rFonts w:ascii="Arial" w:hAnsi="Arial" w:cs="Arial"/>
        </w:rPr>
        <w:t xml:space="preserve">You need to calculate your practice’s minimum shared health summary upload target for the current quarter using your previous quarter’s Payment Advice. </w:t>
      </w:r>
    </w:p>
    <w:p w:rsidR="00A53D85" w:rsidRPr="00477C4B" w:rsidRDefault="00A53D85" w:rsidP="00A53D85">
      <w:pPr>
        <w:rPr>
          <w:rFonts w:ascii="Arial" w:hAnsi="Arial" w:cs="Arial"/>
        </w:rPr>
      </w:pPr>
      <w:r w:rsidRPr="00477C4B">
        <w:rPr>
          <w:rFonts w:ascii="Arial" w:hAnsi="Arial" w:cs="Arial"/>
        </w:rPr>
        <w:t>You will also be able to view your practice’s current quarter upload target in your August 2016 Payment Advice if you elect to receive your practice’s Payment Advices online through Health Professionals Online Services (HPOS) Messages. For future quarters, practices will be able to view their current eHealth Incentive details, (including their minimum shared health summary upload target) in the PIP Online eHealth Incentive Details screen.</w:t>
      </w:r>
    </w:p>
    <w:p w:rsidR="00A53D85" w:rsidRPr="00477C4B" w:rsidRDefault="00A53D85" w:rsidP="00A53D85">
      <w:pPr>
        <w:rPr>
          <w:rFonts w:ascii="Arial" w:hAnsi="Arial" w:cs="Arial"/>
          <w:i/>
        </w:rPr>
      </w:pPr>
      <w:r w:rsidRPr="00477C4B">
        <w:rPr>
          <w:rFonts w:ascii="Arial" w:hAnsi="Arial" w:cs="Arial"/>
          <w:i/>
        </w:rPr>
        <w:t>Existing practices</w:t>
      </w:r>
    </w:p>
    <w:p w:rsidR="00A53D85" w:rsidRPr="00477C4B" w:rsidRDefault="00A53D85" w:rsidP="00A53D85">
      <w:pPr>
        <w:rPr>
          <w:rFonts w:ascii="Arial" w:hAnsi="Arial" w:cs="Arial"/>
        </w:rPr>
      </w:pPr>
      <w:r w:rsidRPr="00477C4B">
        <w:rPr>
          <w:rFonts w:ascii="Arial" w:hAnsi="Arial" w:cs="Arial"/>
        </w:rPr>
        <w:t xml:space="preserve">For an existing PIP practice the minimum shared health summary upload target is calculated using your practice’s SWPE. Every quarter your practice is sent a Payment Advice advising your current SWPE count. The SWPE count provided in your last Payment Advice is the SWPE value to be used to calculate your shared health summary upload target for the current quarter. To determine your practice’s minimum upload target, multiply the SWPE in your Payment Advice by 0.5 per cent.  </w:t>
      </w:r>
    </w:p>
    <w:p w:rsidR="00A53D85" w:rsidRPr="00477C4B" w:rsidRDefault="00A53D85" w:rsidP="00A53D85">
      <w:pPr>
        <w:rPr>
          <w:rFonts w:ascii="Arial" w:hAnsi="Arial" w:cs="Arial"/>
        </w:rPr>
      </w:pPr>
      <w:r w:rsidRPr="00477C4B">
        <w:rPr>
          <w:rFonts w:ascii="Arial" w:hAnsi="Arial" w:cs="Arial"/>
        </w:rPr>
        <w:t>For example, to  calculate your minimum shared health summary upload target for the May to July 2016 quarter, multiply the practice SWPE provided in your May 2016 Payment Advice by 0.5 per cent. The calculation for a practice with a SWPE of 5,000 would be 5,000 x 0.5 per cent = minimum shared health summary upload target of 25.</w:t>
      </w:r>
    </w:p>
    <w:p w:rsidR="00A53D85" w:rsidRPr="00477C4B" w:rsidRDefault="00A53D85" w:rsidP="00A53D85">
      <w:pPr>
        <w:rPr>
          <w:rFonts w:ascii="Arial" w:hAnsi="Arial" w:cs="Arial"/>
          <w:i/>
        </w:rPr>
      </w:pPr>
      <w:r w:rsidRPr="00477C4B">
        <w:rPr>
          <w:rFonts w:ascii="Arial" w:hAnsi="Arial" w:cs="Arial"/>
          <w:i/>
        </w:rPr>
        <w:t>New and small practices</w:t>
      </w:r>
    </w:p>
    <w:p w:rsidR="00A53D85" w:rsidRPr="00477C4B" w:rsidRDefault="00A53D85" w:rsidP="00A53D85">
      <w:pPr>
        <w:rPr>
          <w:rFonts w:ascii="Arial" w:hAnsi="Arial" w:cs="Arial"/>
        </w:rPr>
      </w:pPr>
      <w:r w:rsidRPr="00477C4B">
        <w:rPr>
          <w:rFonts w:ascii="Arial" w:hAnsi="Arial" w:cs="Arial"/>
        </w:rPr>
        <w:t xml:space="preserve">If your practice is new to PIP or has a SWPE of less than 1,000 your practice will be given a default SWPE level of 1,000 to determine the minimum number of shared health summaries that are required to be uploaded. </w:t>
      </w:r>
    </w:p>
    <w:p w:rsidR="00A53D85" w:rsidRPr="00477C4B" w:rsidRDefault="00A53D85" w:rsidP="00A53D85">
      <w:pPr>
        <w:rPr>
          <w:rFonts w:ascii="Arial" w:hAnsi="Arial" w:cs="Arial"/>
        </w:rPr>
      </w:pPr>
      <w:r w:rsidRPr="00477C4B">
        <w:rPr>
          <w:rFonts w:ascii="Arial" w:hAnsi="Arial" w:cs="Arial"/>
        </w:rPr>
        <w:t xml:space="preserve">This equates to a minimum shared health summary upload target of 5 per quarter. If your practice’s SWPE grows to be more than 1,000, (as shown in your Payment Advice) the actual SWPE will be what you use to calculate your minimum shared health summary upload target. The default SWPE is only </w:t>
      </w:r>
      <w:r w:rsidRPr="00477C4B">
        <w:rPr>
          <w:rFonts w:ascii="Arial" w:hAnsi="Arial" w:cs="Arial"/>
        </w:rPr>
        <w:lastRenderedPageBreak/>
        <w:t>used to calculate your minimum shared health summary upload target and is not used to calculate any PIP payments.</w:t>
      </w:r>
    </w:p>
    <w:p w:rsidR="00A53D85" w:rsidRPr="00477C4B" w:rsidRDefault="00A53D85" w:rsidP="00A53D85">
      <w:pPr>
        <w:rPr>
          <w:rFonts w:ascii="Arial" w:hAnsi="Arial" w:cs="Arial"/>
        </w:rPr>
      </w:pPr>
      <w:r w:rsidRPr="00477C4B">
        <w:rPr>
          <w:rFonts w:ascii="Arial" w:hAnsi="Arial" w:cs="Arial"/>
          <w:b/>
        </w:rPr>
        <w:t>Please note</w:t>
      </w:r>
      <w:r w:rsidRPr="00477C4B">
        <w:rPr>
          <w:rFonts w:ascii="Arial" w:hAnsi="Arial" w:cs="Arial"/>
        </w:rPr>
        <w:t xml:space="preserve"> - where the specific target calculated is not a whole number, targets will be rounded down.</w:t>
      </w:r>
    </w:p>
    <w:p w:rsidR="00A53D85" w:rsidRPr="00477C4B" w:rsidRDefault="00A53D85" w:rsidP="00A53D85">
      <w:pPr>
        <w:rPr>
          <w:rFonts w:ascii="Arial" w:hAnsi="Arial" w:cs="Arial"/>
          <w:i/>
        </w:rPr>
      </w:pPr>
      <w:r w:rsidRPr="00477C4B">
        <w:rPr>
          <w:rFonts w:ascii="Arial" w:hAnsi="Arial" w:cs="Arial"/>
          <w:i/>
        </w:rPr>
        <w:t>Changes to advised upload targets</w:t>
      </w:r>
    </w:p>
    <w:p w:rsidR="00A53D85" w:rsidRPr="00477C4B" w:rsidRDefault="00A53D85" w:rsidP="00A53D85">
      <w:pPr>
        <w:rPr>
          <w:rFonts w:ascii="Arial" w:hAnsi="Arial" w:cs="Arial"/>
        </w:rPr>
      </w:pPr>
      <w:r w:rsidRPr="00477C4B">
        <w:rPr>
          <w:rFonts w:ascii="Arial" w:hAnsi="Arial" w:cs="Arial"/>
        </w:rPr>
        <w:t>To ensure that you have sufficient knowledge of your targets and time to meet them, no changes will be made to targets during the course of the quarter if there are changes to your SWPE or practice circumstances in that time.  From the next quarter, the minimum upload target may change.  This will be based on the previous quarter SWPE, as advised in your Payment Advice.</w:t>
      </w:r>
    </w:p>
    <w:p w:rsidR="00A53D85" w:rsidRPr="00477C4B" w:rsidRDefault="00A53D85" w:rsidP="00A53D85">
      <w:pPr>
        <w:rPr>
          <w:rFonts w:ascii="Arial" w:hAnsi="Arial" w:cs="Arial"/>
          <w:i/>
        </w:rPr>
      </w:pPr>
      <w:r w:rsidRPr="00477C4B">
        <w:rPr>
          <w:rFonts w:ascii="Arial" w:hAnsi="Arial" w:cs="Arial"/>
          <w:i/>
        </w:rPr>
        <w:t>Monitoring a practice’s upload tally during the PIP quarter</w:t>
      </w:r>
    </w:p>
    <w:p w:rsidR="00A53D85" w:rsidRPr="00477C4B" w:rsidRDefault="00A53D85" w:rsidP="00A53D85">
      <w:pPr>
        <w:rPr>
          <w:rFonts w:ascii="Arial" w:hAnsi="Arial" w:cs="Arial"/>
        </w:rPr>
      </w:pPr>
      <w:r w:rsidRPr="00477C4B">
        <w:rPr>
          <w:rFonts w:ascii="Arial" w:hAnsi="Arial" w:cs="Arial"/>
        </w:rPr>
        <w:t>Practices are responsible for monitoring and satisfying themselves that they have met the minimum upload requirements for each quarter or opting out of relevant payment quarters by the point-in-time date, if they will not meet the requirements. Some clinical information systems and sidebar tools allow practices to monitor the number of shared health summaries they have uploaded, which can assist with tracking.</w:t>
      </w:r>
    </w:p>
    <w:p w:rsidR="00A53D85" w:rsidRPr="00477C4B" w:rsidRDefault="00A53D85" w:rsidP="00A53D85">
      <w:pPr>
        <w:rPr>
          <w:rFonts w:ascii="Arial" w:hAnsi="Arial" w:cs="Arial"/>
          <w:i/>
        </w:rPr>
      </w:pPr>
      <w:r w:rsidRPr="00477C4B">
        <w:rPr>
          <w:rFonts w:ascii="Arial" w:hAnsi="Arial" w:cs="Arial"/>
          <w:i/>
        </w:rPr>
        <w:t xml:space="preserve">Updates to existing shared health summaries </w:t>
      </w:r>
    </w:p>
    <w:p w:rsidR="00A53D85" w:rsidRPr="00477C4B" w:rsidRDefault="00A53D85" w:rsidP="00A53D85">
      <w:pPr>
        <w:rPr>
          <w:rFonts w:ascii="Arial" w:hAnsi="Arial" w:cs="Arial"/>
        </w:rPr>
      </w:pPr>
      <w:r w:rsidRPr="00477C4B">
        <w:rPr>
          <w:rFonts w:ascii="Arial" w:hAnsi="Arial" w:cs="Arial"/>
        </w:rPr>
        <w:t>Updates to existing shared health summaries are counted as an upload and count toward a practice’s tally. Each time a shared health summary is uploaded to a My Health Record it is counted, and it doesn’t matter if a patient has one already. Clinical information changes and nominated healthcare providers are expected to make a professional judgement as to whether there is clinically relevant information that needs to be included in a shared health summary.</w:t>
      </w:r>
    </w:p>
    <w:p w:rsidR="00A53D85" w:rsidRPr="00477C4B" w:rsidRDefault="00A53D85" w:rsidP="00A53D85">
      <w:pPr>
        <w:rPr>
          <w:rFonts w:ascii="Arial" w:hAnsi="Arial" w:cs="Arial"/>
          <w:i/>
        </w:rPr>
      </w:pPr>
      <w:r w:rsidRPr="00477C4B">
        <w:rPr>
          <w:rFonts w:ascii="Arial" w:hAnsi="Arial" w:cs="Arial"/>
          <w:i/>
        </w:rPr>
        <w:t>Carrying forward shared health summary upload counts</w:t>
      </w:r>
    </w:p>
    <w:p w:rsidR="00A53D85" w:rsidRPr="00477C4B" w:rsidRDefault="00A53D85" w:rsidP="00A53D85">
      <w:pPr>
        <w:rPr>
          <w:rFonts w:ascii="Arial" w:hAnsi="Arial" w:cs="Arial"/>
        </w:rPr>
      </w:pPr>
      <w:r w:rsidRPr="00477C4B">
        <w:rPr>
          <w:rFonts w:ascii="Arial" w:hAnsi="Arial" w:cs="Arial"/>
        </w:rPr>
        <w:t xml:space="preserve">As requirement 5(iii) is linked to the quarter for the activity, practices cannot carry forward any uploaded shared health summaries that exceed their current quarter to count toward the next quarter. </w:t>
      </w:r>
    </w:p>
    <w:p w:rsidR="00A53D85" w:rsidRPr="00477C4B" w:rsidRDefault="00A53D85" w:rsidP="00A53D85">
      <w:pPr>
        <w:rPr>
          <w:rFonts w:ascii="Arial" w:hAnsi="Arial" w:cs="Arial"/>
        </w:rPr>
      </w:pPr>
      <w:r w:rsidRPr="00477C4B">
        <w:rPr>
          <w:rFonts w:ascii="Arial" w:hAnsi="Arial" w:cs="Arial"/>
        </w:rPr>
        <w:t>For example, a practice with a SWPE of 5,000 had a minimum shared health summary upload target of 25 for the May to July 2016 quarter actually uploaded 28 shared health summaries. The three extra shared health summaries will not be deducted from the practice’s August to October 2016 shared health summary upload target.</w:t>
      </w:r>
    </w:p>
    <w:p w:rsidR="00A53D85" w:rsidRPr="00477C4B" w:rsidRDefault="00A53D85" w:rsidP="00A53D85">
      <w:pPr>
        <w:rPr>
          <w:rFonts w:ascii="Arial" w:hAnsi="Arial" w:cs="Arial"/>
          <w:i/>
        </w:rPr>
      </w:pPr>
      <w:r w:rsidRPr="00477C4B">
        <w:rPr>
          <w:rFonts w:ascii="Arial" w:hAnsi="Arial" w:cs="Arial"/>
          <w:i/>
        </w:rPr>
        <w:t>Practice amalgamation</w:t>
      </w:r>
    </w:p>
    <w:p w:rsidR="00A53D85" w:rsidRPr="00477C4B" w:rsidRDefault="00A53D85" w:rsidP="00A53D85">
      <w:pPr>
        <w:rPr>
          <w:rFonts w:ascii="Arial" w:hAnsi="Arial" w:cs="Arial"/>
        </w:rPr>
      </w:pPr>
      <w:r w:rsidRPr="00477C4B">
        <w:rPr>
          <w:rFonts w:ascii="Arial" w:hAnsi="Arial" w:cs="Arial"/>
        </w:rPr>
        <w:t>Where two or more practices are amalgamated during the quarter:</w:t>
      </w:r>
    </w:p>
    <w:p w:rsidR="00A53D85" w:rsidRPr="00477C4B" w:rsidRDefault="00A53D85" w:rsidP="00A53D85">
      <w:pPr>
        <w:numPr>
          <w:ilvl w:val="0"/>
          <w:numId w:val="1"/>
        </w:numPr>
        <w:spacing w:after="14"/>
        <w:ind w:right="39" w:hanging="227"/>
        <w:rPr>
          <w:rFonts w:ascii="Arial" w:hAnsi="Arial" w:cs="Arial"/>
        </w:rPr>
      </w:pPr>
      <w:r w:rsidRPr="00477C4B">
        <w:rPr>
          <w:rFonts w:ascii="Arial" w:hAnsi="Arial" w:cs="Arial"/>
        </w:rPr>
        <w:t>the shared health summary  minimum upload target will be based on the last payment quarter SWPE or default SWPE of one original practice multiplied by the current quarterly percentage rate, and</w:t>
      </w:r>
    </w:p>
    <w:p w:rsidR="00A53D85" w:rsidRPr="00477C4B" w:rsidRDefault="00A53D85" w:rsidP="00A53D85">
      <w:pPr>
        <w:numPr>
          <w:ilvl w:val="0"/>
          <w:numId w:val="1"/>
        </w:numPr>
        <w:spacing w:after="14"/>
        <w:ind w:right="39" w:hanging="227"/>
        <w:rPr>
          <w:rFonts w:ascii="Arial" w:hAnsi="Arial" w:cs="Arial"/>
        </w:rPr>
      </w:pPr>
      <w:r w:rsidRPr="00477C4B">
        <w:rPr>
          <w:rFonts w:ascii="Arial" w:hAnsi="Arial" w:cs="Arial"/>
        </w:rPr>
        <w:t>subsequent quarter shared health summary upload targets will be calculated using the practice’s amalgamated or default SWPE to calculate the shared health summary upload target.</w:t>
      </w:r>
    </w:p>
    <w:p w:rsidR="00A53D85" w:rsidRPr="00477C4B" w:rsidRDefault="00A53D85" w:rsidP="00A53D85">
      <w:pPr>
        <w:rPr>
          <w:rFonts w:ascii="Arial" w:hAnsi="Arial" w:cs="Arial"/>
        </w:rPr>
      </w:pPr>
      <w:r w:rsidRPr="00477C4B">
        <w:rPr>
          <w:rFonts w:ascii="Arial" w:hAnsi="Arial" w:cs="Arial"/>
        </w:rPr>
        <w:t>For example:</w:t>
      </w:r>
    </w:p>
    <w:p w:rsidR="00A53D85" w:rsidRPr="00477C4B" w:rsidRDefault="00A53D85" w:rsidP="00A53D85">
      <w:pPr>
        <w:numPr>
          <w:ilvl w:val="1"/>
          <w:numId w:val="1"/>
        </w:numPr>
        <w:spacing w:before="0" w:after="14"/>
        <w:ind w:right="39"/>
        <w:rPr>
          <w:rFonts w:ascii="Arial" w:hAnsi="Arial" w:cs="Arial"/>
        </w:rPr>
      </w:pPr>
      <w:r w:rsidRPr="00477C4B">
        <w:rPr>
          <w:rFonts w:ascii="Arial" w:hAnsi="Arial" w:cs="Arial"/>
        </w:rPr>
        <w:t>practice A had a calculated upload target for the current quarter of 50</w:t>
      </w:r>
    </w:p>
    <w:p w:rsidR="00A53D85" w:rsidRPr="00477C4B" w:rsidRDefault="00A53D85" w:rsidP="00A53D85">
      <w:pPr>
        <w:numPr>
          <w:ilvl w:val="1"/>
          <w:numId w:val="1"/>
        </w:numPr>
        <w:spacing w:before="0" w:after="14"/>
        <w:ind w:right="39"/>
        <w:rPr>
          <w:rFonts w:ascii="Arial" w:hAnsi="Arial" w:cs="Arial"/>
        </w:rPr>
      </w:pPr>
      <w:r w:rsidRPr="00477C4B">
        <w:rPr>
          <w:rFonts w:ascii="Arial" w:hAnsi="Arial" w:cs="Arial"/>
        </w:rPr>
        <w:t>practice B had a calculated upload target for the current quarter of 65</w:t>
      </w:r>
    </w:p>
    <w:p w:rsidR="00A53D85" w:rsidRPr="00477C4B" w:rsidRDefault="00A53D85" w:rsidP="00A53D85">
      <w:pPr>
        <w:numPr>
          <w:ilvl w:val="1"/>
          <w:numId w:val="1"/>
        </w:numPr>
        <w:spacing w:before="0" w:after="14"/>
        <w:ind w:right="39"/>
        <w:rPr>
          <w:rFonts w:ascii="Arial" w:hAnsi="Arial" w:cs="Arial"/>
        </w:rPr>
      </w:pPr>
      <w:r w:rsidRPr="00477C4B">
        <w:rPr>
          <w:rFonts w:ascii="Arial" w:hAnsi="Arial" w:cs="Arial"/>
        </w:rPr>
        <w:t>the two practices merge during the quarter</w:t>
      </w:r>
    </w:p>
    <w:p w:rsidR="00A53D85" w:rsidRPr="00477C4B" w:rsidRDefault="00A53D85" w:rsidP="00A53D85">
      <w:pPr>
        <w:numPr>
          <w:ilvl w:val="1"/>
          <w:numId w:val="1"/>
        </w:numPr>
        <w:spacing w:before="0" w:after="14"/>
        <w:ind w:right="39"/>
        <w:rPr>
          <w:rFonts w:ascii="Arial" w:hAnsi="Arial" w:cs="Arial"/>
        </w:rPr>
      </w:pPr>
      <w:r w:rsidRPr="00477C4B">
        <w:rPr>
          <w:rFonts w:ascii="Arial" w:hAnsi="Arial" w:cs="Arial"/>
        </w:rPr>
        <w:t>the merger is completed before the point-in-time and Practice A is the remaining practice</w:t>
      </w:r>
    </w:p>
    <w:p w:rsidR="00A53D85" w:rsidRPr="00477C4B" w:rsidRDefault="00A53D85" w:rsidP="00A53D85">
      <w:pPr>
        <w:rPr>
          <w:rFonts w:ascii="Arial" w:hAnsi="Arial" w:cs="Arial"/>
        </w:rPr>
      </w:pPr>
      <w:r w:rsidRPr="00477C4B">
        <w:rPr>
          <w:rFonts w:ascii="Arial" w:hAnsi="Arial" w:cs="Arial"/>
        </w:rPr>
        <w:t>The upload target of 50 for Practice A is the target to be achieved.</w:t>
      </w:r>
    </w:p>
    <w:p w:rsidR="00A53D85" w:rsidRPr="00477C4B" w:rsidRDefault="00A53D85" w:rsidP="00A53D85">
      <w:pPr>
        <w:rPr>
          <w:rFonts w:ascii="Arial" w:hAnsi="Arial" w:cs="Arial"/>
          <w:i/>
        </w:rPr>
      </w:pPr>
      <w:r w:rsidRPr="00477C4B">
        <w:rPr>
          <w:rFonts w:ascii="Arial" w:hAnsi="Arial" w:cs="Arial"/>
          <w:i/>
        </w:rPr>
        <w:t>Practice change of ownership</w:t>
      </w:r>
    </w:p>
    <w:p w:rsidR="00A53D85" w:rsidRPr="00477C4B" w:rsidRDefault="00A53D85" w:rsidP="00A53D85">
      <w:pPr>
        <w:rPr>
          <w:rFonts w:ascii="Arial" w:hAnsi="Arial" w:cs="Arial"/>
        </w:rPr>
      </w:pPr>
      <w:r w:rsidRPr="00477C4B">
        <w:rPr>
          <w:rFonts w:ascii="Arial" w:hAnsi="Arial" w:cs="Arial"/>
        </w:rPr>
        <w:t>Where there is a change in ownership during the quarter:</w:t>
      </w:r>
    </w:p>
    <w:p w:rsidR="00A53D85" w:rsidRPr="00477C4B" w:rsidRDefault="00A53D85" w:rsidP="00A53D85">
      <w:pPr>
        <w:pStyle w:val="ListParagraph"/>
        <w:numPr>
          <w:ilvl w:val="0"/>
          <w:numId w:val="8"/>
        </w:numPr>
        <w:ind w:left="284" w:hanging="284"/>
        <w:rPr>
          <w:rFonts w:ascii="Arial" w:hAnsi="Arial" w:cs="Arial"/>
        </w:rPr>
      </w:pPr>
      <w:r w:rsidRPr="00477C4B">
        <w:rPr>
          <w:rFonts w:ascii="Arial" w:hAnsi="Arial" w:cs="Arial"/>
          <w:sz w:val="22"/>
          <w:szCs w:val="22"/>
        </w:rPr>
        <w:t>the practice is not automatically withdrawn from the PIP eHealth Incentive. Where the new owners choose to continue participating in the eHealth Incentive they may elect to provide the practice’s HPI</w:t>
      </w:r>
      <w:r w:rsidRPr="00477C4B">
        <w:rPr>
          <w:rFonts w:ascii="Arial" w:hAnsi="Arial" w:cs="Arial"/>
        </w:rPr>
        <w:t>–</w:t>
      </w:r>
      <w:r w:rsidRPr="00477C4B">
        <w:rPr>
          <w:rFonts w:ascii="Arial" w:hAnsi="Arial" w:cs="Arial"/>
          <w:sz w:val="22"/>
          <w:szCs w:val="22"/>
        </w:rPr>
        <w:t>O where it is not already provided, or if the HPI</w:t>
      </w:r>
      <w:r w:rsidRPr="00477C4B">
        <w:rPr>
          <w:rFonts w:ascii="Arial" w:hAnsi="Arial" w:cs="Arial"/>
        </w:rPr>
        <w:t>–</w:t>
      </w:r>
      <w:r w:rsidRPr="00477C4B">
        <w:rPr>
          <w:rFonts w:ascii="Arial" w:hAnsi="Arial" w:cs="Arial"/>
          <w:sz w:val="22"/>
          <w:szCs w:val="22"/>
        </w:rPr>
        <w:t xml:space="preserve">O changes </w:t>
      </w:r>
    </w:p>
    <w:p w:rsidR="00A53D85" w:rsidRPr="00477C4B" w:rsidRDefault="00A53D85" w:rsidP="00A53D85">
      <w:pPr>
        <w:pStyle w:val="ListParagraph"/>
        <w:numPr>
          <w:ilvl w:val="0"/>
          <w:numId w:val="8"/>
        </w:numPr>
        <w:ind w:left="284" w:hanging="284"/>
        <w:rPr>
          <w:rFonts w:ascii="Arial" w:hAnsi="Arial" w:cs="Arial"/>
        </w:rPr>
      </w:pPr>
      <w:r w:rsidRPr="00477C4B">
        <w:rPr>
          <w:rFonts w:ascii="Arial" w:hAnsi="Arial" w:cs="Arial"/>
          <w:sz w:val="22"/>
          <w:szCs w:val="22"/>
        </w:rPr>
        <w:lastRenderedPageBreak/>
        <w:t>if the new owners elect to provide their HPI</w:t>
      </w:r>
      <w:r w:rsidRPr="00477C4B">
        <w:rPr>
          <w:rFonts w:ascii="Arial" w:hAnsi="Arial" w:cs="Arial"/>
        </w:rPr>
        <w:t>–</w:t>
      </w:r>
      <w:r w:rsidRPr="00477C4B">
        <w:rPr>
          <w:rFonts w:ascii="Arial" w:hAnsi="Arial" w:cs="Arial"/>
          <w:sz w:val="22"/>
          <w:szCs w:val="22"/>
        </w:rPr>
        <w:t>O they will need to acknowledge that they understand and agree to the terms and conditions when providing the practice’s HPI</w:t>
      </w:r>
      <w:r w:rsidRPr="00477C4B">
        <w:rPr>
          <w:rFonts w:ascii="Arial" w:hAnsi="Arial" w:cs="Arial"/>
        </w:rPr>
        <w:t>–</w:t>
      </w:r>
      <w:r w:rsidRPr="00477C4B">
        <w:rPr>
          <w:rFonts w:ascii="Arial" w:hAnsi="Arial" w:cs="Arial"/>
          <w:sz w:val="22"/>
          <w:szCs w:val="22"/>
        </w:rPr>
        <w:t>O.</w:t>
      </w:r>
    </w:p>
    <w:p w:rsidR="00A53D85" w:rsidRPr="00477C4B" w:rsidRDefault="00A53D85" w:rsidP="00A53D85">
      <w:pPr>
        <w:rPr>
          <w:rFonts w:ascii="Arial" w:hAnsi="Arial" w:cs="Arial"/>
          <w:i/>
        </w:rPr>
      </w:pPr>
      <w:r w:rsidRPr="00477C4B">
        <w:rPr>
          <w:rFonts w:ascii="Arial" w:hAnsi="Arial" w:cs="Arial"/>
          <w:i/>
        </w:rPr>
        <w:t>Additional practice locations/practice branches</w:t>
      </w:r>
    </w:p>
    <w:p w:rsidR="00A53D85" w:rsidRPr="00477C4B" w:rsidRDefault="00A53D85" w:rsidP="00A53D85">
      <w:pPr>
        <w:rPr>
          <w:rFonts w:ascii="Arial" w:hAnsi="Arial" w:cs="Arial"/>
        </w:rPr>
      </w:pPr>
      <w:r w:rsidRPr="00477C4B">
        <w:rPr>
          <w:rFonts w:ascii="Arial" w:hAnsi="Arial" w:cs="Arial"/>
        </w:rPr>
        <w:t>For PIP the main practice location should be the one that provides the highest number of Medicare Benefits Schedule (MBS) services each year. For the purposes of the PIP, additional practice locations are known as practice branches.</w:t>
      </w:r>
    </w:p>
    <w:p w:rsidR="00A53D85" w:rsidRPr="00477C4B" w:rsidRDefault="00A53D85" w:rsidP="00A53D85">
      <w:pPr>
        <w:rPr>
          <w:rFonts w:ascii="Arial" w:hAnsi="Arial" w:cs="Arial"/>
        </w:rPr>
      </w:pPr>
      <w:r w:rsidRPr="00477C4B">
        <w:rPr>
          <w:rFonts w:ascii="Arial" w:hAnsi="Arial" w:cs="Arial"/>
        </w:rPr>
        <w:t>The SWPEs from all practice branches are added to the main practice location during calculation.</w:t>
      </w:r>
    </w:p>
    <w:p w:rsidR="00A53D85" w:rsidRPr="00477C4B" w:rsidRDefault="00A53D85" w:rsidP="00A53D85">
      <w:pPr>
        <w:rPr>
          <w:rFonts w:ascii="Arial" w:hAnsi="Arial" w:cs="Arial"/>
        </w:rPr>
      </w:pPr>
      <w:r w:rsidRPr="00477C4B">
        <w:rPr>
          <w:rFonts w:ascii="Arial" w:hAnsi="Arial" w:cs="Arial"/>
        </w:rPr>
        <w:t>Where a practice has more than one location and each location has a separate unique HPI–O, the practice should use the HPI–O associated to the main location.</w:t>
      </w:r>
    </w:p>
    <w:p w:rsidR="00A53D85" w:rsidRPr="00477C4B" w:rsidRDefault="00A53D85" w:rsidP="00A53D85">
      <w:pPr>
        <w:rPr>
          <w:rFonts w:ascii="Arial" w:hAnsi="Arial" w:cs="Arial"/>
        </w:rPr>
      </w:pPr>
      <w:r w:rsidRPr="00477C4B">
        <w:rPr>
          <w:rFonts w:ascii="Arial" w:hAnsi="Arial" w:cs="Arial"/>
        </w:rPr>
        <w:t>If a practice with more than one location changes the main practice location to a practice branch (or vice versa), they should update the HPI–O associated to the new main practice location.</w:t>
      </w:r>
    </w:p>
    <w:p w:rsidR="00A53D85" w:rsidRPr="00477C4B" w:rsidRDefault="00A53D85" w:rsidP="00A53D85">
      <w:pPr>
        <w:rPr>
          <w:rFonts w:ascii="Arial" w:hAnsi="Arial" w:cs="Arial"/>
        </w:rPr>
      </w:pPr>
      <w:r w:rsidRPr="00477C4B">
        <w:rPr>
          <w:rFonts w:ascii="Arial" w:hAnsi="Arial" w:cs="Arial"/>
        </w:rPr>
        <w:t xml:space="preserve">The practice will still need to meet the shared health summary upload target calculated using their SWPE for the last payment quarter. Changing the main practice location during the quarter will not alter the shared health summary upload target for the practice. </w:t>
      </w:r>
    </w:p>
    <w:p w:rsidR="00A53D85" w:rsidRPr="00477C4B" w:rsidRDefault="00A53D85" w:rsidP="00A53D85">
      <w:pPr>
        <w:rPr>
          <w:rFonts w:ascii="Arial" w:hAnsi="Arial" w:cs="Arial"/>
          <w:b/>
          <w:i/>
        </w:rPr>
      </w:pPr>
      <w:r w:rsidRPr="00477C4B">
        <w:rPr>
          <w:rFonts w:ascii="Arial" w:hAnsi="Arial" w:cs="Arial"/>
          <w:b/>
          <w:i/>
        </w:rPr>
        <w:t>Using the My Health Record system</w:t>
      </w:r>
    </w:p>
    <w:p w:rsidR="00A53D85" w:rsidRPr="00477C4B" w:rsidRDefault="00A53D85" w:rsidP="00A53D85">
      <w:pPr>
        <w:rPr>
          <w:rFonts w:ascii="Arial" w:hAnsi="Arial" w:cs="Arial"/>
          <w:i/>
        </w:rPr>
      </w:pPr>
      <w:r w:rsidRPr="00477C4B">
        <w:rPr>
          <w:rFonts w:ascii="Arial" w:hAnsi="Arial" w:cs="Arial"/>
          <w:i/>
        </w:rPr>
        <w:t>Authoring shared health summaries</w:t>
      </w:r>
    </w:p>
    <w:p w:rsidR="00A53D85" w:rsidRPr="00477C4B" w:rsidRDefault="00A53D85" w:rsidP="00A53D85">
      <w:pPr>
        <w:rPr>
          <w:rFonts w:ascii="Arial" w:hAnsi="Arial" w:cs="Arial"/>
        </w:rPr>
      </w:pPr>
      <w:r w:rsidRPr="00477C4B">
        <w:rPr>
          <w:rFonts w:ascii="Arial" w:hAnsi="Arial" w:cs="Arial"/>
        </w:rPr>
        <w:t xml:space="preserve">There is a distinction between authoring and uploading information. Only healthcare providers with a HPI–I can author something that is uploaded to the My Health Record system. In the case of Shared Health Summaries only nominated healthcare providers can author them; however, any authorised employee in the registered organisation can upload Shared Health Summaries.  </w:t>
      </w:r>
    </w:p>
    <w:p w:rsidR="00A53D85" w:rsidRPr="00477C4B" w:rsidRDefault="00A53D85" w:rsidP="00A53D85">
      <w:pPr>
        <w:rPr>
          <w:rFonts w:ascii="Arial" w:hAnsi="Arial" w:cs="Arial"/>
          <w:i/>
        </w:rPr>
      </w:pPr>
      <w:r w:rsidRPr="00477C4B">
        <w:rPr>
          <w:rFonts w:ascii="Arial" w:hAnsi="Arial" w:cs="Arial"/>
          <w:i/>
        </w:rPr>
        <w:t xml:space="preserve">Supporting patients to register for a My Health Record </w:t>
      </w:r>
    </w:p>
    <w:p w:rsidR="00A53D85" w:rsidRPr="00477C4B" w:rsidRDefault="00A53D85" w:rsidP="00A53D85">
      <w:pPr>
        <w:rPr>
          <w:rFonts w:ascii="Arial" w:hAnsi="Arial" w:cs="Arial"/>
        </w:rPr>
      </w:pPr>
      <w:r w:rsidRPr="00477C4B">
        <w:rPr>
          <w:rFonts w:ascii="Arial" w:hAnsi="Arial" w:cs="Arial"/>
        </w:rPr>
        <w:t xml:space="preserve">Most clinical information software contains the functionality to provide assisted registration. Practices may wish to undertake assisted registration to increase the number of patients they have registered, or to encourage their patients to self-register using the support line available on </w:t>
      </w:r>
      <w:r w:rsidRPr="00477C4B">
        <w:rPr>
          <w:rFonts w:ascii="Arial" w:hAnsi="Arial" w:cs="Arial"/>
          <w:b/>
        </w:rPr>
        <w:t>1800 723 471</w:t>
      </w:r>
      <w:r w:rsidRPr="00477C4B">
        <w:rPr>
          <w:rFonts w:ascii="Arial" w:hAnsi="Arial" w:cs="Arial"/>
        </w:rPr>
        <w:t>, if required.  The minimum upload target for practices recognises individual registration rates.</w:t>
      </w:r>
    </w:p>
    <w:p w:rsidR="00A53D85" w:rsidRPr="00477C4B" w:rsidRDefault="00A53D85" w:rsidP="00A53D85">
      <w:pPr>
        <w:pStyle w:val="Style3"/>
        <w:spacing w:after="0"/>
        <w:rPr>
          <w:rFonts w:ascii="Arial" w:hAnsi="Arial" w:cs="Arial"/>
          <w:i/>
          <w:iCs/>
        </w:rPr>
      </w:pPr>
      <w:r w:rsidRPr="00477C4B">
        <w:rPr>
          <w:rFonts w:ascii="Arial" w:hAnsi="Arial" w:cs="Arial"/>
          <w:i/>
          <w:iCs/>
        </w:rPr>
        <w:t>How do patients benefit from uploads?</w:t>
      </w:r>
    </w:p>
    <w:p w:rsidR="00A53D85" w:rsidRPr="00477C4B" w:rsidRDefault="00A53D85" w:rsidP="00A53D85">
      <w:pPr>
        <w:spacing w:after="240"/>
        <w:rPr>
          <w:rFonts w:ascii="Arial" w:eastAsiaTheme="minorHAnsi" w:hAnsi="Arial" w:cs="Arial"/>
          <w:i/>
          <w:iCs/>
          <w:color w:val="auto"/>
        </w:rPr>
      </w:pPr>
      <w:r w:rsidRPr="00477C4B">
        <w:rPr>
          <w:rFonts w:ascii="Arial" w:hAnsi="Arial" w:cs="Arial"/>
          <w:i/>
          <w:iCs/>
        </w:rPr>
        <w:t xml:space="preserve">A shared health summary provides a snapshot of an individual’s health at a point in time. Only a nominated healthcare provider can create a shared health summary. The most recently uploaded shared health summary in a patient’s My Health Record is likely to be the first document accessed by another healthcare provider. </w:t>
      </w:r>
    </w:p>
    <w:p w:rsidR="00A53D85" w:rsidRPr="00477C4B" w:rsidRDefault="00A53D85" w:rsidP="00A53D85">
      <w:pPr>
        <w:spacing w:after="240"/>
        <w:rPr>
          <w:rFonts w:ascii="Arial" w:hAnsi="Arial" w:cs="Arial"/>
          <w:i/>
          <w:iCs/>
        </w:rPr>
      </w:pPr>
      <w:r w:rsidRPr="00477C4B">
        <w:rPr>
          <w:rFonts w:ascii="Arial" w:hAnsi="Arial" w:cs="Arial"/>
          <w:i/>
          <w:iCs/>
        </w:rPr>
        <w:t xml:space="preserve">The appropriateness of uploading a shared health summary (or another document such as an event summary) requires the clinical judgement of the nominated healthcare provider that is preparing the document. </w:t>
      </w:r>
    </w:p>
    <w:p w:rsidR="00A53D85" w:rsidRPr="00477C4B" w:rsidRDefault="00A53D85" w:rsidP="00A53D85">
      <w:pPr>
        <w:rPr>
          <w:rFonts w:ascii="Arial" w:hAnsi="Arial" w:cs="Arial"/>
        </w:rPr>
      </w:pPr>
      <w:r w:rsidRPr="00477C4B">
        <w:rPr>
          <w:rFonts w:ascii="Arial" w:hAnsi="Arial" w:cs="Arial"/>
        </w:rPr>
        <w:t>Patients considered to benefit most from having a shared health summary include:</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those with chronic or complex conditions</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people living with disabilities</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 xml:space="preserve">patients who see multiple healthcare providers </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patients with allergies or adverse reactions</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 xml:space="preserve">transient patients, and </w:t>
      </w:r>
    </w:p>
    <w:p w:rsidR="00A53D85" w:rsidRPr="00477C4B" w:rsidRDefault="00A53D85" w:rsidP="00A53D85">
      <w:pPr>
        <w:numPr>
          <w:ilvl w:val="0"/>
          <w:numId w:val="1"/>
        </w:numPr>
        <w:spacing w:before="0" w:after="0"/>
        <w:ind w:right="40" w:hanging="227"/>
        <w:rPr>
          <w:rFonts w:ascii="Arial" w:hAnsi="Arial" w:cs="Arial"/>
        </w:rPr>
      </w:pPr>
      <w:r w:rsidRPr="00477C4B">
        <w:rPr>
          <w:rFonts w:ascii="Arial" w:hAnsi="Arial" w:cs="Arial"/>
        </w:rPr>
        <w:t>child and maternal health patients.</w:t>
      </w:r>
    </w:p>
    <w:p w:rsidR="00A53D85" w:rsidRPr="00477C4B" w:rsidRDefault="00A53D85" w:rsidP="00A53D85">
      <w:pPr>
        <w:spacing w:after="14"/>
        <w:ind w:left="0" w:right="39" w:firstLine="0"/>
        <w:rPr>
          <w:rFonts w:ascii="Arial" w:hAnsi="Arial" w:cs="Arial"/>
        </w:rPr>
      </w:pPr>
      <w:r w:rsidRPr="00477C4B">
        <w:rPr>
          <w:rFonts w:ascii="Arial" w:hAnsi="Arial" w:cs="Arial"/>
        </w:rPr>
        <w:t>Practices are encouraged to consider prioritising shared health summary uploads for these patients.</w:t>
      </w:r>
    </w:p>
    <w:p w:rsidR="00A53D85" w:rsidRPr="00477C4B" w:rsidRDefault="00A53D85" w:rsidP="00A53D85">
      <w:pPr>
        <w:rPr>
          <w:rFonts w:ascii="Arial" w:hAnsi="Arial" w:cs="Arial"/>
          <w:i/>
        </w:rPr>
      </w:pPr>
      <w:r w:rsidRPr="00477C4B">
        <w:rPr>
          <w:rFonts w:ascii="Arial" w:hAnsi="Arial" w:cs="Arial"/>
          <w:i/>
        </w:rPr>
        <w:t>Further information</w:t>
      </w:r>
    </w:p>
    <w:p w:rsidR="00A53D85" w:rsidRPr="00477C4B" w:rsidRDefault="00A53D85" w:rsidP="00A53D85">
      <w:pPr>
        <w:rPr>
          <w:rFonts w:ascii="Arial" w:hAnsi="Arial" w:cs="Arial"/>
        </w:rPr>
      </w:pPr>
      <w:r w:rsidRPr="00477C4B">
        <w:rPr>
          <w:rFonts w:ascii="Arial" w:hAnsi="Arial" w:cs="Arial"/>
        </w:rPr>
        <w:t xml:space="preserve">For further information please refer to the Implementation Overview for the My Health Record System, available at </w:t>
      </w:r>
      <w:r w:rsidRPr="00477C4B">
        <w:rPr>
          <w:rFonts w:ascii="Arial" w:hAnsi="Arial" w:cs="Arial"/>
          <w:b/>
        </w:rPr>
        <w:t>pip.nehta.gov.au</w:t>
      </w:r>
    </w:p>
    <w:p w:rsidR="00A53D85" w:rsidRPr="00477C4B" w:rsidRDefault="00A53D85" w:rsidP="00A53D85">
      <w:pPr>
        <w:pStyle w:val="Heading1"/>
        <w:rPr>
          <w:rFonts w:ascii="Arial" w:hAnsi="Arial" w:cs="Arial"/>
        </w:rPr>
      </w:pPr>
      <w:r w:rsidRPr="00477C4B">
        <w:rPr>
          <w:rFonts w:ascii="Arial" w:hAnsi="Arial" w:cs="Arial"/>
        </w:rPr>
        <w:lastRenderedPageBreak/>
        <w:t>Support for general practices</w:t>
      </w:r>
    </w:p>
    <w:p w:rsidR="00A53D85" w:rsidRPr="00477C4B" w:rsidRDefault="00A53D85" w:rsidP="00A53D85">
      <w:pPr>
        <w:tabs>
          <w:tab w:val="left" w:pos="426"/>
        </w:tabs>
        <w:rPr>
          <w:rFonts w:ascii="Arial" w:hAnsi="Arial" w:cs="Arial"/>
        </w:rPr>
      </w:pPr>
      <w:r w:rsidRPr="00477C4B">
        <w:rPr>
          <w:rFonts w:ascii="Arial" w:hAnsi="Arial" w:cs="Arial"/>
        </w:rPr>
        <w:t xml:space="preserve">Support is available for general practices to use the My Health Record system and assist them in meeting the new requirements for this incentive.  Practices can access revised online training at </w:t>
      </w:r>
      <w:r w:rsidRPr="00477C4B">
        <w:rPr>
          <w:rFonts w:ascii="Arial" w:hAnsi="Arial" w:cs="Arial"/>
          <w:b/>
        </w:rPr>
        <w:t>myhealthrecord.gov.au</w:t>
      </w:r>
      <w:r w:rsidRPr="00477C4B">
        <w:rPr>
          <w:rFonts w:ascii="Arial" w:hAnsi="Arial" w:cs="Arial"/>
        </w:rPr>
        <w:t xml:space="preserve">, in addition to the current on-demand online training environment currently available for general practices at </w:t>
      </w:r>
      <w:r w:rsidRPr="00477C4B">
        <w:rPr>
          <w:rFonts w:ascii="Arial" w:hAnsi="Arial" w:cs="Arial"/>
          <w:b/>
        </w:rPr>
        <w:t>nehta.gov.au</w:t>
      </w:r>
      <w:r w:rsidRPr="00477C4B">
        <w:rPr>
          <w:rFonts w:ascii="Arial" w:hAnsi="Arial" w:cs="Arial"/>
        </w:rPr>
        <w:t xml:space="preserve">.  More information on the training available can be found at </w:t>
      </w:r>
      <w:r w:rsidRPr="00477C4B">
        <w:rPr>
          <w:rFonts w:ascii="Arial" w:hAnsi="Arial" w:cs="Arial"/>
          <w:b/>
        </w:rPr>
        <w:t>myhealthrecord.gov.au</w:t>
      </w:r>
      <w:r w:rsidRPr="00477C4B">
        <w:rPr>
          <w:rFonts w:ascii="Arial" w:hAnsi="Arial" w:cs="Arial"/>
        </w:rPr>
        <w:t xml:space="preserve"> or through local area Primary Health Networks (PHNs).</w:t>
      </w:r>
    </w:p>
    <w:p w:rsidR="00A53D85" w:rsidRPr="00477C4B" w:rsidRDefault="00A53D85" w:rsidP="00A53D85">
      <w:pPr>
        <w:ind w:left="0" w:firstLine="0"/>
        <w:rPr>
          <w:rFonts w:ascii="Arial" w:hAnsi="Arial" w:cs="Arial"/>
        </w:rPr>
      </w:pPr>
      <w:r w:rsidRPr="00477C4B">
        <w:rPr>
          <w:rFonts w:ascii="Arial" w:hAnsi="Arial" w:cs="Arial"/>
        </w:rPr>
        <w:t xml:space="preserve">General practices and individual healthcare providers are encouraged to undertake relevant training to build their knowledge in using the My Health Record system from the range of available training options.  </w:t>
      </w:r>
    </w:p>
    <w:p w:rsidR="00A53D85" w:rsidRPr="00477C4B" w:rsidRDefault="00A53D85" w:rsidP="00A53D85">
      <w:pPr>
        <w:rPr>
          <w:rFonts w:ascii="Arial" w:hAnsi="Arial" w:cs="Arial"/>
        </w:rPr>
      </w:pPr>
      <w:r w:rsidRPr="00477C4B">
        <w:rPr>
          <w:rFonts w:ascii="Arial" w:hAnsi="Arial" w:cs="Arial"/>
        </w:rPr>
        <w:t xml:space="preserve">Get help registering for the My Health by calling Human Services on </w:t>
      </w:r>
      <w:r w:rsidRPr="00477C4B">
        <w:rPr>
          <w:rFonts w:ascii="Arial" w:hAnsi="Arial" w:cs="Arial"/>
          <w:b/>
        </w:rPr>
        <w:t xml:space="preserve">1800 723 471, </w:t>
      </w:r>
      <w:r w:rsidRPr="00477C4B">
        <w:rPr>
          <w:rFonts w:ascii="Arial" w:hAnsi="Arial" w:cs="Arial"/>
        </w:rPr>
        <w:t xml:space="preserve">call charges may apply.  Other support, including how to use the My Health Record within your CIS is available from your CIS vendor. </w:t>
      </w:r>
    </w:p>
    <w:p w:rsidR="00A53D85" w:rsidRPr="00477C4B" w:rsidRDefault="00A53D85" w:rsidP="00A53D85">
      <w:pPr>
        <w:pStyle w:val="Heading1"/>
        <w:rPr>
          <w:rFonts w:ascii="Arial" w:hAnsi="Arial" w:cs="Arial"/>
        </w:rPr>
      </w:pPr>
      <w:r w:rsidRPr="00477C4B">
        <w:rPr>
          <w:rFonts w:ascii="Arial" w:hAnsi="Arial" w:cs="Arial"/>
        </w:rPr>
        <w:t>Applying</w:t>
      </w:r>
    </w:p>
    <w:p w:rsidR="00A53D85" w:rsidRPr="00477C4B" w:rsidRDefault="00A53D85" w:rsidP="00A53D85">
      <w:pPr>
        <w:rPr>
          <w:rFonts w:ascii="Arial" w:hAnsi="Arial" w:cs="Arial"/>
        </w:rPr>
      </w:pPr>
      <w:r w:rsidRPr="00477C4B">
        <w:rPr>
          <w:rFonts w:ascii="Arial" w:hAnsi="Arial" w:cs="Arial"/>
        </w:rPr>
        <w:t xml:space="preserve">Assessment of eligibility for the eHealth Incentive will be considered for the payment quarter in which the application is received only. Practices must ensure they meet the eligibility requirements in the payment quarter in which they are applying.  </w:t>
      </w:r>
    </w:p>
    <w:p w:rsidR="00A53D85" w:rsidRPr="00477C4B" w:rsidRDefault="00A53D85" w:rsidP="00A53D85">
      <w:pPr>
        <w:ind w:left="0" w:firstLine="0"/>
        <w:rPr>
          <w:rFonts w:ascii="Arial" w:hAnsi="Arial" w:cs="Arial"/>
        </w:rPr>
      </w:pPr>
      <w:r w:rsidRPr="00477C4B">
        <w:rPr>
          <w:rFonts w:ascii="Arial" w:hAnsi="Arial" w:cs="Arial"/>
        </w:rPr>
        <w:t xml:space="preserve">Practices can apply for the eHealth Incentive through HPOS at </w:t>
      </w:r>
      <w:r w:rsidRPr="00477C4B">
        <w:rPr>
          <w:rFonts w:ascii="Arial" w:hAnsi="Arial" w:cs="Arial"/>
          <w:b/>
        </w:rPr>
        <w:t>humanservices.gov.au/hpos</w:t>
      </w:r>
      <w:r w:rsidRPr="00477C4B">
        <w:rPr>
          <w:rFonts w:ascii="Arial" w:hAnsi="Arial" w:cs="Arial"/>
        </w:rPr>
        <w:t xml:space="preserve"> using your PKI certificate or Provider Digital Access (PRODA) account details.</w:t>
      </w:r>
    </w:p>
    <w:p w:rsidR="00A53D85" w:rsidRPr="00477C4B" w:rsidRDefault="00A53D85" w:rsidP="00A53D85">
      <w:pPr>
        <w:ind w:left="0" w:firstLine="0"/>
        <w:rPr>
          <w:rFonts w:ascii="Arial" w:hAnsi="Arial" w:cs="Arial"/>
        </w:rPr>
      </w:pPr>
      <w:r w:rsidRPr="00477C4B">
        <w:rPr>
          <w:rFonts w:ascii="Arial" w:hAnsi="Arial" w:cs="Arial"/>
        </w:rPr>
        <w:t>Practices will need to have access to PIP Online via HPOS to apply for the incentive and manage details such as opting-out and withdrawing from the incentive.</w:t>
      </w:r>
    </w:p>
    <w:p w:rsidR="00A53D85" w:rsidRPr="00477C4B" w:rsidRDefault="00A53D85" w:rsidP="00A53D85">
      <w:pPr>
        <w:rPr>
          <w:rFonts w:ascii="Arial" w:hAnsi="Arial" w:cs="Arial"/>
          <w:b/>
          <w:i/>
        </w:rPr>
      </w:pPr>
      <w:r w:rsidRPr="00477C4B">
        <w:rPr>
          <w:rFonts w:ascii="Arial" w:hAnsi="Arial" w:cs="Arial"/>
          <w:b/>
          <w:i/>
        </w:rPr>
        <w:t>Managing participation in the incentive</w:t>
      </w:r>
    </w:p>
    <w:p w:rsidR="00A53D85" w:rsidRPr="00477C4B" w:rsidRDefault="00A53D85" w:rsidP="00A53D85">
      <w:pPr>
        <w:rPr>
          <w:rFonts w:ascii="Arial" w:hAnsi="Arial" w:cs="Arial"/>
          <w:i/>
        </w:rPr>
      </w:pPr>
      <w:r w:rsidRPr="00477C4B">
        <w:rPr>
          <w:rFonts w:ascii="Arial" w:hAnsi="Arial" w:cs="Arial"/>
          <w:i/>
        </w:rPr>
        <w:t>Withdrawing from the incentive</w:t>
      </w:r>
    </w:p>
    <w:p w:rsidR="00A53D85" w:rsidRPr="00477C4B" w:rsidRDefault="00A53D85" w:rsidP="00A53D85">
      <w:pPr>
        <w:rPr>
          <w:rFonts w:ascii="Arial" w:hAnsi="Arial" w:cs="Arial"/>
        </w:rPr>
      </w:pPr>
      <w:r w:rsidRPr="00477C4B">
        <w:rPr>
          <w:rFonts w:ascii="Arial" w:hAnsi="Arial" w:cs="Arial"/>
        </w:rPr>
        <w:t xml:space="preserve">Practices can withdraw from the eHealth Incentive online through HPOS.  If practices do not wish to participate in the new incentive, they will need to do this by the point-in-time for the quarter from which they no longer wish to participate in the incentive. Practices that withdraw can re-apply anytime for the eHealth Incentive online through HPOS.  </w:t>
      </w:r>
    </w:p>
    <w:p w:rsidR="00A53D85" w:rsidRPr="00477C4B" w:rsidRDefault="00A53D85" w:rsidP="00A53D85">
      <w:pPr>
        <w:rPr>
          <w:rFonts w:ascii="Arial" w:hAnsi="Arial" w:cs="Arial"/>
          <w:i/>
        </w:rPr>
      </w:pPr>
      <w:r w:rsidRPr="00477C4B">
        <w:rPr>
          <w:rFonts w:ascii="Arial" w:hAnsi="Arial" w:cs="Arial"/>
          <w:i/>
        </w:rPr>
        <w:t>Opting-out and Opting-in</w:t>
      </w:r>
    </w:p>
    <w:p w:rsidR="00A53D85" w:rsidRPr="00477C4B" w:rsidRDefault="00A53D85" w:rsidP="00A53D85">
      <w:pPr>
        <w:rPr>
          <w:rFonts w:ascii="Arial" w:hAnsi="Arial" w:cs="Arial"/>
        </w:rPr>
      </w:pPr>
      <w:r w:rsidRPr="00477C4B">
        <w:rPr>
          <w:rFonts w:ascii="Arial" w:hAnsi="Arial" w:cs="Arial"/>
        </w:rPr>
        <w:t>Practices are able to opt-out of individual quarters online up to the point-in-time, where they determine they will not meet the requirements. Practices will automatically be opted back in to the next payment quarter.</w:t>
      </w:r>
    </w:p>
    <w:p w:rsidR="00A53D85" w:rsidRPr="00477C4B" w:rsidRDefault="00A53D85" w:rsidP="00A53D85">
      <w:pPr>
        <w:rPr>
          <w:rFonts w:ascii="Arial" w:hAnsi="Arial" w:cs="Arial"/>
        </w:rPr>
      </w:pPr>
      <w:r w:rsidRPr="00477C4B">
        <w:rPr>
          <w:rFonts w:ascii="Arial" w:hAnsi="Arial" w:cs="Arial"/>
        </w:rPr>
        <w:t xml:space="preserve">Practices registered for the eHealth incentive are able to opt-out and opt-in of a quarter as many times as required. This must be done online through HPOS by the point-in-time. </w:t>
      </w:r>
    </w:p>
    <w:p w:rsidR="00A53D85" w:rsidRPr="00477C4B" w:rsidRDefault="00A53D85" w:rsidP="00A53D85">
      <w:pPr>
        <w:rPr>
          <w:rFonts w:ascii="Arial" w:hAnsi="Arial" w:cs="Arial"/>
        </w:rPr>
      </w:pPr>
      <w:r w:rsidRPr="00477C4B">
        <w:rPr>
          <w:rFonts w:ascii="Arial" w:hAnsi="Arial" w:cs="Arial"/>
        </w:rPr>
        <w:t>By opting-out of a payment quarter, a practice will still be registered for the eHealth Incentive, but will not receive a payment for the quarter in which they have opted-out.</w:t>
      </w:r>
    </w:p>
    <w:p w:rsidR="00A53D85" w:rsidRPr="00477C4B" w:rsidRDefault="00A53D85" w:rsidP="00A53D85">
      <w:pPr>
        <w:rPr>
          <w:rFonts w:ascii="Arial" w:hAnsi="Arial" w:cs="Arial"/>
        </w:rPr>
      </w:pPr>
      <w:r w:rsidRPr="00477C4B">
        <w:rPr>
          <w:rFonts w:ascii="Arial" w:hAnsi="Arial" w:cs="Arial"/>
        </w:rPr>
        <w:t xml:space="preserve">Access to PIP Online via HPOS will also be required by practices to either withdraw from the eHealth Incentive or opt-out of a payment quarter. </w:t>
      </w:r>
    </w:p>
    <w:p w:rsidR="00A53D85" w:rsidRPr="00477C4B" w:rsidRDefault="00A53D85" w:rsidP="00A53D85">
      <w:pPr>
        <w:pStyle w:val="Heading1"/>
        <w:rPr>
          <w:rFonts w:ascii="Arial" w:hAnsi="Arial" w:cs="Arial"/>
        </w:rPr>
      </w:pPr>
      <w:r w:rsidRPr="00477C4B">
        <w:rPr>
          <w:rFonts w:ascii="Arial" w:hAnsi="Arial" w:cs="Arial"/>
        </w:rPr>
        <w:t>Obligations</w:t>
      </w:r>
    </w:p>
    <w:p w:rsidR="00A53D85" w:rsidRPr="00477C4B" w:rsidRDefault="00A53D85" w:rsidP="00A53D85">
      <w:pPr>
        <w:spacing w:after="0"/>
        <w:rPr>
          <w:rFonts w:ascii="Arial" w:hAnsi="Arial" w:cs="Arial"/>
        </w:rPr>
      </w:pPr>
      <w:r w:rsidRPr="00477C4B">
        <w:rPr>
          <w:rFonts w:ascii="Arial" w:hAnsi="Arial" w:cs="Arial"/>
        </w:rPr>
        <w:t>The practice must:</w:t>
      </w:r>
    </w:p>
    <w:p w:rsidR="00A53D85" w:rsidRPr="00477C4B" w:rsidRDefault="00A53D85" w:rsidP="00A53D85">
      <w:pPr>
        <w:numPr>
          <w:ilvl w:val="0"/>
          <w:numId w:val="3"/>
        </w:numPr>
        <w:spacing w:before="0" w:after="0"/>
        <w:ind w:right="352" w:hanging="227"/>
        <w:rPr>
          <w:rFonts w:ascii="Arial" w:hAnsi="Arial" w:cs="Arial"/>
        </w:rPr>
      </w:pPr>
      <w:r w:rsidRPr="00477C4B">
        <w:rPr>
          <w:rFonts w:ascii="Arial" w:hAnsi="Arial" w:cs="Arial"/>
        </w:rPr>
        <w:t>give information to us as part of the ongoing confirmation statement process to make sure the practice has met the PIP eligibility requirements</w:t>
      </w:r>
    </w:p>
    <w:p w:rsidR="00A53D85" w:rsidRPr="00477C4B" w:rsidRDefault="00A53D85" w:rsidP="00A53D85">
      <w:pPr>
        <w:numPr>
          <w:ilvl w:val="0"/>
          <w:numId w:val="3"/>
        </w:numPr>
        <w:spacing w:before="0" w:after="0"/>
        <w:ind w:right="352" w:hanging="227"/>
        <w:rPr>
          <w:rFonts w:ascii="Arial" w:hAnsi="Arial" w:cs="Arial"/>
        </w:rPr>
      </w:pPr>
      <w:r w:rsidRPr="00477C4B">
        <w:rPr>
          <w:rFonts w:ascii="Arial" w:hAnsi="Arial" w:cs="Arial"/>
        </w:rPr>
        <w:t>give information to the Department of Health as part of the ongoing audit process to verify that the practice has met eligibility requirements</w:t>
      </w:r>
    </w:p>
    <w:p w:rsidR="00A53D85" w:rsidRPr="00477C4B" w:rsidRDefault="00A53D85" w:rsidP="00A53D85">
      <w:pPr>
        <w:numPr>
          <w:ilvl w:val="0"/>
          <w:numId w:val="3"/>
        </w:numPr>
        <w:spacing w:before="0" w:after="0"/>
        <w:ind w:right="349" w:hanging="227"/>
        <w:rPr>
          <w:rFonts w:ascii="Arial" w:hAnsi="Arial" w:cs="Arial"/>
        </w:rPr>
      </w:pPr>
      <w:r w:rsidRPr="00477C4B">
        <w:rPr>
          <w:rFonts w:ascii="Arial" w:hAnsi="Arial" w:cs="Arial"/>
        </w:rPr>
        <w:t>make sure information provided to us is accurate, and</w:t>
      </w:r>
    </w:p>
    <w:p w:rsidR="00A53D85" w:rsidRPr="00477C4B" w:rsidRDefault="00A53D85" w:rsidP="00A53D85">
      <w:pPr>
        <w:numPr>
          <w:ilvl w:val="0"/>
          <w:numId w:val="3"/>
        </w:numPr>
        <w:ind w:right="349" w:hanging="227"/>
        <w:rPr>
          <w:rFonts w:ascii="Arial" w:hAnsi="Arial" w:cs="Arial"/>
        </w:rPr>
      </w:pPr>
      <w:r w:rsidRPr="00477C4B">
        <w:rPr>
          <w:rFonts w:ascii="Arial" w:hAnsi="Arial" w:cs="Arial"/>
        </w:rPr>
        <w:t xml:space="preserve">advise us of any changes to practice arrangements. This can be done: </w:t>
      </w:r>
    </w:p>
    <w:p w:rsidR="00A53D85" w:rsidRPr="00477C4B" w:rsidRDefault="00A53D85" w:rsidP="00A53D85">
      <w:pPr>
        <w:numPr>
          <w:ilvl w:val="1"/>
          <w:numId w:val="3"/>
        </w:numPr>
        <w:spacing w:after="0"/>
        <w:ind w:right="39" w:hanging="227"/>
        <w:rPr>
          <w:rFonts w:ascii="Arial" w:hAnsi="Arial" w:cs="Arial"/>
        </w:rPr>
      </w:pPr>
      <w:r w:rsidRPr="00477C4B">
        <w:rPr>
          <w:rFonts w:ascii="Arial" w:hAnsi="Arial" w:cs="Arial"/>
        </w:rPr>
        <w:t xml:space="preserve">online via HPOS. Changes made via HPOS are visible and effective immediately and can be made up to and on the relevant point-in-time date, or </w:t>
      </w:r>
    </w:p>
    <w:p w:rsidR="00A53D85" w:rsidRPr="00477C4B" w:rsidRDefault="00A53D85" w:rsidP="00A53D85">
      <w:pPr>
        <w:numPr>
          <w:ilvl w:val="1"/>
          <w:numId w:val="3"/>
        </w:numPr>
        <w:spacing w:after="0"/>
        <w:ind w:right="39" w:hanging="227"/>
        <w:rPr>
          <w:rFonts w:ascii="Arial" w:hAnsi="Arial" w:cs="Arial"/>
        </w:rPr>
      </w:pPr>
      <w:r w:rsidRPr="00477C4B">
        <w:rPr>
          <w:rFonts w:ascii="Arial" w:hAnsi="Arial" w:cs="Arial"/>
        </w:rPr>
        <w:lastRenderedPageBreak/>
        <w:t xml:space="preserve">offline by completing the relevant PIP form available at </w:t>
      </w:r>
      <w:r w:rsidRPr="00477C4B">
        <w:rPr>
          <w:rFonts w:ascii="Arial" w:hAnsi="Arial" w:cs="Arial"/>
          <w:b/>
        </w:rPr>
        <w:t>humanservices.gov.au/pip</w:t>
      </w:r>
      <w:r w:rsidRPr="00477C4B">
        <w:rPr>
          <w:rFonts w:ascii="Arial" w:hAnsi="Arial" w:cs="Arial"/>
        </w:rPr>
        <w:t xml:space="preserve"> and faxing it to us at </w:t>
      </w:r>
    </w:p>
    <w:p w:rsidR="00A53D85" w:rsidRPr="00477C4B" w:rsidRDefault="00A53D85" w:rsidP="00A53D85">
      <w:pPr>
        <w:spacing w:before="0" w:after="19"/>
        <w:ind w:left="454" w:right="40" w:firstLine="0"/>
        <w:rPr>
          <w:rFonts w:ascii="Arial" w:hAnsi="Arial" w:cs="Arial"/>
        </w:rPr>
      </w:pPr>
      <w:r w:rsidRPr="00477C4B">
        <w:rPr>
          <w:rFonts w:ascii="Arial" w:hAnsi="Arial" w:cs="Arial"/>
          <w:b/>
        </w:rPr>
        <w:t>1300 587 696</w:t>
      </w:r>
      <w:r w:rsidRPr="00477C4B">
        <w:rPr>
          <w:rFonts w:ascii="Arial" w:hAnsi="Arial" w:cs="Arial"/>
        </w:rPr>
        <w:t>.</w:t>
      </w:r>
    </w:p>
    <w:p w:rsidR="00A53D85" w:rsidRPr="00477C4B" w:rsidRDefault="00A53D85" w:rsidP="00A53D85">
      <w:pPr>
        <w:rPr>
          <w:rFonts w:ascii="Arial" w:hAnsi="Arial" w:cs="Arial"/>
        </w:rPr>
      </w:pPr>
      <w:r w:rsidRPr="00477C4B">
        <w:rPr>
          <w:rFonts w:ascii="Arial" w:hAnsi="Arial" w:cs="Arial"/>
        </w:rPr>
        <w:t>Changes sent to us via forms must be received by Human Services no later than 7 days before the relevant point-in-time date.</w:t>
      </w:r>
    </w:p>
    <w:p w:rsidR="00A53D85" w:rsidRPr="00477C4B" w:rsidRDefault="00A53D85" w:rsidP="00A53D85">
      <w:pPr>
        <w:rPr>
          <w:rFonts w:ascii="Arial" w:hAnsi="Arial" w:cs="Arial"/>
        </w:rPr>
      </w:pPr>
      <w:r w:rsidRPr="00477C4B">
        <w:rPr>
          <w:rFonts w:ascii="Arial" w:hAnsi="Arial" w:cs="Arial"/>
        </w:rPr>
        <w:t xml:space="preserve">For more information, refer to the PIP guidelines available at </w:t>
      </w:r>
      <w:r w:rsidRPr="00477C4B">
        <w:rPr>
          <w:rFonts w:ascii="Arial" w:hAnsi="Arial" w:cs="Arial"/>
          <w:b/>
        </w:rPr>
        <w:t>humanservices.gov.au/pip</w:t>
      </w:r>
    </w:p>
    <w:p w:rsidR="00A53D85" w:rsidRPr="00477C4B" w:rsidRDefault="00A53D85" w:rsidP="00A53D85">
      <w:pPr>
        <w:rPr>
          <w:rFonts w:ascii="Arial" w:hAnsi="Arial" w:cs="Arial"/>
        </w:rPr>
      </w:pPr>
      <w:r w:rsidRPr="00477C4B">
        <w:rPr>
          <w:rFonts w:ascii="Arial" w:hAnsi="Arial" w:cs="Arial"/>
        </w:rPr>
        <w:t>On joining the PIP, the practice must nominate an authorised contact person(s), who will confirm, on the practice’s behalf, any changes to information for PIP claims and payments.</w:t>
      </w:r>
    </w:p>
    <w:p w:rsidR="00A53D85" w:rsidRPr="00477C4B" w:rsidRDefault="00A53D85" w:rsidP="00A53D85">
      <w:pPr>
        <w:pStyle w:val="Heading1"/>
        <w:rPr>
          <w:rFonts w:ascii="Arial" w:hAnsi="Arial" w:cs="Arial"/>
        </w:rPr>
      </w:pPr>
      <w:r w:rsidRPr="00477C4B">
        <w:rPr>
          <w:rFonts w:ascii="Arial" w:hAnsi="Arial" w:cs="Arial"/>
        </w:rPr>
        <w:t>Rights of review</w:t>
      </w:r>
    </w:p>
    <w:p w:rsidR="00A53D85" w:rsidRPr="00477C4B" w:rsidRDefault="00A53D85" w:rsidP="00A53D85">
      <w:pPr>
        <w:rPr>
          <w:rStyle w:val="Hyperlink"/>
          <w:rFonts w:ascii="Arial" w:hAnsi="Arial" w:cs="Arial"/>
          <w:color w:val="auto"/>
        </w:rPr>
      </w:pPr>
      <w:r w:rsidRPr="00477C4B">
        <w:rPr>
          <w:rFonts w:ascii="Arial" w:hAnsi="Arial" w:cs="Arial"/>
        </w:rPr>
        <w:t xml:space="preserve">The PIP has a review of decision process for program decisions. To ask for a review of a decision, the authorised contact person or owners of the practice must complete the </w:t>
      </w:r>
      <w:r w:rsidRPr="00477C4B">
        <w:rPr>
          <w:rFonts w:ascii="Arial" w:hAnsi="Arial" w:cs="Arial"/>
          <w:i/>
        </w:rPr>
        <w:t>Practice Incentives Review of decision</w:t>
      </w:r>
      <w:r w:rsidRPr="00477C4B">
        <w:rPr>
          <w:rFonts w:ascii="Arial" w:hAnsi="Arial" w:cs="Arial"/>
        </w:rPr>
        <w:t xml:space="preserve"> form (IP027) and submit this to Human Services </w:t>
      </w:r>
      <w:r w:rsidRPr="00477C4B">
        <w:rPr>
          <w:rFonts w:ascii="Arial" w:hAnsi="Arial" w:cs="Arial"/>
          <w:b/>
        </w:rPr>
        <w:t>within 28 days</w:t>
      </w:r>
      <w:r w:rsidRPr="00477C4B">
        <w:rPr>
          <w:rFonts w:ascii="Arial" w:hAnsi="Arial" w:cs="Arial"/>
        </w:rPr>
        <w:t xml:space="preserve"> of receiving the decision you would like reviewed. We will review the decision and advise the practice in writing of the outcome. Find the form at </w:t>
      </w:r>
      <w:hyperlink r:id="rId8" w:history="1">
        <w:r w:rsidRPr="00477C4B">
          <w:rPr>
            <w:rStyle w:val="Hyperlink"/>
            <w:rFonts w:ascii="Arial" w:hAnsi="Arial" w:cs="Arial"/>
            <w:b/>
            <w:color w:val="auto"/>
          </w:rPr>
          <w:t>humanservices.gov.au/pip</w:t>
        </w:r>
      </w:hyperlink>
    </w:p>
    <w:p w:rsidR="00A53D85" w:rsidRPr="00477C4B" w:rsidRDefault="00A53D85" w:rsidP="00A53D85">
      <w:pPr>
        <w:pStyle w:val="Heading1"/>
        <w:rPr>
          <w:rFonts w:ascii="Arial" w:hAnsi="Arial" w:cs="Arial"/>
        </w:rPr>
      </w:pPr>
      <w:r w:rsidRPr="00477C4B">
        <w:rPr>
          <w:rFonts w:ascii="Arial" w:hAnsi="Arial" w:cs="Arial"/>
        </w:rPr>
        <w:t>Practice Incentives Program audits</w:t>
      </w:r>
    </w:p>
    <w:p w:rsidR="00A53D85" w:rsidRPr="00477C4B" w:rsidRDefault="00A53D85" w:rsidP="00A53D85">
      <w:pPr>
        <w:rPr>
          <w:rFonts w:ascii="Arial" w:hAnsi="Arial" w:cs="Arial"/>
        </w:rPr>
      </w:pPr>
      <w:r w:rsidRPr="00477C4B">
        <w:rPr>
          <w:rFonts w:ascii="Arial" w:hAnsi="Arial" w:cs="Arial"/>
        </w:rPr>
        <w:t>The Department of Health conducts both targeted and random audits of PIP practices each year to make sure that practices are meeting the requirements outlined in these guidelines. This may include practice visits or a review of practice documentation. If requested, practices must provide evidence to support their eligibility and claims for payment. Evidence of eligibility may include:</w:t>
      </w:r>
    </w:p>
    <w:p w:rsidR="00A53D85" w:rsidRPr="00477C4B" w:rsidRDefault="00A53D85" w:rsidP="00A53D85">
      <w:pPr>
        <w:pStyle w:val="ListParagraph"/>
        <w:numPr>
          <w:ilvl w:val="0"/>
          <w:numId w:val="5"/>
        </w:numPr>
        <w:ind w:left="284" w:hanging="284"/>
        <w:rPr>
          <w:rFonts w:ascii="Arial" w:hAnsi="Arial" w:cs="Arial"/>
          <w:sz w:val="22"/>
          <w:szCs w:val="22"/>
        </w:rPr>
      </w:pPr>
      <w:r w:rsidRPr="00477C4B">
        <w:rPr>
          <w:rFonts w:ascii="Arial" w:hAnsi="Arial" w:cs="Arial"/>
          <w:sz w:val="22"/>
          <w:szCs w:val="22"/>
        </w:rPr>
        <w:t>evidence of a practice’s valid HPI</w:t>
      </w:r>
      <w:r w:rsidRPr="00477C4B">
        <w:rPr>
          <w:rFonts w:ascii="Arial" w:hAnsi="Arial" w:cs="Arial"/>
        </w:rPr>
        <w:t>–</w:t>
      </w:r>
      <w:r w:rsidRPr="00477C4B">
        <w:rPr>
          <w:rFonts w:ascii="Arial" w:hAnsi="Arial" w:cs="Arial"/>
          <w:sz w:val="22"/>
          <w:szCs w:val="22"/>
        </w:rPr>
        <w:t>O</w:t>
      </w:r>
    </w:p>
    <w:p w:rsidR="00A53D85" w:rsidRPr="00477C4B" w:rsidRDefault="00A53D85" w:rsidP="00A53D85">
      <w:pPr>
        <w:pStyle w:val="ListParagraph"/>
        <w:numPr>
          <w:ilvl w:val="0"/>
          <w:numId w:val="5"/>
        </w:numPr>
        <w:ind w:left="284" w:hanging="284"/>
        <w:rPr>
          <w:rFonts w:ascii="Arial" w:hAnsi="Arial" w:cs="Arial"/>
          <w:sz w:val="22"/>
          <w:szCs w:val="22"/>
        </w:rPr>
      </w:pPr>
      <w:r w:rsidRPr="00477C4B">
        <w:rPr>
          <w:rFonts w:ascii="Arial" w:hAnsi="Arial" w:cs="Arial"/>
          <w:sz w:val="22"/>
          <w:szCs w:val="22"/>
        </w:rPr>
        <w:t>a copy of the written policy for electronically recording the majority of diagnoses for active patients using a nationally recognised disease classification or terminology system, and</w:t>
      </w:r>
    </w:p>
    <w:p w:rsidR="00A53D85" w:rsidRPr="00477C4B" w:rsidRDefault="00A53D85" w:rsidP="00A53D85">
      <w:pPr>
        <w:pStyle w:val="ListParagraph"/>
        <w:numPr>
          <w:ilvl w:val="0"/>
          <w:numId w:val="5"/>
        </w:numPr>
        <w:ind w:left="284" w:hanging="284"/>
        <w:rPr>
          <w:rFonts w:ascii="Arial" w:hAnsi="Arial" w:cs="Arial"/>
          <w:sz w:val="22"/>
          <w:szCs w:val="22"/>
        </w:rPr>
      </w:pPr>
      <w:r w:rsidRPr="00477C4B">
        <w:rPr>
          <w:rFonts w:ascii="Arial" w:hAnsi="Arial" w:cs="Arial"/>
          <w:sz w:val="22"/>
          <w:szCs w:val="22"/>
        </w:rPr>
        <w:t xml:space="preserve">evidence that the practice’s secure messaging program is listed on the </w:t>
      </w:r>
      <w:r w:rsidRPr="00477C4B">
        <w:rPr>
          <w:rFonts w:ascii="Arial" w:hAnsi="Arial" w:cs="Arial"/>
          <w:i/>
          <w:sz w:val="22"/>
          <w:szCs w:val="22"/>
        </w:rPr>
        <w:t>PIP Digital Health Product Register for Secure Message Delivery</w:t>
      </w:r>
      <w:r w:rsidRPr="00477C4B">
        <w:rPr>
          <w:rFonts w:ascii="Arial" w:hAnsi="Arial" w:cs="Arial"/>
          <w:sz w:val="22"/>
          <w:szCs w:val="22"/>
        </w:rPr>
        <w:t>.</w:t>
      </w:r>
    </w:p>
    <w:p w:rsidR="00A53D85" w:rsidRPr="00477C4B" w:rsidRDefault="00A53D85" w:rsidP="00A53D85">
      <w:pPr>
        <w:ind w:left="0"/>
        <w:rPr>
          <w:rFonts w:ascii="Arial" w:eastAsiaTheme="minorHAnsi" w:hAnsi="Arial" w:cs="Arial"/>
          <w:color w:val="auto"/>
        </w:rPr>
      </w:pPr>
      <w:r w:rsidRPr="00477C4B">
        <w:rPr>
          <w:rFonts w:ascii="Arial" w:hAnsi="Arial" w:cs="Arial"/>
        </w:rPr>
        <w:t>Practices will need to have policies in place to meet their minimum shared health summary upload targets.  Where a practice does not believe that they will meet all eligibility requirements by the point-in-time, they must Opt out or withdraw from the eHealth Incentive.</w:t>
      </w:r>
    </w:p>
    <w:p w:rsidR="00A53D85" w:rsidRPr="00477C4B" w:rsidRDefault="00A53D85" w:rsidP="00A53D85">
      <w:pPr>
        <w:rPr>
          <w:rFonts w:ascii="Arial" w:hAnsi="Arial" w:cs="Arial"/>
        </w:rPr>
      </w:pPr>
      <w:r w:rsidRPr="00477C4B">
        <w:rPr>
          <w:rFonts w:ascii="Arial" w:hAnsi="Arial" w:cs="Arial"/>
        </w:rPr>
        <w:t>For the purpose of the Department of Health’s audit programs, practices must retain practice documentation for a period of six years. If a practice is unable to provide evidence to verify that it meets the eligibility requirements, or to substantiate claims, Health may seek to recover past payments.</w:t>
      </w:r>
    </w:p>
    <w:p w:rsidR="00A53D85" w:rsidRPr="00477C4B" w:rsidRDefault="00A53D85" w:rsidP="00A53D85">
      <w:pPr>
        <w:pStyle w:val="Heading1"/>
        <w:rPr>
          <w:rFonts w:ascii="Arial" w:hAnsi="Arial" w:cs="Arial"/>
        </w:rPr>
      </w:pPr>
      <w:r w:rsidRPr="00477C4B">
        <w:rPr>
          <w:rFonts w:ascii="Arial" w:hAnsi="Arial" w:cs="Arial"/>
        </w:rPr>
        <w:t>For more information</w:t>
      </w:r>
    </w:p>
    <w:p w:rsidR="00A53D85" w:rsidRPr="00477C4B" w:rsidRDefault="00A53D85" w:rsidP="00A53D85">
      <w:pPr>
        <w:rPr>
          <w:rFonts w:ascii="Arial" w:hAnsi="Arial" w:cs="Arial"/>
        </w:rPr>
      </w:pPr>
      <w:r w:rsidRPr="00477C4B">
        <w:rPr>
          <w:rFonts w:ascii="Arial" w:hAnsi="Arial" w:cs="Arial"/>
          <w:b/>
        </w:rPr>
        <w:t>Online</w:t>
      </w:r>
      <w:r w:rsidRPr="00477C4B">
        <w:rPr>
          <w:rFonts w:ascii="Arial" w:hAnsi="Arial" w:cs="Arial"/>
        </w:rPr>
        <w:t>:</w:t>
      </w:r>
      <w:r w:rsidRPr="00477C4B">
        <w:rPr>
          <w:rFonts w:ascii="Arial" w:hAnsi="Arial" w:cs="Arial"/>
        </w:rPr>
        <w:tab/>
      </w:r>
      <w:r w:rsidRPr="00477C4B">
        <w:rPr>
          <w:rFonts w:ascii="Arial" w:hAnsi="Arial" w:cs="Arial"/>
          <w:b/>
        </w:rPr>
        <w:t>humanservices.gov.au/pip</w:t>
      </w:r>
    </w:p>
    <w:p w:rsidR="00A53D85" w:rsidRPr="00477C4B" w:rsidRDefault="00A53D85" w:rsidP="00A53D85">
      <w:pPr>
        <w:rPr>
          <w:rFonts w:ascii="Arial" w:hAnsi="Arial" w:cs="Arial"/>
        </w:rPr>
      </w:pPr>
      <w:r w:rsidRPr="00477C4B">
        <w:rPr>
          <w:rFonts w:ascii="Arial" w:hAnsi="Arial" w:cs="Arial"/>
          <w:b/>
        </w:rPr>
        <w:t>Email</w:t>
      </w:r>
      <w:r w:rsidRPr="00477C4B">
        <w:rPr>
          <w:rFonts w:ascii="Arial" w:hAnsi="Arial" w:cs="Arial"/>
        </w:rPr>
        <w:t>:</w:t>
      </w:r>
      <w:r w:rsidRPr="00477C4B">
        <w:rPr>
          <w:rFonts w:ascii="Arial" w:hAnsi="Arial" w:cs="Arial"/>
        </w:rPr>
        <w:tab/>
        <w:t>pip@humanservices.gov.au</w:t>
      </w:r>
    </w:p>
    <w:p w:rsidR="00A53D85" w:rsidRPr="00477C4B" w:rsidRDefault="00A53D85" w:rsidP="00A53D85">
      <w:pPr>
        <w:rPr>
          <w:rFonts w:ascii="Arial" w:hAnsi="Arial" w:cs="Arial"/>
        </w:rPr>
      </w:pPr>
      <w:r w:rsidRPr="00477C4B">
        <w:rPr>
          <w:rFonts w:ascii="Arial" w:hAnsi="Arial" w:cs="Arial"/>
          <w:b/>
        </w:rPr>
        <w:t>Call</w:t>
      </w:r>
      <w:r w:rsidRPr="00477C4B">
        <w:rPr>
          <w:rFonts w:ascii="Arial" w:hAnsi="Arial" w:cs="Arial"/>
        </w:rPr>
        <w:t>:</w:t>
      </w:r>
      <w:r w:rsidRPr="00477C4B">
        <w:rPr>
          <w:rFonts w:ascii="Arial" w:hAnsi="Arial" w:cs="Arial"/>
        </w:rPr>
        <w:tab/>
      </w:r>
      <w:r w:rsidRPr="00477C4B">
        <w:rPr>
          <w:rFonts w:ascii="Arial" w:hAnsi="Arial" w:cs="Arial"/>
          <w:b/>
        </w:rPr>
        <w:t xml:space="preserve">1800 222 032 </w:t>
      </w:r>
      <w:r w:rsidRPr="00477C4B">
        <w:rPr>
          <w:rFonts w:ascii="Arial" w:hAnsi="Arial" w:cs="Arial"/>
        </w:rPr>
        <w:t>(call charges may apply).</w:t>
      </w:r>
    </w:p>
    <w:p w:rsidR="00A53D85" w:rsidRPr="00477C4B" w:rsidRDefault="00A53D85" w:rsidP="00A53D85">
      <w:pPr>
        <w:pStyle w:val="Heading2"/>
        <w:rPr>
          <w:rFonts w:ascii="Arial" w:hAnsi="Arial" w:cs="Arial"/>
        </w:rPr>
      </w:pPr>
      <w:r w:rsidRPr="00477C4B">
        <w:rPr>
          <w:rFonts w:ascii="Arial" w:hAnsi="Arial" w:cs="Arial"/>
        </w:rPr>
        <w:t>Disclaimer</w:t>
      </w:r>
    </w:p>
    <w:p w:rsidR="00A53D85" w:rsidRPr="00477C4B" w:rsidRDefault="00A53D85" w:rsidP="00A53D85">
      <w:pPr>
        <w:ind w:left="-5" w:right="269"/>
        <w:rPr>
          <w:rFonts w:ascii="Arial" w:hAnsi="Arial" w:cs="Arial"/>
        </w:rPr>
      </w:pPr>
      <w:r w:rsidRPr="00477C4B">
        <w:rPr>
          <w:rFonts w:ascii="Arial" w:hAnsi="Arial" w:cs="Arial"/>
        </w:rPr>
        <w:t>These guidelines are for information purposes and provide the basis upon which PIP payments are made. While it is intended that the Australian Government will make payments as set out in these guidelines, the making of payments is at its sole discretion. The Australian Government may alter arrangements for the Practice Incentives Program at any time and without notice.</w:t>
      </w:r>
    </w:p>
    <w:p w:rsidR="00A53D85" w:rsidRPr="00477C4B" w:rsidRDefault="00A53D85" w:rsidP="00A53D85">
      <w:pPr>
        <w:ind w:left="-5" w:right="277"/>
        <w:rPr>
          <w:rFonts w:ascii="Arial" w:hAnsi="Arial" w:cs="Arial"/>
        </w:rPr>
      </w:pPr>
      <w:r w:rsidRPr="00477C4B">
        <w:rPr>
          <w:rFonts w:ascii="Arial" w:hAnsi="Arial" w:cs="Arial"/>
        </w:rPr>
        <w:t>The Australian Government does not accept any legal liability or responsibility for any injury, loss or damage incurred by the use of, reliance on, or interpretation of the information provided in these guidelines.</w:t>
      </w:r>
    </w:p>
    <w:p w:rsidR="00A53D85" w:rsidRPr="00477C4B" w:rsidRDefault="00A53D85" w:rsidP="00A53D85">
      <w:pPr>
        <w:pStyle w:val="CommentText"/>
        <w:rPr>
          <w:rFonts w:ascii="Arial" w:hAnsi="Arial" w:cs="Arial"/>
        </w:rPr>
      </w:pPr>
      <w:r w:rsidRPr="00477C4B">
        <w:rPr>
          <w:rFonts w:ascii="Arial" w:hAnsi="Arial" w:cs="Arial"/>
        </w:rPr>
        <w:t xml:space="preserve"> </w:t>
      </w:r>
    </w:p>
    <w:p w:rsidR="00312BA5" w:rsidRDefault="00431A46"/>
    <w:sectPr w:rsidR="00312BA5" w:rsidSect="00A53D85">
      <w:headerReference w:type="default" r:id="rId9"/>
      <w:footerReference w:type="default" r:id="rId10"/>
      <w:pgSz w:w="11906" w:h="16838"/>
      <w:pgMar w:top="851" w:right="613" w:bottom="1247" w:left="907" w:header="720" w:footer="720" w:gutter="0"/>
      <w:cols w:space="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A46" w:rsidRDefault="00431A46">
      <w:pPr>
        <w:spacing w:before="0" w:after="0"/>
      </w:pPr>
      <w:r>
        <w:separator/>
      </w:r>
    </w:p>
  </w:endnote>
  <w:endnote w:type="continuationSeparator" w:id="0">
    <w:p w:rsidR="00431A46" w:rsidRDefault="00431A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7165121"/>
      <w:docPartObj>
        <w:docPartGallery w:val="Page Numbers (Bottom of Page)"/>
        <w:docPartUnique/>
      </w:docPartObj>
    </w:sdtPr>
    <w:sdtEndPr>
      <w:rPr>
        <w:noProof/>
      </w:rPr>
    </w:sdtEndPr>
    <w:sdtContent>
      <w:p w:rsidR="000C1082" w:rsidRDefault="00431A46">
        <w:pPr>
          <w:pStyle w:val="Footer"/>
        </w:pPr>
      </w:p>
      <w:p w:rsidR="000C1082" w:rsidRDefault="00A53D85">
        <w:pPr>
          <w:pStyle w:val="Footer"/>
        </w:pPr>
        <w:r>
          <w:fldChar w:fldCharType="begin"/>
        </w:r>
        <w:r>
          <w:instrText xml:space="preserve"> PAGE   \* MERGEFORMAT </w:instrText>
        </w:r>
        <w:r>
          <w:fldChar w:fldCharType="separate"/>
        </w:r>
        <w:r w:rsidR="005636DB">
          <w:rPr>
            <w:noProof/>
          </w:rPr>
          <w:t>1</w:t>
        </w:r>
        <w:r>
          <w:rPr>
            <w:noProof/>
          </w:rPr>
          <w:fldChar w:fldCharType="end"/>
        </w:r>
      </w:p>
    </w:sdtContent>
  </w:sdt>
  <w:p w:rsidR="00B1654B" w:rsidRDefault="00431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A46" w:rsidRDefault="00431A46">
      <w:pPr>
        <w:spacing w:before="0" w:after="0"/>
      </w:pPr>
      <w:r>
        <w:separator/>
      </w:r>
    </w:p>
  </w:footnote>
  <w:footnote w:type="continuationSeparator" w:id="0">
    <w:p w:rsidR="00431A46" w:rsidRDefault="00431A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54B" w:rsidRDefault="00431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60D7"/>
    <w:multiLevelType w:val="hybridMultilevel"/>
    <w:tmpl w:val="93A80460"/>
    <w:lvl w:ilvl="0" w:tplc="58F2A0B6">
      <w:start w:val="1"/>
      <w:numFmt w:val="lowerRoman"/>
      <w:lvlText w:val="(%1)"/>
      <w:lvlJc w:val="left"/>
      <w:pPr>
        <w:ind w:left="28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1" w:tplc="17A69040">
      <w:start w:val="1"/>
      <w:numFmt w:val="lowerLetter"/>
      <w:lvlText w:val="%2"/>
      <w:lvlJc w:val="left"/>
      <w:pPr>
        <w:ind w:left="108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2" w:tplc="63DAF8B2">
      <w:start w:val="1"/>
      <w:numFmt w:val="lowerRoman"/>
      <w:lvlText w:val="%3"/>
      <w:lvlJc w:val="left"/>
      <w:pPr>
        <w:ind w:left="180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3" w:tplc="5AD4035E">
      <w:start w:val="1"/>
      <w:numFmt w:val="decimal"/>
      <w:lvlText w:val="%4"/>
      <w:lvlJc w:val="left"/>
      <w:pPr>
        <w:ind w:left="252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4" w:tplc="7CE856BA">
      <w:start w:val="1"/>
      <w:numFmt w:val="lowerLetter"/>
      <w:lvlText w:val="%5"/>
      <w:lvlJc w:val="left"/>
      <w:pPr>
        <w:ind w:left="324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5" w:tplc="B478ED18">
      <w:start w:val="1"/>
      <w:numFmt w:val="lowerRoman"/>
      <w:lvlText w:val="%6"/>
      <w:lvlJc w:val="left"/>
      <w:pPr>
        <w:ind w:left="396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6" w:tplc="5FDCF088">
      <w:start w:val="1"/>
      <w:numFmt w:val="decimal"/>
      <w:lvlText w:val="%7"/>
      <w:lvlJc w:val="left"/>
      <w:pPr>
        <w:ind w:left="468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7" w:tplc="157C91F2">
      <w:start w:val="1"/>
      <w:numFmt w:val="lowerLetter"/>
      <w:lvlText w:val="%8"/>
      <w:lvlJc w:val="left"/>
      <w:pPr>
        <w:ind w:left="540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8" w:tplc="986CD2C0">
      <w:start w:val="1"/>
      <w:numFmt w:val="lowerRoman"/>
      <w:lvlText w:val="%9"/>
      <w:lvlJc w:val="left"/>
      <w:pPr>
        <w:ind w:left="6120"/>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F4A1D14"/>
    <w:multiLevelType w:val="hybridMultilevel"/>
    <w:tmpl w:val="A56EF282"/>
    <w:lvl w:ilvl="0" w:tplc="12F235EE">
      <w:start w:val="1"/>
      <w:numFmt w:val="bullet"/>
      <w:lvlText w:val="•"/>
      <w:lvlJc w:val="left"/>
      <w:pPr>
        <w:ind w:left="227"/>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6F0A5588">
      <w:start w:val="1"/>
      <w:numFmt w:val="bullet"/>
      <w:lvlText w:val="–"/>
      <w:lvlJc w:val="left"/>
      <w:pPr>
        <w:ind w:left="454"/>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2" w:tplc="9B684E30">
      <w:start w:val="1"/>
      <w:numFmt w:val="bullet"/>
      <w:lvlText w:val="▪"/>
      <w:lvlJc w:val="left"/>
      <w:pPr>
        <w:ind w:left="13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057829B4">
      <w:start w:val="1"/>
      <w:numFmt w:val="bullet"/>
      <w:lvlText w:val="•"/>
      <w:lvlJc w:val="left"/>
      <w:pPr>
        <w:ind w:left="20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4DC258FA">
      <w:start w:val="1"/>
      <w:numFmt w:val="bullet"/>
      <w:lvlText w:val="o"/>
      <w:lvlJc w:val="left"/>
      <w:pPr>
        <w:ind w:left="274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D54C678A">
      <w:start w:val="1"/>
      <w:numFmt w:val="bullet"/>
      <w:lvlText w:val="▪"/>
      <w:lvlJc w:val="left"/>
      <w:pPr>
        <w:ind w:left="346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8324983C">
      <w:start w:val="1"/>
      <w:numFmt w:val="bullet"/>
      <w:lvlText w:val="•"/>
      <w:lvlJc w:val="left"/>
      <w:pPr>
        <w:ind w:left="418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D988CA14">
      <w:start w:val="1"/>
      <w:numFmt w:val="bullet"/>
      <w:lvlText w:val="o"/>
      <w:lvlJc w:val="left"/>
      <w:pPr>
        <w:ind w:left="490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E35CCF56">
      <w:start w:val="1"/>
      <w:numFmt w:val="bullet"/>
      <w:lvlText w:val="▪"/>
      <w:lvlJc w:val="left"/>
      <w:pPr>
        <w:ind w:left="5627"/>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2" w15:restartNumberingAfterBreak="0">
    <w:nsid w:val="2FA80F51"/>
    <w:multiLevelType w:val="hybridMultilevel"/>
    <w:tmpl w:val="6E1A3D80"/>
    <w:lvl w:ilvl="0" w:tplc="DA9AC376">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DB563D"/>
    <w:multiLevelType w:val="hybridMultilevel"/>
    <w:tmpl w:val="D7985DA8"/>
    <w:lvl w:ilvl="0" w:tplc="8808246C">
      <w:start w:val="1"/>
      <w:numFmt w:val="bullet"/>
      <w:lvlText w:val=""/>
      <w:lvlJc w:val="left"/>
      <w:pPr>
        <w:ind w:left="770" w:hanging="360"/>
      </w:pPr>
      <w:rPr>
        <w:rFonts w:ascii="Symbol" w:hAnsi="Symbol" w:hint="default"/>
        <w:sz w:val="20"/>
        <w:szCs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 w15:restartNumberingAfterBreak="0">
    <w:nsid w:val="5FB90FDA"/>
    <w:multiLevelType w:val="hybridMultilevel"/>
    <w:tmpl w:val="2F24C8DE"/>
    <w:lvl w:ilvl="0" w:tplc="BC3CBAC2">
      <w:start w:val="1"/>
      <w:numFmt w:val="bullet"/>
      <w:lvlText w:val="•"/>
      <w:lvlJc w:val="left"/>
      <w:pPr>
        <w:ind w:left="227"/>
      </w:pPr>
      <w:rPr>
        <w:rFonts w:ascii="Calibri" w:eastAsia="Calibri" w:hAnsi="Calibri" w:cs="Calibri"/>
        <w:b w:val="0"/>
        <w:i w:val="0"/>
        <w:strike w:val="0"/>
        <w:dstrike w:val="0"/>
        <w:color w:val="000000" w:themeColor="text1"/>
        <w:sz w:val="22"/>
        <w:szCs w:val="22"/>
        <w:u w:val="none" w:color="000000"/>
        <w:bdr w:val="none" w:sz="0" w:space="0" w:color="auto"/>
        <w:shd w:val="clear" w:color="auto" w:fill="auto"/>
        <w:vertAlign w:val="baseline"/>
      </w:rPr>
    </w:lvl>
    <w:lvl w:ilvl="1" w:tplc="67D24446">
      <w:start w:val="1"/>
      <w:numFmt w:val="bullet"/>
      <w:lvlText w:val="o"/>
      <w:lvlJc w:val="left"/>
      <w:pPr>
        <w:ind w:left="1080"/>
      </w:pPr>
      <w:rPr>
        <w:rFonts w:ascii="Calibri" w:eastAsia="Calibri" w:hAnsi="Calibri" w:cs="Calibri"/>
        <w:b w:val="0"/>
        <w:i w:val="0"/>
        <w:strike w:val="0"/>
        <w:dstrike w:val="0"/>
        <w:color w:val="auto"/>
        <w:sz w:val="20"/>
        <w:szCs w:val="20"/>
        <w:u w:val="none" w:color="000000"/>
        <w:bdr w:val="none" w:sz="0" w:space="0" w:color="auto"/>
        <w:shd w:val="clear" w:color="auto" w:fill="auto"/>
        <w:vertAlign w:val="baseline"/>
      </w:rPr>
    </w:lvl>
    <w:lvl w:ilvl="2" w:tplc="387E84A4">
      <w:start w:val="1"/>
      <w:numFmt w:val="bullet"/>
      <w:lvlText w:val="▪"/>
      <w:lvlJc w:val="left"/>
      <w:pPr>
        <w:ind w:left="18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3" w:tplc="F9DAC4A8">
      <w:start w:val="1"/>
      <w:numFmt w:val="bullet"/>
      <w:lvlText w:val="•"/>
      <w:lvlJc w:val="left"/>
      <w:pPr>
        <w:ind w:left="25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4" w:tplc="0B4EF5F2">
      <w:start w:val="1"/>
      <w:numFmt w:val="bullet"/>
      <w:lvlText w:val="o"/>
      <w:lvlJc w:val="left"/>
      <w:pPr>
        <w:ind w:left="324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5" w:tplc="D662229E">
      <w:start w:val="1"/>
      <w:numFmt w:val="bullet"/>
      <w:lvlText w:val="▪"/>
      <w:lvlJc w:val="left"/>
      <w:pPr>
        <w:ind w:left="396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6" w:tplc="6350614A">
      <w:start w:val="1"/>
      <w:numFmt w:val="bullet"/>
      <w:lvlText w:val="•"/>
      <w:lvlJc w:val="left"/>
      <w:pPr>
        <w:ind w:left="468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7" w:tplc="C7C45176">
      <w:start w:val="1"/>
      <w:numFmt w:val="bullet"/>
      <w:lvlText w:val="o"/>
      <w:lvlJc w:val="left"/>
      <w:pPr>
        <w:ind w:left="540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lvl w:ilvl="8" w:tplc="96BAFD24">
      <w:start w:val="1"/>
      <w:numFmt w:val="bullet"/>
      <w:lvlText w:val="▪"/>
      <w:lvlJc w:val="left"/>
      <w:pPr>
        <w:ind w:left="6120"/>
      </w:pPr>
      <w:rPr>
        <w:rFonts w:ascii="Calibri" w:eastAsia="Calibri" w:hAnsi="Calibri" w:cs="Calibri"/>
        <w:b w:val="0"/>
        <w:i w:val="0"/>
        <w:strike w:val="0"/>
        <w:dstrike w:val="0"/>
        <w:color w:val="005D44"/>
        <w:sz w:val="20"/>
        <w:szCs w:val="20"/>
        <w:u w:val="none" w:color="000000"/>
        <w:bdr w:val="none" w:sz="0" w:space="0" w:color="auto"/>
        <w:shd w:val="clear" w:color="auto" w:fill="auto"/>
        <w:vertAlign w:val="baseline"/>
      </w:rPr>
    </w:lvl>
  </w:abstractNum>
  <w:abstractNum w:abstractNumId="5" w15:restartNumberingAfterBreak="0">
    <w:nsid w:val="69325F3D"/>
    <w:multiLevelType w:val="hybridMultilevel"/>
    <w:tmpl w:val="2CCCDC60"/>
    <w:lvl w:ilvl="0" w:tplc="D8AE329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E7770B"/>
    <w:multiLevelType w:val="hybridMultilevel"/>
    <w:tmpl w:val="AA14424E"/>
    <w:lvl w:ilvl="0" w:tplc="2F540360">
      <w:start w:val="1"/>
      <w:numFmt w:val="bullet"/>
      <w:lvlText w:val=""/>
      <w:lvlJc w:val="left"/>
      <w:pPr>
        <w:ind w:left="770" w:hanging="360"/>
      </w:pPr>
      <w:rPr>
        <w:rFonts w:ascii="Symbol" w:hAnsi="Symbol" w:hint="default"/>
        <w:sz w:val="20"/>
        <w:szCs w:val="20"/>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7" w15:restartNumberingAfterBreak="0">
    <w:nsid w:val="7BD56D2B"/>
    <w:multiLevelType w:val="hybridMultilevel"/>
    <w:tmpl w:val="93A80460"/>
    <w:lvl w:ilvl="0" w:tplc="58F2A0B6">
      <w:start w:val="1"/>
      <w:numFmt w:val="lowerRoman"/>
      <w:lvlText w:val="(%1)"/>
      <w:lvlJc w:val="left"/>
      <w:pPr>
        <w:ind w:left="568"/>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1" w:tplc="17A69040">
      <w:start w:val="1"/>
      <w:numFmt w:val="lowerLetter"/>
      <w:lvlText w:val="%2"/>
      <w:lvlJc w:val="left"/>
      <w:pPr>
        <w:ind w:left="136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2" w:tplc="63DAF8B2">
      <w:start w:val="1"/>
      <w:numFmt w:val="lowerRoman"/>
      <w:lvlText w:val="%3"/>
      <w:lvlJc w:val="left"/>
      <w:pPr>
        <w:ind w:left="208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3" w:tplc="5AD4035E">
      <w:start w:val="1"/>
      <w:numFmt w:val="decimal"/>
      <w:lvlText w:val="%4"/>
      <w:lvlJc w:val="left"/>
      <w:pPr>
        <w:ind w:left="280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4" w:tplc="7CE856BA">
      <w:start w:val="1"/>
      <w:numFmt w:val="lowerLetter"/>
      <w:lvlText w:val="%5"/>
      <w:lvlJc w:val="left"/>
      <w:pPr>
        <w:ind w:left="352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5" w:tplc="B478ED18">
      <w:start w:val="1"/>
      <w:numFmt w:val="lowerRoman"/>
      <w:lvlText w:val="%6"/>
      <w:lvlJc w:val="left"/>
      <w:pPr>
        <w:ind w:left="424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6" w:tplc="5FDCF088">
      <w:start w:val="1"/>
      <w:numFmt w:val="decimal"/>
      <w:lvlText w:val="%7"/>
      <w:lvlJc w:val="left"/>
      <w:pPr>
        <w:ind w:left="496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7" w:tplc="157C91F2">
      <w:start w:val="1"/>
      <w:numFmt w:val="lowerLetter"/>
      <w:lvlText w:val="%8"/>
      <w:lvlJc w:val="left"/>
      <w:pPr>
        <w:ind w:left="568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lvl w:ilvl="8" w:tplc="986CD2C0">
      <w:start w:val="1"/>
      <w:numFmt w:val="lowerRoman"/>
      <w:lvlText w:val="%9"/>
      <w:lvlJc w:val="left"/>
      <w:pPr>
        <w:ind w:left="6404"/>
      </w:pPr>
      <w:rPr>
        <w:rFonts w:ascii="Calibri" w:eastAsia="Calibri" w:hAnsi="Calibri" w:cs="Calibri"/>
        <w:b w:val="0"/>
        <w:i/>
        <w:iCs/>
        <w:strike w:val="0"/>
        <w:dstrike w:val="0"/>
        <w:color w:val="181717"/>
        <w:sz w:val="20"/>
        <w:szCs w:val="20"/>
        <w:u w:val="none" w:color="000000"/>
        <w:bdr w:val="none" w:sz="0" w:space="0" w:color="auto"/>
        <w:shd w:val="clear" w:color="auto" w:fill="auto"/>
        <w:vertAlign w:val="baseline"/>
      </w:rPr>
    </w:lvl>
  </w:abstractNum>
  <w:num w:numId="1">
    <w:abstractNumId w:val="4"/>
  </w:num>
  <w:num w:numId="2">
    <w:abstractNumId w:val="7"/>
  </w:num>
  <w:num w:numId="3">
    <w:abstractNumId w:val="1"/>
  </w:num>
  <w:num w:numId="4">
    <w:abstractNumId w:val="0"/>
  </w:num>
  <w:num w:numId="5">
    <w:abstractNumId w:val="5"/>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85"/>
    <w:rsid w:val="00067985"/>
    <w:rsid w:val="002678DF"/>
    <w:rsid w:val="00431A46"/>
    <w:rsid w:val="005636DB"/>
    <w:rsid w:val="00607760"/>
    <w:rsid w:val="00A53D85"/>
    <w:rsid w:val="00BB3A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28EA6-BBCC-47A3-832E-B6C251FD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D85"/>
    <w:pPr>
      <w:spacing w:before="120" w:after="120" w:line="240" w:lineRule="auto"/>
      <w:ind w:left="11" w:right="340" w:hanging="11"/>
    </w:pPr>
    <w:rPr>
      <w:rFonts w:ascii="Calibri" w:eastAsia="Calibri" w:hAnsi="Calibri" w:cs="Calibri"/>
      <w:color w:val="181717"/>
      <w:lang w:eastAsia="en-AU"/>
    </w:rPr>
  </w:style>
  <w:style w:type="paragraph" w:styleId="Heading1">
    <w:name w:val="heading 1"/>
    <w:next w:val="Normal"/>
    <w:link w:val="Heading1Char"/>
    <w:autoRedefine/>
    <w:uiPriority w:val="9"/>
    <w:unhideWhenUsed/>
    <w:qFormat/>
    <w:rsid w:val="00A53D85"/>
    <w:pPr>
      <w:keepNext/>
      <w:keepLines/>
      <w:spacing w:before="120" w:after="120" w:line="240" w:lineRule="auto"/>
      <w:ind w:left="-5" w:hanging="11"/>
      <w:outlineLvl w:val="0"/>
    </w:pPr>
    <w:rPr>
      <w:rFonts w:ascii="Times New Roman" w:eastAsia="Times New Roman" w:hAnsi="Times New Roman" w:cs="Times New Roman"/>
      <w:b/>
      <w:sz w:val="30"/>
      <w:lang w:eastAsia="en-AU"/>
    </w:rPr>
  </w:style>
  <w:style w:type="paragraph" w:styleId="Heading2">
    <w:name w:val="heading 2"/>
    <w:next w:val="Normal"/>
    <w:link w:val="Heading2Char"/>
    <w:autoRedefine/>
    <w:uiPriority w:val="9"/>
    <w:unhideWhenUsed/>
    <w:qFormat/>
    <w:rsid w:val="00A53D85"/>
    <w:pPr>
      <w:keepNext/>
      <w:keepLines/>
      <w:spacing w:after="120" w:line="240" w:lineRule="auto"/>
      <w:ind w:left="11" w:hanging="11"/>
      <w:outlineLvl w:val="1"/>
    </w:pPr>
    <w:rPr>
      <w:rFonts w:ascii="Calibri" w:eastAsia="Calibri" w:hAnsi="Calibri" w:cs="Calibri"/>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D85"/>
    <w:rPr>
      <w:rFonts w:ascii="Times New Roman" w:eastAsia="Times New Roman" w:hAnsi="Times New Roman" w:cs="Times New Roman"/>
      <w:b/>
      <w:sz w:val="30"/>
      <w:lang w:eastAsia="en-AU"/>
    </w:rPr>
  </w:style>
  <w:style w:type="character" w:customStyle="1" w:styleId="Heading2Char">
    <w:name w:val="Heading 2 Char"/>
    <w:basedOn w:val="DefaultParagraphFont"/>
    <w:link w:val="Heading2"/>
    <w:uiPriority w:val="9"/>
    <w:rsid w:val="00A53D85"/>
    <w:rPr>
      <w:rFonts w:ascii="Calibri" w:eastAsia="Calibri" w:hAnsi="Calibri" w:cs="Calibri"/>
      <w:b/>
      <w:sz w:val="24"/>
      <w:lang w:eastAsia="en-AU"/>
    </w:rPr>
  </w:style>
  <w:style w:type="paragraph" w:styleId="CommentText">
    <w:name w:val="annotation text"/>
    <w:basedOn w:val="Normal"/>
    <w:link w:val="CommentTextChar"/>
    <w:unhideWhenUsed/>
    <w:rsid w:val="00A53D85"/>
    <w:rPr>
      <w:szCs w:val="20"/>
    </w:rPr>
  </w:style>
  <w:style w:type="character" w:customStyle="1" w:styleId="CommentTextChar">
    <w:name w:val="Comment Text Char"/>
    <w:basedOn w:val="DefaultParagraphFont"/>
    <w:link w:val="CommentText"/>
    <w:rsid w:val="00A53D85"/>
    <w:rPr>
      <w:rFonts w:ascii="Calibri" w:eastAsia="Calibri" w:hAnsi="Calibri" w:cs="Calibri"/>
      <w:color w:val="181717"/>
      <w:szCs w:val="20"/>
      <w:lang w:eastAsia="en-AU"/>
    </w:rPr>
  </w:style>
  <w:style w:type="paragraph" w:styleId="Title">
    <w:name w:val="Title"/>
    <w:basedOn w:val="Normal"/>
    <w:next w:val="Normal"/>
    <w:link w:val="TitleChar"/>
    <w:uiPriority w:val="10"/>
    <w:qFormat/>
    <w:rsid w:val="00A53D85"/>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53D85"/>
    <w:rPr>
      <w:rFonts w:asciiTheme="majorHAnsi" w:eastAsiaTheme="majorEastAsia" w:hAnsiTheme="majorHAnsi" w:cstheme="majorBidi"/>
      <w:spacing w:val="-10"/>
      <w:kern w:val="28"/>
      <w:sz w:val="56"/>
      <w:szCs w:val="56"/>
      <w:lang w:eastAsia="en-AU"/>
    </w:rPr>
  </w:style>
  <w:style w:type="paragraph" w:styleId="ListParagraph">
    <w:name w:val="List Paragraph"/>
    <w:aliases w:val="Body text,Bullet Point,Bullet point,Bullet- First level,Bulletr List Paragraph,Content descriptions,Figure_name,List NUmber,List Paragraph1,List Paragraph11,List Paragraph2,Listenabsatz1,Numbered Indented Text,Recommendation,lp1"/>
    <w:basedOn w:val="Normal"/>
    <w:link w:val="ListParagraphChar"/>
    <w:uiPriority w:val="34"/>
    <w:qFormat/>
    <w:rsid w:val="00A53D85"/>
    <w:pPr>
      <w:spacing w:before="0" w:after="0"/>
      <w:ind w:left="720" w:right="0" w:firstLine="0"/>
      <w:contextualSpacing/>
    </w:pPr>
    <w:rPr>
      <w:rFonts w:ascii="Times New Roman" w:eastAsia="Times New Roman" w:hAnsi="Times New Roman" w:cs="Times New Roman"/>
      <w:color w:val="auto"/>
      <w:sz w:val="24"/>
      <w:szCs w:val="20"/>
    </w:rPr>
  </w:style>
  <w:style w:type="character" w:customStyle="1" w:styleId="ListParagraphChar">
    <w:name w:val="List Paragraph Char"/>
    <w:aliases w:val="Body text Char,Bullet Point Char,Bullet point Char,Bullet- First level Char,Bulletr List Paragraph Char,Content descriptions Char,Figure_name Char,List NUmber Char,List Paragraph1 Char,List Paragraph11 Char,List Paragraph2 Char"/>
    <w:basedOn w:val="DefaultParagraphFont"/>
    <w:link w:val="ListParagraph"/>
    <w:uiPriority w:val="34"/>
    <w:locked/>
    <w:rsid w:val="00A53D85"/>
    <w:rPr>
      <w:rFonts w:ascii="Times New Roman" w:eastAsia="Times New Roman" w:hAnsi="Times New Roman" w:cs="Times New Roman"/>
      <w:sz w:val="24"/>
      <w:szCs w:val="20"/>
      <w:lang w:eastAsia="en-AU"/>
    </w:rPr>
  </w:style>
  <w:style w:type="character" w:styleId="Hyperlink">
    <w:name w:val="Hyperlink"/>
    <w:basedOn w:val="DefaultParagraphFont"/>
    <w:uiPriority w:val="99"/>
    <w:unhideWhenUsed/>
    <w:rsid w:val="00A53D85"/>
    <w:rPr>
      <w:strike w:val="0"/>
      <w:dstrike w:val="0"/>
      <w:color w:val="0075BE"/>
      <w:u w:val="none"/>
      <w:effect w:val="none"/>
    </w:rPr>
  </w:style>
  <w:style w:type="paragraph" w:styleId="Header">
    <w:name w:val="header"/>
    <w:basedOn w:val="Normal"/>
    <w:link w:val="HeaderChar"/>
    <w:uiPriority w:val="99"/>
    <w:unhideWhenUsed/>
    <w:rsid w:val="00A53D85"/>
    <w:pPr>
      <w:tabs>
        <w:tab w:val="center" w:pos="4513"/>
        <w:tab w:val="right" w:pos="9026"/>
      </w:tabs>
      <w:spacing w:before="0" w:after="0"/>
    </w:pPr>
  </w:style>
  <w:style w:type="character" w:customStyle="1" w:styleId="HeaderChar">
    <w:name w:val="Header Char"/>
    <w:basedOn w:val="DefaultParagraphFont"/>
    <w:link w:val="Header"/>
    <w:uiPriority w:val="99"/>
    <w:rsid w:val="00A53D85"/>
    <w:rPr>
      <w:rFonts w:ascii="Calibri" w:eastAsia="Calibri" w:hAnsi="Calibri" w:cs="Calibri"/>
      <w:color w:val="181717"/>
      <w:lang w:eastAsia="en-AU"/>
    </w:rPr>
  </w:style>
  <w:style w:type="paragraph" w:styleId="Footer">
    <w:name w:val="footer"/>
    <w:basedOn w:val="Normal"/>
    <w:link w:val="FooterChar"/>
    <w:uiPriority w:val="99"/>
    <w:unhideWhenUsed/>
    <w:rsid w:val="00A53D85"/>
    <w:pPr>
      <w:tabs>
        <w:tab w:val="center" w:pos="4513"/>
        <w:tab w:val="right" w:pos="9026"/>
      </w:tabs>
      <w:spacing w:before="0" w:after="0"/>
    </w:pPr>
  </w:style>
  <w:style w:type="character" w:customStyle="1" w:styleId="FooterChar">
    <w:name w:val="Footer Char"/>
    <w:basedOn w:val="DefaultParagraphFont"/>
    <w:link w:val="Footer"/>
    <w:uiPriority w:val="99"/>
    <w:rsid w:val="00A53D85"/>
    <w:rPr>
      <w:rFonts w:ascii="Calibri" w:eastAsia="Calibri" w:hAnsi="Calibri" w:cs="Calibri"/>
      <w:color w:val="181717"/>
      <w:lang w:eastAsia="en-AU"/>
    </w:rPr>
  </w:style>
  <w:style w:type="paragraph" w:customStyle="1" w:styleId="Style3">
    <w:name w:val="Style3"/>
    <w:basedOn w:val="Normal"/>
    <w:uiPriority w:val="99"/>
    <w:rsid w:val="00A53D85"/>
    <w:pPr>
      <w:spacing w:before="0" w:after="200" w:line="276" w:lineRule="auto"/>
      <w:ind w:left="0" w:right="0" w:firstLine="0"/>
    </w:pPr>
    <w:rPr>
      <w:rFonts w:eastAsiaTheme="minorHAnsi" w:cs="Times New Roman"/>
      <w:color w:val="4F81B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ervices.gov.au/health-professionals/forms/" TargetMode="External"/><Relationship Id="rId3" Type="http://schemas.openxmlformats.org/officeDocument/2006/relationships/settings" Target="settings.xml"/><Relationship Id="rId7" Type="http://schemas.openxmlformats.org/officeDocument/2006/relationships/hyperlink" Target="http://www.nehta.gov.au/pi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4018</Words>
  <Characters>22906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Practice Incentives Program eHealth</vt:lpstr>
    </vt:vector>
  </TitlesOfParts>
  <Company>Australian Government</Company>
  <LinksUpToDate>false</LinksUpToDate>
  <CharactersWithSpaces>26871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Incentives Program eHealth</dc:title>
  <dc:subject/>
  <dc:creator>Department of Human Services</dc:creator>
  <cp:keywords/>
  <dc:description/>
  <cp:lastModifiedBy>Strachan, Pam</cp:lastModifiedBy>
  <cp:revision>2</cp:revision>
  <dcterms:created xsi:type="dcterms:W3CDTF">2019-05-02T05:00:00Z</dcterms:created>
  <dcterms:modified xsi:type="dcterms:W3CDTF">2019-05-02T05:00:00Z</dcterms:modified>
</cp:coreProperties>
</file>