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B7" w:rsidRDefault="00FC7F79" w:rsidP="00FC7F79">
      <w:pPr>
        <w:pStyle w:val="NormalWeb"/>
        <w:spacing w:before="0" w:beforeAutospacing="0" w:after="2000" w:afterAutospacing="0" w:line="276" w:lineRule="auto"/>
        <w:rPr>
          <w:color w:val="FFFFFF" w:themeColor="background1"/>
        </w:rPr>
      </w:pPr>
      <w:r>
        <w:rPr>
          <w:noProof/>
          <w:color w:val="FFFFFF" w:themeColor="background1"/>
        </w:rPr>
        <w:drawing>
          <wp:inline distT="0" distB="0" distL="0" distR="0">
            <wp:extent cx="2495550" cy="552450"/>
            <wp:effectExtent l="0" t="0" r="0" b="0"/>
            <wp:docPr id="3" name="Picture 3" title="Australian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t-of-arms.png"/>
                    <pic:cNvPicPr/>
                  </pic:nvPicPr>
                  <pic:blipFill>
                    <a:blip r:embed="rId7">
                      <a:extLst>
                        <a:ext uri="{28A0092B-C50C-407E-A947-70E740481C1C}">
                          <a14:useLocalDpi xmlns:a14="http://schemas.microsoft.com/office/drawing/2010/main" val="0"/>
                        </a:ext>
                      </a:extLst>
                    </a:blip>
                    <a:stretch>
                      <a:fillRect/>
                    </a:stretch>
                  </pic:blipFill>
                  <pic:spPr>
                    <a:xfrm>
                      <a:off x="0" y="0"/>
                      <a:ext cx="2495550" cy="552450"/>
                    </a:xfrm>
                    <a:prstGeom prst="rect">
                      <a:avLst/>
                    </a:prstGeom>
                  </pic:spPr>
                </pic:pic>
              </a:graphicData>
            </a:graphic>
          </wp:inline>
        </w:drawing>
      </w:r>
    </w:p>
    <w:p w:rsidR="00FC7F79" w:rsidRPr="00353761" w:rsidRDefault="00FC7F79" w:rsidP="00FC7F79">
      <w:pPr>
        <w:pStyle w:val="NormalWeb"/>
        <w:spacing w:before="0" w:beforeAutospacing="0" w:after="0" w:afterAutospacing="0" w:line="276" w:lineRule="auto"/>
        <w:rPr>
          <w:color w:val="FFFFFF" w:themeColor="background1"/>
        </w:rPr>
      </w:pPr>
    </w:p>
    <w:p w:rsidR="00FC7F79" w:rsidRDefault="008354DC" w:rsidP="00FC7F79">
      <w:pPr>
        <w:ind w:right="-472" w:hanging="567"/>
      </w:pPr>
      <w:r>
        <w:rPr>
          <w:noProof/>
          <w:lang w:eastAsia="en-AU"/>
        </w:rPr>
        <mc:AlternateContent>
          <mc:Choice Requires="wps">
            <w:drawing>
              <wp:inline distT="0" distB="0" distL="0" distR="0">
                <wp:extent cx="6464595" cy="4316415"/>
                <wp:effectExtent l="0" t="0" r="0" b="8255"/>
                <wp:docPr id="1" name="Text Box 2" descr="&#10;" title="Social Services Portfolio (Department of Human Services) Annual Deregulation Report 2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595" cy="431641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9525">
                          <a:noFill/>
                          <a:miter lim="800000"/>
                          <a:headEnd/>
                          <a:tailEnd/>
                        </a:ln>
                      </wps:spPr>
                      <wps:txbx>
                        <w:txbxContent>
                          <w:p w:rsidR="00FC7F79" w:rsidRPr="00FC7F79" w:rsidRDefault="008354DC" w:rsidP="00FC7F79">
                            <w:pPr>
                              <w:pStyle w:val="NormalWeb"/>
                              <w:spacing w:before="1200" w:beforeAutospacing="0" w:after="0" w:afterAutospacing="0" w:line="276" w:lineRule="auto"/>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Social Services Portfolio</w:t>
                            </w:r>
                          </w:p>
                          <w:p w:rsidR="00FC7F79" w:rsidRPr="00FC7F79" w:rsidRDefault="008354DC" w:rsidP="00FC7F79">
                            <w:pPr>
                              <w:pStyle w:val="NormalWeb"/>
                              <w:spacing w:before="0" w:beforeAutospacing="0" w:after="0" w:afterAutospacing="0" w:line="276" w:lineRule="auto"/>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(Department of Human Services)</w:t>
                            </w:r>
                          </w:p>
                          <w:p w:rsidR="008354DC" w:rsidRPr="00FC7F79" w:rsidRDefault="008354DC" w:rsidP="00FC7F79">
                            <w:pPr>
                              <w:pStyle w:val="NormalWeb"/>
                              <w:spacing w:before="0" w:beforeAutospacing="0" w:after="0" w:afterAutospacing="0" w:line="276" w:lineRule="auto"/>
                              <w:ind w:left="-1134"/>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Annual Deregulation Report</w:t>
                            </w:r>
                          </w:p>
                          <w:p w:rsidR="008354DC" w:rsidRPr="00FC7F79" w:rsidRDefault="008354DC" w:rsidP="00FC7F79">
                            <w:pPr>
                              <w:pStyle w:val="NormalWeb"/>
                              <w:spacing w:before="0" w:beforeAutospacing="0" w:after="0" w:afterAutospacing="0" w:line="276" w:lineRule="auto"/>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2014</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Social Services Portfolio (Department of Human Services) Annual Deregulation Report 2014 - Description: &#10;" style="width:509pt;height:339.9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" stroked="f">
                <v:fill r:id="rId9" o:title="&#10;" recolor="t" rotate="t" type="frame"/>
                <v:textbox>
                  <w:txbxContent>
                    <w:p w:rsidR="00FC7F79" w:rsidRPr="00FC7F79" w:rsidRDefault="008354DC" w:rsidP="00FC7F79">
                      <w:pPr>
                        <w:pStyle w:val="NormalWeb"/>
                        <w:spacing w:before="1200" w:beforeAutospacing="0" w:after="0" w:afterAutospacing="0" w:line="276" w:lineRule="auto"/>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Social Services Portfolio</w:t>
                      </w:r>
                    </w:p>
                    <w:p w:rsidR="00FC7F79" w:rsidRPr="00FC7F79" w:rsidRDefault="008354DC" w:rsidP="00FC7F79">
                      <w:pPr>
                        <w:pStyle w:val="NormalWeb"/>
                        <w:spacing w:before="0" w:beforeAutospacing="0" w:after="0" w:afterAutospacing="0" w:line="276" w:lineRule="auto"/>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(Department of Human Services)</w:t>
                      </w:r>
                    </w:p>
                    <w:p w:rsidR="008354DC" w:rsidRPr="00FC7F79" w:rsidRDefault="008354DC" w:rsidP="00FC7F79">
                      <w:pPr>
                        <w:pStyle w:val="NormalWeb"/>
                        <w:spacing w:before="0" w:beforeAutospacing="0" w:after="0" w:afterAutospacing="0" w:line="276" w:lineRule="auto"/>
                        <w:ind w:left="-1134"/>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Annual Deregulation Report</w:t>
                      </w:r>
                    </w:p>
                    <w:p w:rsidR="008354DC" w:rsidRPr="00FC7F79" w:rsidRDefault="008354DC" w:rsidP="00FC7F79">
                      <w:pPr>
                        <w:pStyle w:val="NormalWeb"/>
                        <w:spacing w:before="0" w:beforeAutospacing="0" w:after="0" w:afterAutospacing="0" w:line="276" w:lineRule="auto"/>
                        <w:jc w:val="right"/>
                        <w:rPr>
                          <w:rFonts w:ascii="Tw Cen MT" w:eastAsia="Calibri" w:hAnsi="Tw Cen MT" w:cs="Rod"/>
                          <w:color w:val="FFFFFF" w:themeColor="background1"/>
                          <w:kern w:val="24"/>
                          <w:sz w:val="52"/>
                          <w:szCs w:val="52"/>
                        </w:rPr>
                      </w:pPr>
                      <w:r w:rsidRPr="00FC7F79">
                        <w:rPr>
                          <w:rFonts w:ascii="Tw Cen MT" w:eastAsia="Calibri" w:hAnsi="Tw Cen MT" w:cs="Rod"/>
                          <w:color w:val="FFFFFF" w:themeColor="background1"/>
                          <w:kern w:val="24"/>
                          <w:sz w:val="52"/>
                          <w:szCs w:val="52"/>
                        </w:rPr>
                        <w:t>2014</w:t>
                      </w:r>
                    </w:p>
                  </w:txbxContent>
                </v:textbox>
                <w10:anchorlock/>
              </v:shape>
            </w:pict>
          </mc:Fallback>
        </mc:AlternateContent>
      </w:r>
    </w:p>
    <w:p w:rsidR="00AB33F4" w:rsidRPr="00106ECF" w:rsidRDefault="00AB33F4" w:rsidP="00FC7F79">
      <w:pPr>
        <w:ind w:right="-472" w:hanging="993"/>
      </w:pPr>
      <w:r w:rsidRPr="00106ECF">
        <w:br w:type="page"/>
      </w:r>
    </w:p>
    <w:p w:rsidR="00242F43" w:rsidRPr="00101460" w:rsidRDefault="00242F43" w:rsidP="00101460">
      <w:pPr>
        <w:pStyle w:val="Documenttitle01"/>
      </w:pPr>
      <w:bookmarkStart w:id="0" w:name="_Toc414293159"/>
      <w:r w:rsidRPr="00101460">
        <w:lastRenderedPageBreak/>
        <w:t>Foreword</w:t>
      </w:r>
      <w:bookmarkEnd w:id="0"/>
    </w:p>
    <w:p w:rsidR="001D6E5B" w:rsidRDefault="001D6E5B" w:rsidP="00B872C3">
      <w:pPr>
        <w:rPr>
          <w:sz w:val="24"/>
          <w:szCs w:val="24"/>
        </w:rPr>
      </w:pPr>
      <w:r w:rsidRPr="001D6E5B">
        <w:rPr>
          <w:noProof/>
          <w:sz w:val="24"/>
          <w:szCs w:val="24"/>
          <w:lang w:eastAsia="en-AU"/>
        </w:rPr>
        <mc:AlternateContent>
          <mc:Choice Requires="wps">
            <w:drawing>
              <wp:inline distT="0" distB="0" distL="0" distR="0">
                <wp:extent cx="3934047" cy="1404620"/>
                <wp:effectExtent l="0" t="0" r="9525" b="69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047" cy="1404620"/>
                        </a:xfrm>
                        <a:prstGeom prst="rect">
                          <a:avLst/>
                        </a:prstGeom>
                        <a:solidFill>
                          <a:srgbClr val="FFFFFF"/>
                        </a:solidFill>
                        <a:ln w="9525">
                          <a:noFill/>
                          <a:miter lim="800000"/>
                          <a:headEnd/>
                          <a:tailEnd/>
                        </a:ln>
                      </wps:spPr>
                      <wps:txbx>
                        <w:txbxContent>
                          <w:p w:rsidR="001D6E5B" w:rsidRPr="001D6E5B" w:rsidRDefault="001D6E5B">
                            <w:pPr>
                              <w:rPr>
                                <w:sz w:val="24"/>
                                <w:szCs w:val="24"/>
                              </w:rPr>
                            </w:pPr>
                            <w:r w:rsidRPr="005437BC">
                              <w:rPr>
                                <w:sz w:val="24"/>
                                <w:szCs w:val="24"/>
                              </w:rPr>
                              <w:t xml:space="preserve">The Australian Government has made reducing regulation an important priority, with a clear commitment to cut unnecessary red tape by $1 billion each year. In supporting the Government’s objectives to reduce the burden of regulation on individuals, businesses and community organisations, the Department of Human Services (the department) has made a substantial contribution to reducing red tape in 2014. </w:t>
                            </w:r>
                          </w:p>
                        </w:txbxContent>
                      </wps:txbx>
                      <wps:bodyPr rot="0" vert="horz" wrap="square" lIns="0" tIns="0" rIns="360000" bIns="0" anchor="t" anchorCtr="0">
                        <a:spAutoFit/>
                      </wps:bodyPr>
                    </wps:wsp>
                  </a:graphicData>
                </a:graphic>
              </wp:inline>
            </w:drawing>
          </mc:Choice>
          <mc:Fallback>
            <w:pict>
              <v:shape id="_x0000_s1027" type="#_x0000_t202" style="width:30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" stroked="f">
                <v:textbox style="mso-fit-shape-to-text:t" inset="0,0,10mm,0">
                  <w:txbxContent>
                    <w:p w:rsidR="001D6E5B" w:rsidRPr="001D6E5B" w:rsidRDefault="001D6E5B">
                      <w:pPr>
                        <w:rPr>
                          <w:sz w:val="24"/>
                          <w:szCs w:val="24"/>
                        </w:rPr>
                      </w:pPr>
                      <w:r w:rsidRPr="005437BC">
                        <w:rPr>
                          <w:sz w:val="24"/>
                          <w:szCs w:val="24"/>
                        </w:rPr>
                        <w:t xml:space="preserve">The Australian Government has made reducing regulation an important priority, with a clear commitment to cut unnecessary red tape by $1 billion each year. In supporting the Government’s objectives to reduce the burden of regulation on individuals, businesses and community organisations, the Department of Human Services (the department) has made a substantial contribution to reducing red tape in 2014. </w:t>
                      </w:r>
                    </w:p>
                  </w:txbxContent>
                </v:textbox>
                <w10:anchorlock/>
              </v:shape>
            </w:pict>
          </mc:Fallback>
        </mc:AlternateContent>
      </w:r>
      <w:r w:rsidRPr="00101460">
        <w:rPr>
          <w:noProof/>
          <w:sz w:val="24"/>
          <w:szCs w:val="24"/>
          <w:lang w:eastAsia="en-AU"/>
        </w:rPr>
        <w:drawing>
          <wp:inline distT="0" distB="0" distL="0" distR="0" wp14:anchorId="0C8FFE0D" wp14:editId="0B11E456">
            <wp:extent cx="1352550" cy="1955800"/>
            <wp:effectExtent l="0" t="0" r="0" b="6350"/>
            <wp:docPr id="7" name="Picture 7" descr="Photo of Senator the Hon Marise Payne,&#10;Minister for Human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mp;A headsh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1955800"/>
                    </a:xfrm>
                    <a:prstGeom prst="rect">
                      <a:avLst/>
                    </a:prstGeom>
                  </pic:spPr>
                </pic:pic>
              </a:graphicData>
            </a:graphic>
          </wp:inline>
        </w:drawing>
      </w:r>
    </w:p>
    <w:p w:rsidR="006A515C" w:rsidRPr="005437BC" w:rsidRDefault="006A515C" w:rsidP="00B872C3">
      <w:pPr>
        <w:rPr>
          <w:sz w:val="24"/>
          <w:szCs w:val="24"/>
          <w:lang w:val="en"/>
        </w:rPr>
      </w:pPr>
      <w:r w:rsidRPr="005437BC">
        <w:rPr>
          <w:sz w:val="24"/>
          <w:szCs w:val="24"/>
          <w:lang w:val="en"/>
        </w:rPr>
        <w:t>The footprint of Government services delivered by the department reaches nearly all Australians, providing many touch points for cutting red tape in individuals’ interactions with Government. The services and activities provided by the department, for example through Medicare and Centrelink payments and services, occur on behalf of a range of agencies including the departments of Social Services, Health and Employment. In these circumstances the department’s deregulation and red tape activities have focused on improvements in service delivery.</w:t>
      </w:r>
    </w:p>
    <w:p w:rsidR="006A515C" w:rsidRPr="005437BC" w:rsidRDefault="006A515C" w:rsidP="00B872C3">
      <w:pPr>
        <w:rPr>
          <w:sz w:val="24"/>
          <w:szCs w:val="24"/>
          <w:lang w:val="en"/>
        </w:rPr>
      </w:pPr>
      <w:r w:rsidRPr="005437BC">
        <w:rPr>
          <w:sz w:val="24"/>
          <w:szCs w:val="24"/>
          <w:lang w:val="en"/>
        </w:rPr>
        <w:t xml:space="preserve">The number of people using the department’s digital and online services continues to rise.  For customers this means access to information and services at a time and place convenient to them. </w:t>
      </w:r>
    </w:p>
    <w:p w:rsidR="006A515C" w:rsidRPr="005437BC" w:rsidRDefault="006A515C" w:rsidP="00B872C3">
      <w:pPr>
        <w:rPr>
          <w:sz w:val="24"/>
          <w:szCs w:val="24"/>
          <w:lang w:val="en"/>
        </w:rPr>
      </w:pPr>
      <w:r w:rsidRPr="005437BC">
        <w:rPr>
          <w:sz w:val="24"/>
          <w:szCs w:val="24"/>
          <w:lang w:val="en"/>
        </w:rPr>
        <w:t>In 2014, the department made significant enhancements to the myGov service, which provides a centralised, online point of access for Government services, including Medicare and Centrelink payments and services. By the end of 2014, 6.1 million Australians had created a myGov account, providing them with secure access to a range of digital services using a single username and password. MyGov is pivotal in shifting major Government services and interactions with individuals online. For example, by the end of 2014 over 35.4 million digital letters had been sent to customers using the myGov inbox digital mail service.</w:t>
      </w:r>
    </w:p>
    <w:p w:rsidR="006A515C" w:rsidRPr="005437BC" w:rsidRDefault="006A515C" w:rsidP="00B872C3">
      <w:pPr>
        <w:rPr>
          <w:sz w:val="24"/>
          <w:szCs w:val="24"/>
          <w:lang w:val="en"/>
        </w:rPr>
      </w:pPr>
      <w:r w:rsidRPr="005437BC">
        <w:rPr>
          <w:sz w:val="24"/>
          <w:szCs w:val="24"/>
          <w:lang w:val="en"/>
        </w:rPr>
        <w:t>These innovations are making a real difference for Australians, and there is more to be done. The Government continues to look for ways to make Australians’ day to day lives easier by simplifying their interactions with Government. I look forward to continuing to actively support the Government’s deregulation objectives in 2015.</w:t>
      </w:r>
    </w:p>
    <w:p w:rsidR="006A515C" w:rsidRDefault="006A515C" w:rsidP="00B872C3">
      <w:pPr>
        <w:rPr>
          <w:b/>
          <w:sz w:val="24"/>
          <w:szCs w:val="24"/>
        </w:rPr>
      </w:pPr>
    </w:p>
    <w:p w:rsidR="00487D7F" w:rsidRDefault="00487D7F" w:rsidP="00B872C3">
      <w:pPr>
        <w:rPr>
          <w:b/>
          <w:sz w:val="24"/>
          <w:szCs w:val="24"/>
        </w:rPr>
      </w:pPr>
    </w:p>
    <w:p w:rsidR="00487D7F" w:rsidRPr="005437BC" w:rsidRDefault="00487D7F" w:rsidP="00B872C3">
      <w:pPr>
        <w:rPr>
          <w:b/>
          <w:sz w:val="24"/>
          <w:szCs w:val="24"/>
        </w:rPr>
      </w:pPr>
    </w:p>
    <w:p w:rsidR="006A515C" w:rsidRPr="005437BC" w:rsidRDefault="006C4BF4" w:rsidP="00B872C3">
      <w:pPr>
        <w:rPr>
          <w:b/>
          <w:sz w:val="24"/>
          <w:szCs w:val="24"/>
        </w:rPr>
      </w:pPr>
      <w:r>
        <w:rPr>
          <w:b/>
          <w:sz w:val="24"/>
          <w:szCs w:val="24"/>
        </w:rPr>
        <w:t xml:space="preserve">Senator the Hon </w:t>
      </w:r>
      <w:r w:rsidR="006A515C" w:rsidRPr="005437BC">
        <w:rPr>
          <w:b/>
          <w:sz w:val="24"/>
          <w:szCs w:val="24"/>
        </w:rPr>
        <w:t>Marise Payne</w:t>
      </w:r>
      <w:r w:rsidR="006A515C" w:rsidRPr="005437BC">
        <w:rPr>
          <w:b/>
          <w:sz w:val="24"/>
          <w:szCs w:val="24"/>
        </w:rPr>
        <w:br/>
        <w:t>Minister for Human Services</w:t>
      </w:r>
    </w:p>
    <w:p w:rsidR="009A1D56" w:rsidRPr="009A1D56" w:rsidRDefault="006C4BF4" w:rsidP="009A1D56">
      <w:pPr>
        <w:rPr>
          <w:b/>
        </w:rPr>
      </w:pPr>
      <w:r>
        <w:rPr>
          <w:b/>
          <w:sz w:val="24"/>
          <w:szCs w:val="24"/>
        </w:rPr>
        <w:t>18</w:t>
      </w:r>
      <w:r w:rsidR="006A515C" w:rsidRPr="005437BC">
        <w:rPr>
          <w:b/>
          <w:sz w:val="24"/>
          <w:szCs w:val="24"/>
        </w:rPr>
        <w:t xml:space="preserve"> March 2015</w:t>
      </w:r>
    </w:p>
    <w:p w:rsidR="006A515C" w:rsidRPr="009A1D56" w:rsidRDefault="006A515C" w:rsidP="009A1D56">
      <w:pPr>
        <w:sectPr w:rsidR="006A515C" w:rsidRPr="009A1D56" w:rsidSect="00D32787">
          <w:headerReference w:type="default" r:id="rId11"/>
          <w:footerReference w:type="default" r:id="rId12"/>
          <w:footerReference w:type="first" r:id="rId13"/>
          <w:pgSz w:w="11906" w:h="16838"/>
          <w:pgMar w:top="1440" w:right="1440" w:bottom="851" w:left="1440" w:header="510" w:footer="336" w:gutter="0"/>
          <w:pgNumType w:start="0"/>
          <w:cols w:space="708"/>
          <w:titlePg/>
          <w:docGrid w:linePitch="360"/>
        </w:sectPr>
      </w:pPr>
    </w:p>
    <w:p w:rsidR="00242F43" w:rsidRPr="00242F43" w:rsidRDefault="00086151" w:rsidP="00124255">
      <w:pPr>
        <w:pStyle w:val="Documenttitle02"/>
        <w:spacing w:after="480"/>
      </w:pPr>
      <w:bookmarkStart w:id="1" w:name="_Toc414293160"/>
      <w:r>
        <w:lastRenderedPageBreak/>
        <w:t>Table of c</w:t>
      </w:r>
      <w:r w:rsidR="00242F43">
        <w:t>ontents</w:t>
      </w:r>
      <w:bookmarkEnd w:id="1"/>
    </w:p>
    <w:bookmarkStart w:id="2" w:name="_Toc402864483" w:displacedByCustomXml="next"/>
    <w:sdt>
      <w:sdtPr>
        <w:rPr>
          <w:rFonts w:ascii="Times New Roman" w:hAnsi="Times New Roman"/>
          <w:color w:val="FF0000"/>
          <w:sz w:val="24"/>
          <w:lang w:val="en-US"/>
        </w:rPr>
        <w:id w:val="-477919349"/>
        <w:docPartObj>
          <w:docPartGallery w:val="Table of Contents"/>
          <w:docPartUnique/>
        </w:docPartObj>
      </w:sdtPr>
      <w:sdtEndPr>
        <w:rPr>
          <w:rFonts w:cstheme="minorHAnsi"/>
          <w:lang w:val="en-AU"/>
        </w:rPr>
      </w:sdtEndPr>
      <w:sdtContent>
        <w:bookmarkEnd w:id="2" w:displacedByCustomXml="prev"/>
        <w:p w:rsidR="00C5740F" w:rsidRPr="00C5740F" w:rsidRDefault="00AB33F4">
          <w:pPr>
            <w:pStyle w:val="TOC1"/>
            <w:tabs>
              <w:tab w:val="right" w:leader="dot" w:pos="9016"/>
            </w:tabs>
            <w:rPr>
              <w:rFonts w:eastAsiaTheme="minorEastAsia"/>
              <w:noProof/>
              <w:sz w:val="24"/>
              <w:szCs w:val="24"/>
              <w:lang w:eastAsia="en-AU"/>
            </w:rPr>
          </w:pPr>
          <w:r w:rsidRPr="00990211">
            <w:rPr>
              <w:rFonts w:cstheme="minorHAnsi"/>
              <w:color w:val="FF0000"/>
              <w:sz w:val="24"/>
              <w:szCs w:val="24"/>
            </w:rPr>
            <w:fldChar w:fldCharType="begin"/>
          </w:r>
          <w:r w:rsidRPr="00990211">
            <w:rPr>
              <w:rFonts w:cstheme="minorHAnsi"/>
              <w:color w:val="FF0000"/>
              <w:sz w:val="24"/>
              <w:szCs w:val="24"/>
            </w:rPr>
            <w:instrText xml:space="preserve"> TOC \o "1-3" \h \z \u </w:instrText>
          </w:r>
          <w:r w:rsidRPr="00990211">
            <w:rPr>
              <w:rFonts w:cstheme="minorHAnsi"/>
              <w:color w:val="FF0000"/>
              <w:sz w:val="24"/>
              <w:szCs w:val="24"/>
            </w:rPr>
            <w:fldChar w:fldCharType="separate"/>
          </w:r>
          <w:hyperlink w:anchor="_Toc414293159" w:history="1">
            <w:r w:rsidR="00C5740F" w:rsidRPr="00C5740F">
              <w:rPr>
                <w:rStyle w:val="Hyperlink"/>
                <w:noProof/>
                <w:sz w:val="24"/>
                <w:szCs w:val="24"/>
              </w:rPr>
              <w:t>Foreword</w:t>
            </w:r>
            <w:r w:rsidR="00C5740F" w:rsidRPr="00C5740F">
              <w:rPr>
                <w:noProof/>
                <w:webHidden/>
                <w:sz w:val="24"/>
                <w:szCs w:val="24"/>
              </w:rPr>
              <w:tab/>
            </w:r>
            <w:r w:rsidR="00C5740F" w:rsidRPr="00C5740F">
              <w:rPr>
                <w:noProof/>
                <w:webHidden/>
                <w:sz w:val="24"/>
                <w:szCs w:val="24"/>
              </w:rPr>
              <w:fldChar w:fldCharType="begin"/>
            </w:r>
            <w:r w:rsidR="00C5740F" w:rsidRPr="00C5740F">
              <w:rPr>
                <w:noProof/>
                <w:webHidden/>
                <w:sz w:val="24"/>
                <w:szCs w:val="24"/>
              </w:rPr>
              <w:instrText xml:space="preserve"> PAGEREF _Toc414293159 \h </w:instrText>
            </w:r>
            <w:r w:rsidR="00C5740F" w:rsidRPr="00C5740F">
              <w:rPr>
                <w:noProof/>
                <w:webHidden/>
                <w:sz w:val="24"/>
                <w:szCs w:val="24"/>
              </w:rPr>
            </w:r>
            <w:r w:rsidR="00C5740F" w:rsidRPr="00C5740F">
              <w:rPr>
                <w:noProof/>
                <w:webHidden/>
                <w:sz w:val="24"/>
                <w:szCs w:val="24"/>
              </w:rPr>
              <w:fldChar w:fldCharType="separate"/>
            </w:r>
            <w:r w:rsidR="00F05155">
              <w:rPr>
                <w:noProof/>
                <w:webHidden/>
                <w:sz w:val="24"/>
                <w:szCs w:val="24"/>
              </w:rPr>
              <w:t>1</w:t>
            </w:r>
            <w:r w:rsidR="00C5740F" w:rsidRPr="00C5740F">
              <w:rPr>
                <w:noProof/>
                <w:webHidden/>
                <w:sz w:val="24"/>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60" w:history="1">
            <w:r w:rsidR="00C5740F" w:rsidRPr="00C5740F">
              <w:rPr>
                <w:rStyle w:val="Hyperlink"/>
                <w:rFonts w:asciiTheme="minorHAnsi" w:hAnsiTheme="minorHAnsi"/>
                <w:noProof/>
                <w:szCs w:val="24"/>
              </w:rPr>
              <w:t>Table of contents</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_Toc414293160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2</w:t>
            </w:r>
            <w:r w:rsidR="00C5740F" w:rsidRPr="00C5740F">
              <w:rPr>
                <w:rFonts w:asciiTheme="minorHAnsi" w:hAnsiTheme="minorHAnsi"/>
                <w:noProof/>
                <w:webHidden/>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61" w:history="1">
            <w:r w:rsidR="00C5740F" w:rsidRPr="00C5740F">
              <w:rPr>
                <w:rStyle w:val="Hyperlink"/>
                <w:rFonts w:asciiTheme="minorHAnsi" w:hAnsiTheme="minorHAnsi"/>
                <w:noProof/>
                <w:szCs w:val="24"/>
              </w:rPr>
              <w:t>Portfolio highlights</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_Toc414293161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3</w:t>
            </w:r>
            <w:r w:rsidR="00C5740F" w:rsidRPr="00C5740F">
              <w:rPr>
                <w:rFonts w:asciiTheme="minorHAnsi" w:hAnsiTheme="minorHAnsi"/>
                <w:noProof/>
                <w:webHidden/>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62" w:history="1">
            <w:r w:rsidR="00C5740F" w:rsidRPr="00C5740F">
              <w:rPr>
                <w:rStyle w:val="Hyperlink"/>
                <w:rFonts w:asciiTheme="minorHAnsi" w:hAnsiTheme="minorHAnsi"/>
                <w:noProof/>
                <w:szCs w:val="24"/>
              </w:rPr>
              <w:t>Summary of key regulatory savings and costs 2014</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_Toc414293162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4</w:t>
            </w:r>
            <w:r w:rsidR="00C5740F" w:rsidRPr="00C5740F">
              <w:rPr>
                <w:rFonts w:asciiTheme="minorHAnsi" w:hAnsiTheme="minorHAnsi"/>
                <w:noProof/>
                <w:webHidden/>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63" w:history="1">
            <w:r w:rsidR="00C5740F" w:rsidRPr="00C5740F">
              <w:rPr>
                <w:rStyle w:val="Hyperlink"/>
                <w:rFonts w:asciiTheme="minorHAnsi" w:hAnsiTheme="minorHAnsi"/>
                <w:noProof/>
                <w:szCs w:val="24"/>
              </w:rPr>
              <w:t>Regulation Impact Statements</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_Toc414293163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4</w:t>
            </w:r>
            <w:r w:rsidR="00C5740F" w:rsidRPr="00C5740F">
              <w:rPr>
                <w:rFonts w:asciiTheme="minorHAnsi" w:hAnsiTheme="minorHAnsi"/>
                <w:noProof/>
                <w:webHidden/>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64" w:history="1">
            <w:r w:rsidR="00C5740F" w:rsidRPr="00C5740F">
              <w:rPr>
                <w:rStyle w:val="Hyperlink"/>
                <w:rFonts w:asciiTheme="minorHAnsi" w:hAnsiTheme="minorHAnsi"/>
                <w:noProof/>
                <w:szCs w:val="24"/>
              </w:rPr>
              <w:t>Portfolio activity supporting the Government’s red tape objective</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_Toc414293164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4</w:t>
            </w:r>
            <w:r w:rsidR="00C5740F" w:rsidRPr="00C5740F">
              <w:rPr>
                <w:rFonts w:asciiTheme="minorHAnsi" w:hAnsiTheme="minorHAnsi"/>
                <w:noProof/>
                <w:webHidden/>
                <w:szCs w:val="24"/>
              </w:rPr>
              <w:fldChar w:fldCharType="end"/>
            </w:r>
          </w:hyperlink>
        </w:p>
        <w:p w:rsidR="00C5740F" w:rsidRPr="00C5740F" w:rsidRDefault="000D22AA">
          <w:pPr>
            <w:pStyle w:val="TOC3"/>
            <w:tabs>
              <w:tab w:val="right" w:leader="dot" w:pos="9016"/>
            </w:tabs>
            <w:rPr>
              <w:rFonts w:eastAsiaTheme="minorEastAsia"/>
              <w:noProof/>
              <w:sz w:val="24"/>
              <w:szCs w:val="24"/>
              <w:lang w:eastAsia="en-AU"/>
            </w:rPr>
          </w:pPr>
          <w:hyperlink w:anchor="_Toc414293165" w:history="1">
            <w:r w:rsidR="00C5740F" w:rsidRPr="00C5740F">
              <w:rPr>
                <w:rStyle w:val="Hyperlink"/>
                <w:noProof/>
                <w:sz w:val="24"/>
                <w:szCs w:val="24"/>
              </w:rPr>
              <w:t>Deregulation Unit</w:t>
            </w:r>
            <w:r w:rsidR="00C5740F" w:rsidRPr="00C5740F">
              <w:rPr>
                <w:noProof/>
                <w:webHidden/>
                <w:sz w:val="24"/>
                <w:szCs w:val="24"/>
              </w:rPr>
              <w:tab/>
            </w:r>
            <w:r w:rsidR="00C5740F" w:rsidRPr="00C5740F">
              <w:rPr>
                <w:noProof/>
                <w:webHidden/>
                <w:sz w:val="24"/>
                <w:szCs w:val="24"/>
              </w:rPr>
              <w:fldChar w:fldCharType="begin"/>
            </w:r>
            <w:r w:rsidR="00C5740F" w:rsidRPr="00C5740F">
              <w:rPr>
                <w:noProof/>
                <w:webHidden/>
                <w:sz w:val="24"/>
                <w:szCs w:val="24"/>
              </w:rPr>
              <w:instrText xml:space="preserve"> PAGEREF _Toc414293165 \h </w:instrText>
            </w:r>
            <w:r w:rsidR="00C5740F" w:rsidRPr="00C5740F">
              <w:rPr>
                <w:noProof/>
                <w:webHidden/>
                <w:sz w:val="24"/>
                <w:szCs w:val="24"/>
              </w:rPr>
            </w:r>
            <w:r w:rsidR="00C5740F" w:rsidRPr="00C5740F">
              <w:rPr>
                <w:noProof/>
                <w:webHidden/>
                <w:sz w:val="24"/>
                <w:szCs w:val="24"/>
              </w:rPr>
              <w:fldChar w:fldCharType="separate"/>
            </w:r>
            <w:r w:rsidR="00F05155">
              <w:rPr>
                <w:noProof/>
                <w:webHidden/>
                <w:sz w:val="24"/>
                <w:szCs w:val="24"/>
              </w:rPr>
              <w:t>4</w:t>
            </w:r>
            <w:r w:rsidR="00C5740F" w:rsidRPr="00C5740F">
              <w:rPr>
                <w:noProof/>
                <w:webHidden/>
                <w:sz w:val="24"/>
                <w:szCs w:val="24"/>
              </w:rPr>
              <w:fldChar w:fldCharType="end"/>
            </w:r>
          </w:hyperlink>
        </w:p>
        <w:p w:rsidR="00C5740F" w:rsidRPr="00C5740F" w:rsidRDefault="000D22AA">
          <w:pPr>
            <w:pStyle w:val="TOC3"/>
            <w:tabs>
              <w:tab w:val="right" w:leader="dot" w:pos="9016"/>
            </w:tabs>
            <w:rPr>
              <w:rFonts w:eastAsiaTheme="minorEastAsia"/>
              <w:noProof/>
              <w:sz w:val="24"/>
              <w:szCs w:val="24"/>
              <w:lang w:eastAsia="en-AU"/>
            </w:rPr>
          </w:pPr>
          <w:hyperlink w:anchor="_Toc414293166" w:history="1">
            <w:r w:rsidR="00C5740F" w:rsidRPr="00C5740F">
              <w:rPr>
                <w:rStyle w:val="Hyperlink"/>
                <w:noProof/>
                <w:sz w:val="24"/>
                <w:szCs w:val="24"/>
              </w:rPr>
              <w:t>Ministerial Advisory Councils</w:t>
            </w:r>
            <w:r w:rsidR="00C5740F" w:rsidRPr="00C5740F">
              <w:rPr>
                <w:noProof/>
                <w:webHidden/>
                <w:sz w:val="24"/>
                <w:szCs w:val="24"/>
              </w:rPr>
              <w:tab/>
            </w:r>
            <w:r w:rsidR="00C5740F" w:rsidRPr="00C5740F">
              <w:rPr>
                <w:noProof/>
                <w:webHidden/>
                <w:sz w:val="24"/>
                <w:szCs w:val="24"/>
              </w:rPr>
              <w:fldChar w:fldCharType="begin"/>
            </w:r>
            <w:r w:rsidR="00C5740F" w:rsidRPr="00C5740F">
              <w:rPr>
                <w:noProof/>
                <w:webHidden/>
                <w:sz w:val="24"/>
                <w:szCs w:val="24"/>
              </w:rPr>
              <w:instrText xml:space="preserve"> PAGEREF _Toc414293166 \h </w:instrText>
            </w:r>
            <w:r w:rsidR="00C5740F" w:rsidRPr="00C5740F">
              <w:rPr>
                <w:noProof/>
                <w:webHidden/>
                <w:sz w:val="24"/>
                <w:szCs w:val="24"/>
              </w:rPr>
            </w:r>
            <w:r w:rsidR="00C5740F" w:rsidRPr="00C5740F">
              <w:rPr>
                <w:noProof/>
                <w:webHidden/>
                <w:sz w:val="24"/>
                <w:szCs w:val="24"/>
              </w:rPr>
              <w:fldChar w:fldCharType="separate"/>
            </w:r>
            <w:r w:rsidR="00F05155">
              <w:rPr>
                <w:noProof/>
                <w:webHidden/>
                <w:sz w:val="24"/>
                <w:szCs w:val="24"/>
              </w:rPr>
              <w:t>5</w:t>
            </w:r>
            <w:r w:rsidR="00C5740F" w:rsidRPr="00C5740F">
              <w:rPr>
                <w:noProof/>
                <w:webHidden/>
                <w:sz w:val="24"/>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67" w:history="1">
            <w:r w:rsidR="00C5740F" w:rsidRPr="00C5740F">
              <w:rPr>
                <w:rStyle w:val="Hyperlink"/>
                <w:rFonts w:asciiTheme="minorHAnsi" w:hAnsiTheme="minorHAnsi"/>
                <w:noProof/>
                <w:szCs w:val="24"/>
              </w:rPr>
              <w:t>Letters of Expectation</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_Toc414293167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8</w:t>
            </w:r>
            <w:r w:rsidR="00C5740F" w:rsidRPr="00C5740F">
              <w:rPr>
                <w:rFonts w:asciiTheme="minorHAnsi" w:hAnsiTheme="minorHAnsi"/>
                <w:noProof/>
                <w:webHidden/>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68" w:history="1">
            <w:r w:rsidR="00C5740F" w:rsidRPr="00C5740F">
              <w:rPr>
                <w:rStyle w:val="Hyperlink"/>
                <w:rFonts w:asciiTheme="minorHAnsi" w:hAnsiTheme="minorHAnsi"/>
                <w:noProof/>
                <w:szCs w:val="24"/>
              </w:rPr>
              <w:t>The Audit of Regulations – major findings</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_Toc414293168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9</w:t>
            </w:r>
            <w:r w:rsidR="00C5740F" w:rsidRPr="00C5740F">
              <w:rPr>
                <w:rFonts w:asciiTheme="minorHAnsi" w:hAnsiTheme="minorHAnsi"/>
                <w:noProof/>
                <w:webHidden/>
                <w:szCs w:val="24"/>
              </w:rPr>
              <w:fldChar w:fldCharType="end"/>
            </w:r>
          </w:hyperlink>
        </w:p>
        <w:p w:rsidR="00C5740F" w:rsidRPr="00C5740F" w:rsidRDefault="000D22AA">
          <w:pPr>
            <w:pStyle w:val="TOC3"/>
            <w:tabs>
              <w:tab w:val="right" w:leader="dot" w:pos="9016"/>
            </w:tabs>
            <w:rPr>
              <w:rFonts w:eastAsiaTheme="minorEastAsia"/>
              <w:noProof/>
              <w:sz w:val="24"/>
              <w:szCs w:val="24"/>
              <w:lang w:eastAsia="en-AU"/>
            </w:rPr>
          </w:pPr>
          <w:hyperlink w:anchor="_Toc414293169" w:history="1">
            <w:r w:rsidR="00C5740F" w:rsidRPr="00C5740F">
              <w:rPr>
                <w:rStyle w:val="Hyperlink"/>
                <w:noProof/>
                <w:sz w:val="24"/>
                <w:szCs w:val="24"/>
              </w:rPr>
              <w:t>Stage one</w:t>
            </w:r>
            <w:r w:rsidR="00C5740F" w:rsidRPr="00C5740F">
              <w:rPr>
                <w:noProof/>
                <w:webHidden/>
                <w:sz w:val="24"/>
                <w:szCs w:val="24"/>
              </w:rPr>
              <w:tab/>
            </w:r>
            <w:r w:rsidR="00C5740F" w:rsidRPr="00C5740F">
              <w:rPr>
                <w:noProof/>
                <w:webHidden/>
                <w:sz w:val="24"/>
                <w:szCs w:val="24"/>
              </w:rPr>
              <w:fldChar w:fldCharType="begin"/>
            </w:r>
            <w:r w:rsidR="00C5740F" w:rsidRPr="00C5740F">
              <w:rPr>
                <w:noProof/>
                <w:webHidden/>
                <w:sz w:val="24"/>
                <w:szCs w:val="24"/>
              </w:rPr>
              <w:instrText xml:space="preserve"> PAGEREF _Toc414293169 \h </w:instrText>
            </w:r>
            <w:r w:rsidR="00C5740F" w:rsidRPr="00C5740F">
              <w:rPr>
                <w:noProof/>
                <w:webHidden/>
                <w:sz w:val="24"/>
                <w:szCs w:val="24"/>
              </w:rPr>
            </w:r>
            <w:r w:rsidR="00C5740F" w:rsidRPr="00C5740F">
              <w:rPr>
                <w:noProof/>
                <w:webHidden/>
                <w:sz w:val="24"/>
                <w:szCs w:val="24"/>
              </w:rPr>
              <w:fldChar w:fldCharType="separate"/>
            </w:r>
            <w:r w:rsidR="00F05155">
              <w:rPr>
                <w:noProof/>
                <w:webHidden/>
                <w:sz w:val="24"/>
                <w:szCs w:val="24"/>
              </w:rPr>
              <w:t>9</w:t>
            </w:r>
            <w:r w:rsidR="00C5740F" w:rsidRPr="00C5740F">
              <w:rPr>
                <w:noProof/>
                <w:webHidden/>
                <w:sz w:val="24"/>
                <w:szCs w:val="24"/>
              </w:rPr>
              <w:fldChar w:fldCharType="end"/>
            </w:r>
          </w:hyperlink>
        </w:p>
        <w:p w:rsidR="00C5740F" w:rsidRPr="00C5740F" w:rsidRDefault="000D22AA">
          <w:pPr>
            <w:pStyle w:val="TOC3"/>
            <w:tabs>
              <w:tab w:val="right" w:leader="dot" w:pos="9016"/>
            </w:tabs>
            <w:rPr>
              <w:rFonts w:eastAsiaTheme="minorEastAsia"/>
              <w:noProof/>
              <w:sz w:val="24"/>
              <w:szCs w:val="24"/>
              <w:lang w:eastAsia="en-AU"/>
            </w:rPr>
          </w:pPr>
          <w:hyperlink w:anchor="_Toc414293170" w:history="1">
            <w:r w:rsidR="00C5740F" w:rsidRPr="00C5740F">
              <w:rPr>
                <w:rStyle w:val="Hyperlink"/>
                <w:noProof/>
                <w:sz w:val="24"/>
                <w:szCs w:val="24"/>
              </w:rPr>
              <w:t>Stage two</w:t>
            </w:r>
            <w:r w:rsidR="00C5740F" w:rsidRPr="00C5740F">
              <w:rPr>
                <w:noProof/>
                <w:webHidden/>
                <w:sz w:val="24"/>
                <w:szCs w:val="24"/>
              </w:rPr>
              <w:tab/>
            </w:r>
            <w:r w:rsidR="00C5740F" w:rsidRPr="00C5740F">
              <w:rPr>
                <w:noProof/>
                <w:webHidden/>
                <w:sz w:val="24"/>
                <w:szCs w:val="24"/>
              </w:rPr>
              <w:fldChar w:fldCharType="begin"/>
            </w:r>
            <w:r w:rsidR="00C5740F" w:rsidRPr="00C5740F">
              <w:rPr>
                <w:noProof/>
                <w:webHidden/>
                <w:sz w:val="24"/>
                <w:szCs w:val="24"/>
              </w:rPr>
              <w:instrText xml:space="preserve"> PAGEREF _Toc414293170 \h </w:instrText>
            </w:r>
            <w:r w:rsidR="00C5740F" w:rsidRPr="00C5740F">
              <w:rPr>
                <w:noProof/>
                <w:webHidden/>
                <w:sz w:val="24"/>
                <w:szCs w:val="24"/>
              </w:rPr>
            </w:r>
            <w:r w:rsidR="00C5740F" w:rsidRPr="00C5740F">
              <w:rPr>
                <w:noProof/>
                <w:webHidden/>
                <w:sz w:val="24"/>
                <w:szCs w:val="24"/>
              </w:rPr>
              <w:fldChar w:fldCharType="separate"/>
            </w:r>
            <w:r w:rsidR="00F05155">
              <w:rPr>
                <w:noProof/>
                <w:webHidden/>
                <w:sz w:val="24"/>
                <w:szCs w:val="24"/>
              </w:rPr>
              <w:t>9</w:t>
            </w:r>
            <w:r w:rsidR="00C5740F" w:rsidRPr="00C5740F">
              <w:rPr>
                <w:noProof/>
                <w:webHidden/>
                <w:sz w:val="24"/>
                <w:szCs w:val="24"/>
              </w:rPr>
              <w:fldChar w:fldCharType="end"/>
            </w:r>
          </w:hyperlink>
        </w:p>
        <w:p w:rsidR="00C5740F" w:rsidRPr="00C5740F" w:rsidRDefault="000D22AA">
          <w:pPr>
            <w:pStyle w:val="TOC2"/>
            <w:tabs>
              <w:tab w:val="right" w:leader="dot" w:pos="9016"/>
            </w:tabs>
            <w:rPr>
              <w:rFonts w:asciiTheme="minorHAnsi" w:eastAsiaTheme="minorEastAsia" w:hAnsiTheme="minorHAnsi"/>
              <w:noProof/>
              <w:szCs w:val="24"/>
              <w:lang w:eastAsia="en-AU"/>
            </w:rPr>
          </w:pPr>
          <w:hyperlink w:anchor="_Toc414293171" w:history="1">
            <w:r w:rsidR="00C5740F" w:rsidRPr="00C5740F">
              <w:rPr>
                <w:rStyle w:val="Hyperlink"/>
                <w:rFonts w:asciiTheme="minorHAnsi" w:hAnsiTheme="minorHAnsi"/>
                <w:noProof/>
                <w:szCs w:val="24"/>
              </w:rPr>
              <w:t>Appendix A: Measures implemented in 2014</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_Toc414293171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10</w:t>
            </w:r>
            <w:r w:rsidR="00C5740F" w:rsidRPr="00C5740F">
              <w:rPr>
                <w:rFonts w:asciiTheme="minorHAnsi" w:hAnsiTheme="minorHAnsi"/>
                <w:noProof/>
                <w:webHidden/>
                <w:szCs w:val="24"/>
              </w:rPr>
              <w:fldChar w:fldCharType="end"/>
            </w:r>
          </w:hyperlink>
        </w:p>
        <w:p w:rsidR="00C5740F" w:rsidRDefault="000D22AA">
          <w:pPr>
            <w:pStyle w:val="TOC2"/>
            <w:tabs>
              <w:tab w:val="right" w:leader="dot" w:pos="9016"/>
            </w:tabs>
            <w:rPr>
              <w:rFonts w:asciiTheme="minorHAnsi" w:eastAsiaTheme="minorEastAsia" w:hAnsiTheme="minorHAnsi"/>
              <w:noProof/>
              <w:sz w:val="22"/>
              <w:lang w:eastAsia="en-AU"/>
            </w:rPr>
          </w:pPr>
          <w:hyperlink w:anchor="_Toc414293172" w:history="1">
            <w:r w:rsidR="00C5740F" w:rsidRPr="00C5740F">
              <w:rPr>
                <w:rStyle w:val="Hyperlink"/>
                <w:rFonts w:asciiTheme="minorHAnsi" w:hAnsiTheme="minorHAnsi"/>
                <w:noProof/>
                <w:szCs w:val="24"/>
              </w:rPr>
              <w:t>Appendix B: Legislation administered</w:t>
            </w:r>
            <w:r w:rsidR="00C5740F" w:rsidRPr="00C5740F">
              <w:rPr>
                <w:rFonts w:asciiTheme="minorHAnsi" w:hAnsiTheme="minorHAnsi"/>
                <w:noProof/>
                <w:webHidden/>
                <w:szCs w:val="24"/>
              </w:rPr>
              <w:tab/>
            </w:r>
            <w:r w:rsidR="00C5740F" w:rsidRPr="00C5740F">
              <w:rPr>
                <w:rFonts w:asciiTheme="minorHAnsi" w:hAnsiTheme="minorHAnsi"/>
                <w:noProof/>
                <w:webHidden/>
                <w:szCs w:val="24"/>
              </w:rPr>
              <w:fldChar w:fldCharType="begin"/>
            </w:r>
            <w:r w:rsidR="00C5740F" w:rsidRPr="00C5740F">
              <w:rPr>
                <w:rFonts w:asciiTheme="minorHAnsi" w:hAnsiTheme="minorHAnsi"/>
                <w:noProof/>
                <w:webHidden/>
                <w:szCs w:val="24"/>
              </w:rPr>
              <w:instrText xml:space="preserve"> PAGEREF _Toc414293172 \h </w:instrText>
            </w:r>
            <w:r w:rsidR="00C5740F" w:rsidRPr="00C5740F">
              <w:rPr>
                <w:rFonts w:asciiTheme="minorHAnsi" w:hAnsiTheme="minorHAnsi"/>
                <w:noProof/>
                <w:webHidden/>
                <w:szCs w:val="24"/>
              </w:rPr>
            </w:r>
            <w:r w:rsidR="00C5740F" w:rsidRPr="00C5740F">
              <w:rPr>
                <w:rFonts w:asciiTheme="minorHAnsi" w:hAnsiTheme="minorHAnsi"/>
                <w:noProof/>
                <w:webHidden/>
                <w:szCs w:val="24"/>
              </w:rPr>
              <w:fldChar w:fldCharType="separate"/>
            </w:r>
            <w:r w:rsidR="00F05155">
              <w:rPr>
                <w:rFonts w:asciiTheme="minorHAnsi" w:hAnsiTheme="minorHAnsi"/>
                <w:noProof/>
                <w:webHidden/>
                <w:szCs w:val="24"/>
              </w:rPr>
              <w:t>15</w:t>
            </w:r>
            <w:r w:rsidR="00C5740F" w:rsidRPr="00C5740F">
              <w:rPr>
                <w:rFonts w:asciiTheme="minorHAnsi" w:hAnsiTheme="minorHAnsi"/>
                <w:noProof/>
                <w:webHidden/>
                <w:szCs w:val="24"/>
              </w:rPr>
              <w:fldChar w:fldCharType="end"/>
            </w:r>
          </w:hyperlink>
        </w:p>
        <w:p w:rsidR="00AB33F4" w:rsidRPr="008B0784" w:rsidRDefault="00AB33F4" w:rsidP="00124255">
          <w:pPr>
            <w:pStyle w:val="TOC2"/>
            <w:tabs>
              <w:tab w:val="right" w:leader="dot" w:pos="9016"/>
            </w:tabs>
            <w:rPr>
              <w:rFonts w:cstheme="minorHAnsi"/>
              <w:color w:val="FF0000"/>
            </w:rPr>
          </w:pPr>
          <w:r w:rsidRPr="00990211">
            <w:rPr>
              <w:rFonts w:cstheme="minorHAnsi"/>
              <w:b/>
              <w:bCs/>
              <w:color w:val="FF0000"/>
              <w:szCs w:val="24"/>
            </w:rPr>
            <w:fldChar w:fldCharType="end"/>
          </w:r>
        </w:p>
      </w:sdtContent>
    </w:sdt>
    <w:p w:rsidR="00C356D5" w:rsidRDefault="00C356D5">
      <w:pPr>
        <w:rPr>
          <w:rFonts w:ascii="Times New Roman" w:eastAsia="Times New Roman" w:hAnsi="Times New Roman" w:cs="Times New Roman"/>
          <w:sz w:val="24"/>
          <w:szCs w:val="20"/>
          <w:lang w:eastAsia="en-AU"/>
        </w:rPr>
      </w:pPr>
      <w:r>
        <w:br w:type="page"/>
      </w:r>
    </w:p>
    <w:p w:rsidR="0037361C" w:rsidRPr="002939AC" w:rsidRDefault="00353761" w:rsidP="00D4048A">
      <w:pPr>
        <w:pStyle w:val="Documenttitle02"/>
      </w:pPr>
      <w:bookmarkStart w:id="3" w:name="_Toc414293161"/>
      <w:r w:rsidRPr="002939AC">
        <w:lastRenderedPageBreak/>
        <w:t xml:space="preserve">Portfolio </w:t>
      </w:r>
      <w:r w:rsidR="00506EB7" w:rsidRPr="002939AC">
        <w:t>highlights</w:t>
      </w:r>
      <w:bookmarkEnd w:id="3"/>
    </w:p>
    <w:p w:rsidR="00DE04A6" w:rsidRPr="001A1525" w:rsidRDefault="00DE04A6" w:rsidP="00DE04A6">
      <w:pPr>
        <w:rPr>
          <w:sz w:val="24"/>
          <w:szCs w:val="24"/>
        </w:rPr>
      </w:pPr>
      <w:r w:rsidRPr="00F12089">
        <w:rPr>
          <w:sz w:val="24"/>
          <w:szCs w:val="24"/>
        </w:rPr>
        <w:t>In 2014, the Department of Human Services (the department) delivered a total net saving of</w:t>
      </w:r>
      <w:r w:rsidR="00A97272" w:rsidRPr="00F12089">
        <w:rPr>
          <w:sz w:val="24"/>
          <w:szCs w:val="24"/>
        </w:rPr>
        <w:t xml:space="preserve"> </w:t>
      </w:r>
      <w:r w:rsidRPr="00F12089">
        <w:rPr>
          <w:sz w:val="24"/>
          <w:szCs w:val="24"/>
        </w:rPr>
        <w:t xml:space="preserve">$109.1 million in red tape costs. </w:t>
      </w:r>
    </w:p>
    <w:p w:rsidR="00DE04A6" w:rsidRDefault="00DE04A6" w:rsidP="00DE04A6">
      <w:pPr>
        <w:rPr>
          <w:sz w:val="24"/>
          <w:szCs w:val="24"/>
        </w:rPr>
      </w:pPr>
      <w:r w:rsidRPr="001A1525">
        <w:rPr>
          <w:noProof/>
          <w:sz w:val="24"/>
          <w:szCs w:val="24"/>
          <w:lang w:eastAsia="en-AU"/>
        </w:rPr>
        <w:drawing>
          <wp:inline distT="0" distB="0" distL="0" distR="0" wp14:anchorId="5DE67B04" wp14:editId="6E0A414F">
            <wp:extent cx="5114925" cy="866775"/>
            <wp:effectExtent l="0" t="0" r="0" b="9525"/>
            <wp:docPr id="16" name="Diagram 16" descr="Deregulatory Measures - $109.1 million&#10;Regulatory Measures - $00.0 million&#10;Net Reduction in Regulation - $109.1 million" title="Department of Human Services net red tape sav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E04A6" w:rsidRDefault="00DE04A6" w:rsidP="00124255">
      <w:pPr>
        <w:spacing w:before="240"/>
        <w:rPr>
          <w:sz w:val="24"/>
          <w:szCs w:val="24"/>
          <w:lang w:val="en"/>
        </w:rPr>
      </w:pPr>
      <w:r w:rsidRPr="001A1525">
        <w:rPr>
          <w:rFonts w:cstheme="minorHAnsi"/>
          <w:sz w:val="24"/>
          <w:szCs w:val="24"/>
        </w:rPr>
        <w:t xml:space="preserve">Major red tape savings for individuals were achieved through a </w:t>
      </w:r>
      <w:r>
        <w:rPr>
          <w:rFonts w:cstheme="minorHAnsi"/>
          <w:sz w:val="24"/>
          <w:szCs w:val="24"/>
        </w:rPr>
        <w:t xml:space="preserve">range </w:t>
      </w:r>
      <w:r w:rsidRPr="001A1525">
        <w:rPr>
          <w:rFonts w:cstheme="minorHAnsi"/>
          <w:sz w:val="24"/>
          <w:szCs w:val="24"/>
        </w:rPr>
        <w:t>of changes</w:t>
      </w:r>
      <w:r>
        <w:rPr>
          <w:rFonts w:cstheme="minorHAnsi"/>
          <w:sz w:val="24"/>
          <w:szCs w:val="24"/>
        </w:rPr>
        <w:t xml:space="preserve"> which </w:t>
      </w:r>
      <w:r w:rsidRPr="001A1525">
        <w:rPr>
          <w:rFonts w:cstheme="minorHAnsi"/>
          <w:sz w:val="24"/>
          <w:szCs w:val="24"/>
        </w:rPr>
        <w:t>significantly improv</w:t>
      </w:r>
      <w:r>
        <w:rPr>
          <w:rFonts w:cstheme="minorHAnsi"/>
          <w:sz w:val="24"/>
          <w:szCs w:val="24"/>
        </w:rPr>
        <w:t>ed</w:t>
      </w:r>
      <w:r w:rsidRPr="001A1525">
        <w:rPr>
          <w:rFonts w:cstheme="minorHAnsi"/>
          <w:sz w:val="24"/>
          <w:szCs w:val="24"/>
        </w:rPr>
        <w:t xml:space="preserve"> access to </w:t>
      </w:r>
      <w:r>
        <w:rPr>
          <w:rFonts w:cstheme="minorHAnsi"/>
          <w:sz w:val="24"/>
          <w:szCs w:val="24"/>
        </w:rPr>
        <w:t>G</w:t>
      </w:r>
      <w:r w:rsidRPr="001A1525">
        <w:rPr>
          <w:rFonts w:cstheme="minorHAnsi"/>
          <w:sz w:val="24"/>
          <w:szCs w:val="24"/>
        </w:rPr>
        <w:t>overnment digital services via myGov and the department’s online and mobile app services. These initiatives helped streamline customers’</w:t>
      </w:r>
      <w:r>
        <w:rPr>
          <w:rFonts w:cstheme="minorHAnsi"/>
          <w:sz w:val="24"/>
          <w:szCs w:val="24"/>
        </w:rPr>
        <w:t xml:space="preserve"> </w:t>
      </w:r>
      <w:r w:rsidRPr="001A1525">
        <w:rPr>
          <w:rFonts w:cstheme="minorHAnsi"/>
          <w:sz w:val="24"/>
          <w:szCs w:val="24"/>
        </w:rPr>
        <w:t>interaction</w:t>
      </w:r>
      <w:r w:rsidR="00FC3D08">
        <w:rPr>
          <w:rFonts w:cstheme="minorHAnsi"/>
          <w:sz w:val="24"/>
          <w:szCs w:val="24"/>
        </w:rPr>
        <w:t>s</w:t>
      </w:r>
      <w:r w:rsidRPr="001A1525">
        <w:rPr>
          <w:rFonts w:cstheme="minorHAnsi"/>
          <w:sz w:val="24"/>
          <w:szCs w:val="24"/>
        </w:rPr>
        <w:t xml:space="preserve"> with the department, including reducing the need for customers to</w:t>
      </w:r>
      <w:r w:rsidRPr="001A1525">
        <w:rPr>
          <w:sz w:val="24"/>
          <w:szCs w:val="24"/>
          <w:lang w:val="en"/>
        </w:rPr>
        <w:t xml:space="preserve"> call the depart</w:t>
      </w:r>
      <w:r w:rsidR="00124255">
        <w:rPr>
          <w:sz w:val="24"/>
          <w:szCs w:val="24"/>
          <w:lang w:val="en"/>
        </w:rPr>
        <w:t>ment or visit a service centre.</w:t>
      </w:r>
    </w:p>
    <w:p w:rsidR="00C807CD" w:rsidRPr="00C807CD" w:rsidRDefault="00C807CD" w:rsidP="00B872C3">
      <w:pPr>
        <w:rPr>
          <w:sz w:val="24"/>
          <w:szCs w:val="24"/>
        </w:rPr>
      </w:pPr>
      <w:r w:rsidRPr="001A1525">
        <w:rPr>
          <w:sz w:val="24"/>
          <w:szCs w:val="24"/>
        </w:rPr>
        <w:t xml:space="preserve">To support the Government’s deregulation agenda, the department has undertaken a number of activities, </w:t>
      </w:r>
      <w:r>
        <w:rPr>
          <w:sz w:val="24"/>
          <w:szCs w:val="24"/>
        </w:rPr>
        <w:t>such as</w:t>
      </w:r>
      <w:r w:rsidRPr="001A1525">
        <w:rPr>
          <w:sz w:val="24"/>
          <w:szCs w:val="24"/>
        </w:rPr>
        <w:t>:</w:t>
      </w:r>
    </w:p>
    <w:p w:rsidR="00C807CD" w:rsidRDefault="00C807CD" w:rsidP="00B872C3">
      <w:pPr>
        <w:rPr>
          <w:sz w:val="24"/>
          <w:szCs w:val="24"/>
        </w:rPr>
      </w:pPr>
      <w:r w:rsidRPr="00C807CD">
        <w:rPr>
          <w:noProof/>
          <w:sz w:val="24"/>
          <w:szCs w:val="24"/>
          <w:lang w:eastAsia="en-AU"/>
        </w:rPr>
        <mc:AlternateContent>
          <mc:Choice Requires="wps">
            <w:drawing>
              <wp:inline distT="0" distB="0" distL="0" distR="0">
                <wp:extent cx="3343701" cy="1404620"/>
                <wp:effectExtent l="0" t="0" r="9525" b="82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1" cy="1404620"/>
                        </a:xfrm>
                        <a:prstGeom prst="rect">
                          <a:avLst/>
                        </a:prstGeom>
                        <a:solidFill>
                          <a:srgbClr val="FFFFFF"/>
                        </a:solidFill>
                        <a:ln w="9525">
                          <a:noFill/>
                          <a:miter lim="800000"/>
                          <a:headEnd/>
                          <a:tailEnd/>
                        </a:ln>
                      </wps:spPr>
                      <wps:txbx>
                        <w:txbxContent>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Establishing a deregulation unit, with responsibility for coordinating the department’s deregulation activities. The deregulation unit’s activities have included engaging with business areas in the department on opportunities to reduce red tape and working with other Government departments to identify areas for potential joint reform.</w:t>
                            </w:r>
                          </w:p>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 xml:space="preserve">Undertaking an audit of regulation in line with the Government’s requirements to identify the regulations which the department administers. This included where the department administers regulation on behalf of another department. </w:t>
                            </w:r>
                          </w:p>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Communicating the Government’s expectations of regulators to the areas in the department with responsibility for functions of a regulatory nature.</w:t>
                            </w:r>
                          </w:p>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Engaging with external stakeholders through its existing consultation forums. The department consulted with stakeholder groups on a range of deregulation matters including opportunities to reduce red tape and findings from the department’s audit of regulation.</w:t>
                            </w:r>
                          </w:p>
                        </w:txbxContent>
                      </wps:txbx>
                      <wps:bodyPr rot="0" vert="horz" wrap="square" lIns="0" tIns="0" rIns="144000" bIns="0" anchor="ctr" anchorCtr="0">
                        <a:spAutoFit/>
                      </wps:bodyPr>
                    </wps:wsp>
                  </a:graphicData>
                </a:graphic>
              </wp:inline>
            </w:drawing>
          </mc:Choice>
          <mc:Fallback>
            <w:pict>
              <v:shape id="_x0000_s1028" type="#_x0000_t202" style="width:263.3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" stroked="f">
                <v:textbox style="mso-fit-shape-to-text:t" inset="0,0,4mm,0">
                  <w:txbxContent>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Establishing a deregulation unit, with responsibility for coordinating the department’s deregulation activities. The deregulation unit’s activities have included engaging with business areas in the department on opportunities to reduce red tape and working with other Government departments to identify areas for potential joint reform.</w:t>
                      </w:r>
                    </w:p>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 xml:space="preserve">Undertaking an audit of regulation in line with the Government’s requirements to identify the regulations which the department administers. This included where the department administers regulation on behalf of another department. </w:t>
                      </w:r>
                    </w:p>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Communicating the Government’s expectations of regulators to the areas in the department with responsibility for functions of a regulatory nature.</w:t>
                      </w:r>
                    </w:p>
                    <w:p w:rsidR="00C807CD" w:rsidRPr="000D22AA" w:rsidRDefault="00C807CD" w:rsidP="008A277D">
                      <w:pPr>
                        <w:pStyle w:val="ListParagraph"/>
                        <w:rPr>
                          <w:rFonts w:asciiTheme="minorHAnsi" w:hAnsiTheme="minorHAnsi"/>
                          <w:sz w:val="23"/>
                          <w:szCs w:val="23"/>
                        </w:rPr>
                      </w:pPr>
                      <w:r w:rsidRPr="000D22AA">
                        <w:rPr>
                          <w:rFonts w:asciiTheme="minorHAnsi" w:hAnsiTheme="minorHAnsi"/>
                          <w:sz w:val="23"/>
                          <w:szCs w:val="23"/>
                        </w:rPr>
                        <w:t>Engaging with external stakeholders through its existing consultation forums. The department consulted with stakeholder groups on a range of deregulation matters including opportunities to reduce red tape and findings from the department’s audit of regulation.</w:t>
                      </w:r>
                    </w:p>
                  </w:txbxContent>
                </v:textbox>
                <w10:anchorlock/>
              </v:shape>
            </w:pict>
          </mc:Fallback>
        </mc:AlternateContent>
      </w:r>
      <w:r w:rsidR="00712D11">
        <w:rPr>
          <w:noProof/>
          <w:lang w:eastAsia="en-AU"/>
        </w:rPr>
        <mc:AlternateContent>
          <mc:Choice Requires="wps">
            <w:drawing>
              <wp:inline distT="0" distB="0" distL="0" distR="0">
                <wp:extent cx="2181225" cy="3589361"/>
                <wp:effectExtent l="0" t="0" r="28575" b="15240"/>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589361"/>
                        </a:xfrm>
                        <a:prstGeom prst="bracketPair">
                          <a:avLst>
                            <a:gd name="adj" fmla="val 8051"/>
                          </a:avLst>
                        </a:prstGeom>
                        <a:noFill/>
                        <a:ln w="9525" cap="flat" cmpd="sng" algn="ctr">
                          <a:solidFill>
                            <a:srgbClr val="BB9D67">
                              <a:shade val="95000"/>
                              <a:satMod val="105000"/>
                            </a:srgbClr>
                          </a:solidFill>
                          <a:prstDash val="solid"/>
                          <a:headEnd/>
                          <a:tailEnd/>
                        </a:ln>
                        <a:effectLst/>
                        <a:extLst/>
                      </wps:spPr>
                      <wps:txbx>
                        <w:txbxContent>
                          <w:p w:rsidR="00D15771" w:rsidRPr="00010CEE" w:rsidRDefault="00D15771" w:rsidP="00D15771">
                            <w:pPr>
                              <w:spacing w:before="80" w:after="80"/>
                              <w:rPr>
                                <w:b/>
                                <w:i/>
                                <w:sz w:val="20"/>
                                <w:szCs w:val="20"/>
                              </w:rPr>
                            </w:pPr>
                            <w:r w:rsidRPr="00010CEE">
                              <w:rPr>
                                <w:b/>
                                <w:i/>
                                <w:sz w:val="20"/>
                                <w:szCs w:val="20"/>
                              </w:rPr>
                              <w:t>Making it easier for Australians to access Government services</w:t>
                            </w:r>
                          </w:p>
                          <w:p w:rsidR="00D15771" w:rsidRPr="00010CEE" w:rsidRDefault="00D15771" w:rsidP="00D15771">
                            <w:pPr>
                              <w:spacing w:before="80" w:after="80"/>
                              <w:rPr>
                                <w:i/>
                                <w:sz w:val="20"/>
                                <w:szCs w:val="20"/>
                              </w:rPr>
                            </w:pPr>
                            <w:r w:rsidRPr="00010CEE">
                              <w:rPr>
                                <w:i/>
                                <w:sz w:val="20"/>
                                <w:szCs w:val="20"/>
                              </w:rPr>
                              <w:t>The transformation of digital services for the department’s customers means that it is now much easier for them to obtain information, make claims and access services without  having to call the department or visit a service centre. For example:</w:t>
                            </w:r>
                          </w:p>
                          <w:p w:rsidR="00D15771" w:rsidRPr="00C807CD" w:rsidRDefault="00D15771" w:rsidP="00C807CD">
                            <w:pPr>
                              <w:spacing w:before="80" w:after="80"/>
                              <w:rPr>
                                <w:i/>
                                <w:sz w:val="20"/>
                                <w:szCs w:val="20"/>
                              </w:rPr>
                            </w:pPr>
                            <w:r w:rsidRPr="00010CEE">
                              <w:rPr>
                                <w:i/>
                                <w:sz w:val="20"/>
                                <w:szCs w:val="20"/>
                              </w:rPr>
                              <w:t>Tanya is now able to have easy access to her concession cards via her smart phone. At the press of a few buttons Tanya can display her concession card on her smart phone straight away. If Tanya needs a replacement card, she has the option to access it through a digital service and doesn’t have to visit an office or call to arrange a new physical card.</w:t>
                            </w:r>
                          </w:p>
                        </w:txbxContent>
                      </wps:txbx>
                      <wps:bodyPr rot="0" vert="horz" wrap="square" lIns="45720" tIns="45720" rIns="45720" bIns="45720" anchor="ctr" anchorCtr="0" upright="1">
                        <a:sp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9" type="#_x0000_t185" style="width:171.75pt;height:28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" adj="1739" strokecolor="#b99a62">
                <v:textbox style="mso-fit-shape-to-text:t" inset="3.6pt,,3.6pt">
                  <w:txbxContent>
                    <w:p w:rsidR="00D15771" w:rsidRPr="00010CEE" w:rsidRDefault="00D15771" w:rsidP="00D15771">
                      <w:pPr>
                        <w:spacing w:before="80" w:after="80"/>
                        <w:rPr>
                          <w:b/>
                          <w:i/>
                          <w:sz w:val="20"/>
                          <w:szCs w:val="20"/>
                        </w:rPr>
                      </w:pPr>
                      <w:r w:rsidRPr="00010CEE">
                        <w:rPr>
                          <w:b/>
                          <w:i/>
                          <w:sz w:val="20"/>
                          <w:szCs w:val="20"/>
                        </w:rPr>
                        <w:t>Making it easier for Australians to access Government services</w:t>
                      </w:r>
                    </w:p>
                    <w:p w:rsidR="00D15771" w:rsidRPr="00010CEE" w:rsidRDefault="00D15771" w:rsidP="00D15771">
                      <w:pPr>
                        <w:spacing w:before="80" w:after="80"/>
                        <w:rPr>
                          <w:i/>
                          <w:sz w:val="20"/>
                          <w:szCs w:val="20"/>
                        </w:rPr>
                      </w:pPr>
                      <w:r w:rsidRPr="00010CEE">
                        <w:rPr>
                          <w:i/>
                          <w:sz w:val="20"/>
                          <w:szCs w:val="20"/>
                        </w:rPr>
                        <w:t>The transformation of digital services for the department’s customers means that it is now much easier for them to obtain information, make claims and access services without  having to call the department or visit a service centre. For example:</w:t>
                      </w:r>
                    </w:p>
                    <w:p w:rsidR="00D15771" w:rsidRPr="00C807CD" w:rsidRDefault="00D15771" w:rsidP="00C807CD">
                      <w:pPr>
                        <w:spacing w:before="80" w:after="80"/>
                        <w:rPr>
                          <w:i/>
                          <w:sz w:val="20"/>
                          <w:szCs w:val="20"/>
                        </w:rPr>
                      </w:pPr>
                      <w:r w:rsidRPr="00010CEE">
                        <w:rPr>
                          <w:i/>
                          <w:sz w:val="20"/>
                          <w:szCs w:val="20"/>
                        </w:rPr>
                        <w:t>Tanya is now able to have easy access to her concession cards via her smart phone. At the press of a few buttons Tanya can display her concession card on her smart phone straight away. If Tanya needs a replacement card, she has the option to access it through a digital service and doesn’t have to visit an office or call to arrange a new physical card.</w:t>
                      </w:r>
                    </w:p>
                  </w:txbxContent>
                </v:textbox>
                <w10:anchorlock/>
              </v:shape>
            </w:pict>
          </mc:Fallback>
        </mc:AlternateContent>
      </w:r>
    </w:p>
    <w:p w:rsidR="00F9375D" w:rsidRPr="008B711D" w:rsidRDefault="00DE04A6" w:rsidP="008B711D">
      <w:pPr>
        <w:rPr>
          <w:sz w:val="24"/>
          <w:szCs w:val="24"/>
        </w:rPr>
      </w:pPr>
      <w:r>
        <w:rPr>
          <w:sz w:val="24"/>
          <w:szCs w:val="24"/>
        </w:rPr>
        <w:t>As a result of work undertaken throughout 2014, the department is</w:t>
      </w:r>
      <w:r w:rsidRPr="001A1525">
        <w:rPr>
          <w:sz w:val="24"/>
          <w:szCs w:val="24"/>
        </w:rPr>
        <w:t xml:space="preserve"> well-placed to continue implementing the Government’s deregulation agenda in 2015.</w:t>
      </w:r>
      <w:r w:rsidR="00F9375D">
        <w:br w:type="page"/>
      </w:r>
    </w:p>
    <w:p w:rsidR="005B6321" w:rsidRPr="00D4048A" w:rsidRDefault="008E1A9E" w:rsidP="00D4048A">
      <w:pPr>
        <w:pStyle w:val="Documenttitle02"/>
      </w:pPr>
      <w:bookmarkStart w:id="4" w:name="_Toc414293162"/>
      <w:r>
        <w:lastRenderedPageBreak/>
        <w:t>Summary o</w:t>
      </w:r>
      <w:r w:rsidR="005B6321" w:rsidRPr="00D4048A">
        <w:t xml:space="preserve">f key regulatory savings and costs </w:t>
      </w:r>
      <w:r w:rsidR="00F84E94" w:rsidRPr="00D4048A">
        <w:t>2014</w:t>
      </w:r>
      <w:bookmarkEnd w:id="4"/>
    </w:p>
    <w:p w:rsidR="00C76311" w:rsidRPr="008B0784" w:rsidRDefault="00B54627" w:rsidP="001014D7">
      <w:pPr>
        <w:pStyle w:val="Tableheading"/>
      </w:pPr>
      <w:r>
        <w:t>Table 1:</w:t>
      </w:r>
      <w:r w:rsidR="00765410" w:rsidRPr="004209E9">
        <w:rPr>
          <w:rFonts w:cstheme="minorHAnsi"/>
        </w:rPr>
        <w:t xml:space="preserve"> </w:t>
      </w:r>
      <w:r w:rsidR="00765410" w:rsidRPr="008B0784">
        <w:t xml:space="preserve">Summary of key deregulatory savings </w:t>
      </w:r>
      <w:r w:rsidR="00992296" w:rsidRPr="008B0784">
        <w:t xml:space="preserve">reported or announced between September 2013 and </w:t>
      </w:r>
      <w:r w:rsidR="009E6BA3">
        <w:t>31 </w:t>
      </w:r>
      <w:r w:rsidR="00992296" w:rsidRPr="008B0784">
        <w:t>December 2014</w:t>
      </w:r>
      <w:r w:rsidR="00EF3481" w:rsidRPr="008B0784">
        <w:t xml:space="preserve"> </w:t>
      </w:r>
    </w:p>
    <w:tbl>
      <w:tblPr>
        <w:tblStyle w:val="LightList-Accent2"/>
        <w:tblW w:w="5000" w:type="pct"/>
        <w:tblBorders>
          <w:insideH w:val="single" w:sz="8" w:space="0" w:color="BB9D67" w:themeColor="accent2"/>
          <w:insideV w:val="single" w:sz="8" w:space="0" w:color="BB9D67" w:themeColor="accent2"/>
        </w:tblBorders>
        <w:tblLook w:val="04A0" w:firstRow="1" w:lastRow="0" w:firstColumn="1" w:lastColumn="0" w:noHBand="0" w:noVBand="1"/>
        <w:tblCaption w:val="Table 1: Summary of key deregulatory savings reported or announced between September 2013 and 31 December 2014"/>
        <w:tblDescription w:val="Key measures and corresponding reported deregulatory savings in $ million.&#10;"/>
      </w:tblPr>
      <w:tblGrid>
        <w:gridCol w:w="7653"/>
        <w:gridCol w:w="1353"/>
      </w:tblGrid>
      <w:tr w:rsidR="00272C52" w:rsidRPr="007C35B1" w:rsidTr="00911D11">
        <w:trPr>
          <w:cnfStyle w:val="100000000000" w:firstRow="1" w:lastRow="0" w:firstColumn="0" w:lastColumn="0" w:oddVBand="0" w:evenVBand="0" w:oddHBand="0" w:evenHBand="0" w:firstRowFirstColumn="0" w:firstRowLastColumn="0" w:lastRowFirstColumn="0" w:lastRowLastColumn="0"/>
          <w:trHeight w:val="595"/>
          <w:tblHeader/>
        </w:trPr>
        <w:tc>
          <w:tcPr>
            <w:cnfStyle w:val="001000000000" w:firstRow="0" w:lastRow="0" w:firstColumn="1" w:lastColumn="0" w:oddVBand="0" w:evenVBand="0" w:oddHBand="0" w:evenHBand="0" w:firstRowFirstColumn="0" w:firstRowLastColumn="0" w:lastRowFirstColumn="0" w:lastRowLastColumn="0"/>
            <w:tcW w:w="4249" w:type="pct"/>
            <w:shd w:val="clear" w:color="auto" w:fill="64502D" w:themeFill="accent6" w:themeFillShade="80"/>
            <w:noWrap/>
            <w:hideMark/>
          </w:tcPr>
          <w:p w:rsidR="00765410" w:rsidRPr="007C35B1" w:rsidRDefault="00765410" w:rsidP="00C807CD">
            <w:pPr>
              <w:spacing w:before="120" w:after="120"/>
              <w:rPr>
                <w:b w:val="0"/>
                <w:bCs w:val="0"/>
                <w:lang w:eastAsia="en-AU"/>
              </w:rPr>
            </w:pPr>
            <w:r w:rsidRPr="007C35B1">
              <w:rPr>
                <w:lang w:eastAsia="en-AU"/>
              </w:rPr>
              <w:t>KEY MEASURES</w:t>
            </w:r>
            <w:r w:rsidR="00443756" w:rsidRPr="00443756">
              <w:rPr>
                <w:vertAlign w:val="superscript"/>
                <w:lang w:eastAsia="en-AU"/>
              </w:rPr>
              <w:t>1</w:t>
            </w:r>
          </w:p>
        </w:tc>
        <w:tc>
          <w:tcPr>
            <w:tcW w:w="751" w:type="pct"/>
            <w:shd w:val="clear" w:color="auto" w:fill="64502D" w:themeFill="accent6" w:themeFillShade="80"/>
            <w:noWrap/>
            <w:hideMark/>
          </w:tcPr>
          <w:p w:rsidR="009240C5" w:rsidRDefault="00765410" w:rsidP="00C807CD">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sidRPr="007C35B1">
              <w:rPr>
                <w:lang w:eastAsia="en-AU"/>
              </w:rPr>
              <w:t>Reported</w:t>
            </w:r>
          </w:p>
          <w:p w:rsidR="009240C5" w:rsidRPr="00ED126D" w:rsidRDefault="009240C5" w:rsidP="00C807CD">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sidRPr="007C35B1">
              <w:rPr>
                <w:lang w:eastAsia="en-AU"/>
              </w:rPr>
              <w:t>($ million)</w:t>
            </w:r>
          </w:p>
        </w:tc>
      </w:tr>
      <w:tr w:rsidR="009F4D38" w:rsidRPr="007C35B1" w:rsidTr="00ED126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249" w:type="pct"/>
            <w:tcBorders>
              <w:top w:val="none" w:sz="0" w:space="0" w:color="auto"/>
              <w:left w:val="none" w:sz="0" w:space="0" w:color="auto"/>
              <w:bottom w:val="none" w:sz="0" w:space="0" w:color="auto"/>
            </w:tcBorders>
            <w:hideMark/>
          </w:tcPr>
          <w:p w:rsidR="009F4D38" w:rsidRPr="006C0D7E" w:rsidRDefault="009F4D38" w:rsidP="004F4CC0">
            <w:pPr>
              <w:spacing w:before="120" w:after="120"/>
              <w:rPr>
                <w:rFonts w:eastAsia="Times New Roman" w:cs="Calibri"/>
                <w:color w:val="000000"/>
                <w:szCs w:val="18"/>
                <w:lang w:eastAsia="en-AU"/>
              </w:rPr>
            </w:pPr>
            <w:r w:rsidRPr="006C0D7E">
              <w:rPr>
                <w:rFonts w:eastAsia="Times New Roman" w:cs="Calibri"/>
                <w:color w:val="000000"/>
                <w:szCs w:val="18"/>
                <w:lang w:eastAsia="en-AU"/>
              </w:rPr>
              <w:t>myGov</w:t>
            </w:r>
          </w:p>
        </w:tc>
        <w:tc>
          <w:tcPr>
            <w:tcW w:w="751" w:type="pct"/>
            <w:tcBorders>
              <w:top w:val="none" w:sz="0" w:space="0" w:color="auto"/>
              <w:bottom w:val="none" w:sz="0" w:space="0" w:color="auto"/>
              <w:right w:val="none" w:sz="0" w:space="0" w:color="auto"/>
            </w:tcBorders>
            <w:hideMark/>
          </w:tcPr>
          <w:p w:rsidR="009F4D38" w:rsidRPr="006C0D7E" w:rsidRDefault="009F4D38" w:rsidP="004F4CC0">
            <w:pPr>
              <w:spacing w:before="120" w:after="12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en-AU"/>
              </w:rPr>
            </w:pPr>
            <w:r w:rsidRPr="006C0D7E">
              <w:rPr>
                <w:rFonts w:eastAsia="Times New Roman" w:cs="Calibri"/>
                <w:color w:val="000000"/>
                <w:szCs w:val="18"/>
                <w:lang w:eastAsia="en-AU"/>
              </w:rPr>
              <w:t>$54.6</w:t>
            </w:r>
            <w:r w:rsidR="004C1F9F">
              <w:rPr>
                <w:rFonts w:eastAsia="Times New Roman" w:cs="Calibri"/>
                <w:color w:val="000000"/>
                <w:szCs w:val="18"/>
                <w:lang w:eastAsia="en-AU"/>
              </w:rPr>
              <w:t>2</w:t>
            </w:r>
          </w:p>
        </w:tc>
      </w:tr>
      <w:tr w:rsidR="00E42797" w:rsidRPr="007C35B1" w:rsidTr="00ED126D">
        <w:trPr>
          <w:trHeight w:hRule="exact" w:val="454"/>
        </w:trPr>
        <w:tc>
          <w:tcPr>
            <w:cnfStyle w:val="001000000000" w:firstRow="0" w:lastRow="0" w:firstColumn="1" w:lastColumn="0" w:oddVBand="0" w:evenVBand="0" w:oddHBand="0" w:evenHBand="0" w:firstRowFirstColumn="0" w:firstRowLastColumn="0" w:lastRowFirstColumn="0" w:lastRowLastColumn="0"/>
            <w:tcW w:w="4249" w:type="pct"/>
          </w:tcPr>
          <w:p w:rsidR="00E42797" w:rsidRPr="006C0D7E" w:rsidRDefault="00E42797" w:rsidP="004F4CC0">
            <w:pPr>
              <w:spacing w:before="120" w:after="120"/>
              <w:rPr>
                <w:rFonts w:eastAsia="Times New Roman" w:cs="Calibri"/>
                <w:color w:val="000000"/>
                <w:szCs w:val="18"/>
                <w:lang w:eastAsia="en-AU"/>
              </w:rPr>
            </w:pPr>
            <w:r>
              <w:rPr>
                <w:rFonts w:eastAsia="Times New Roman" w:cs="Calibri"/>
                <w:color w:val="000000"/>
                <w:szCs w:val="18"/>
                <w:lang w:eastAsia="en-AU"/>
              </w:rPr>
              <w:t xml:space="preserve">Digital Wallet </w:t>
            </w:r>
          </w:p>
        </w:tc>
        <w:tc>
          <w:tcPr>
            <w:tcW w:w="751" w:type="pct"/>
          </w:tcPr>
          <w:p w:rsidR="00E42797" w:rsidRPr="006C0D7E" w:rsidRDefault="00E42797" w:rsidP="004F4CC0">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lang w:eastAsia="en-AU"/>
              </w:rPr>
            </w:pPr>
            <w:r>
              <w:rPr>
                <w:rFonts w:eastAsia="Times New Roman" w:cs="Calibri"/>
                <w:color w:val="000000"/>
                <w:szCs w:val="18"/>
                <w:lang w:eastAsia="en-AU"/>
              </w:rPr>
              <w:t>$8.21</w:t>
            </w:r>
          </w:p>
        </w:tc>
      </w:tr>
      <w:tr w:rsidR="00E42797" w:rsidRPr="007C35B1" w:rsidTr="00ED126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249" w:type="pct"/>
            <w:tcBorders>
              <w:top w:val="none" w:sz="0" w:space="0" w:color="auto"/>
              <w:left w:val="none" w:sz="0" w:space="0" w:color="auto"/>
              <w:bottom w:val="none" w:sz="0" w:space="0" w:color="auto"/>
            </w:tcBorders>
          </w:tcPr>
          <w:p w:rsidR="00E42797" w:rsidRPr="006C0D7E" w:rsidRDefault="00E42797" w:rsidP="004F4CC0">
            <w:pPr>
              <w:spacing w:before="120" w:after="120"/>
              <w:rPr>
                <w:rFonts w:eastAsia="Times New Roman" w:cs="Calibri"/>
                <w:color w:val="000000"/>
                <w:szCs w:val="18"/>
                <w:lang w:eastAsia="en-AU"/>
              </w:rPr>
            </w:pPr>
            <w:r>
              <w:rPr>
                <w:rFonts w:eastAsia="Times New Roman" w:cs="Calibri"/>
                <w:color w:val="000000"/>
                <w:szCs w:val="18"/>
                <w:lang w:eastAsia="en-AU"/>
              </w:rPr>
              <w:t>Circumstances update – income and assets</w:t>
            </w:r>
          </w:p>
        </w:tc>
        <w:tc>
          <w:tcPr>
            <w:tcW w:w="751" w:type="pct"/>
            <w:tcBorders>
              <w:top w:val="none" w:sz="0" w:space="0" w:color="auto"/>
              <w:bottom w:val="none" w:sz="0" w:space="0" w:color="auto"/>
              <w:right w:val="none" w:sz="0" w:space="0" w:color="auto"/>
            </w:tcBorders>
          </w:tcPr>
          <w:p w:rsidR="00E42797" w:rsidRPr="006C0D7E" w:rsidRDefault="00E42797" w:rsidP="004F4CC0">
            <w:pPr>
              <w:spacing w:before="120" w:after="12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en-AU"/>
              </w:rPr>
            </w:pPr>
            <w:r>
              <w:rPr>
                <w:rFonts w:eastAsia="Times New Roman" w:cs="Calibri"/>
                <w:color w:val="000000"/>
                <w:szCs w:val="18"/>
                <w:lang w:eastAsia="en-AU"/>
              </w:rPr>
              <w:t>$7.42</w:t>
            </w:r>
          </w:p>
        </w:tc>
      </w:tr>
      <w:tr w:rsidR="009F4D38" w:rsidRPr="007C35B1" w:rsidTr="00ED126D">
        <w:trPr>
          <w:trHeight w:hRule="exact" w:val="454"/>
        </w:trPr>
        <w:tc>
          <w:tcPr>
            <w:cnfStyle w:val="001000000000" w:firstRow="0" w:lastRow="0" w:firstColumn="1" w:lastColumn="0" w:oddVBand="0" w:evenVBand="0" w:oddHBand="0" w:evenHBand="0" w:firstRowFirstColumn="0" w:firstRowLastColumn="0" w:lastRowFirstColumn="0" w:lastRowLastColumn="0"/>
            <w:tcW w:w="4249" w:type="pct"/>
            <w:hideMark/>
          </w:tcPr>
          <w:p w:rsidR="009F4D38" w:rsidRPr="006C0D7E" w:rsidRDefault="002C144A" w:rsidP="004F4CC0">
            <w:pPr>
              <w:spacing w:before="120" w:after="120"/>
              <w:rPr>
                <w:rFonts w:eastAsia="Times New Roman" w:cs="Calibri"/>
                <w:color w:val="000000"/>
                <w:szCs w:val="18"/>
                <w:lang w:eastAsia="en-AU"/>
              </w:rPr>
            </w:pPr>
            <w:r>
              <w:rPr>
                <w:rFonts w:eastAsia="Times New Roman" w:cs="Calibri"/>
                <w:color w:val="000000"/>
                <w:szCs w:val="18"/>
                <w:lang w:eastAsia="en-AU"/>
              </w:rPr>
              <w:t>Online claiming – Newstart Allowance</w:t>
            </w:r>
          </w:p>
        </w:tc>
        <w:tc>
          <w:tcPr>
            <w:tcW w:w="751" w:type="pct"/>
            <w:hideMark/>
          </w:tcPr>
          <w:p w:rsidR="009F4D38" w:rsidRPr="006C0D7E" w:rsidRDefault="009F4D38" w:rsidP="004F4CC0">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lang w:eastAsia="en-AU"/>
              </w:rPr>
            </w:pPr>
            <w:r w:rsidRPr="006C0D7E">
              <w:rPr>
                <w:rFonts w:eastAsia="Times New Roman" w:cs="Calibri"/>
                <w:color w:val="000000"/>
                <w:szCs w:val="18"/>
                <w:lang w:eastAsia="en-AU"/>
              </w:rPr>
              <w:t>$7.3</w:t>
            </w:r>
            <w:r w:rsidR="004C1F9F">
              <w:rPr>
                <w:rFonts w:eastAsia="Times New Roman" w:cs="Calibri"/>
                <w:color w:val="000000"/>
                <w:szCs w:val="18"/>
                <w:lang w:eastAsia="en-AU"/>
              </w:rPr>
              <w:t>1</w:t>
            </w:r>
          </w:p>
        </w:tc>
      </w:tr>
      <w:tr w:rsidR="009F4D38" w:rsidRPr="007C35B1" w:rsidTr="00ED126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249" w:type="pct"/>
            <w:tcBorders>
              <w:top w:val="none" w:sz="0" w:space="0" w:color="auto"/>
              <w:left w:val="none" w:sz="0" w:space="0" w:color="auto"/>
              <w:bottom w:val="none" w:sz="0" w:space="0" w:color="auto"/>
            </w:tcBorders>
          </w:tcPr>
          <w:p w:rsidR="009F4D38" w:rsidRPr="006C0D7E" w:rsidRDefault="002C144A" w:rsidP="004F4CC0">
            <w:pPr>
              <w:spacing w:before="120" w:after="120"/>
              <w:rPr>
                <w:rFonts w:eastAsia="Times New Roman" w:cs="Calibri"/>
                <w:color w:val="000000"/>
                <w:szCs w:val="18"/>
                <w:lang w:eastAsia="en-AU"/>
              </w:rPr>
            </w:pPr>
            <w:r>
              <w:rPr>
                <w:rFonts w:eastAsia="Times New Roman" w:cs="Calibri"/>
                <w:color w:val="000000"/>
                <w:szCs w:val="18"/>
                <w:lang w:eastAsia="en-AU"/>
              </w:rPr>
              <w:t xml:space="preserve">Online claiming – </w:t>
            </w:r>
            <w:r w:rsidR="009F4D38" w:rsidRPr="006C0D7E">
              <w:rPr>
                <w:rFonts w:eastAsia="Times New Roman" w:cs="Calibri"/>
                <w:color w:val="000000"/>
                <w:szCs w:val="18"/>
                <w:lang w:eastAsia="en-AU"/>
              </w:rPr>
              <w:t xml:space="preserve">Parenting Payment </w:t>
            </w:r>
          </w:p>
        </w:tc>
        <w:tc>
          <w:tcPr>
            <w:tcW w:w="751" w:type="pct"/>
            <w:tcBorders>
              <w:top w:val="none" w:sz="0" w:space="0" w:color="auto"/>
              <w:bottom w:val="none" w:sz="0" w:space="0" w:color="auto"/>
              <w:right w:val="none" w:sz="0" w:space="0" w:color="auto"/>
            </w:tcBorders>
          </w:tcPr>
          <w:p w:rsidR="009F4D38" w:rsidRPr="006C0D7E" w:rsidRDefault="009F4D38" w:rsidP="004F4CC0">
            <w:pPr>
              <w:spacing w:before="120" w:after="12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en-AU"/>
              </w:rPr>
            </w:pPr>
            <w:r w:rsidRPr="006C0D7E">
              <w:rPr>
                <w:rFonts w:eastAsia="Times New Roman" w:cs="Calibri"/>
                <w:color w:val="000000"/>
                <w:szCs w:val="18"/>
                <w:lang w:eastAsia="en-AU"/>
              </w:rPr>
              <w:t>$5.1</w:t>
            </w:r>
            <w:r w:rsidR="004C1F9F">
              <w:rPr>
                <w:rFonts w:eastAsia="Times New Roman" w:cs="Calibri"/>
                <w:color w:val="000000"/>
                <w:szCs w:val="18"/>
                <w:lang w:eastAsia="en-AU"/>
              </w:rPr>
              <w:t>1</w:t>
            </w:r>
          </w:p>
        </w:tc>
      </w:tr>
    </w:tbl>
    <w:p w:rsidR="00765410" w:rsidRPr="00E407C0" w:rsidRDefault="00443756" w:rsidP="00E407C0">
      <w:pPr>
        <w:pStyle w:val="Reference"/>
      </w:pPr>
      <w:r>
        <w:rPr>
          <w:vertAlign w:val="superscript"/>
        </w:rPr>
        <w:t>1</w:t>
      </w:r>
      <w:r w:rsidR="009E6BA3" w:rsidRPr="00E407C0">
        <w:t xml:space="preserve"> </w:t>
      </w:r>
      <w:r w:rsidR="00E407C0" w:rsidRPr="00E407C0">
        <w:t>Appendix A lists other measures contributing to the department’s total regulatory savings.</w:t>
      </w:r>
    </w:p>
    <w:p w:rsidR="00BF2DB7" w:rsidRPr="00600B21" w:rsidRDefault="00BF2DB7" w:rsidP="00D4048A">
      <w:pPr>
        <w:pStyle w:val="Documenttitle02"/>
      </w:pPr>
      <w:bookmarkStart w:id="5" w:name="_Toc414293163"/>
      <w:bookmarkStart w:id="6" w:name="_Toc382330236"/>
      <w:r w:rsidRPr="00600B21">
        <w:t>Regulation Impact Statements</w:t>
      </w:r>
      <w:bookmarkEnd w:id="5"/>
    </w:p>
    <w:p w:rsidR="00440D05" w:rsidRPr="001A1525" w:rsidRDefault="00EA1A25" w:rsidP="00124255">
      <w:pPr>
        <w:rPr>
          <w:sz w:val="24"/>
          <w:szCs w:val="24"/>
          <w:lang w:val="en-GB"/>
        </w:rPr>
      </w:pPr>
      <w:r w:rsidRPr="001A1525">
        <w:rPr>
          <w:sz w:val="24"/>
          <w:szCs w:val="24"/>
          <w:lang w:val="en-GB"/>
        </w:rPr>
        <w:t>The department has consulted with the Office of Best Practice Regulation throughout the year and has not been required to submit a</w:t>
      </w:r>
      <w:r w:rsidR="00F071F0" w:rsidRPr="001A1525">
        <w:rPr>
          <w:sz w:val="24"/>
          <w:szCs w:val="24"/>
          <w:lang w:val="en-GB"/>
        </w:rPr>
        <w:t xml:space="preserve"> Regulation Impact Statement</w:t>
      </w:r>
      <w:r w:rsidRPr="001A1525">
        <w:rPr>
          <w:sz w:val="24"/>
          <w:szCs w:val="24"/>
          <w:lang w:val="en-GB"/>
        </w:rPr>
        <w:t xml:space="preserve"> for any of the department’s</w:t>
      </w:r>
      <w:r w:rsidR="00FC3D08">
        <w:rPr>
          <w:sz w:val="24"/>
          <w:szCs w:val="24"/>
          <w:lang w:val="en-GB"/>
        </w:rPr>
        <w:t xml:space="preserve"> 2014</w:t>
      </w:r>
      <w:r w:rsidRPr="001A1525">
        <w:rPr>
          <w:sz w:val="24"/>
          <w:szCs w:val="24"/>
          <w:lang w:val="en-GB"/>
        </w:rPr>
        <w:t xml:space="preserve"> initiatives.</w:t>
      </w:r>
    </w:p>
    <w:tbl>
      <w:tblPr>
        <w:tblStyle w:val="LightList-Accent2"/>
        <w:tblpPr w:leftFromText="180" w:rightFromText="180" w:vertAnchor="text" w:horzAnchor="margin" w:tblpY="434"/>
        <w:tblW w:w="5000" w:type="pct"/>
        <w:tblBorders>
          <w:insideH w:val="single" w:sz="8" w:space="0" w:color="BB9D67" w:themeColor="accent2"/>
          <w:insideV w:val="single" w:sz="8" w:space="0" w:color="BB9D67" w:themeColor="accent2"/>
        </w:tblBorders>
        <w:tblLayout w:type="fixed"/>
        <w:tblLook w:val="0000" w:firstRow="0" w:lastRow="0" w:firstColumn="0" w:lastColumn="0" w:noHBand="0" w:noVBand="0"/>
        <w:tblCaption w:val="Table 2: Regulation Impact Statement compliance 2014 "/>
        <w:tblDescription w:val="Department of Human Services Regulation Impact Statement compliance for 2014."/>
      </w:tblPr>
      <w:tblGrid>
        <w:gridCol w:w="3394"/>
        <w:gridCol w:w="1871"/>
        <w:gridCol w:w="1871"/>
        <w:gridCol w:w="1870"/>
      </w:tblGrid>
      <w:tr w:rsidR="00440D05" w:rsidRPr="000E0956" w:rsidTr="004F4CC0">
        <w:trPr>
          <w:tblHeader/>
        </w:trPr>
        <w:tc>
          <w:tcPr>
            <w:cnfStyle w:val="000010000000" w:firstRow="0" w:lastRow="0" w:firstColumn="0" w:lastColumn="0" w:oddVBand="1" w:evenVBand="0" w:oddHBand="0" w:evenHBand="0" w:firstRowFirstColumn="0" w:firstRowLastColumn="0" w:lastRowFirstColumn="0" w:lastRowLastColumn="0"/>
            <w:tcW w:w="1884" w:type="pct"/>
            <w:tcBorders>
              <w:top w:val="none" w:sz="0" w:space="0" w:color="auto"/>
              <w:left w:val="none" w:sz="0" w:space="0" w:color="auto"/>
              <w:bottom w:val="single" w:sz="8" w:space="0" w:color="BB9D67" w:themeColor="accent2"/>
              <w:right w:val="none" w:sz="0" w:space="0" w:color="auto"/>
            </w:tcBorders>
            <w:shd w:val="clear" w:color="auto" w:fill="64502D" w:themeFill="accent6" w:themeFillShade="80"/>
          </w:tcPr>
          <w:p w:rsidR="00440D05" w:rsidRPr="00780AF8" w:rsidRDefault="00C807CD" w:rsidP="00C807CD">
            <w:pPr>
              <w:spacing w:before="120" w:after="120"/>
              <w:rPr>
                <w:b/>
                <w:color w:val="FFFFFF" w:themeColor="background1"/>
              </w:rPr>
            </w:pPr>
            <w:r>
              <w:rPr>
                <w:b/>
                <w:color w:val="FFFFFF" w:themeColor="background1"/>
              </w:rPr>
              <w:t>Department</w:t>
            </w:r>
          </w:p>
        </w:tc>
        <w:tc>
          <w:tcPr>
            <w:tcW w:w="1039" w:type="pct"/>
            <w:tcBorders>
              <w:bottom w:val="single" w:sz="8" w:space="0" w:color="BB9D67" w:themeColor="accent2"/>
            </w:tcBorders>
            <w:shd w:val="clear" w:color="auto" w:fill="64502D" w:themeFill="accent6" w:themeFillShade="80"/>
          </w:tcPr>
          <w:p w:rsidR="00440D05" w:rsidRPr="00780AF8" w:rsidRDefault="00440D05" w:rsidP="00C807CD">
            <w:pPr>
              <w:spacing w:before="120" w:after="120"/>
              <w:cnfStyle w:val="000000000000" w:firstRow="0" w:lastRow="0" w:firstColumn="0" w:lastColumn="0" w:oddVBand="0" w:evenVBand="0" w:oddHBand="0" w:evenHBand="0" w:firstRowFirstColumn="0" w:firstRowLastColumn="0" w:lastRowFirstColumn="0" w:lastRowLastColumn="0"/>
              <w:rPr>
                <w:b/>
                <w:color w:val="FFFFFF" w:themeColor="background1"/>
              </w:rPr>
            </w:pPr>
            <w:r w:rsidRPr="00780AF8">
              <w:rPr>
                <w:b/>
                <w:color w:val="FFFFFF" w:themeColor="background1"/>
              </w:rPr>
              <w:t>RIS Compliance</w:t>
            </w:r>
          </w:p>
        </w:tc>
        <w:tc>
          <w:tcPr>
            <w:cnfStyle w:val="000010000000" w:firstRow="0" w:lastRow="0" w:firstColumn="0" w:lastColumn="0" w:oddVBand="1" w:evenVBand="0" w:oddHBand="0" w:evenHBand="0" w:firstRowFirstColumn="0" w:firstRowLastColumn="0" w:lastRowFirstColumn="0" w:lastRowLastColumn="0"/>
            <w:tcW w:w="1039" w:type="pct"/>
            <w:tcBorders>
              <w:top w:val="none" w:sz="0" w:space="0" w:color="auto"/>
              <w:left w:val="none" w:sz="0" w:space="0" w:color="auto"/>
              <w:right w:val="none" w:sz="0" w:space="0" w:color="auto"/>
            </w:tcBorders>
            <w:shd w:val="clear" w:color="auto" w:fill="64502D" w:themeFill="accent6" w:themeFillShade="80"/>
          </w:tcPr>
          <w:p w:rsidR="00440D05" w:rsidRPr="00780AF8" w:rsidRDefault="00440D05" w:rsidP="00C807CD">
            <w:pPr>
              <w:spacing w:before="120" w:after="120"/>
              <w:rPr>
                <w:b/>
                <w:color w:val="FFFFFF" w:themeColor="background1"/>
              </w:rPr>
            </w:pPr>
            <w:r w:rsidRPr="00780AF8">
              <w:rPr>
                <w:b/>
                <w:color w:val="FFFFFF" w:themeColor="background1"/>
              </w:rPr>
              <w:t>PM’s Exemptions</w:t>
            </w:r>
          </w:p>
        </w:tc>
        <w:tc>
          <w:tcPr>
            <w:tcW w:w="1039" w:type="pct"/>
            <w:shd w:val="clear" w:color="auto" w:fill="64502D" w:themeFill="accent6" w:themeFillShade="80"/>
          </w:tcPr>
          <w:p w:rsidR="00440D05" w:rsidRPr="00780AF8" w:rsidRDefault="00440D05" w:rsidP="00C807CD">
            <w:pPr>
              <w:spacing w:before="120" w:after="120"/>
              <w:cnfStyle w:val="000000000000" w:firstRow="0" w:lastRow="0" w:firstColumn="0" w:lastColumn="0" w:oddVBand="0" w:evenVBand="0" w:oddHBand="0" w:evenHBand="0" w:firstRowFirstColumn="0" w:firstRowLastColumn="0" w:lastRowFirstColumn="0" w:lastRowLastColumn="0"/>
              <w:rPr>
                <w:b/>
                <w:color w:val="FFFFFF" w:themeColor="background1"/>
              </w:rPr>
            </w:pPr>
            <w:r w:rsidRPr="00780AF8">
              <w:rPr>
                <w:b/>
                <w:color w:val="FFFFFF" w:themeColor="background1"/>
              </w:rPr>
              <w:t xml:space="preserve">PIR </w:t>
            </w:r>
            <w:r w:rsidRPr="00780AF8">
              <w:rPr>
                <w:b/>
                <w:color w:val="FFFFFF" w:themeColor="background1"/>
              </w:rPr>
              <w:br/>
              <w:t>required</w:t>
            </w:r>
          </w:p>
        </w:tc>
      </w:tr>
      <w:tr w:rsidR="00440D05" w:rsidRPr="000E0956" w:rsidTr="004F4CC0">
        <w:trPr>
          <w:cnfStyle w:val="000000100000" w:firstRow="0" w:lastRow="0" w:firstColumn="0" w:lastColumn="0" w:oddVBand="0" w:evenVBand="0" w:oddHBand="1" w:evenHBand="0" w:firstRowFirstColumn="0" w:firstRowLastColumn="0" w:lastRowFirstColumn="0" w:lastRowLastColumn="0"/>
          <w:trHeight w:hRule="exact" w:val="525"/>
        </w:trPr>
        <w:tc>
          <w:tcPr>
            <w:cnfStyle w:val="000010000000" w:firstRow="0" w:lastRow="0" w:firstColumn="0" w:lastColumn="0" w:oddVBand="1" w:evenVBand="0" w:oddHBand="0" w:evenHBand="0" w:firstRowFirstColumn="0" w:firstRowLastColumn="0" w:lastRowFirstColumn="0" w:lastRowLastColumn="0"/>
            <w:tcW w:w="1884" w:type="pct"/>
          </w:tcPr>
          <w:p w:rsidR="00440D05" w:rsidRPr="000E0956" w:rsidRDefault="00440D05" w:rsidP="004F4CC0">
            <w:pPr>
              <w:spacing w:before="120" w:after="120"/>
            </w:pPr>
            <w:r>
              <w:rPr>
                <w:i/>
              </w:rPr>
              <w:t>Department of Human Services</w:t>
            </w:r>
          </w:p>
        </w:tc>
        <w:tc>
          <w:tcPr>
            <w:tcW w:w="1039" w:type="pct"/>
            <w:tcBorders>
              <w:top w:val="none" w:sz="0" w:space="0" w:color="auto"/>
              <w:left w:val="single" w:sz="8" w:space="0" w:color="BB9D67" w:themeColor="accent2"/>
              <w:bottom w:val="none" w:sz="0" w:space="0" w:color="auto"/>
            </w:tcBorders>
          </w:tcPr>
          <w:p w:rsidR="00440D05" w:rsidRPr="0008286B" w:rsidRDefault="00440D05" w:rsidP="004F4CC0">
            <w:pPr>
              <w:spacing w:before="120" w:after="120"/>
              <w:cnfStyle w:val="000000100000" w:firstRow="0" w:lastRow="0" w:firstColumn="0" w:lastColumn="0" w:oddVBand="0" w:evenVBand="0" w:oddHBand="1" w:evenHBand="0" w:firstRowFirstColumn="0" w:firstRowLastColumn="0" w:lastRowFirstColumn="0" w:lastRowLastColumn="0"/>
            </w:pPr>
            <w:r w:rsidRPr="0008286B">
              <w:t>N/A</w:t>
            </w:r>
          </w:p>
        </w:tc>
        <w:tc>
          <w:tcPr>
            <w:cnfStyle w:val="000010000000" w:firstRow="0" w:lastRow="0" w:firstColumn="0" w:lastColumn="0" w:oddVBand="1" w:evenVBand="0" w:oddHBand="0" w:evenHBand="0" w:firstRowFirstColumn="0" w:firstRowLastColumn="0" w:lastRowFirstColumn="0" w:lastRowLastColumn="0"/>
            <w:tcW w:w="1039" w:type="pct"/>
            <w:tcBorders>
              <w:top w:val="none" w:sz="0" w:space="0" w:color="auto"/>
              <w:left w:val="none" w:sz="0" w:space="0" w:color="auto"/>
              <w:bottom w:val="none" w:sz="0" w:space="0" w:color="auto"/>
              <w:right w:val="none" w:sz="0" w:space="0" w:color="auto"/>
            </w:tcBorders>
          </w:tcPr>
          <w:p w:rsidR="00440D05" w:rsidRPr="0008286B" w:rsidRDefault="00440D05" w:rsidP="004F4CC0">
            <w:pPr>
              <w:spacing w:before="120" w:after="120"/>
            </w:pPr>
            <w:r w:rsidRPr="0008286B">
              <w:t>0</w:t>
            </w:r>
          </w:p>
        </w:tc>
        <w:tc>
          <w:tcPr>
            <w:tcW w:w="1039" w:type="pct"/>
            <w:tcBorders>
              <w:top w:val="none" w:sz="0" w:space="0" w:color="auto"/>
              <w:bottom w:val="none" w:sz="0" w:space="0" w:color="auto"/>
              <w:right w:val="none" w:sz="0" w:space="0" w:color="auto"/>
            </w:tcBorders>
          </w:tcPr>
          <w:p w:rsidR="00440D05" w:rsidRPr="0008286B" w:rsidRDefault="00440D05" w:rsidP="004F4CC0">
            <w:pPr>
              <w:spacing w:before="120" w:after="120"/>
              <w:cnfStyle w:val="000000100000" w:firstRow="0" w:lastRow="0" w:firstColumn="0" w:lastColumn="0" w:oddVBand="0" w:evenVBand="0" w:oddHBand="1" w:evenHBand="0" w:firstRowFirstColumn="0" w:firstRowLastColumn="0" w:lastRowFirstColumn="0" w:lastRowLastColumn="0"/>
            </w:pPr>
            <w:r w:rsidRPr="0008286B">
              <w:t>0</w:t>
            </w:r>
          </w:p>
        </w:tc>
      </w:tr>
    </w:tbl>
    <w:p w:rsidR="00F00661" w:rsidRPr="008B0784" w:rsidRDefault="00861246" w:rsidP="00440D05">
      <w:pPr>
        <w:pStyle w:val="Tableheading"/>
        <w:spacing w:before="0" w:after="0"/>
      </w:pPr>
      <w:r w:rsidRPr="00B35E3D">
        <w:t xml:space="preserve">Table </w:t>
      </w:r>
      <w:r w:rsidR="002C144A">
        <w:t>2</w:t>
      </w:r>
      <w:r w:rsidRPr="00B35E3D">
        <w:t xml:space="preserve">: Regulation Impact Statement compliance 2014 </w:t>
      </w:r>
      <w:bookmarkEnd w:id="6"/>
    </w:p>
    <w:p w:rsidR="00861246" w:rsidRDefault="00530D44" w:rsidP="00D4048A">
      <w:pPr>
        <w:pStyle w:val="Documenttitle02"/>
      </w:pPr>
      <w:bookmarkStart w:id="7" w:name="_Toc414293164"/>
      <w:r>
        <w:t xml:space="preserve">Portfolio </w:t>
      </w:r>
      <w:r w:rsidR="00075524">
        <w:t>a</w:t>
      </w:r>
      <w:r w:rsidR="009600C6">
        <w:t xml:space="preserve">ctivity </w:t>
      </w:r>
      <w:r w:rsidR="00075524">
        <w:t>s</w:t>
      </w:r>
      <w:r w:rsidR="009600C6">
        <w:t xml:space="preserve">upporting </w:t>
      </w:r>
      <w:r w:rsidR="00075524">
        <w:t>the Government’s red tape objective</w:t>
      </w:r>
      <w:bookmarkEnd w:id="7"/>
    </w:p>
    <w:p w:rsidR="00530D44" w:rsidRPr="00E869D1" w:rsidRDefault="00DC4923" w:rsidP="002939AC">
      <w:pPr>
        <w:pStyle w:val="Documenttitle3"/>
        <w:rPr>
          <w:color w:val="64502D" w:themeColor="accent6" w:themeShade="80"/>
        </w:rPr>
      </w:pPr>
      <w:bookmarkStart w:id="8" w:name="_Toc414293165"/>
      <w:r w:rsidRPr="00E869D1">
        <w:rPr>
          <w:color w:val="64502D" w:themeColor="accent6" w:themeShade="80"/>
        </w:rPr>
        <w:t>Deregulation Unit</w:t>
      </w:r>
      <w:bookmarkEnd w:id="8"/>
    </w:p>
    <w:p w:rsidR="00440D05" w:rsidRDefault="000E2C46" w:rsidP="00B872C3">
      <w:pPr>
        <w:spacing w:after="240"/>
        <w:rPr>
          <w:sz w:val="24"/>
          <w:szCs w:val="24"/>
        </w:rPr>
      </w:pPr>
      <w:r w:rsidRPr="001A1525">
        <w:rPr>
          <w:rFonts w:eastAsia="Times New Roman" w:cs="Times New Roman"/>
          <w:sz w:val="24"/>
          <w:szCs w:val="24"/>
          <w:lang w:val="en" w:eastAsia="en-AU"/>
        </w:rPr>
        <w:t>The department</w:t>
      </w:r>
      <w:r w:rsidR="00FC3D08">
        <w:rPr>
          <w:rFonts w:eastAsia="Times New Roman" w:cs="Times New Roman"/>
          <w:sz w:val="24"/>
          <w:szCs w:val="24"/>
          <w:lang w:val="en" w:eastAsia="en-AU"/>
        </w:rPr>
        <w:t>’s</w:t>
      </w:r>
      <w:r w:rsidR="00686854" w:rsidRPr="001A1525">
        <w:rPr>
          <w:rFonts w:eastAsia="Times New Roman" w:cs="Times New Roman"/>
          <w:sz w:val="24"/>
          <w:szCs w:val="24"/>
          <w:lang w:val="en" w:eastAsia="en-AU"/>
        </w:rPr>
        <w:t xml:space="preserve"> deregulation unit</w:t>
      </w:r>
      <w:r w:rsidRPr="001A1525">
        <w:rPr>
          <w:rFonts w:eastAsia="Times New Roman" w:cs="Times New Roman"/>
          <w:sz w:val="24"/>
          <w:szCs w:val="24"/>
          <w:lang w:val="en" w:eastAsia="en-AU"/>
        </w:rPr>
        <w:t xml:space="preserve"> </w:t>
      </w:r>
      <w:r w:rsidR="00FC3D08">
        <w:rPr>
          <w:rFonts w:eastAsia="Times New Roman" w:cs="Times New Roman"/>
          <w:sz w:val="24"/>
          <w:szCs w:val="24"/>
          <w:lang w:val="en" w:eastAsia="en-AU"/>
        </w:rPr>
        <w:t xml:space="preserve">was established </w:t>
      </w:r>
      <w:r w:rsidRPr="001A1525">
        <w:rPr>
          <w:rFonts w:eastAsia="Times New Roman" w:cs="Times New Roman"/>
          <w:sz w:val="24"/>
          <w:szCs w:val="24"/>
          <w:lang w:val="en" w:eastAsia="en-AU"/>
        </w:rPr>
        <w:t>in</w:t>
      </w:r>
      <w:r w:rsidR="001A1525">
        <w:rPr>
          <w:rFonts w:eastAsia="Times New Roman" w:cs="Times New Roman"/>
          <w:sz w:val="24"/>
          <w:szCs w:val="24"/>
          <w:lang w:val="en" w:eastAsia="en-AU"/>
        </w:rPr>
        <w:t xml:space="preserve"> October</w:t>
      </w:r>
      <w:r w:rsidRPr="001A1525">
        <w:rPr>
          <w:rFonts w:eastAsia="Times New Roman" w:cs="Times New Roman"/>
          <w:sz w:val="24"/>
          <w:szCs w:val="24"/>
          <w:lang w:val="en" w:eastAsia="en-AU"/>
        </w:rPr>
        <w:t xml:space="preserve"> 2013 </w:t>
      </w:r>
      <w:r w:rsidR="00686854" w:rsidRPr="001A1525">
        <w:rPr>
          <w:rFonts w:eastAsia="Times New Roman" w:cs="Times New Roman"/>
          <w:sz w:val="24"/>
          <w:szCs w:val="24"/>
          <w:lang w:val="en" w:eastAsia="en-AU"/>
        </w:rPr>
        <w:t>to</w:t>
      </w:r>
      <w:r w:rsidRPr="001A1525">
        <w:rPr>
          <w:rFonts w:eastAsia="Times New Roman" w:cs="Times New Roman"/>
          <w:sz w:val="24"/>
          <w:szCs w:val="24"/>
          <w:lang w:val="en" w:eastAsia="en-AU"/>
        </w:rPr>
        <w:t xml:space="preserve"> coordinat</w:t>
      </w:r>
      <w:r w:rsidR="00686854" w:rsidRPr="001A1525">
        <w:rPr>
          <w:rFonts w:eastAsia="Times New Roman" w:cs="Times New Roman"/>
          <w:sz w:val="24"/>
          <w:szCs w:val="24"/>
          <w:lang w:val="en" w:eastAsia="en-AU"/>
        </w:rPr>
        <w:t>e</w:t>
      </w:r>
      <w:r w:rsidR="00332EE4" w:rsidRPr="001A1525">
        <w:rPr>
          <w:rFonts w:eastAsia="Times New Roman" w:cs="Times New Roman"/>
          <w:sz w:val="24"/>
          <w:szCs w:val="24"/>
          <w:lang w:val="en" w:eastAsia="en-AU"/>
        </w:rPr>
        <w:t xml:space="preserve"> the</w:t>
      </w:r>
      <w:r w:rsidRPr="001A1525">
        <w:rPr>
          <w:rFonts w:eastAsia="Times New Roman" w:cs="Times New Roman"/>
          <w:sz w:val="24"/>
          <w:szCs w:val="24"/>
          <w:lang w:val="en" w:eastAsia="en-AU"/>
        </w:rPr>
        <w:t xml:space="preserve"> implement</w:t>
      </w:r>
      <w:r w:rsidR="00FC3D08">
        <w:rPr>
          <w:rFonts w:eastAsia="Times New Roman" w:cs="Times New Roman"/>
          <w:sz w:val="24"/>
          <w:szCs w:val="24"/>
          <w:lang w:val="en" w:eastAsia="en-AU"/>
        </w:rPr>
        <w:t>ation of initiatives under the G</w:t>
      </w:r>
      <w:r w:rsidRPr="001A1525">
        <w:rPr>
          <w:rFonts w:eastAsia="Times New Roman" w:cs="Times New Roman"/>
          <w:sz w:val="24"/>
          <w:szCs w:val="24"/>
          <w:lang w:val="en" w:eastAsia="en-AU"/>
        </w:rPr>
        <w:t xml:space="preserve">overnment’s </w:t>
      </w:r>
      <w:r w:rsidR="001A1525">
        <w:rPr>
          <w:rFonts w:eastAsia="Times New Roman" w:cs="Times New Roman"/>
          <w:sz w:val="24"/>
          <w:szCs w:val="24"/>
          <w:lang w:val="en" w:eastAsia="en-AU"/>
        </w:rPr>
        <w:t>deregulation agenda</w:t>
      </w:r>
      <w:r w:rsidRPr="001A1525">
        <w:rPr>
          <w:rFonts w:eastAsia="Times New Roman" w:cs="Times New Roman"/>
          <w:sz w:val="24"/>
          <w:szCs w:val="24"/>
          <w:lang w:val="en" w:eastAsia="en-AU"/>
        </w:rPr>
        <w:t xml:space="preserve">. </w:t>
      </w:r>
      <w:r w:rsidRPr="001A1525">
        <w:rPr>
          <w:sz w:val="24"/>
          <w:szCs w:val="24"/>
        </w:rPr>
        <w:t>The</w:t>
      </w:r>
      <w:r w:rsidR="00686854" w:rsidRPr="001A1525">
        <w:rPr>
          <w:sz w:val="24"/>
          <w:szCs w:val="24"/>
        </w:rPr>
        <w:t xml:space="preserve"> Deregulation and Red Tape Reduction B</w:t>
      </w:r>
      <w:r w:rsidRPr="001A1525">
        <w:rPr>
          <w:sz w:val="24"/>
          <w:szCs w:val="24"/>
        </w:rPr>
        <w:t xml:space="preserve">ranch is headed by a Senior Executive Service officer and funded </w:t>
      </w:r>
      <w:r w:rsidRPr="001A1525">
        <w:rPr>
          <w:sz w:val="24"/>
          <w:szCs w:val="24"/>
        </w:rPr>
        <w:lastRenderedPageBreak/>
        <w:t xml:space="preserve">from existing resources. </w:t>
      </w:r>
      <w:r w:rsidR="005A74EF">
        <w:rPr>
          <w:sz w:val="24"/>
          <w:szCs w:val="24"/>
        </w:rPr>
        <w:t>As at 31 December 2014</w:t>
      </w:r>
      <w:r w:rsidR="000F60E0">
        <w:rPr>
          <w:sz w:val="24"/>
          <w:szCs w:val="24"/>
        </w:rPr>
        <w:t>,</w:t>
      </w:r>
      <w:r w:rsidR="005A74EF">
        <w:rPr>
          <w:sz w:val="24"/>
          <w:szCs w:val="24"/>
        </w:rPr>
        <w:t xml:space="preserve"> the Deregulation Unit had twelve staff including the National Manager, Deregulation and Red Tape</w:t>
      </w:r>
      <w:r w:rsidR="001832F5">
        <w:rPr>
          <w:sz w:val="24"/>
          <w:szCs w:val="24"/>
        </w:rPr>
        <w:t xml:space="preserve"> Reduction</w:t>
      </w:r>
      <w:r w:rsidR="005A74EF">
        <w:rPr>
          <w:sz w:val="24"/>
          <w:szCs w:val="24"/>
        </w:rPr>
        <w:t xml:space="preserve">, who </w:t>
      </w:r>
      <w:r w:rsidRPr="001A1525">
        <w:rPr>
          <w:rFonts w:eastAsia="Times New Roman" w:cs="Times New Roman"/>
          <w:sz w:val="24"/>
          <w:szCs w:val="24"/>
          <w:lang w:val="en" w:eastAsia="en-AU"/>
        </w:rPr>
        <w:t>reports directly to the Secretary on matters of policy.</w:t>
      </w:r>
    </w:p>
    <w:p w:rsidR="00746392" w:rsidRDefault="00746392">
      <w:pPr>
        <w:rPr>
          <w:sz w:val="24"/>
          <w:szCs w:val="24"/>
        </w:rPr>
      </w:pPr>
      <w:r>
        <w:rPr>
          <w:sz w:val="24"/>
          <w:szCs w:val="24"/>
        </w:rPr>
        <w:br w:type="page"/>
      </w:r>
    </w:p>
    <w:p w:rsidR="00776502" w:rsidRPr="001A1525" w:rsidRDefault="000E2C46" w:rsidP="00B872C3">
      <w:pPr>
        <w:rPr>
          <w:sz w:val="24"/>
          <w:szCs w:val="24"/>
        </w:rPr>
      </w:pPr>
      <w:r w:rsidRPr="001A1525">
        <w:rPr>
          <w:sz w:val="24"/>
          <w:szCs w:val="24"/>
        </w:rPr>
        <w:lastRenderedPageBreak/>
        <w:t>The Deregulation and Red Tape Reduction Branch is responsible for:</w:t>
      </w:r>
    </w:p>
    <w:p w:rsidR="00776502" w:rsidRPr="000D22AA" w:rsidRDefault="000E2C46" w:rsidP="008A277D">
      <w:pPr>
        <w:pStyle w:val="ListParagraph"/>
        <w:numPr>
          <w:ilvl w:val="0"/>
          <w:numId w:val="10"/>
        </w:numPr>
        <w:rPr>
          <w:rFonts w:asciiTheme="minorHAnsi" w:hAnsiTheme="minorHAnsi"/>
          <w:sz w:val="24"/>
          <w:szCs w:val="24"/>
        </w:rPr>
      </w:pPr>
      <w:r w:rsidRPr="000D22AA">
        <w:rPr>
          <w:rFonts w:asciiTheme="minorHAnsi" w:hAnsiTheme="minorHAnsi"/>
          <w:sz w:val="24"/>
          <w:szCs w:val="24"/>
        </w:rPr>
        <w:t xml:space="preserve">providing support to business and service delivery areas </w:t>
      </w:r>
      <w:r w:rsidR="005A74EF" w:rsidRPr="000D22AA">
        <w:rPr>
          <w:rFonts w:asciiTheme="minorHAnsi" w:hAnsiTheme="minorHAnsi"/>
          <w:sz w:val="24"/>
          <w:szCs w:val="24"/>
        </w:rPr>
        <w:t xml:space="preserve">in the department on requirements under </w:t>
      </w:r>
      <w:r w:rsidR="00DE04A6" w:rsidRPr="000D22AA">
        <w:rPr>
          <w:rFonts w:asciiTheme="minorHAnsi" w:hAnsiTheme="minorHAnsi"/>
          <w:sz w:val="24"/>
          <w:szCs w:val="24"/>
        </w:rPr>
        <w:t>the</w:t>
      </w:r>
      <w:r w:rsidR="006E72DD" w:rsidRPr="000D22AA">
        <w:rPr>
          <w:rFonts w:asciiTheme="minorHAnsi" w:hAnsiTheme="minorHAnsi"/>
          <w:sz w:val="24"/>
          <w:szCs w:val="24"/>
        </w:rPr>
        <w:t xml:space="preserve"> deregulation agenda</w:t>
      </w:r>
    </w:p>
    <w:p w:rsidR="00776502" w:rsidRPr="000D22AA" w:rsidRDefault="000E2C46" w:rsidP="008A277D">
      <w:pPr>
        <w:pStyle w:val="ListParagraph"/>
        <w:numPr>
          <w:ilvl w:val="0"/>
          <w:numId w:val="10"/>
        </w:numPr>
        <w:rPr>
          <w:rFonts w:asciiTheme="minorHAnsi" w:hAnsiTheme="minorHAnsi"/>
          <w:sz w:val="24"/>
          <w:szCs w:val="24"/>
        </w:rPr>
      </w:pPr>
      <w:r w:rsidRPr="000D22AA">
        <w:rPr>
          <w:rFonts w:asciiTheme="minorHAnsi" w:hAnsiTheme="minorHAnsi"/>
          <w:sz w:val="24"/>
          <w:szCs w:val="24"/>
        </w:rPr>
        <w:t>supporting the identification and calculation of initiatives to reduce regulatory burden for individuals, businesses and community organisations</w:t>
      </w:r>
    </w:p>
    <w:p w:rsidR="00776502" w:rsidRPr="000D22AA" w:rsidRDefault="000E2C46" w:rsidP="008A277D">
      <w:pPr>
        <w:pStyle w:val="ListParagraph"/>
        <w:numPr>
          <w:ilvl w:val="0"/>
          <w:numId w:val="10"/>
        </w:numPr>
        <w:rPr>
          <w:rFonts w:asciiTheme="minorHAnsi" w:hAnsiTheme="minorHAnsi"/>
          <w:sz w:val="24"/>
          <w:szCs w:val="24"/>
        </w:rPr>
      </w:pPr>
      <w:r w:rsidRPr="000D22AA">
        <w:rPr>
          <w:rFonts w:asciiTheme="minorHAnsi" w:hAnsiTheme="minorHAnsi"/>
          <w:sz w:val="24"/>
          <w:szCs w:val="24"/>
        </w:rPr>
        <w:t>fostering a culture of red tape reduction that makes it easier to interact with the department.</w:t>
      </w:r>
    </w:p>
    <w:p w:rsidR="000E2C46" w:rsidRPr="001A1525" w:rsidRDefault="000E2C46" w:rsidP="004F4CC0">
      <w:pPr>
        <w:spacing w:before="240" w:after="120"/>
        <w:rPr>
          <w:sz w:val="24"/>
          <w:szCs w:val="24"/>
        </w:rPr>
      </w:pPr>
      <w:r w:rsidRPr="001A1525">
        <w:rPr>
          <w:sz w:val="24"/>
          <w:szCs w:val="24"/>
        </w:rPr>
        <w:t>Additionally, the branch is responsible for meeting requirements under the agenda as set by the Department of the Prime Minister and Cabinet, such</w:t>
      </w:r>
      <w:r w:rsidR="00FC3D08">
        <w:rPr>
          <w:sz w:val="24"/>
          <w:szCs w:val="24"/>
        </w:rPr>
        <w:t xml:space="preserve"> as</w:t>
      </w:r>
      <w:r w:rsidRPr="001A1525">
        <w:rPr>
          <w:sz w:val="24"/>
          <w:szCs w:val="24"/>
        </w:rPr>
        <w:t xml:space="preserve"> </w:t>
      </w:r>
      <w:r w:rsidR="00091AB1" w:rsidRPr="001A1525">
        <w:rPr>
          <w:sz w:val="24"/>
          <w:szCs w:val="24"/>
        </w:rPr>
        <w:t>conducting an audit of</w:t>
      </w:r>
      <w:r w:rsidRPr="001A1525">
        <w:rPr>
          <w:sz w:val="24"/>
          <w:szCs w:val="24"/>
        </w:rPr>
        <w:t xml:space="preserve"> </w:t>
      </w:r>
      <w:r w:rsidR="00332EE4" w:rsidRPr="001A1525">
        <w:rPr>
          <w:sz w:val="24"/>
          <w:szCs w:val="24"/>
        </w:rPr>
        <w:t xml:space="preserve">the </w:t>
      </w:r>
      <w:r w:rsidRPr="001A1525">
        <w:rPr>
          <w:sz w:val="24"/>
          <w:szCs w:val="24"/>
        </w:rPr>
        <w:t xml:space="preserve">regulation administered by the department, regular reporting </w:t>
      </w:r>
      <w:r w:rsidR="00332EE4" w:rsidRPr="001A1525">
        <w:rPr>
          <w:sz w:val="24"/>
          <w:szCs w:val="24"/>
        </w:rPr>
        <w:t>of deregulatory activities</w:t>
      </w:r>
      <w:r w:rsidRPr="001A1525">
        <w:rPr>
          <w:sz w:val="24"/>
          <w:szCs w:val="24"/>
        </w:rPr>
        <w:t xml:space="preserve"> and </w:t>
      </w:r>
      <w:r w:rsidR="00722B4F">
        <w:rPr>
          <w:sz w:val="24"/>
          <w:szCs w:val="24"/>
        </w:rPr>
        <w:t xml:space="preserve">coordinating </w:t>
      </w:r>
      <w:r w:rsidRPr="001A1525">
        <w:rPr>
          <w:sz w:val="24"/>
          <w:szCs w:val="24"/>
        </w:rPr>
        <w:t>contributions to the Government’s repeal days.</w:t>
      </w:r>
    </w:p>
    <w:p w:rsidR="00DC4923" w:rsidRPr="00FC52E6" w:rsidRDefault="00DC4923" w:rsidP="001E74DE">
      <w:pPr>
        <w:pStyle w:val="Documenttitle3"/>
        <w:spacing w:line="276" w:lineRule="auto"/>
        <w:rPr>
          <w:color w:val="64502D" w:themeColor="accent6" w:themeShade="80"/>
        </w:rPr>
      </w:pPr>
      <w:bookmarkStart w:id="9" w:name="_Toc414293166"/>
      <w:r w:rsidRPr="00FC52E6">
        <w:rPr>
          <w:color w:val="64502D" w:themeColor="accent6" w:themeShade="80"/>
        </w:rPr>
        <w:t>Ministerial Advisory Councils</w:t>
      </w:r>
      <w:bookmarkEnd w:id="9"/>
    </w:p>
    <w:p w:rsidR="00722B4F" w:rsidRDefault="00722B4F" w:rsidP="00B872C3">
      <w:pPr>
        <w:rPr>
          <w:rFonts w:ascii="Calibri" w:hAnsi="Calibri" w:cs="Arial"/>
          <w:sz w:val="24"/>
          <w:szCs w:val="24"/>
        </w:rPr>
      </w:pPr>
      <w:r>
        <w:rPr>
          <w:rFonts w:ascii="Calibri" w:hAnsi="Calibri" w:cs="Arial"/>
          <w:sz w:val="24"/>
          <w:szCs w:val="24"/>
        </w:rPr>
        <w:t xml:space="preserve">The Government’s deregulation agenda includes </w:t>
      </w:r>
      <w:r w:rsidR="00874C36">
        <w:rPr>
          <w:rFonts w:ascii="Calibri" w:hAnsi="Calibri" w:cs="Arial"/>
          <w:sz w:val="24"/>
          <w:szCs w:val="24"/>
        </w:rPr>
        <w:t xml:space="preserve">seeking </w:t>
      </w:r>
      <w:r>
        <w:rPr>
          <w:rFonts w:ascii="Calibri" w:hAnsi="Calibri" w:cs="Arial"/>
          <w:sz w:val="24"/>
          <w:szCs w:val="24"/>
        </w:rPr>
        <w:t xml:space="preserve">external advice on opportunities to reduce red tape. In considering appropriate arrangements </w:t>
      </w:r>
      <w:r w:rsidR="00F63E14">
        <w:rPr>
          <w:rFonts w:ascii="Calibri" w:hAnsi="Calibri" w:cs="Arial"/>
          <w:sz w:val="24"/>
          <w:szCs w:val="24"/>
        </w:rPr>
        <w:t>for obtaining external advice</w:t>
      </w:r>
      <w:r>
        <w:rPr>
          <w:rFonts w:ascii="Calibri" w:hAnsi="Calibri" w:cs="Arial"/>
          <w:sz w:val="24"/>
          <w:szCs w:val="24"/>
        </w:rPr>
        <w:t xml:space="preserve">, the </w:t>
      </w:r>
      <w:r w:rsidRPr="000F60E0">
        <w:rPr>
          <w:rFonts w:ascii="Calibri" w:hAnsi="Calibri" w:cs="Arial"/>
          <w:sz w:val="24"/>
          <w:szCs w:val="24"/>
        </w:rPr>
        <w:t xml:space="preserve">former Minister for Social Services, the Hon Kevin Andrews MP, </w:t>
      </w:r>
      <w:r w:rsidR="004A40CB">
        <w:rPr>
          <w:rFonts w:ascii="Calibri" w:hAnsi="Calibri" w:cs="Arial"/>
          <w:sz w:val="24"/>
          <w:szCs w:val="24"/>
        </w:rPr>
        <w:t>asked that the portfolio continued to engage with its existing, ongoing consultation groups</w:t>
      </w:r>
      <w:r>
        <w:rPr>
          <w:rFonts w:ascii="Calibri" w:hAnsi="Calibri" w:cs="Arial"/>
          <w:sz w:val="24"/>
          <w:szCs w:val="24"/>
        </w:rPr>
        <w:t xml:space="preserve">. </w:t>
      </w:r>
    </w:p>
    <w:p w:rsidR="005C61AE" w:rsidRPr="001A1525" w:rsidRDefault="005C61AE" w:rsidP="00B872C3">
      <w:pPr>
        <w:rPr>
          <w:sz w:val="24"/>
          <w:szCs w:val="24"/>
        </w:rPr>
      </w:pPr>
      <w:r w:rsidRPr="001A1525">
        <w:rPr>
          <w:sz w:val="24"/>
          <w:szCs w:val="24"/>
        </w:rPr>
        <w:t xml:space="preserve">In line with </w:t>
      </w:r>
      <w:r w:rsidR="004A40CB">
        <w:rPr>
          <w:sz w:val="24"/>
          <w:szCs w:val="24"/>
        </w:rPr>
        <w:t>that</w:t>
      </w:r>
      <w:r w:rsidRPr="001A1525">
        <w:rPr>
          <w:sz w:val="24"/>
          <w:szCs w:val="24"/>
        </w:rPr>
        <w:t xml:space="preserve"> approach, the department </w:t>
      </w:r>
      <w:r w:rsidR="00FC3D08">
        <w:rPr>
          <w:sz w:val="24"/>
          <w:szCs w:val="24"/>
        </w:rPr>
        <w:t>meets with</w:t>
      </w:r>
      <w:r w:rsidR="00F63E14">
        <w:rPr>
          <w:sz w:val="24"/>
          <w:szCs w:val="24"/>
        </w:rPr>
        <w:t xml:space="preserve"> existing </w:t>
      </w:r>
      <w:r w:rsidRPr="001A1525">
        <w:rPr>
          <w:sz w:val="24"/>
          <w:szCs w:val="24"/>
        </w:rPr>
        <w:t xml:space="preserve">consultative groups to facilitate stakeholder consultation on deregulation and </w:t>
      </w:r>
      <w:r w:rsidR="00686854" w:rsidRPr="001A1525">
        <w:rPr>
          <w:sz w:val="24"/>
          <w:szCs w:val="24"/>
        </w:rPr>
        <w:t>red tape reduction matters</w:t>
      </w:r>
      <w:r w:rsidRPr="001A1525">
        <w:rPr>
          <w:sz w:val="24"/>
          <w:szCs w:val="24"/>
        </w:rPr>
        <w:t xml:space="preserve">. These stakeholder consultation groups represent the interests of individuals, third parties and businesses who interact with the department. </w:t>
      </w:r>
    </w:p>
    <w:p w:rsidR="000E2C46" w:rsidRPr="001A1525" w:rsidRDefault="00722B4F" w:rsidP="00B872C3">
      <w:pPr>
        <w:rPr>
          <w:rFonts w:ascii="Calibri" w:hAnsi="Calibri" w:cs="Arial"/>
          <w:sz w:val="24"/>
          <w:szCs w:val="24"/>
        </w:rPr>
      </w:pPr>
      <w:r>
        <w:rPr>
          <w:rFonts w:ascii="Calibri" w:hAnsi="Calibri" w:cs="Arial"/>
          <w:sz w:val="24"/>
          <w:szCs w:val="24"/>
        </w:rPr>
        <w:t xml:space="preserve">The deregulation unit </w:t>
      </w:r>
      <w:r w:rsidR="000E2C46" w:rsidRPr="001A1525">
        <w:rPr>
          <w:rFonts w:ascii="Calibri" w:hAnsi="Calibri" w:cs="Arial"/>
          <w:sz w:val="24"/>
          <w:szCs w:val="24"/>
        </w:rPr>
        <w:t>consulted</w:t>
      </w:r>
      <w:r w:rsidR="00332EE4" w:rsidRPr="001A1525">
        <w:rPr>
          <w:rFonts w:ascii="Calibri" w:hAnsi="Calibri" w:cs="Arial"/>
          <w:sz w:val="24"/>
          <w:szCs w:val="24"/>
        </w:rPr>
        <w:t xml:space="preserve"> with</w:t>
      </w:r>
      <w:r w:rsidR="000E2C46" w:rsidRPr="001A1525">
        <w:rPr>
          <w:rFonts w:ascii="Calibri" w:hAnsi="Calibri" w:cs="Arial"/>
          <w:sz w:val="24"/>
          <w:szCs w:val="24"/>
        </w:rPr>
        <w:t xml:space="preserve"> </w:t>
      </w:r>
      <w:r>
        <w:rPr>
          <w:rFonts w:ascii="Calibri" w:hAnsi="Calibri" w:cs="Arial"/>
          <w:sz w:val="24"/>
          <w:szCs w:val="24"/>
        </w:rPr>
        <w:t xml:space="preserve">five existing </w:t>
      </w:r>
      <w:r w:rsidR="00332EE4" w:rsidRPr="001A1525">
        <w:rPr>
          <w:rFonts w:ascii="Calibri" w:hAnsi="Calibri" w:cs="Arial"/>
          <w:sz w:val="24"/>
          <w:szCs w:val="24"/>
        </w:rPr>
        <w:t xml:space="preserve">groups </w:t>
      </w:r>
      <w:r>
        <w:rPr>
          <w:rFonts w:ascii="Calibri" w:hAnsi="Calibri" w:cs="Arial"/>
          <w:sz w:val="24"/>
          <w:szCs w:val="24"/>
        </w:rPr>
        <w:t xml:space="preserve">during 2014 </w:t>
      </w:r>
      <w:r w:rsidR="00332EE4" w:rsidRPr="001A1525">
        <w:rPr>
          <w:rFonts w:ascii="Calibri" w:hAnsi="Calibri" w:cs="Arial"/>
          <w:sz w:val="24"/>
          <w:szCs w:val="24"/>
        </w:rPr>
        <w:t xml:space="preserve">on a range of </w:t>
      </w:r>
      <w:r w:rsidR="000E2C46" w:rsidRPr="001A1525">
        <w:rPr>
          <w:rFonts w:ascii="Calibri" w:hAnsi="Calibri" w:cs="Arial"/>
          <w:sz w:val="24"/>
          <w:szCs w:val="24"/>
        </w:rPr>
        <w:t xml:space="preserve">deregulation matters. The department provided an overview of the Government’s deregulation and red tape reduction </w:t>
      </w:r>
      <w:r w:rsidR="004B2E56">
        <w:rPr>
          <w:rFonts w:ascii="Calibri" w:hAnsi="Calibri" w:cs="Arial"/>
          <w:sz w:val="24"/>
          <w:szCs w:val="24"/>
        </w:rPr>
        <w:t>objectives</w:t>
      </w:r>
      <w:r w:rsidR="000E2C46" w:rsidRPr="001A1525">
        <w:rPr>
          <w:rFonts w:ascii="Calibri" w:hAnsi="Calibri" w:cs="Arial"/>
          <w:sz w:val="24"/>
          <w:szCs w:val="24"/>
        </w:rPr>
        <w:t xml:space="preserve"> and members were invited to contribute to the agenda, including by suggesting areas where the department could investigate opportunities to reduce red tape and improve processes. </w:t>
      </w:r>
      <w:r w:rsidR="00332EE4" w:rsidRPr="001A1525">
        <w:rPr>
          <w:rFonts w:ascii="Calibri" w:hAnsi="Calibri" w:cs="Arial"/>
          <w:sz w:val="24"/>
          <w:szCs w:val="24"/>
        </w:rPr>
        <w:t xml:space="preserve">Stakeholder groups were also consulted on the </w:t>
      </w:r>
      <w:r w:rsidR="00F63E14">
        <w:rPr>
          <w:rFonts w:ascii="Calibri" w:hAnsi="Calibri" w:cs="Arial"/>
          <w:sz w:val="24"/>
          <w:szCs w:val="24"/>
        </w:rPr>
        <w:t xml:space="preserve">process and findings of the </w:t>
      </w:r>
      <w:r w:rsidR="00332EE4" w:rsidRPr="001A1525">
        <w:rPr>
          <w:rFonts w:ascii="Calibri" w:hAnsi="Calibri" w:cs="Arial"/>
          <w:sz w:val="24"/>
          <w:szCs w:val="24"/>
        </w:rPr>
        <w:t>department’s audit of regulation.</w:t>
      </w:r>
    </w:p>
    <w:p w:rsidR="007C5934" w:rsidRDefault="00FC3D08" w:rsidP="00B872C3">
      <w:pPr>
        <w:rPr>
          <w:b/>
          <w:sz w:val="24"/>
          <w:szCs w:val="24"/>
        </w:rPr>
      </w:pPr>
      <w:r>
        <w:rPr>
          <w:rFonts w:ascii="Calibri" w:hAnsi="Calibri" w:cs="Arial"/>
          <w:sz w:val="24"/>
          <w:szCs w:val="24"/>
        </w:rPr>
        <w:t>The Terms of Reference for each stakeholder group differ</w:t>
      </w:r>
      <w:r w:rsidR="000E2C46" w:rsidRPr="001A1525">
        <w:rPr>
          <w:rFonts w:ascii="Calibri" w:hAnsi="Calibri" w:cs="Arial"/>
          <w:sz w:val="24"/>
          <w:szCs w:val="24"/>
        </w:rPr>
        <w:t xml:space="preserve"> according to the different scope and ro</w:t>
      </w:r>
      <w:r w:rsidR="001A1525">
        <w:rPr>
          <w:rFonts w:ascii="Calibri" w:hAnsi="Calibri" w:cs="Arial"/>
          <w:sz w:val="24"/>
          <w:szCs w:val="24"/>
        </w:rPr>
        <w:t>le of each group. The existing t</w:t>
      </w:r>
      <w:r w:rsidR="000E2C46" w:rsidRPr="001A1525">
        <w:rPr>
          <w:rFonts w:ascii="Calibri" w:hAnsi="Calibri" w:cs="Arial"/>
          <w:sz w:val="24"/>
          <w:szCs w:val="24"/>
        </w:rPr>
        <w:t xml:space="preserve">erms of reference for each group </w:t>
      </w:r>
      <w:r w:rsidR="002C144A" w:rsidRPr="001A1525">
        <w:rPr>
          <w:rFonts w:ascii="Calibri" w:hAnsi="Calibri" w:cs="Arial"/>
          <w:sz w:val="24"/>
          <w:szCs w:val="24"/>
        </w:rPr>
        <w:t>have been</w:t>
      </w:r>
      <w:r w:rsidR="000E2C46" w:rsidRPr="001A1525">
        <w:rPr>
          <w:rFonts w:ascii="Calibri" w:hAnsi="Calibri" w:cs="Arial"/>
          <w:sz w:val="24"/>
          <w:szCs w:val="24"/>
        </w:rPr>
        <w:t xml:space="preserve"> </w:t>
      </w:r>
      <w:r w:rsidR="00291F86" w:rsidRPr="001A1525">
        <w:rPr>
          <w:rFonts w:ascii="Calibri" w:hAnsi="Calibri" w:cs="Arial"/>
          <w:sz w:val="24"/>
          <w:szCs w:val="24"/>
        </w:rPr>
        <w:t xml:space="preserve">amended </w:t>
      </w:r>
      <w:r w:rsidR="005969AB">
        <w:rPr>
          <w:rFonts w:ascii="Calibri" w:hAnsi="Calibri" w:cs="Arial"/>
          <w:sz w:val="24"/>
          <w:szCs w:val="24"/>
        </w:rPr>
        <w:lastRenderedPageBreak/>
        <w:t>to include</w:t>
      </w:r>
      <w:r w:rsidR="00291F86" w:rsidRPr="001A1525">
        <w:rPr>
          <w:rFonts w:ascii="Calibri" w:hAnsi="Calibri" w:cs="Arial"/>
          <w:sz w:val="24"/>
          <w:szCs w:val="24"/>
        </w:rPr>
        <w:t xml:space="preserve"> </w:t>
      </w:r>
      <w:r w:rsidR="004B2E56">
        <w:rPr>
          <w:rFonts w:ascii="Calibri" w:hAnsi="Calibri" w:cs="Arial"/>
          <w:sz w:val="24"/>
          <w:szCs w:val="24"/>
        </w:rPr>
        <w:t>advice</w:t>
      </w:r>
      <w:r w:rsidR="00291F86" w:rsidRPr="001A1525">
        <w:rPr>
          <w:rFonts w:ascii="Calibri" w:hAnsi="Calibri" w:cs="Arial"/>
          <w:sz w:val="24"/>
          <w:szCs w:val="24"/>
        </w:rPr>
        <w:t xml:space="preserve"> on </w:t>
      </w:r>
      <w:r w:rsidR="000E2C46" w:rsidRPr="001A1525">
        <w:rPr>
          <w:rFonts w:ascii="Calibri" w:hAnsi="Calibri" w:cs="Arial"/>
          <w:sz w:val="24"/>
          <w:szCs w:val="24"/>
        </w:rPr>
        <w:t xml:space="preserve">deregulation and red tape reduction </w:t>
      </w:r>
      <w:r w:rsidR="00291F86" w:rsidRPr="001A1525">
        <w:rPr>
          <w:rFonts w:ascii="Calibri" w:hAnsi="Calibri" w:cs="Arial"/>
          <w:sz w:val="24"/>
          <w:szCs w:val="24"/>
        </w:rPr>
        <w:t>opportunities for individuals, business and community organisations</w:t>
      </w:r>
      <w:r w:rsidR="000E2C46" w:rsidRPr="001A1525">
        <w:rPr>
          <w:rFonts w:ascii="Calibri" w:hAnsi="Calibri" w:cs="Arial"/>
          <w:sz w:val="24"/>
          <w:szCs w:val="24"/>
        </w:rPr>
        <w:t>.</w:t>
      </w:r>
      <w:r w:rsidR="00291F86" w:rsidRPr="001A1525">
        <w:rPr>
          <w:rFonts w:ascii="Calibri" w:hAnsi="Calibri" w:cs="Arial"/>
          <w:sz w:val="24"/>
          <w:szCs w:val="24"/>
        </w:rPr>
        <w:t xml:space="preserve"> </w:t>
      </w:r>
      <w:r w:rsidR="00686854" w:rsidRPr="001A1525">
        <w:rPr>
          <w:rFonts w:ascii="Calibri" w:hAnsi="Calibri" w:cs="Arial"/>
          <w:sz w:val="24"/>
          <w:szCs w:val="24"/>
        </w:rPr>
        <w:t>The role of each of the stakeholder groups is outlined below</w:t>
      </w:r>
      <w:r w:rsidR="00F63E14">
        <w:rPr>
          <w:rStyle w:val="FootnoteReference"/>
          <w:rFonts w:ascii="Calibri" w:hAnsi="Calibri" w:cs="Arial"/>
          <w:sz w:val="24"/>
          <w:szCs w:val="24"/>
        </w:rPr>
        <w:footnoteReference w:id="1"/>
      </w:r>
      <w:r w:rsidR="00686854" w:rsidRPr="001A1525">
        <w:rPr>
          <w:rFonts w:ascii="Calibri" w:hAnsi="Calibri" w:cs="Arial"/>
          <w:sz w:val="24"/>
          <w:szCs w:val="24"/>
        </w:rPr>
        <w:t>.</w:t>
      </w:r>
    </w:p>
    <w:p w:rsidR="00256FDC" w:rsidRDefault="00256FDC">
      <w:pPr>
        <w:rPr>
          <w:b/>
          <w:sz w:val="24"/>
          <w:szCs w:val="24"/>
        </w:rPr>
      </w:pPr>
      <w:r>
        <w:rPr>
          <w:b/>
          <w:sz w:val="24"/>
          <w:szCs w:val="24"/>
        </w:rPr>
        <w:br w:type="page"/>
      </w:r>
    </w:p>
    <w:p w:rsidR="000E2C46" w:rsidRPr="00156AC2" w:rsidRDefault="000E2C46" w:rsidP="004F4CC0">
      <w:pPr>
        <w:pStyle w:val="Documenttitle4"/>
      </w:pPr>
      <w:r w:rsidRPr="00156AC2">
        <w:lastRenderedPageBreak/>
        <w:t>National Welfare Rights Network</w:t>
      </w:r>
      <w:r w:rsidR="00F63E14" w:rsidRPr="00156AC2">
        <w:t xml:space="preserve"> </w:t>
      </w:r>
    </w:p>
    <w:p w:rsidR="007445B0" w:rsidRPr="00124255" w:rsidRDefault="007445B0" w:rsidP="00124255">
      <w:pPr>
        <w:rPr>
          <w:rFonts w:eastAsia="Times New Roman" w:cs="Times New Roman"/>
          <w:sz w:val="24"/>
          <w:szCs w:val="24"/>
          <w:lang w:val="en" w:eastAsia="en-AU"/>
        </w:rPr>
      </w:pPr>
      <w:r w:rsidRPr="00156AC2">
        <w:rPr>
          <w:rFonts w:eastAsia="Times New Roman" w:cs="Times New Roman"/>
          <w:sz w:val="24"/>
          <w:szCs w:val="24"/>
          <w:lang w:val="en" w:eastAsia="en-AU"/>
        </w:rPr>
        <w:t>The National Welfare Rights Network (NWRN) includes community legal services specialising in social security and family assistance law</w:t>
      </w:r>
      <w:r w:rsidR="00D32787" w:rsidRPr="00156AC2">
        <w:rPr>
          <w:rFonts w:eastAsia="Times New Roman" w:cs="Times New Roman"/>
          <w:sz w:val="24"/>
          <w:szCs w:val="24"/>
          <w:lang w:val="en" w:eastAsia="en-AU"/>
        </w:rPr>
        <w:t xml:space="preserve"> </w:t>
      </w:r>
      <w:r w:rsidRPr="00156AC2">
        <w:rPr>
          <w:rFonts w:eastAsia="Times New Roman" w:cs="Times New Roman"/>
          <w:sz w:val="24"/>
          <w:szCs w:val="24"/>
          <w:lang w:val="en" w:eastAsia="en-AU"/>
        </w:rPr>
        <w:t>and its administration by the department. NWRN member organisations provide assistance to individual clients, conduct training for community workers, and produce publications to assist social security recipients and community organisations to understand the system. At the twice-yearly meetings between the department and NWRN, information and ideas are exchanged on a range of issues.</w:t>
      </w:r>
    </w:p>
    <w:p w:rsidR="000E2C46" w:rsidRPr="00156AC2" w:rsidRDefault="000E2C46" w:rsidP="004F4CC0">
      <w:pPr>
        <w:pStyle w:val="Documenttitle4"/>
      </w:pPr>
      <w:r w:rsidRPr="00156AC2">
        <w:t>Older Australians Working Group</w:t>
      </w:r>
    </w:p>
    <w:p w:rsidR="006E72DD" w:rsidRPr="00156AC2" w:rsidRDefault="006E72DD" w:rsidP="00B872C3">
      <w:pPr>
        <w:spacing w:after="100" w:afterAutospacing="1"/>
        <w:rPr>
          <w:rFonts w:eastAsia="Times New Roman" w:cs="Times New Roman"/>
          <w:sz w:val="24"/>
          <w:szCs w:val="24"/>
          <w:lang w:val="en" w:eastAsia="en-AU"/>
        </w:rPr>
      </w:pPr>
      <w:r w:rsidRPr="00156AC2">
        <w:rPr>
          <w:rFonts w:eastAsia="Times New Roman" w:cs="Times New Roman"/>
          <w:sz w:val="24"/>
          <w:szCs w:val="24"/>
          <w:lang w:val="en" w:eastAsia="en-AU"/>
        </w:rPr>
        <w:t xml:space="preserve">The Older Australians Working Group has representatives of peak organisations and customer groups and allows the department to showcase service delivery developments. The group offers feedback on the current and potential impacts of service delivery on older Australians. </w:t>
      </w:r>
    </w:p>
    <w:p w:rsidR="000E2C46" w:rsidRPr="00156AC2" w:rsidRDefault="000E2C46" w:rsidP="004F4CC0">
      <w:pPr>
        <w:pStyle w:val="Documenttitle4"/>
      </w:pPr>
      <w:r w:rsidRPr="00156AC2">
        <w:t>Child Support National Stakeholder Engagement Group</w:t>
      </w:r>
    </w:p>
    <w:p w:rsidR="00116599" w:rsidRPr="00156AC2" w:rsidRDefault="00116599" w:rsidP="00957DE6">
      <w:pPr>
        <w:spacing w:after="100" w:afterAutospacing="1"/>
        <w:rPr>
          <w:rFonts w:eastAsia="Times New Roman" w:cs="Times New Roman"/>
          <w:sz w:val="24"/>
          <w:szCs w:val="24"/>
          <w:lang w:val="en" w:eastAsia="en-AU"/>
        </w:rPr>
      </w:pPr>
      <w:r w:rsidRPr="00156AC2">
        <w:rPr>
          <w:rFonts w:eastAsia="Times New Roman" w:cs="Times New Roman"/>
          <w:sz w:val="24"/>
          <w:szCs w:val="24"/>
          <w:lang w:val="en" w:eastAsia="en-AU"/>
        </w:rPr>
        <w:t>The Child Support National Stakeholder Engagement Group is convened jointly by the Department of Social Services and the Department of Human Services. It connects a broad cross-section of advocacy groups, the legal community, academics and peak bodies of support service providers. The group discusses current child support policy, child support service delivery and child support administration processes.</w:t>
      </w:r>
    </w:p>
    <w:p w:rsidR="000E2C46" w:rsidRPr="00156AC2" w:rsidRDefault="000E2C46" w:rsidP="004F4CC0">
      <w:pPr>
        <w:pStyle w:val="Documenttitle4"/>
      </w:pPr>
      <w:r w:rsidRPr="00156AC2">
        <w:t>National Multicultural Advisory Group</w:t>
      </w:r>
    </w:p>
    <w:p w:rsidR="006E72DD" w:rsidRPr="00156AC2" w:rsidRDefault="006E72DD" w:rsidP="00B872C3">
      <w:pPr>
        <w:spacing w:after="100" w:afterAutospacing="1"/>
        <w:rPr>
          <w:rFonts w:eastAsia="Times New Roman" w:cs="Times New Roman"/>
          <w:sz w:val="24"/>
          <w:szCs w:val="24"/>
          <w:lang w:val="en" w:eastAsia="en-AU"/>
        </w:rPr>
      </w:pPr>
      <w:r w:rsidRPr="00156AC2">
        <w:rPr>
          <w:rFonts w:eastAsia="Times New Roman" w:cs="Times New Roman"/>
          <w:sz w:val="24"/>
          <w:szCs w:val="24"/>
          <w:lang w:val="en" w:eastAsia="en-AU"/>
        </w:rPr>
        <w:t xml:space="preserve">The National Multicultural Advisory Group includes members from government agencies and peak bodies representing communities from culturally and linguistically diverse backgrounds. The group provides advice and feedback about the quality and effectiveness of the department’s service delivery to multicultural customers. </w:t>
      </w:r>
    </w:p>
    <w:p w:rsidR="000E2C46" w:rsidRPr="00156AC2" w:rsidRDefault="000E2C46" w:rsidP="004F4CC0">
      <w:pPr>
        <w:pStyle w:val="Documenttitle4"/>
      </w:pPr>
      <w:r w:rsidRPr="00156AC2">
        <w:t>Stakeholder Consultative Group</w:t>
      </w:r>
    </w:p>
    <w:p w:rsidR="000F60E0" w:rsidRPr="00156AC2" w:rsidRDefault="000F60E0" w:rsidP="00B872C3">
      <w:pPr>
        <w:spacing w:after="0"/>
        <w:rPr>
          <w:b/>
          <w:sz w:val="24"/>
          <w:szCs w:val="24"/>
        </w:rPr>
      </w:pPr>
      <w:r w:rsidRPr="00156AC2">
        <w:rPr>
          <w:rFonts w:cs="Arial"/>
          <w:sz w:val="24"/>
          <w:szCs w:val="24"/>
        </w:rPr>
        <w:t>The Stakeholder Consultative Group (SCG) is the peak stakeholder consultation forum, where matters of a strategic nature impacting the department and the health sector are dis</w:t>
      </w:r>
      <w:r w:rsidRPr="00156AC2">
        <w:rPr>
          <w:rFonts w:cs="Arial"/>
          <w:sz w:val="24"/>
          <w:szCs w:val="24"/>
        </w:rPr>
        <w:lastRenderedPageBreak/>
        <w:t>cussed. The SCG provides an opportunity for key stakeholder groups to engage with the department on its business priorities and programmes at a strategic level. As such, it allows a two-way exchange of views on issues of mutual interest.</w:t>
      </w:r>
    </w:p>
    <w:p w:rsidR="00662CE3" w:rsidRPr="00156AC2" w:rsidRDefault="00662CE3">
      <w:pPr>
        <w:rPr>
          <w:b/>
          <w:bCs/>
          <w:sz w:val="20"/>
          <w:szCs w:val="20"/>
        </w:rPr>
      </w:pPr>
      <w:r w:rsidRPr="00156AC2">
        <w:br w:type="page"/>
      </w:r>
    </w:p>
    <w:p w:rsidR="00DC4923" w:rsidRPr="008B0784" w:rsidRDefault="002C144A" w:rsidP="007C35B1">
      <w:pPr>
        <w:pStyle w:val="Tableheading"/>
      </w:pPr>
      <w:r>
        <w:lastRenderedPageBreak/>
        <w:t>Table 3:</w:t>
      </w:r>
      <w:r w:rsidR="00DC4923" w:rsidRPr="008B0784">
        <w:t xml:space="preserve"> </w:t>
      </w:r>
      <w:r w:rsidR="001E74DE">
        <w:t>Department of H</w:t>
      </w:r>
      <w:r w:rsidR="000E2C46">
        <w:t>uman Services stakeholder groups</w:t>
      </w:r>
    </w:p>
    <w:tbl>
      <w:tblPr>
        <w:tblStyle w:val="LightList-Accent2"/>
        <w:tblW w:w="5000" w:type="pct"/>
        <w:tblInd w:w="108" w:type="dxa"/>
        <w:tblLook w:val="04A0" w:firstRow="1" w:lastRow="0" w:firstColumn="1" w:lastColumn="0" w:noHBand="0" w:noVBand="1"/>
        <w:tblCaption w:val="Table 3: Department of Human Services stakeholder groups"/>
        <w:tblDescription w:val="Stakeholder groups and meeting dates."/>
      </w:tblPr>
      <w:tblGrid>
        <w:gridCol w:w="5551"/>
        <w:gridCol w:w="3455"/>
      </w:tblGrid>
      <w:tr w:rsidR="00DC4923" w:rsidTr="004F4CC0">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0" w:type="auto"/>
            <w:tcBorders>
              <w:left w:val="single" w:sz="8" w:space="0" w:color="BB9D67" w:themeColor="accent2"/>
              <w:right w:val="single" w:sz="8" w:space="0" w:color="BB9D67" w:themeColor="accent2"/>
            </w:tcBorders>
            <w:shd w:val="clear" w:color="auto" w:fill="64502D" w:themeFill="accent6" w:themeFillShade="80"/>
            <w:hideMark/>
          </w:tcPr>
          <w:p w:rsidR="00DC4923" w:rsidRPr="00A80CEA" w:rsidRDefault="000E2C46" w:rsidP="004F4CC0">
            <w:pPr>
              <w:spacing w:before="120" w:after="120"/>
              <w:rPr>
                <w:b w:val="0"/>
                <w:bCs w:val="0"/>
                <w:lang w:eastAsia="en-AU"/>
              </w:rPr>
            </w:pPr>
            <w:r>
              <w:rPr>
                <w:lang w:eastAsia="en-AU"/>
              </w:rPr>
              <w:t xml:space="preserve">Stakeholder </w:t>
            </w:r>
            <w:r w:rsidR="0066125E">
              <w:rPr>
                <w:lang w:eastAsia="en-AU"/>
              </w:rPr>
              <w:t>g</w:t>
            </w:r>
            <w:r>
              <w:rPr>
                <w:lang w:eastAsia="en-AU"/>
              </w:rPr>
              <w:t>roups</w:t>
            </w:r>
          </w:p>
        </w:tc>
        <w:tc>
          <w:tcPr>
            <w:tcW w:w="1918" w:type="pct"/>
            <w:tcBorders>
              <w:top w:val="single" w:sz="8" w:space="0" w:color="BB9D67" w:themeColor="accent2"/>
              <w:left w:val="single" w:sz="8" w:space="0" w:color="BB9D67" w:themeColor="accent2"/>
              <w:bottom w:val="single" w:sz="8" w:space="0" w:color="BB9D67" w:themeColor="accent2"/>
            </w:tcBorders>
            <w:shd w:val="clear" w:color="auto" w:fill="64502D" w:themeFill="accent6" w:themeFillShade="80"/>
            <w:hideMark/>
          </w:tcPr>
          <w:p w:rsidR="00DC4923" w:rsidRPr="00A80CEA" w:rsidRDefault="00DC4923" w:rsidP="004F4CC0">
            <w:pPr>
              <w:spacing w:before="120" w:after="120"/>
              <w:cnfStyle w:val="100000000000" w:firstRow="1" w:lastRow="0" w:firstColumn="0" w:lastColumn="0" w:oddVBand="0" w:evenVBand="0" w:oddHBand="0" w:evenHBand="0" w:firstRowFirstColumn="0" w:firstRowLastColumn="0" w:lastRowFirstColumn="0" w:lastRowLastColumn="0"/>
              <w:rPr>
                <w:b w:val="0"/>
                <w:bCs w:val="0"/>
                <w:lang w:eastAsia="en-AU"/>
              </w:rPr>
            </w:pPr>
            <w:r w:rsidRPr="00A80CEA">
              <w:rPr>
                <w:lang w:eastAsia="en-AU"/>
              </w:rPr>
              <w:t xml:space="preserve">Meeting </w:t>
            </w:r>
            <w:r w:rsidR="004B3724">
              <w:rPr>
                <w:lang w:eastAsia="en-AU"/>
              </w:rPr>
              <w:t>d</w:t>
            </w:r>
            <w:r w:rsidRPr="00A80CEA">
              <w:rPr>
                <w:lang w:eastAsia="en-AU"/>
              </w:rPr>
              <w:t>ates</w:t>
            </w:r>
          </w:p>
        </w:tc>
      </w:tr>
      <w:tr w:rsidR="00DC4923" w:rsidTr="004F4C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BB9D67" w:themeColor="accent2"/>
            </w:tcBorders>
            <w:hideMark/>
          </w:tcPr>
          <w:p w:rsidR="00DC4923" w:rsidRPr="00A80CEA" w:rsidRDefault="000E2C46" w:rsidP="004F4CC0">
            <w:pPr>
              <w:spacing w:before="120" w:after="120"/>
              <w:rPr>
                <w:b/>
                <w:bCs w:val="0"/>
                <w:lang w:eastAsia="en-AU"/>
              </w:rPr>
            </w:pPr>
            <w:r>
              <w:rPr>
                <w:lang w:eastAsia="en-AU"/>
              </w:rPr>
              <w:t>National Welfare Rights Network</w:t>
            </w:r>
          </w:p>
        </w:tc>
        <w:tc>
          <w:tcPr>
            <w:tcW w:w="1918" w:type="pct"/>
            <w:tcBorders>
              <w:left w:val="single" w:sz="8" w:space="0" w:color="BB9D67" w:themeColor="accent2"/>
            </w:tcBorders>
            <w:hideMark/>
          </w:tcPr>
          <w:p w:rsidR="00DC4923" w:rsidRPr="00A80CEA" w:rsidRDefault="000E2C46" w:rsidP="004F4CC0">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12</w:t>
            </w:r>
            <w:r w:rsidR="005F5932" w:rsidRPr="00A80CEA">
              <w:rPr>
                <w:lang w:eastAsia="en-AU"/>
              </w:rPr>
              <w:t xml:space="preserve"> </w:t>
            </w:r>
            <w:r>
              <w:rPr>
                <w:lang w:eastAsia="en-AU"/>
              </w:rPr>
              <w:t xml:space="preserve">March, </w:t>
            </w:r>
            <w:r w:rsidRPr="007A08F7">
              <w:rPr>
                <w:lang w:eastAsia="en-AU"/>
              </w:rPr>
              <w:t>23 June</w:t>
            </w:r>
          </w:p>
        </w:tc>
      </w:tr>
      <w:tr w:rsidR="005F5932" w:rsidTr="004F4CC0">
        <w:trPr>
          <w:trHeight w:val="454"/>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BB9D67" w:themeColor="accent2"/>
            </w:tcBorders>
          </w:tcPr>
          <w:p w:rsidR="005F5932" w:rsidRPr="00A80CEA" w:rsidRDefault="000E2C46" w:rsidP="004F4CC0">
            <w:pPr>
              <w:spacing w:before="120" w:after="120"/>
              <w:rPr>
                <w:b/>
                <w:bCs w:val="0"/>
                <w:lang w:eastAsia="en-AU"/>
              </w:rPr>
            </w:pPr>
            <w:r>
              <w:rPr>
                <w:lang w:eastAsia="en-AU"/>
              </w:rPr>
              <w:t>Older Australians Working Group</w:t>
            </w:r>
          </w:p>
        </w:tc>
        <w:tc>
          <w:tcPr>
            <w:tcW w:w="1918" w:type="pct"/>
            <w:tcBorders>
              <w:top w:val="single" w:sz="8" w:space="0" w:color="BB9D67" w:themeColor="accent2"/>
              <w:left w:val="single" w:sz="8" w:space="0" w:color="BB9D67" w:themeColor="accent2"/>
              <w:bottom w:val="single" w:sz="8" w:space="0" w:color="BB9D67" w:themeColor="accent2"/>
            </w:tcBorders>
          </w:tcPr>
          <w:p w:rsidR="005F5932" w:rsidRPr="00A80CEA" w:rsidRDefault="000E2C46" w:rsidP="004F4CC0">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25 June, 27 November</w:t>
            </w:r>
          </w:p>
        </w:tc>
      </w:tr>
      <w:tr w:rsidR="00332EE4" w:rsidTr="004F4C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BB9D67" w:themeColor="accent2"/>
            </w:tcBorders>
          </w:tcPr>
          <w:p w:rsidR="00332EE4" w:rsidRPr="00A80CEA" w:rsidRDefault="00332EE4" w:rsidP="004F4CC0">
            <w:pPr>
              <w:spacing w:before="120" w:after="120"/>
              <w:rPr>
                <w:b/>
                <w:bCs w:val="0"/>
                <w:lang w:eastAsia="en-AU"/>
              </w:rPr>
            </w:pPr>
            <w:r>
              <w:rPr>
                <w:lang w:eastAsia="en-AU"/>
              </w:rPr>
              <w:t>Child Support National Stakeholder Engagement Group</w:t>
            </w:r>
          </w:p>
        </w:tc>
        <w:tc>
          <w:tcPr>
            <w:tcW w:w="1918" w:type="pct"/>
            <w:tcBorders>
              <w:left w:val="single" w:sz="8" w:space="0" w:color="BB9D67" w:themeColor="accent2"/>
            </w:tcBorders>
          </w:tcPr>
          <w:p w:rsidR="00332EE4" w:rsidRPr="00A80CEA" w:rsidRDefault="00332EE4" w:rsidP="004F4CC0">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19 June, 25 November</w:t>
            </w:r>
          </w:p>
        </w:tc>
      </w:tr>
      <w:tr w:rsidR="00332EE4" w:rsidTr="004F4CC0">
        <w:trPr>
          <w:trHeight w:val="454"/>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BB9D67" w:themeColor="accent2"/>
            </w:tcBorders>
          </w:tcPr>
          <w:p w:rsidR="00332EE4" w:rsidRPr="00A80CEA" w:rsidRDefault="00332EE4" w:rsidP="004F4CC0">
            <w:pPr>
              <w:spacing w:before="120" w:after="120"/>
              <w:rPr>
                <w:b/>
                <w:bCs w:val="0"/>
                <w:lang w:eastAsia="en-AU"/>
              </w:rPr>
            </w:pPr>
            <w:r>
              <w:rPr>
                <w:lang w:eastAsia="en-AU"/>
              </w:rPr>
              <w:t>National Multicultural Advisory Group</w:t>
            </w:r>
          </w:p>
        </w:tc>
        <w:tc>
          <w:tcPr>
            <w:tcW w:w="1918" w:type="pct"/>
            <w:tcBorders>
              <w:top w:val="single" w:sz="8" w:space="0" w:color="BB9D67" w:themeColor="accent2"/>
              <w:left w:val="single" w:sz="8" w:space="0" w:color="BB9D67" w:themeColor="accent2"/>
              <w:bottom w:val="single" w:sz="8" w:space="0" w:color="BB9D67" w:themeColor="accent2"/>
            </w:tcBorders>
          </w:tcPr>
          <w:p w:rsidR="00332EE4" w:rsidRPr="00A80CEA" w:rsidRDefault="00332EE4" w:rsidP="004F4CC0">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15 July, 23 October</w:t>
            </w:r>
          </w:p>
        </w:tc>
      </w:tr>
      <w:tr w:rsidR="00332EE4" w:rsidTr="004F4C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BB9D67" w:themeColor="accent2"/>
            </w:tcBorders>
          </w:tcPr>
          <w:p w:rsidR="00332EE4" w:rsidRDefault="00332EE4" w:rsidP="004F4CC0">
            <w:pPr>
              <w:spacing w:before="120" w:after="120"/>
              <w:rPr>
                <w:lang w:eastAsia="en-AU"/>
              </w:rPr>
            </w:pPr>
            <w:r>
              <w:rPr>
                <w:lang w:eastAsia="en-AU"/>
              </w:rPr>
              <w:t>Stakeholder Consultative Group</w:t>
            </w:r>
          </w:p>
        </w:tc>
        <w:tc>
          <w:tcPr>
            <w:tcW w:w="1918" w:type="pct"/>
            <w:tcBorders>
              <w:left w:val="single" w:sz="8" w:space="0" w:color="BB9D67" w:themeColor="accent2"/>
            </w:tcBorders>
          </w:tcPr>
          <w:p w:rsidR="00332EE4" w:rsidRDefault="00332EE4" w:rsidP="004F4CC0">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12 March, 23 June</w:t>
            </w:r>
          </w:p>
        </w:tc>
      </w:tr>
    </w:tbl>
    <w:p w:rsidR="009D33FB" w:rsidRDefault="009D33FB" w:rsidP="00124255">
      <w:pPr>
        <w:spacing w:before="240" w:after="240"/>
      </w:pPr>
      <w:r w:rsidRPr="008432FE">
        <w:rPr>
          <w:sz w:val="24"/>
          <w:szCs w:val="24"/>
        </w:rPr>
        <w:t xml:space="preserve">The Deregulation Units of both the </w:t>
      </w:r>
      <w:r>
        <w:rPr>
          <w:sz w:val="24"/>
          <w:szCs w:val="24"/>
        </w:rPr>
        <w:t>d</w:t>
      </w:r>
      <w:r w:rsidRPr="008432FE">
        <w:rPr>
          <w:sz w:val="24"/>
          <w:szCs w:val="24"/>
        </w:rPr>
        <w:t xml:space="preserve">epartment and the Department of </w:t>
      </w:r>
      <w:r>
        <w:rPr>
          <w:sz w:val="24"/>
          <w:szCs w:val="24"/>
        </w:rPr>
        <w:t>Social S</w:t>
      </w:r>
      <w:r w:rsidRPr="008432FE">
        <w:rPr>
          <w:sz w:val="24"/>
          <w:szCs w:val="24"/>
        </w:rPr>
        <w:t>ervices have been working closely to ensure that</w:t>
      </w:r>
      <w:r w:rsidR="00FC3D08">
        <w:rPr>
          <w:sz w:val="24"/>
          <w:szCs w:val="24"/>
        </w:rPr>
        <w:t xml:space="preserve"> red tape reduction</w:t>
      </w:r>
      <w:r w:rsidRPr="008432FE">
        <w:rPr>
          <w:sz w:val="24"/>
          <w:szCs w:val="24"/>
        </w:rPr>
        <w:t xml:space="preserve"> information from stakeholder meetings</w:t>
      </w:r>
      <w:r w:rsidR="00FC3D08">
        <w:rPr>
          <w:sz w:val="24"/>
          <w:szCs w:val="24"/>
        </w:rPr>
        <w:t xml:space="preserve"> is shared</w:t>
      </w:r>
      <w:r w:rsidRPr="008432FE">
        <w:rPr>
          <w:sz w:val="24"/>
          <w:szCs w:val="24"/>
        </w:rPr>
        <w:t>.</w:t>
      </w:r>
    </w:p>
    <w:p w:rsidR="000F60E0" w:rsidRDefault="000F60E0">
      <w:pPr>
        <w:rPr>
          <w:rFonts w:ascii="Verdana" w:eastAsia="Times New Roman" w:hAnsi="Verdana" w:cs="Arial"/>
          <w:b/>
          <w:color w:val="E11E25" w:themeColor="text2"/>
          <w:kern w:val="20"/>
          <w:sz w:val="24"/>
          <w:szCs w:val="24"/>
          <w:lang w:val="en-US" w:eastAsia="ja-JP"/>
        </w:rPr>
      </w:pPr>
      <w:r>
        <w:br w:type="page"/>
      </w:r>
    </w:p>
    <w:p w:rsidR="00530D44" w:rsidRPr="008B0784" w:rsidRDefault="00530D44" w:rsidP="00990211">
      <w:pPr>
        <w:pStyle w:val="Documenttitle02"/>
      </w:pPr>
      <w:bookmarkStart w:id="10" w:name="_Toc414293167"/>
      <w:r w:rsidRPr="008B0784">
        <w:lastRenderedPageBreak/>
        <w:t>Letters of Expectation</w:t>
      </w:r>
      <w:bookmarkEnd w:id="10"/>
    </w:p>
    <w:p w:rsidR="00713492" w:rsidRPr="001A1525" w:rsidRDefault="000E2C46" w:rsidP="000F60E0">
      <w:pPr>
        <w:pStyle w:val="Header"/>
        <w:tabs>
          <w:tab w:val="clear" w:pos="4513"/>
          <w:tab w:val="clear" w:pos="9026"/>
          <w:tab w:val="center" w:pos="4153"/>
          <w:tab w:val="right" w:pos="8306"/>
        </w:tabs>
        <w:spacing w:after="120" w:line="276" w:lineRule="auto"/>
        <w:rPr>
          <w:sz w:val="24"/>
          <w:szCs w:val="24"/>
        </w:rPr>
      </w:pPr>
      <w:r w:rsidRPr="001A1525">
        <w:rPr>
          <w:sz w:val="24"/>
          <w:szCs w:val="24"/>
        </w:rPr>
        <w:t>Under the Government’s deregulation agenda, Ministers were required to issue a letter of expectation to heads of regulators within their portfolio advising them of the Government’s expectations of regulators.</w:t>
      </w:r>
      <w:r w:rsidR="0032160B" w:rsidRPr="001A1525">
        <w:rPr>
          <w:sz w:val="24"/>
          <w:szCs w:val="24"/>
        </w:rPr>
        <w:t xml:space="preserve"> </w:t>
      </w:r>
      <w:r w:rsidR="009D33FB" w:rsidRPr="001A1525">
        <w:rPr>
          <w:sz w:val="24"/>
          <w:szCs w:val="24"/>
        </w:rPr>
        <w:t>While the department’s primary function is the delivery of services</w:t>
      </w:r>
      <w:r w:rsidR="0012435D">
        <w:rPr>
          <w:sz w:val="24"/>
          <w:szCs w:val="24"/>
        </w:rPr>
        <w:t xml:space="preserve"> on behalf of other agencies</w:t>
      </w:r>
      <w:r w:rsidR="009D33FB" w:rsidRPr="001A1525">
        <w:rPr>
          <w:sz w:val="24"/>
          <w:szCs w:val="24"/>
        </w:rPr>
        <w:t xml:space="preserve">, it does undertake some activities of a regulatory nature, </w:t>
      </w:r>
      <w:r w:rsidR="009D33FB">
        <w:rPr>
          <w:sz w:val="24"/>
          <w:szCs w:val="24"/>
        </w:rPr>
        <w:t>such as compliance</w:t>
      </w:r>
      <w:r w:rsidR="009D33FB" w:rsidRPr="001A1525">
        <w:rPr>
          <w:sz w:val="24"/>
          <w:szCs w:val="24"/>
        </w:rPr>
        <w:t>.</w:t>
      </w:r>
      <w:r w:rsidR="009D33FB">
        <w:rPr>
          <w:sz w:val="24"/>
          <w:szCs w:val="24"/>
        </w:rPr>
        <w:t xml:space="preserve"> Noting these circumstances, t</w:t>
      </w:r>
      <w:r w:rsidR="0032160B" w:rsidRPr="001A1525">
        <w:rPr>
          <w:sz w:val="24"/>
          <w:szCs w:val="24"/>
        </w:rPr>
        <w:t xml:space="preserve">he department consulted with the Office of Deregulation to develop an appropriate approach to meet the Government’s intent </w:t>
      </w:r>
      <w:r w:rsidR="00713492" w:rsidRPr="001A1525">
        <w:rPr>
          <w:sz w:val="24"/>
          <w:szCs w:val="24"/>
        </w:rPr>
        <w:t>in communicating expectations to regulators.</w:t>
      </w:r>
    </w:p>
    <w:p w:rsidR="005D45AC" w:rsidRPr="001A1525" w:rsidRDefault="009D33FB" w:rsidP="00DA3087">
      <w:pPr>
        <w:pStyle w:val="Header"/>
        <w:tabs>
          <w:tab w:val="clear" w:pos="4513"/>
          <w:tab w:val="clear" w:pos="9026"/>
          <w:tab w:val="center" w:pos="4153"/>
          <w:tab w:val="right" w:pos="8306"/>
        </w:tabs>
        <w:spacing w:after="120" w:line="276" w:lineRule="auto"/>
        <w:rPr>
          <w:sz w:val="24"/>
          <w:szCs w:val="24"/>
        </w:rPr>
      </w:pPr>
      <w:r>
        <w:rPr>
          <w:sz w:val="24"/>
          <w:szCs w:val="24"/>
        </w:rPr>
        <w:t>I</w:t>
      </w:r>
      <w:r w:rsidRPr="001A1525">
        <w:rPr>
          <w:sz w:val="24"/>
          <w:szCs w:val="24"/>
        </w:rPr>
        <w:t>n March 2014</w:t>
      </w:r>
      <w:r>
        <w:rPr>
          <w:sz w:val="24"/>
          <w:szCs w:val="24"/>
        </w:rPr>
        <w:t xml:space="preserve"> </w:t>
      </w:r>
      <w:r w:rsidR="00A8093D" w:rsidRPr="001A1525">
        <w:rPr>
          <w:sz w:val="24"/>
          <w:szCs w:val="24"/>
        </w:rPr>
        <w:t xml:space="preserve">the department </w:t>
      </w:r>
      <w:r w:rsidRPr="001A1525">
        <w:rPr>
          <w:sz w:val="24"/>
          <w:szCs w:val="24"/>
        </w:rPr>
        <w:t xml:space="preserve">outlined to the Minister for Human Services </w:t>
      </w:r>
      <w:r>
        <w:rPr>
          <w:sz w:val="24"/>
          <w:szCs w:val="24"/>
        </w:rPr>
        <w:t xml:space="preserve">how it would meet expectations </w:t>
      </w:r>
      <w:r w:rsidR="00A8093D" w:rsidRPr="001A1525">
        <w:rPr>
          <w:sz w:val="24"/>
          <w:szCs w:val="24"/>
        </w:rPr>
        <w:t xml:space="preserve">under the Government’s deregulation agenda </w:t>
      </w:r>
      <w:r>
        <w:rPr>
          <w:sz w:val="24"/>
          <w:szCs w:val="24"/>
        </w:rPr>
        <w:t>that related to activities of a regulatory nature</w:t>
      </w:r>
      <w:r w:rsidR="00A8093D" w:rsidRPr="001A1525">
        <w:rPr>
          <w:sz w:val="24"/>
          <w:szCs w:val="24"/>
        </w:rPr>
        <w:t xml:space="preserve">. Subsequently, </w:t>
      </w:r>
      <w:r w:rsidR="00060FA7">
        <w:rPr>
          <w:sz w:val="24"/>
          <w:szCs w:val="24"/>
        </w:rPr>
        <w:t xml:space="preserve">these undertakings were formally communicated </w:t>
      </w:r>
      <w:r>
        <w:rPr>
          <w:sz w:val="24"/>
          <w:szCs w:val="24"/>
        </w:rPr>
        <w:t xml:space="preserve">to </w:t>
      </w:r>
      <w:r w:rsidR="00825508" w:rsidRPr="001A1525">
        <w:rPr>
          <w:sz w:val="24"/>
          <w:szCs w:val="24"/>
        </w:rPr>
        <w:t xml:space="preserve">relevant </w:t>
      </w:r>
      <w:r>
        <w:rPr>
          <w:sz w:val="24"/>
          <w:szCs w:val="24"/>
        </w:rPr>
        <w:t xml:space="preserve">areas within the department </w:t>
      </w:r>
      <w:r w:rsidR="00825508" w:rsidRPr="001A1525">
        <w:rPr>
          <w:sz w:val="24"/>
          <w:szCs w:val="24"/>
        </w:rPr>
        <w:t>responsible for regulatory functions under the Centrelink, Medicare and Child Support programmes</w:t>
      </w:r>
      <w:r w:rsidR="005D45AC" w:rsidRPr="001A1525">
        <w:rPr>
          <w:sz w:val="24"/>
          <w:szCs w:val="24"/>
        </w:rPr>
        <w:t xml:space="preserve">. </w:t>
      </w:r>
    </w:p>
    <w:p w:rsidR="00A77004" w:rsidRPr="001A1525" w:rsidRDefault="005D45AC" w:rsidP="00DA3087">
      <w:pPr>
        <w:pStyle w:val="Header"/>
        <w:tabs>
          <w:tab w:val="clear" w:pos="4513"/>
          <w:tab w:val="clear" w:pos="9026"/>
          <w:tab w:val="center" w:pos="4153"/>
          <w:tab w:val="right" w:pos="8306"/>
        </w:tabs>
        <w:spacing w:after="120" w:line="276" w:lineRule="auto"/>
        <w:rPr>
          <w:sz w:val="24"/>
          <w:szCs w:val="24"/>
        </w:rPr>
      </w:pPr>
      <w:r w:rsidRPr="001A1525">
        <w:rPr>
          <w:sz w:val="24"/>
          <w:szCs w:val="24"/>
        </w:rPr>
        <w:t xml:space="preserve">The </w:t>
      </w:r>
      <w:r w:rsidR="0012435D">
        <w:rPr>
          <w:sz w:val="24"/>
          <w:szCs w:val="24"/>
        </w:rPr>
        <w:t xml:space="preserve">communication </w:t>
      </w:r>
      <w:r w:rsidRPr="001A1525">
        <w:rPr>
          <w:sz w:val="24"/>
          <w:szCs w:val="24"/>
        </w:rPr>
        <w:t>to the senior officials responsible for regulatory functions included the Government’s expectation</w:t>
      </w:r>
      <w:r w:rsidR="00DA3087" w:rsidRPr="001A1525">
        <w:rPr>
          <w:sz w:val="24"/>
          <w:szCs w:val="24"/>
        </w:rPr>
        <w:t xml:space="preserve"> that</w:t>
      </w:r>
      <w:r w:rsidR="00A77004" w:rsidRPr="001A1525">
        <w:rPr>
          <w:sz w:val="24"/>
          <w:szCs w:val="24"/>
        </w:rPr>
        <w:t xml:space="preserve">, in contributing to the deregulation agenda, unnecessary or inefficient regulation should be identified and where appropriate, simplified or eliminated. </w:t>
      </w:r>
    </w:p>
    <w:p w:rsidR="00DA3087" w:rsidRPr="001A1525" w:rsidRDefault="0012435D" w:rsidP="00DA3087">
      <w:pPr>
        <w:pStyle w:val="Header"/>
        <w:tabs>
          <w:tab w:val="clear" w:pos="4513"/>
          <w:tab w:val="clear" w:pos="9026"/>
          <w:tab w:val="center" w:pos="4153"/>
          <w:tab w:val="right" w:pos="8306"/>
        </w:tabs>
        <w:spacing w:after="120" w:line="276" w:lineRule="auto"/>
        <w:rPr>
          <w:sz w:val="24"/>
          <w:szCs w:val="24"/>
        </w:rPr>
      </w:pPr>
      <w:r>
        <w:rPr>
          <w:sz w:val="24"/>
          <w:szCs w:val="24"/>
        </w:rPr>
        <w:t>The communication also included that t</w:t>
      </w:r>
      <w:r w:rsidR="00DA3087" w:rsidRPr="001A1525">
        <w:rPr>
          <w:sz w:val="24"/>
          <w:szCs w:val="24"/>
        </w:rPr>
        <w:t xml:space="preserve">he department is expected to conduct </w:t>
      </w:r>
      <w:r w:rsidR="00060FA7">
        <w:rPr>
          <w:sz w:val="24"/>
          <w:szCs w:val="24"/>
        </w:rPr>
        <w:t xml:space="preserve">regulatory activities </w:t>
      </w:r>
      <w:r w:rsidR="00DA3087" w:rsidRPr="001A1525">
        <w:rPr>
          <w:sz w:val="24"/>
          <w:szCs w:val="24"/>
        </w:rPr>
        <w:t>through:</w:t>
      </w:r>
    </w:p>
    <w:p w:rsidR="00DA3087" w:rsidRPr="001A1525" w:rsidRDefault="00DA3087" w:rsidP="00957DE6">
      <w:pPr>
        <w:pStyle w:val="Header"/>
        <w:numPr>
          <w:ilvl w:val="0"/>
          <w:numId w:val="11"/>
        </w:numPr>
        <w:tabs>
          <w:tab w:val="clear" w:pos="4513"/>
          <w:tab w:val="clear" w:pos="9026"/>
          <w:tab w:val="center" w:pos="4153"/>
          <w:tab w:val="right" w:pos="8306"/>
        </w:tabs>
        <w:spacing w:line="276" w:lineRule="auto"/>
        <w:ind w:left="714" w:hanging="357"/>
        <w:rPr>
          <w:sz w:val="24"/>
          <w:szCs w:val="24"/>
        </w:rPr>
      </w:pPr>
      <w:r w:rsidRPr="001A1525">
        <w:rPr>
          <w:sz w:val="24"/>
          <w:szCs w:val="24"/>
        </w:rPr>
        <w:t>exercising transparency and accountability in approaches to decision-making and adopting approaches, processes and communication practices that minimise regulatory burden and maximise clarity and transparency</w:t>
      </w:r>
    </w:p>
    <w:p w:rsidR="00DA3087" w:rsidRPr="001A1525" w:rsidRDefault="00DA3087" w:rsidP="00957DE6">
      <w:pPr>
        <w:pStyle w:val="Header"/>
        <w:numPr>
          <w:ilvl w:val="0"/>
          <w:numId w:val="11"/>
        </w:numPr>
        <w:tabs>
          <w:tab w:val="clear" w:pos="4513"/>
          <w:tab w:val="clear" w:pos="9026"/>
          <w:tab w:val="center" w:pos="4153"/>
          <w:tab w:val="right" w:pos="8306"/>
        </w:tabs>
        <w:spacing w:line="276" w:lineRule="auto"/>
        <w:ind w:left="714" w:hanging="357"/>
        <w:rPr>
          <w:sz w:val="24"/>
          <w:szCs w:val="24"/>
        </w:rPr>
      </w:pPr>
      <w:r w:rsidRPr="001A1525">
        <w:rPr>
          <w:sz w:val="24"/>
          <w:szCs w:val="24"/>
        </w:rPr>
        <w:t>fulfilling its functio</w:t>
      </w:r>
      <w:r w:rsidR="00FC3D08">
        <w:rPr>
          <w:sz w:val="24"/>
          <w:szCs w:val="24"/>
        </w:rPr>
        <w:t>ns in accordance with relevant g</w:t>
      </w:r>
      <w:r w:rsidRPr="001A1525">
        <w:rPr>
          <w:sz w:val="24"/>
          <w:szCs w:val="24"/>
        </w:rPr>
        <w:t>overnment legislation, policy and associated strategic direction</w:t>
      </w:r>
    </w:p>
    <w:p w:rsidR="007D376C" w:rsidRDefault="00DA3087" w:rsidP="007D376C">
      <w:pPr>
        <w:pStyle w:val="Header"/>
        <w:numPr>
          <w:ilvl w:val="0"/>
          <w:numId w:val="11"/>
        </w:numPr>
        <w:tabs>
          <w:tab w:val="clear" w:pos="4513"/>
          <w:tab w:val="clear" w:pos="9026"/>
          <w:tab w:val="center" w:pos="4153"/>
          <w:tab w:val="right" w:pos="8306"/>
        </w:tabs>
        <w:spacing w:line="276" w:lineRule="auto"/>
        <w:ind w:left="714" w:hanging="357"/>
        <w:rPr>
          <w:lang w:val="en-US"/>
        </w:rPr>
      </w:pPr>
      <w:r w:rsidRPr="001A1525">
        <w:rPr>
          <w:sz w:val="24"/>
          <w:szCs w:val="24"/>
        </w:rPr>
        <w:t>adopting a risk-based approach in relation to regulation and compliance requirements, such as through the adoption of increased targeting of high risk activities and lesser regulatory cost approaches for lower risk activities.</w:t>
      </w:r>
    </w:p>
    <w:p w:rsidR="007D376C" w:rsidRDefault="007D376C">
      <w:pPr>
        <w:spacing w:after="200" w:line="276" w:lineRule="auto"/>
        <w:rPr>
          <w:lang w:val="en-US"/>
        </w:rPr>
      </w:pPr>
      <w:r>
        <w:rPr>
          <w:lang w:val="en-US"/>
        </w:rPr>
        <w:br w:type="page"/>
      </w:r>
    </w:p>
    <w:p w:rsidR="00BF2DB7" w:rsidRPr="00BF2DB7" w:rsidRDefault="00BF2DB7" w:rsidP="00D4048A">
      <w:pPr>
        <w:pStyle w:val="Documenttitle02"/>
      </w:pPr>
      <w:bookmarkStart w:id="11" w:name="_Toc414293168"/>
      <w:r w:rsidRPr="00BF2DB7">
        <w:lastRenderedPageBreak/>
        <w:t>The Audit</w:t>
      </w:r>
      <w:r w:rsidR="00605140">
        <w:t xml:space="preserve"> of Regulations – major findings</w:t>
      </w:r>
      <w:bookmarkEnd w:id="11"/>
    </w:p>
    <w:p w:rsidR="0077493F" w:rsidRDefault="0077493F" w:rsidP="00B872C3">
      <w:pPr>
        <w:rPr>
          <w:rFonts w:eastAsiaTheme="minorEastAsia"/>
          <w:sz w:val="24"/>
          <w:szCs w:val="24"/>
          <w:lang w:eastAsia="en-AU"/>
        </w:rPr>
      </w:pPr>
      <w:r>
        <w:rPr>
          <w:rFonts w:eastAsiaTheme="minorEastAsia"/>
          <w:sz w:val="24"/>
          <w:szCs w:val="24"/>
          <w:lang w:eastAsia="en-AU"/>
        </w:rPr>
        <w:t xml:space="preserve">The department conducted a two-stage audit to estimate the regulatory burden it administered as at October 2013. As the department provides services and payments for a range of agencies, the audit included service delivery activities on matters </w:t>
      </w:r>
      <w:r w:rsidR="00FB4E00">
        <w:rPr>
          <w:rFonts w:eastAsiaTheme="minorEastAsia"/>
          <w:sz w:val="24"/>
          <w:szCs w:val="24"/>
          <w:lang w:eastAsia="en-AU"/>
        </w:rPr>
        <w:t>for which</w:t>
      </w:r>
      <w:r>
        <w:rPr>
          <w:rFonts w:eastAsiaTheme="minorEastAsia"/>
          <w:sz w:val="24"/>
          <w:szCs w:val="24"/>
          <w:lang w:eastAsia="en-AU"/>
        </w:rPr>
        <w:t xml:space="preserve"> </w:t>
      </w:r>
      <w:r w:rsidR="00874C36">
        <w:rPr>
          <w:rFonts w:eastAsiaTheme="minorEastAsia"/>
          <w:sz w:val="24"/>
          <w:szCs w:val="24"/>
          <w:lang w:eastAsia="en-AU"/>
        </w:rPr>
        <w:t xml:space="preserve">other </w:t>
      </w:r>
      <w:r>
        <w:rPr>
          <w:rFonts w:eastAsiaTheme="minorEastAsia"/>
          <w:sz w:val="24"/>
          <w:szCs w:val="24"/>
          <w:lang w:eastAsia="en-AU"/>
        </w:rPr>
        <w:t>agencies had responsibility under the Administrative Arrangements Order</w:t>
      </w:r>
      <w:r w:rsidR="006F0E91">
        <w:rPr>
          <w:rFonts w:eastAsiaTheme="minorEastAsia"/>
          <w:sz w:val="24"/>
          <w:szCs w:val="24"/>
          <w:lang w:eastAsia="en-AU"/>
        </w:rPr>
        <w:t xml:space="preserve"> of </w:t>
      </w:r>
      <w:r w:rsidR="006F0E91" w:rsidRPr="006F0E91">
        <w:rPr>
          <w:rFonts w:eastAsiaTheme="minorEastAsia"/>
          <w:sz w:val="24"/>
          <w:szCs w:val="24"/>
          <w:lang w:eastAsia="en-AU"/>
        </w:rPr>
        <w:t>3</w:t>
      </w:r>
      <w:r w:rsidR="006F0E91" w:rsidRPr="000F60E0">
        <w:rPr>
          <w:rFonts w:eastAsiaTheme="minorEastAsia"/>
          <w:sz w:val="24"/>
          <w:szCs w:val="24"/>
          <w:lang w:eastAsia="en-AU"/>
        </w:rPr>
        <w:t> </w:t>
      </w:r>
      <w:r w:rsidR="006F0E91" w:rsidRPr="006F0E91">
        <w:rPr>
          <w:rFonts w:eastAsiaTheme="minorEastAsia"/>
          <w:sz w:val="24"/>
          <w:szCs w:val="24"/>
          <w:lang w:eastAsia="en-AU"/>
        </w:rPr>
        <w:t>October</w:t>
      </w:r>
      <w:r w:rsidR="00874C36">
        <w:rPr>
          <w:rFonts w:eastAsiaTheme="minorEastAsia"/>
          <w:sz w:val="24"/>
          <w:szCs w:val="24"/>
          <w:lang w:eastAsia="en-AU"/>
        </w:rPr>
        <w:t> </w:t>
      </w:r>
      <w:r w:rsidR="006F0E91">
        <w:rPr>
          <w:rFonts w:eastAsiaTheme="minorEastAsia"/>
          <w:sz w:val="24"/>
          <w:szCs w:val="24"/>
          <w:lang w:eastAsia="en-AU"/>
        </w:rPr>
        <w:t>2013, including</w:t>
      </w:r>
      <w:r w:rsidR="00FB4E00">
        <w:rPr>
          <w:rFonts w:eastAsiaTheme="minorEastAsia"/>
          <w:sz w:val="24"/>
          <w:szCs w:val="24"/>
          <w:lang w:eastAsia="en-AU"/>
        </w:rPr>
        <w:t xml:space="preserve"> the d</w:t>
      </w:r>
      <w:r w:rsidR="006F0E91">
        <w:rPr>
          <w:rFonts w:eastAsiaTheme="minorEastAsia"/>
          <w:sz w:val="24"/>
          <w:szCs w:val="24"/>
          <w:lang w:eastAsia="en-AU"/>
        </w:rPr>
        <w:t xml:space="preserve">epartments of Social Services, Health and Employment. In conducting the audit, including </w:t>
      </w:r>
      <w:r w:rsidR="00874C36">
        <w:rPr>
          <w:rFonts w:eastAsiaTheme="minorEastAsia"/>
          <w:sz w:val="24"/>
          <w:szCs w:val="24"/>
          <w:lang w:eastAsia="en-AU"/>
        </w:rPr>
        <w:t xml:space="preserve">the </w:t>
      </w:r>
      <w:r w:rsidR="006F0E91">
        <w:rPr>
          <w:rFonts w:eastAsiaTheme="minorEastAsia"/>
          <w:sz w:val="24"/>
          <w:szCs w:val="24"/>
          <w:lang w:eastAsia="en-AU"/>
        </w:rPr>
        <w:t>count</w:t>
      </w:r>
      <w:r w:rsidR="00874C36">
        <w:rPr>
          <w:rFonts w:eastAsiaTheme="minorEastAsia"/>
          <w:sz w:val="24"/>
          <w:szCs w:val="24"/>
          <w:lang w:eastAsia="en-AU"/>
        </w:rPr>
        <w:t>ing</w:t>
      </w:r>
      <w:r w:rsidR="006F0E91">
        <w:rPr>
          <w:rFonts w:eastAsiaTheme="minorEastAsia"/>
          <w:sz w:val="24"/>
          <w:szCs w:val="24"/>
          <w:lang w:eastAsia="en-AU"/>
        </w:rPr>
        <w:t xml:space="preserve"> and cost</w:t>
      </w:r>
      <w:r w:rsidR="00874C36">
        <w:rPr>
          <w:rFonts w:eastAsiaTheme="minorEastAsia"/>
          <w:sz w:val="24"/>
          <w:szCs w:val="24"/>
          <w:lang w:eastAsia="en-AU"/>
        </w:rPr>
        <w:t>ing</w:t>
      </w:r>
      <w:r w:rsidR="006F0E91">
        <w:rPr>
          <w:rFonts w:eastAsiaTheme="minorEastAsia"/>
          <w:sz w:val="24"/>
          <w:szCs w:val="24"/>
          <w:lang w:eastAsia="en-AU"/>
        </w:rPr>
        <w:t xml:space="preserve"> </w:t>
      </w:r>
      <w:r w:rsidR="00874C36">
        <w:rPr>
          <w:rFonts w:eastAsiaTheme="minorEastAsia"/>
          <w:sz w:val="24"/>
          <w:szCs w:val="24"/>
          <w:lang w:eastAsia="en-AU"/>
        </w:rPr>
        <w:t xml:space="preserve">of </w:t>
      </w:r>
      <w:r w:rsidR="006F0E91">
        <w:rPr>
          <w:rFonts w:eastAsiaTheme="minorEastAsia"/>
          <w:sz w:val="24"/>
          <w:szCs w:val="24"/>
          <w:lang w:eastAsia="en-AU"/>
        </w:rPr>
        <w:t>regulations, the de</w:t>
      </w:r>
      <w:r w:rsidR="00FB4E00">
        <w:rPr>
          <w:rFonts w:eastAsiaTheme="minorEastAsia"/>
          <w:sz w:val="24"/>
          <w:szCs w:val="24"/>
          <w:lang w:eastAsia="en-AU"/>
        </w:rPr>
        <w:t>partment consulted</w:t>
      </w:r>
      <w:r w:rsidR="006F0E91">
        <w:rPr>
          <w:rFonts w:eastAsiaTheme="minorEastAsia"/>
          <w:sz w:val="24"/>
          <w:szCs w:val="24"/>
          <w:lang w:eastAsia="en-AU"/>
        </w:rPr>
        <w:t xml:space="preserve"> e</w:t>
      </w:r>
      <w:r w:rsidR="007D376C">
        <w:rPr>
          <w:rFonts w:eastAsiaTheme="minorEastAsia"/>
          <w:sz w:val="24"/>
          <w:szCs w:val="24"/>
          <w:lang w:eastAsia="en-AU"/>
        </w:rPr>
        <w:t>xtensively with these agencies.</w:t>
      </w:r>
    </w:p>
    <w:p w:rsidR="000E2C46" w:rsidRPr="001A1525" w:rsidRDefault="000E2C46" w:rsidP="00B872C3">
      <w:pPr>
        <w:rPr>
          <w:rFonts w:eastAsiaTheme="minorEastAsia"/>
          <w:sz w:val="24"/>
          <w:szCs w:val="24"/>
          <w:lang w:eastAsia="en-AU"/>
        </w:rPr>
      </w:pPr>
      <w:r w:rsidRPr="001A1525">
        <w:rPr>
          <w:rFonts w:eastAsiaTheme="minorEastAsia"/>
          <w:sz w:val="24"/>
          <w:szCs w:val="24"/>
          <w:lang w:eastAsia="en-AU"/>
        </w:rPr>
        <w:t>The department delivers a range of services and p</w:t>
      </w:r>
      <w:r w:rsidR="00876B65">
        <w:rPr>
          <w:rFonts w:eastAsiaTheme="minorEastAsia"/>
          <w:sz w:val="24"/>
          <w:szCs w:val="24"/>
          <w:lang w:eastAsia="en-AU"/>
        </w:rPr>
        <w:t xml:space="preserve">ayments </w:t>
      </w:r>
      <w:r w:rsidRPr="001A1525">
        <w:rPr>
          <w:rFonts w:eastAsiaTheme="minorEastAsia"/>
          <w:sz w:val="24"/>
          <w:szCs w:val="24"/>
          <w:lang w:eastAsia="en-AU"/>
        </w:rPr>
        <w:t xml:space="preserve">for policy </w:t>
      </w:r>
      <w:r w:rsidR="007468DF">
        <w:rPr>
          <w:rFonts w:eastAsiaTheme="minorEastAsia"/>
          <w:sz w:val="24"/>
          <w:szCs w:val="24"/>
          <w:lang w:eastAsia="en-AU"/>
        </w:rPr>
        <w:t>agencies</w:t>
      </w:r>
      <w:r w:rsidRPr="001A1525">
        <w:rPr>
          <w:rFonts w:eastAsiaTheme="minorEastAsia"/>
          <w:sz w:val="24"/>
          <w:szCs w:val="24"/>
          <w:lang w:eastAsia="en-AU"/>
        </w:rPr>
        <w:t xml:space="preserve">. Consistent with the department’s role as a service delivery agency, most </w:t>
      </w:r>
      <w:r w:rsidR="00876B65">
        <w:rPr>
          <w:rFonts w:eastAsiaTheme="minorEastAsia"/>
          <w:sz w:val="24"/>
          <w:szCs w:val="24"/>
          <w:lang w:eastAsia="en-AU"/>
        </w:rPr>
        <w:t xml:space="preserve">of its </w:t>
      </w:r>
      <w:r w:rsidRPr="001A1525">
        <w:rPr>
          <w:rFonts w:eastAsiaTheme="minorEastAsia"/>
          <w:sz w:val="24"/>
          <w:szCs w:val="24"/>
          <w:lang w:eastAsia="en-AU"/>
        </w:rPr>
        <w:t xml:space="preserve">regulation </w:t>
      </w:r>
      <w:r w:rsidR="00443095" w:rsidRPr="001A1525">
        <w:rPr>
          <w:rFonts w:eastAsiaTheme="minorEastAsia"/>
          <w:sz w:val="24"/>
          <w:szCs w:val="24"/>
          <w:lang w:eastAsia="en-AU"/>
        </w:rPr>
        <w:t xml:space="preserve">consists of </w:t>
      </w:r>
      <w:r w:rsidRPr="001A1525">
        <w:rPr>
          <w:rFonts w:eastAsiaTheme="minorEastAsia"/>
          <w:sz w:val="24"/>
          <w:szCs w:val="24"/>
          <w:lang w:eastAsia="en-AU"/>
        </w:rPr>
        <w:t xml:space="preserve">procedural and administrative requirements </w:t>
      </w:r>
      <w:r w:rsidR="007468DF">
        <w:rPr>
          <w:rFonts w:eastAsiaTheme="minorEastAsia"/>
          <w:sz w:val="24"/>
          <w:szCs w:val="24"/>
          <w:lang w:eastAsia="en-AU"/>
        </w:rPr>
        <w:t>for</w:t>
      </w:r>
      <w:r w:rsidRPr="001A1525">
        <w:rPr>
          <w:rFonts w:eastAsiaTheme="minorEastAsia"/>
          <w:sz w:val="24"/>
          <w:szCs w:val="24"/>
          <w:lang w:eastAsia="en-AU"/>
        </w:rPr>
        <w:t xml:space="preserve"> customers and third parties</w:t>
      </w:r>
      <w:r w:rsidR="00876B65">
        <w:rPr>
          <w:rFonts w:eastAsiaTheme="minorEastAsia"/>
          <w:sz w:val="24"/>
          <w:szCs w:val="24"/>
          <w:lang w:eastAsia="en-AU"/>
        </w:rPr>
        <w:t>, which is based on meeting requirements contained in legislation administered by these agencies</w:t>
      </w:r>
      <w:r w:rsidRPr="001A1525">
        <w:rPr>
          <w:rFonts w:eastAsiaTheme="minorEastAsia"/>
          <w:sz w:val="24"/>
          <w:szCs w:val="24"/>
          <w:lang w:eastAsia="en-AU"/>
        </w:rPr>
        <w:t>. Th</w:t>
      </w:r>
      <w:r w:rsidR="00874C36">
        <w:rPr>
          <w:rFonts w:eastAsiaTheme="minorEastAsia"/>
          <w:sz w:val="24"/>
          <w:szCs w:val="24"/>
          <w:lang w:eastAsia="en-AU"/>
        </w:rPr>
        <w:t>ese</w:t>
      </w:r>
      <w:r w:rsidRPr="001A1525">
        <w:rPr>
          <w:rFonts w:eastAsiaTheme="minorEastAsia"/>
          <w:sz w:val="24"/>
          <w:szCs w:val="24"/>
          <w:lang w:eastAsia="en-AU"/>
        </w:rPr>
        <w:t xml:space="preserve"> </w:t>
      </w:r>
      <w:r w:rsidR="00876B65">
        <w:rPr>
          <w:rFonts w:eastAsiaTheme="minorEastAsia"/>
          <w:sz w:val="24"/>
          <w:szCs w:val="24"/>
          <w:lang w:eastAsia="en-AU"/>
        </w:rPr>
        <w:t xml:space="preserve">procedural and administrative requirements that are based on an expectation of compliance </w:t>
      </w:r>
      <w:r w:rsidRPr="001A1525">
        <w:rPr>
          <w:rFonts w:eastAsiaTheme="minorEastAsia"/>
          <w:sz w:val="24"/>
          <w:szCs w:val="24"/>
          <w:lang w:eastAsia="en-AU"/>
        </w:rPr>
        <w:t xml:space="preserve">constitute quasi-regulation </w:t>
      </w:r>
      <w:r w:rsidR="00874C36">
        <w:rPr>
          <w:rFonts w:eastAsiaTheme="minorEastAsia"/>
          <w:sz w:val="24"/>
          <w:szCs w:val="24"/>
          <w:lang w:eastAsia="en-AU"/>
        </w:rPr>
        <w:t xml:space="preserve">as they </w:t>
      </w:r>
      <w:r w:rsidR="005A3773" w:rsidRPr="001A1525">
        <w:rPr>
          <w:rFonts w:eastAsiaTheme="minorEastAsia"/>
          <w:sz w:val="24"/>
          <w:szCs w:val="24"/>
          <w:lang w:eastAsia="en-AU"/>
        </w:rPr>
        <w:t>influence how an individual, business or community organisation engages with the department</w:t>
      </w:r>
      <w:r w:rsidRPr="001A1525">
        <w:rPr>
          <w:rFonts w:eastAsiaTheme="minorEastAsia"/>
          <w:sz w:val="24"/>
          <w:szCs w:val="24"/>
          <w:lang w:eastAsia="en-AU"/>
        </w:rPr>
        <w:t>.</w:t>
      </w:r>
    </w:p>
    <w:p w:rsidR="00B775ED" w:rsidRPr="00B766C7" w:rsidRDefault="005D6CC5" w:rsidP="00B766C7">
      <w:pPr>
        <w:pStyle w:val="Documenttitle3b"/>
      </w:pPr>
      <w:bookmarkStart w:id="12" w:name="_Toc414293169"/>
      <w:r w:rsidRPr="00B766C7">
        <w:t>Stage one</w:t>
      </w:r>
      <w:bookmarkEnd w:id="12"/>
    </w:p>
    <w:p w:rsidR="00D8083C" w:rsidRPr="001A1525" w:rsidRDefault="00D8083C" w:rsidP="00B872C3">
      <w:pPr>
        <w:rPr>
          <w:sz w:val="24"/>
          <w:szCs w:val="24"/>
        </w:rPr>
      </w:pPr>
      <w:r w:rsidRPr="001A1525">
        <w:rPr>
          <w:sz w:val="24"/>
          <w:szCs w:val="24"/>
        </w:rPr>
        <w:t xml:space="preserve">Stage one identified and counted all regulation the department administers, </w:t>
      </w:r>
      <w:r w:rsidR="00FB4E00">
        <w:rPr>
          <w:sz w:val="24"/>
          <w:szCs w:val="24"/>
        </w:rPr>
        <w:t>including</w:t>
      </w:r>
      <w:r w:rsidRPr="001A1525">
        <w:rPr>
          <w:sz w:val="24"/>
          <w:szCs w:val="24"/>
        </w:rPr>
        <w:t xml:space="preserve"> administrative processes based on legislation that is the responsibility of policy departments. Stage one found the department had a total regulation coun</w:t>
      </w:r>
      <w:r w:rsidR="004B2E56">
        <w:rPr>
          <w:sz w:val="24"/>
          <w:szCs w:val="24"/>
        </w:rPr>
        <w:t xml:space="preserve">t of </w:t>
      </w:r>
      <w:r w:rsidR="004B2E56" w:rsidRPr="0052014A">
        <w:rPr>
          <w:sz w:val="24"/>
          <w:szCs w:val="24"/>
        </w:rPr>
        <w:t>2</w:t>
      </w:r>
      <w:r w:rsidR="00BB5602" w:rsidRPr="0052014A">
        <w:rPr>
          <w:sz w:val="24"/>
          <w:szCs w:val="24"/>
        </w:rPr>
        <w:t>,</w:t>
      </w:r>
      <w:r w:rsidR="004B2E56" w:rsidRPr="0052014A">
        <w:rPr>
          <w:sz w:val="24"/>
          <w:szCs w:val="24"/>
        </w:rPr>
        <w:t>060</w:t>
      </w:r>
      <w:r w:rsidRPr="0052014A">
        <w:rPr>
          <w:sz w:val="24"/>
          <w:szCs w:val="24"/>
        </w:rPr>
        <w:t>,</w:t>
      </w:r>
      <w:r w:rsidRPr="001A1525">
        <w:rPr>
          <w:sz w:val="24"/>
          <w:szCs w:val="24"/>
        </w:rPr>
        <w:t xml:space="preserve"> consisting of three pieces of primary legislation, </w:t>
      </w:r>
      <w:r w:rsidR="0075731F">
        <w:rPr>
          <w:sz w:val="24"/>
          <w:szCs w:val="24"/>
        </w:rPr>
        <w:t>seven</w:t>
      </w:r>
      <w:r w:rsidRPr="001A1525">
        <w:rPr>
          <w:sz w:val="24"/>
          <w:szCs w:val="24"/>
        </w:rPr>
        <w:t xml:space="preserve"> subordinate instruments and </w:t>
      </w:r>
      <w:r w:rsidRPr="0052014A">
        <w:rPr>
          <w:sz w:val="24"/>
          <w:szCs w:val="24"/>
        </w:rPr>
        <w:t>2</w:t>
      </w:r>
      <w:r w:rsidR="00BB5602" w:rsidRPr="0052014A">
        <w:rPr>
          <w:sz w:val="24"/>
          <w:szCs w:val="24"/>
        </w:rPr>
        <w:t>,</w:t>
      </w:r>
      <w:r w:rsidRPr="0052014A">
        <w:rPr>
          <w:sz w:val="24"/>
          <w:szCs w:val="24"/>
        </w:rPr>
        <w:t>050</w:t>
      </w:r>
      <w:r w:rsidRPr="001A1525">
        <w:rPr>
          <w:sz w:val="24"/>
          <w:szCs w:val="24"/>
        </w:rPr>
        <w:t xml:space="preserve"> quasi-regulations</w:t>
      </w:r>
      <w:r w:rsidR="000048D0">
        <w:rPr>
          <w:sz w:val="24"/>
          <w:szCs w:val="24"/>
        </w:rPr>
        <w:t xml:space="preserve">. </w:t>
      </w:r>
      <w:r w:rsidR="00F071F0" w:rsidRPr="001A1525">
        <w:rPr>
          <w:rFonts w:eastAsiaTheme="minorEastAsia"/>
          <w:sz w:val="24"/>
          <w:szCs w:val="24"/>
          <w:lang w:eastAsia="en-AU"/>
        </w:rPr>
        <w:t>The department does not have responsibility for any regulatory frameworks.</w:t>
      </w:r>
    </w:p>
    <w:p w:rsidR="005D6CC5" w:rsidRPr="00B766C7" w:rsidRDefault="005D6CC5" w:rsidP="00B766C7">
      <w:pPr>
        <w:pStyle w:val="Documenttitle3b"/>
      </w:pPr>
      <w:bookmarkStart w:id="13" w:name="_Toc414293170"/>
      <w:r w:rsidRPr="00B766C7">
        <w:t>Stage two</w:t>
      </w:r>
      <w:bookmarkEnd w:id="13"/>
    </w:p>
    <w:p w:rsidR="00D8083C" w:rsidRPr="001A1525" w:rsidRDefault="00D8083C" w:rsidP="00B872C3">
      <w:pPr>
        <w:rPr>
          <w:sz w:val="24"/>
          <w:szCs w:val="24"/>
          <w:lang w:val="en-GB"/>
        </w:rPr>
      </w:pPr>
      <w:r w:rsidRPr="001A1525">
        <w:rPr>
          <w:sz w:val="24"/>
          <w:szCs w:val="24"/>
          <w:lang w:val="en-GB"/>
        </w:rPr>
        <w:t>The overall burden</w:t>
      </w:r>
      <w:r w:rsidR="00FB4E00">
        <w:rPr>
          <w:sz w:val="24"/>
          <w:szCs w:val="24"/>
          <w:lang w:val="en-GB"/>
        </w:rPr>
        <w:t xml:space="preserve"> of the </w:t>
      </w:r>
      <w:r w:rsidRPr="001A1525">
        <w:rPr>
          <w:sz w:val="24"/>
          <w:szCs w:val="24"/>
          <w:lang w:val="en-GB"/>
        </w:rPr>
        <w:t xml:space="preserve">regulation administered by the department was estimated as </w:t>
      </w:r>
      <w:r w:rsidR="00210883">
        <w:rPr>
          <w:sz w:val="24"/>
          <w:szCs w:val="24"/>
          <w:lang w:val="en-GB"/>
        </w:rPr>
        <w:t xml:space="preserve">  </w:t>
      </w:r>
      <w:r w:rsidRPr="001A1525">
        <w:rPr>
          <w:sz w:val="24"/>
          <w:szCs w:val="24"/>
          <w:lang w:val="en-GB"/>
        </w:rPr>
        <w:t>$3.7 billion. This figure includes regulatory activities which the department de</w:t>
      </w:r>
      <w:r w:rsidR="007D376C">
        <w:rPr>
          <w:sz w:val="24"/>
          <w:szCs w:val="24"/>
          <w:lang w:val="en-GB"/>
        </w:rPr>
        <w:t>livers for a range of agencies.</w:t>
      </w:r>
    </w:p>
    <w:p w:rsidR="005A3773" w:rsidRPr="001A1525" w:rsidRDefault="00D8083C" w:rsidP="00B872C3">
      <w:pPr>
        <w:rPr>
          <w:sz w:val="24"/>
          <w:szCs w:val="24"/>
          <w:lang w:val="en-GB"/>
        </w:rPr>
      </w:pPr>
      <w:r w:rsidRPr="001A1525">
        <w:rPr>
          <w:sz w:val="24"/>
          <w:szCs w:val="24"/>
          <w:lang w:val="en-GB"/>
        </w:rPr>
        <w:t xml:space="preserve">The department costed a </w:t>
      </w:r>
      <w:r w:rsidR="005A3773" w:rsidRPr="001A1525">
        <w:rPr>
          <w:sz w:val="24"/>
          <w:szCs w:val="24"/>
          <w:lang w:val="en-GB"/>
        </w:rPr>
        <w:t xml:space="preserve">high </w:t>
      </w:r>
      <w:r w:rsidRPr="001A1525">
        <w:rPr>
          <w:sz w:val="24"/>
          <w:szCs w:val="24"/>
          <w:lang w:val="en-GB"/>
        </w:rPr>
        <w:t xml:space="preserve">proportion of the regulatory activities identified in stage one of the audit </w:t>
      </w:r>
      <w:r w:rsidR="005A3773" w:rsidRPr="001A1525">
        <w:rPr>
          <w:sz w:val="24"/>
          <w:szCs w:val="24"/>
          <w:lang w:val="en-GB"/>
        </w:rPr>
        <w:t xml:space="preserve">and used this as a basis for developing an estimate of overall regulatory  burden, </w:t>
      </w:r>
      <w:r w:rsidRPr="001A1525">
        <w:rPr>
          <w:sz w:val="24"/>
          <w:szCs w:val="24"/>
          <w:lang w:val="en-GB"/>
        </w:rPr>
        <w:t>as agreed with the Office of Deregulation</w:t>
      </w:r>
      <w:r w:rsidR="001A1525">
        <w:rPr>
          <w:sz w:val="24"/>
          <w:szCs w:val="24"/>
          <w:lang w:val="en-GB"/>
        </w:rPr>
        <w:t>.</w:t>
      </w:r>
    </w:p>
    <w:p w:rsidR="005D6CC5" w:rsidRPr="00124255" w:rsidRDefault="00D8083C" w:rsidP="002C064C">
      <w:pPr>
        <w:rPr>
          <w:sz w:val="24"/>
          <w:szCs w:val="24"/>
          <w:lang w:val="en-GB"/>
        </w:rPr>
      </w:pPr>
      <w:r w:rsidRPr="001A1525">
        <w:rPr>
          <w:sz w:val="24"/>
          <w:szCs w:val="24"/>
          <w:lang w:val="en-GB"/>
        </w:rPr>
        <w:lastRenderedPageBreak/>
        <w:t>The department engaged with its existing external stakeholder groups about processes and regulation administered by the department</w:t>
      </w:r>
      <w:r w:rsidR="007468DF">
        <w:rPr>
          <w:sz w:val="24"/>
          <w:szCs w:val="24"/>
          <w:lang w:val="en-GB"/>
        </w:rPr>
        <w:t>, including to discuss whether conclusions from the audit were aligned with their experiences</w:t>
      </w:r>
      <w:r w:rsidRPr="001A1525">
        <w:rPr>
          <w:sz w:val="24"/>
          <w:szCs w:val="24"/>
          <w:lang w:val="en-GB"/>
        </w:rPr>
        <w:t xml:space="preserve">. The </w:t>
      </w:r>
      <w:r w:rsidR="007468DF">
        <w:rPr>
          <w:sz w:val="24"/>
          <w:szCs w:val="24"/>
          <w:lang w:val="en-GB"/>
        </w:rPr>
        <w:t xml:space="preserve">feedback received from </w:t>
      </w:r>
      <w:r w:rsidRPr="001A1525">
        <w:rPr>
          <w:sz w:val="24"/>
          <w:szCs w:val="24"/>
          <w:lang w:val="en-GB"/>
        </w:rPr>
        <w:t>stakeholder groups w</w:t>
      </w:r>
      <w:r w:rsidR="007468DF">
        <w:rPr>
          <w:sz w:val="24"/>
          <w:szCs w:val="24"/>
          <w:lang w:val="en-GB"/>
        </w:rPr>
        <w:t xml:space="preserve">as </w:t>
      </w:r>
      <w:r w:rsidR="00124255">
        <w:rPr>
          <w:sz w:val="24"/>
          <w:szCs w:val="24"/>
          <w:lang w:val="en-GB"/>
        </w:rPr>
        <w:t>consistent with audit findings.</w:t>
      </w:r>
    </w:p>
    <w:p w:rsidR="00A925F4" w:rsidRDefault="00A925F4">
      <w:pPr>
        <w:rPr>
          <w:rFonts w:eastAsia="Cambria" w:cs="Kalinga"/>
          <w:b/>
          <w:color w:val="E11E25"/>
          <w:kern w:val="20"/>
          <w:sz w:val="30"/>
          <w:szCs w:val="30"/>
          <w:lang w:val="en-US" w:eastAsia="ja-JP"/>
        </w:rPr>
      </w:pPr>
      <w:r>
        <w:br w:type="page"/>
      </w:r>
    </w:p>
    <w:p w:rsidR="00AC75CC" w:rsidRDefault="00162B60" w:rsidP="001540F2">
      <w:pPr>
        <w:pStyle w:val="Documenttitle02"/>
      </w:pPr>
      <w:bookmarkStart w:id="14" w:name="_Toc414293171"/>
      <w:r>
        <w:lastRenderedPageBreak/>
        <w:t>A</w:t>
      </w:r>
      <w:r w:rsidR="00AC75CC">
        <w:t xml:space="preserve">ppendix A: </w:t>
      </w:r>
      <w:r w:rsidR="00AC75CC" w:rsidRPr="00BF2DB7">
        <w:t xml:space="preserve">Measures </w:t>
      </w:r>
      <w:r w:rsidR="00CC289C">
        <w:t>implemented</w:t>
      </w:r>
      <w:r w:rsidR="00AC75CC" w:rsidRPr="00BF2DB7">
        <w:t xml:space="preserve"> </w:t>
      </w:r>
      <w:r w:rsidR="00AC75CC">
        <w:t>in</w:t>
      </w:r>
      <w:r w:rsidR="00AC75CC" w:rsidRPr="00BF2DB7">
        <w:t xml:space="preserve"> 2014</w:t>
      </w:r>
      <w:bookmarkEnd w:id="14"/>
    </w:p>
    <w:p w:rsidR="00816C5B" w:rsidRDefault="004F4CC0" w:rsidP="00816C5B">
      <w:pPr>
        <w:pStyle w:val="Appendixheading"/>
      </w:pPr>
      <w:r w:rsidRPr="004F4CC0">
        <w:t>Circumstance updates – Age Pension reduced income and assets reporting</w:t>
      </w:r>
    </w:p>
    <w:p w:rsidR="00816C5B" w:rsidRDefault="00816C5B" w:rsidP="002A1EA9">
      <w:pPr>
        <w:ind w:left="-142"/>
      </w:pPr>
      <w:r>
        <w:rPr>
          <w:noProof/>
          <w:lang w:eastAsia="en-AU"/>
        </w:rPr>
        <mc:AlternateContent>
          <mc:Choice Requires="wps">
            <w:drawing>
              <wp:inline distT="0" distB="0" distL="0" distR="0">
                <wp:extent cx="5925787" cy="1404620"/>
                <wp:effectExtent l="0" t="0" r="0" b="12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787" cy="1404620"/>
                        </a:xfrm>
                        <a:prstGeom prst="rect">
                          <a:avLst/>
                        </a:prstGeom>
                        <a:solidFill>
                          <a:schemeClr val="accent6">
                            <a:lumMod val="20000"/>
                            <a:lumOff val="80000"/>
                          </a:schemeClr>
                        </a:solidFill>
                        <a:ln w="9525">
                          <a:noFill/>
                          <a:miter lim="800000"/>
                          <a:headEnd/>
                          <a:tailEnd/>
                        </a:ln>
                      </wps:spPr>
                      <wps:txbx>
                        <w:txbxContent>
                          <w:p w:rsidR="00816C5B" w:rsidRPr="00FC52E6" w:rsidRDefault="00816C5B" w:rsidP="00816C5B">
                            <w:pPr>
                              <w:pStyle w:val="ReportBulletPoint"/>
                              <w:rPr>
                                <w:lang w:eastAsia="en-AU"/>
                              </w:rPr>
                            </w:pPr>
                            <w:r w:rsidRPr="00FC52E6">
                              <w:rPr>
                                <w:lang w:eastAsia="en-AU"/>
                              </w:rPr>
                              <w:t xml:space="preserve">In June 2014, a change was made to more closely align the process for reporting income and assets with the associated policy. </w:t>
                            </w:r>
                          </w:p>
                          <w:p w:rsidR="00816C5B" w:rsidRDefault="00816C5B" w:rsidP="00816C5B">
                            <w:pPr>
                              <w:pStyle w:val="ReportBulletPoint"/>
                            </w:pPr>
                            <w:r w:rsidRPr="00FC52E6">
                              <w:rPr>
                                <w:lang w:eastAsia="en-AU"/>
                              </w:rPr>
                              <w:t xml:space="preserve">Age Pension customers now no longer update their income and assets if the total change in asset value is less than </w:t>
                            </w:r>
                            <w:r w:rsidRPr="0052014A">
                              <w:rPr>
                                <w:lang w:eastAsia="en-AU"/>
                              </w:rPr>
                              <w:t>$2,000.</w:t>
                            </w:r>
                            <w:r w:rsidRPr="00FC52E6">
                              <w:rPr>
                                <w:lang w:eastAsia="en-AU"/>
                              </w:rPr>
                              <w:t xml:space="preserve"> This change will reduce the number of contacts Age Pension customers make with the department to maintain their payment.</w:t>
                            </w:r>
                          </w:p>
                          <w:p w:rsidR="00816C5B" w:rsidRDefault="00816C5B" w:rsidP="00816C5B">
                            <w:pPr>
                              <w:pStyle w:val="ReportBulletPoint"/>
                            </w:pPr>
                            <w:r w:rsidRPr="00FC52E6">
                              <w:t>The Departmen</w:t>
                            </w:r>
                            <w:r w:rsidRPr="00816C5B">
                              <w:rPr>
                                <w:shd w:val="clear" w:color="auto" w:fill="F1EBE0" w:themeFill="accent6" w:themeFillTint="33"/>
                              </w:rPr>
                              <w:t>t</w:t>
                            </w:r>
                            <w:r w:rsidRPr="00FC52E6">
                              <w:t xml:space="preserve"> of Human Services has estimated that this will lead to an annual saving of </w:t>
                            </w:r>
                            <w:r w:rsidRPr="00816C5B">
                              <w:rPr>
                                <w:b/>
                              </w:rPr>
                              <w:t xml:space="preserve">$2.64 </w:t>
                            </w:r>
                            <w:r w:rsidRPr="00FC52E6">
                              <w:t>million in red tape costs.</w:t>
                            </w:r>
                          </w:p>
                        </w:txbxContent>
                      </wps:txbx>
                      <wps:bodyPr rot="0" vert="horz" wrap="square" lIns="91440" tIns="45720" rIns="91440" bIns="45720" anchor="t" anchorCtr="0">
                        <a:spAutoFit/>
                      </wps:bodyPr>
                    </wps:wsp>
                  </a:graphicData>
                </a:graphic>
              </wp:inline>
            </w:drawing>
          </mc:Choice>
          <mc:Fallback>
            <w:pict>
              <v:shape id="_x0000_s1030" type="#_x0000_t202" style="width:466.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" fillcolor="#f1ebe0 [665]" stroked="f">
                <v:textbox style="mso-fit-shape-to-text:t">
                  <w:txbxContent>
                    <w:p w:rsidR="00816C5B" w:rsidRPr="00FC52E6" w:rsidRDefault="00816C5B" w:rsidP="00816C5B">
                      <w:pPr>
                        <w:pStyle w:val="ReportBulletPoint"/>
                        <w:rPr>
                          <w:lang w:eastAsia="en-AU"/>
                        </w:rPr>
                      </w:pPr>
                      <w:r w:rsidRPr="00FC52E6">
                        <w:rPr>
                          <w:lang w:eastAsia="en-AU"/>
                        </w:rPr>
                        <w:t xml:space="preserve">In June 2014, a change was made to more closely align the process for reporting income and assets with the associated policy. </w:t>
                      </w:r>
                    </w:p>
                    <w:p w:rsidR="00816C5B" w:rsidRDefault="00816C5B" w:rsidP="00816C5B">
                      <w:pPr>
                        <w:pStyle w:val="ReportBulletPoint"/>
                      </w:pPr>
                      <w:r w:rsidRPr="00FC52E6">
                        <w:rPr>
                          <w:lang w:eastAsia="en-AU"/>
                        </w:rPr>
                        <w:t xml:space="preserve">Age Pension customers now no longer update their income and assets if the total change in asset value is less than </w:t>
                      </w:r>
                      <w:r w:rsidRPr="0052014A">
                        <w:rPr>
                          <w:lang w:eastAsia="en-AU"/>
                        </w:rPr>
                        <w:t>$2,000.</w:t>
                      </w:r>
                      <w:r w:rsidRPr="00FC52E6">
                        <w:rPr>
                          <w:lang w:eastAsia="en-AU"/>
                        </w:rPr>
                        <w:t xml:space="preserve"> This change will reduce the number of contacts Age Pension customers make with the department to maintain their payment.</w:t>
                      </w:r>
                    </w:p>
                    <w:p w:rsidR="00816C5B" w:rsidRDefault="00816C5B" w:rsidP="00816C5B">
                      <w:pPr>
                        <w:pStyle w:val="ReportBulletPoint"/>
                      </w:pPr>
                      <w:r w:rsidRPr="00FC52E6">
                        <w:t>The Departmen</w:t>
                      </w:r>
                      <w:r w:rsidRPr="00816C5B">
                        <w:rPr>
                          <w:shd w:val="clear" w:color="auto" w:fill="F1EBE0" w:themeFill="accent6" w:themeFillTint="33"/>
                        </w:rPr>
                        <w:t>t</w:t>
                      </w:r>
                      <w:r w:rsidRPr="00FC52E6">
                        <w:t xml:space="preserve"> of Human Services has estimated that this will lead to an annual saving of </w:t>
                      </w:r>
                      <w:r w:rsidRPr="00816C5B">
                        <w:rPr>
                          <w:b/>
                        </w:rPr>
                        <w:t xml:space="preserve">$2.64 </w:t>
                      </w:r>
                      <w:r w:rsidRPr="00FC52E6">
                        <w:t>million in red tape costs.</w:t>
                      </w:r>
                    </w:p>
                  </w:txbxContent>
                </v:textbox>
                <w10:anchorlock/>
              </v:shape>
            </w:pict>
          </mc:Fallback>
        </mc:AlternateContent>
      </w:r>
    </w:p>
    <w:p w:rsidR="002A1EA9" w:rsidRDefault="002A1EA9" w:rsidP="002A1EA9">
      <w:pPr>
        <w:pStyle w:val="Appendixheading"/>
      </w:pPr>
      <w:r w:rsidRPr="002A1EA9">
        <w:t>Circumstance updates – income and assets</w:t>
      </w:r>
    </w:p>
    <w:p w:rsidR="002A1EA9" w:rsidRDefault="002A1EA9" w:rsidP="002A1EA9">
      <w:pPr>
        <w:ind w:left="-142"/>
      </w:pPr>
      <w:r>
        <w:rPr>
          <w:noProof/>
          <w:lang w:eastAsia="en-AU"/>
        </w:rPr>
        <mc:AlternateContent>
          <mc:Choice Requires="wps">
            <w:drawing>
              <wp:inline distT="0" distB="0" distL="0" distR="0" wp14:anchorId="6DA3C76B" wp14:editId="3F264E14">
                <wp:extent cx="5925185" cy="551591"/>
                <wp:effectExtent l="0" t="0" r="0" b="12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Default="002A1EA9" w:rsidP="002A1EA9">
                            <w:pPr>
                              <w:pStyle w:val="ReportBulletPoint"/>
                              <w:rPr>
                                <w:lang w:eastAsia="en-AU"/>
                              </w:rPr>
                            </w:pPr>
                            <w:r>
                              <w:rPr>
                                <w:lang w:eastAsia="en-AU"/>
                              </w:rPr>
                              <w:t>Since June 2014, t</w:t>
                            </w:r>
                            <w:r w:rsidRPr="00550085">
                              <w:rPr>
                                <w:lang w:eastAsia="en-AU"/>
                              </w:rPr>
                              <w:t xml:space="preserve">he </w:t>
                            </w:r>
                            <w:r>
                              <w:rPr>
                                <w:lang w:eastAsia="en-AU"/>
                              </w:rPr>
                              <w:t>d</w:t>
                            </w:r>
                            <w:r w:rsidRPr="00550085">
                              <w:rPr>
                                <w:lang w:eastAsia="en-AU"/>
                              </w:rPr>
                              <w:t>epartment increased online functionality for customers</w:t>
                            </w:r>
                            <w:r>
                              <w:rPr>
                                <w:lang w:eastAsia="en-AU"/>
                              </w:rPr>
                              <w:t xml:space="preserve"> who need to advise the department of changes in their circumstances.</w:t>
                            </w:r>
                          </w:p>
                          <w:p w:rsidR="002A1EA9" w:rsidRDefault="002A1EA9" w:rsidP="00D946C4">
                            <w:pPr>
                              <w:pStyle w:val="ReportBulletPoint"/>
                            </w:pPr>
                            <w:r>
                              <w:rPr>
                                <w:lang w:eastAsia="en-AU"/>
                              </w:rPr>
                              <w:t>The department’s customers are now able to report changes in income, savings, shares and other assets through their personalised online profile, reducing the need for the customer to call the department or visit a service centre.</w:t>
                            </w:r>
                          </w:p>
                          <w:p w:rsidR="002A1EA9" w:rsidRDefault="002A1EA9" w:rsidP="00D946C4">
                            <w:pPr>
                              <w:pStyle w:val="ReportBulletPoint"/>
                            </w:pPr>
                            <w:r w:rsidRPr="00550085">
                              <w:t xml:space="preserve">The Department of Human Services has estimated that this will lead to an annual saving of </w:t>
                            </w:r>
                            <w:r w:rsidRPr="002A1EA9">
                              <w:rPr>
                                <w:b/>
                              </w:rPr>
                              <w:t xml:space="preserve">$7.42 </w:t>
                            </w:r>
                            <w:r w:rsidRPr="00550085">
                              <w:t>million in red tape costs.</w:t>
                            </w:r>
                          </w:p>
                        </w:txbxContent>
                      </wps:txbx>
                      <wps:bodyPr rot="0" vert="horz" wrap="square" lIns="91440" tIns="45720" rIns="91440" bIns="45720" anchor="t" anchorCtr="0">
                        <a:spAutoFit/>
                      </wps:bodyPr>
                    </wps:wsp>
                  </a:graphicData>
                </a:graphic>
              </wp:inline>
            </w:drawing>
          </mc:Choice>
          <mc:Fallback>
            <w:pict>
              <v:shape w14:anchorId="6DA3C76B" id="_x0000_s1031"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" fillcolor="#f1ebe0 [665]" stroked="f">
                <v:textbox style="mso-fit-shape-to-text:t">
                  <w:txbxContent>
                    <w:p w:rsidR="002A1EA9" w:rsidRDefault="002A1EA9" w:rsidP="002A1EA9">
                      <w:pPr>
                        <w:pStyle w:val="ReportBulletPoint"/>
                        <w:rPr>
                          <w:lang w:eastAsia="en-AU"/>
                        </w:rPr>
                      </w:pPr>
                      <w:r>
                        <w:rPr>
                          <w:lang w:eastAsia="en-AU"/>
                        </w:rPr>
                        <w:t>Since June 2014, t</w:t>
                      </w:r>
                      <w:r w:rsidRPr="00550085">
                        <w:rPr>
                          <w:lang w:eastAsia="en-AU"/>
                        </w:rPr>
                        <w:t xml:space="preserve">he </w:t>
                      </w:r>
                      <w:r>
                        <w:rPr>
                          <w:lang w:eastAsia="en-AU"/>
                        </w:rPr>
                        <w:t>d</w:t>
                      </w:r>
                      <w:r w:rsidRPr="00550085">
                        <w:rPr>
                          <w:lang w:eastAsia="en-AU"/>
                        </w:rPr>
                        <w:t>epartment increased online functionality for customers</w:t>
                      </w:r>
                      <w:r>
                        <w:rPr>
                          <w:lang w:eastAsia="en-AU"/>
                        </w:rPr>
                        <w:t xml:space="preserve"> who need to advise the department of changes in their circumstances.</w:t>
                      </w:r>
                    </w:p>
                    <w:p w:rsidR="002A1EA9" w:rsidRDefault="002A1EA9" w:rsidP="00D946C4">
                      <w:pPr>
                        <w:pStyle w:val="ReportBulletPoint"/>
                      </w:pPr>
                      <w:r>
                        <w:rPr>
                          <w:lang w:eastAsia="en-AU"/>
                        </w:rPr>
                        <w:t>The department’s customers are now able to report changes in income, savings, shares and other assets through their personalised online profile, reducing the need for the customer to call the department or visit a service centre.</w:t>
                      </w:r>
                    </w:p>
                    <w:p w:rsidR="002A1EA9" w:rsidRDefault="002A1EA9" w:rsidP="00D946C4">
                      <w:pPr>
                        <w:pStyle w:val="ReportBulletPoint"/>
                      </w:pPr>
                      <w:r w:rsidRPr="00550085">
                        <w:t xml:space="preserve">The Department of Human Services has estimated that this will lead to an annual saving of </w:t>
                      </w:r>
                      <w:r w:rsidRPr="002A1EA9">
                        <w:rPr>
                          <w:b/>
                        </w:rPr>
                        <w:t xml:space="preserve">$7.42 </w:t>
                      </w:r>
                      <w:r w:rsidRPr="00550085">
                        <w:t>million in red tape costs.</w:t>
                      </w:r>
                    </w:p>
                  </w:txbxContent>
                </v:textbox>
                <w10:anchorlock/>
              </v:shape>
            </w:pict>
          </mc:Fallback>
        </mc:AlternateContent>
      </w:r>
    </w:p>
    <w:p w:rsidR="002A1EA9" w:rsidRDefault="002A1EA9" w:rsidP="002A1EA9">
      <w:pPr>
        <w:pStyle w:val="Appendixheading"/>
      </w:pPr>
      <w:r w:rsidRPr="002A1EA9">
        <w:t>Circumstance updates – reporting employment income</w:t>
      </w:r>
    </w:p>
    <w:p w:rsidR="002A1EA9" w:rsidRDefault="002A1EA9" w:rsidP="002A1EA9">
      <w:pPr>
        <w:ind w:left="-142"/>
      </w:pPr>
      <w:r>
        <w:rPr>
          <w:noProof/>
          <w:lang w:eastAsia="en-AU"/>
        </w:rPr>
        <mc:AlternateContent>
          <mc:Choice Requires="wps">
            <w:drawing>
              <wp:inline distT="0" distB="0" distL="0" distR="0" wp14:anchorId="6DA3C76B" wp14:editId="3F264E14">
                <wp:extent cx="5925185" cy="551591"/>
                <wp:effectExtent l="0" t="0" r="0" b="12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Default="002A1EA9" w:rsidP="002A1EA9">
                            <w:pPr>
                              <w:pStyle w:val="ReportBulletPoint"/>
                              <w:rPr>
                                <w:lang w:eastAsia="en-AU"/>
                              </w:rPr>
                            </w:pPr>
                            <w:r>
                              <w:rPr>
                                <w:lang w:eastAsia="en-AU"/>
                              </w:rPr>
                              <w:t>Since September 2014, c</w:t>
                            </w:r>
                            <w:r w:rsidRPr="00AB28DB">
                              <w:rPr>
                                <w:lang w:eastAsia="en-AU"/>
                              </w:rPr>
                              <w:t xml:space="preserve">ustomers reporting their employment income using their online account are now presented a streamlined question set.  </w:t>
                            </w:r>
                          </w:p>
                          <w:p w:rsidR="002A1EA9" w:rsidRDefault="002A1EA9" w:rsidP="00EE041A">
                            <w:pPr>
                              <w:pStyle w:val="ReportBulletPoint"/>
                            </w:pPr>
                            <w:r w:rsidRPr="00AB28DB">
                              <w:rPr>
                                <w:lang w:eastAsia="en-AU"/>
                              </w:rPr>
                              <w:t xml:space="preserve">This reduces </w:t>
                            </w:r>
                            <w:r>
                              <w:rPr>
                                <w:lang w:eastAsia="en-AU"/>
                              </w:rPr>
                              <w:t xml:space="preserve">the number of </w:t>
                            </w:r>
                            <w:r w:rsidRPr="00AB28DB">
                              <w:rPr>
                                <w:lang w:eastAsia="en-AU"/>
                              </w:rPr>
                              <w:t xml:space="preserve">failed activities and the need for customers to </w:t>
                            </w:r>
                            <w:r>
                              <w:rPr>
                                <w:lang w:eastAsia="en-AU"/>
                              </w:rPr>
                              <w:t>call</w:t>
                            </w:r>
                            <w:r w:rsidRPr="00AB28DB">
                              <w:rPr>
                                <w:lang w:eastAsia="en-AU"/>
                              </w:rPr>
                              <w:t xml:space="preserve"> the department </w:t>
                            </w:r>
                            <w:r>
                              <w:rPr>
                                <w:lang w:eastAsia="en-AU"/>
                              </w:rPr>
                              <w:t>or visit a</w:t>
                            </w:r>
                            <w:r w:rsidRPr="00AB28DB">
                              <w:rPr>
                                <w:lang w:eastAsia="en-AU"/>
                              </w:rPr>
                              <w:t xml:space="preserve"> service centre </w:t>
                            </w:r>
                            <w:r w:rsidRPr="002454EE">
                              <w:rPr>
                                <w:lang w:eastAsia="en-AU"/>
                              </w:rPr>
                              <w:t>to ensure their employment is reported successfully to receive their payment.</w:t>
                            </w:r>
                          </w:p>
                          <w:p w:rsidR="002A1EA9" w:rsidRDefault="002A1EA9" w:rsidP="00EE041A">
                            <w:pPr>
                              <w:pStyle w:val="ReportBulletPoint"/>
                            </w:pPr>
                            <w:r w:rsidRPr="00550085">
                              <w:t xml:space="preserve">The Department of Human Services has estimated that this will lead to an annual saving of </w:t>
                            </w:r>
                            <w:r w:rsidRPr="002A1EA9">
                              <w:rPr>
                                <w:b/>
                              </w:rPr>
                              <w:t xml:space="preserve">$1.37 </w:t>
                            </w:r>
                            <w:r w:rsidRPr="00550085">
                              <w:t>million in red tape costs.</w:t>
                            </w:r>
                          </w:p>
                        </w:txbxContent>
                      </wps:txbx>
                      <wps:bodyPr rot="0" vert="horz" wrap="square" lIns="91440" tIns="45720" rIns="91440" bIns="45720" anchor="t" anchorCtr="0">
                        <a:spAutoFit/>
                      </wps:bodyPr>
                    </wps:wsp>
                  </a:graphicData>
                </a:graphic>
              </wp:inline>
            </w:drawing>
          </mc:Choice>
          <mc:Fallback>
            <w:pict>
              <v:shape w14:anchorId="6DA3C76B" id="_x0000_s1032"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" fillcolor="#f1ebe0 [665]" stroked="f">
                <v:textbox style="mso-fit-shape-to-text:t">
                  <w:txbxContent>
                    <w:p w:rsidR="002A1EA9" w:rsidRDefault="002A1EA9" w:rsidP="002A1EA9">
                      <w:pPr>
                        <w:pStyle w:val="ReportBulletPoint"/>
                        <w:rPr>
                          <w:lang w:eastAsia="en-AU"/>
                        </w:rPr>
                      </w:pPr>
                      <w:r>
                        <w:rPr>
                          <w:lang w:eastAsia="en-AU"/>
                        </w:rPr>
                        <w:t>Since September 2014, c</w:t>
                      </w:r>
                      <w:r w:rsidRPr="00AB28DB">
                        <w:rPr>
                          <w:lang w:eastAsia="en-AU"/>
                        </w:rPr>
                        <w:t xml:space="preserve">ustomers reporting their employment income using their online account are now presented a streamlined question set.  </w:t>
                      </w:r>
                    </w:p>
                    <w:p w:rsidR="002A1EA9" w:rsidRDefault="002A1EA9" w:rsidP="00EE041A">
                      <w:pPr>
                        <w:pStyle w:val="ReportBulletPoint"/>
                      </w:pPr>
                      <w:r w:rsidRPr="00AB28DB">
                        <w:rPr>
                          <w:lang w:eastAsia="en-AU"/>
                        </w:rPr>
                        <w:t xml:space="preserve">This reduces </w:t>
                      </w:r>
                      <w:r>
                        <w:rPr>
                          <w:lang w:eastAsia="en-AU"/>
                        </w:rPr>
                        <w:t xml:space="preserve">the number of </w:t>
                      </w:r>
                      <w:r w:rsidRPr="00AB28DB">
                        <w:rPr>
                          <w:lang w:eastAsia="en-AU"/>
                        </w:rPr>
                        <w:t xml:space="preserve">failed activities and the need for customers to </w:t>
                      </w:r>
                      <w:r>
                        <w:rPr>
                          <w:lang w:eastAsia="en-AU"/>
                        </w:rPr>
                        <w:t>call</w:t>
                      </w:r>
                      <w:r w:rsidRPr="00AB28DB">
                        <w:rPr>
                          <w:lang w:eastAsia="en-AU"/>
                        </w:rPr>
                        <w:t xml:space="preserve"> the department </w:t>
                      </w:r>
                      <w:r>
                        <w:rPr>
                          <w:lang w:eastAsia="en-AU"/>
                        </w:rPr>
                        <w:t>or visit a</w:t>
                      </w:r>
                      <w:r w:rsidRPr="00AB28DB">
                        <w:rPr>
                          <w:lang w:eastAsia="en-AU"/>
                        </w:rPr>
                        <w:t xml:space="preserve"> service centre </w:t>
                      </w:r>
                      <w:r w:rsidRPr="002454EE">
                        <w:rPr>
                          <w:lang w:eastAsia="en-AU"/>
                        </w:rPr>
                        <w:t>to ensure their employment is reported successfully to receive their payment.</w:t>
                      </w:r>
                    </w:p>
                    <w:p w:rsidR="002A1EA9" w:rsidRDefault="002A1EA9" w:rsidP="00EE041A">
                      <w:pPr>
                        <w:pStyle w:val="ReportBulletPoint"/>
                      </w:pPr>
                      <w:r w:rsidRPr="00550085">
                        <w:t xml:space="preserve">The Department of Human Services has estimated that this will lead to an annual saving of </w:t>
                      </w:r>
                      <w:r w:rsidRPr="002A1EA9">
                        <w:rPr>
                          <w:b/>
                        </w:rPr>
                        <w:t xml:space="preserve">$1.37 </w:t>
                      </w:r>
                      <w:r w:rsidRPr="00550085">
                        <w:t>million in red tape costs.</w:t>
                      </w:r>
                    </w:p>
                  </w:txbxContent>
                </v:textbox>
                <w10:anchorlock/>
              </v:shape>
            </w:pict>
          </mc:Fallback>
        </mc:AlternateContent>
      </w:r>
    </w:p>
    <w:p w:rsidR="002A1EA9" w:rsidRDefault="002A1EA9">
      <w:pPr>
        <w:spacing w:after="200" w:line="276" w:lineRule="auto"/>
      </w:pPr>
      <w:r>
        <w:br w:type="page"/>
      </w:r>
    </w:p>
    <w:p w:rsidR="002A1EA9" w:rsidRDefault="002A1EA9" w:rsidP="002A1EA9">
      <w:pPr>
        <w:pStyle w:val="Appendixheading"/>
      </w:pPr>
      <w:r w:rsidRPr="002A1EA9">
        <w:lastRenderedPageBreak/>
        <w:t>Circumstance updates – study details</w:t>
      </w:r>
    </w:p>
    <w:p w:rsidR="002A1EA9" w:rsidRDefault="002A1EA9" w:rsidP="002A1EA9">
      <w:pPr>
        <w:ind w:left="-142"/>
      </w:pPr>
      <w:r>
        <w:rPr>
          <w:noProof/>
          <w:lang w:eastAsia="en-AU"/>
        </w:rPr>
        <mc:AlternateContent>
          <mc:Choice Requires="wps">
            <w:drawing>
              <wp:inline distT="0" distB="0" distL="0" distR="0" wp14:anchorId="6DA3C76B" wp14:editId="3F264E14">
                <wp:extent cx="5925185" cy="551591"/>
                <wp:effectExtent l="0" t="0" r="0" b="12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Pr="00E76163" w:rsidRDefault="002A1EA9" w:rsidP="002A1EA9">
                            <w:pPr>
                              <w:pStyle w:val="ReportBulletPoint"/>
                              <w:rPr>
                                <w:noProof/>
                              </w:rPr>
                            </w:pPr>
                            <w:r w:rsidRPr="00E76163">
                              <w:rPr>
                                <w:noProof/>
                              </w:rPr>
                              <w:t xml:space="preserve">In </w:t>
                            </w:r>
                            <w:r>
                              <w:rPr>
                                <w:noProof/>
                              </w:rPr>
                              <w:t>October</w:t>
                            </w:r>
                            <w:r w:rsidRPr="00E76163">
                              <w:rPr>
                                <w:noProof/>
                              </w:rPr>
                              <w:t xml:space="preserve"> 2014, the Department of Human Services increased online functionality for customers receiving student payments</w:t>
                            </w:r>
                            <w:r>
                              <w:rPr>
                                <w:noProof/>
                              </w:rPr>
                              <w:t>.</w:t>
                            </w:r>
                          </w:p>
                          <w:p w:rsidR="002A1EA9" w:rsidRDefault="002A1EA9" w:rsidP="00053A0A">
                            <w:pPr>
                              <w:pStyle w:val="ReportBulletPoint"/>
                            </w:pPr>
                            <w:r>
                              <w:rPr>
                                <w:noProof/>
                              </w:rPr>
                              <w:t xml:space="preserve">In addition to the study details students could already update, they can now also </w:t>
                            </w:r>
                            <w:r w:rsidRPr="00E76163">
                              <w:rPr>
                                <w:noProof/>
                              </w:rPr>
                              <w:t>advise of</w:t>
                            </w:r>
                            <w:r>
                              <w:rPr>
                                <w:noProof/>
                              </w:rPr>
                              <w:t xml:space="preserve"> multiple </w:t>
                            </w:r>
                            <w:r w:rsidRPr="00E76163">
                              <w:rPr>
                                <w:noProof/>
                              </w:rPr>
                              <w:t>changes</w:t>
                            </w:r>
                            <w:r>
                              <w:rPr>
                                <w:noProof/>
                              </w:rPr>
                              <w:t xml:space="preserve"> to their study details in one transaction online. Additional features have been added such as the ability to remove a future course, advise of study load percentages, provide student identification and campus details. Students will be able to update more of their study details online </w:t>
                            </w:r>
                            <w:r w:rsidRPr="00E76163">
                              <w:rPr>
                                <w:noProof/>
                              </w:rPr>
                              <w:t xml:space="preserve">at a time best suited to them, without being required to call </w:t>
                            </w:r>
                            <w:r>
                              <w:rPr>
                                <w:noProof/>
                              </w:rPr>
                              <w:t>the department</w:t>
                            </w:r>
                            <w:r w:rsidRPr="00E76163">
                              <w:rPr>
                                <w:noProof/>
                              </w:rPr>
                              <w:t xml:space="preserve"> or </w:t>
                            </w:r>
                            <w:r>
                              <w:rPr>
                                <w:noProof/>
                              </w:rPr>
                              <w:t>visit</w:t>
                            </w:r>
                            <w:r w:rsidRPr="00E76163">
                              <w:rPr>
                                <w:noProof/>
                              </w:rPr>
                              <w:t xml:space="preserve"> a service centre.</w:t>
                            </w:r>
                          </w:p>
                          <w:p w:rsidR="002A1EA9" w:rsidRDefault="002A1EA9" w:rsidP="00053A0A">
                            <w:pPr>
                              <w:pStyle w:val="ReportBulletPoint"/>
                            </w:pPr>
                            <w:r w:rsidRPr="00291A60">
                              <w:rPr>
                                <w:rFonts w:eastAsiaTheme="minorHAnsi"/>
                                <w:noProof/>
                              </w:rPr>
                              <w:t xml:space="preserve">The Department of Human Services has estimated that this will lead to an annual saving of </w:t>
                            </w:r>
                            <w:r w:rsidRPr="002A1EA9">
                              <w:rPr>
                                <w:rFonts w:eastAsiaTheme="minorHAnsi"/>
                                <w:b/>
                                <w:noProof/>
                              </w:rPr>
                              <w:t>$2.71</w:t>
                            </w:r>
                            <w:r w:rsidRPr="00291A60">
                              <w:rPr>
                                <w:rFonts w:eastAsiaTheme="minorHAnsi"/>
                                <w:noProof/>
                              </w:rPr>
                              <w:t xml:space="preserve"> million </w:t>
                            </w:r>
                            <w:r w:rsidRPr="00291A60">
                              <w:rPr>
                                <w:noProof/>
                              </w:rPr>
                              <w:t xml:space="preserve">in </w:t>
                            </w:r>
                            <w:r>
                              <w:rPr>
                                <w:noProof/>
                              </w:rPr>
                              <w:t>red tape</w:t>
                            </w:r>
                            <w:r w:rsidRPr="00291A60">
                              <w:rPr>
                                <w:noProof/>
                              </w:rPr>
                              <w:t xml:space="preserve"> costs.</w:t>
                            </w:r>
                          </w:p>
                        </w:txbxContent>
                      </wps:txbx>
                      <wps:bodyPr rot="0" vert="horz" wrap="square" lIns="91440" tIns="45720" rIns="91440" bIns="45720" anchor="t" anchorCtr="0">
                        <a:spAutoFit/>
                      </wps:bodyPr>
                    </wps:wsp>
                  </a:graphicData>
                </a:graphic>
              </wp:inline>
            </w:drawing>
          </mc:Choice>
          <mc:Fallback>
            <w:pict>
              <v:shape w14:anchorId="6DA3C76B" id="_x0000_s1033"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" fillcolor="#f1ebe0 [665]" stroked="f">
                <v:textbox style="mso-fit-shape-to-text:t">
                  <w:txbxContent>
                    <w:p w:rsidR="002A1EA9" w:rsidRPr="00E76163" w:rsidRDefault="002A1EA9" w:rsidP="002A1EA9">
                      <w:pPr>
                        <w:pStyle w:val="ReportBulletPoint"/>
                        <w:rPr>
                          <w:noProof/>
                        </w:rPr>
                      </w:pPr>
                      <w:r w:rsidRPr="00E76163">
                        <w:rPr>
                          <w:noProof/>
                        </w:rPr>
                        <w:t xml:space="preserve">In </w:t>
                      </w:r>
                      <w:r>
                        <w:rPr>
                          <w:noProof/>
                        </w:rPr>
                        <w:t>October</w:t>
                      </w:r>
                      <w:r w:rsidRPr="00E76163">
                        <w:rPr>
                          <w:noProof/>
                        </w:rPr>
                        <w:t xml:space="preserve"> 2014, the Department of Human Services increased online functionality for customers receiving student payments</w:t>
                      </w:r>
                      <w:r>
                        <w:rPr>
                          <w:noProof/>
                        </w:rPr>
                        <w:t>.</w:t>
                      </w:r>
                    </w:p>
                    <w:p w:rsidR="002A1EA9" w:rsidRDefault="002A1EA9" w:rsidP="00053A0A">
                      <w:pPr>
                        <w:pStyle w:val="ReportBulletPoint"/>
                      </w:pPr>
                      <w:r>
                        <w:rPr>
                          <w:noProof/>
                        </w:rPr>
                        <w:t xml:space="preserve">In addition to the study details students could already update, they can now also </w:t>
                      </w:r>
                      <w:r w:rsidRPr="00E76163">
                        <w:rPr>
                          <w:noProof/>
                        </w:rPr>
                        <w:t>advise of</w:t>
                      </w:r>
                      <w:r>
                        <w:rPr>
                          <w:noProof/>
                        </w:rPr>
                        <w:t xml:space="preserve"> multiple </w:t>
                      </w:r>
                      <w:r w:rsidRPr="00E76163">
                        <w:rPr>
                          <w:noProof/>
                        </w:rPr>
                        <w:t>changes</w:t>
                      </w:r>
                      <w:r>
                        <w:rPr>
                          <w:noProof/>
                        </w:rPr>
                        <w:t xml:space="preserve"> to their study details in one transaction online. Additional features have been added such as the ability to remove a future course, advise of study load percentages, provide student identification and campus details. Students will be able to update more of their study details online </w:t>
                      </w:r>
                      <w:r w:rsidRPr="00E76163">
                        <w:rPr>
                          <w:noProof/>
                        </w:rPr>
                        <w:t xml:space="preserve">at a time best suited to them, without being required to call </w:t>
                      </w:r>
                      <w:r>
                        <w:rPr>
                          <w:noProof/>
                        </w:rPr>
                        <w:t>the department</w:t>
                      </w:r>
                      <w:r w:rsidRPr="00E76163">
                        <w:rPr>
                          <w:noProof/>
                        </w:rPr>
                        <w:t xml:space="preserve"> or </w:t>
                      </w:r>
                      <w:r>
                        <w:rPr>
                          <w:noProof/>
                        </w:rPr>
                        <w:t>visit</w:t>
                      </w:r>
                      <w:r w:rsidRPr="00E76163">
                        <w:rPr>
                          <w:noProof/>
                        </w:rPr>
                        <w:t xml:space="preserve"> a service centre.</w:t>
                      </w:r>
                    </w:p>
                    <w:p w:rsidR="002A1EA9" w:rsidRDefault="002A1EA9" w:rsidP="00053A0A">
                      <w:pPr>
                        <w:pStyle w:val="ReportBulletPoint"/>
                      </w:pPr>
                      <w:r w:rsidRPr="00291A60">
                        <w:rPr>
                          <w:rFonts w:eastAsiaTheme="minorHAnsi"/>
                          <w:noProof/>
                        </w:rPr>
                        <w:t xml:space="preserve">The Department of Human Services has estimated that this will lead to an annual saving of </w:t>
                      </w:r>
                      <w:r w:rsidRPr="002A1EA9">
                        <w:rPr>
                          <w:rFonts w:eastAsiaTheme="minorHAnsi"/>
                          <w:b/>
                          <w:noProof/>
                        </w:rPr>
                        <w:t>$2.71</w:t>
                      </w:r>
                      <w:r w:rsidRPr="00291A60">
                        <w:rPr>
                          <w:rFonts w:eastAsiaTheme="minorHAnsi"/>
                          <w:noProof/>
                        </w:rPr>
                        <w:t xml:space="preserve"> million </w:t>
                      </w:r>
                      <w:r w:rsidRPr="00291A60">
                        <w:rPr>
                          <w:noProof/>
                        </w:rPr>
                        <w:t xml:space="preserve">in </w:t>
                      </w:r>
                      <w:r>
                        <w:rPr>
                          <w:noProof/>
                        </w:rPr>
                        <w:t>red tape</w:t>
                      </w:r>
                      <w:r w:rsidRPr="00291A60">
                        <w:rPr>
                          <w:noProof/>
                        </w:rPr>
                        <w:t xml:space="preserve"> costs.</w:t>
                      </w:r>
                    </w:p>
                  </w:txbxContent>
                </v:textbox>
                <w10:anchorlock/>
              </v:shape>
            </w:pict>
          </mc:Fallback>
        </mc:AlternateContent>
      </w:r>
    </w:p>
    <w:p w:rsidR="002A1EA9" w:rsidRDefault="002A1EA9" w:rsidP="002A1EA9">
      <w:pPr>
        <w:pStyle w:val="Appendixheading"/>
      </w:pPr>
      <w:r w:rsidRPr="002A1EA9">
        <w:t>Digital Wallet</w:t>
      </w:r>
    </w:p>
    <w:p w:rsidR="002A1EA9" w:rsidRDefault="002A1EA9" w:rsidP="002A1EA9">
      <w:pPr>
        <w:ind w:left="-142"/>
      </w:pPr>
      <w:r>
        <w:rPr>
          <w:noProof/>
          <w:lang w:eastAsia="en-AU"/>
        </w:rPr>
        <mc:AlternateContent>
          <mc:Choice Requires="wps">
            <w:drawing>
              <wp:inline distT="0" distB="0" distL="0" distR="0" wp14:anchorId="2D7954AC" wp14:editId="22B227C6">
                <wp:extent cx="5925185" cy="551591"/>
                <wp:effectExtent l="0" t="0" r="0" b="12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Pr="00550085" w:rsidRDefault="002A1EA9" w:rsidP="002A1EA9">
                            <w:pPr>
                              <w:pStyle w:val="ReportBulletPoint"/>
                            </w:pPr>
                            <w:r w:rsidRPr="00550085">
                              <w:t>Since April 2014</w:t>
                            </w:r>
                            <w:r>
                              <w:t>,</w:t>
                            </w:r>
                            <w:r w:rsidRPr="00550085">
                              <w:t xml:space="preserve"> concession cards have been available in a digital format</w:t>
                            </w:r>
                            <w:r>
                              <w:t xml:space="preserve"> through the department’s mobile apps</w:t>
                            </w:r>
                            <w:r w:rsidRPr="00550085">
                              <w:t xml:space="preserve">. </w:t>
                            </w:r>
                          </w:p>
                          <w:p w:rsidR="002A1EA9" w:rsidRDefault="002A1EA9" w:rsidP="00DF4439">
                            <w:pPr>
                              <w:pStyle w:val="ReportBulletPoint"/>
                            </w:pPr>
                            <w:r w:rsidRPr="00550085">
                              <w:rPr>
                                <w:lang w:eastAsia="en-AU"/>
                              </w:rPr>
                              <w:t>The Digital Wallet allow</w:t>
                            </w:r>
                            <w:r>
                              <w:rPr>
                                <w:lang w:eastAsia="en-AU"/>
                              </w:rPr>
                              <w:t>s</w:t>
                            </w:r>
                            <w:r w:rsidRPr="00550085">
                              <w:rPr>
                                <w:lang w:eastAsia="en-AU"/>
                              </w:rPr>
                              <w:t xml:space="preserve"> customers to view and show their concession card to concession providers, and for it to be accepted in the same manner as presenting a physical card. </w:t>
                            </w:r>
                            <w:r>
                              <w:rPr>
                                <w:lang w:eastAsia="en-AU"/>
                              </w:rPr>
                              <w:t>This means that c</w:t>
                            </w:r>
                            <w:r w:rsidRPr="00550085">
                              <w:rPr>
                                <w:lang w:eastAsia="en-AU"/>
                              </w:rPr>
                              <w:t>ustomers who</w:t>
                            </w:r>
                            <w:r>
                              <w:rPr>
                                <w:lang w:eastAsia="en-AU"/>
                              </w:rPr>
                              <w:t xml:space="preserve"> currently</w:t>
                            </w:r>
                            <w:r w:rsidRPr="00550085">
                              <w:rPr>
                                <w:lang w:eastAsia="en-AU"/>
                              </w:rPr>
                              <w:t xml:space="preserve"> hold a concession card and need a replacement have the </w:t>
                            </w:r>
                            <w:r w:rsidRPr="00550085">
                              <w:t xml:space="preserve">option to access a new card through a digital service without having to directly contact </w:t>
                            </w:r>
                            <w:r>
                              <w:t>the department</w:t>
                            </w:r>
                            <w:r w:rsidRPr="00550085">
                              <w:t xml:space="preserve">. Customers need concession cards reissued around half a million times each year. </w:t>
                            </w:r>
                          </w:p>
                          <w:p w:rsidR="002A1EA9" w:rsidRDefault="002A1EA9" w:rsidP="00DF4439">
                            <w:pPr>
                              <w:pStyle w:val="ReportBulletPoint"/>
                            </w:pPr>
                            <w:r w:rsidRPr="00550085">
                              <w:t xml:space="preserve">The Department of Human Services has estimated that this will lead to an annual saving of </w:t>
                            </w:r>
                            <w:r w:rsidRPr="002A1EA9">
                              <w:rPr>
                                <w:b/>
                              </w:rPr>
                              <w:t xml:space="preserve">$8.21 </w:t>
                            </w:r>
                            <w:r w:rsidRPr="00550085">
                              <w:t>million in red tape costs.</w:t>
                            </w:r>
                          </w:p>
                        </w:txbxContent>
                      </wps:txbx>
                      <wps:bodyPr rot="0" vert="horz" wrap="square" lIns="91440" tIns="45720" rIns="91440" bIns="45720" anchor="t" anchorCtr="0">
                        <a:spAutoFit/>
                      </wps:bodyPr>
                    </wps:wsp>
                  </a:graphicData>
                </a:graphic>
              </wp:inline>
            </w:drawing>
          </mc:Choice>
          <mc:Fallback>
            <w:pict>
              <v:shape w14:anchorId="2D7954AC" id="_x0000_s1034"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" fillcolor="#f1ebe0 [665]" stroked="f">
                <v:textbox style="mso-fit-shape-to-text:t">
                  <w:txbxContent>
                    <w:p w:rsidR="002A1EA9" w:rsidRPr="00550085" w:rsidRDefault="002A1EA9" w:rsidP="002A1EA9">
                      <w:pPr>
                        <w:pStyle w:val="ReportBulletPoint"/>
                      </w:pPr>
                      <w:r w:rsidRPr="00550085">
                        <w:t>Since April 2014</w:t>
                      </w:r>
                      <w:r>
                        <w:t>,</w:t>
                      </w:r>
                      <w:r w:rsidRPr="00550085">
                        <w:t xml:space="preserve"> concession cards have been available in a digital format</w:t>
                      </w:r>
                      <w:r>
                        <w:t xml:space="preserve"> through the department’s mobile apps</w:t>
                      </w:r>
                      <w:r w:rsidRPr="00550085">
                        <w:t xml:space="preserve">. </w:t>
                      </w:r>
                    </w:p>
                    <w:p w:rsidR="002A1EA9" w:rsidRDefault="002A1EA9" w:rsidP="00DF4439">
                      <w:pPr>
                        <w:pStyle w:val="ReportBulletPoint"/>
                      </w:pPr>
                      <w:r w:rsidRPr="00550085">
                        <w:rPr>
                          <w:lang w:eastAsia="en-AU"/>
                        </w:rPr>
                        <w:t>The Digital Wallet allow</w:t>
                      </w:r>
                      <w:r>
                        <w:rPr>
                          <w:lang w:eastAsia="en-AU"/>
                        </w:rPr>
                        <w:t>s</w:t>
                      </w:r>
                      <w:r w:rsidRPr="00550085">
                        <w:rPr>
                          <w:lang w:eastAsia="en-AU"/>
                        </w:rPr>
                        <w:t xml:space="preserve"> customers to view and show their concession card to concession providers, and for it to be accepted in the same manner as presenting a physical card. </w:t>
                      </w:r>
                      <w:r>
                        <w:rPr>
                          <w:lang w:eastAsia="en-AU"/>
                        </w:rPr>
                        <w:t>This means that c</w:t>
                      </w:r>
                      <w:r w:rsidRPr="00550085">
                        <w:rPr>
                          <w:lang w:eastAsia="en-AU"/>
                        </w:rPr>
                        <w:t>ustomers who</w:t>
                      </w:r>
                      <w:r>
                        <w:rPr>
                          <w:lang w:eastAsia="en-AU"/>
                        </w:rPr>
                        <w:t xml:space="preserve"> currently</w:t>
                      </w:r>
                      <w:r w:rsidRPr="00550085">
                        <w:rPr>
                          <w:lang w:eastAsia="en-AU"/>
                        </w:rPr>
                        <w:t xml:space="preserve"> hold a concession card and need a replacement have the </w:t>
                      </w:r>
                      <w:r w:rsidRPr="00550085">
                        <w:t xml:space="preserve">option to access a new card through a digital service without having to directly contact </w:t>
                      </w:r>
                      <w:r>
                        <w:t>the department</w:t>
                      </w:r>
                      <w:r w:rsidRPr="00550085">
                        <w:t xml:space="preserve">. Customers need concession cards reissued around half a million times each year. </w:t>
                      </w:r>
                    </w:p>
                    <w:p w:rsidR="002A1EA9" w:rsidRDefault="002A1EA9" w:rsidP="00DF4439">
                      <w:pPr>
                        <w:pStyle w:val="ReportBulletPoint"/>
                      </w:pPr>
                      <w:r w:rsidRPr="00550085">
                        <w:t xml:space="preserve">The Department of Human Services has estimated that this will lead to an annual saving of </w:t>
                      </w:r>
                      <w:r w:rsidRPr="002A1EA9">
                        <w:rPr>
                          <w:b/>
                        </w:rPr>
                        <w:t xml:space="preserve">$8.21 </w:t>
                      </w:r>
                      <w:r w:rsidRPr="00550085">
                        <w:t>million in red tape costs.</w:t>
                      </w:r>
                    </w:p>
                  </w:txbxContent>
                </v:textbox>
                <w10:anchorlock/>
              </v:shape>
            </w:pict>
          </mc:Fallback>
        </mc:AlternateContent>
      </w:r>
    </w:p>
    <w:p w:rsidR="002A1EA9" w:rsidRDefault="002A1EA9" w:rsidP="002A1EA9">
      <w:pPr>
        <w:pStyle w:val="Appendixheading"/>
      </w:pPr>
      <w:r w:rsidRPr="002A1EA9">
        <w:t>myGov</w:t>
      </w:r>
    </w:p>
    <w:p w:rsidR="002A1EA9" w:rsidRDefault="002A1EA9" w:rsidP="002A1EA9">
      <w:pPr>
        <w:ind w:left="-142"/>
      </w:pPr>
      <w:r>
        <w:rPr>
          <w:noProof/>
          <w:lang w:eastAsia="en-AU"/>
        </w:rPr>
        <mc:AlternateContent>
          <mc:Choice Requires="wps">
            <w:drawing>
              <wp:inline distT="0" distB="0" distL="0" distR="0" wp14:anchorId="2D7954AC" wp14:editId="22B227C6">
                <wp:extent cx="5925185" cy="551591"/>
                <wp:effectExtent l="0" t="0" r="0" b="12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Default="002A1EA9" w:rsidP="002A1EA9">
                            <w:pPr>
                              <w:pStyle w:val="ReportBulletPoint"/>
                            </w:pPr>
                            <w:r>
                              <w:t>As part of a sustained suite of changes, the Department of Human Services significantly improved service delivery through access to government digital services via myGov.</w:t>
                            </w:r>
                          </w:p>
                          <w:p w:rsidR="002A1EA9" w:rsidRPr="00550085" w:rsidRDefault="002A1EA9" w:rsidP="002A1EA9">
                            <w:pPr>
                              <w:pStyle w:val="ReportBulletPoint"/>
                            </w:pPr>
                            <w:r w:rsidRPr="00550085">
                              <w:t xml:space="preserve">In May 2014, the myGov Inbox digital mail service became operational providing users with easy and secure access to digital mail from Centrelink, Medicare and Child Support. </w:t>
                            </w:r>
                            <w:r>
                              <w:t xml:space="preserve">As at </w:t>
                            </w:r>
                            <w:r w:rsidRPr="008432FE">
                              <w:t>31 December 2014, over 35.4 million digital letters</w:t>
                            </w:r>
                            <w:r w:rsidRPr="00550085">
                              <w:t xml:space="preserve"> </w:t>
                            </w:r>
                            <w:r>
                              <w:t>had</w:t>
                            </w:r>
                            <w:r w:rsidRPr="00550085">
                              <w:t xml:space="preserve"> been sent to customers as they </w:t>
                            </w:r>
                            <w:r>
                              <w:t>took</w:t>
                            </w:r>
                            <w:r w:rsidRPr="00550085">
                              <w:t xml:space="preserve"> advantage of the convenient electronic receipt and storage of correspondence. </w:t>
                            </w:r>
                          </w:p>
                          <w:p w:rsidR="002A1EA9" w:rsidRPr="00550085" w:rsidRDefault="002A1EA9" w:rsidP="002A1EA9">
                            <w:pPr>
                              <w:pStyle w:val="ReportBulletPoint"/>
                              <w:numPr>
                                <w:ilvl w:val="1"/>
                                <w:numId w:val="1"/>
                              </w:numPr>
                            </w:pPr>
                            <w:r w:rsidRPr="00550085">
                              <w:t xml:space="preserve">myGov gives users access to government services through the use of a single username and password, thereby reducing the need for customers to remember multiple credentials and login multiple times on multiple government websites. </w:t>
                            </w:r>
                          </w:p>
                          <w:p w:rsidR="002A1EA9" w:rsidRDefault="002A1EA9" w:rsidP="00B60630">
                            <w:pPr>
                              <w:pStyle w:val="ReportBulletPoint"/>
                              <w:numPr>
                                <w:ilvl w:val="1"/>
                                <w:numId w:val="1"/>
                              </w:numPr>
                            </w:pPr>
                            <w:r w:rsidRPr="00550085">
                              <w:t>T</w:t>
                            </w:r>
                            <w:r>
                              <w:t xml:space="preserve">here were </w:t>
                            </w:r>
                            <w:r w:rsidRPr="00550085">
                              <w:t xml:space="preserve">over </w:t>
                            </w:r>
                            <w:r w:rsidRPr="008432FE">
                              <w:t>6.1 million active myGov accounts at 31 Dece</w:t>
                            </w:r>
                            <w:r>
                              <w:t xml:space="preserve">mber 2014 with an average of </w:t>
                            </w:r>
                            <w:r w:rsidRPr="0052014A">
                              <w:t>20,000</w:t>
                            </w:r>
                            <w:r w:rsidRPr="008432FE">
                              <w:t xml:space="preserve"> new accounts created every day.</w:t>
                            </w:r>
                          </w:p>
                          <w:p w:rsidR="002A1EA9" w:rsidRDefault="002A1EA9" w:rsidP="002A1EA9">
                            <w:pPr>
                              <w:pStyle w:val="ReportBulletPoint"/>
                            </w:pPr>
                            <w:r w:rsidRPr="00550085">
                              <w:t xml:space="preserve">The Department of Human Services has estimated </w:t>
                            </w:r>
                            <w:r>
                              <w:t>that this</w:t>
                            </w:r>
                            <w:r w:rsidRPr="00550085">
                              <w:t xml:space="preserve"> will lead to an annual saving of </w:t>
                            </w:r>
                            <w:r w:rsidRPr="002A1EA9">
                              <w:rPr>
                                <w:b/>
                              </w:rPr>
                              <w:t xml:space="preserve">$54.62 </w:t>
                            </w:r>
                            <w:r w:rsidRPr="00550085">
                              <w:t>million in red tape costs.</w:t>
                            </w:r>
                          </w:p>
                        </w:txbxContent>
                      </wps:txbx>
                      <wps:bodyPr rot="0" vert="horz" wrap="square" lIns="91440" tIns="45720" rIns="91440" bIns="45720" anchor="t" anchorCtr="0">
                        <a:spAutoFit/>
                      </wps:bodyPr>
                    </wps:wsp>
                  </a:graphicData>
                </a:graphic>
              </wp:inline>
            </w:drawing>
          </mc:Choice>
          <mc:Fallback>
            <w:pict>
              <v:shape w14:anchorId="2D7954AC" id="_x0000_s1035"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" fillcolor="#f1ebe0 [665]" stroked="f">
                <v:textbox style="mso-fit-shape-to-text:t">
                  <w:txbxContent>
                    <w:p w:rsidR="002A1EA9" w:rsidRDefault="002A1EA9" w:rsidP="002A1EA9">
                      <w:pPr>
                        <w:pStyle w:val="ReportBulletPoint"/>
                      </w:pPr>
                      <w:r>
                        <w:t>As part of a sustained suite of changes, the Department of Human Services significantly improved service delivery through access to government digital services via myGov.</w:t>
                      </w:r>
                    </w:p>
                    <w:p w:rsidR="002A1EA9" w:rsidRPr="00550085" w:rsidRDefault="002A1EA9" w:rsidP="002A1EA9">
                      <w:pPr>
                        <w:pStyle w:val="ReportBulletPoint"/>
                      </w:pPr>
                      <w:r w:rsidRPr="00550085">
                        <w:t xml:space="preserve">In May 2014, the myGov Inbox digital mail service became operational providing users with easy and secure access to digital mail from Centrelink, Medicare and Child Support. </w:t>
                      </w:r>
                      <w:r>
                        <w:t xml:space="preserve">As at </w:t>
                      </w:r>
                      <w:r w:rsidRPr="008432FE">
                        <w:t>31 December 2014, over 35.4 million digital letters</w:t>
                      </w:r>
                      <w:r w:rsidRPr="00550085">
                        <w:t xml:space="preserve"> </w:t>
                      </w:r>
                      <w:r>
                        <w:t>had</w:t>
                      </w:r>
                      <w:r w:rsidRPr="00550085">
                        <w:t xml:space="preserve"> been sent to customers as they </w:t>
                      </w:r>
                      <w:r>
                        <w:t>took</w:t>
                      </w:r>
                      <w:r w:rsidRPr="00550085">
                        <w:t xml:space="preserve"> advantage of the convenient electronic receipt and storage of correspondence. </w:t>
                      </w:r>
                    </w:p>
                    <w:p w:rsidR="002A1EA9" w:rsidRPr="00550085" w:rsidRDefault="002A1EA9" w:rsidP="002A1EA9">
                      <w:pPr>
                        <w:pStyle w:val="ReportBulletPoint"/>
                        <w:numPr>
                          <w:ilvl w:val="1"/>
                          <w:numId w:val="1"/>
                        </w:numPr>
                      </w:pPr>
                      <w:r w:rsidRPr="00550085">
                        <w:t xml:space="preserve">myGov gives users access to government services through the use of a single username and password, thereby reducing the need for customers to remember multiple credentials and login multiple times on multiple government websites. </w:t>
                      </w:r>
                    </w:p>
                    <w:p w:rsidR="002A1EA9" w:rsidRDefault="002A1EA9" w:rsidP="00B60630">
                      <w:pPr>
                        <w:pStyle w:val="ReportBulletPoint"/>
                        <w:numPr>
                          <w:ilvl w:val="1"/>
                          <w:numId w:val="1"/>
                        </w:numPr>
                      </w:pPr>
                      <w:r w:rsidRPr="00550085">
                        <w:t>T</w:t>
                      </w:r>
                      <w:r>
                        <w:t xml:space="preserve">here were </w:t>
                      </w:r>
                      <w:r w:rsidRPr="00550085">
                        <w:t xml:space="preserve">over </w:t>
                      </w:r>
                      <w:r w:rsidRPr="008432FE">
                        <w:t>6.1 million active myGov accounts at 31 Dece</w:t>
                      </w:r>
                      <w:r>
                        <w:t xml:space="preserve">mber 2014 with an average of </w:t>
                      </w:r>
                      <w:r w:rsidRPr="0052014A">
                        <w:t>20,000</w:t>
                      </w:r>
                      <w:r w:rsidRPr="008432FE">
                        <w:t xml:space="preserve"> new accounts created every day.</w:t>
                      </w:r>
                    </w:p>
                    <w:p w:rsidR="002A1EA9" w:rsidRDefault="002A1EA9" w:rsidP="002A1EA9">
                      <w:pPr>
                        <w:pStyle w:val="ReportBulletPoint"/>
                      </w:pPr>
                      <w:r w:rsidRPr="00550085">
                        <w:t xml:space="preserve">The Department of Human Services has estimated </w:t>
                      </w:r>
                      <w:r>
                        <w:t>that this</w:t>
                      </w:r>
                      <w:r w:rsidRPr="00550085">
                        <w:t xml:space="preserve"> will lead to an annual saving of </w:t>
                      </w:r>
                      <w:r w:rsidRPr="002A1EA9">
                        <w:rPr>
                          <w:b/>
                        </w:rPr>
                        <w:t xml:space="preserve">$54.62 </w:t>
                      </w:r>
                      <w:r w:rsidRPr="00550085">
                        <w:t>million in red tape costs.</w:t>
                      </w:r>
                    </w:p>
                  </w:txbxContent>
                </v:textbox>
                <w10:anchorlock/>
              </v:shape>
            </w:pict>
          </mc:Fallback>
        </mc:AlternateContent>
      </w:r>
    </w:p>
    <w:p w:rsidR="002A1EA9" w:rsidRDefault="002A1EA9" w:rsidP="002A1EA9">
      <w:pPr>
        <w:pStyle w:val="Appendixheading"/>
      </w:pPr>
      <w:r w:rsidRPr="002A1EA9">
        <w:t>myGov – On-boarding Department of Employment (Australian JobSearch)</w:t>
      </w:r>
    </w:p>
    <w:p w:rsidR="002A1EA9" w:rsidRDefault="002A1EA9" w:rsidP="002A1EA9">
      <w:pPr>
        <w:ind w:left="-142"/>
      </w:pPr>
      <w:r>
        <w:rPr>
          <w:noProof/>
          <w:lang w:eastAsia="en-AU"/>
        </w:rPr>
        <w:lastRenderedPageBreak/>
        <mc:AlternateContent>
          <mc:Choice Requires="wps">
            <w:drawing>
              <wp:inline distT="0" distB="0" distL="0" distR="0" wp14:anchorId="2D7954AC" wp14:editId="22B227C6">
                <wp:extent cx="5925185" cy="551591"/>
                <wp:effectExtent l="0" t="0" r="0" b="12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Pr="00E76163" w:rsidRDefault="002A1EA9" w:rsidP="002A1EA9">
                            <w:pPr>
                              <w:pStyle w:val="ReportBulletPoint"/>
                              <w:rPr>
                                <w:noProof/>
                              </w:rPr>
                            </w:pPr>
                            <w:r w:rsidRPr="00E76163">
                              <w:rPr>
                                <w:noProof/>
                              </w:rPr>
                              <w:t xml:space="preserve">From December 2014, customers </w:t>
                            </w:r>
                            <w:r>
                              <w:rPr>
                                <w:noProof/>
                              </w:rPr>
                              <w:t>could</w:t>
                            </w:r>
                            <w:r w:rsidRPr="00E76163">
                              <w:rPr>
                                <w:noProof/>
                              </w:rPr>
                              <w:t xml:space="preserve"> link</w:t>
                            </w:r>
                            <w:r>
                              <w:rPr>
                                <w:noProof/>
                              </w:rPr>
                              <w:t xml:space="preserve"> their Australian JobSearch</w:t>
                            </w:r>
                            <w:r w:rsidRPr="00E76163">
                              <w:rPr>
                                <w:noProof/>
                              </w:rPr>
                              <w:t xml:space="preserve"> accounts </w:t>
                            </w:r>
                            <w:r>
                              <w:rPr>
                                <w:noProof/>
                              </w:rPr>
                              <w:t>to their myGov account</w:t>
                            </w:r>
                            <w:r w:rsidRPr="00E76163">
                              <w:rPr>
                                <w:noProof/>
                              </w:rPr>
                              <w:t>.</w:t>
                            </w:r>
                            <w:r>
                              <w:rPr>
                                <w:noProof/>
                              </w:rPr>
                              <w:t xml:space="preserve"> This builds on the existing range of Government online services available through myGov which customers can access through a single account and log on.</w:t>
                            </w:r>
                          </w:p>
                          <w:p w:rsidR="002A1EA9" w:rsidRDefault="002A1EA9" w:rsidP="002E797C">
                            <w:pPr>
                              <w:pStyle w:val="ReportBulletPoint"/>
                            </w:pPr>
                            <w:r w:rsidRPr="00E76163">
                              <w:rPr>
                                <w:noProof/>
                              </w:rPr>
                              <w:t xml:space="preserve">By having a single account and one set of credentials, </w:t>
                            </w:r>
                            <w:r>
                              <w:rPr>
                                <w:noProof/>
                              </w:rPr>
                              <w:t>job seekers</w:t>
                            </w:r>
                            <w:r w:rsidRPr="00E76163">
                              <w:rPr>
                                <w:noProof/>
                              </w:rPr>
                              <w:t xml:space="preserve"> no longer need to undertake the account creation process</w:t>
                            </w:r>
                            <w:r>
                              <w:rPr>
                                <w:noProof/>
                              </w:rPr>
                              <w:t xml:space="preserve"> and manage multiple accounts</w:t>
                            </w:r>
                            <w:r w:rsidRPr="00E76163">
                              <w:rPr>
                                <w:noProof/>
                              </w:rPr>
                              <w:t xml:space="preserve"> for</w:t>
                            </w:r>
                            <w:r>
                              <w:rPr>
                                <w:noProof/>
                              </w:rPr>
                              <w:t xml:space="preserve"> each of their online services.</w:t>
                            </w:r>
                          </w:p>
                          <w:p w:rsidR="002A1EA9" w:rsidRDefault="002A1EA9" w:rsidP="002E797C">
                            <w:pPr>
                              <w:pStyle w:val="ReportBulletPoint"/>
                            </w:pPr>
                            <w:r w:rsidRPr="00E76163">
                              <w:rPr>
                                <w:noProof/>
                              </w:rPr>
                              <w:t>The Department of Human Services has estimated that thi</w:t>
                            </w:r>
                            <w:r>
                              <w:rPr>
                                <w:noProof/>
                              </w:rPr>
                              <w:t xml:space="preserve">s will lead to an annual saving </w:t>
                            </w:r>
                            <w:r w:rsidRPr="00E76163">
                              <w:rPr>
                                <w:noProof/>
                              </w:rPr>
                              <w:t xml:space="preserve">of </w:t>
                            </w:r>
                            <w:r w:rsidRPr="002A1EA9">
                              <w:rPr>
                                <w:b/>
                                <w:noProof/>
                              </w:rPr>
                              <w:t>$3.36</w:t>
                            </w:r>
                            <w:r w:rsidRPr="00E76163">
                              <w:rPr>
                                <w:noProof/>
                              </w:rPr>
                              <w:t xml:space="preserve"> million in red tape costs.</w:t>
                            </w:r>
                          </w:p>
                        </w:txbxContent>
                      </wps:txbx>
                      <wps:bodyPr rot="0" vert="horz" wrap="square" lIns="91440" tIns="45720" rIns="91440" bIns="45720" anchor="t" anchorCtr="0">
                        <a:spAutoFit/>
                      </wps:bodyPr>
                    </wps:wsp>
                  </a:graphicData>
                </a:graphic>
              </wp:inline>
            </w:drawing>
          </mc:Choice>
          <mc:Fallback>
            <w:pict>
              <v:shape w14:anchorId="2D7954AC" id="_x0000_s1036"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" fillcolor="#f1ebe0 [665]" stroked="f">
                <v:textbox style="mso-fit-shape-to-text:t">
                  <w:txbxContent>
                    <w:p w:rsidR="002A1EA9" w:rsidRPr="00E76163" w:rsidRDefault="002A1EA9" w:rsidP="002A1EA9">
                      <w:pPr>
                        <w:pStyle w:val="ReportBulletPoint"/>
                        <w:rPr>
                          <w:noProof/>
                        </w:rPr>
                      </w:pPr>
                      <w:r w:rsidRPr="00E76163">
                        <w:rPr>
                          <w:noProof/>
                        </w:rPr>
                        <w:t xml:space="preserve">From December 2014, customers </w:t>
                      </w:r>
                      <w:r>
                        <w:rPr>
                          <w:noProof/>
                        </w:rPr>
                        <w:t>could</w:t>
                      </w:r>
                      <w:r w:rsidRPr="00E76163">
                        <w:rPr>
                          <w:noProof/>
                        </w:rPr>
                        <w:t xml:space="preserve"> link</w:t>
                      </w:r>
                      <w:r>
                        <w:rPr>
                          <w:noProof/>
                        </w:rPr>
                        <w:t xml:space="preserve"> their Australian JobSearch</w:t>
                      </w:r>
                      <w:r w:rsidRPr="00E76163">
                        <w:rPr>
                          <w:noProof/>
                        </w:rPr>
                        <w:t xml:space="preserve"> accounts </w:t>
                      </w:r>
                      <w:r>
                        <w:rPr>
                          <w:noProof/>
                        </w:rPr>
                        <w:t>to their myGov account</w:t>
                      </w:r>
                      <w:r w:rsidRPr="00E76163">
                        <w:rPr>
                          <w:noProof/>
                        </w:rPr>
                        <w:t>.</w:t>
                      </w:r>
                      <w:r>
                        <w:rPr>
                          <w:noProof/>
                        </w:rPr>
                        <w:t xml:space="preserve"> This builds on the existing range of Government online services available through myGov which customers can access through a single account and log on.</w:t>
                      </w:r>
                    </w:p>
                    <w:p w:rsidR="002A1EA9" w:rsidRDefault="002A1EA9" w:rsidP="002E797C">
                      <w:pPr>
                        <w:pStyle w:val="ReportBulletPoint"/>
                      </w:pPr>
                      <w:r w:rsidRPr="00E76163">
                        <w:rPr>
                          <w:noProof/>
                        </w:rPr>
                        <w:t xml:space="preserve">By having a single account and one set of credentials, </w:t>
                      </w:r>
                      <w:r>
                        <w:rPr>
                          <w:noProof/>
                        </w:rPr>
                        <w:t>job seekers</w:t>
                      </w:r>
                      <w:r w:rsidRPr="00E76163">
                        <w:rPr>
                          <w:noProof/>
                        </w:rPr>
                        <w:t xml:space="preserve"> no longer need to undertake the account creation process</w:t>
                      </w:r>
                      <w:r>
                        <w:rPr>
                          <w:noProof/>
                        </w:rPr>
                        <w:t xml:space="preserve"> and manage multiple accounts</w:t>
                      </w:r>
                      <w:r w:rsidRPr="00E76163">
                        <w:rPr>
                          <w:noProof/>
                        </w:rPr>
                        <w:t xml:space="preserve"> for</w:t>
                      </w:r>
                      <w:r>
                        <w:rPr>
                          <w:noProof/>
                        </w:rPr>
                        <w:t xml:space="preserve"> each of their online services.</w:t>
                      </w:r>
                    </w:p>
                    <w:p w:rsidR="002A1EA9" w:rsidRDefault="002A1EA9" w:rsidP="002E797C">
                      <w:pPr>
                        <w:pStyle w:val="ReportBulletPoint"/>
                      </w:pPr>
                      <w:r w:rsidRPr="00E76163">
                        <w:rPr>
                          <w:noProof/>
                        </w:rPr>
                        <w:t>The Department of Human Services has estimated that thi</w:t>
                      </w:r>
                      <w:r>
                        <w:rPr>
                          <w:noProof/>
                        </w:rPr>
                        <w:t xml:space="preserve">s will lead to an annual saving </w:t>
                      </w:r>
                      <w:r w:rsidRPr="00E76163">
                        <w:rPr>
                          <w:noProof/>
                        </w:rPr>
                        <w:t xml:space="preserve">of </w:t>
                      </w:r>
                      <w:r w:rsidRPr="002A1EA9">
                        <w:rPr>
                          <w:b/>
                          <w:noProof/>
                        </w:rPr>
                        <w:t>$3.36</w:t>
                      </w:r>
                      <w:r w:rsidRPr="00E76163">
                        <w:rPr>
                          <w:noProof/>
                        </w:rPr>
                        <w:t xml:space="preserve"> million in red tape costs.</w:t>
                      </w:r>
                    </w:p>
                  </w:txbxContent>
                </v:textbox>
                <w10:anchorlock/>
              </v:shape>
            </w:pict>
          </mc:Fallback>
        </mc:AlternateContent>
      </w:r>
    </w:p>
    <w:p w:rsidR="002A1EA9" w:rsidRDefault="002A1EA9" w:rsidP="002A1EA9">
      <w:pPr>
        <w:pStyle w:val="Appendixheading"/>
      </w:pPr>
      <w:r w:rsidRPr="002A1EA9">
        <w:t>myGov – Tell us Once</w:t>
      </w:r>
    </w:p>
    <w:p w:rsidR="002A1EA9" w:rsidRDefault="002A1EA9" w:rsidP="002A1EA9">
      <w:pPr>
        <w:ind w:left="-142"/>
      </w:pPr>
      <w:r>
        <w:rPr>
          <w:noProof/>
          <w:lang w:eastAsia="en-AU"/>
        </w:rPr>
        <mc:AlternateContent>
          <mc:Choice Requires="wps">
            <w:drawing>
              <wp:inline distT="0" distB="0" distL="0" distR="0" wp14:anchorId="0A6A4F9A" wp14:editId="2B7C7660">
                <wp:extent cx="5925185" cy="551591"/>
                <wp:effectExtent l="0" t="0" r="0" b="12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Pr="00E76163" w:rsidRDefault="002A1EA9" w:rsidP="002A1EA9">
                            <w:pPr>
                              <w:pStyle w:val="ReportBulletPoint"/>
                              <w:rPr>
                                <w:noProof/>
                              </w:rPr>
                            </w:pPr>
                            <w:r w:rsidRPr="00E76163">
                              <w:rPr>
                                <w:noProof/>
                              </w:rPr>
                              <w:t xml:space="preserve">In December 2014, the myGov Tell us Once service was implemented </w:t>
                            </w:r>
                            <w:r>
                              <w:rPr>
                                <w:noProof/>
                              </w:rPr>
                              <w:t>building on the existing functionality of myGov accounts. C</w:t>
                            </w:r>
                            <w:r w:rsidRPr="00E76163">
                              <w:rPr>
                                <w:noProof/>
                              </w:rPr>
                              <w:t xml:space="preserve">ustomers </w:t>
                            </w:r>
                            <w:r>
                              <w:rPr>
                                <w:noProof/>
                              </w:rPr>
                              <w:t xml:space="preserve">are now able </w:t>
                            </w:r>
                            <w:r w:rsidRPr="00E76163">
                              <w:rPr>
                                <w:noProof/>
                              </w:rPr>
                              <w:t>to log</w:t>
                            </w:r>
                            <w:r>
                              <w:rPr>
                                <w:noProof/>
                              </w:rPr>
                              <w:t xml:space="preserve"> </w:t>
                            </w:r>
                            <w:r w:rsidRPr="00E76163">
                              <w:rPr>
                                <w:noProof/>
                              </w:rPr>
                              <w:t>on to</w:t>
                            </w:r>
                            <w:r>
                              <w:rPr>
                                <w:noProof/>
                              </w:rPr>
                              <w:t xml:space="preserve"> their myGov account, </w:t>
                            </w:r>
                            <w:r w:rsidRPr="00E76163">
                              <w:rPr>
                                <w:noProof/>
                              </w:rPr>
                              <w:t>update their details</w:t>
                            </w:r>
                            <w:r>
                              <w:rPr>
                                <w:noProof/>
                              </w:rPr>
                              <w:t>,</w:t>
                            </w:r>
                            <w:r w:rsidRPr="00E76163">
                              <w:rPr>
                                <w:noProof/>
                              </w:rPr>
                              <w:t xml:space="preserve"> and have </w:t>
                            </w:r>
                            <w:r>
                              <w:rPr>
                                <w:noProof/>
                              </w:rPr>
                              <w:t xml:space="preserve">the option of </w:t>
                            </w:r>
                            <w:r w:rsidRPr="00E76163">
                              <w:rPr>
                                <w:noProof/>
                              </w:rPr>
                              <w:t>this information</w:t>
                            </w:r>
                            <w:r>
                              <w:rPr>
                                <w:noProof/>
                              </w:rPr>
                              <w:t xml:space="preserve"> being</w:t>
                            </w:r>
                            <w:r w:rsidRPr="00E76163">
                              <w:rPr>
                                <w:noProof/>
                              </w:rPr>
                              <w:t xml:space="preserve"> automatically notified </w:t>
                            </w:r>
                            <w:r>
                              <w:rPr>
                                <w:noProof/>
                              </w:rPr>
                              <w:t>to multiple</w:t>
                            </w:r>
                            <w:r w:rsidRPr="00E76163">
                              <w:rPr>
                                <w:noProof/>
                              </w:rPr>
                              <w:t xml:space="preserve"> linked services.</w:t>
                            </w:r>
                          </w:p>
                          <w:p w:rsidR="002A1EA9" w:rsidRDefault="002A1EA9" w:rsidP="00740A9B">
                            <w:pPr>
                              <w:pStyle w:val="ReportBulletPoint"/>
                            </w:pPr>
                            <w:r w:rsidRPr="00E76163">
                              <w:rPr>
                                <w:noProof/>
                              </w:rPr>
                              <w:t xml:space="preserve">Customers will save time by being able to provide their detail updates in one place online, rather than having to contact </w:t>
                            </w:r>
                            <w:r>
                              <w:rPr>
                                <w:noProof/>
                              </w:rPr>
                              <w:t>agencies</w:t>
                            </w:r>
                            <w:r w:rsidRPr="00E76163">
                              <w:rPr>
                                <w:noProof/>
                              </w:rPr>
                              <w:t xml:space="preserve"> separately and through various channels.</w:t>
                            </w:r>
                          </w:p>
                          <w:p w:rsidR="002A1EA9" w:rsidRDefault="002A1EA9" w:rsidP="00740A9B">
                            <w:pPr>
                              <w:pStyle w:val="ReportBulletPoint"/>
                            </w:pPr>
                            <w:r w:rsidRPr="00E76163">
                              <w:rPr>
                                <w:noProof/>
                              </w:rPr>
                              <w:t xml:space="preserve">The Department of Human Services has estimated that this will lead to an annual saving of </w:t>
                            </w:r>
                            <w:r w:rsidRPr="002A1EA9">
                              <w:rPr>
                                <w:b/>
                                <w:noProof/>
                              </w:rPr>
                              <w:t>$2.03</w:t>
                            </w:r>
                            <w:r w:rsidRPr="00E76163">
                              <w:rPr>
                                <w:noProof/>
                              </w:rPr>
                              <w:t xml:space="preserve"> million in red tape costs.</w:t>
                            </w:r>
                          </w:p>
                        </w:txbxContent>
                      </wps:txbx>
                      <wps:bodyPr rot="0" vert="horz" wrap="square" lIns="91440" tIns="45720" rIns="91440" bIns="45720" anchor="t" anchorCtr="0">
                        <a:spAutoFit/>
                      </wps:bodyPr>
                    </wps:wsp>
                  </a:graphicData>
                </a:graphic>
              </wp:inline>
            </w:drawing>
          </mc:Choice>
          <mc:Fallback>
            <w:pict>
              <v:shape w14:anchorId="0A6A4F9A" id="_x0000_s1037"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" fillcolor="#f1ebe0 [665]" stroked="f">
                <v:textbox style="mso-fit-shape-to-text:t">
                  <w:txbxContent>
                    <w:p w:rsidR="002A1EA9" w:rsidRPr="00E76163" w:rsidRDefault="002A1EA9" w:rsidP="002A1EA9">
                      <w:pPr>
                        <w:pStyle w:val="ReportBulletPoint"/>
                        <w:rPr>
                          <w:noProof/>
                        </w:rPr>
                      </w:pPr>
                      <w:r w:rsidRPr="00E76163">
                        <w:rPr>
                          <w:noProof/>
                        </w:rPr>
                        <w:t xml:space="preserve">In December 2014, the myGov Tell us Once service was implemented </w:t>
                      </w:r>
                      <w:r>
                        <w:rPr>
                          <w:noProof/>
                        </w:rPr>
                        <w:t>building on the existing functionality of myGov accounts. C</w:t>
                      </w:r>
                      <w:r w:rsidRPr="00E76163">
                        <w:rPr>
                          <w:noProof/>
                        </w:rPr>
                        <w:t xml:space="preserve">ustomers </w:t>
                      </w:r>
                      <w:r>
                        <w:rPr>
                          <w:noProof/>
                        </w:rPr>
                        <w:t xml:space="preserve">are now able </w:t>
                      </w:r>
                      <w:r w:rsidRPr="00E76163">
                        <w:rPr>
                          <w:noProof/>
                        </w:rPr>
                        <w:t>to log</w:t>
                      </w:r>
                      <w:r>
                        <w:rPr>
                          <w:noProof/>
                        </w:rPr>
                        <w:t xml:space="preserve"> </w:t>
                      </w:r>
                      <w:r w:rsidRPr="00E76163">
                        <w:rPr>
                          <w:noProof/>
                        </w:rPr>
                        <w:t>on to</w:t>
                      </w:r>
                      <w:r>
                        <w:rPr>
                          <w:noProof/>
                        </w:rPr>
                        <w:t xml:space="preserve"> their myGov account, </w:t>
                      </w:r>
                      <w:r w:rsidRPr="00E76163">
                        <w:rPr>
                          <w:noProof/>
                        </w:rPr>
                        <w:t>update their details</w:t>
                      </w:r>
                      <w:r>
                        <w:rPr>
                          <w:noProof/>
                        </w:rPr>
                        <w:t>,</w:t>
                      </w:r>
                      <w:r w:rsidRPr="00E76163">
                        <w:rPr>
                          <w:noProof/>
                        </w:rPr>
                        <w:t xml:space="preserve"> and have </w:t>
                      </w:r>
                      <w:r>
                        <w:rPr>
                          <w:noProof/>
                        </w:rPr>
                        <w:t xml:space="preserve">the option of </w:t>
                      </w:r>
                      <w:r w:rsidRPr="00E76163">
                        <w:rPr>
                          <w:noProof/>
                        </w:rPr>
                        <w:t>this information</w:t>
                      </w:r>
                      <w:r>
                        <w:rPr>
                          <w:noProof/>
                        </w:rPr>
                        <w:t xml:space="preserve"> being</w:t>
                      </w:r>
                      <w:r w:rsidRPr="00E76163">
                        <w:rPr>
                          <w:noProof/>
                        </w:rPr>
                        <w:t xml:space="preserve"> automatically notified </w:t>
                      </w:r>
                      <w:r>
                        <w:rPr>
                          <w:noProof/>
                        </w:rPr>
                        <w:t>to multiple</w:t>
                      </w:r>
                      <w:r w:rsidRPr="00E76163">
                        <w:rPr>
                          <w:noProof/>
                        </w:rPr>
                        <w:t xml:space="preserve"> linked services.</w:t>
                      </w:r>
                    </w:p>
                    <w:p w:rsidR="002A1EA9" w:rsidRDefault="002A1EA9" w:rsidP="00740A9B">
                      <w:pPr>
                        <w:pStyle w:val="ReportBulletPoint"/>
                      </w:pPr>
                      <w:r w:rsidRPr="00E76163">
                        <w:rPr>
                          <w:noProof/>
                        </w:rPr>
                        <w:t xml:space="preserve">Customers will save time by being able to provide their detail updates in one place online, rather than having to contact </w:t>
                      </w:r>
                      <w:r>
                        <w:rPr>
                          <w:noProof/>
                        </w:rPr>
                        <w:t>agencies</w:t>
                      </w:r>
                      <w:r w:rsidRPr="00E76163">
                        <w:rPr>
                          <w:noProof/>
                        </w:rPr>
                        <w:t xml:space="preserve"> separately and through various channels.</w:t>
                      </w:r>
                    </w:p>
                    <w:p w:rsidR="002A1EA9" w:rsidRDefault="002A1EA9" w:rsidP="00740A9B">
                      <w:pPr>
                        <w:pStyle w:val="ReportBulletPoint"/>
                      </w:pPr>
                      <w:r w:rsidRPr="00E76163">
                        <w:rPr>
                          <w:noProof/>
                        </w:rPr>
                        <w:t xml:space="preserve">The Department of Human Services has estimated that this will lead to an annual saving of </w:t>
                      </w:r>
                      <w:r w:rsidRPr="002A1EA9">
                        <w:rPr>
                          <w:b/>
                          <w:noProof/>
                        </w:rPr>
                        <w:t>$2.03</w:t>
                      </w:r>
                      <w:r w:rsidRPr="00E76163">
                        <w:rPr>
                          <w:noProof/>
                        </w:rPr>
                        <w:t xml:space="preserve"> million in red tape costs.</w:t>
                      </w:r>
                    </w:p>
                  </w:txbxContent>
                </v:textbox>
                <w10:anchorlock/>
              </v:shape>
            </w:pict>
          </mc:Fallback>
        </mc:AlternateContent>
      </w:r>
    </w:p>
    <w:p w:rsidR="002A1EA9" w:rsidRDefault="002A1EA9" w:rsidP="002A1EA9">
      <w:pPr>
        <w:pStyle w:val="Appendixheading"/>
      </w:pPr>
      <w:r w:rsidRPr="002A1EA9">
        <w:t>Online claiming – Newstart Allowance</w:t>
      </w:r>
    </w:p>
    <w:p w:rsidR="002A1EA9" w:rsidRDefault="002A1EA9" w:rsidP="002A1EA9">
      <w:pPr>
        <w:ind w:left="-142"/>
      </w:pPr>
      <w:r>
        <w:rPr>
          <w:noProof/>
          <w:lang w:eastAsia="en-AU"/>
        </w:rPr>
        <mc:AlternateContent>
          <mc:Choice Requires="wps">
            <w:drawing>
              <wp:inline distT="0" distB="0" distL="0" distR="0" wp14:anchorId="0A6A4F9A" wp14:editId="2B7C7660">
                <wp:extent cx="5925185" cy="551591"/>
                <wp:effectExtent l="0" t="0" r="0" b="12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Default="002A1EA9" w:rsidP="002A1EA9">
                            <w:pPr>
                              <w:pStyle w:val="Default"/>
                              <w:numPr>
                                <w:ilvl w:val="0"/>
                                <w:numId w:val="7"/>
                              </w:numPr>
                              <w:shd w:val="clear" w:color="auto" w:fill="F1EBE0" w:themeFill="accent6" w:themeFillTint="33"/>
                              <w:spacing w:before="80" w:line="276" w:lineRule="auto"/>
                              <w:rPr>
                                <w:rFonts w:ascii="Verdana" w:hAnsi="Verdana"/>
                                <w:sz w:val="20"/>
                                <w:szCs w:val="20"/>
                              </w:rPr>
                            </w:pPr>
                            <w:r w:rsidRPr="00550085">
                              <w:rPr>
                                <w:rFonts w:ascii="Verdana" w:hAnsi="Verdana"/>
                                <w:sz w:val="20"/>
                                <w:szCs w:val="20"/>
                              </w:rPr>
                              <w:t xml:space="preserve">Since May 2014, claimants for </w:t>
                            </w:r>
                            <w:r>
                              <w:rPr>
                                <w:rFonts w:ascii="Verdana" w:hAnsi="Verdana"/>
                                <w:sz w:val="20"/>
                                <w:szCs w:val="20"/>
                              </w:rPr>
                              <w:t>Newstart Allowance have had access to a new online claim process</w:t>
                            </w:r>
                            <w:r w:rsidRPr="00550085">
                              <w:rPr>
                                <w:rFonts w:ascii="Verdana" w:hAnsi="Verdana"/>
                                <w:sz w:val="20"/>
                                <w:szCs w:val="20"/>
                              </w:rPr>
                              <w:t>.</w:t>
                            </w:r>
                            <w:r>
                              <w:rPr>
                                <w:rFonts w:ascii="Verdana" w:hAnsi="Verdana"/>
                                <w:sz w:val="20"/>
                                <w:szCs w:val="20"/>
                              </w:rPr>
                              <w:t xml:space="preserve"> </w:t>
                            </w:r>
                          </w:p>
                          <w:p w:rsidR="002A1EA9" w:rsidRPr="002A1EA9" w:rsidRDefault="002A1EA9" w:rsidP="0027359E">
                            <w:pPr>
                              <w:pStyle w:val="Default"/>
                              <w:numPr>
                                <w:ilvl w:val="0"/>
                                <w:numId w:val="7"/>
                              </w:numPr>
                              <w:shd w:val="clear" w:color="auto" w:fill="F1EBE0" w:themeFill="accent6" w:themeFillTint="33"/>
                              <w:spacing w:before="80" w:line="276" w:lineRule="auto"/>
                            </w:pPr>
                            <w:r w:rsidRPr="002A1EA9">
                              <w:rPr>
                                <w:rFonts w:ascii="Verdana" w:hAnsi="Verdana"/>
                                <w:sz w:val="20"/>
                                <w:szCs w:val="20"/>
                              </w:rPr>
                              <w:t>Job Seekers are now able to use an online account to claim Newstart Allowance, including submitting required documentation online using the Document Lodgement Service. The changes will reduce the amount of time Job Seekers are required to spend contacting the department to finalise their claim. Changes to provide and improve online claiming for Newstart Allowance are expected to benefit over 360,000 customers in the first 12 months.</w:t>
                            </w:r>
                          </w:p>
                          <w:p w:rsidR="002A1EA9" w:rsidRPr="008A277D" w:rsidRDefault="002A1EA9" w:rsidP="0027359E">
                            <w:pPr>
                              <w:pStyle w:val="Default"/>
                              <w:numPr>
                                <w:ilvl w:val="0"/>
                                <w:numId w:val="7"/>
                              </w:numPr>
                              <w:shd w:val="clear" w:color="auto" w:fill="F1EBE0" w:themeFill="accent6" w:themeFillTint="33"/>
                              <w:spacing w:before="80" w:line="276" w:lineRule="auto"/>
                              <w:rPr>
                                <w:rFonts w:ascii="Verdana" w:hAnsi="Verdana"/>
                                <w:sz w:val="20"/>
                                <w:szCs w:val="20"/>
                              </w:rPr>
                            </w:pPr>
                            <w:r w:rsidRPr="008A277D">
                              <w:rPr>
                                <w:rFonts w:ascii="Verdana" w:hAnsi="Verdana"/>
                                <w:sz w:val="20"/>
                                <w:szCs w:val="20"/>
                              </w:rPr>
                              <w:t xml:space="preserve">The Department of Human Services has estimated that this will lead to an annual saving of </w:t>
                            </w:r>
                            <w:r w:rsidRPr="008A277D">
                              <w:rPr>
                                <w:rFonts w:ascii="Verdana" w:hAnsi="Verdana"/>
                                <w:b/>
                                <w:sz w:val="20"/>
                                <w:szCs w:val="20"/>
                              </w:rPr>
                              <w:t>$7.31</w:t>
                            </w:r>
                            <w:r w:rsidRPr="008A277D">
                              <w:rPr>
                                <w:rFonts w:ascii="Verdana" w:hAnsi="Verdana"/>
                                <w:sz w:val="20"/>
                                <w:szCs w:val="20"/>
                              </w:rPr>
                              <w:t> million in red tape costs.</w:t>
                            </w:r>
                          </w:p>
                        </w:txbxContent>
                      </wps:txbx>
                      <wps:bodyPr rot="0" vert="horz" wrap="square" lIns="91440" tIns="45720" rIns="91440" bIns="45720" anchor="t" anchorCtr="0">
                        <a:spAutoFit/>
                      </wps:bodyPr>
                    </wps:wsp>
                  </a:graphicData>
                </a:graphic>
              </wp:inline>
            </w:drawing>
          </mc:Choice>
          <mc:Fallback>
            <w:pict>
              <v:shape w14:anchorId="0A6A4F9A" id="_x0000_s1038"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" fillcolor="#f1ebe0 [665]" stroked="f">
                <v:textbox style="mso-fit-shape-to-text:t">
                  <w:txbxContent>
                    <w:p w:rsidR="002A1EA9" w:rsidRDefault="002A1EA9" w:rsidP="002A1EA9">
                      <w:pPr>
                        <w:pStyle w:val="Default"/>
                        <w:numPr>
                          <w:ilvl w:val="0"/>
                          <w:numId w:val="7"/>
                        </w:numPr>
                        <w:shd w:val="clear" w:color="auto" w:fill="F1EBE0" w:themeFill="accent6" w:themeFillTint="33"/>
                        <w:spacing w:before="80" w:line="276" w:lineRule="auto"/>
                        <w:rPr>
                          <w:rFonts w:ascii="Verdana" w:hAnsi="Verdana"/>
                          <w:sz w:val="20"/>
                          <w:szCs w:val="20"/>
                        </w:rPr>
                      </w:pPr>
                      <w:r w:rsidRPr="00550085">
                        <w:rPr>
                          <w:rFonts w:ascii="Verdana" w:hAnsi="Verdana"/>
                          <w:sz w:val="20"/>
                          <w:szCs w:val="20"/>
                        </w:rPr>
                        <w:t xml:space="preserve">Since May 2014, claimants for </w:t>
                      </w:r>
                      <w:r>
                        <w:rPr>
                          <w:rFonts w:ascii="Verdana" w:hAnsi="Verdana"/>
                          <w:sz w:val="20"/>
                          <w:szCs w:val="20"/>
                        </w:rPr>
                        <w:t>Newstart Allowance have had access to a new online claim process</w:t>
                      </w:r>
                      <w:r w:rsidRPr="00550085">
                        <w:rPr>
                          <w:rFonts w:ascii="Verdana" w:hAnsi="Verdana"/>
                          <w:sz w:val="20"/>
                          <w:szCs w:val="20"/>
                        </w:rPr>
                        <w:t>.</w:t>
                      </w:r>
                      <w:r>
                        <w:rPr>
                          <w:rFonts w:ascii="Verdana" w:hAnsi="Verdana"/>
                          <w:sz w:val="20"/>
                          <w:szCs w:val="20"/>
                        </w:rPr>
                        <w:t xml:space="preserve"> </w:t>
                      </w:r>
                    </w:p>
                    <w:p w:rsidR="002A1EA9" w:rsidRPr="002A1EA9" w:rsidRDefault="002A1EA9" w:rsidP="0027359E">
                      <w:pPr>
                        <w:pStyle w:val="Default"/>
                        <w:numPr>
                          <w:ilvl w:val="0"/>
                          <w:numId w:val="7"/>
                        </w:numPr>
                        <w:shd w:val="clear" w:color="auto" w:fill="F1EBE0" w:themeFill="accent6" w:themeFillTint="33"/>
                        <w:spacing w:before="80" w:line="276" w:lineRule="auto"/>
                      </w:pPr>
                      <w:r w:rsidRPr="002A1EA9">
                        <w:rPr>
                          <w:rFonts w:ascii="Verdana" w:hAnsi="Verdana"/>
                          <w:sz w:val="20"/>
                          <w:szCs w:val="20"/>
                        </w:rPr>
                        <w:t>Job Seekers are now able to use an online account to claim Newstart Allowance, including submitting required documentation online using the Document Lodgement Service. The changes will reduce the amount of time Job Seekers are required to spend contacting the department to finalise their claim. Changes to provide and improve online claiming for Newstart Allowance are expected to benefit over 360,000 customers in the first 12 months.</w:t>
                      </w:r>
                    </w:p>
                    <w:p w:rsidR="002A1EA9" w:rsidRPr="008A277D" w:rsidRDefault="002A1EA9" w:rsidP="0027359E">
                      <w:pPr>
                        <w:pStyle w:val="Default"/>
                        <w:numPr>
                          <w:ilvl w:val="0"/>
                          <w:numId w:val="7"/>
                        </w:numPr>
                        <w:shd w:val="clear" w:color="auto" w:fill="F1EBE0" w:themeFill="accent6" w:themeFillTint="33"/>
                        <w:spacing w:before="80" w:line="276" w:lineRule="auto"/>
                        <w:rPr>
                          <w:rFonts w:ascii="Verdana" w:hAnsi="Verdana"/>
                          <w:sz w:val="20"/>
                          <w:szCs w:val="20"/>
                        </w:rPr>
                      </w:pPr>
                      <w:r w:rsidRPr="008A277D">
                        <w:rPr>
                          <w:rFonts w:ascii="Verdana" w:hAnsi="Verdana"/>
                          <w:sz w:val="20"/>
                          <w:szCs w:val="20"/>
                        </w:rPr>
                        <w:t xml:space="preserve">The Department of Human Services has estimated that this will lead to an annual saving of </w:t>
                      </w:r>
                      <w:r w:rsidRPr="008A277D">
                        <w:rPr>
                          <w:rFonts w:ascii="Verdana" w:hAnsi="Verdana"/>
                          <w:b/>
                          <w:sz w:val="20"/>
                          <w:szCs w:val="20"/>
                        </w:rPr>
                        <w:t>$7.31</w:t>
                      </w:r>
                      <w:r w:rsidRPr="008A277D">
                        <w:rPr>
                          <w:rFonts w:ascii="Verdana" w:hAnsi="Verdana"/>
                          <w:sz w:val="20"/>
                          <w:szCs w:val="20"/>
                        </w:rPr>
                        <w:t> million in red tape costs.</w:t>
                      </w:r>
                    </w:p>
                  </w:txbxContent>
                </v:textbox>
                <w10:anchorlock/>
              </v:shape>
            </w:pict>
          </mc:Fallback>
        </mc:AlternateContent>
      </w:r>
    </w:p>
    <w:p w:rsidR="002A1EA9" w:rsidRDefault="002A1EA9">
      <w:pPr>
        <w:spacing w:after="200" w:line="276" w:lineRule="auto"/>
      </w:pPr>
      <w:r>
        <w:br w:type="page"/>
      </w:r>
    </w:p>
    <w:p w:rsidR="002A1EA9" w:rsidRDefault="002A1EA9" w:rsidP="002A1EA9">
      <w:pPr>
        <w:pStyle w:val="Appendixheading"/>
      </w:pPr>
      <w:r w:rsidRPr="002A1EA9">
        <w:lastRenderedPageBreak/>
        <w:t>Online claiming – Parenting Payment</w:t>
      </w:r>
    </w:p>
    <w:p w:rsidR="002A1EA9" w:rsidRDefault="002A1EA9" w:rsidP="002A1EA9">
      <w:pPr>
        <w:ind w:left="-142"/>
      </w:pPr>
      <w:r>
        <w:rPr>
          <w:noProof/>
          <w:lang w:eastAsia="en-AU"/>
        </w:rPr>
        <mc:AlternateContent>
          <mc:Choice Requires="wps">
            <w:drawing>
              <wp:inline distT="0" distB="0" distL="0" distR="0" wp14:anchorId="5B95AC9B" wp14:editId="180B9D43">
                <wp:extent cx="5925185" cy="551591"/>
                <wp:effectExtent l="0" t="0" r="0" b="12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Default="002A1EA9" w:rsidP="002A1EA9">
                            <w:pPr>
                              <w:pStyle w:val="Default"/>
                              <w:numPr>
                                <w:ilvl w:val="0"/>
                                <w:numId w:val="7"/>
                              </w:numPr>
                              <w:spacing w:before="80" w:line="276" w:lineRule="auto"/>
                              <w:rPr>
                                <w:rFonts w:ascii="Verdana" w:hAnsi="Verdana"/>
                                <w:sz w:val="20"/>
                                <w:szCs w:val="20"/>
                              </w:rPr>
                            </w:pPr>
                            <w:r w:rsidRPr="00550085">
                              <w:rPr>
                                <w:rFonts w:ascii="Verdana" w:hAnsi="Verdana"/>
                                <w:sz w:val="20"/>
                                <w:szCs w:val="20"/>
                              </w:rPr>
                              <w:t xml:space="preserve">Since May 2014, claimants for </w:t>
                            </w:r>
                            <w:r>
                              <w:rPr>
                                <w:rFonts w:ascii="Verdana" w:hAnsi="Verdana"/>
                                <w:sz w:val="20"/>
                                <w:szCs w:val="20"/>
                              </w:rPr>
                              <w:t>Parenting Payment</w:t>
                            </w:r>
                            <w:r w:rsidRPr="00550085">
                              <w:rPr>
                                <w:rFonts w:ascii="Verdana" w:hAnsi="Verdana"/>
                                <w:sz w:val="20"/>
                                <w:szCs w:val="20"/>
                              </w:rPr>
                              <w:t xml:space="preserve"> have had access to </w:t>
                            </w:r>
                            <w:r>
                              <w:rPr>
                                <w:rFonts w:ascii="Verdana" w:hAnsi="Verdana"/>
                                <w:sz w:val="20"/>
                                <w:szCs w:val="20"/>
                              </w:rPr>
                              <w:t>a new online claim process</w:t>
                            </w:r>
                            <w:r w:rsidRPr="00550085">
                              <w:rPr>
                                <w:rFonts w:ascii="Verdana" w:hAnsi="Verdana"/>
                                <w:sz w:val="20"/>
                                <w:szCs w:val="20"/>
                              </w:rPr>
                              <w:t>.</w:t>
                            </w:r>
                            <w:r>
                              <w:rPr>
                                <w:rFonts w:ascii="Verdana" w:hAnsi="Verdana"/>
                                <w:sz w:val="20"/>
                                <w:szCs w:val="20"/>
                              </w:rPr>
                              <w:t xml:space="preserve"> </w:t>
                            </w:r>
                          </w:p>
                          <w:p w:rsidR="002A1EA9" w:rsidRDefault="002A1EA9" w:rsidP="002C37EC">
                            <w:pPr>
                              <w:pStyle w:val="ReportBodyText"/>
                              <w:numPr>
                                <w:ilvl w:val="0"/>
                                <w:numId w:val="7"/>
                              </w:numPr>
                            </w:pPr>
                            <w:r>
                              <w:t>Parenting payment claimants have the ability to check the status of their claims online, reducing the need for follow-up interventions due to incomplete claims that require contact by calling the department or visiting a service centre.</w:t>
                            </w:r>
                            <w:r w:rsidRPr="00A765F2">
                              <w:t xml:space="preserve"> </w:t>
                            </w:r>
                            <w:r>
                              <w:t xml:space="preserve">Changes to provide online claiming for Parenting Payment </w:t>
                            </w:r>
                            <w:r w:rsidRPr="0052014A">
                              <w:t>are</w:t>
                            </w:r>
                            <w:r>
                              <w:t xml:space="preserve"> expected to </w:t>
                            </w:r>
                            <w:r w:rsidRPr="0035025D">
                              <w:t>benefit over 100,000 customers</w:t>
                            </w:r>
                            <w:r>
                              <w:t xml:space="preserve"> in the first 12 months.</w:t>
                            </w:r>
                          </w:p>
                          <w:p w:rsidR="002A1EA9" w:rsidRDefault="002A1EA9" w:rsidP="002C37EC">
                            <w:pPr>
                              <w:pStyle w:val="ReportBodyText"/>
                              <w:numPr>
                                <w:ilvl w:val="0"/>
                                <w:numId w:val="7"/>
                              </w:numPr>
                            </w:pPr>
                            <w:r w:rsidRPr="00550085">
                              <w:t xml:space="preserve">The Department of Human Services has estimated that this will lead to an annual saving of </w:t>
                            </w:r>
                            <w:r w:rsidRPr="002A1EA9">
                              <w:rPr>
                                <w:b/>
                              </w:rPr>
                              <w:t>$5.11</w:t>
                            </w:r>
                            <w:r w:rsidRPr="00550085">
                              <w:t> million in red tape costs.</w:t>
                            </w:r>
                          </w:p>
                        </w:txbxContent>
                      </wps:txbx>
                      <wps:bodyPr rot="0" vert="horz" wrap="square" lIns="91440" tIns="45720" rIns="91440" bIns="45720" anchor="t" anchorCtr="0">
                        <a:spAutoFit/>
                      </wps:bodyPr>
                    </wps:wsp>
                  </a:graphicData>
                </a:graphic>
              </wp:inline>
            </w:drawing>
          </mc:Choice>
          <mc:Fallback>
            <w:pict>
              <v:shape w14:anchorId="5B95AC9B" id="_x0000_s1039"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" fillcolor="#f1ebe0 [665]" stroked="f">
                <v:textbox style="mso-fit-shape-to-text:t">
                  <w:txbxContent>
                    <w:p w:rsidR="002A1EA9" w:rsidRDefault="002A1EA9" w:rsidP="002A1EA9">
                      <w:pPr>
                        <w:pStyle w:val="Default"/>
                        <w:numPr>
                          <w:ilvl w:val="0"/>
                          <w:numId w:val="7"/>
                        </w:numPr>
                        <w:spacing w:before="80" w:line="276" w:lineRule="auto"/>
                        <w:rPr>
                          <w:rFonts w:ascii="Verdana" w:hAnsi="Verdana"/>
                          <w:sz w:val="20"/>
                          <w:szCs w:val="20"/>
                        </w:rPr>
                      </w:pPr>
                      <w:r w:rsidRPr="00550085">
                        <w:rPr>
                          <w:rFonts w:ascii="Verdana" w:hAnsi="Verdana"/>
                          <w:sz w:val="20"/>
                          <w:szCs w:val="20"/>
                        </w:rPr>
                        <w:t xml:space="preserve">Since May 2014, claimants for </w:t>
                      </w:r>
                      <w:r>
                        <w:rPr>
                          <w:rFonts w:ascii="Verdana" w:hAnsi="Verdana"/>
                          <w:sz w:val="20"/>
                          <w:szCs w:val="20"/>
                        </w:rPr>
                        <w:t>Parenting Payment</w:t>
                      </w:r>
                      <w:r w:rsidRPr="00550085">
                        <w:rPr>
                          <w:rFonts w:ascii="Verdana" w:hAnsi="Verdana"/>
                          <w:sz w:val="20"/>
                          <w:szCs w:val="20"/>
                        </w:rPr>
                        <w:t xml:space="preserve"> have had access to </w:t>
                      </w:r>
                      <w:r>
                        <w:rPr>
                          <w:rFonts w:ascii="Verdana" w:hAnsi="Verdana"/>
                          <w:sz w:val="20"/>
                          <w:szCs w:val="20"/>
                        </w:rPr>
                        <w:t>a new online claim process</w:t>
                      </w:r>
                      <w:r w:rsidRPr="00550085">
                        <w:rPr>
                          <w:rFonts w:ascii="Verdana" w:hAnsi="Verdana"/>
                          <w:sz w:val="20"/>
                          <w:szCs w:val="20"/>
                        </w:rPr>
                        <w:t>.</w:t>
                      </w:r>
                      <w:r>
                        <w:rPr>
                          <w:rFonts w:ascii="Verdana" w:hAnsi="Verdana"/>
                          <w:sz w:val="20"/>
                          <w:szCs w:val="20"/>
                        </w:rPr>
                        <w:t xml:space="preserve"> </w:t>
                      </w:r>
                    </w:p>
                    <w:p w:rsidR="002A1EA9" w:rsidRDefault="002A1EA9" w:rsidP="002C37EC">
                      <w:pPr>
                        <w:pStyle w:val="ReportBodyText"/>
                        <w:numPr>
                          <w:ilvl w:val="0"/>
                          <w:numId w:val="7"/>
                        </w:numPr>
                      </w:pPr>
                      <w:r>
                        <w:t>Parenting payment claimants have the ability to check the status of their claims online, reducing the need for follow-up interventions due to incomplete claims that require contact by calling the department or visiting a service centre.</w:t>
                      </w:r>
                      <w:r w:rsidRPr="00A765F2">
                        <w:t xml:space="preserve"> </w:t>
                      </w:r>
                      <w:r>
                        <w:t xml:space="preserve">Changes to provide online claiming for Parenting Payment </w:t>
                      </w:r>
                      <w:r w:rsidRPr="0052014A">
                        <w:t>are</w:t>
                      </w:r>
                      <w:r>
                        <w:t xml:space="preserve"> expected to </w:t>
                      </w:r>
                      <w:r w:rsidRPr="0035025D">
                        <w:t>benefit over 100,000 customers</w:t>
                      </w:r>
                      <w:r>
                        <w:t xml:space="preserve"> in the first 12 months.</w:t>
                      </w:r>
                    </w:p>
                    <w:p w:rsidR="002A1EA9" w:rsidRDefault="002A1EA9" w:rsidP="002C37EC">
                      <w:pPr>
                        <w:pStyle w:val="ReportBodyText"/>
                        <w:numPr>
                          <w:ilvl w:val="0"/>
                          <w:numId w:val="7"/>
                        </w:numPr>
                      </w:pPr>
                      <w:r w:rsidRPr="00550085">
                        <w:t xml:space="preserve">The Department of Human Services has estimated that this will lead to an annual saving of </w:t>
                      </w:r>
                      <w:r w:rsidRPr="002A1EA9">
                        <w:rPr>
                          <w:b/>
                        </w:rPr>
                        <w:t>$5.11</w:t>
                      </w:r>
                      <w:r w:rsidRPr="00550085">
                        <w:t> million in red tape costs.</w:t>
                      </w:r>
                    </w:p>
                  </w:txbxContent>
                </v:textbox>
                <w10:anchorlock/>
              </v:shape>
            </w:pict>
          </mc:Fallback>
        </mc:AlternateContent>
      </w:r>
    </w:p>
    <w:p w:rsidR="002A1EA9" w:rsidRDefault="002A1EA9" w:rsidP="002A1EA9">
      <w:pPr>
        <w:pStyle w:val="Appendixheading"/>
      </w:pPr>
      <w:r w:rsidRPr="002A1EA9">
        <w:t>Online claiming – Youth Allowance</w:t>
      </w:r>
    </w:p>
    <w:p w:rsidR="002A1EA9" w:rsidRDefault="002A1EA9" w:rsidP="002A1EA9">
      <w:pPr>
        <w:ind w:left="-142"/>
      </w:pPr>
      <w:r>
        <w:rPr>
          <w:noProof/>
          <w:lang w:eastAsia="en-AU"/>
        </w:rPr>
        <mc:AlternateContent>
          <mc:Choice Requires="wps">
            <w:drawing>
              <wp:inline distT="0" distB="0" distL="0" distR="0" wp14:anchorId="5B95AC9B" wp14:editId="180B9D43">
                <wp:extent cx="5925185" cy="551591"/>
                <wp:effectExtent l="0" t="0" r="0" b="127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Default="002A1EA9" w:rsidP="002A1EA9">
                            <w:pPr>
                              <w:pStyle w:val="Default"/>
                              <w:numPr>
                                <w:ilvl w:val="0"/>
                                <w:numId w:val="7"/>
                              </w:numPr>
                              <w:spacing w:before="80" w:line="276" w:lineRule="auto"/>
                              <w:rPr>
                                <w:rFonts w:ascii="Verdana" w:hAnsi="Verdana"/>
                                <w:sz w:val="20"/>
                                <w:szCs w:val="20"/>
                              </w:rPr>
                            </w:pPr>
                            <w:r w:rsidRPr="00550085">
                              <w:rPr>
                                <w:rFonts w:ascii="Verdana" w:hAnsi="Verdana"/>
                                <w:sz w:val="20"/>
                                <w:szCs w:val="20"/>
                              </w:rPr>
                              <w:t xml:space="preserve">Since May 2014, </w:t>
                            </w:r>
                            <w:r>
                              <w:rPr>
                                <w:rFonts w:ascii="Verdana" w:hAnsi="Verdana"/>
                                <w:sz w:val="20"/>
                                <w:szCs w:val="20"/>
                              </w:rPr>
                              <w:t xml:space="preserve">job seeker </w:t>
                            </w:r>
                            <w:r w:rsidRPr="00550085">
                              <w:rPr>
                                <w:rFonts w:ascii="Verdana" w:hAnsi="Verdana"/>
                                <w:sz w:val="20"/>
                                <w:szCs w:val="20"/>
                              </w:rPr>
                              <w:t xml:space="preserve">claimants for </w:t>
                            </w:r>
                            <w:r>
                              <w:rPr>
                                <w:rFonts w:ascii="Verdana" w:hAnsi="Verdana"/>
                                <w:sz w:val="20"/>
                                <w:szCs w:val="20"/>
                              </w:rPr>
                              <w:t>Youth Allowance</w:t>
                            </w:r>
                            <w:r w:rsidRPr="00550085">
                              <w:rPr>
                                <w:rFonts w:ascii="Verdana" w:hAnsi="Verdana"/>
                                <w:sz w:val="20"/>
                                <w:szCs w:val="20"/>
                              </w:rPr>
                              <w:t xml:space="preserve"> have had a</w:t>
                            </w:r>
                            <w:r>
                              <w:rPr>
                                <w:rFonts w:ascii="Verdana" w:hAnsi="Verdana"/>
                                <w:sz w:val="20"/>
                                <w:szCs w:val="20"/>
                              </w:rPr>
                              <w:t>ccess to a simpler online claim process.</w:t>
                            </w:r>
                          </w:p>
                          <w:p w:rsidR="002A1EA9" w:rsidRPr="002A1EA9" w:rsidRDefault="002A1EA9" w:rsidP="00116D9D">
                            <w:pPr>
                              <w:pStyle w:val="Default"/>
                              <w:numPr>
                                <w:ilvl w:val="0"/>
                                <w:numId w:val="7"/>
                              </w:numPr>
                              <w:spacing w:before="80" w:line="276" w:lineRule="auto"/>
                            </w:pPr>
                            <w:r w:rsidRPr="002A1EA9">
                              <w:rPr>
                                <w:rFonts w:ascii="Verdana" w:hAnsi="Verdana"/>
                                <w:sz w:val="20"/>
                                <w:szCs w:val="20"/>
                              </w:rPr>
                              <w:t>The improved online claim process focuses on the most relevant questions and reduces the time students need to spend calling the department or visiting a service centre. Changes to provide and improve online claiming are expected to benefit over 90,000 job seeker claimants for Youth Allowance in the first 12 months.</w:t>
                            </w:r>
                          </w:p>
                          <w:p w:rsidR="002A1EA9" w:rsidRPr="008A277D" w:rsidRDefault="002A1EA9" w:rsidP="00116D9D">
                            <w:pPr>
                              <w:pStyle w:val="Default"/>
                              <w:numPr>
                                <w:ilvl w:val="0"/>
                                <w:numId w:val="7"/>
                              </w:numPr>
                              <w:spacing w:before="80" w:line="276" w:lineRule="auto"/>
                              <w:rPr>
                                <w:rFonts w:ascii="Verdana" w:hAnsi="Verdana"/>
                                <w:sz w:val="20"/>
                                <w:szCs w:val="20"/>
                              </w:rPr>
                            </w:pPr>
                            <w:r w:rsidRPr="008A277D">
                              <w:rPr>
                                <w:rFonts w:ascii="Verdana" w:hAnsi="Verdana"/>
                                <w:sz w:val="20"/>
                                <w:szCs w:val="20"/>
                              </w:rPr>
                              <w:t xml:space="preserve">The Department of Human Services has estimated that this will lead to an annual saving of </w:t>
                            </w:r>
                            <w:r w:rsidRPr="008A277D">
                              <w:rPr>
                                <w:rFonts w:ascii="Verdana" w:hAnsi="Verdana"/>
                                <w:b/>
                                <w:sz w:val="20"/>
                                <w:szCs w:val="20"/>
                              </w:rPr>
                              <w:t>$1.87</w:t>
                            </w:r>
                            <w:r w:rsidRPr="008A277D">
                              <w:rPr>
                                <w:rFonts w:ascii="Verdana" w:hAnsi="Verdana"/>
                                <w:sz w:val="20"/>
                                <w:szCs w:val="20"/>
                              </w:rPr>
                              <w:t> million in red tape costs.</w:t>
                            </w:r>
                          </w:p>
                        </w:txbxContent>
                      </wps:txbx>
                      <wps:bodyPr rot="0" vert="horz" wrap="square" lIns="91440" tIns="45720" rIns="91440" bIns="45720" anchor="t" anchorCtr="0">
                        <a:spAutoFit/>
                      </wps:bodyPr>
                    </wps:wsp>
                  </a:graphicData>
                </a:graphic>
              </wp:inline>
            </w:drawing>
          </mc:Choice>
          <mc:Fallback>
            <w:pict>
              <v:shape w14:anchorId="5B95AC9B" id="_x0000_s1040"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" fillcolor="#f1ebe0 [665]" stroked="f">
                <v:textbox style="mso-fit-shape-to-text:t">
                  <w:txbxContent>
                    <w:p w:rsidR="002A1EA9" w:rsidRDefault="002A1EA9" w:rsidP="002A1EA9">
                      <w:pPr>
                        <w:pStyle w:val="Default"/>
                        <w:numPr>
                          <w:ilvl w:val="0"/>
                          <w:numId w:val="7"/>
                        </w:numPr>
                        <w:spacing w:before="80" w:line="276" w:lineRule="auto"/>
                        <w:rPr>
                          <w:rFonts w:ascii="Verdana" w:hAnsi="Verdana"/>
                          <w:sz w:val="20"/>
                          <w:szCs w:val="20"/>
                        </w:rPr>
                      </w:pPr>
                      <w:r w:rsidRPr="00550085">
                        <w:rPr>
                          <w:rFonts w:ascii="Verdana" w:hAnsi="Verdana"/>
                          <w:sz w:val="20"/>
                          <w:szCs w:val="20"/>
                        </w:rPr>
                        <w:t xml:space="preserve">Since May 2014, </w:t>
                      </w:r>
                      <w:r>
                        <w:rPr>
                          <w:rFonts w:ascii="Verdana" w:hAnsi="Verdana"/>
                          <w:sz w:val="20"/>
                          <w:szCs w:val="20"/>
                        </w:rPr>
                        <w:t xml:space="preserve">job seeker </w:t>
                      </w:r>
                      <w:r w:rsidRPr="00550085">
                        <w:rPr>
                          <w:rFonts w:ascii="Verdana" w:hAnsi="Verdana"/>
                          <w:sz w:val="20"/>
                          <w:szCs w:val="20"/>
                        </w:rPr>
                        <w:t xml:space="preserve">claimants for </w:t>
                      </w:r>
                      <w:r>
                        <w:rPr>
                          <w:rFonts w:ascii="Verdana" w:hAnsi="Verdana"/>
                          <w:sz w:val="20"/>
                          <w:szCs w:val="20"/>
                        </w:rPr>
                        <w:t>Youth Allowance</w:t>
                      </w:r>
                      <w:r w:rsidRPr="00550085">
                        <w:rPr>
                          <w:rFonts w:ascii="Verdana" w:hAnsi="Verdana"/>
                          <w:sz w:val="20"/>
                          <w:szCs w:val="20"/>
                        </w:rPr>
                        <w:t xml:space="preserve"> have had a</w:t>
                      </w:r>
                      <w:r>
                        <w:rPr>
                          <w:rFonts w:ascii="Verdana" w:hAnsi="Verdana"/>
                          <w:sz w:val="20"/>
                          <w:szCs w:val="20"/>
                        </w:rPr>
                        <w:t>ccess to a simpler online claim process.</w:t>
                      </w:r>
                    </w:p>
                    <w:p w:rsidR="002A1EA9" w:rsidRPr="002A1EA9" w:rsidRDefault="002A1EA9" w:rsidP="00116D9D">
                      <w:pPr>
                        <w:pStyle w:val="Default"/>
                        <w:numPr>
                          <w:ilvl w:val="0"/>
                          <w:numId w:val="7"/>
                        </w:numPr>
                        <w:spacing w:before="80" w:line="276" w:lineRule="auto"/>
                      </w:pPr>
                      <w:r w:rsidRPr="002A1EA9">
                        <w:rPr>
                          <w:rFonts w:ascii="Verdana" w:hAnsi="Verdana"/>
                          <w:sz w:val="20"/>
                          <w:szCs w:val="20"/>
                        </w:rPr>
                        <w:t>The improved online claim process focuses on the most relevant questions and reduces the time students need to spend calling the department or visiting a service centre. Changes to provide and improve online claiming are expected to benefit over 90,000 job seeker claimants for Youth Allowance in the first 12 months.</w:t>
                      </w:r>
                    </w:p>
                    <w:p w:rsidR="002A1EA9" w:rsidRPr="008A277D" w:rsidRDefault="002A1EA9" w:rsidP="00116D9D">
                      <w:pPr>
                        <w:pStyle w:val="Default"/>
                        <w:numPr>
                          <w:ilvl w:val="0"/>
                          <w:numId w:val="7"/>
                        </w:numPr>
                        <w:spacing w:before="80" w:line="276" w:lineRule="auto"/>
                        <w:rPr>
                          <w:rFonts w:ascii="Verdana" w:hAnsi="Verdana"/>
                          <w:sz w:val="20"/>
                          <w:szCs w:val="20"/>
                        </w:rPr>
                      </w:pPr>
                      <w:r w:rsidRPr="008A277D">
                        <w:rPr>
                          <w:rFonts w:ascii="Verdana" w:hAnsi="Verdana"/>
                          <w:sz w:val="20"/>
                          <w:szCs w:val="20"/>
                        </w:rPr>
                        <w:t xml:space="preserve">The Department of Human Services has estimated that this will lead to an annual saving of </w:t>
                      </w:r>
                      <w:r w:rsidRPr="008A277D">
                        <w:rPr>
                          <w:rFonts w:ascii="Verdana" w:hAnsi="Verdana"/>
                          <w:b/>
                          <w:sz w:val="20"/>
                          <w:szCs w:val="20"/>
                        </w:rPr>
                        <w:t>$1.87</w:t>
                      </w:r>
                      <w:r w:rsidRPr="008A277D">
                        <w:rPr>
                          <w:rFonts w:ascii="Verdana" w:hAnsi="Verdana"/>
                          <w:sz w:val="20"/>
                          <w:szCs w:val="20"/>
                        </w:rPr>
                        <w:t> million in red tape costs.</w:t>
                      </w:r>
                    </w:p>
                  </w:txbxContent>
                </v:textbox>
                <w10:anchorlock/>
              </v:shape>
            </w:pict>
          </mc:Fallback>
        </mc:AlternateContent>
      </w:r>
    </w:p>
    <w:p w:rsidR="002A1EA9" w:rsidRDefault="002A1EA9" w:rsidP="002A1EA9">
      <w:pPr>
        <w:pStyle w:val="Appendixheading"/>
      </w:pPr>
      <w:r>
        <w:t>Streamlining administrative processes</w:t>
      </w:r>
    </w:p>
    <w:p w:rsidR="002A1EA9" w:rsidRDefault="002A1EA9" w:rsidP="002A1EA9">
      <w:pPr>
        <w:ind w:left="-142"/>
      </w:pPr>
      <w:r>
        <w:rPr>
          <w:noProof/>
          <w:lang w:eastAsia="en-AU"/>
        </w:rPr>
        <mc:AlternateContent>
          <mc:Choice Requires="wps">
            <w:drawing>
              <wp:inline distT="0" distB="0" distL="0" distR="0" wp14:anchorId="5B95AC9B" wp14:editId="180B9D43">
                <wp:extent cx="5925185" cy="551591"/>
                <wp:effectExtent l="0" t="0" r="0" b="12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Default="002A1EA9" w:rsidP="002A1EA9">
                            <w:pPr>
                              <w:pStyle w:val="ReportMeasureTitle"/>
                              <w:numPr>
                                <w:ilvl w:val="0"/>
                                <w:numId w:val="6"/>
                              </w:numPr>
                              <w:rPr>
                                <w:lang w:eastAsia="en-AU"/>
                              </w:rPr>
                            </w:pPr>
                            <w:r w:rsidRPr="00550085">
                              <w:rPr>
                                <w:lang w:eastAsia="en-AU"/>
                              </w:rPr>
                              <w:t>As part of a suite of changes, the Department of Human Services is improving service delivery by streamlining administrative processes.</w:t>
                            </w:r>
                          </w:p>
                          <w:p w:rsidR="002A1EA9" w:rsidRDefault="002A1EA9" w:rsidP="002A1EA9">
                            <w:pPr>
                              <w:pStyle w:val="ReportMeasureTitle"/>
                              <w:numPr>
                                <w:ilvl w:val="1"/>
                                <w:numId w:val="6"/>
                              </w:numPr>
                              <w:rPr>
                                <w:lang w:eastAsia="en-AU"/>
                              </w:rPr>
                            </w:pPr>
                            <w:r w:rsidRPr="00C3075A">
                              <w:t>Since March 2014, Family Tax Benefit (FTB) has automatically continued for customers when their child turns 16 years of age. This removes the requirement for customers to respond to a letter from the department, benefitting customers who currently receive FTB.</w:t>
                            </w:r>
                          </w:p>
                          <w:p w:rsidR="002A1EA9" w:rsidRDefault="002A1EA9" w:rsidP="003C7E13">
                            <w:pPr>
                              <w:pStyle w:val="ReportMeasureTitle"/>
                              <w:numPr>
                                <w:ilvl w:val="1"/>
                                <w:numId w:val="6"/>
                              </w:numPr>
                            </w:pPr>
                            <w:r w:rsidRPr="00C3075A">
                              <w:t>Since August 2014, the requirement for some customers to supply a rent certificate to receive Rent Assistance has been simplified, reducing the burden on customers to supp</w:t>
                            </w:r>
                            <w:r>
                              <w:t>ly paperwork to the department.</w:t>
                            </w:r>
                          </w:p>
                          <w:p w:rsidR="002A1EA9" w:rsidRDefault="002A1EA9" w:rsidP="002A1EA9">
                            <w:pPr>
                              <w:pStyle w:val="ReportMeasureTitle"/>
                              <w:numPr>
                                <w:ilvl w:val="0"/>
                                <w:numId w:val="6"/>
                              </w:numPr>
                            </w:pPr>
                            <w:r w:rsidRPr="00C3075A">
                              <w:t xml:space="preserve">The Department of Human Services has estimated that these measures and other administrative streamlining improvements to service delivery will lead to an annual saving of </w:t>
                            </w:r>
                            <w:r w:rsidRPr="002A1EA9">
                              <w:rPr>
                                <w:b/>
                              </w:rPr>
                              <w:t>$5.42</w:t>
                            </w:r>
                            <w:r w:rsidRPr="00C3075A">
                              <w:t> million in red tape costs.</w:t>
                            </w:r>
                          </w:p>
                        </w:txbxContent>
                      </wps:txbx>
                      <wps:bodyPr rot="0" vert="horz" wrap="square" lIns="91440" tIns="45720" rIns="91440" bIns="45720" anchor="t" anchorCtr="0">
                        <a:spAutoFit/>
                      </wps:bodyPr>
                    </wps:wsp>
                  </a:graphicData>
                </a:graphic>
              </wp:inline>
            </w:drawing>
          </mc:Choice>
          <mc:Fallback>
            <w:pict>
              <v:shape w14:anchorId="5B95AC9B" id="_x0000_s1041"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" fillcolor="#f1ebe0 [665]" stroked="f">
                <v:textbox style="mso-fit-shape-to-text:t">
                  <w:txbxContent>
                    <w:p w:rsidR="002A1EA9" w:rsidRDefault="002A1EA9" w:rsidP="002A1EA9">
                      <w:pPr>
                        <w:pStyle w:val="ReportMeasureTitle"/>
                        <w:numPr>
                          <w:ilvl w:val="0"/>
                          <w:numId w:val="6"/>
                        </w:numPr>
                        <w:rPr>
                          <w:lang w:eastAsia="en-AU"/>
                        </w:rPr>
                      </w:pPr>
                      <w:r w:rsidRPr="00550085">
                        <w:rPr>
                          <w:lang w:eastAsia="en-AU"/>
                        </w:rPr>
                        <w:t>As part of a suite of changes, the Department of Human Services is improving service delivery by streamlining administrative processes.</w:t>
                      </w:r>
                    </w:p>
                    <w:p w:rsidR="002A1EA9" w:rsidRDefault="002A1EA9" w:rsidP="002A1EA9">
                      <w:pPr>
                        <w:pStyle w:val="ReportMeasureTitle"/>
                        <w:numPr>
                          <w:ilvl w:val="1"/>
                          <w:numId w:val="6"/>
                        </w:numPr>
                        <w:rPr>
                          <w:lang w:eastAsia="en-AU"/>
                        </w:rPr>
                      </w:pPr>
                      <w:r w:rsidRPr="00C3075A">
                        <w:t>Since March 2014, Family Tax Benefit (FTB) has automatically continued for customers when their child turns 16 years of age. This removes the requirement for customers to respond to a letter from the department, benefitting customers who currently receive FTB.</w:t>
                      </w:r>
                    </w:p>
                    <w:p w:rsidR="002A1EA9" w:rsidRDefault="002A1EA9" w:rsidP="003C7E13">
                      <w:pPr>
                        <w:pStyle w:val="ReportMeasureTitle"/>
                        <w:numPr>
                          <w:ilvl w:val="1"/>
                          <w:numId w:val="6"/>
                        </w:numPr>
                      </w:pPr>
                      <w:r w:rsidRPr="00C3075A">
                        <w:t>Since August 2014, the requirement for some customers to supply a rent certificate to receive Rent Assistance has been simplified, reducing the burden on customers to supp</w:t>
                      </w:r>
                      <w:r>
                        <w:t>ly paperwork to the department.</w:t>
                      </w:r>
                    </w:p>
                    <w:p w:rsidR="002A1EA9" w:rsidRDefault="002A1EA9" w:rsidP="002A1EA9">
                      <w:pPr>
                        <w:pStyle w:val="ReportMeasureTitle"/>
                        <w:numPr>
                          <w:ilvl w:val="0"/>
                          <w:numId w:val="6"/>
                        </w:numPr>
                      </w:pPr>
                      <w:r w:rsidRPr="00C3075A">
                        <w:t xml:space="preserve">The Department of Human Services has estimated that these measures and other administrative streamlining improvements to service delivery will lead to an annual saving of </w:t>
                      </w:r>
                      <w:r w:rsidRPr="002A1EA9">
                        <w:rPr>
                          <w:b/>
                        </w:rPr>
                        <w:t>$5.42</w:t>
                      </w:r>
                      <w:r w:rsidRPr="00C3075A">
                        <w:t> million in red tape costs.</w:t>
                      </w:r>
                    </w:p>
                  </w:txbxContent>
                </v:textbox>
                <w10:anchorlock/>
              </v:shape>
            </w:pict>
          </mc:Fallback>
        </mc:AlternateContent>
      </w:r>
    </w:p>
    <w:p w:rsidR="002A1EA9" w:rsidRDefault="002A1EA9">
      <w:pPr>
        <w:spacing w:after="200" w:line="276" w:lineRule="auto"/>
      </w:pPr>
      <w:r>
        <w:br w:type="page"/>
      </w:r>
    </w:p>
    <w:p w:rsidR="002A1EA9" w:rsidRDefault="002A1EA9" w:rsidP="002A1EA9">
      <w:pPr>
        <w:pStyle w:val="Appendixheading"/>
      </w:pPr>
      <w:r w:rsidRPr="002A1EA9">
        <w:lastRenderedPageBreak/>
        <w:t>Transforming digital services</w:t>
      </w:r>
    </w:p>
    <w:p w:rsidR="002A1EA9" w:rsidRDefault="002A1EA9" w:rsidP="002A1EA9">
      <w:pPr>
        <w:ind w:left="-142"/>
      </w:pPr>
      <w:r>
        <w:rPr>
          <w:noProof/>
          <w:lang w:eastAsia="en-AU"/>
        </w:rPr>
        <mc:AlternateContent>
          <mc:Choice Requires="wps">
            <w:drawing>
              <wp:inline distT="0" distB="0" distL="0" distR="0" wp14:anchorId="0CDA9CD9" wp14:editId="39BFE163">
                <wp:extent cx="5925185" cy="551591"/>
                <wp:effectExtent l="0" t="0" r="0" b="12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51591"/>
                        </a:xfrm>
                        <a:prstGeom prst="rect">
                          <a:avLst/>
                        </a:prstGeom>
                        <a:solidFill>
                          <a:schemeClr val="accent6">
                            <a:lumMod val="20000"/>
                            <a:lumOff val="80000"/>
                          </a:schemeClr>
                        </a:solidFill>
                        <a:ln w="9525">
                          <a:noFill/>
                          <a:miter lim="800000"/>
                          <a:headEnd/>
                          <a:tailEnd/>
                        </a:ln>
                      </wps:spPr>
                      <wps:txbx>
                        <w:txbxContent>
                          <w:p w:rsidR="002A1EA9" w:rsidRPr="008A277D" w:rsidRDefault="002A1EA9" w:rsidP="008A277D">
                            <w:pPr>
                              <w:pStyle w:val="ListParagraph"/>
                            </w:pPr>
                            <w:r w:rsidRPr="008A277D">
                              <w:t>The Department of Human Services is improving service delivery by providing access to more government services through digital channels.</w:t>
                            </w:r>
                          </w:p>
                          <w:p w:rsidR="002A1EA9" w:rsidRPr="009A4F4E" w:rsidRDefault="002A1EA9" w:rsidP="002A1EA9">
                            <w:pPr>
                              <w:pStyle w:val="ReportMeasureTitle"/>
                              <w:numPr>
                                <w:ilvl w:val="1"/>
                                <w:numId w:val="6"/>
                              </w:numPr>
                            </w:pPr>
                            <w:r w:rsidRPr="009A4F4E">
                              <w:t xml:space="preserve">In April 2014, the department simplified and transitioned selected correspondence and activities from paper-based to self-service, such as online or smart device apps, which is contributing to the reduction of paper-based customer correspondence. </w:t>
                            </w:r>
                          </w:p>
                          <w:p w:rsidR="002A1EA9" w:rsidRPr="009A4F4E" w:rsidRDefault="002A1EA9" w:rsidP="002A1EA9">
                            <w:pPr>
                              <w:pStyle w:val="ReportMeasureTitle"/>
                              <w:numPr>
                                <w:ilvl w:val="1"/>
                                <w:numId w:val="6"/>
                              </w:numPr>
                            </w:pPr>
                            <w:r w:rsidRPr="009A4F4E">
                              <w:t>In October 2014, an online service was introduced enabling customers to reschedule certain appointments with the department without having to call the department or visit a service centre.</w:t>
                            </w:r>
                          </w:p>
                          <w:p w:rsidR="002A1EA9" w:rsidRDefault="002A1EA9" w:rsidP="00FC089D">
                            <w:pPr>
                              <w:pStyle w:val="ReportMeasureTitle"/>
                              <w:numPr>
                                <w:ilvl w:val="1"/>
                                <w:numId w:val="6"/>
                              </w:numPr>
                            </w:pPr>
                            <w:r w:rsidRPr="009A4F4E">
                              <w:t>In November 2014, the department launched the Express Plus Child Support Program app, allowing Child Support customers to conduct a number of regular activities with the department on their mobile device. This included a range of commonly used services currently available in the Child Support online account, as well as new functionality</w:t>
                            </w:r>
                            <w:bookmarkStart w:id="15" w:name="_GoBack"/>
                            <w:bookmarkEnd w:id="15"/>
                            <w:r w:rsidRPr="009A4F4E">
                              <w:t xml:space="preserve"> specifically designed for the mobile platform. Customers will experience improved usability and be able to complete streamlined transactions.</w:t>
                            </w:r>
                          </w:p>
                          <w:p w:rsidR="002A1EA9" w:rsidRDefault="002A1EA9" w:rsidP="008A277D">
                            <w:pPr>
                              <w:pStyle w:val="ReportMeasureTitle"/>
                              <w:numPr>
                                <w:ilvl w:val="0"/>
                                <w:numId w:val="6"/>
                              </w:numPr>
                              <w:ind w:left="709"/>
                            </w:pPr>
                            <w:r w:rsidRPr="009A4F4E">
                              <w:t xml:space="preserve">The Department of Human Services has estimated that these measures and other improvements to service delivery will lead to an annual saving of </w:t>
                            </w:r>
                            <w:r w:rsidRPr="002A1EA9">
                              <w:rPr>
                                <w:b/>
                              </w:rPr>
                              <w:t>$7.03</w:t>
                            </w:r>
                            <w:r w:rsidRPr="009A4F4E">
                              <w:t xml:space="preserve"> million in red tape costs.</w:t>
                            </w:r>
                          </w:p>
                        </w:txbxContent>
                      </wps:txbx>
                      <wps:bodyPr rot="0" vert="horz" wrap="square" lIns="91440" tIns="45720" rIns="91440" bIns="45720" anchor="t" anchorCtr="0">
                        <a:spAutoFit/>
                      </wps:bodyPr>
                    </wps:wsp>
                  </a:graphicData>
                </a:graphic>
              </wp:inline>
            </w:drawing>
          </mc:Choice>
          <mc:Fallback>
            <w:pict>
              <v:shape w14:anchorId="0CDA9CD9" id="_x0000_s1042" type="#_x0000_t202" style="width:466.5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" fillcolor="#f1ebe0 [665]" stroked="f">
                <v:textbox style="mso-fit-shape-to-text:t">
                  <w:txbxContent>
                    <w:p w:rsidR="002A1EA9" w:rsidRPr="008A277D" w:rsidRDefault="002A1EA9" w:rsidP="008A277D">
                      <w:pPr>
                        <w:pStyle w:val="ListParagraph"/>
                      </w:pPr>
                      <w:r w:rsidRPr="008A277D">
                        <w:t>The Department of Human Services is improving service delivery by providing access to more government services through digital channels.</w:t>
                      </w:r>
                    </w:p>
                    <w:p w:rsidR="002A1EA9" w:rsidRPr="009A4F4E" w:rsidRDefault="002A1EA9" w:rsidP="002A1EA9">
                      <w:pPr>
                        <w:pStyle w:val="ReportMeasureTitle"/>
                        <w:numPr>
                          <w:ilvl w:val="1"/>
                          <w:numId w:val="6"/>
                        </w:numPr>
                      </w:pPr>
                      <w:r w:rsidRPr="009A4F4E">
                        <w:t xml:space="preserve">In April 2014, the department simplified and transitioned selected correspondence and activities from paper-based to self-service, such as online or smart device apps, which is contributing to the reduction of paper-based customer correspondence. </w:t>
                      </w:r>
                    </w:p>
                    <w:p w:rsidR="002A1EA9" w:rsidRPr="009A4F4E" w:rsidRDefault="002A1EA9" w:rsidP="002A1EA9">
                      <w:pPr>
                        <w:pStyle w:val="ReportMeasureTitle"/>
                        <w:numPr>
                          <w:ilvl w:val="1"/>
                          <w:numId w:val="6"/>
                        </w:numPr>
                      </w:pPr>
                      <w:r w:rsidRPr="009A4F4E">
                        <w:t>In October 2014, an online service was introduced enabling customers to reschedule certain appointments with the department without having to call the department or visit a service centre.</w:t>
                      </w:r>
                    </w:p>
                    <w:p w:rsidR="002A1EA9" w:rsidRDefault="002A1EA9" w:rsidP="00FC089D">
                      <w:pPr>
                        <w:pStyle w:val="ReportMeasureTitle"/>
                        <w:numPr>
                          <w:ilvl w:val="1"/>
                          <w:numId w:val="6"/>
                        </w:numPr>
                      </w:pPr>
                      <w:r w:rsidRPr="009A4F4E">
                        <w:t>In November 2014, the department launched the Express Plus Child Support Program app, allowing Child Support customers to conduct a number of regular activities with the department on their mobile device. This included a range of commonly used services currently available in the Child Support online account, as well as new functionality</w:t>
                      </w:r>
                      <w:bookmarkStart w:id="16" w:name="_GoBack"/>
                      <w:bookmarkEnd w:id="16"/>
                      <w:r w:rsidRPr="009A4F4E">
                        <w:t xml:space="preserve"> specifically designed for the mobile platform. Customers will experience improved usability and be able to complete streamlined transactions.</w:t>
                      </w:r>
                    </w:p>
                    <w:p w:rsidR="002A1EA9" w:rsidRDefault="002A1EA9" w:rsidP="008A277D">
                      <w:pPr>
                        <w:pStyle w:val="ReportMeasureTitle"/>
                        <w:numPr>
                          <w:ilvl w:val="0"/>
                          <w:numId w:val="6"/>
                        </w:numPr>
                        <w:ind w:left="709"/>
                      </w:pPr>
                      <w:r w:rsidRPr="009A4F4E">
                        <w:t xml:space="preserve">The Department of Human Services has estimated that these measures and other improvements to service delivery will lead to an annual saving of </w:t>
                      </w:r>
                      <w:r w:rsidRPr="002A1EA9">
                        <w:rPr>
                          <w:b/>
                        </w:rPr>
                        <w:t>$7.03</w:t>
                      </w:r>
                      <w:r w:rsidRPr="009A4F4E">
                        <w:t xml:space="preserve"> million in red tape costs.</w:t>
                      </w:r>
                    </w:p>
                  </w:txbxContent>
                </v:textbox>
                <w10:anchorlock/>
              </v:shape>
            </w:pict>
          </mc:Fallback>
        </mc:AlternateContent>
      </w:r>
    </w:p>
    <w:p w:rsidR="00A22E1B" w:rsidRDefault="00A22E1B">
      <w:pPr>
        <w:spacing w:after="200" w:line="276" w:lineRule="auto"/>
      </w:pPr>
      <w:r>
        <w:br w:type="page"/>
      </w:r>
    </w:p>
    <w:p w:rsidR="00BF2DB7" w:rsidRPr="00B766C7" w:rsidRDefault="00162B60" w:rsidP="00D4048A">
      <w:pPr>
        <w:pStyle w:val="Documenttitle02"/>
      </w:pPr>
      <w:bookmarkStart w:id="17" w:name="_Toc414293172"/>
      <w:r w:rsidRPr="00B766C7">
        <w:lastRenderedPageBreak/>
        <w:t>Appendix B</w:t>
      </w:r>
      <w:r w:rsidR="008009B5" w:rsidRPr="00B766C7">
        <w:t>:</w:t>
      </w:r>
      <w:r w:rsidR="00005974" w:rsidRPr="00B766C7">
        <w:t xml:space="preserve"> </w:t>
      </w:r>
      <w:r w:rsidR="00BF2DB7" w:rsidRPr="00B766C7">
        <w:t>Legislation administered</w:t>
      </w:r>
      <w:bookmarkEnd w:id="17"/>
    </w:p>
    <w:p w:rsidR="00564EC9" w:rsidRPr="00B872C3" w:rsidRDefault="00564EC9" w:rsidP="00750139">
      <w:pPr>
        <w:spacing w:after="120"/>
        <w:rPr>
          <w:rFonts w:ascii="Calibri" w:hAnsi="Calibri" w:cs="Arial"/>
          <w:sz w:val="24"/>
          <w:szCs w:val="24"/>
        </w:rPr>
      </w:pPr>
      <w:r w:rsidRPr="00B872C3">
        <w:rPr>
          <w:rFonts w:ascii="Calibri" w:hAnsi="Calibri" w:cs="Arial"/>
          <w:sz w:val="24"/>
          <w:szCs w:val="24"/>
        </w:rPr>
        <w:t>The department has responsibility for administering three Acts under the Administrative Arrangements Order. The Acts are:</w:t>
      </w:r>
    </w:p>
    <w:p w:rsidR="00564EC9" w:rsidRPr="00B872C3" w:rsidRDefault="00564EC9" w:rsidP="00750139">
      <w:pPr>
        <w:numPr>
          <w:ilvl w:val="1"/>
          <w:numId w:val="9"/>
        </w:numPr>
        <w:spacing w:after="120"/>
        <w:rPr>
          <w:rFonts w:ascii="Calibri" w:hAnsi="Calibri" w:cs="Arial"/>
          <w:sz w:val="24"/>
          <w:szCs w:val="24"/>
        </w:rPr>
      </w:pPr>
      <w:r w:rsidRPr="00B872C3">
        <w:rPr>
          <w:rFonts w:ascii="Calibri" w:hAnsi="Calibri" w:cs="Arial"/>
          <w:i/>
          <w:sz w:val="24"/>
          <w:szCs w:val="24"/>
        </w:rPr>
        <w:t>Australian Hearing Services Act 1991</w:t>
      </w:r>
      <w:r w:rsidRPr="00B872C3">
        <w:rPr>
          <w:rFonts w:ascii="Calibri" w:hAnsi="Calibri" w:cs="Arial"/>
          <w:sz w:val="24"/>
          <w:szCs w:val="24"/>
        </w:rPr>
        <w:t>, except to the extent administered by the Minister for Health</w:t>
      </w:r>
    </w:p>
    <w:p w:rsidR="00564EC9" w:rsidRPr="00B872C3" w:rsidRDefault="00564EC9" w:rsidP="00750139">
      <w:pPr>
        <w:numPr>
          <w:ilvl w:val="1"/>
          <w:numId w:val="9"/>
        </w:numPr>
        <w:spacing w:after="120"/>
        <w:rPr>
          <w:rFonts w:ascii="Calibri" w:hAnsi="Calibri" w:cs="Arial"/>
          <w:sz w:val="24"/>
          <w:szCs w:val="24"/>
        </w:rPr>
      </w:pPr>
      <w:r w:rsidRPr="00B872C3">
        <w:rPr>
          <w:rFonts w:ascii="Calibri" w:hAnsi="Calibri" w:cs="Arial"/>
          <w:i/>
          <w:sz w:val="24"/>
          <w:szCs w:val="24"/>
        </w:rPr>
        <w:t>Human Services (Centrelink) Act 1997</w:t>
      </w:r>
    </w:p>
    <w:p w:rsidR="00564EC9" w:rsidRPr="00B872C3" w:rsidRDefault="00564EC9" w:rsidP="00750139">
      <w:pPr>
        <w:numPr>
          <w:ilvl w:val="1"/>
          <w:numId w:val="9"/>
        </w:numPr>
        <w:spacing w:after="120"/>
        <w:rPr>
          <w:rFonts w:ascii="Calibri" w:hAnsi="Calibri" w:cs="Arial"/>
          <w:sz w:val="24"/>
          <w:szCs w:val="24"/>
        </w:rPr>
      </w:pPr>
      <w:r w:rsidRPr="00B872C3">
        <w:rPr>
          <w:rFonts w:ascii="Calibri" w:hAnsi="Calibri" w:cs="Arial"/>
          <w:i/>
          <w:sz w:val="24"/>
          <w:szCs w:val="24"/>
        </w:rPr>
        <w:t>Human Services (Medicare) Act 1973.</w:t>
      </w:r>
    </w:p>
    <w:p w:rsidR="001014D7" w:rsidRPr="00124255" w:rsidRDefault="00564EC9" w:rsidP="00124255">
      <w:pPr>
        <w:rPr>
          <w:rFonts w:eastAsiaTheme="minorEastAsia"/>
          <w:sz w:val="24"/>
          <w:szCs w:val="24"/>
          <w:lang w:eastAsia="en-AU"/>
        </w:rPr>
      </w:pPr>
      <w:r w:rsidRPr="00B872C3">
        <w:rPr>
          <w:rFonts w:eastAsiaTheme="minorEastAsia"/>
          <w:sz w:val="24"/>
          <w:szCs w:val="24"/>
          <w:lang w:eastAsia="en-AU"/>
        </w:rPr>
        <w:t>These Acts largely establish the governance arrangements for and provide for the statutory functions of the department. The department delivers a range of services and programmes for policy departments who have responsibility for legislation providing the authority to undertake these activities.</w:t>
      </w:r>
    </w:p>
    <w:sectPr w:rsidR="001014D7" w:rsidRPr="00124255" w:rsidSect="00604093">
      <w:headerReference w:type="default" r:id="rId19"/>
      <w:pgSz w:w="11906" w:h="16838"/>
      <w:pgMar w:top="1440" w:right="1440" w:bottom="851" w:left="1440" w:header="709"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148" w:rsidRDefault="00990148" w:rsidP="0037361C">
      <w:pPr>
        <w:spacing w:after="0" w:line="240" w:lineRule="auto"/>
      </w:pPr>
      <w:r>
        <w:separator/>
      </w:r>
    </w:p>
  </w:endnote>
  <w:endnote w:type="continuationSeparator" w:id="0">
    <w:p w:rsidR="00990148" w:rsidRDefault="00990148" w:rsidP="0037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Rod">
    <w:panose1 w:val="02030509050101010101"/>
    <w:charset w:val="B1"/>
    <w:family w:val="modern"/>
    <w:pitch w:val="fixed"/>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3F" w:rsidRPr="002975C3" w:rsidRDefault="002975C3">
    <w:pPr>
      <w:pStyle w:val="Footer"/>
      <w:rPr>
        <w:sz w:val="20"/>
      </w:rPr>
    </w:pPr>
    <w:r w:rsidRPr="002975C3">
      <w:rPr>
        <w:sz w:val="20"/>
      </w:rPr>
      <w:t>Social Services Portfolio (Department of Human Services) Annual Deregulation Report 2014</w:t>
    </w:r>
    <w:r>
      <w:rPr>
        <w:sz w:val="20"/>
      </w:rPr>
      <w:tab/>
    </w:r>
    <w:r w:rsidRPr="002975C3">
      <w:rPr>
        <w:b/>
        <w:color w:val="E11E25" w:themeColor="text2"/>
        <w:sz w:val="20"/>
      </w:rPr>
      <w:fldChar w:fldCharType="begin"/>
    </w:r>
    <w:r w:rsidRPr="002975C3">
      <w:rPr>
        <w:b/>
        <w:color w:val="E11E25" w:themeColor="text2"/>
        <w:sz w:val="20"/>
      </w:rPr>
      <w:instrText xml:space="preserve"> PAGE   \* MERGEFORMAT </w:instrText>
    </w:r>
    <w:r w:rsidRPr="002975C3">
      <w:rPr>
        <w:b/>
        <w:color w:val="E11E25" w:themeColor="text2"/>
        <w:sz w:val="20"/>
      </w:rPr>
      <w:fldChar w:fldCharType="separate"/>
    </w:r>
    <w:r w:rsidR="000D22AA">
      <w:rPr>
        <w:b/>
        <w:noProof/>
        <w:color w:val="E11E25" w:themeColor="text2"/>
        <w:sz w:val="20"/>
      </w:rPr>
      <w:t>4</w:t>
    </w:r>
    <w:r w:rsidRPr="002975C3">
      <w:rPr>
        <w:b/>
        <w:noProof/>
        <w:color w:val="E11E25" w:themeColor="text2"/>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3F" w:rsidRPr="002975C3" w:rsidRDefault="002975C3" w:rsidP="002975C3">
    <w:pPr>
      <w:pStyle w:val="Footer"/>
      <w:jc w:val="center"/>
      <w:rPr>
        <w:sz w:val="36"/>
        <w:szCs w:val="36"/>
      </w:rPr>
    </w:pPr>
    <w:r w:rsidRPr="002975C3">
      <w:rPr>
        <w:sz w:val="36"/>
        <w:szCs w:val="36"/>
      </w:rPr>
      <w:t>www.cuttingredtape.gov.au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148" w:rsidRDefault="00990148" w:rsidP="0037361C">
      <w:pPr>
        <w:spacing w:after="0" w:line="240" w:lineRule="auto"/>
      </w:pPr>
      <w:r>
        <w:separator/>
      </w:r>
    </w:p>
  </w:footnote>
  <w:footnote w:type="continuationSeparator" w:id="0">
    <w:p w:rsidR="00990148" w:rsidRDefault="00990148" w:rsidP="0037361C">
      <w:pPr>
        <w:spacing w:after="0" w:line="240" w:lineRule="auto"/>
      </w:pPr>
      <w:r>
        <w:continuationSeparator/>
      </w:r>
    </w:p>
  </w:footnote>
  <w:footnote w:id="1">
    <w:p w:rsidR="00874C36" w:rsidRPr="008432FE" w:rsidRDefault="00874C36">
      <w:pPr>
        <w:pStyle w:val="FootnoteText"/>
        <w:rPr>
          <w:sz w:val="20"/>
        </w:rPr>
      </w:pPr>
      <w:r w:rsidRPr="008432FE">
        <w:rPr>
          <w:rStyle w:val="FootnoteReference"/>
          <w:sz w:val="20"/>
        </w:rPr>
        <w:footnoteRef/>
      </w:r>
      <w:r w:rsidRPr="008432FE">
        <w:rPr>
          <w:sz w:val="20"/>
        </w:rPr>
        <w:t xml:space="preserve"> Further details on stakeholder groups can be found at page 137 of the department’s 2013-2014 Annual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C3" w:rsidRPr="002975C3" w:rsidRDefault="002975C3" w:rsidP="002975C3">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36" w:rsidRPr="007D376C" w:rsidRDefault="00874C36" w:rsidP="007D3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23577"/>
    <w:multiLevelType w:val="hybridMultilevel"/>
    <w:tmpl w:val="AA88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4D7649"/>
    <w:multiLevelType w:val="hybridMultilevel"/>
    <w:tmpl w:val="D6E6AFDC"/>
    <w:lvl w:ilvl="0" w:tplc="41ACF5E4">
      <w:start w:val="1"/>
      <w:numFmt w:val="bullet"/>
      <w:pStyle w:val="Bullet1linked"/>
      <w:lvlText w:val=""/>
      <w:lvlJc w:val="left"/>
      <w:pPr>
        <w:ind w:left="360" w:hanging="360"/>
      </w:pPr>
      <w:rPr>
        <w:rFonts w:ascii="Symbol" w:hAnsi="Symbol" w:hint="default"/>
        <w:sz w:val="18"/>
      </w:rPr>
    </w:lvl>
    <w:lvl w:ilvl="1" w:tplc="0C090001">
      <w:start w:val="1"/>
      <w:numFmt w:val="bullet"/>
      <w:pStyle w:val="Bullet2"/>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34DA52E5"/>
    <w:multiLevelType w:val="hybridMultilevel"/>
    <w:tmpl w:val="E5023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83B62B1"/>
    <w:multiLevelType w:val="hybridMultilevel"/>
    <w:tmpl w:val="D60E57F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color w:val="auto"/>
        <w:sz w:val="24"/>
        <w:szCs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3FF678EB"/>
    <w:multiLevelType w:val="hybridMultilevel"/>
    <w:tmpl w:val="348C44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C37776"/>
    <w:multiLevelType w:val="hybridMultilevel"/>
    <w:tmpl w:val="849E2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513B0A"/>
    <w:multiLevelType w:val="hybridMultilevel"/>
    <w:tmpl w:val="6590C512"/>
    <w:lvl w:ilvl="0" w:tplc="F6E69B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117A51"/>
    <w:multiLevelType w:val="hybridMultilevel"/>
    <w:tmpl w:val="3E98AD1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FA52448"/>
    <w:multiLevelType w:val="hybridMultilevel"/>
    <w:tmpl w:val="F20EA04A"/>
    <w:lvl w:ilvl="0" w:tplc="F31C41D8">
      <w:start w:val="1"/>
      <w:numFmt w:val="bullet"/>
      <w:pStyle w:val="ReportBulletPoin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83FE48E0">
      <w:numFmt w:val="bullet"/>
      <w:lvlText w:val="•"/>
      <w:lvlJc w:val="left"/>
      <w:pPr>
        <w:ind w:left="2160" w:hanging="72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08B1DEA"/>
    <w:multiLevelType w:val="hybridMultilevel"/>
    <w:tmpl w:val="9C5CE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8E2A82"/>
    <w:multiLevelType w:val="hybridMultilevel"/>
    <w:tmpl w:val="F4F28A70"/>
    <w:lvl w:ilvl="0" w:tplc="F6E69B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2653B4"/>
    <w:multiLevelType w:val="hybridMultilevel"/>
    <w:tmpl w:val="2C566B6C"/>
    <w:lvl w:ilvl="0" w:tplc="6CE61F9E">
      <w:start w:val="1"/>
      <w:numFmt w:val="decimal"/>
      <w:pStyle w:val="OverviewSectionHeading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16C5D42"/>
    <w:multiLevelType w:val="hybridMultilevel"/>
    <w:tmpl w:val="5AF83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373D19"/>
    <w:multiLevelType w:val="hybridMultilevel"/>
    <w:tmpl w:val="A22AC12C"/>
    <w:lvl w:ilvl="0" w:tplc="361C2CF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DC002D"/>
    <w:multiLevelType w:val="hybridMultilevel"/>
    <w:tmpl w:val="EB9C6084"/>
    <w:lvl w:ilvl="0" w:tplc="F6E69BA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68A29E0"/>
    <w:multiLevelType w:val="hybridMultilevel"/>
    <w:tmpl w:val="F8A211AC"/>
    <w:lvl w:ilvl="0" w:tplc="8592925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771782"/>
    <w:multiLevelType w:val="hybridMultilevel"/>
    <w:tmpl w:val="8A402BE4"/>
    <w:lvl w:ilvl="0" w:tplc="0D1ADA96">
      <w:start w:val="1"/>
      <w:numFmt w:val="bullet"/>
      <w:pStyle w:val="ListParagraphleveltwo"/>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C3C31F7"/>
    <w:multiLevelType w:val="hybridMultilevel"/>
    <w:tmpl w:val="0660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675A1B"/>
    <w:multiLevelType w:val="hybridMultilevel"/>
    <w:tmpl w:val="4E8A88E0"/>
    <w:lvl w:ilvl="0" w:tplc="85663E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5280374"/>
    <w:multiLevelType w:val="hybridMultilevel"/>
    <w:tmpl w:val="BC8CBD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
  </w:num>
  <w:num w:numId="4">
    <w:abstractNumId w:val="18"/>
  </w:num>
  <w:num w:numId="5">
    <w:abstractNumId w:val="16"/>
  </w:num>
  <w:num w:numId="6">
    <w:abstractNumId w:val="19"/>
  </w:num>
  <w:num w:numId="7">
    <w:abstractNumId w:val="14"/>
  </w:num>
  <w:num w:numId="8">
    <w:abstractNumId w:val="7"/>
  </w:num>
  <w:num w:numId="9">
    <w:abstractNumId w:val="3"/>
  </w:num>
  <w:num w:numId="10">
    <w:abstractNumId w:val="2"/>
  </w:num>
  <w:num w:numId="11">
    <w:abstractNumId w:val="5"/>
  </w:num>
  <w:num w:numId="12">
    <w:abstractNumId w:val="13"/>
  </w:num>
  <w:num w:numId="13">
    <w:abstractNumId w:val="17"/>
  </w:num>
  <w:num w:numId="14">
    <w:abstractNumId w:val="12"/>
  </w:num>
  <w:num w:numId="15">
    <w:abstractNumId w:val="0"/>
  </w:num>
  <w:num w:numId="16">
    <w:abstractNumId w:val="9"/>
  </w:num>
  <w:num w:numId="17">
    <w:abstractNumId w:val="4"/>
  </w:num>
  <w:num w:numId="18">
    <w:abstractNumId w:val="10"/>
  </w:num>
  <w:num w:numId="19">
    <w:abstractNumId w:val="6"/>
  </w:num>
  <w:num w:numId="20">
    <w:abstractNumId w:val="15"/>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A5"/>
    <w:rsid w:val="0000057D"/>
    <w:rsid w:val="00001074"/>
    <w:rsid w:val="000032BE"/>
    <w:rsid w:val="000048D0"/>
    <w:rsid w:val="00005974"/>
    <w:rsid w:val="000068D7"/>
    <w:rsid w:val="00010CEE"/>
    <w:rsid w:val="00010F9F"/>
    <w:rsid w:val="00013B3C"/>
    <w:rsid w:val="00015ECD"/>
    <w:rsid w:val="00020C72"/>
    <w:rsid w:val="00031855"/>
    <w:rsid w:val="000319EC"/>
    <w:rsid w:val="0003247C"/>
    <w:rsid w:val="000372BE"/>
    <w:rsid w:val="00046749"/>
    <w:rsid w:val="00052CEE"/>
    <w:rsid w:val="00053405"/>
    <w:rsid w:val="00060FA7"/>
    <w:rsid w:val="000658E4"/>
    <w:rsid w:val="00066893"/>
    <w:rsid w:val="0006733D"/>
    <w:rsid w:val="000730C5"/>
    <w:rsid w:val="00075524"/>
    <w:rsid w:val="00086151"/>
    <w:rsid w:val="000908D7"/>
    <w:rsid w:val="0009100A"/>
    <w:rsid w:val="000913AB"/>
    <w:rsid w:val="000914BD"/>
    <w:rsid w:val="00091AB1"/>
    <w:rsid w:val="00091BEC"/>
    <w:rsid w:val="00094A26"/>
    <w:rsid w:val="000A163C"/>
    <w:rsid w:val="000B2060"/>
    <w:rsid w:val="000C14F3"/>
    <w:rsid w:val="000C3337"/>
    <w:rsid w:val="000C4678"/>
    <w:rsid w:val="000D22AA"/>
    <w:rsid w:val="000D2815"/>
    <w:rsid w:val="000D2CE2"/>
    <w:rsid w:val="000D52EA"/>
    <w:rsid w:val="000E2C46"/>
    <w:rsid w:val="000E39E0"/>
    <w:rsid w:val="000F2A09"/>
    <w:rsid w:val="000F60E0"/>
    <w:rsid w:val="000F6698"/>
    <w:rsid w:val="000F6EB2"/>
    <w:rsid w:val="00100370"/>
    <w:rsid w:val="00101460"/>
    <w:rsid w:val="001014D7"/>
    <w:rsid w:val="00106722"/>
    <w:rsid w:val="00106ECF"/>
    <w:rsid w:val="00113C53"/>
    <w:rsid w:val="00116599"/>
    <w:rsid w:val="001201BF"/>
    <w:rsid w:val="00120AF7"/>
    <w:rsid w:val="001228BB"/>
    <w:rsid w:val="00124255"/>
    <w:rsid w:val="0012435D"/>
    <w:rsid w:val="00125506"/>
    <w:rsid w:val="00125A39"/>
    <w:rsid w:val="00125EE3"/>
    <w:rsid w:val="00133278"/>
    <w:rsid w:val="00133332"/>
    <w:rsid w:val="00133502"/>
    <w:rsid w:val="0013435D"/>
    <w:rsid w:val="001409C6"/>
    <w:rsid w:val="00144A12"/>
    <w:rsid w:val="001540F2"/>
    <w:rsid w:val="0015442C"/>
    <w:rsid w:val="00156AC2"/>
    <w:rsid w:val="00162B60"/>
    <w:rsid w:val="00163FE7"/>
    <w:rsid w:val="00167F48"/>
    <w:rsid w:val="00170538"/>
    <w:rsid w:val="00174ED5"/>
    <w:rsid w:val="001832F5"/>
    <w:rsid w:val="00186A26"/>
    <w:rsid w:val="00191C01"/>
    <w:rsid w:val="001A1525"/>
    <w:rsid w:val="001A2D24"/>
    <w:rsid w:val="001B2898"/>
    <w:rsid w:val="001B6FAC"/>
    <w:rsid w:val="001C141E"/>
    <w:rsid w:val="001C73CC"/>
    <w:rsid w:val="001D064C"/>
    <w:rsid w:val="001D115E"/>
    <w:rsid w:val="001D67E9"/>
    <w:rsid w:val="001D6E5B"/>
    <w:rsid w:val="001E1A50"/>
    <w:rsid w:val="001E5EA5"/>
    <w:rsid w:val="001E74DE"/>
    <w:rsid w:val="001E78B2"/>
    <w:rsid w:val="001F714A"/>
    <w:rsid w:val="001F7A79"/>
    <w:rsid w:val="0020066A"/>
    <w:rsid w:val="00203019"/>
    <w:rsid w:val="00210883"/>
    <w:rsid w:val="002112AF"/>
    <w:rsid w:val="0021400A"/>
    <w:rsid w:val="00216A67"/>
    <w:rsid w:val="00220748"/>
    <w:rsid w:val="00224F68"/>
    <w:rsid w:val="00227C5B"/>
    <w:rsid w:val="00232CE4"/>
    <w:rsid w:val="00233448"/>
    <w:rsid w:val="00237E4E"/>
    <w:rsid w:val="0024055E"/>
    <w:rsid w:val="00242F43"/>
    <w:rsid w:val="002454EE"/>
    <w:rsid w:val="00247D21"/>
    <w:rsid w:val="00250EA6"/>
    <w:rsid w:val="00256FDC"/>
    <w:rsid w:val="00270404"/>
    <w:rsid w:val="00270ACA"/>
    <w:rsid w:val="0027131E"/>
    <w:rsid w:val="00271C51"/>
    <w:rsid w:val="00272C52"/>
    <w:rsid w:val="002812B0"/>
    <w:rsid w:val="00285B48"/>
    <w:rsid w:val="00287AEC"/>
    <w:rsid w:val="00291F86"/>
    <w:rsid w:val="002939AC"/>
    <w:rsid w:val="00296C26"/>
    <w:rsid w:val="00296C3A"/>
    <w:rsid w:val="002975C3"/>
    <w:rsid w:val="002A1EA9"/>
    <w:rsid w:val="002A4AC6"/>
    <w:rsid w:val="002A7752"/>
    <w:rsid w:val="002B05E0"/>
    <w:rsid w:val="002B1736"/>
    <w:rsid w:val="002B271D"/>
    <w:rsid w:val="002C064C"/>
    <w:rsid w:val="002C0729"/>
    <w:rsid w:val="002C144A"/>
    <w:rsid w:val="002C5441"/>
    <w:rsid w:val="002C6E5B"/>
    <w:rsid w:val="002D7C06"/>
    <w:rsid w:val="002E45BB"/>
    <w:rsid w:val="002E7E3A"/>
    <w:rsid w:val="0031134F"/>
    <w:rsid w:val="003120D4"/>
    <w:rsid w:val="003121EE"/>
    <w:rsid w:val="0031230B"/>
    <w:rsid w:val="00312C81"/>
    <w:rsid w:val="003142D0"/>
    <w:rsid w:val="0032160B"/>
    <w:rsid w:val="00322EEE"/>
    <w:rsid w:val="00323CFE"/>
    <w:rsid w:val="0032597C"/>
    <w:rsid w:val="00332EE4"/>
    <w:rsid w:val="00335814"/>
    <w:rsid w:val="00336B1C"/>
    <w:rsid w:val="00340D69"/>
    <w:rsid w:val="00342748"/>
    <w:rsid w:val="0035152E"/>
    <w:rsid w:val="003522BE"/>
    <w:rsid w:val="00353761"/>
    <w:rsid w:val="00355EC5"/>
    <w:rsid w:val="0035605B"/>
    <w:rsid w:val="00356379"/>
    <w:rsid w:val="00356970"/>
    <w:rsid w:val="00360CCB"/>
    <w:rsid w:val="003649EC"/>
    <w:rsid w:val="0037005E"/>
    <w:rsid w:val="00370B37"/>
    <w:rsid w:val="003732A7"/>
    <w:rsid w:val="0037361C"/>
    <w:rsid w:val="003736CE"/>
    <w:rsid w:val="003777EF"/>
    <w:rsid w:val="003803F0"/>
    <w:rsid w:val="0038053B"/>
    <w:rsid w:val="0038168D"/>
    <w:rsid w:val="00385BE1"/>
    <w:rsid w:val="0039368E"/>
    <w:rsid w:val="00393729"/>
    <w:rsid w:val="00393B5A"/>
    <w:rsid w:val="00393B9D"/>
    <w:rsid w:val="0039559B"/>
    <w:rsid w:val="00395649"/>
    <w:rsid w:val="00397DD1"/>
    <w:rsid w:val="00397E3F"/>
    <w:rsid w:val="003A504E"/>
    <w:rsid w:val="003A55BB"/>
    <w:rsid w:val="003B4154"/>
    <w:rsid w:val="003B5FA8"/>
    <w:rsid w:val="003D0E9F"/>
    <w:rsid w:val="003D38AB"/>
    <w:rsid w:val="003E2B30"/>
    <w:rsid w:val="003E5BB9"/>
    <w:rsid w:val="003F21BB"/>
    <w:rsid w:val="00401BC7"/>
    <w:rsid w:val="00402301"/>
    <w:rsid w:val="00410C69"/>
    <w:rsid w:val="004139A8"/>
    <w:rsid w:val="00417E8F"/>
    <w:rsid w:val="004209E9"/>
    <w:rsid w:val="0042679B"/>
    <w:rsid w:val="00426998"/>
    <w:rsid w:val="00431EE6"/>
    <w:rsid w:val="00437104"/>
    <w:rsid w:val="0043793C"/>
    <w:rsid w:val="00440D05"/>
    <w:rsid w:val="00441F18"/>
    <w:rsid w:val="00442B41"/>
    <w:rsid w:val="00443095"/>
    <w:rsid w:val="00443756"/>
    <w:rsid w:val="00444023"/>
    <w:rsid w:val="004556AE"/>
    <w:rsid w:val="00462253"/>
    <w:rsid w:val="00464433"/>
    <w:rsid w:val="00465575"/>
    <w:rsid w:val="00465918"/>
    <w:rsid w:val="004677C9"/>
    <w:rsid w:val="00473B2D"/>
    <w:rsid w:val="00475D37"/>
    <w:rsid w:val="0048600C"/>
    <w:rsid w:val="004863A4"/>
    <w:rsid w:val="00487D7F"/>
    <w:rsid w:val="00494369"/>
    <w:rsid w:val="004A06BB"/>
    <w:rsid w:val="004A211A"/>
    <w:rsid w:val="004A2403"/>
    <w:rsid w:val="004A40CB"/>
    <w:rsid w:val="004A692F"/>
    <w:rsid w:val="004B1667"/>
    <w:rsid w:val="004B2860"/>
    <w:rsid w:val="004B2E56"/>
    <w:rsid w:val="004B3724"/>
    <w:rsid w:val="004B3A68"/>
    <w:rsid w:val="004B428C"/>
    <w:rsid w:val="004C1F9F"/>
    <w:rsid w:val="004C23BC"/>
    <w:rsid w:val="004C2D77"/>
    <w:rsid w:val="004C47C8"/>
    <w:rsid w:val="004D264D"/>
    <w:rsid w:val="004D5066"/>
    <w:rsid w:val="004D5267"/>
    <w:rsid w:val="004D62C2"/>
    <w:rsid w:val="004D7B23"/>
    <w:rsid w:val="004D7CC6"/>
    <w:rsid w:val="004E05BE"/>
    <w:rsid w:val="004E0D32"/>
    <w:rsid w:val="004E17E5"/>
    <w:rsid w:val="004E4DD5"/>
    <w:rsid w:val="004E574A"/>
    <w:rsid w:val="004F2EEF"/>
    <w:rsid w:val="004F4CC0"/>
    <w:rsid w:val="004F6F16"/>
    <w:rsid w:val="004F752F"/>
    <w:rsid w:val="00501782"/>
    <w:rsid w:val="00506458"/>
    <w:rsid w:val="00506EB7"/>
    <w:rsid w:val="00507B54"/>
    <w:rsid w:val="005109EE"/>
    <w:rsid w:val="00511532"/>
    <w:rsid w:val="0052014A"/>
    <w:rsid w:val="00520A63"/>
    <w:rsid w:val="00521C43"/>
    <w:rsid w:val="00521F59"/>
    <w:rsid w:val="00525BB3"/>
    <w:rsid w:val="00530D44"/>
    <w:rsid w:val="005320CE"/>
    <w:rsid w:val="00533559"/>
    <w:rsid w:val="00533DFA"/>
    <w:rsid w:val="005361F9"/>
    <w:rsid w:val="00536991"/>
    <w:rsid w:val="00536A1F"/>
    <w:rsid w:val="00537BFE"/>
    <w:rsid w:val="005413F4"/>
    <w:rsid w:val="005437BC"/>
    <w:rsid w:val="005447A6"/>
    <w:rsid w:val="00550085"/>
    <w:rsid w:val="00553765"/>
    <w:rsid w:val="00554589"/>
    <w:rsid w:val="00555F6F"/>
    <w:rsid w:val="00564EC9"/>
    <w:rsid w:val="00565018"/>
    <w:rsid w:val="00567AB1"/>
    <w:rsid w:val="00571BD7"/>
    <w:rsid w:val="005804E1"/>
    <w:rsid w:val="005871ED"/>
    <w:rsid w:val="005969AB"/>
    <w:rsid w:val="005A2285"/>
    <w:rsid w:val="005A3773"/>
    <w:rsid w:val="005A55DB"/>
    <w:rsid w:val="005A6A7F"/>
    <w:rsid w:val="005A6EA1"/>
    <w:rsid w:val="005A74EF"/>
    <w:rsid w:val="005B3BD9"/>
    <w:rsid w:val="005B5C74"/>
    <w:rsid w:val="005B5EA0"/>
    <w:rsid w:val="005B6321"/>
    <w:rsid w:val="005C2F9E"/>
    <w:rsid w:val="005C35EC"/>
    <w:rsid w:val="005C44CD"/>
    <w:rsid w:val="005C541D"/>
    <w:rsid w:val="005C6064"/>
    <w:rsid w:val="005C61AE"/>
    <w:rsid w:val="005C6F56"/>
    <w:rsid w:val="005D0566"/>
    <w:rsid w:val="005D3342"/>
    <w:rsid w:val="005D45AC"/>
    <w:rsid w:val="005D6CC5"/>
    <w:rsid w:val="005D747D"/>
    <w:rsid w:val="005E1091"/>
    <w:rsid w:val="005F2183"/>
    <w:rsid w:val="005F4A03"/>
    <w:rsid w:val="005F5932"/>
    <w:rsid w:val="00600B21"/>
    <w:rsid w:val="0060207C"/>
    <w:rsid w:val="00604093"/>
    <w:rsid w:val="00605140"/>
    <w:rsid w:val="00605E02"/>
    <w:rsid w:val="006067B1"/>
    <w:rsid w:val="00612080"/>
    <w:rsid w:val="0061260D"/>
    <w:rsid w:val="00616895"/>
    <w:rsid w:val="00617A1C"/>
    <w:rsid w:val="00622943"/>
    <w:rsid w:val="00623131"/>
    <w:rsid w:val="00632E4E"/>
    <w:rsid w:val="00635691"/>
    <w:rsid w:val="0064183B"/>
    <w:rsid w:val="00642C9E"/>
    <w:rsid w:val="00642F5E"/>
    <w:rsid w:val="00645D83"/>
    <w:rsid w:val="0064624E"/>
    <w:rsid w:val="0065016B"/>
    <w:rsid w:val="006534DB"/>
    <w:rsid w:val="006539DB"/>
    <w:rsid w:val="0066125E"/>
    <w:rsid w:val="00662CE3"/>
    <w:rsid w:val="00663681"/>
    <w:rsid w:val="00664098"/>
    <w:rsid w:val="006666BE"/>
    <w:rsid w:val="006722BC"/>
    <w:rsid w:val="00672BE5"/>
    <w:rsid w:val="00673EDE"/>
    <w:rsid w:val="006760A1"/>
    <w:rsid w:val="00684E32"/>
    <w:rsid w:val="00686330"/>
    <w:rsid w:val="006863FD"/>
    <w:rsid w:val="0068675F"/>
    <w:rsid w:val="00686854"/>
    <w:rsid w:val="006878E7"/>
    <w:rsid w:val="006A515C"/>
    <w:rsid w:val="006B2AFC"/>
    <w:rsid w:val="006B4EEE"/>
    <w:rsid w:val="006C0D7E"/>
    <w:rsid w:val="006C458C"/>
    <w:rsid w:val="006C4BF4"/>
    <w:rsid w:val="006C7A1A"/>
    <w:rsid w:val="006D102B"/>
    <w:rsid w:val="006D1B32"/>
    <w:rsid w:val="006D1BFC"/>
    <w:rsid w:val="006D2CE2"/>
    <w:rsid w:val="006D6BD2"/>
    <w:rsid w:val="006E1FF3"/>
    <w:rsid w:val="006E2BB7"/>
    <w:rsid w:val="006E313F"/>
    <w:rsid w:val="006E3985"/>
    <w:rsid w:val="006E6F88"/>
    <w:rsid w:val="006E72DD"/>
    <w:rsid w:val="006F0E91"/>
    <w:rsid w:val="006F1E64"/>
    <w:rsid w:val="006F3E71"/>
    <w:rsid w:val="006F44DB"/>
    <w:rsid w:val="006F52DB"/>
    <w:rsid w:val="00700EEF"/>
    <w:rsid w:val="00702448"/>
    <w:rsid w:val="00704279"/>
    <w:rsid w:val="00710F35"/>
    <w:rsid w:val="00711A38"/>
    <w:rsid w:val="00712683"/>
    <w:rsid w:val="00712D11"/>
    <w:rsid w:val="007130D5"/>
    <w:rsid w:val="00713492"/>
    <w:rsid w:val="007207DC"/>
    <w:rsid w:val="00722B4F"/>
    <w:rsid w:val="00727608"/>
    <w:rsid w:val="007304E2"/>
    <w:rsid w:val="00737D4A"/>
    <w:rsid w:val="007445B0"/>
    <w:rsid w:val="00746392"/>
    <w:rsid w:val="007468DF"/>
    <w:rsid w:val="00750139"/>
    <w:rsid w:val="00753B10"/>
    <w:rsid w:val="00754185"/>
    <w:rsid w:val="00754FE3"/>
    <w:rsid w:val="0075731F"/>
    <w:rsid w:val="00765410"/>
    <w:rsid w:val="0076554B"/>
    <w:rsid w:val="007672C4"/>
    <w:rsid w:val="00773D34"/>
    <w:rsid w:val="0077493F"/>
    <w:rsid w:val="00776502"/>
    <w:rsid w:val="0077760D"/>
    <w:rsid w:val="00780AF8"/>
    <w:rsid w:val="00790502"/>
    <w:rsid w:val="00794839"/>
    <w:rsid w:val="007A08F7"/>
    <w:rsid w:val="007A0D02"/>
    <w:rsid w:val="007A3D18"/>
    <w:rsid w:val="007A48B8"/>
    <w:rsid w:val="007C35B1"/>
    <w:rsid w:val="007C3976"/>
    <w:rsid w:val="007C4A81"/>
    <w:rsid w:val="007C5934"/>
    <w:rsid w:val="007D376C"/>
    <w:rsid w:val="007D3B9B"/>
    <w:rsid w:val="007D4706"/>
    <w:rsid w:val="007D753F"/>
    <w:rsid w:val="007D7B2D"/>
    <w:rsid w:val="007D7B54"/>
    <w:rsid w:val="007E481F"/>
    <w:rsid w:val="007E5ECE"/>
    <w:rsid w:val="007E6F22"/>
    <w:rsid w:val="007E7DED"/>
    <w:rsid w:val="007F1AD7"/>
    <w:rsid w:val="007F4958"/>
    <w:rsid w:val="007F5B4B"/>
    <w:rsid w:val="007F7F0E"/>
    <w:rsid w:val="008009B5"/>
    <w:rsid w:val="0080142F"/>
    <w:rsid w:val="00804900"/>
    <w:rsid w:val="0080593C"/>
    <w:rsid w:val="00815679"/>
    <w:rsid w:val="00816C5B"/>
    <w:rsid w:val="00825508"/>
    <w:rsid w:val="008336EE"/>
    <w:rsid w:val="00834542"/>
    <w:rsid w:val="008354DC"/>
    <w:rsid w:val="00842037"/>
    <w:rsid w:val="008432FE"/>
    <w:rsid w:val="00843C4C"/>
    <w:rsid w:val="0084743F"/>
    <w:rsid w:val="0085240A"/>
    <w:rsid w:val="008603B2"/>
    <w:rsid w:val="008603B5"/>
    <w:rsid w:val="00861246"/>
    <w:rsid w:val="00863CE2"/>
    <w:rsid w:val="00867500"/>
    <w:rsid w:val="00874A3A"/>
    <w:rsid w:val="00874C36"/>
    <w:rsid w:val="00876B65"/>
    <w:rsid w:val="00881D52"/>
    <w:rsid w:val="0088492B"/>
    <w:rsid w:val="00885011"/>
    <w:rsid w:val="0089342A"/>
    <w:rsid w:val="008934DD"/>
    <w:rsid w:val="008941E4"/>
    <w:rsid w:val="0089610E"/>
    <w:rsid w:val="008978AE"/>
    <w:rsid w:val="00897FF7"/>
    <w:rsid w:val="008A277D"/>
    <w:rsid w:val="008A7623"/>
    <w:rsid w:val="008B0784"/>
    <w:rsid w:val="008B60B7"/>
    <w:rsid w:val="008B676B"/>
    <w:rsid w:val="008B711D"/>
    <w:rsid w:val="008B7C19"/>
    <w:rsid w:val="008C08C2"/>
    <w:rsid w:val="008C1335"/>
    <w:rsid w:val="008C2499"/>
    <w:rsid w:val="008C277B"/>
    <w:rsid w:val="008C3E22"/>
    <w:rsid w:val="008C69B5"/>
    <w:rsid w:val="008C6A78"/>
    <w:rsid w:val="008C7530"/>
    <w:rsid w:val="008D16A8"/>
    <w:rsid w:val="008D658A"/>
    <w:rsid w:val="008E1A9E"/>
    <w:rsid w:val="008E67D0"/>
    <w:rsid w:val="008E6CFB"/>
    <w:rsid w:val="008E7102"/>
    <w:rsid w:val="008F244F"/>
    <w:rsid w:val="008F2D71"/>
    <w:rsid w:val="00901493"/>
    <w:rsid w:val="009066DB"/>
    <w:rsid w:val="009079F1"/>
    <w:rsid w:val="00911D11"/>
    <w:rsid w:val="00913613"/>
    <w:rsid w:val="009240C5"/>
    <w:rsid w:val="009258A4"/>
    <w:rsid w:val="0093010B"/>
    <w:rsid w:val="00937017"/>
    <w:rsid w:val="009437B0"/>
    <w:rsid w:val="00946B00"/>
    <w:rsid w:val="00950855"/>
    <w:rsid w:val="009548BF"/>
    <w:rsid w:val="00957926"/>
    <w:rsid w:val="00957DE6"/>
    <w:rsid w:val="009600C6"/>
    <w:rsid w:val="009615D9"/>
    <w:rsid w:val="009657A6"/>
    <w:rsid w:val="009766A8"/>
    <w:rsid w:val="00976A67"/>
    <w:rsid w:val="00981F3E"/>
    <w:rsid w:val="009834BB"/>
    <w:rsid w:val="00986A94"/>
    <w:rsid w:val="0098738E"/>
    <w:rsid w:val="00987E1A"/>
    <w:rsid w:val="00990148"/>
    <w:rsid w:val="00990211"/>
    <w:rsid w:val="00992296"/>
    <w:rsid w:val="009943A0"/>
    <w:rsid w:val="0099744D"/>
    <w:rsid w:val="009A0DE2"/>
    <w:rsid w:val="009A1D56"/>
    <w:rsid w:val="009A208D"/>
    <w:rsid w:val="009A4F4E"/>
    <w:rsid w:val="009A6F15"/>
    <w:rsid w:val="009A790D"/>
    <w:rsid w:val="009B5381"/>
    <w:rsid w:val="009B63A9"/>
    <w:rsid w:val="009C59EA"/>
    <w:rsid w:val="009C77C6"/>
    <w:rsid w:val="009D1BCD"/>
    <w:rsid w:val="009D33FB"/>
    <w:rsid w:val="009D4C68"/>
    <w:rsid w:val="009E1512"/>
    <w:rsid w:val="009E2870"/>
    <w:rsid w:val="009E6BA3"/>
    <w:rsid w:val="009E6CD9"/>
    <w:rsid w:val="009F097E"/>
    <w:rsid w:val="009F33DF"/>
    <w:rsid w:val="009F4D38"/>
    <w:rsid w:val="009F6ADE"/>
    <w:rsid w:val="009F7345"/>
    <w:rsid w:val="00A01368"/>
    <w:rsid w:val="00A10FB7"/>
    <w:rsid w:val="00A13E18"/>
    <w:rsid w:val="00A20683"/>
    <w:rsid w:val="00A20BF9"/>
    <w:rsid w:val="00A22E1B"/>
    <w:rsid w:val="00A24FFF"/>
    <w:rsid w:val="00A257E3"/>
    <w:rsid w:val="00A27A76"/>
    <w:rsid w:val="00A316EA"/>
    <w:rsid w:val="00A33007"/>
    <w:rsid w:val="00A37695"/>
    <w:rsid w:val="00A43CFC"/>
    <w:rsid w:val="00A45A69"/>
    <w:rsid w:val="00A50BE7"/>
    <w:rsid w:val="00A51D51"/>
    <w:rsid w:val="00A54385"/>
    <w:rsid w:val="00A61FC3"/>
    <w:rsid w:val="00A637E0"/>
    <w:rsid w:val="00A644E1"/>
    <w:rsid w:val="00A765F2"/>
    <w:rsid w:val="00A77004"/>
    <w:rsid w:val="00A8093D"/>
    <w:rsid w:val="00A80CEA"/>
    <w:rsid w:val="00A81D65"/>
    <w:rsid w:val="00A86F69"/>
    <w:rsid w:val="00A9059E"/>
    <w:rsid w:val="00A925F4"/>
    <w:rsid w:val="00A9347C"/>
    <w:rsid w:val="00A9684B"/>
    <w:rsid w:val="00A96F6E"/>
    <w:rsid w:val="00A97272"/>
    <w:rsid w:val="00AA1893"/>
    <w:rsid w:val="00AA2F15"/>
    <w:rsid w:val="00AA6484"/>
    <w:rsid w:val="00AA71E9"/>
    <w:rsid w:val="00AA7EF5"/>
    <w:rsid w:val="00AB209F"/>
    <w:rsid w:val="00AB28DB"/>
    <w:rsid w:val="00AB32ED"/>
    <w:rsid w:val="00AB33F4"/>
    <w:rsid w:val="00AC199B"/>
    <w:rsid w:val="00AC4195"/>
    <w:rsid w:val="00AC75CC"/>
    <w:rsid w:val="00AD03AF"/>
    <w:rsid w:val="00AD6208"/>
    <w:rsid w:val="00AE1E3B"/>
    <w:rsid w:val="00AE2135"/>
    <w:rsid w:val="00AE332E"/>
    <w:rsid w:val="00AE44B7"/>
    <w:rsid w:val="00AE64BD"/>
    <w:rsid w:val="00AF050B"/>
    <w:rsid w:val="00AF701C"/>
    <w:rsid w:val="00B00E97"/>
    <w:rsid w:val="00B031C7"/>
    <w:rsid w:val="00B050AF"/>
    <w:rsid w:val="00B07B26"/>
    <w:rsid w:val="00B119B9"/>
    <w:rsid w:val="00B1428B"/>
    <w:rsid w:val="00B1517D"/>
    <w:rsid w:val="00B1653D"/>
    <w:rsid w:val="00B20861"/>
    <w:rsid w:val="00B30BCD"/>
    <w:rsid w:val="00B31858"/>
    <w:rsid w:val="00B353E6"/>
    <w:rsid w:val="00B35E3D"/>
    <w:rsid w:val="00B37F3B"/>
    <w:rsid w:val="00B4038B"/>
    <w:rsid w:val="00B44E31"/>
    <w:rsid w:val="00B54259"/>
    <w:rsid w:val="00B54627"/>
    <w:rsid w:val="00B55913"/>
    <w:rsid w:val="00B56188"/>
    <w:rsid w:val="00B56C67"/>
    <w:rsid w:val="00B60173"/>
    <w:rsid w:val="00B608A6"/>
    <w:rsid w:val="00B720FD"/>
    <w:rsid w:val="00B7403D"/>
    <w:rsid w:val="00B75E16"/>
    <w:rsid w:val="00B766C7"/>
    <w:rsid w:val="00B775ED"/>
    <w:rsid w:val="00B77B81"/>
    <w:rsid w:val="00B872C3"/>
    <w:rsid w:val="00B904C6"/>
    <w:rsid w:val="00B908E5"/>
    <w:rsid w:val="00B95165"/>
    <w:rsid w:val="00BA4E59"/>
    <w:rsid w:val="00BB062E"/>
    <w:rsid w:val="00BB0F5B"/>
    <w:rsid w:val="00BB3DE3"/>
    <w:rsid w:val="00BB4C1C"/>
    <w:rsid w:val="00BB5602"/>
    <w:rsid w:val="00BC333C"/>
    <w:rsid w:val="00BC6FCA"/>
    <w:rsid w:val="00BD438A"/>
    <w:rsid w:val="00BD4D34"/>
    <w:rsid w:val="00BD71CD"/>
    <w:rsid w:val="00BE0D1C"/>
    <w:rsid w:val="00BF03F6"/>
    <w:rsid w:val="00BF2DB7"/>
    <w:rsid w:val="00BF7BD1"/>
    <w:rsid w:val="00C031F7"/>
    <w:rsid w:val="00C146B3"/>
    <w:rsid w:val="00C16535"/>
    <w:rsid w:val="00C20644"/>
    <w:rsid w:val="00C3075A"/>
    <w:rsid w:val="00C31083"/>
    <w:rsid w:val="00C356D5"/>
    <w:rsid w:val="00C40CF1"/>
    <w:rsid w:val="00C42A0A"/>
    <w:rsid w:val="00C43258"/>
    <w:rsid w:val="00C503DB"/>
    <w:rsid w:val="00C51258"/>
    <w:rsid w:val="00C5410F"/>
    <w:rsid w:val="00C5626F"/>
    <w:rsid w:val="00C5740F"/>
    <w:rsid w:val="00C57A1F"/>
    <w:rsid w:val="00C60FD4"/>
    <w:rsid w:val="00C64203"/>
    <w:rsid w:val="00C65536"/>
    <w:rsid w:val="00C73D88"/>
    <w:rsid w:val="00C76311"/>
    <w:rsid w:val="00C77E2C"/>
    <w:rsid w:val="00C807CD"/>
    <w:rsid w:val="00C80DB1"/>
    <w:rsid w:val="00C81BFB"/>
    <w:rsid w:val="00C81DE4"/>
    <w:rsid w:val="00C82D18"/>
    <w:rsid w:val="00C92EA2"/>
    <w:rsid w:val="00C9411F"/>
    <w:rsid w:val="00CA1DEC"/>
    <w:rsid w:val="00CA54ED"/>
    <w:rsid w:val="00CA7DAE"/>
    <w:rsid w:val="00CB6C0A"/>
    <w:rsid w:val="00CC074E"/>
    <w:rsid w:val="00CC1075"/>
    <w:rsid w:val="00CC289C"/>
    <w:rsid w:val="00CD4B73"/>
    <w:rsid w:val="00CD604D"/>
    <w:rsid w:val="00CD79FA"/>
    <w:rsid w:val="00CD7C89"/>
    <w:rsid w:val="00CE3586"/>
    <w:rsid w:val="00CF1CCC"/>
    <w:rsid w:val="00CF3257"/>
    <w:rsid w:val="00CF3BAA"/>
    <w:rsid w:val="00CF4469"/>
    <w:rsid w:val="00CF6614"/>
    <w:rsid w:val="00CF71B4"/>
    <w:rsid w:val="00D0467B"/>
    <w:rsid w:val="00D118C2"/>
    <w:rsid w:val="00D15771"/>
    <w:rsid w:val="00D21666"/>
    <w:rsid w:val="00D22E68"/>
    <w:rsid w:val="00D32787"/>
    <w:rsid w:val="00D33692"/>
    <w:rsid w:val="00D343DE"/>
    <w:rsid w:val="00D34CA5"/>
    <w:rsid w:val="00D4048A"/>
    <w:rsid w:val="00D43AA7"/>
    <w:rsid w:val="00D502E2"/>
    <w:rsid w:val="00D57BCC"/>
    <w:rsid w:val="00D6146D"/>
    <w:rsid w:val="00D6307D"/>
    <w:rsid w:val="00D64727"/>
    <w:rsid w:val="00D654DA"/>
    <w:rsid w:val="00D7026A"/>
    <w:rsid w:val="00D7601B"/>
    <w:rsid w:val="00D7730E"/>
    <w:rsid w:val="00D776D6"/>
    <w:rsid w:val="00D8083C"/>
    <w:rsid w:val="00D813CB"/>
    <w:rsid w:val="00D821CF"/>
    <w:rsid w:val="00D8351A"/>
    <w:rsid w:val="00D86F07"/>
    <w:rsid w:val="00D92959"/>
    <w:rsid w:val="00DA3087"/>
    <w:rsid w:val="00DA49A6"/>
    <w:rsid w:val="00DA6B7B"/>
    <w:rsid w:val="00DB03C5"/>
    <w:rsid w:val="00DB0499"/>
    <w:rsid w:val="00DB408D"/>
    <w:rsid w:val="00DB52D9"/>
    <w:rsid w:val="00DC1035"/>
    <w:rsid w:val="00DC26E3"/>
    <w:rsid w:val="00DC2BA8"/>
    <w:rsid w:val="00DC4923"/>
    <w:rsid w:val="00DD3A5C"/>
    <w:rsid w:val="00DD5C59"/>
    <w:rsid w:val="00DD685C"/>
    <w:rsid w:val="00DD738A"/>
    <w:rsid w:val="00DD76EE"/>
    <w:rsid w:val="00DE0219"/>
    <w:rsid w:val="00DE04A6"/>
    <w:rsid w:val="00DE088E"/>
    <w:rsid w:val="00DE143A"/>
    <w:rsid w:val="00DF12C1"/>
    <w:rsid w:val="00E03753"/>
    <w:rsid w:val="00E04A1C"/>
    <w:rsid w:val="00E073E8"/>
    <w:rsid w:val="00E10911"/>
    <w:rsid w:val="00E15F2F"/>
    <w:rsid w:val="00E16291"/>
    <w:rsid w:val="00E172E3"/>
    <w:rsid w:val="00E23033"/>
    <w:rsid w:val="00E24D72"/>
    <w:rsid w:val="00E259E4"/>
    <w:rsid w:val="00E26176"/>
    <w:rsid w:val="00E267AE"/>
    <w:rsid w:val="00E30E93"/>
    <w:rsid w:val="00E33254"/>
    <w:rsid w:val="00E33855"/>
    <w:rsid w:val="00E355D5"/>
    <w:rsid w:val="00E407C0"/>
    <w:rsid w:val="00E42797"/>
    <w:rsid w:val="00E4427D"/>
    <w:rsid w:val="00E46C9C"/>
    <w:rsid w:val="00E47166"/>
    <w:rsid w:val="00E51B8A"/>
    <w:rsid w:val="00E5495F"/>
    <w:rsid w:val="00E54A62"/>
    <w:rsid w:val="00E57600"/>
    <w:rsid w:val="00E5775D"/>
    <w:rsid w:val="00E60A7F"/>
    <w:rsid w:val="00E60B22"/>
    <w:rsid w:val="00E626C2"/>
    <w:rsid w:val="00E65752"/>
    <w:rsid w:val="00E67C84"/>
    <w:rsid w:val="00E70006"/>
    <w:rsid w:val="00E761E3"/>
    <w:rsid w:val="00E77881"/>
    <w:rsid w:val="00E810A0"/>
    <w:rsid w:val="00E81AAA"/>
    <w:rsid w:val="00E81DF7"/>
    <w:rsid w:val="00E82BED"/>
    <w:rsid w:val="00E86157"/>
    <w:rsid w:val="00E869D1"/>
    <w:rsid w:val="00E94F34"/>
    <w:rsid w:val="00E9781B"/>
    <w:rsid w:val="00EA1A25"/>
    <w:rsid w:val="00EA2E10"/>
    <w:rsid w:val="00EA4363"/>
    <w:rsid w:val="00EA78D3"/>
    <w:rsid w:val="00EB19B2"/>
    <w:rsid w:val="00EB1B00"/>
    <w:rsid w:val="00EB44DE"/>
    <w:rsid w:val="00EB4DB1"/>
    <w:rsid w:val="00EC4F3C"/>
    <w:rsid w:val="00ED126D"/>
    <w:rsid w:val="00ED7AAA"/>
    <w:rsid w:val="00EE58D3"/>
    <w:rsid w:val="00EF3481"/>
    <w:rsid w:val="00EF384E"/>
    <w:rsid w:val="00EF4E05"/>
    <w:rsid w:val="00EF5209"/>
    <w:rsid w:val="00EF5CA8"/>
    <w:rsid w:val="00EF783E"/>
    <w:rsid w:val="00F00661"/>
    <w:rsid w:val="00F00732"/>
    <w:rsid w:val="00F00AA5"/>
    <w:rsid w:val="00F01597"/>
    <w:rsid w:val="00F03E2F"/>
    <w:rsid w:val="00F05155"/>
    <w:rsid w:val="00F071F0"/>
    <w:rsid w:val="00F1026C"/>
    <w:rsid w:val="00F103A5"/>
    <w:rsid w:val="00F1140B"/>
    <w:rsid w:val="00F12089"/>
    <w:rsid w:val="00F14345"/>
    <w:rsid w:val="00F1491B"/>
    <w:rsid w:val="00F156DC"/>
    <w:rsid w:val="00F17B65"/>
    <w:rsid w:val="00F2179D"/>
    <w:rsid w:val="00F21B98"/>
    <w:rsid w:val="00F21BEC"/>
    <w:rsid w:val="00F22506"/>
    <w:rsid w:val="00F22FDE"/>
    <w:rsid w:val="00F23028"/>
    <w:rsid w:val="00F25476"/>
    <w:rsid w:val="00F25B7B"/>
    <w:rsid w:val="00F352BF"/>
    <w:rsid w:val="00F35883"/>
    <w:rsid w:val="00F3700A"/>
    <w:rsid w:val="00F41BED"/>
    <w:rsid w:val="00F421D3"/>
    <w:rsid w:val="00F43368"/>
    <w:rsid w:val="00F5056A"/>
    <w:rsid w:val="00F50EE3"/>
    <w:rsid w:val="00F55B6D"/>
    <w:rsid w:val="00F63E14"/>
    <w:rsid w:val="00F711D6"/>
    <w:rsid w:val="00F7247B"/>
    <w:rsid w:val="00F75EC4"/>
    <w:rsid w:val="00F81FC1"/>
    <w:rsid w:val="00F84E94"/>
    <w:rsid w:val="00F91E25"/>
    <w:rsid w:val="00F9375D"/>
    <w:rsid w:val="00F952A4"/>
    <w:rsid w:val="00F960C0"/>
    <w:rsid w:val="00F9742E"/>
    <w:rsid w:val="00FA1888"/>
    <w:rsid w:val="00FA6752"/>
    <w:rsid w:val="00FB096F"/>
    <w:rsid w:val="00FB0E54"/>
    <w:rsid w:val="00FB3103"/>
    <w:rsid w:val="00FB4E00"/>
    <w:rsid w:val="00FC3659"/>
    <w:rsid w:val="00FC3D08"/>
    <w:rsid w:val="00FC52E6"/>
    <w:rsid w:val="00FC6F68"/>
    <w:rsid w:val="00FC7F79"/>
    <w:rsid w:val="00FD23CD"/>
    <w:rsid w:val="00FD3870"/>
    <w:rsid w:val="00FD3EC4"/>
    <w:rsid w:val="00FE00D2"/>
    <w:rsid w:val="00FE1EE2"/>
    <w:rsid w:val="00FE33F6"/>
    <w:rsid w:val="00FE42AD"/>
    <w:rsid w:val="00FF1DC4"/>
    <w:rsid w:val="00FF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AA"/>
    <w:pPr>
      <w:spacing w:after="160" w:line="259" w:lineRule="auto"/>
    </w:pPr>
  </w:style>
  <w:style w:type="paragraph" w:styleId="Heading1">
    <w:name w:val="heading 1"/>
    <w:basedOn w:val="Normal"/>
    <w:next w:val="Normal"/>
    <w:link w:val="Heading1Char"/>
    <w:uiPriority w:val="9"/>
    <w:rsid w:val="00AB33F4"/>
    <w:pPr>
      <w:keepNext/>
      <w:keepLines/>
      <w:spacing w:before="480" w:after="0"/>
      <w:outlineLvl w:val="0"/>
    </w:pPr>
    <w:rPr>
      <w:rFonts w:asciiTheme="majorHAnsi" w:eastAsiaTheme="majorEastAsia" w:hAnsiTheme="majorHAnsi" w:cstheme="majorBidi"/>
      <w:b/>
      <w:bCs/>
      <w:color w:val="2F3232" w:themeColor="accent1" w:themeShade="BF"/>
      <w:sz w:val="28"/>
      <w:szCs w:val="28"/>
    </w:rPr>
  </w:style>
  <w:style w:type="paragraph" w:styleId="Heading2">
    <w:name w:val="heading 2"/>
    <w:basedOn w:val="Normal"/>
    <w:next w:val="Normal"/>
    <w:link w:val="Heading2Char"/>
    <w:uiPriority w:val="9"/>
    <w:unhideWhenUsed/>
    <w:rsid w:val="00AB33F4"/>
    <w:pPr>
      <w:keepNext/>
      <w:keepLines/>
      <w:spacing w:before="200" w:after="0" w:line="240" w:lineRule="auto"/>
      <w:outlineLvl w:val="1"/>
    </w:pPr>
    <w:rPr>
      <w:rFonts w:asciiTheme="majorHAnsi" w:eastAsiaTheme="majorEastAsia" w:hAnsiTheme="majorHAnsi" w:cstheme="majorBidi"/>
      <w:b/>
      <w:bCs/>
      <w:color w:val="3F4444" w:themeColor="accent1"/>
      <w:sz w:val="26"/>
      <w:szCs w:val="26"/>
    </w:rPr>
  </w:style>
  <w:style w:type="paragraph" w:styleId="Heading3">
    <w:name w:val="heading 3"/>
    <w:basedOn w:val="Normal"/>
    <w:next w:val="Normal"/>
    <w:link w:val="Heading3Char"/>
    <w:uiPriority w:val="9"/>
    <w:semiHidden/>
    <w:unhideWhenUsed/>
    <w:rsid w:val="00765410"/>
    <w:pPr>
      <w:keepNext/>
      <w:keepLines/>
      <w:spacing w:before="200" w:after="0"/>
      <w:outlineLvl w:val="2"/>
    </w:pPr>
    <w:rPr>
      <w:rFonts w:asciiTheme="majorHAnsi" w:eastAsiaTheme="majorEastAsia" w:hAnsiTheme="majorHAnsi" w:cstheme="majorBidi"/>
      <w:b/>
      <w:bCs/>
      <w:color w:val="3F4444" w:themeColor="accent1"/>
    </w:rPr>
  </w:style>
  <w:style w:type="character" w:default="1" w:styleId="DefaultParagraphFont">
    <w:name w:val="Default Paragraph Font"/>
    <w:uiPriority w:val="1"/>
    <w:semiHidden/>
    <w:unhideWhenUsed/>
    <w:rsid w:val="000D22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2AA"/>
  </w:style>
  <w:style w:type="paragraph" w:styleId="NormalWeb">
    <w:name w:val="Normal (Web)"/>
    <w:basedOn w:val="Normal"/>
    <w:uiPriority w:val="99"/>
    <w:semiHidden/>
    <w:unhideWhenUsed/>
    <w:rsid w:val="001E5EA5"/>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AB33F4"/>
    <w:rPr>
      <w:rFonts w:asciiTheme="majorHAnsi" w:eastAsiaTheme="majorEastAsia" w:hAnsiTheme="majorHAnsi" w:cstheme="majorBidi"/>
      <w:b/>
      <w:bCs/>
      <w:color w:val="3F4444" w:themeColor="accent1"/>
      <w:sz w:val="26"/>
      <w:szCs w:val="26"/>
    </w:rPr>
  </w:style>
  <w:style w:type="paragraph" w:styleId="ListParagraph">
    <w:name w:val="List Paragraph"/>
    <w:aliases w:val="AR bullet 1,List Paragraph1,Number Paragraph"/>
    <w:basedOn w:val="Normal"/>
    <w:link w:val="ListParagraphChar"/>
    <w:autoRedefine/>
    <w:uiPriority w:val="34"/>
    <w:qFormat/>
    <w:rsid w:val="008A277D"/>
    <w:pPr>
      <w:numPr>
        <w:numId w:val="12"/>
      </w:numPr>
      <w:spacing w:after="0"/>
      <w:ind w:left="714" w:hanging="357"/>
    </w:pPr>
    <w:rPr>
      <w:rFonts w:ascii="Verdana" w:hAnsi="Verdana" w:cstheme="minorHAnsi"/>
      <w:sz w:val="20"/>
      <w:szCs w:val="20"/>
    </w:rPr>
  </w:style>
  <w:style w:type="character" w:customStyle="1" w:styleId="ListParagraphChar">
    <w:name w:val="List Paragraph Char"/>
    <w:aliases w:val="AR bullet 1 Char,List Paragraph1 Char,Number Paragraph Char"/>
    <w:basedOn w:val="DefaultParagraphFont"/>
    <w:link w:val="ListParagraph"/>
    <w:uiPriority w:val="34"/>
    <w:rsid w:val="008A277D"/>
    <w:rPr>
      <w:rFonts w:ascii="Verdana" w:hAnsi="Verdana" w:cstheme="minorHAnsi"/>
      <w:sz w:val="20"/>
      <w:szCs w:val="20"/>
    </w:rPr>
  </w:style>
  <w:style w:type="character" w:customStyle="1" w:styleId="Heading1Char">
    <w:name w:val="Heading 1 Char"/>
    <w:basedOn w:val="DefaultParagraphFont"/>
    <w:link w:val="Heading1"/>
    <w:uiPriority w:val="9"/>
    <w:rsid w:val="00AB33F4"/>
    <w:rPr>
      <w:rFonts w:asciiTheme="majorHAnsi" w:eastAsiaTheme="majorEastAsia" w:hAnsiTheme="majorHAnsi" w:cstheme="majorBidi"/>
      <w:b/>
      <w:bCs/>
      <w:color w:val="2F3232" w:themeColor="accent1" w:themeShade="BF"/>
      <w:sz w:val="28"/>
      <w:szCs w:val="28"/>
    </w:rPr>
  </w:style>
  <w:style w:type="paragraph" w:styleId="TOCHeading">
    <w:name w:val="TOC Heading"/>
    <w:basedOn w:val="Heading1"/>
    <w:next w:val="Normal"/>
    <w:uiPriority w:val="39"/>
    <w:semiHidden/>
    <w:unhideWhenUsed/>
    <w:qFormat/>
    <w:rsid w:val="00AB33F4"/>
    <w:pPr>
      <w:outlineLvl w:val="9"/>
    </w:pPr>
    <w:rPr>
      <w:lang w:val="en-US" w:eastAsia="ja-JP"/>
    </w:rPr>
  </w:style>
  <w:style w:type="character" w:styleId="Hyperlink">
    <w:name w:val="Hyperlink"/>
    <w:basedOn w:val="DefaultParagraphFont"/>
    <w:uiPriority w:val="99"/>
    <w:unhideWhenUsed/>
    <w:rsid w:val="00AB33F4"/>
    <w:rPr>
      <w:color w:val="3F4444" w:themeColor="hyperlink"/>
      <w:u w:val="single"/>
    </w:rPr>
  </w:style>
  <w:style w:type="paragraph" w:styleId="TOC2">
    <w:name w:val="toc 2"/>
    <w:basedOn w:val="Normal"/>
    <w:next w:val="Normal"/>
    <w:autoRedefine/>
    <w:uiPriority w:val="39"/>
    <w:unhideWhenUsed/>
    <w:rsid w:val="00AB33F4"/>
    <w:pPr>
      <w:spacing w:before="120" w:after="100" w:line="240" w:lineRule="auto"/>
      <w:ind w:left="240"/>
    </w:pPr>
    <w:rPr>
      <w:rFonts w:ascii="Times New Roman" w:hAnsi="Times New Roman"/>
      <w:sz w:val="24"/>
    </w:rPr>
  </w:style>
  <w:style w:type="paragraph" w:styleId="BalloonText">
    <w:name w:val="Balloon Text"/>
    <w:basedOn w:val="Normal"/>
    <w:link w:val="BalloonTextChar"/>
    <w:uiPriority w:val="99"/>
    <w:semiHidden/>
    <w:unhideWhenUsed/>
    <w:rsid w:val="00AB3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F4"/>
    <w:rPr>
      <w:rFonts w:ascii="Tahoma" w:hAnsi="Tahoma" w:cs="Tahoma"/>
      <w:sz w:val="16"/>
      <w:szCs w:val="16"/>
    </w:rPr>
  </w:style>
  <w:style w:type="table" w:styleId="TableGrid">
    <w:name w:val="Table Grid"/>
    <w:basedOn w:val="TableNormal"/>
    <w:uiPriority w:val="59"/>
    <w:rsid w:val="003736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ulletPoint">
    <w:name w:val="Report Bullet Point"/>
    <w:basedOn w:val="ReportBodyText"/>
    <w:next w:val="ReportBodyText"/>
    <w:link w:val="ReportBulletPointChar"/>
    <w:qFormat/>
    <w:rsid w:val="0037361C"/>
    <w:pPr>
      <w:numPr>
        <w:numId w:val="1"/>
      </w:numPr>
    </w:pPr>
  </w:style>
  <w:style w:type="paragraph" w:customStyle="1" w:styleId="ReportBodyText">
    <w:name w:val="Report Body Text"/>
    <w:link w:val="ReportBodyTextChar"/>
    <w:autoRedefine/>
    <w:qFormat/>
    <w:rsid w:val="00B872C3"/>
    <w:pPr>
      <w:spacing w:before="80" w:after="0"/>
    </w:pPr>
    <w:rPr>
      <w:rFonts w:ascii="Verdana" w:eastAsia="Times New Roman" w:hAnsi="Verdana" w:cs="Times New Roman"/>
      <w:sz w:val="20"/>
      <w:szCs w:val="20"/>
    </w:rPr>
  </w:style>
  <w:style w:type="character" w:customStyle="1" w:styleId="ReportBulletPointChar">
    <w:name w:val="Report Bullet Point Char"/>
    <w:basedOn w:val="DefaultParagraphFont"/>
    <w:link w:val="ReportBulletPoint"/>
    <w:rsid w:val="0037361C"/>
    <w:rPr>
      <w:rFonts w:ascii="Verdana" w:eastAsia="Times New Roman" w:hAnsi="Verdana" w:cs="Times New Roman"/>
      <w:sz w:val="20"/>
      <w:szCs w:val="20"/>
    </w:rPr>
  </w:style>
  <w:style w:type="paragraph" w:customStyle="1" w:styleId="ReportMetadata">
    <w:name w:val="Report Metadata"/>
    <w:basedOn w:val="ReportBodyText"/>
    <w:link w:val="ReportMetadataChar"/>
    <w:rsid w:val="0037361C"/>
    <w:pPr>
      <w:spacing w:before="60" w:after="60"/>
    </w:pPr>
    <w:rPr>
      <w:rFonts w:cstheme="minorHAnsi"/>
      <w:sz w:val="12"/>
      <w:szCs w:val="12"/>
      <w:lang w:eastAsia="en-AU"/>
    </w:rPr>
  </w:style>
  <w:style w:type="character" w:customStyle="1" w:styleId="ReportBodyTextChar">
    <w:name w:val="Report Body Text Char"/>
    <w:basedOn w:val="DefaultParagraphFont"/>
    <w:link w:val="ReportBodyText"/>
    <w:rsid w:val="00B872C3"/>
    <w:rPr>
      <w:rFonts w:ascii="Verdana" w:eastAsia="Times New Roman" w:hAnsi="Verdana" w:cs="Times New Roman"/>
      <w:sz w:val="20"/>
      <w:szCs w:val="20"/>
    </w:rPr>
  </w:style>
  <w:style w:type="paragraph" w:customStyle="1" w:styleId="ReportMeasureTitle">
    <w:name w:val="Report Measure Title"/>
    <w:basedOn w:val="ReportBodyText"/>
    <w:next w:val="ReportBodyText"/>
    <w:link w:val="ReportMeasureTitleChar"/>
    <w:qFormat/>
    <w:rsid w:val="0037361C"/>
    <w:pPr>
      <w:keepNext/>
      <w:keepLines/>
    </w:pPr>
  </w:style>
  <w:style w:type="character" w:customStyle="1" w:styleId="ReportMetadataChar">
    <w:name w:val="Report Metadata Char"/>
    <w:basedOn w:val="ReportBodyTextChar"/>
    <w:link w:val="ReportMetadata"/>
    <w:rsid w:val="0037361C"/>
    <w:rPr>
      <w:rFonts w:ascii="Verdana" w:eastAsia="Times New Roman" w:hAnsi="Verdana" w:cstheme="minorHAnsi"/>
      <w:sz w:val="12"/>
      <w:szCs w:val="12"/>
      <w:lang w:eastAsia="en-AU"/>
    </w:rPr>
  </w:style>
  <w:style w:type="character" w:customStyle="1" w:styleId="ReportMeasureTitleChar">
    <w:name w:val="Report Measure Title Char"/>
    <w:basedOn w:val="ReportBodyTextChar"/>
    <w:link w:val="ReportMeasureTitle"/>
    <w:rsid w:val="0037361C"/>
    <w:rPr>
      <w:rFonts w:ascii="Verdana" w:eastAsia="Times New Roman" w:hAnsi="Verdana" w:cs="Times New Roman"/>
      <w:sz w:val="20"/>
      <w:szCs w:val="20"/>
    </w:rPr>
  </w:style>
  <w:style w:type="paragraph" w:styleId="Header">
    <w:name w:val="header"/>
    <w:basedOn w:val="Normal"/>
    <w:link w:val="HeaderChar"/>
    <w:uiPriority w:val="99"/>
    <w:unhideWhenUsed/>
    <w:rsid w:val="00373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1C"/>
  </w:style>
  <w:style w:type="paragraph" w:styleId="Footer">
    <w:name w:val="footer"/>
    <w:basedOn w:val="Normal"/>
    <w:link w:val="FooterChar"/>
    <w:uiPriority w:val="99"/>
    <w:unhideWhenUsed/>
    <w:rsid w:val="00373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1C"/>
  </w:style>
  <w:style w:type="paragraph" w:customStyle="1" w:styleId="OverviewSectionHeadings">
    <w:name w:val="Overview Section Headings"/>
    <w:next w:val="ReportBodyText"/>
    <w:link w:val="OverviewSectionHeadingsChar"/>
    <w:qFormat/>
    <w:rsid w:val="0037361C"/>
    <w:pPr>
      <w:keepNext/>
      <w:keepLines/>
      <w:numPr>
        <w:numId w:val="2"/>
      </w:numPr>
      <w:spacing w:before="200" w:after="320" w:line="240" w:lineRule="auto"/>
      <w:outlineLvl w:val="1"/>
    </w:pPr>
    <w:rPr>
      <w:rFonts w:eastAsiaTheme="majorEastAsia" w:cstheme="minorHAnsi"/>
      <w:b/>
      <w:bCs/>
      <w:caps/>
      <w:sz w:val="24"/>
    </w:rPr>
  </w:style>
  <w:style w:type="paragraph" w:customStyle="1" w:styleId="Bullet2">
    <w:name w:val="Bullet 2"/>
    <w:basedOn w:val="ListParagraph"/>
    <w:qFormat/>
    <w:rsid w:val="00E810A0"/>
    <w:pPr>
      <w:numPr>
        <w:ilvl w:val="1"/>
        <w:numId w:val="3"/>
      </w:numPr>
    </w:pPr>
    <w:rPr>
      <w:rFonts w:eastAsia="Times New Roman" w:cs="Times New Roman"/>
      <w:lang w:eastAsia="en-AU"/>
    </w:rPr>
  </w:style>
  <w:style w:type="character" w:customStyle="1" w:styleId="OverviewSectionHeadingsChar">
    <w:name w:val="Overview Section Headings Char"/>
    <w:basedOn w:val="DefaultParagraphFont"/>
    <w:link w:val="OverviewSectionHeadings"/>
    <w:rsid w:val="0037361C"/>
    <w:rPr>
      <w:rFonts w:eastAsiaTheme="majorEastAsia" w:cstheme="minorHAnsi"/>
      <w:b/>
      <w:bCs/>
      <w:caps/>
      <w:sz w:val="24"/>
    </w:rPr>
  </w:style>
  <w:style w:type="character" w:customStyle="1" w:styleId="Bullet1linkedChar">
    <w:name w:val="Bullet 1 (linked) Char"/>
    <w:basedOn w:val="DefaultParagraphFont"/>
    <w:link w:val="Bullet1linked"/>
    <w:locked/>
    <w:rsid w:val="00E810A0"/>
    <w:rPr>
      <w:rFonts w:ascii="Times New Roman" w:eastAsia="Times New Roman" w:hAnsi="Times New Roman" w:cs="Times New Roman"/>
      <w:sz w:val="24"/>
      <w:szCs w:val="20"/>
      <w:lang w:eastAsia="en-AU"/>
    </w:rPr>
  </w:style>
  <w:style w:type="paragraph" w:customStyle="1" w:styleId="Bullet1linked">
    <w:name w:val="Bullet 1 (linked)"/>
    <w:basedOn w:val="Normal"/>
    <w:link w:val="Bullet1linkedChar"/>
    <w:qFormat/>
    <w:rsid w:val="00E810A0"/>
    <w:pPr>
      <w:numPr>
        <w:numId w:val="3"/>
      </w:numPr>
      <w:spacing w:before="120" w:line="240" w:lineRule="auto"/>
    </w:pPr>
    <w:rPr>
      <w:rFonts w:ascii="Times New Roman" w:eastAsia="Times New Roman" w:hAnsi="Times New Roman" w:cs="Times New Roman"/>
      <w:sz w:val="24"/>
      <w:szCs w:val="20"/>
      <w:lang w:eastAsia="en-AU"/>
    </w:rPr>
  </w:style>
  <w:style w:type="paragraph" w:styleId="BlockText">
    <w:name w:val="Block Text"/>
    <w:basedOn w:val="Normal"/>
    <w:uiPriority w:val="99"/>
    <w:semiHidden/>
    <w:unhideWhenUsed/>
    <w:rsid w:val="00E810A0"/>
    <w:pPr>
      <w:pBdr>
        <w:top w:val="single" w:sz="2" w:space="10" w:color="3F4444" w:themeColor="accent1" w:shadow="1" w:frame="1"/>
        <w:left w:val="single" w:sz="2" w:space="10" w:color="3F4444" w:themeColor="accent1" w:shadow="1" w:frame="1"/>
        <w:bottom w:val="single" w:sz="2" w:space="10" w:color="3F4444" w:themeColor="accent1" w:shadow="1" w:frame="1"/>
        <w:right w:val="single" w:sz="2" w:space="10" w:color="3F4444" w:themeColor="accent1" w:shadow="1" w:frame="1"/>
      </w:pBdr>
      <w:spacing w:before="120" w:after="0" w:line="240" w:lineRule="auto"/>
      <w:ind w:left="1152" w:right="1152"/>
    </w:pPr>
    <w:rPr>
      <w:rFonts w:eastAsiaTheme="minorEastAsia"/>
      <w:i/>
      <w:iCs/>
      <w:color w:val="3F4444" w:themeColor="accent1"/>
      <w:sz w:val="24"/>
    </w:rPr>
  </w:style>
  <w:style w:type="paragraph" w:styleId="TOC1">
    <w:name w:val="toc 1"/>
    <w:basedOn w:val="Normal"/>
    <w:next w:val="Normal"/>
    <w:autoRedefine/>
    <w:uiPriority w:val="39"/>
    <w:unhideWhenUsed/>
    <w:rsid w:val="00C51258"/>
    <w:pPr>
      <w:spacing w:after="100"/>
    </w:pPr>
  </w:style>
  <w:style w:type="paragraph" w:styleId="TOC3">
    <w:name w:val="toc 3"/>
    <w:basedOn w:val="Normal"/>
    <w:next w:val="Normal"/>
    <w:autoRedefine/>
    <w:uiPriority w:val="39"/>
    <w:unhideWhenUsed/>
    <w:rsid w:val="00C51258"/>
    <w:pPr>
      <w:spacing w:after="100"/>
      <w:ind w:left="440"/>
    </w:pPr>
  </w:style>
  <w:style w:type="character" w:styleId="CommentReference">
    <w:name w:val="annotation reference"/>
    <w:basedOn w:val="DefaultParagraphFont"/>
    <w:uiPriority w:val="99"/>
    <w:semiHidden/>
    <w:unhideWhenUsed/>
    <w:rsid w:val="00296C26"/>
    <w:rPr>
      <w:sz w:val="16"/>
      <w:szCs w:val="16"/>
    </w:rPr>
  </w:style>
  <w:style w:type="paragraph" w:styleId="CommentText">
    <w:name w:val="annotation text"/>
    <w:basedOn w:val="Normal"/>
    <w:link w:val="CommentTextChar"/>
    <w:uiPriority w:val="99"/>
    <w:semiHidden/>
    <w:unhideWhenUsed/>
    <w:rsid w:val="00296C26"/>
    <w:pPr>
      <w:spacing w:line="240" w:lineRule="auto"/>
    </w:pPr>
    <w:rPr>
      <w:szCs w:val="20"/>
    </w:rPr>
  </w:style>
  <w:style w:type="character" w:customStyle="1" w:styleId="CommentTextChar">
    <w:name w:val="Comment Text Char"/>
    <w:basedOn w:val="DefaultParagraphFont"/>
    <w:link w:val="CommentText"/>
    <w:uiPriority w:val="99"/>
    <w:semiHidden/>
    <w:rsid w:val="00296C26"/>
    <w:rPr>
      <w:sz w:val="20"/>
      <w:szCs w:val="20"/>
    </w:rPr>
  </w:style>
  <w:style w:type="paragraph" w:styleId="CommentSubject">
    <w:name w:val="annotation subject"/>
    <w:basedOn w:val="CommentText"/>
    <w:next w:val="CommentText"/>
    <w:link w:val="CommentSubjectChar"/>
    <w:uiPriority w:val="99"/>
    <w:semiHidden/>
    <w:unhideWhenUsed/>
    <w:rsid w:val="00296C26"/>
    <w:rPr>
      <w:b/>
      <w:bCs/>
    </w:rPr>
  </w:style>
  <w:style w:type="character" w:customStyle="1" w:styleId="CommentSubjectChar">
    <w:name w:val="Comment Subject Char"/>
    <w:basedOn w:val="CommentTextChar"/>
    <w:link w:val="CommentSubject"/>
    <w:uiPriority w:val="99"/>
    <w:semiHidden/>
    <w:rsid w:val="00296C26"/>
    <w:rPr>
      <w:b/>
      <w:bCs/>
      <w:sz w:val="20"/>
      <w:szCs w:val="20"/>
    </w:rPr>
  </w:style>
  <w:style w:type="paragraph" w:styleId="Revision">
    <w:name w:val="Revision"/>
    <w:hidden/>
    <w:uiPriority w:val="99"/>
    <w:semiHidden/>
    <w:rsid w:val="003736CE"/>
    <w:pPr>
      <w:spacing w:after="0" w:line="240" w:lineRule="auto"/>
    </w:pPr>
  </w:style>
  <w:style w:type="paragraph" w:styleId="FootnoteText">
    <w:name w:val="footnote text"/>
    <w:basedOn w:val="Normal"/>
    <w:link w:val="FootnoteTextChar"/>
    <w:uiPriority w:val="99"/>
    <w:semiHidden/>
    <w:unhideWhenUsed/>
    <w:rsid w:val="00125506"/>
    <w:pPr>
      <w:spacing w:after="0" w:line="240" w:lineRule="auto"/>
    </w:pPr>
    <w:rPr>
      <w:szCs w:val="20"/>
    </w:rPr>
  </w:style>
  <w:style w:type="character" w:customStyle="1" w:styleId="FootnoteTextChar">
    <w:name w:val="Footnote Text Char"/>
    <w:basedOn w:val="DefaultParagraphFont"/>
    <w:link w:val="FootnoteText"/>
    <w:uiPriority w:val="99"/>
    <w:semiHidden/>
    <w:rsid w:val="00125506"/>
    <w:rPr>
      <w:sz w:val="20"/>
      <w:szCs w:val="20"/>
    </w:rPr>
  </w:style>
  <w:style w:type="character" w:styleId="FootnoteReference">
    <w:name w:val="footnote reference"/>
    <w:basedOn w:val="DefaultParagraphFont"/>
    <w:uiPriority w:val="99"/>
    <w:semiHidden/>
    <w:unhideWhenUsed/>
    <w:rsid w:val="00125506"/>
    <w:rPr>
      <w:vertAlign w:val="superscript"/>
    </w:rPr>
  </w:style>
  <w:style w:type="paragraph" w:customStyle="1" w:styleId="Documenttitle02">
    <w:name w:val="Document title 02"/>
    <w:basedOn w:val="Normal"/>
    <w:link w:val="Documenttitle02Char"/>
    <w:qFormat/>
    <w:rsid w:val="00D4048A"/>
    <w:pPr>
      <w:spacing w:before="480" w:after="240" w:line="240" w:lineRule="auto"/>
      <w:contextualSpacing/>
      <w:outlineLvl w:val="1"/>
    </w:pPr>
    <w:rPr>
      <w:rFonts w:eastAsia="Cambria" w:cs="Kalinga"/>
      <w:b/>
      <w:color w:val="E11E25"/>
      <w:kern w:val="20"/>
      <w:sz w:val="30"/>
      <w:szCs w:val="30"/>
      <w:lang w:val="en-US" w:eastAsia="ja-JP"/>
    </w:rPr>
  </w:style>
  <w:style w:type="character" w:customStyle="1" w:styleId="Documenttitle02Char">
    <w:name w:val="Document title 02 Char"/>
    <w:basedOn w:val="DefaultParagraphFont"/>
    <w:link w:val="Documenttitle02"/>
    <w:rsid w:val="00D4048A"/>
    <w:rPr>
      <w:rFonts w:ascii="Verdana" w:eastAsia="Cambria" w:hAnsi="Verdana" w:cs="Kalinga"/>
      <w:b/>
      <w:color w:val="E11E25"/>
      <w:kern w:val="20"/>
      <w:sz w:val="30"/>
      <w:szCs w:val="30"/>
      <w:lang w:val="en-US" w:eastAsia="ja-JP"/>
    </w:rPr>
  </w:style>
  <w:style w:type="paragraph" w:customStyle="1" w:styleId="Documenttitle01">
    <w:name w:val="Document title 01"/>
    <w:basedOn w:val="Normal"/>
    <w:link w:val="Documenttitle01Char"/>
    <w:autoRedefine/>
    <w:qFormat/>
    <w:rsid w:val="00101460"/>
    <w:pPr>
      <w:spacing w:before="800" w:after="240" w:line="288" w:lineRule="auto"/>
      <w:outlineLvl w:val="0"/>
    </w:pPr>
    <w:rPr>
      <w:rFonts w:eastAsia="Cambria" w:cs="Kalinga"/>
      <w:b/>
      <w:bCs/>
      <w:color w:val="64502D" w:themeColor="accent6" w:themeShade="80"/>
      <w:kern w:val="20"/>
      <w:sz w:val="42"/>
      <w:szCs w:val="70"/>
      <w:lang w:eastAsia="ja-JP"/>
    </w:rPr>
  </w:style>
  <w:style w:type="character" w:customStyle="1" w:styleId="Documenttitle01Char">
    <w:name w:val="Document title 01 Char"/>
    <w:basedOn w:val="DefaultParagraphFont"/>
    <w:link w:val="Documenttitle01"/>
    <w:rsid w:val="00101460"/>
    <w:rPr>
      <w:rFonts w:eastAsia="Cambria" w:cs="Kalinga"/>
      <w:b/>
      <w:bCs/>
      <w:color w:val="64502D" w:themeColor="accent6" w:themeShade="80"/>
      <w:kern w:val="20"/>
      <w:sz w:val="42"/>
      <w:szCs w:val="70"/>
      <w:lang w:eastAsia="ja-JP"/>
    </w:rPr>
  </w:style>
  <w:style w:type="paragraph" w:styleId="Caption">
    <w:name w:val="caption"/>
    <w:basedOn w:val="Normal"/>
    <w:next w:val="Normal"/>
    <w:link w:val="CaptionChar"/>
    <w:uiPriority w:val="35"/>
    <w:unhideWhenUsed/>
    <w:rsid w:val="00861246"/>
    <w:pPr>
      <w:spacing w:line="240" w:lineRule="auto"/>
    </w:pPr>
    <w:rPr>
      <w:b/>
      <w:bCs/>
      <w:color w:val="3F4444" w:themeColor="accent1"/>
      <w:sz w:val="18"/>
      <w:szCs w:val="18"/>
    </w:rPr>
  </w:style>
  <w:style w:type="paragraph" w:customStyle="1" w:styleId="Default">
    <w:name w:val="Default"/>
    <w:rsid w:val="00473B2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765410"/>
    <w:rPr>
      <w:rFonts w:asciiTheme="majorHAnsi" w:eastAsiaTheme="majorEastAsia" w:hAnsiTheme="majorHAnsi" w:cstheme="majorBidi"/>
      <w:b/>
      <w:bCs/>
      <w:color w:val="3F4444" w:themeColor="accent1"/>
    </w:rPr>
  </w:style>
  <w:style w:type="paragraph" w:customStyle="1" w:styleId="Documenttitle3">
    <w:name w:val="Document title 3"/>
    <w:basedOn w:val="Caption"/>
    <w:link w:val="Documenttitle3Char"/>
    <w:qFormat/>
    <w:rsid w:val="00B35E3D"/>
    <w:pPr>
      <w:keepNext/>
      <w:spacing w:before="360" w:after="240"/>
      <w:outlineLvl w:val="2"/>
    </w:pPr>
    <w:rPr>
      <w:color w:val="BB9D67"/>
      <w:sz w:val="28"/>
      <w:szCs w:val="28"/>
    </w:rPr>
  </w:style>
  <w:style w:type="paragraph" w:customStyle="1" w:styleId="Tableheading">
    <w:name w:val="Table heading"/>
    <w:basedOn w:val="Caption"/>
    <w:link w:val="TableheadingChar"/>
    <w:qFormat/>
    <w:rsid w:val="00E15F2F"/>
    <w:pPr>
      <w:keepNext/>
      <w:spacing w:before="240" w:line="276" w:lineRule="auto"/>
    </w:pPr>
    <w:rPr>
      <w:sz w:val="20"/>
      <w:szCs w:val="20"/>
    </w:rPr>
  </w:style>
  <w:style w:type="character" w:customStyle="1" w:styleId="CaptionChar">
    <w:name w:val="Caption Char"/>
    <w:basedOn w:val="DefaultParagraphFont"/>
    <w:link w:val="Caption"/>
    <w:uiPriority w:val="35"/>
    <w:rsid w:val="002939AC"/>
    <w:rPr>
      <w:b/>
      <w:bCs/>
      <w:color w:val="3F4444" w:themeColor="accent1"/>
      <w:sz w:val="18"/>
      <w:szCs w:val="18"/>
    </w:rPr>
  </w:style>
  <w:style w:type="character" w:customStyle="1" w:styleId="Documenttitle3Char">
    <w:name w:val="Document title 3 Char"/>
    <w:basedOn w:val="CaptionChar"/>
    <w:link w:val="Documenttitle3"/>
    <w:rsid w:val="00B35E3D"/>
    <w:rPr>
      <w:rFonts w:ascii="Verdana" w:hAnsi="Verdana"/>
      <w:b/>
      <w:bCs/>
      <w:color w:val="BB9D67"/>
      <w:sz w:val="28"/>
      <w:szCs w:val="28"/>
    </w:rPr>
  </w:style>
  <w:style w:type="paragraph" w:customStyle="1" w:styleId="Documenttitle3b">
    <w:name w:val="Document title 3b"/>
    <w:next w:val="Normal"/>
    <w:link w:val="Documenttitle3bChar"/>
    <w:autoRedefine/>
    <w:qFormat/>
    <w:rsid w:val="00F1026C"/>
    <w:pPr>
      <w:spacing w:before="240" w:after="120" w:line="240" w:lineRule="auto"/>
      <w:contextualSpacing/>
      <w:outlineLvl w:val="2"/>
    </w:pPr>
    <w:rPr>
      <w:rFonts w:ascii="Verdana" w:eastAsia="Times New Roman" w:hAnsi="Verdana" w:cs="Arial"/>
      <w:b/>
      <w:color w:val="E11E25" w:themeColor="text2"/>
      <w:kern w:val="20"/>
      <w:sz w:val="24"/>
      <w:szCs w:val="24"/>
      <w:lang w:val="en-US" w:eastAsia="ja-JP"/>
    </w:rPr>
  </w:style>
  <w:style w:type="character" w:customStyle="1" w:styleId="TableheadingChar">
    <w:name w:val="Table heading Char"/>
    <w:basedOn w:val="CaptionChar"/>
    <w:link w:val="Tableheading"/>
    <w:rsid w:val="00E15F2F"/>
    <w:rPr>
      <w:rFonts w:ascii="Verdana" w:hAnsi="Verdana"/>
      <w:b/>
      <w:bCs/>
      <w:color w:val="3F4444" w:themeColor="accent1"/>
      <w:sz w:val="20"/>
      <w:szCs w:val="20"/>
    </w:rPr>
  </w:style>
  <w:style w:type="character" w:customStyle="1" w:styleId="Documenttitle3bChar">
    <w:name w:val="Document title 3b Char"/>
    <w:basedOn w:val="DefaultParagraphFont"/>
    <w:link w:val="Documenttitle3b"/>
    <w:rsid w:val="00F1026C"/>
    <w:rPr>
      <w:rFonts w:ascii="Verdana" w:eastAsia="Times New Roman" w:hAnsi="Verdana" w:cs="Arial"/>
      <w:b/>
      <w:color w:val="E11E25" w:themeColor="text2"/>
      <w:kern w:val="20"/>
      <w:sz w:val="24"/>
      <w:szCs w:val="24"/>
      <w:lang w:val="en-US" w:eastAsia="ja-JP"/>
    </w:rPr>
  </w:style>
  <w:style w:type="paragraph" w:customStyle="1" w:styleId="ListParagraphleveltwo">
    <w:name w:val="List Paragraph level two"/>
    <w:basedOn w:val="ListParagraph"/>
    <w:link w:val="ListParagraphleveltwoChar"/>
    <w:qFormat/>
    <w:rsid w:val="008B7C19"/>
    <w:pPr>
      <w:numPr>
        <w:numId w:val="5"/>
      </w:numPr>
    </w:pPr>
  </w:style>
  <w:style w:type="table" w:styleId="ColorfulList-Accent2">
    <w:name w:val="Colorful List Accent 2"/>
    <w:basedOn w:val="TableNormal"/>
    <w:uiPriority w:val="72"/>
    <w:rsid w:val="00C5626F"/>
    <w:pPr>
      <w:spacing w:after="0" w:line="240" w:lineRule="auto"/>
    </w:pPr>
    <w:rPr>
      <w:color w:val="000000" w:themeColor="text1"/>
    </w:rPr>
    <w:tblPr>
      <w:tblStyleRowBandSize w:val="1"/>
      <w:tblStyleColBandSize w:val="1"/>
    </w:tblPr>
    <w:tcPr>
      <w:shd w:val="clear" w:color="auto" w:fill="F8F5F0" w:themeFill="accent2" w:themeFillTint="19"/>
    </w:tcPr>
    <w:tblStylePr w:type="firstRow">
      <w:rPr>
        <w:b/>
        <w:bCs/>
        <w:color w:val="FFFFFF" w:themeColor="background1"/>
      </w:rPr>
      <w:tblPr/>
      <w:tcPr>
        <w:tcBorders>
          <w:bottom w:val="single" w:sz="12" w:space="0" w:color="FFFFFF" w:themeColor="background1"/>
        </w:tcBorders>
        <w:shd w:val="clear" w:color="auto" w:fill="A08047" w:themeFill="accent2" w:themeFillShade="CC"/>
      </w:tcPr>
    </w:tblStylePr>
    <w:tblStylePr w:type="lastRow">
      <w:rPr>
        <w:b/>
        <w:bCs/>
        <w:color w:val="A080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6D9" w:themeFill="accent2" w:themeFillTint="3F"/>
      </w:tcPr>
    </w:tblStylePr>
    <w:tblStylePr w:type="band1Horz">
      <w:tblPr/>
      <w:tcPr>
        <w:shd w:val="clear" w:color="auto" w:fill="F1EBE0" w:themeFill="accent2" w:themeFillTint="33"/>
      </w:tcPr>
    </w:tblStylePr>
  </w:style>
  <w:style w:type="character" w:customStyle="1" w:styleId="ListParagraphleveltwoChar">
    <w:name w:val="List Paragraph level two Char"/>
    <w:basedOn w:val="ListParagraphChar"/>
    <w:link w:val="ListParagraphleveltwo"/>
    <w:rsid w:val="008B7C19"/>
    <w:rPr>
      <w:rFonts w:ascii="Verdana" w:hAnsi="Verdana" w:cstheme="minorHAnsi"/>
      <w:sz w:val="20"/>
      <w:szCs w:val="20"/>
    </w:rPr>
  </w:style>
  <w:style w:type="table" w:styleId="LightList-Accent2">
    <w:name w:val="Light List Accent 2"/>
    <w:basedOn w:val="TableNormal"/>
    <w:uiPriority w:val="61"/>
    <w:rsid w:val="007E6F22"/>
    <w:pPr>
      <w:spacing w:after="0" w:line="240" w:lineRule="auto"/>
    </w:pPr>
    <w:rPr>
      <w:rFonts w:ascii="Verdana" w:hAnsi="Verdana"/>
      <w:sz w:val="18"/>
    </w:rPr>
    <w:tblPr>
      <w:tblStyleRowBandSize w:val="1"/>
      <w:tblStyleColBandSize w:val="1"/>
      <w:tblBorders>
        <w:top w:val="single" w:sz="8" w:space="0" w:color="BB9D67" w:themeColor="accent2"/>
        <w:left w:val="single" w:sz="8" w:space="0" w:color="BB9D67" w:themeColor="accent2"/>
        <w:bottom w:val="single" w:sz="8" w:space="0" w:color="BB9D67" w:themeColor="accent2"/>
        <w:right w:val="single" w:sz="8" w:space="0" w:color="BB9D67" w:themeColor="accent2"/>
      </w:tblBorders>
    </w:tblPr>
    <w:tcPr>
      <w:shd w:val="clear" w:color="auto" w:fill="F1EBE0" w:themeFill="accent6" w:themeFillTint="33"/>
      <w:vAlign w:val="center"/>
    </w:tcPr>
    <w:tblStylePr w:type="firstRow">
      <w:pPr>
        <w:spacing w:before="0" w:after="0" w:line="240" w:lineRule="auto"/>
      </w:pPr>
      <w:rPr>
        <w:b/>
        <w:bCs/>
        <w:color w:val="FFFFFF" w:themeColor="background1"/>
      </w:rPr>
      <w:tblPr/>
      <w:tcPr>
        <w:shd w:val="clear" w:color="auto" w:fill="BB9D67" w:themeFill="accent2"/>
      </w:tcPr>
    </w:tblStylePr>
    <w:tblStylePr w:type="lastRow">
      <w:pPr>
        <w:spacing w:before="0" w:after="0" w:line="240" w:lineRule="auto"/>
      </w:pPr>
      <w:rPr>
        <w:b w:val="0"/>
        <w:bCs/>
      </w:rPr>
      <w:tblPr/>
      <w:tcPr>
        <w:tcBorders>
          <w:top w:val="double" w:sz="6" w:space="0" w:color="BB9D67" w:themeColor="accent2"/>
          <w:left w:val="single" w:sz="8" w:space="0" w:color="BB9D67" w:themeColor="accent2"/>
          <w:bottom w:val="single" w:sz="8" w:space="0" w:color="BB9D67" w:themeColor="accent2"/>
          <w:right w:val="single" w:sz="8" w:space="0" w:color="BB9D67" w:themeColor="accent2"/>
        </w:tcBorders>
      </w:tcPr>
    </w:tblStylePr>
    <w:tblStylePr w:type="firstCol">
      <w:pPr>
        <w:jc w:val="left"/>
      </w:pPr>
      <w:rPr>
        <w:b w:val="0"/>
        <w:bCs/>
      </w:rPr>
      <w:tblPr/>
      <w:tcPr>
        <w:vAlign w:val="top"/>
      </w:tcPr>
    </w:tblStylePr>
    <w:tblStylePr w:type="lastCol">
      <w:pPr>
        <w:jc w:val="left"/>
      </w:pPr>
      <w:rPr>
        <w:b w:val="0"/>
        <w:bCs/>
      </w:rPr>
      <w:tblPr/>
      <w:tcPr>
        <w:vAlign w:val="top"/>
      </w:tcPr>
    </w:tblStylePr>
    <w:tblStylePr w:type="band1Vert">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tblStylePr w:type="band1Horz">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style>
  <w:style w:type="table" w:styleId="LightList-Accent3">
    <w:name w:val="Light List Accent 3"/>
    <w:basedOn w:val="TableNormal"/>
    <w:uiPriority w:val="61"/>
    <w:rsid w:val="00C5626F"/>
    <w:pPr>
      <w:spacing w:after="0" w:line="240" w:lineRule="auto"/>
    </w:pPr>
    <w:tblPr>
      <w:tblStyleRowBandSize w:val="1"/>
      <w:tblStyleColBandSize w:val="1"/>
      <w:tblBorders>
        <w:top w:val="single" w:sz="8" w:space="0" w:color="BEBB98" w:themeColor="accent3"/>
        <w:left w:val="single" w:sz="8" w:space="0" w:color="BEBB98" w:themeColor="accent3"/>
        <w:bottom w:val="single" w:sz="8" w:space="0" w:color="BEBB98" w:themeColor="accent3"/>
        <w:right w:val="single" w:sz="8" w:space="0" w:color="BEBB98" w:themeColor="accent3"/>
      </w:tblBorders>
    </w:tblPr>
    <w:tblStylePr w:type="firstRow">
      <w:pPr>
        <w:spacing w:before="0" w:after="0" w:line="240" w:lineRule="auto"/>
      </w:pPr>
      <w:rPr>
        <w:b/>
        <w:bCs/>
        <w:color w:val="FFFFFF" w:themeColor="background1"/>
      </w:rPr>
      <w:tblPr/>
      <w:tcPr>
        <w:shd w:val="clear" w:color="auto" w:fill="BEBB98" w:themeFill="accent3"/>
      </w:tcPr>
    </w:tblStylePr>
    <w:tblStylePr w:type="lastRow">
      <w:pPr>
        <w:spacing w:before="0" w:after="0" w:line="240" w:lineRule="auto"/>
      </w:pPr>
      <w:rPr>
        <w:b/>
        <w:bCs/>
      </w:rPr>
      <w:tblPr/>
      <w:tcPr>
        <w:tcBorders>
          <w:top w:val="double" w:sz="6" w:space="0" w:color="BEBB98" w:themeColor="accent3"/>
          <w:left w:val="single" w:sz="8" w:space="0" w:color="BEBB98" w:themeColor="accent3"/>
          <w:bottom w:val="single" w:sz="8" w:space="0" w:color="BEBB98" w:themeColor="accent3"/>
          <w:right w:val="single" w:sz="8" w:space="0" w:color="BEBB98" w:themeColor="accent3"/>
        </w:tcBorders>
      </w:tcPr>
    </w:tblStylePr>
    <w:tblStylePr w:type="firstCol">
      <w:rPr>
        <w:b/>
        <w:bCs/>
      </w:rPr>
    </w:tblStylePr>
    <w:tblStylePr w:type="lastCol">
      <w:rPr>
        <w:b/>
        <w:bCs/>
      </w:rPr>
    </w:tblStylePr>
    <w:tblStylePr w:type="band1Vert">
      <w:tblPr/>
      <w:tcPr>
        <w:tcBorders>
          <w:top w:val="single" w:sz="8" w:space="0" w:color="BEBB98" w:themeColor="accent3"/>
          <w:left w:val="single" w:sz="8" w:space="0" w:color="BEBB98" w:themeColor="accent3"/>
          <w:bottom w:val="single" w:sz="8" w:space="0" w:color="BEBB98" w:themeColor="accent3"/>
          <w:right w:val="single" w:sz="8" w:space="0" w:color="BEBB98" w:themeColor="accent3"/>
        </w:tcBorders>
      </w:tcPr>
    </w:tblStylePr>
    <w:tblStylePr w:type="band1Horz">
      <w:tblPr/>
      <w:tcPr>
        <w:tcBorders>
          <w:top w:val="single" w:sz="8" w:space="0" w:color="BEBB98" w:themeColor="accent3"/>
          <w:left w:val="single" w:sz="8" w:space="0" w:color="BEBB98" w:themeColor="accent3"/>
          <w:bottom w:val="single" w:sz="8" w:space="0" w:color="BEBB98" w:themeColor="accent3"/>
          <w:right w:val="single" w:sz="8" w:space="0" w:color="BEBB98" w:themeColor="accent3"/>
        </w:tcBorders>
      </w:tcPr>
    </w:tblStylePr>
  </w:style>
  <w:style w:type="paragraph" w:customStyle="1" w:styleId="Emphasis01">
    <w:name w:val="Emphasis 01"/>
    <w:basedOn w:val="Normal"/>
    <w:link w:val="Emphasis01Char"/>
    <w:qFormat/>
    <w:rsid w:val="00B766C7"/>
    <w:rPr>
      <w:i/>
      <w:lang w:eastAsia="en-AU"/>
    </w:rPr>
  </w:style>
  <w:style w:type="paragraph" w:customStyle="1" w:styleId="IntenseEmphasis01">
    <w:name w:val="Intense Emphasis 01"/>
    <w:basedOn w:val="Emphasis01"/>
    <w:link w:val="IntenseEmphasis01Char"/>
    <w:qFormat/>
    <w:rsid w:val="00B766C7"/>
    <w:rPr>
      <w:b/>
    </w:rPr>
  </w:style>
  <w:style w:type="character" w:customStyle="1" w:styleId="Emphasis01Char">
    <w:name w:val="Emphasis 01 Char"/>
    <w:basedOn w:val="DefaultParagraphFont"/>
    <w:link w:val="Emphasis01"/>
    <w:rsid w:val="00B766C7"/>
    <w:rPr>
      <w:rFonts w:ascii="Verdana" w:hAnsi="Verdana"/>
      <w:i/>
      <w:sz w:val="20"/>
      <w:lang w:eastAsia="en-AU"/>
    </w:rPr>
  </w:style>
  <w:style w:type="character" w:styleId="Strong">
    <w:name w:val="Strong"/>
    <w:basedOn w:val="DefaultParagraphFont"/>
    <w:uiPriority w:val="22"/>
    <w:qFormat/>
    <w:rsid w:val="00B766C7"/>
    <w:rPr>
      <w:sz w:val="20"/>
      <w:szCs w:val="20"/>
    </w:rPr>
  </w:style>
  <w:style w:type="character" w:customStyle="1" w:styleId="IntenseEmphasis01Char">
    <w:name w:val="Intense Emphasis 01 Char"/>
    <w:basedOn w:val="Emphasis01Char"/>
    <w:link w:val="IntenseEmphasis01"/>
    <w:rsid w:val="00B766C7"/>
    <w:rPr>
      <w:rFonts w:ascii="Verdana" w:hAnsi="Verdana"/>
      <w:b/>
      <w:i/>
      <w:sz w:val="20"/>
      <w:lang w:eastAsia="en-AU"/>
    </w:rPr>
  </w:style>
  <w:style w:type="paragraph" w:customStyle="1" w:styleId="Reference">
    <w:name w:val="Reference"/>
    <w:basedOn w:val="Normal"/>
    <w:link w:val="ReferenceChar"/>
    <w:qFormat/>
    <w:rsid w:val="00B35E3D"/>
    <w:pPr>
      <w:spacing w:before="120"/>
    </w:pPr>
    <w:rPr>
      <w:i/>
      <w:sz w:val="18"/>
      <w:szCs w:val="18"/>
    </w:rPr>
  </w:style>
  <w:style w:type="character" w:customStyle="1" w:styleId="ReferenceChar">
    <w:name w:val="Reference Char"/>
    <w:basedOn w:val="DefaultParagraphFont"/>
    <w:link w:val="Reference"/>
    <w:rsid w:val="00B35E3D"/>
    <w:rPr>
      <w:rFonts w:ascii="Verdana" w:hAnsi="Verdana"/>
      <w:i/>
      <w:sz w:val="18"/>
      <w:szCs w:val="18"/>
    </w:rPr>
  </w:style>
  <w:style w:type="table" w:customStyle="1" w:styleId="LightList-Accent21">
    <w:name w:val="Light List - Accent 21"/>
    <w:basedOn w:val="TableNormal"/>
    <w:next w:val="LightList-Accent2"/>
    <w:uiPriority w:val="61"/>
    <w:rsid w:val="00CE3586"/>
    <w:pPr>
      <w:spacing w:after="0" w:line="240" w:lineRule="auto"/>
    </w:pPr>
    <w:rPr>
      <w:rFonts w:ascii="Verdana" w:hAnsi="Verdana"/>
      <w:sz w:val="18"/>
    </w:rPr>
    <w:tblPr>
      <w:tblStyleRowBandSize w:val="1"/>
      <w:tblStyleColBandSize w:val="1"/>
      <w:tblBorders>
        <w:top w:val="single" w:sz="8" w:space="0" w:color="BB9D67" w:themeColor="accent2"/>
        <w:left w:val="single" w:sz="8" w:space="0" w:color="BB9D67" w:themeColor="accent2"/>
        <w:bottom w:val="single" w:sz="8" w:space="0" w:color="BB9D67" w:themeColor="accent2"/>
        <w:right w:val="single" w:sz="8" w:space="0" w:color="BB9D67" w:themeColor="accent2"/>
      </w:tblBorders>
    </w:tblPr>
    <w:tcPr>
      <w:shd w:val="clear" w:color="auto" w:fill="F1EBE0" w:themeFill="accent6" w:themeFillTint="33"/>
      <w:vAlign w:val="center"/>
    </w:tcPr>
    <w:tblStylePr w:type="firstRow">
      <w:pPr>
        <w:spacing w:before="0" w:after="0" w:line="240" w:lineRule="auto"/>
      </w:pPr>
      <w:rPr>
        <w:b/>
        <w:bCs/>
        <w:color w:val="FFFFFF" w:themeColor="background1"/>
      </w:rPr>
      <w:tblPr/>
      <w:tcPr>
        <w:shd w:val="clear" w:color="auto" w:fill="BB9D67" w:themeFill="accent2"/>
      </w:tcPr>
    </w:tblStylePr>
    <w:tblStylePr w:type="lastRow">
      <w:pPr>
        <w:spacing w:before="0" w:after="0" w:line="240" w:lineRule="auto"/>
      </w:pPr>
      <w:rPr>
        <w:b w:val="0"/>
        <w:bCs/>
      </w:rPr>
      <w:tblPr/>
      <w:tcPr>
        <w:tcBorders>
          <w:top w:val="double" w:sz="6" w:space="0" w:color="BB9D67" w:themeColor="accent2"/>
          <w:left w:val="single" w:sz="8" w:space="0" w:color="BB9D67" w:themeColor="accent2"/>
          <w:bottom w:val="single" w:sz="8" w:space="0" w:color="BB9D67" w:themeColor="accent2"/>
          <w:right w:val="single" w:sz="8" w:space="0" w:color="BB9D67" w:themeColor="accent2"/>
        </w:tcBorders>
      </w:tcPr>
    </w:tblStylePr>
    <w:tblStylePr w:type="firstCol">
      <w:pPr>
        <w:jc w:val="left"/>
      </w:pPr>
      <w:rPr>
        <w:b w:val="0"/>
        <w:bCs/>
      </w:rPr>
      <w:tblPr/>
      <w:tcPr>
        <w:vAlign w:val="top"/>
      </w:tcPr>
    </w:tblStylePr>
    <w:tblStylePr w:type="lastCol">
      <w:pPr>
        <w:jc w:val="left"/>
      </w:pPr>
      <w:rPr>
        <w:b w:val="0"/>
        <w:bCs/>
      </w:rPr>
      <w:tblPr/>
      <w:tcPr>
        <w:vAlign w:val="top"/>
      </w:tcPr>
    </w:tblStylePr>
    <w:tblStylePr w:type="band1Vert">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tblStylePr w:type="band1Horz">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style>
  <w:style w:type="paragraph" w:customStyle="1" w:styleId="Documenttitle4">
    <w:name w:val="Document title 4"/>
    <w:qFormat/>
    <w:rsid w:val="00124255"/>
    <w:pPr>
      <w:spacing w:before="240" w:after="120"/>
      <w:outlineLvl w:val="3"/>
    </w:pPr>
    <w:rPr>
      <w:rFonts w:eastAsia="Times New Roman" w:cs="Arial"/>
      <w:b/>
      <w:kern w:val="20"/>
      <w:sz w:val="24"/>
      <w:szCs w:val="24"/>
      <w:lang w:val="en-US" w:eastAsia="ja-JP"/>
    </w:rPr>
  </w:style>
  <w:style w:type="paragraph" w:customStyle="1" w:styleId="Appendixheading">
    <w:name w:val="Appendix heading"/>
    <w:next w:val="Normal"/>
    <w:qFormat/>
    <w:rsid w:val="00816C5B"/>
    <w:pPr>
      <w:pBdr>
        <w:top w:val="single" w:sz="4" w:space="6" w:color="64502D"/>
        <w:left w:val="single" w:sz="4" w:space="6" w:color="64502D"/>
        <w:bottom w:val="single" w:sz="4" w:space="6" w:color="64502D"/>
        <w:right w:val="single" w:sz="4" w:space="6" w:color="64502D"/>
      </w:pBdr>
      <w:shd w:val="clear" w:color="auto" w:fill="64502D"/>
      <w:spacing w:before="360" w:after="0" w:line="240" w:lineRule="auto"/>
    </w:pPr>
    <w:rPr>
      <w:rFonts w:ascii="Verdana" w:hAnsi="Verdana"/>
      <w:b/>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29">
      <w:bodyDiv w:val="1"/>
      <w:marLeft w:val="0"/>
      <w:marRight w:val="0"/>
      <w:marTop w:val="0"/>
      <w:marBottom w:val="0"/>
      <w:divBdr>
        <w:top w:val="none" w:sz="0" w:space="0" w:color="auto"/>
        <w:left w:val="none" w:sz="0" w:space="0" w:color="auto"/>
        <w:bottom w:val="none" w:sz="0" w:space="0" w:color="auto"/>
        <w:right w:val="none" w:sz="0" w:space="0" w:color="auto"/>
      </w:divBdr>
      <w:divsChild>
        <w:div w:id="1115293566">
          <w:marLeft w:val="0"/>
          <w:marRight w:val="0"/>
          <w:marTop w:val="0"/>
          <w:marBottom w:val="0"/>
          <w:divBdr>
            <w:top w:val="none" w:sz="0" w:space="0" w:color="auto"/>
            <w:left w:val="none" w:sz="0" w:space="0" w:color="auto"/>
            <w:bottom w:val="none" w:sz="0" w:space="0" w:color="auto"/>
            <w:right w:val="none" w:sz="0" w:space="0" w:color="auto"/>
          </w:divBdr>
          <w:divsChild>
            <w:div w:id="493569648">
              <w:marLeft w:val="0"/>
              <w:marRight w:val="0"/>
              <w:marTop w:val="0"/>
              <w:marBottom w:val="0"/>
              <w:divBdr>
                <w:top w:val="none" w:sz="0" w:space="0" w:color="auto"/>
                <w:left w:val="none" w:sz="0" w:space="0" w:color="auto"/>
                <w:bottom w:val="none" w:sz="0" w:space="0" w:color="auto"/>
                <w:right w:val="none" w:sz="0" w:space="0" w:color="auto"/>
              </w:divBdr>
              <w:divsChild>
                <w:div w:id="480268348">
                  <w:marLeft w:val="0"/>
                  <w:marRight w:val="0"/>
                  <w:marTop w:val="195"/>
                  <w:marBottom w:val="0"/>
                  <w:divBdr>
                    <w:top w:val="none" w:sz="0" w:space="0" w:color="auto"/>
                    <w:left w:val="none" w:sz="0" w:space="0" w:color="auto"/>
                    <w:bottom w:val="none" w:sz="0" w:space="0" w:color="auto"/>
                    <w:right w:val="none" w:sz="0" w:space="0" w:color="auto"/>
                  </w:divBdr>
                  <w:divsChild>
                    <w:div w:id="279803052">
                      <w:marLeft w:val="0"/>
                      <w:marRight w:val="0"/>
                      <w:marTop w:val="0"/>
                      <w:marBottom w:val="180"/>
                      <w:divBdr>
                        <w:top w:val="none" w:sz="0" w:space="0" w:color="auto"/>
                        <w:left w:val="none" w:sz="0" w:space="0" w:color="auto"/>
                        <w:bottom w:val="none" w:sz="0" w:space="0" w:color="auto"/>
                        <w:right w:val="none" w:sz="0" w:space="0" w:color="auto"/>
                      </w:divBdr>
                      <w:divsChild>
                        <w:div w:id="860244961">
                          <w:marLeft w:val="0"/>
                          <w:marRight w:val="0"/>
                          <w:marTop w:val="0"/>
                          <w:marBottom w:val="0"/>
                          <w:divBdr>
                            <w:top w:val="none" w:sz="0" w:space="0" w:color="auto"/>
                            <w:left w:val="none" w:sz="0" w:space="0" w:color="auto"/>
                            <w:bottom w:val="none" w:sz="0" w:space="0" w:color="auto"/>
                            <w:right w:val="none" w:sz="0" w:space="0" w:color="auto"/>
                          </w:divBdr>
                          <w:divsChild>
                            <w:div w:id="1551915085">
                              <w:marLeft w:val="0"/>
                              <w:marRight w:val="0"/>
                              <w:marTop w:val="0"/>
                              <w:marBottom w:val="0"/>
                              <w:divBdr>
                                <w:top w:val="none" w:sz="0" w:space="0" w:color="auto"/>
                                <w:left w:val="none" w:sz="0" w:space="0" w:color="auto"/>
                                <w:bottom w:val="none" w:sz="0" w:space="0" w:color="auto"/>
                                <w:right w:val="none" w:sz="0" w:space="0" w:color="auto"/>
                              </w:divBdr>
                              <w:divsChild>
                                <w:div w:id="36856478">
                                  <w:marLeft w:val="0"/>
                                  <w:marRight w:val="0"/>
                                  <w:marTop w:val="0"/>
                                  <w:marBottom w:val="0"/>
                                  <w:divBdr>
                                    <w:top w:val="none" w:sz="0" w:space="0" w:color="auto"/>
                                    <w:left w:val="none" w:sz="0" w:space="0" w:color="auto"/>
                                    <w:bottom w:val="none" w:sz="0" w:space="0" w:color="auto"/>
                                    <w:right w:val="none" w:sz="0" w:space="0" w:color="auto"/>
                                  </w:divBdr>
                                  <w:divsChild>
                                    <w:div w:id="1487938669">
                                      <w:marLeft w:val="0"/>
                                      <w:marRight w:val="0"/>
                                      <w:marTop w:val="0"/>
                                      <w:marBottom w:val="0"/>
                                      <w:divBdr>
                                        <w:top w:val="none" w:sz="0" w:space="0" w:color="auto"/>
                                        <w:left w:val="none" w:sz="0" w:space="0" w:color="auto"/>
                                        <w:bottom w:val="none" w:sz="0" w:space="0" w:color="auto"/>
                                        <w:right w:val="none" w:sz="0" w:space="0" w:color="auto"/>
                                      </w:divBdr>
                                      <w:divsChild>
                                        <w:div w:id="344330333">
                                          <w:marLeft w:val="0"/>
                                          <w:marRight w:val="0"/>
                                          <w:marTop w:val="0"/>
                                          <w:marBottom w:val="0"/>
                                          <w:divBdr>
                                            <w:top w:val="none" w:sz="0" w:space="0" w:color="auto"/>
                                            <w:left w:val="none" w:sz="0" w:space="0" w:color="auto"/>
                                            <w:bottom w:val="none" w:sz="0" w:space="0" w:color="auto"/>
                                            <w:right w:val="none" w:sz="0" w:space="0" w:color="auto"/>
                                          </w:divBdr>
                                          <w:divsChild>
                                            <w:div w:id="1958564183">
                                              <w:marLeft w:val="0"/>
                                              <w:marRight w:val="0"/>
                                              <w:marTop w:val="0"/>
                                              <w:marBottom w:val="0"/>
                                              <w:divBdr>
                                                <w:top w:val="none" w:sz="0" w:space="0" w:color="auto"/>
                                                <w:left w:val="none" w:sz="0" w:space="0" w:color="auto"/>
                                                <w:bottom w:val="none" w:sz="0" w:space="0" w:color="auto"/>
                                                <w:right w:val="none" w:sz="0" w:space="0" w:color="auto"/>
                                              </w:divBdr>
                                              <w:divsChild>
                                                <w:div w:id="15003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66665">
      <w:bodyDiv w:val="1"/>
      <w:marLeft w:val="0"/>
      <w:marRight w:val="0"/>
      <w:marTop w:val="0"/>
      <w:marBottom w:val="0"/>
      <w:divBdr>
        <w:top w:val="none" w:sz="0" w:space="0" w:color="auto"/>
        <w:left w:val="none" w:sz="0" w:space="0" w:color="auto"/>
        <w:bottom w:val="none" w:sz="0" w:space="0" w:color="auto"/>
        <w:right w:val="none" w:sz="0" w:space="0" w:color="auto"/>
      </w:divBdr>
    </w:div>
    <w:div w:id="136336365">
      <w:bodyDiv w:val="1"/>
      <w:marLeft w:val="0"/>
      <w:marRight w:val="0"/>
      <w:marTop w:val="0"/>
      <w:marBottom w:val="0"/>
      <w:divBdr>
        <w:top w:val="none" w:sz="0" w:space="0" w:color="auto"/>
        <w:left w:val="none" w:sz="0" w:space="0" w:color="auto"/>
        <w:bottom w:val="none" w:sz="0" w:space="0" w:color="auto"/>
        <w:right w:val="none" w:sz="0" w:space="0" w:color="auto"/>
      </w:divBdr>
    </w:div>
    <w:div w:id="188497125">
      <w:bodyDiv w:val="1"/>
      <w:marLeft w:val="0"/>
      <w:marRight w:val="0"/>
      <w:marTop w:val="0"/>
      <w:marBottom w:val="0"/>
      <w:divBdr>
        <w:top w:val="none" w:sz="0" w:space="0" w:color="auto"/>
        <w:left w:val="none" w:sz="0" w:space="0" w:color="auto"/>
        <w:bottom w:val="none" w:sz="0" w:space="0" w:color="auto"/>
        <w:right w:val="none" w:sz="0" w:space="0" w:color="auto"/>
      </w:divBdr>
    </w:div>
    <w:div w:id="232398290">
      <w:bodyDiv w:val="1"/>
      <w:marLeft w:val="0"/>
      <w:marRight w:val="0"/>
      <w:marTop w:val="0"/>
      <w:marBottom w:val="0"/>
      <w:divBdr>
        <w:top w:val="none" w:sz="0" w:space="0" w:color="auto"/>
        <w:left w:val="none" w:sz="0" w:space="0" w:color="auto"/>
        <w:bottom w:val="none" w:sz="0" w:space="0" w:color="auto"/>
        <w:right w:val="none" w:sz="0" w:space="0" w:color="auto"/>
      </w:divBdr>
      <w:divsChild>
        <w:div w:id="146556436">
          <w:marLeft w:val="0"/>
          <w:marRight w:val="0"/>
          <w:marTop w:val="0"/>
          <w:marBottom w:val="0"/>
          <w:divBdr>
            <w:top w:val="none" w:sz="0" w:space="0" w:color="auto"/>
            <w:left w:val="none" w:sz="0" w:space="0" w:color="auto"/>
            <w:bottom w:val="none" w:sz="0" w:space="0" w:color="auto"/>
            <w:right w:val="none" w:sz="0" w:space="0" w:color="auto"/>
          </w:divBdr>
          <w:divsChild>
            <w:div w:id="453643021">
              <w:marLeft w:val="0"/>
              <w:marRight w:val="0"/>
              <w:marTop w:val="0"/>
              <w:marBottom w:val="0"/>
              <w:divBdr>
                <w:top w:val="none" w:sz="0" w:space="0" w:color="auto"/>
                <w:left w:val="none" w:sz="0" w:space="0" w:color="auto"/>
                <w:bottom w:val="none" w:sz="0" w:space="0" w:color="auto"/>
                <w:right w:val="none" w:sz="0" w:space="0" w:color="auto"/>
              </w:divBdr>
              <w:divsChild>
                <w:div w:id="1213154479">
                  <w:marLeft w:val="0"/>
                  <w:marRight w:val="0"/>
                  <w:marTop w:val="0"/>
                  <w:marBottom w:val="0"/>
                  <w:divBdr>
                    <w:top w:val="none" w:sz="0" w:space="0" w:color="auto"/>
                    <w:left w:val="none" w:sz="0" w:space="0" w:color="auto"/>
                    <w:bottom w:val="none" w:sz="0" w:space="0" w:color="auto"/>
                    <w:right w:val="none" w:sz="0" w:space="0" w:color="auto"/>
                  </w:divBdr>
                  <w:divsChild>
                    <w:div w:id="783691621">
                      <w:marLeft w:val="0"/>
                      <w:marRight w:val="0"/>
                      <w:marTop w:val="0"/>
                      <w:marBottom w:val="0"/>
                      <w:divBdr>
                        <w:top w:val="none" w:sz="0" w:space="0" w:color="auto"/>
                        <w:left w:val="none" w:sz="0" w:space="0" w:color="auto"/>
                        <w:bottom w:val="none" w:sz="0" w:space="0" w:color="auto"/>
                        <w:right w:val="none" w:sz="0" w:space="0" w:color="auto"/>
                      </w:divBdr>
                      <w:divsChild>
                        <w:div w:id="384643063">
                          <w:marLeft w:val="0"/>
                          <w:marRight w:val="0"/>
                          <w:marTop w:val="0"/>
                          <w:marBottom w:val="0"/>
                          <w:divBdr>
                            <w:top w:val="single" w:sz="6" w:space="0" w:color="828282"/>
                            <w:left w:val="single" w:sz="6" w:space="0" w:color="828282"/>
                            <w:bottom w:val="single" w:sz="6" w:space="0" w:color="828282"/>
                            <w:right w:val="single" w:sz="6" w:space="0" w:color="828282"/>
                          </w:divBdr>
                          <w:divsChild>
                            <w:div w:id="848834904">
                              <w:marLeft w:val="0"/>
                              <w:marRight w:val="0"/>
                              <w:marTop w:val="0"/>
                              <w:marBottom w:val="0"/>
                              <w:divBdr>
                                <w:top w:val="none" w:sz="0" w:space="0" w:color="auto"/>
                                <w:left w:val="none" w:sz="0" w:space="0" w:color="auto"/>
                                <w:bottom w:val="none" w:sz="0" w:space="0" w:color="auto"/>
                                <w:right w:val="none" w:sz="0" w:space="0" w:color="auto"/>
                              </w:divBdr>
                              <w:divsChild>
                                <w:div w:id="1176730574">
                                  <w:marLeft w:val="0"/>
                                  <w:marRight w:val="0"/>
                                  <w:marTop w:val="0"/>
                                  <w:marBottom w:val="0"/>
                                  <w:divBdr>
                                    <w:top w:val="none" w:sz="0" w:space="0" w:color="auto"/>
                                    <w:left w:val="none" w:sz="0" w:space="0" w:color="auto"/>
                                    <w:bottom w:val="none" w:sz="0" w:space="0" w:color="auto"/>
                                    <w:right w:val="none" w:sz="0" w:space="0" w:color="auto"/>
                                  </w:divBdr>
                                  <w:divsChild>
                                    <w:div w:id="1068069325">
                                      <w:marLeft w:val="0"/>
                                      <w:marRight w:val="0"/>
                                      <w:marTop w:val="0"/>
                                      <w:marBottom w:val="0"/>
                                      <w:divBdr>
                                        <w:top w:val="none" w:sz="0" w:space="0" w:color="auto"/>
                                        <w:left w:val="none" w:sz="0" w:space="0" w:color="auto"/>
                                        <w:bottom w:val="none" w:sz="0" w:space="0" w:color="auto"/>
                                        <w:right w:val="none" w:sz="0" w:space="0" w:color="auto"/>
                                      </w:divBdr>
                                      <w:divsChild>
                                        <w:div w:id="185293542">
                                          <w:marLeft w:val="0"/>
                                          <w:marRight w:val="0"/>
                                          <w:marTop w:val="0"/>
                                          <w:marBottom w:val="0"/>
                                          <w:divBdr>
                                            <w:top w:val="none" w:sz="0" w:space="0" w:color="auto"/>
                                            <w:left w:val="none" w:sz="0" w:space="0" w:color="auto"/>
                                            <w:bottom w:val="none" w:sz="0" w:space="0" w:color="auto"/>
                                            <w:right w:val="none" w:sz="0" w:space="0" w:color="auto"/>
                                          </w:divBdr>
                                          <w:divsChild>
                                            <w:div w:id="1899852898">
                                              <w:marLeft w:val="0"/>
                                              <w:marRight w:val="0"/>
                                              <w:marTop w:val="0"/>
                                              <w:marBottom w:val="0"/>
                                              <w:divBdr>
                                                <w:top w:val="none" w:sz="0" w:space="0" w:color="auto"/>
                                                <w:left w:val="none" w:sz="0" w:space="0" w:color="auto"/>
                                                <w:bottom w:val="none" w:sz="0" w:space="0" w:color="auto"/>
                                                <w:right w:val="none" w:sz="0" w:space="0" w:color="auto"/>
                                              </w:divBdr>
                                              <w:divsChild>
                                                <w:div w:id="8965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949838">
      <w:bodyDiv w:val="1"/>
      <w:marLeft w:val="0"/>
      <w:marRight w:val="0"/>
      <w:marTop w:val="0"/>
      <w:marBottom w:val="0"/>
      <w:divBdr>
        <w:top w:val="none" w:sz="0" w:space="0" w:color="auto"/>
        <w:left w:val="none" w:sz="0" w:space="0" w:color="auto"/>
        <w:bottom w:val="none" w:sz="0" w:space="0" w:color="auto"/>
        <w:right w:val="none" w:sz="0" w:space="0" w:color="auto"/>
      </w:divBdr>
    </w:div>
    <w:div w:id="593249843">
      <w:bodyDiv w:val="1"/>
      <w:marLeft w:val="0"/>
      <w:marRight w:val="0"/>
      <w:marTop w:val="0"/>
      <w:marBottom w:val="0"/>
      <w:divBdr>
        <w:top w:val="none" w:sz="0" w:space="0" w:color="auto"/>
        <w:left w:val="none" w:sz="0" w:space="0" w:color="auto"/>
        <w:bottom w:val="none" w:sz="0" w:space="0" w:color="auto"/>
        <w:right w:val="none" w:sz="0" w:space="0" w:color="auto"/>
      </w:divBdr>
    </w:div>
    <w:div w:id="645280011">
      <w:bodyDiv w:val="1"/>
      <w:marLeft w:val="0"/>
      <w:marRight w:val="0"/>
      <w:marTop w:val="0"/>
      <w:marBottom w:val="0"/>
      <w:divBdr>
        <w:top w:val="none" w:sz="0" w:space="0" w:color="auto"/>
        <w:left w:val="none" w:sz="0" w:space="0" w:color="auto"/>
        <w:bottom w:val="none" w:sz="0" w:space="0" w:color="auto"/>
        <w:right w:val="none" w:sz="0" w:space="0" w:color="auto"/>
      </w:divBdr>
    </w:div>
    <w:div w:id="671101538">
      <w:bodyDiv w:val="1"/>
      <w:marLeft w:val="0"/>
      <w:marRight w:val="0"/>
      <w:marTop w:val="0"/>
      <w:marBottom w:val="0"/>
      <w:divBdr>
        <w:top w:val="none" w:sz="0" w:space="0" w:color="auto"/>
        <w:left w:val="none" w:sz="0" w:space="0" w:color="auto"/>
        <w:bottom w:val="none" w:sz="0" w:space="0" w:color="auto"/>
        <w:right w:val="none" w:sz="0" w:space="0" w:color="auto"/>
      </w:divBdr>
    </w:div>
    <w:div w:id="745108323">
      <w:bodyDiv w:val="1"/>
      <w:marLeft w:val="0"/>
      <w:marRight w:val="0"/>
      <w:marTop w:val="0"/>
      <w:marBottom w:val="0"/>
      <w:divBdr>
        <w:top w:val="none" w:sz="0" w:space="0" w:color="auto"/>
        <w:left w:val="none" w:sz="0" w:space="0" w:color="auto"/>
        <w:bottom w:val="none" w:sz="0" w:space="0" w:color="auto"/>
        <w:right w:val="none" w:sz="0" w:space="0" w:color="auto"/>
      </w:divBdr>
    </w:div>
    <w:div w:id="899747362">
      <w:bodyDiv w:val="1"/>
      <w:marLeft w:val="0"/>
      <w:marRight w:val="0"/>
      <w:marTop w:val="0"/>
      <w:marBottom w:val="0"/>
      <w:divBdr>
        <w:top w:val="none" w:sz="0" w:space="0" w:color="auto"/>
        <w:left w:val="none" w:sz="0" w:space="0" w:color="auto"/>
        <w:bottom w:val="none" w:sz="0" w:space="0" w:color="auto"/>
        <w:right w:val="none" w:sz="0" w:space="0" w:color="auto"/>
      </w:divBdr>
    </w:div>
    <w:div w:id="1006594129">
      <w:bodyDiv w:val="1"/>
      <w:marLeft w:val="0"/>
      <w:marRight w:val="0"/>
      <w:marTop w:val="0"/>
      <w:marBottom w:val="0"/>
      <w:divBdr>
        <w:top w:val="none" w:sz="0" w:space="0" w:color="auto"/>
        <w:left w:val="none" w:sz="0" w:space="0" w:color="auto"/>
        <w:bottom w:val="none" w:sz="0" w:space="0" w:color="auto"/>
        <w:right w:val="none" w:sz="0" w:space="0" w:color="auto"/>
      </w:divBdr>
    </w:div>
    <w:div w:id="1222213126">
      <w:bodyDiv w:val="1"/>
      <w:marLeft w:val="0"/>
      <w:marRight w:val="0"/>
      <w:marTop w:val="0"/>
      <w:marBottom w:val="0"/>
      <w:divBdr>
        <w:top w:val="none" w:sz="0" w:space="0" w:color="auto"/>
        <w:left w:val="none" w:sz="0" w:space="0" w:color="auto"/>
        <w:bottom w:val="none" w:sz="0" w:space="0" w:color="auto"/>
        <w:right w:val="none" w:sz="0" w:space="0" w:color="auto"/>
      </w:divBdr>
    </w:div>
    <w:div w:id="1236009381">
      <w:bodyDiv w:val="1"/>
      <w:marLeft w:val="0"/>
      <w:marRight w:val="0"/>
      <w:marTop w:val="0"/>
      <w:marBottom w:val="0"/>
      <w:divBdr>
        <w:top w:val="none" w:sz="0" w:space="0" w:color="auto"/>
        <w:left w:val="none" w:sz="0" w:space="0" w:color="auto"/>
        <w:bottom w:val="none" w:sz="0" w:space="0" w:color="auto"/>
        <w:right w:val="none" w:sz="0" w:space="0" w:color="auto"/>
      </w:divBdr>
      <w:divsChild>
        <w:div w:id="378819728">
          <w:marLeft w:val="547"/>
          <w:marRight w:val="0"/>
          <w:marTop w:val="0"/>
          <w:marBottom w:val="0"/>
          <w:divBdr>
            <w:top w:val="none" w:sz="0" w:space="0" w:color="auto"/>
            <w:left w:val="none" w:sz="0" w:space="0" w:color="auto"/>
            <w:bottom w:val="none" w:sz="0" w:space="0" w:color="auto"/>
            <w:right w:val="none" w:sz="0" w:space="0" w:color="auto"/>
          </w:divBdr>
        </w:div>
        <w:div w:id="699933499">
          <w:marLeft w:val="547"/>
          <w:marRight w:val="0"/>
          <w:marTop w:val="0"/>
          <w:marBottom w:val="0"/>
          <w:divBdr>
            <w:top w:val="none" w:sz="0" w:space="0" w:color="auto"/>
            <w:left w:val="none" w:sz="0" w:space="0" w:color="auto"/>
            <w:bottom w:val="none" w:sz="0" w:space="0" w:color="auto"/>
            <w:right w:val="none" w:sz="0" w:space="0" w:color="auto"/>
          </w:divBdr>
        </w:div>
      </w:divsChild>
    </w:div>
    <w:div w:id="1264606274">
      <w:bodyDiv w:val="1"/>
      <w:marLeft w:val="0"/>
      <w:marRight w:val="0"/>
      <w:marTop w:val="0"/>
      <w:marBottom w:val="0"/>
      <w:divBdr>
        <w:top w:val="none" w:sz="0" w:space="0" w:color="auto"/>
        <w:left w:val="none" w:sz="0" w:space="0" w:color="auto"/>
        <w:bottom w:val="none" w:sz="0" w:space="0" w:color="auto"/>
        <w:right w:val="none" w:sz="0" w:space="0" w:color="auto"/>
      </w:divBdr>
    </w:div>
    <w:div w:id="1386754649">
      <w:bodyDiv w:val="1"/>
      <w:marLeft w:val="0"/>
      <w:marRight w:val="0"/>
      <w:marTop w:val="0"/>
      <w:marBottom w:val="0"/>
      <w:divBdr>
        <w:top w:val="none" w:sz="0" w:space="0" w:color="auto"/>
        <w:left w:val="none" w:sz="0" w:space="0" w:color="auto"/>
        <w:bottom w:val="none" w:sz="0" w:space="0" w:color="auto"/>
        <w:right w:val="none" w:sz="0" w:space="0" w:color="auto"/>
      </w:divBdr>
      <w:divsChild>
        <w:div w:id="329795044">
          <w:marLeft w:val="0"/>
          <w:marRight w:val="0"/>
          <w:marTop w:val="0"/>
          <w:marBottom w:val="0"/>
          <w:divBdr>
            <w:top w:val="none" w:sz="0" w:space="0" w:color="auto"/>
            <w:left w:val="none" w:sz="0" w:space="0" w:color="auto"/>
            <w:bottom w:val="none" w:sz="0" w:space="0" w:color="auto"/>
            <w:right w:val="none" w:sz="0" w:space="0" w:color="auto"/>
          </w:divBdr>
          <w:divsChild>
            <w:div w:id="2003459212">
              <w:marLeft w:val="0"/>
              <w:marRight w:val="0"/>
              <w:marTop w:val="0"/>
              <w:marBottom w:val="0"/>
              <w:divBdr>
                <w:top w:val="none" w:sz="0" w:space="0" w:color="auto"/>
                <w:left w:val="none" w:sz="0" w:space="0" w:color="auto"/>
                <w:bottom w:val="none" w:sz="0" w:space="0" w:color="auto"/>
                <w:right w:val="none" w:sz="0" w:space="0" w:color="auto"/>
              </w:divBdr>
              <w:divsChild>
                <w:div w:id="1215578119">
                  <w:marLeft w:val="0"/>
                  <w:marRight w:val="0"/>
                  <w:marTop w:val="0"/>
                  <w:marBottom w:val="0"/>
                  <w:divBdr>
                    <w:top w:val="none" w:sz="0" w:space="0" w:color="auto"/>
                    <w:left w:val="none" w:sz="0" w:space="0" w:color="auto"/>
                    <w:bottom w:val="none" w:sz="0" w:space="0" w:color="auto"/>
                    <w:right w:val="none" w:sz="0" w:space="0" w:color="auto"/>
                  </w:divBdr>
                  <w:divsChild>
                    <w:div w:id="873420551">
                      <w:marLeft w:val="0"/>
                      <w:marRight w:val="0"/>
                      <w:marTop w:val="0"/>
                      <w:marBottom w:val="0"/>
                      <w:divBdr>
                        <w:top w:val="none" w:sz="0" w:space="0" w:color="auto"/>
                        <w:left w:val="none" w:sz="0" w:space="0" w:color="auto"/>
                        <w:bottom w:val="none" w:sz="0" w:space="0" w:color="auto"/>
                        <w:right w:val="none" w:sz="0" w:space="0" w:color="auto"/>
                      </w:divBdr>
                      <w:divsChild>
                        <w:div w:id="2129464692">
                          <w:marLeft w:val="0"/>
                          <w:marRight w:val="0"/>
                          <w:marTop w:val="0"/>
                          <w:marBottom w:val="0"/>
                          <w:divBdr>
                            <w:top w:val="none" w:sz="0" w:space="0" w:color="auto"/>
                            <w:left w:val="none" w:sz="0" w:space="0" w:color="auto"/>
                            <w:bottom w:val="none" w:sz="0" w:space="0" w:color="auto"/>
                            <w:right w:val="none" w:sz="0" w:space="0" w:color="auto"/>
                          </w:divBdr>
                          <w:divsChild>
                            <w:div w:id="1379086513">
                              <w:marLeft w:val="0"/>
                              <w:marRight w:val="0"/>
                              <w:marTop w:val="2100"/>
                              <w:marBottom w:val="0"/>
                              <w:divBdr>
                                <w:top w:val="none" w:sz="0" w:space="0" w:color="auto"/>
                                <w:left w:val="none" w:sz="0" w:space="0" w:color="auto"/>
                                <w:bottom w:val="none" w:sz="0" w:space="0" w:color="auto"/>
                                <w:right w:val="none" w:sz="0" w:space="0" w:color="auto"/>
                              </w:divBdr>
                              <w:divsChild>
                                <w:div w:id="117534183">
                                  <w:marLeft w:val="0"/>
                                  <w:marRight w:val="0"/>
                                  <w:marTop w:val="0"/>
                                  <w:marBottom w:val="0"/>
                                  <w:divBdr>
                                    <w:top w:val="none" w:sz="0" w:space="0" w:color="auto"/>
                                    <w:left w:val="none" w:sz="0" w:space="0" w:color="auto"/>
                                    <w:bottom w:val="none" w:sz="0" w:space="0" w:color="auto"/>
                                    <w:right w:val="none" w:sz="0" w:space="0" w:color="auto"/>
                                  </w:divBdr>
                                  <w:divsChild>
                                    <w:div w:id="600071848">
                                      <w:marLeft w:val="0"/>
                                      <w:marRight w:val="0"/>
                                      <w:marTop w:val="0"/>
                                      <w:marBottom w:val="0"/>
                                      <w:divBdr>
                                        <w:top w:val="none" w:sz="0" w:space="0" w:color="auto"/>
                                        <w:left w:val="none" w:sz="0" w:space="0" w:color="auto"/>
                                        <w:bottom w:val="none" w:sz="0" w:space="0" w:color="auto"/>
                                        <w:right w:val="none" w:sz="0" w:space="0" w:color="auto"/>
                                      </w:divBdr>
                                      <w:divsChild>
                                        <w:div w:id="2124305832">
                                          <w:marLeft w:val="0"/>
                                          <w:marRight w:val="0"/>
                                          <w:marTop w:val="0"/>
                                          <w:marBottom w:val="0"/>
                                          <w:divBdr>
                                            <w:top w:val="none" w:sz="0" w:space="0" w:color="auto"/>
                                            <w:left w:val="none" w:sz="0" w:space="0" w:color="auto"/>
                                            <w:bottom w:val="none" w:sz="0" w:space="0" w:color="auto"/>
                                            <w:right w:val="none" w:sz="0" w:space="0" w:color="auto"/>
                                          </w:divBdr>
                                          <w:divsChild>
                                            <w:div w:id="16785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025182">
      <w:bodyDiv w:val="1"/>
      <w:marLeft w:val="0"/>
      <w:marRight w:val="0"/>
      <w:marTop w:val="0"/>
      <w:marBottom w:val="0"/>
      <w:divBdr>
        <w:top w:val="none" w:sz="0" w:space="0" w:color="auto"/>
        <w:left w:val="none" w:sz="0" w:space="0" w:color="auto"/>
        <w:bottom w:val="none" w:sz="0" w:space="0" w:color="auto"/>
        <w:right w:val="none" w:sz="0" w:space="0" w:color="auto"/>
      </w:divBdr>
    </w:div>
    <w:div w:id="1475633701">
      <w:bodyDiv w:val="1"/>
      <w:marLeft w:val="0"/>
      <w:marRight w:val="0"/>
      <w:marTop w:val="0"/>
      <w:marBottom w:val="0"/>
      <w:divBdr>
        <w:top w:val="none" w:sz="0" w:space="0" w:color="auto"/>
        <w:left w:val="none" w:sz="0" w:space="0" w:color="auto"/>
        <w:bottom w:val="none" w:sz="0" w:space="0" w:color="auto"/>
        <w:right w:val="none" w:sz="0" w:space="0" w:color="auto"/>
      </w:divBdr>
    </w:div>
    <w:div w:id="1481993770">
      <w:bodyDiv w:val="1"/>
      <w:marLeft w:val="0"/>
      <w:marRight w:val="0"/>
      <w:marTop w:val="0"/>
      <w:marBottom w:val="0"/>
      <w:divBdr>
        <w:top w:val="none" w:sz="0" w:space="0" w:color="auto"/>
        <w:left w:val="none" w:sz="0" w:space="0" w:color="auto"/>
        <w:bottom w:val="none" w:sz="0" w:space="0" w:color="auto"/>
        <w:right w:val="none" w:sz="0" w:space="0" w:color="auto"/>
      </w:divBdr>
    </w:div>
    <w:div w:id="1509370913">
      <w:bodyDiv w:val="1"/>
      <w:marLeft w:val="0"/>
      <w:marRight w:val="0"/>
      <w:marTop w:val="0"/>
      <w:marBottom w:val="0"/>
      <w:divBdr>
        <w:top w:val="none" w:sz="0" w:space="0" w:color="auto"/>
        <w:left w:val="none" w:sz="0" w:space="0" w:color="auto"/>
        <w:bottom w:val="none" w:sz="0" w:space="0" w:color="auto"/>
        <w:right w:val="none" w:sz="0" w:space="0" w:color="auto"/>
      </w:divBdr>
    </w:div>
    <w:div w:id="1524436523">
      <w:bodyDiv w:val="1"/>
      <w:marLeft w:val="0"/>
      <w:marRight w:val="0"/>
      <w:marTop w:val="0"/>
      <w:marBottom w:val="0"/>
      <w:divBdr>
        <w:top w:val="none" w:sz="0" w:space="0" w:color="auto"/>
        <w:left w:val="none" w:sz="0" w:space="0" w:color="auto"/>
        <w:bottom w:val="none" w:sz="0" w:space="0" w:color="auto"/>
        <w:right w:val="none" w:sz="0" w:space="0" w:color="auto"/>
      </w:divBdr>
    </w:div>
    <w:div w:id="1548881726">
      <w:bodyDiv w:val="1"/>
      <w:marLeft w:val="0"/>
      <w:marRight w:val="0"/>
      <w:marTop w:val="0"/>
      <w:marBottom w:val="0"/>
      <w:divBdr>
        <w:top w:val="none" w:sz="0" w:space="0" w:color="auto"/>
        <w:left w:val="none" w:sz="0" w:space="0" w:color="auto"/>
        <w:bottom w:val="none" w:sz="0" w:space="0" w:color="auto"/>
        <w:right w:val="none" w:sz="0" w:space="0" w:color="auto"/>
      </w:divBdr>
    </w:div>
    <w:div w:id="1623151958">
      <w:bodyDiv w:val="1"/>
      <w:marLeft w:val="0"/>
      <w:marRight w:val="0"/>
      <w:marTop w:val="0"/>
      <w:marBottom w:val="0"/>
      <w:divBdr>
        <w:top w:val="none" w:sz="0" w:space="0" w:color="auto"/>
        <w:left w:val="none" w:sz="0" w:space="0" w:color="auto"/>
        <w:bottom w:val="none" w:sz="0" w:space="0" w:color="auto"/>
        <w:right w:val="none" w:sz="0" w:space="0" w:color="auto"/>
      </w:divBdr>
    </w:div>
    <w:div w:id="1627614845">
      <w:bodyDiv w:val="1"/>
      <w:marLeft w:val="0"/>
      <w:marRight w:val="0"/>
      <w:marTop w:val="0"/>
      <w:marBottom w:val="0"/>
      <w:divBdr>
        <w:top w:val="none" w:sz="0" w:space="0" w:color="auto"/>
        <w:left w:val="none" w:sz="0" w:space="0" w:color="auto"/>
        <w:bottom w:val="none" w:sz="0" w:space="0" w:color="auto"/>
        <w:right w:val="none" w:sz="0" w:space="0" w:color="auto"/>
      </w:divBdr>
    </w:div>
    <w:div w:id="1789229037">
      <w:bodyDiv w:val="1"/>
      <w:marLeft w:val="0"/>
      <w:marRight w:val="0"/>
      <w:marTop w:val="0"/>
      <w:marBottom w:val="0"/>
      <w:divBdr>
        <w:top w:val="none" w:sz="0" w:space="0" w:color="auto"/>
        <w:left w:val="none" w:sz="0" w:space="0" w:color="auto"/>
        <w:bottom w:val="none" w:sz="0" w:space="0" w:color="auto"/>
        <w:right w:val="none" w:sz="0" w:space="0" w:color="auto"/>
      </w:divBdr>
    </w:div>
    <w:div w:id="1866870055">
      <w:bodyDiv w:val="1"/>
      <w:marLeft w:val="0"/>
      <w:marRight w:val="0"/>
      <w:marTop w:val="0"/>
      <w:marBottom w:val="0"/>
      <w:divBdr>
        <w:top w:val="none" w:sz="0" w:space="0" w:color="auto"/>
        <w:left w:val="none" w:sz="0" w:space="0" w:color="auto"/>
        <w:bottom w:val="none" w:sz="0" w:space="0" w:color="auto"/>
        <w:right w:val="none" w:sz="0" w:space="0" w:color="auto"/>
      </w:divBdr>
    </w:div>
    <w:div w:id="1961262632">
      <w:bodyDiv w:val="1"/>
      <w:marLeft w:val="0"/>
      <w:marRight w:val="0"/>
      <w:marTop w:val="0"/>
      <w:marBottom w:val="0"/>
      <w:divBdr>
        <w:top w:val="none" w:sz="0" w:space="0" w:color="auto"/>
        <w:left w:val="none" w:sz="0" w:space="0" w:color="auto"/>
        <w:bottom w:val="none" w:sz="0" w:space="0" w:color="auto"/>
        <w:right w:val="none" w:sz="0" w:space="0" w:color="auto"/>
      </w:divBdr>
    </w:div>
    <w:div w:id="2011520830">
      <w:bodyDiv w:val="1"/>
      <w:marLeft w:val="0"/>
      <w:marRight w:val="0"/>
      <w:marTop w:val="0"/>
      <w:marBottom w:val="0"/>
      <w:divBdr>
        <w:top w:val="none" w:sz="0" w:space="0" w:color="auto"/>
        <w:left w:val="none" w:sz="0" w:space="0" w:color="auto"/>
        <w:bottom w:val="none" w:sz="0" w:space="0" w:color="auto"/>
        <w:right w:val="none" w:sz="0" w:space="0" w:color="auto"/>
      </w:divBdr>
    </w:div>
    <w:div w:id="2018581460">
      <w:bodyDiv w:val="1"/>
      <w:marLeft w:val="0"/>
      <w:marRight w:val="0"/>
      <w:marTop w:val="0"/>
      <w:marBottom w:val="0"/>
      <w:divBdr>
        <w:top w:val="none" w:sz="0" w:space="0" w:color="auto"/>
        <w:left w:val="none" w:sz="0" w:space="0" w:color="auto"/>
        <w:bottom w:val="none" w:sz="0" w:space="0" w:color="auto"/>
        <w:right w:val="none" w:sz="0" w:space="0" w:color="auto"/>
      </w:divBdr>
    </w:div>
    <w:div w:id="20253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5F9C6B-1AF9-4CC5-B82F-5F83E34566E7}" type="doc">
      <dgm:prSet loTypeId="urn:microsoft.com/office/officeart/2005/8/layout/equation1" loCatId="process" qsTypeId="urn:microsoft.com/office/officeart/2005/8/quickstyle/simple1" qsCatId="simple" csTypeId="urn:microsoft.com/office/officeart/2005/8/colors/colorful1" csCatId="colorful" phldr="1"/>
      <dgm:spPr/>
      <dgm:t>
        <a:bodyPr/>
        <a:lstStyle/>
        <a:p>
          <a:endParaRPr lang="en-AU"/>
        </a:p>
      </dgm:t>
    </dgm:pt>
    <dgm:pt modelId="{DA89E882-1737-49FC-A944-674DC7D74D88}">
      <dgm:prSet phldrT="[Text]"/>
      <dgm:spPr>
        <a:solidFill>
          <a:schemeClr val="accent1"/>
        </a:solidFill>
      </dgm:spPr>
      <dgm:t>
        <a:bodyPr/>
        <a:lstStyle/>
        <a:p>
          <a:pPr algn="ctr"/>
          <a:r>
            <a:rPr lang="en-AU"/>
            <a:t>Deregulatory Measures - $109.1m</a:t>
          </a:r>
        </a:p>
      </dgm:t>
      <dgm:extLst>
        <a:ext uri="{E40237B7-FDA0-4F09-8148-C483321AD2D9}">
          <dgm14:cNvPr xmlns:dgm14="http://schemas.microsoft.com/office/drawing/2010/diagram" id="0" name="" descr="&#10;" title="Deregulatory Measures - $109.1m"/>
        </a:ext>
      </dgm:extLst>
    </dgm:pt>
    <dgm:pt modelId="{16BC6BFC-12BA-41A3-B8CF-3749F8840FAB}" type="parTrans" cxnId="{9E99ED19-02A4-4C6C-9A14-654BFA87D1AD}">
      <dgm:prSet/>
      <dgm:spPr/>
      <dgm:t>
        <a:bodyPr/>
        <a:lstStyle/>
        <a:p>
          <a:pPr algn="ctr"/>
          <a:endParaRPr lang="en-AU"/>
        </a:p>
      </dgm:t>
    </dgm:pt>
    <dgm:pt modelId="{E37AB2ED-98A0-46D3-AE22-81E25022E47B}" type="sibTrans" cxnId="{9E99ED19-02A4-4C6C-9A14-654BFA87D1AD}">
      <dgm:prSet/>
      <dgm:spPr>
        <a:solidFill>
          <a:schemeClr val="accent4"/>
        </a:solidFill>
      </dgm:spPr>
      <dgm:t>
        <a:bodyPr/>
        <a:lstStyle/>
        <a:p>
          <a:pPr algn="ctr"/>
          <a:endParaRPr lang="en-AU"/>
        </a:p>
      </dgm:t>
      <dgm:extLst>
        <a:ext uri="{E40237B7-FDA0-4F09-8148-C483321AD2D9}">
          <dgm14:cNvPr xmlns:dgm14="http://schemas.microsoft.com/office/drawing/2010/diagram" id="0" name="" title="minus"/>
        </a:ext>
      </dgm:extLst>
    </dgm:pt>
    <dgm:pt modelId="{68E257CA-CB0C-4914-B6C3-9DEA63288364}">
      <dgm:prSet phldrT="[Text]"/>
      <dgm:spPr>
        <a:solidFill>
          <a:srgbClr val="64502D"/>
        </a:solidFill>
      </dgm:spPr>
      <dgm:t>
        <a:bodyPr/>
        <a:lstStyle/>
        <a:p>
          <a:pPr algn="ctr"/>
          <a:r>
            <a:rPr lang="en-AU"/>
            <a:t>Regulatory Measures - $00.0</a:t>
          </a:r>
        </a:p>
      </dgm:t>
      <dgm:extLst>
        <a:ext uri="{E40237B7-FDA0-4F09-8148-C483321AD2D9}">
          <dgm14:cNvPr xmlns:dgm14="http://schemas.microsoft.com/office/drawing/2010/diagram" id="0" name="" descr="&#10;" title="Regulatory Measures - $00.0"/>
        </a:ext>
      </dgm:extLst>
    </dgm:pt>
    <dgm:pt modelId="{85BF5E8E-AA9D-4851-A506-1FC25C94AB54}" type="parTrans" cxnId="{8A0175A5-56F5-4B33-8A94-1F1792DF9CF1}">
      <dgm:prSet/>
      <dgm:spPr/>
      <dgm:t>
        <a:bodyPr/>
        <a:lstStyle/>
        <a:p>
          <a:pPr algn="ctr"/>
          <a:endParaRPr lang="en-AU"/>
        </a:p>
      </dgm:t>
    </dgm:pt>
    <dgm:pt modelId="{B98F5D12-7AA0-436C-B71C-073581D20F01}" type="sibTrans" cxnId="{8A0175A5-56F5-4B33-8A94-1F1792DF9CF1}">
      <dgm:prSet/>
      <dgm:spPr>
        <a:solidFill>
          <a:schemeClr val="accent3"/>
        </a:solidFill>
      </dgm:spPr>
      <dgm:t>
        <a:bodyPr/>
        <a:lstStyle/>
        <a:p>
          <a:pPr algn="ctr"/>
          <a:endParaRPr lang="en-AU"/>
        </a:p>
      </dgm:t>
      <dgm:extLst>
        <a:ext uri="{E40237B7-FDA0-4F09-8148-C483321AD2D9}">
          <dgm14:cNvPr xmlns:dgm14="http://schemas.microsoft.com/office/drawing/2010/diagram" id="0" name="" title="equals"/>
        </a:ext>
      </dgm:extLst>
    </dgm:pt>
    <dgm:pt modelId="{A1BE022F-9711-48A1-BDF0-AF4DE2487B54}">
      <dgm:prSet phldrT="[Text]"/>
      <dgm:spPr>
        <a:solidFill>
          <a:schemeClr val="accent5"/>
        </a:solidFill>
      </dgm:spPr>
      <dgm:t>
        <a:bodyPr/>
        <a:lstStyle/>
        <a:p>
          <a:pPr algn="ctr"/>
          <a:r>
            <a:rPr lang="en-AU"/>
            <a:t>Net Reduction in Regulation - $109.1m</a:t>
          </a:r>
        </a:p>
      </dgm:t>
      <dgm:extLst>
        <a:ext uri="{E40237B7-FDA0-4F09-8148-C483321AD2D9}">
          <dgm14:cNvPr xmlns:dgm14="http://schemas.microsoft.com/office/drawing/2010/diagram" id="0" name="" descr="&#10;" title="Net Reduction in Regulation - $109.1m"/>
        </a:ext>
      </dgm:extLst>
    </dgm:pt>
    <dgm:pt modelId="{C6D65E7D-5296-4B19-9221-CA2EE97A43F7}" type="parTrans" cxnId="{518C4F9E-6C22-40CF-A5CA-26F71C5FD3A7}">
      <dgm:prSet/>
      <dgm:spPr/>
      <dgm:t>
        <a:bodyPr/>
        <a:lstStyle/>
        <a:p>
          <a:pPr algn="ctr"/>
          <a:endParaRPr lang="en-AU"/>
        </a:p>
      </dgm:t>
    </dgm:pt>
    <dgm:pt modelId="{670851E7-0BBD-4879-BA5A-16575A419E90}" type="sibTrans" cxnId="{518C4F9E-6C22-40CF-A5CA-26F71C5FD3A7}">
      <dgm:prSet/>
      <dgm:spPr/>
      <dgm:t>
        <a:bodyPr/>
        <a:lstStyle/>
        <a:p>
          <a:pPr algn="ctr"/>
          <a:endParaRPr lang="en-AU"/>
        </a:p>
      </dgm:t>
    </dgm:pt>
    <dgm:pt modelId="{12B0D12E-E0D9-4DC1-9F3C-C64018D5168B}" type="pres">
      <dgm:prSet presAssocID="{AD5F9C6B-1AF9-4CC5-B82F-5F83E34566E7}" presName="linearFlow" presStyleCnt="0">
        <dgm:presLayoutVars>
          <dgm:dir/>
          <dgm:resizeHandles val="exact"/>
        </dgm:presLayoutVars>
      </dgm:prSet>
      <dgm:spPr/>
      <dgm:t>
        <a:bodyPr/>
        <a:lstStyle/>
        <a:p>
          <a:endParaRPr lang="en-AU"/>
        </a:p>
      </dgm:t>
    </dgm:pt>
    <dgm:pt modelId="{F729E543-7E0A-4AD0-A791-F1884ACBBF9B}" type="pres">
      <dgm:prSet presAssocID="{DA89E882-1737-49FC-A944-674DC7D74D88}" presName="node" presStyleLbl="node1" presStyleIdx="0" presStyleCnt="3" custLinFactNeighborX="-928" custLinFactNeighborY="641">
        <dgm:presLayoutVars>
          <dgm:bulletEnabled val="1"/>
        </dgm:presLayoutVars>
      </dgm:prSet>
      <dgm:spPr/>
      <dgm:t>
        <a:bodyPr/>
        <a:lstStyle/>
        <a:p>
          <a:endParaRPr lang="en-AU"/>
        </a:p>
      </dgm:t>
    </dgm:pt>
    <dgm:pt modelId="{2EA3B017-D747-4692-BF30-15C955640136}" type="pres">
      <dgm:prSet presAssocID="{E37AB2ED-98A0-46D3-AE22-81E25022E47B}" presName="spacerL" presStyleCnt="0"/>
      <dgm:spPr/>
      <dgm:t>
        <a:bodyPr/>
        <a:lstStyle/>
        <a:p>
          <a:endParaRPr lang="en-AU"/>
        </a:p>
      </dgm:t>
    </dgm:pt>
    <dgm:pt modelId="{15D0842D-5B91-4366-844C-DC836E9BFA8C}" type="pres">
      <dgm:prSet presAssocID="{E37AB2ED-98A0-46D3-AE22-81E25022E47B}" presName="sibTrans" presStyleLbl="sibTrans2D1" presStyleIdx="0" presStyleCnt="2"/>
      <dgm:spPr>
        <a:prstGeom prst="mathMinus">
          <a:avLst/>
        </a:prstGeom>
      </dgm:spPr>
      <dgm:t>
        <a:bodyPr/>
        <a:lstStyle/>
        <a:p>
          <a:endParaRPr lang="en-AU"/>
        </a:p>
      </dgm:t>
    </dgm:pt>
    <dgm:pt modelId="{53D9E2C3-7E90-43B2-9087-33142A6F81DF}" type="pres">
      <dgm:prSet presAssocID="{E37AB2ED-98A0-46D3-AE22-81E25022E47B}" presName="spacerR" presStyleCnt="0"/>
      <dgm:spPr/>
      <dgm:t>
        <a:bodyPr/>
        <a:lstStyle/>
        <a:p>
          <a:endParaRPr lang="en-AU"/>
        </a:p>
      </dgm:t>
    </dgm:pt>
    <dgm:pt modelId="{9661FE93-8A18-4A2D-9A72-5101BF0F0E0E}" type="pres">
      <dgm:prSet presAssocID="{68E257CA-CB0C-4914-B6C3-9DEA63288364}" presName="node" presStyleLbl="node1" presStyleIdx="1" presStyleCnt="3">
        <dgm:presLayoutVars>
          <dgm:bulletEnabled val="1"/>
        </dgm:presLayoutVars>
      </dgm:prSet>
      <dgm:spPr/>
      <dgm:t>
        <a:bodyPr/>
        <a:lstStyle/>
        <a:p>
          <a:endParaRPr lang="en-AU"/>
        </a:p>
      </dgm:t>
    </dgm:pt>
    <dgm:pt modelId="{C7C062E6-0ADA-401B-8724-F5F67CE099F7}" type="pres">
      <dgm:prSet presAssocID="{B98F5D12-7AA0-436C-B71C-073581D20F01}" presName="spacerL" presStyleCnt="0"/>
      <dgm:spPr/>
      <dgm:t>
        <a:bodyPr/>
        <a:lstStyle/>
        <a:p>
          <a:endParaRPr lang="en-AU"/>
        </a:p>
      </dgm:t>
    </dgm:pt>
    <dgm:pt modelId="{5B3C6B64-7E25-480E-868E-13136E5B634A}" type="pres">
      <dgm:prSet presAssocID="{B98F5D12-7AA0-436C-B71C-073581D20F01}" presName="sibTrans" presStyleLbl="sibTrans2D1" presStyleIdx="1" presStyleCnt="2"/>
      <dgm:spPr/>
      <dgm:t>
        <a:bodyPr/>
        <a:lstStyle/>
        <a:p>
          <a:endParaRPr lang="en-AU"/>
        </a:p>
      </dgm:t>
    </dgm:pt>
    <dgm:pt modelId="{06D121CF-D7A7-4B1E-B6EC-D89AF5EDD848}" type="pres">
      <dgm:prSet presAssocID="{B98F5D12-7AA0-436C-B71C-073581D20F01}" presName="spacerR" presStyleCnt="0"/>
      <dgm:spPr/>
      <dgm:t>
        <a:bodyPr/>
        <a:lstStyle/>
        <a:p>
          <a:endParaRPr lang="en-AU"/>
        </a:p>
      </dgm:t>
    </dgm:pt>
    <dgm:pt modelId="{C86A5353-8479-45FF-BC44-A99B6EE185FB}" type="pres">
      <dgm:prSet presAssocID="{A1BE022F-9711-48A1-BDF0-AF4DE2487B54}" presName="node" presStyleLbl="node1" presStyleIdx="2" presStyleCnt="3">
        <dgm:presLayoutVars>
          <dgm:bulletEnabled val="1"/>
        </dgm:presLayoutVars>
      </dgm:prSet>
      <dgm:spPr/>
      <dgm:t>
        <a:bodyPr/>
        <a:lstStyle/>
        <a:p>
          <a:endParaRPr lang="en-AU"/>
        </a:p>
      </dgm:t>
    </dgm:pt>
  </dgm:ptLst>
  <dgm:cxnLst>
    <dgm:cxn modelId="{55B6E988-C68C-4DBC-80E6-8F9371096F54}" type="presOf" srcId="{E37AB2ED-98A0-46D3-AE22-81E25022E47B}" destId="{15D0842D-5B91-4366-844C-DC836E9BFA8C}" srcOrd="0" destOrd="0" presId="urn:microsoft.com/office/officeart/2005/8/layout/equation1"/>
    <dgm:cxn modelId="{A191A47C-EFCF-49BD-87D1-2B863DD5DB16}" type="presOf" srcId="{68E257CA-CB0C-4914-B6C3-9DEA63288364}" destId="{9661FE93-8A18-4A2D-9A72-5101BF0F0E0E}" srcOrd="0" destOrd="0" presId="urn:microsoft.com/office/officeart/2005/8/layout/equation1"/>
    <dgm:cxn modelId="{352879D1-B94F-4593-B4D9-D829210C60CE}" type="presOf" srcId="{DA89E882-1737-49FC-A944-674DC7D74D88}" destId="{F729E543-7E0A-4AD0-A791-F1884ACBBF9B}" srcOrd="0" destOrd="0" presId="urn:microsoft.com/office/officeart/2005/8/layout/equation1"/>
    <dgm:cxn modelId="{518C4F9E-6C22-40CF-A5CA-26F71C5FD3A7}" srcId="{AD5F9C6B-1AF9-4CC5-B82F-5F83E34566E7}" destId="{A1BE022F-9711-48A1-BDF0-AF4DE2487B54}" srcOrd="2" destOrd="0" parTransId="{C6D65E7D-5296-4B19-9221-CA2EE97A43F7}" sibTransId="{670851E7-0BBD-4879-BA5A-16575A419E90}"/>
    <dgm:cxn modelId="{8A0175A5-56F5-4B33-8A94-1F1792DF9CF1}" srcId="{AD5F9C6B-1AF9-4CC5-B82F-5F83E34566E7}" destId="{68E257CA-CB0C-4914-B6C3-9DEA63288364}" srcOrd="1" destOrd="0" parTransId="{85BF5E8E-AA9D-4851-A506-1FC25C94AB54}" sibTransId="{B98F5D12-7AA0-436C-B71C-073581D20F01}"/>
    <dgm:cxn modelId="{B2863719-9EC9-497D-8309-AE4528259D13}" type="presOf" srcId="{A1BE022F-9711-48A1-BDF0-AF4DE2487B54}" destId="{C86A5353-8479-45FF-BC44-A99B6EE185FB}" srcOrd="0" destOrd="0" presId="urn:microsoft.com/office/officeart/2005/8/layout/equation1"/>
    <dgm:cxn modelId="{5700A2C1-D4D6-4F02-A7FD-A95A1626F06E}" type="presOf" srcId="{B98F5D12-7AA0-436C-B71C-073581D20F01}" destId="{5B3C6B64-7E25-480E-868E-13136E5B634A}" srcOrd="0" destOrd="0" presId="urn:microsoft.com/office/officeart/2005/8/layout/equation1"/>
    <dgm:cxn modelId="{9E99ED19-02A4-4C6C-9A14-654BFA87D1AD}" srcId="{AD5F9C6B-1AF9-4CC5-B82F-5F83E34566E7}" destId="{DA89E882-1737-49FC-A944-674DC7D74D88}" srcOrd="0" destOrd="0" parTransId="{16BC6BFC-12BA-41A3-B8CF-3749F8840FAB}" sibTransId="{E37AB2ED-98A0-46D3-AE22-81E25022E47B}"/>
    <dgm:cxn modelId="{F754DA14-17B9-4F7C-9034-39DC4F8870A4}" type="presOf" srcId="{AD5F9C6B-1AF9-4CC5-B82F-5F83E34566E7}" destId="{12B0D12E-E0D9-4DC1-9F3C-C64018D5168B}" srcOrd="0" destOrd="0" presId="urn:microsoft.com/office/officeart/2005/8/layout/equation1"/>
    <dgm:cxn modelId="{AE53B93B-55C8-4607-9AF4-DEE36C61175F}" type="presParOf" srcId="{12B0D12E-E0D9-4DC1-9F3C-C64018D5168B}" destId="{F729E543-7E0A-4AD0-A791-F1884ACBBF9B}" srcOrd="0" destOrd="0" presId="urn:microsoft.com/office/officeart/2005/8/layout/equation1"/>
    <dgm:cxn modelId="{D788F9A7-81C8-4DC3-88B2-58375655D4AF}" type="presParOf" srcId="{12B0D12E-E0D9-4DC1-9F3C-C64018D5168B}" destId="{2EA3B017-D747-4692-BF30-15C955640136}" srcOrd="1" destOrd="0" presId="urn:microsoft.com/office/officeart/2005/8/layout/equation1"/>
    <dgm:cxn modelId="{277458AE-2281-4EF6-AFC4-A366865D0D15}" type="presParOf" srcId="{12B0D12E-E0D9-4DC1-9F3C-C64018D5168B}" destId="{15D0842D-5B91-4366-844C-DC836E9BFA8C}" srcOrd="2" destOrd="0" presId="urn:microsoft.com/office/officeart/2005/8/layout/equation1"/>
    <dgm:cxn modelId="{AAB0F891-3793-44E3-BAB1-EF7F9E822130}" type="presParOf" srcId="{12B0D12E-E0D9-4DC1-9F3C-C64018D5168B}" destId="{53D9E2C3-7E90-43B2-9087-33142A6F81DF}" srcOrd="3" destOrd="0" presId="urn:microsoft.com/office/officeart/2005/8/layout/equation1"/>
    <dgm:cxn modelId="{3DB9ECD1-3E43-4EC0-A58B-35D204A1EE9B}" type="presParOf" srcId="{12B0D12E-E0D9-4DC1-9F3C-C64018D5168B}" destId="{9661FE93-8A18-4A2D-9A72-5101BF0F0E0E}" srcOrd="4" destOrd="0" presId="urn:microsoft.com/office/officeart/2005/8/layout/equation1"/>
    <dgm:cxn modelId="{66D3FD96-CE26-4540-ACE0-1B245F7AFE86}" type="presParOf" srcId="{12B0D12E-E0D9-4DC1-9F3C-C64018D5168B}" destId="{C7C062E6-0ADA-401B-8724-F5F67CE099F7}" srcOrd="5" destOrd="0" presId="urn:microsoft.com/office/officeart/2005/8/layout/equation1"/>
    <dgm:cxn modelId="{F5CFF3A3-D25B-4DF9-BDC6-F21872EFF0B6}" type="presParOf" srcId="{12B0D12E-E0D9-4DC1-9F3C-C64018D5168B}" destId="{5B3C6B64-7E25-480E-868E-13136E5B634A}" srcOrd="6" destOrd="0" presId="urn:microsoft.com/office/officeart/2005/8/layout/equation1"/>
    <dgm:cxn modelId="{EA10E1AC-CA16-40AC-8900-4B5D5384FE68}" type="presParOf" srcId="{12B0D12E-E0D9-4DC1-9F3C-C64018D5168B}" destId="{06D121CF-D7A7-4B1E-B6EC-D89AF5EDD848}" srcOrd="7" destOrd="0" presId="urn:microsoft.com/office/officeart/2005/8/layout/equation1"/>
    <dgm:cxn modelId="{AE7C4947-6437-4053-A0A4-390AC3EDC239}" type="presParOf" srcId="{12B0D12E-E0D9-4DC1-9F3C-C64018D5168B}" destId="{C86A5353-8479-45FF-BC44-A99B6EE185FB}" srcOrd="8" destOrd="0" presId="urn:microsoft.com/office/officeart/2005/8/layout/equati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29E543-7E0A-4AD0-A791-F1884ACBBF9B}">
      <dsp:nvSpPr>
        <dsp:cNvPr id="0" name=""/>
        <dsp:cNvSpPr/>
      </dsp:nvSpPr>
      <dsp:spPr>
        <a:xfrm>
          <a:off x="613455" y="134"/>
          <a:ext cx="866640" cy="866640"/>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Deregulatory Measures - $109.1m</a:t>
          </a:r>
        </a:p>
      </dsp:txBody>
      <dsp:txXfrm>
        <a:off x="740371" y="127050"/>
        <a:ext cx="612808" cy="612808"/>
      </dsp:txXfrm>
    </dsp:sp>
    <dsp:sp modelId="{15D0842D-5B91-4366-844C-DC836E9BFA8C}">
      <dsp:nvSpPr>
        <dsp:cNvPr id="0" name=""/>
        <dsp:cNvSpPr/>
      </dsp:nvSpPr>
      <dsp:spPr>
        <a:xfrm>
          <a:off x="1551119" y="182061"/>
          <a:ext cx="502651" cy="502651"/>
        </a:xfrm>
        <a:prstGeom prst="mathMinus">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1617745" y="374275"/>
        <a:ext cx="369399" cy="118223"/>
      </dsp:txXfrm>
    </dsp:sp>
    <dsp:sp modelId="{9661FE93-8A18-4A2D-9A72-5101BF0F0E0E}">
      <dsp:nvSpPr>
        <dsp:cNvPr id="0" name=""/>
        <dsp:cNvSpPr/>
      </dsp:nvSpPr>
      <dsp:spPr>
        <a:xfrm>
          <a:off x="2124142" y="67"/>
          <a:ext cx="866640" cy="866640"/>
        </a:xfrm>
        <a:prstGeom prst="ellipse">
          <a:avLst/>
        </a:prstGeom>
        <a:solidFill>
          <a:srgbClr val="6450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Regulatory Measures - $00.0</a:t>
          </a:r>
        </a:p>
      </dsp:txBody>
      <dsp:txXfrm>
        <a:off x="2251058" y="126983"/>
        <a:ext cx="612808" cy="612808"/>
      </dsp:txXfrm>
    </dsp:sp>
    <dsp:sp modelId="{5B3C6B64-7E25-480E-868E-13136E5B634A}">
      <dsp:nvSpPr>
        <dsp:cNvPr id="0" name=""/>
        <dsp:cNvSpPr/>
      </dsp:nvSpPr>
      <dsp:spPr>
        <a:xfrm>
          <a:off x="3061153" y="182061"/>
          <a:ext cx="502651" cy="502651"/>
        </a:xfrm>
        <a:prstGeom prst="mathEqual">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3127779" y="285607"/>
        <a:ext cx="369399" cy="295559"/>
      </dsp:txXfrm>
    </dsp:sp>
    <dsp:sp modelId="{C86A5353-8479-45FF-BC44-A99B6EE185FB}">
      <dsp:nvSpPr>
        <dsp:cNvPr id="0" name=""/>
        <dsp:cNvSpPr/>
      </dsp:nvSpPr>
      <dsp:spPr>
        <a:xfrm>
          <a:off x="3634176" y="67"/>
          <a:ext cx="866640" cy="866640"/>
        </a:xfrm>
        <a:prstGeom prst="ellips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Net Reduction in Regulation - $109.1m</a:t>
          </a:r>
        </a:p>
      </dsp:txBody>
      <dsp:txXfrm>
        <a:off x="3761092" y="126983"/>
        <a:ext cx="612808" cy="61280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regulation colours">
      <a:dk1>
        <a:sysClr val="windowText" lastClr="000000"/>
      </a:dk1>
      <a:lt1>
        <a:sysClr val="window" lastClr="FFFFFF"/>
      </a:lt1>
      <a:dk2>
        <a:srgbClr val="E11E25"/>
      </a:dk2>
      <a:lt2>
        <a:srgbClr val="D8D2C5"/>
      </a:lt2>
      <a:accent1>
        <a:srgbClr val="3F4444"/>
      </a:accent1>
      <a:accent2>
        <a:srgbClr val="BB9D67"/>
      </a:accent2>
      <a:accent3>
        <a:srgbClr val="BEBB98"/>
      </a:accent3>
      <a:accent4>
        <a:srgbClr val="707372"/>
      </a:accent4>
      <a:accent5>
        <a:srgbClr val="E11E25"/>
      </a:accent5>
      <a:accent6>
        <a:srgbClr val="BB9D67"/>
      </a:accent6>
      <a:hlink>
        <a:srgbClr val="3F4444"/>
      </a:hlink>
      <a:folHlink>
        <a:srgbClr val="BEBB9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2368</Words>
  <Characters>13499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Social Services Portfolio (Department of Human Services) Annual Deregulation Report 2014</vt:lpstr>
    </vt:vector>
  </TitlesOfParts>
  <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Portfolio (Department of Human Services) Annual Deregulation Report 2014</dc:title>
  <dc:creator/>
  <cp:lastModifiedBy/>
  <cp:revision>1</cp:revision>
  <dcterms:created xsi:type="dcterms:W3CDTF">2015-03-17T21:58:00Z</dcterms:created>
  <dcterms:modified xsi:type="dcterms:W3CDTF">2015-03-17T21:58:00Z</dcterms:modified>
</cp:coreProperties>
</file>