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FD7" w:rsidRDefault="001C167B" w:rsidP="003A3E20">
      <w:pPr>
        <w:pStyle w:val="TableGraphic"/>
        <w:ind w:left="1418"/>
      </w:pPr>
      <w:r>
        <w:rPr>
          <w:noProof/>
        </w:rPr>
        <w:drawing>
          <wp:inline distT="0" distB="0" distL="0" distR="0">
            <wp:extent cx="2286000" cy="923925"/>
            <wp:effectExtent l="0" t="0" r="0" b="9525"/>
            <wp:docPr id="4" name="Picture 1" descr="bw_budg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budget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923925"/>
                    </a:xfrm>
                    <a:prstGeom prst="rect">
                      <a:avLst/>
                    </a:prstGeom>
                    <a:noFill/>
                    <a:ln>
                      <a:noFill/>
                    </a:ln>
                  </pic:spPr>
                </pic:pic>
              </a:graphicData>
            </a:graphic>
          </wp:inline>
        </w:drawing>
      </w:r>
    </w:p>
    <w:p w:rsidR="00340FD7" w:rsidRPr="0086300B" w:rsidRDefault="00340FD7" w:rsidP="003A3E20">
      <w:pPr>
        <w:pStyle w:val="TPHeading2"/>
        <w:spacing w:before="120"/>
        <w:ind w:left="1418"/>
        <w:jc w:val="both"/>
        <w:rPr>
          <w:sz w:val="28"/>
          <w:szCs w:val="28"/>
        </w:rPr>
      </w:pPr>
      <w:r w:rsidRPr="0086300B">
        <w:rPr>
          <w:b/>
          <w:sz w:val="28"/>
          <w:szCs w:val="28"/>
        </w:rPr>
        <w:t xml:space="preserve">Portfolio Budget Statements </w:t>
      </w:r>
      <w:r>
        <w:rPr>
          <w:b/>
          <w:sz w:val="28"/>
          <w:szCs w:val="28"/>
        </w:rPr>
        <w:t>2011</w:t>
      </w:r>
      <w:r>
        <w:rPr>
          <w:b/>
          <w:sz w:val="28"/>
          <w:szCs w:val="28"/>
        </w:rPr>
        <w:noBreakHyphen/>
        <w:t>12</w:t>
      </w:r>
    </w:p>
    <w:p w:rsidR="00340FD7" w:rsidRPr="0086300B" w:rsidRDefault="00340FD7" w:rsidP="003A3E20">
      <w:pPr>
        <w:pStyle w:val="TPHeading2"/>
        <w:ind w:left="1418"/>
        <w:jc w:val="both"/>
        <w:rPr>
          <w:sz w:val="28"/>
          <w:szCs w:val="28"/>
        </w:rPr>
      </w:pPr>
      <w:r w:rsidRPr="0086300B">
        <w:rPr>
          <w:sz w:val="28"/>
          <w:szCs w:val="28"/>
        </w:rPr>
        <w:t>Budget re</w:t>
      </w:r>
      <w:bookmarkStart w:id="0" w:name="_GoBack"/>
      <w:bookmarkEnd w:id="0"/>
      <w:r w:rsidRPr="0086300B">
        <w:rPr>
          <w:sz w:val="28"/>
          <w:szCs w:val="28"/>
        </w:rPr>
        <w:t>lated paper No. 1.</w:t>
      </w:r>
      <w:r w:rsidR="001B70B3">
        <w:rPr>
          <w:sz w:val="28"/>
          <w:szCs w:val="28"/>
        </w:rPr>
        <w:t>11</w:t>
      </w:r>
    </w:p>
    <w:p w:rsidR="00340FD7" w:rsidRPr="0086300B" w:rsidRDefault="00340FD7" w:rsidP="003A3E20">
      <w:pPr>
        <w:pStyle w:val="TPHeading2"/>
        <w:ind w:left="1418"/>
        <w:jc w:val="both"/>
        <w:rPr>
          <w:sz w:val="28"/>
          <w:szCs w:val="28"/>
        </w:rPr>
      </w:pPr>
    </w:p>
    <w:p w:rsidR="00340FD7" w:rsidRDefault="00340FD7" w:rsidP="004806C5">
      <w:pPr>
        <w:pStyle w:val="TPHeading2"/>
        <w:shd w:val="clear" w:color="auto" w:fill="FFFFFF"/>
        <w:spacing w:line="6000" w:lineRule="auto"/>
        <w:ind w:left="1418"/>
        <w:jc w:val="both"/>
      </w:pPr>
      <w:r w:rsidRPr="00FB5539">
        <w:rPr>
          <w:sz w:val="28"/>
          <w:szCs w:val="28"/>
        </w:rPr>
        <w:t>Human Services</w:t>
      </w:r>
      <w:r w:rsidR="00FB5539" w:rsidRPr="00FB5539">
        <w:rPr>
          <w:sz w:val="28"/>
          <w:szCs w:val="28"/>
        </w:rPr>
        <w:t xml:space="preserve"> Portfolio</w:t>
      </w:r>
    </w:p>
    <w:p w:rsidR="00340FD7" w:rsidRPr="0086300B" w:rsidRDefault="00340FD7" w:rsidP="003A3E20">
      <w:pPr>
        <w:pStyle w:val="TPHeading3"/>
        <w:ind w:left="1418"/>
        <w:jc w:val="both"/>
        <w:rPr>
          <w:szCs w:val="24"/>
        </w:rPr>
      </w:pPr>
      <w:r w:rsidRPr="0086300B">
        <w:rPr>
          <w:szCs w:val="24"/>
        </w:rPr>
        <w:t>budget initiatives and explanations</w:t>
      </w:r>
      <w:r>
        <w:rPr>
          <w:szCs w:val="24"/>
        </w:rPr>
        <w:t xml:space="preserve"> of</w:t>
      </w:r>
    </w:p>
    <w:p w:rsidR="00340FD7" w:rsidRPr="0086300B" w:rsidRDefault="00340FD7" w:rsidP="003A3E20">
      <w:pPr>
        <w:pStyle w:val="TPHeading3"/>
        <w:ind w:left="1418"/>
        <w:jc w:val="both"/>
        <w:rPr>
          <w:szCs w:val="24"/>
        </w:rPr>
      </w:pPr>
      <w:r w:rsidRPr="0086300B">
        <w:rPr>
          <w:szCs w:val="24"/>
        </w:rPr>
        <w:t>appropriations specified by outcomes</w:t>
      </w:r>
    </w:p>
    <w:p w:rsidR="00340FD7" w:rsidRPr="0086300B" w:rsidRDefault="00340FD7" w:rsidP="003A3E20">
      <w:pPr>
        <w:pStyle w:val="TPHeading3"/>
        <w:ind w:left="1418"/>
        <w:jc w:val="both"/>
        <w:rPr>
          <w:sz w:val="22"/>
          <w:szCs w:val="22"/>
        </w:rPr>
      </w:pPr>
      <w:r w:rsidRPr="0086300B">
        <w:rPr>
          <w:szCs w:val="24"/>
        </w:rPr>
        <w:t xml:space="preserve">and </w:t>
      </w:r>
      <w:r>
        <w:rPr>
          <w:szCs w:val="24"/>
        </w:rPr>
        <w:t>Programs</w:t>
      </w:r>
      <w:r w:rsidRPr="0086300B">
        <w:rPr>
          <w:szCs w:val="24"/>
        </w:rPr>
        <w:t xml:space="preserve"> by agency</w:t>
      </w:r>
    </w:p>
    <w:p w:rsidR="00340FD7" w:rsidRDefault="00340FD7" w:rsidP="003A3E20">
      <w:pPr>
        <w:sectPr w:rsidR="00340FD7" w:rsidSect="00715386">
          <w:headerReference w:type="even" r:id="rId8"/>
          <w:headerReference w:type="default" r:id="rId9"/>
          <w:footerReference w:type="even" r:id="rId10"/>
          <w:footerReference w:type="default" r:id="rId11"/>
          <w:headerReference w:type="first" r:id="rId12"/>
          <w:footerReference w:type="first" r:id="rId13"/>
          <w:pgSz w:w="11906" w:h="16838" w:code="9"/>
          <w:pgMar w:top="2466" w:right="2098" w:bottom="2466" w:left="2098" w:header="1899" w:footer="1899" w:gutter="0"/>
          <w:cols w:space="708"/>
          <w:vAlign w:val="center"/>
          <w:titlePg/>
          <w:docGrid w:linePitch="360"/>
        </w:sectPr>
      </w:pPr>
    </w:p>
    <w:p w:rsidR="006D758C" w:rsidRDefault="00340FD7" w:rsidP="006D758C">
      <w:pPr>
        <w:spacing w:after="0" w:line="240" w:lineRule="auto"/>
        <w:rPr>
          <w:rFonts w:ascii="Calibri" w:hAnsi="Calibri" w:cs="Calibri"/>
          <w:sz w:val="22"/>
          <w:szCs w:val="22"/>
        </w:rPr>
      </w:pPr>
      <w:r w:rsidRPr="001B70B3">
        <w:rPr>
          <w:i/>
        </w:rPr>
        <w:t xml:space="preserve">ISBN </w:t>
      </w:r>
      <w:r w:rsidR="001B70B3" w:rsidRPr="001B70B3">
        <w:rPr>
          <w:rStyle w:val="ExampletextCharChar"/>
          <w:i w:val="0"/>
          <w:color w:val="auto"/>
        </w:rPr>
        <w:t>978 1743 023419</w:t>
      </w:r>
    </w:p>
    <w:p w:rsidR="006D758C" w:rsidRDefault="006D758C" w:rsidP="006D758C">
      <w:pPr>
        <w:spacing w:after="0" w:line="240" w:lineRule="auto"/>
        <w:rPr>
          <w:b/>
        </w:rPr>
      </w:pPr>
    </w:p>
    <w:p w:rsidR="006D758C" w:rsidRDefault="006D758C" w:rsidP="006D758C">
      <w:pPr>
        <w:spacing w:after="0" w:line="240" w:lineRule="auto"/>
        <w:rPr>
          <w:b/>
        </w:rPr>
      </w:pPr>
      <w:r>
        <w:rPr>
          <w:noProof/>
        </w:rPr>
        <w:drawing>
          <wp:inline distT="0" distB="0" distL="0" distR="0" wp14:anchorId="68B7A9D1" wp14:editId="68FAABBD">
            <wp:extent cx="1066800" cy="361950"/>
            <wp:effectExtent l="0" t="0" r="0" b="0"/>
            <wp:docPr id="50"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pic:spPr>
                </pic:pic>
              </a:graphicData>
            </a:graphic>
          </wp:inline>
        </w:drawing>
      </w:r>
    </w:p>
    <w:p w:rsidR="006D758C" w:rsidRDefault="006D758C" w:rsidP="006D758C">
      <w:pPr>
        <w:spacing w:after="0" w:line="240" w:lineRule="auto"/>
        <w:rPr>
          <w:b/>
        </w:rPr>
      </w:pPr>
    </w:p>
    <w:p w:rsidR="00340FD7" w:rsidRPr="00244E40" w:rsidRDefault="00340FD7" w:rsidP="006D758C">
      <w:pPr>
        <w:rPr>
          <w:snapToGrid w:val="0"/>
        </w:rPr>
      </w:pPr>
      <w:r w:rsidRPr="00244E40">
        <w:rPr>
          <w:snapToGrid w:val="0"/>
        </w:rPr>
        <w:t xml:space="preserve">With the exception of the Commonwealth Coat of Arms and where otherwise noted all material presented in this document is provided under a Creative Commons Attribution 3.0 Australia (http://creativecommons.org/licenses/by/3.0/au/) licence. </w:t>
      </w:r>
    </w:p>
    <w:p w:rsidR="00340FD7" w:rsidRPr="000D7280" w:rsidRDefault="00340FD7" w:rsidP="003A3E20">
      <w:pPr>
        <w:rPr>
          <w:snapToGrid w:val="0"/>
        </w:rPr>
      </w:pPr>
      <w:r w:rsidRPr="00244E40">
        <w:rPr>
          <w:snapToGrid w:val="0"/>
        </w:rPr>
        <w:t>The details of the relevant licence conditions are available on the Creative Commons website (accessible using the links provided) as is the full legal code for the CC BY 3.0 AU licence (http://creativecommons.org/licenses/by/3.0/au/legalcode).</w:t>
      </w:r>
    </w:p>
    <w:p w:rsidR="00340FD7" w:rsidRPr="000D7280" w:rsidRDefault="00340FD7" w:rsidP="004806C5">
      <w:pPr>
        <w:spacing w:after="7000"/>
        <w:rPr>
          <w:snapToGrid w:val="0"/>
        </w:rPr>
      </w:pPr>
      <w:r w:rsidRPr="000D7280">
        <w:rPr>
          <w:snapToGrid w:val="0"/>
        </w:rPr>
        <w:t xml:space="preserve">The document must be attributed as the </w:t>
      </w:r>
      <w:r w:rsidR="001B70B3">
        <w:rPr>
          <w:snapToGrid w:val="0"/>
        </w:rPr>
        <w:t>Portfolio Budget Statements 2011-12 Human Services Portfolio</w:t>
      </w:r>
      <w:r w:rsidR="003F039D">
        <w:rPr>
          <w:snapToGrid w:val="0"/>
        </w:rPr>
        <w:t>.</w:t>
      </w:r>
    </w:p>
    <w:p w:rsidR="00340FD7" w:rsidRPr="00E20628" w:rsidRDefault="00340FD7" w:rsidP="003A3E20">
      <w:r>
        <w:t xml:space="preserve">Printed by </w:t>
      </w:r>
      <w:r w:rsidR="001B70B3">
        <w:t>CanPrint Communications Pty</w:t>
      </w:r>
      <w:r w:rsidR="003F039D">
        <w:t xml:space="preserve"> </w:t>
      </w:r>
      <w:r w:rsidR="001B70B3">
        <w:t>Ltd</w:t>
      </w:r>
      <w:r w:rsidR="003F039D">
        <w:t>.</w:t>
      </w:r>
    </w:p>
    <w:p w:rsidR="00340FD7" w:rsidRDefault="00340FD7" w:rsidP="003A3E20">
      <w:pPr>
        <w:sectPr w:rsidR="00340FD7" w:rsidSect="00715386">
          <w:headerReference w:type="first" r:id="rId15"/>
          <w:pgSz w:w="11906" w:h="16838" w:code="9"/>
          <w:pgMar w:top="2466" w:right="2098" w:bottom="2466" w:left="2098" w:header="1899" w:footer="1899" w:gutter="0"/>
          <w:cols w:space="708"/>
          <w:titlePg/>
          <w:docGrid w:linePitch="360"/>
        </w:sectPr>
      </w:pPr>
    </w:p>
    <w:p w:rsidR="00B753B2" w:rsidRDefault="00B753B2" w:rsidP="00B753B2">
      <w:pPr>
        <w:pStyle w:val="TransmittalStyle2"/>
      </w:pPr>
    </w:p>
    <w:p w:rsidR="00B753B2" w:rsidRDefault="00B753B2" w:rsidP="00B753B2">
      <w:pPr>
        <w:pStyle w:val="TransmittalStyle2"/>
      </w:pPr>
      <w:r>
        <w:t>Po Box 6022</w:t>
      </w:r>
    </w:p>
    <w:p w:rsidR="00B753B2" w:rsidRDefault="00B753B2" w:rsidP="00B753B2">
      <w:pPr>
        <w:pStyle w:val="TransmittalStyle2"/>
      </w:pPr>
      <w:r>
        <w:t>House of Representative</w:t>
      </w:r>
    </w:p>
    <w:p w:rsidR="00B753B2" w:rsidRDefault="00B753B2" w:rsidP="00B753B2">
      <w:pPr>
        <w:pStyle w:val="TransmittalStyle2"/>
      </w:pPr>
      <w:r>
        <w:t>parliament House</w:t>
      </w:r>
    </w:p>
    <w:p w:rsidR="00B753B2" w:rsidRDefault="00B753B2" w:rsidP="00B753B2">
      <w:pPr>
        <w:pStyle w:val="TransmittalStyle2"/>
      </w:pPr>
      <w:r>
        <w:t>canberra   ACT   2600</w:t>
      </w:r>
    </w:p>
    <w:p w:rsidR="00340FD7" w:rsidRDefault="00340FD7" w:rsidP="003A3E20">
      <w:pPr>
        <w:pStyle w:val="TransmittalAddressee"/>
      </w:pPr>
      <w:r>
        <w:t>President of the Senate</w:t>
      </w:r>
    </w:p>
    <w:p w:rsidR="00340FD7" w:rsidRDefault="00340FD7" w:rsidP="003A3E20">
      <w:pPr>
        <w:pStyle w:val="TransmittalAddressee"/>
      </w:pPr>
      <w:r>
        <w:t>Australian Senate</w:t>
      </w:r>
    </w:p>
    <w:p w:rsidR="00340FD7" w:rsidRDefault="00340FD7" w:rsidP="003A3E20">
      <w:pPr>
        <w:pStyle w:val="TransmittalAddressee"/>
      </w:pPr>
      <w:r>
        <w:t>Parliament House</w:t>
      </w:r>
    </w:p>
    <w:p w:rsidR="00340FD7" w:rsidRDefault="00340FD7" w:rsidP="003A3E20">
      <w:pPr>
        <w:pStyle w:val="TransmittalAddressee"/>
      </w:pPr>
      <w:r>
        <w:t>CANBERRA  ACT  2600</w:t>
      </w:r>
    </w:p>
    <w:p w:rsidR="00340FD7" w:rsidRDefault="00340FD7" w:rsidP="003A3E20">
      <w:pPr>
        <w:pStyle w:val="TransmittalAddressee"/>
      </w:pPr>
    </w:p>
    <w:p w:rsidR="00340FD7" w:rsidRDefault="00340FD7" w:rsidP="003A3E20">
      <w:pPr>
        <w:pStyle w:val="TransmittalAddressee"/>
      </w:pPr>
      <w:r>
        <w:t>Speaker</w:t>
      </w:r>
    </w:p>
    <w:p w:rsidR="00340FD7" w:rsidRDefault="00340FD7" w:rsidP="003A3E20">
      <w:pPr>
        <w:pStyle w:val="TransmittalAddressee"/>
      </w:pPr>
      <w:r>
        <w:t>House of Representatives</w:t>
      </w:r>
    </w:p>
    <w:p w:rsidR="00340FD7" w:rsidRDefault="00340FD7" w:rsidP="003A3E20">
      <w:pPr>
        <w:pStyle w:val="TransmittalAddressee"/>
      </w:pPr>
      <w:r>
        <w:t>Parliament House</w:t>
      </w:r>
    </w:p>
    <w:p w:rsidR="00340FD7" w:rsidRDefault="00340FD7" w:rsidP="003A3E20">
      <w:pPr>
        <w:pStyle w:val="TransmittalAddressee"/>
      </w:pPr>
      <w:smartTag w:uri="urn:schemas-microsoft-com:office:smarttags" w:element="place">
        <w:smartTag w:uri="urn:schemas-microsoft-com:office:smarttags" w:element="City">
          <w:r>
            <w:t>CANBERRA</w:t>
          </w:r>
        </w:smartTag>
      </w:smartTag>
      <w:r>
        <w:t xml:space="preserve">  ACT  2600</w:t>
      </w:r>
    </w:p>
    <w:p w:rsidR="00340FD7" w:rsidRDefault="00340FD7" w:rsidP="003A3E20"/>
    <w:p w:rsidR="00340FD7" w:rsidRDefault="00340FD7" w:rsidP="003A3E20">
      <w:pPr>
        <w:pStyle w:val="SingleParagraph"/>
      </w:pPr>
      <w:r>
        <w:t xml:space="preserve">Dear </w:t>
      </w:r>
      <w:smartTag w:uri="urn:schemas-microsoft-com:office:smarttags" w:element="PersonName">
        <w:r>
          <w:t>Mr President</w:t>
        </w:r>
      </w:smartTag>
    </w:p>
    <w:p w:rsidR="00340FD7" w:rsidRDefault="00340FD7" w:rsidP="003A3E20">
      <w:r>
        <w:t xml:space="preserve">Dear </w:t>
      </w:r>
      <w:smartTag w:uri="urn:schemas:contacts" w:element="title">
        <w:smartTag w:uri="urn:schemas-microsoft-com:office:smarttags" w:element="PersonName">
          <w:smartTag w:uri="urn:schemas:contacts" w:element="title">
            <w:r>
              <w:t>Mr</w:t>
            </w:r>
          </w:smartTag>
          <w:r>
            <w:t xml:space="preserve"> </w:t>
          </w:r>
          <w:smartTag w:uri="urn:schemas:contacts" w:element="Sn">
            <w:r>
              <w:t>Speaker</w:t>
            </w:r>
          </w:smartTag>
        </w:smartTag>
      </w:smartTag>
    </w:p>
    <w:p w:rsidR="00340FD7" w:rsidRDefault="00340FD7" w:rsidP="003A3E20">
      <w:r>
        <w:t xml:space="preserve">I hereby submit Portfolio </w:t>
      </w:r>
      <w:smartTag w:uri="urn:schemas-microsoft-com:office:smarttags" w:element="PersonName">
        <w:r>
          <w:t>Budget</w:t>
        </w:r>
      </w:smartTag>
      <w:r>
        <w:t xml:space="preserve"> Statements in support of the 2011</w:t>
      </w:r>
      <w:r>
        <w:noBreakHyphen/>
        <w:t xml:space="preserve">12 </w:t>
      </w:r>
      <w:smartTag w:uri="urn:schemas-microsoft-com:office:smarttags" w:element="PersonName">
        <w:r>
          <w:t>Budget</w:t>
        </w:r>
      </w:smartTag>
      <w:r>
        <w:t xml:space="preserve"> for the </w:t>
      </w:r>
      <w:r w:rsidR="0040657D" w:rsidRPr="0040657D">
        <w:rPr>
          <w:rStyle w:val="ExampletextCharChar"/>
          <w:i w:val="0"/>
          <w:color w:val="auto"/>
        </w:rPr>
        <w:t>Human Services</w:t>
      </w:r>
      <w:r>
        <w:t xml:space="preserve"> portfolio.</w:t>
      </w:r>
    </w:p>
    <w:p w:rsidR="00340FD7" w:rsidRDefault="00340FD7" w:rsidP="003A3E20">
      <w:r>
        <w:t>These statements have been developed, and are submitted to the Parliament, as a statement on the outcomes for the portfolio.</w:t>
      </w:r>
    </w:p>
    <w:p w:rsidR="00340FD7" w:rsidRDefault="00340FD7" w:rsidP="003A3E20">
      <w:r>
        <w:t>I present these statements to provide accountability to the Parliament and, through it, the public.</w:t>
      </w:r>
    </w:p>
    <w:p w:rsidR="00340FD7" w:rsidRDefault="00340FD7" w:rsidP="003A3E20">
      <w:r>
        <w:t>Yours sincerely</w:t>
      </w:r>
    </w:p>
    <w:p w:rsidR="00340FD7" w:rsidRDefault="00340FD7" w:rsidP="003A3E20"/>
    <w:p w:rsidR="00340FD7" w:rsidRDefault="004806C5" w:rsidP="003A3E20">
      <w:r>
        <w:t>(Signed)</w:t>
      </w:r>
    </w:p>
    <w:p w:rsidR="00B753B2" w:rsidRDefault="00B753B2" w:rsidP="003A3E20"/>
    <w:p w:rsidR="00340FD7" w:rsidRPr="00B753B2" w:rsidRDefault="00B753B2" w:rsidP="003A3E20">
      <w:pPr>
        <w:pStyle w:val="Exampletext"/>
        <w:rPr>
          <w:b/>
          <w:i w:val="0"/>
          <w:color w:val="auto"/>
        </w:rPr>
      </w:pPr>
      <w:r w:rsidRPr="00B753B2">
        <w:rPr>
          <w:b/>
          <w:i w:val="0"/>
          <w:color w:val="auto"/>
        </w:rPr>
        <w:t>Tanya Plibersek</w:t>
      </w:r>
    </w:p>
    <w:p w:rsidR="00340FD7" w:rsidRDefault="00340FD7" w:rsidP="003A3E20">
      <w:pPr>
        <w:sectPr w:rsidR="00340FD7" w:rsidSect="00715386">
          <w:headerReference w:type="first" r:id="rId16"/>
          <w:pgSz w:w="11906" w:h="16838" w:code="9"/>
          <w:pgMar w:top="2466" w:right="2098" w:bottom="2466" w:left="2098" w:header="1899" w:footer="1899" w:gutter="0"/>
          <w:cols w:space="708"/>
          <w:titlePg/>
          <w:docGrid w:linePitch="360"/>
        </w:sectPr>
      </w:pPr>
    </w:p>
    <w:p w:rsidR="00340FD7" w:rsidRDefault="00340FD7" w:rsidP="003A3E20">
      <w:pPr>
        <w:pStyle w:val="Heading4"/>
        <w:jc w:val="both"/>
      </w:pPr>
      <w:r>
        <w:t>Abbreviations and conventions</w:t>
      </w:r>
    </w:p>
    <w:p w:rsidR="00340FD7" w:rsidRDefault="00340FD7" w:rsidP="003A3E20">
      <w:r>
        <w:t>The following notation may be used:</w:t>
      </w:r>
    </w:p>
    <w:p w:rsidR="00340FD7" w:rsidRDefault="00340FD7" w:rsidP="003A3E20">
      <w:pPr>
        <w:pStyle w:val="SingleParagraph"/>
        <w:tabs>
          <w:tab w:val="left" w:pos="2268"/>
        </w:tabs>
        <w:ind w:left="567"/>
      </w:pPr>
      <w:r>
        <w:t>NEC/nec</w:t>
      </w:r>
      <w:r>
        <w:tab/>
        <w:t>not elsewhere classified</w:t>
      </w:r>
    </w:p>
    <w:p w:rsidR="00340FD7" w:rsidRDefault="00340FD7" w:rsidP="003A3E20">
      <w:pPr>
        <w:pStyle w:val="SingleParagraph"/>
        <w:tabs>
          <w:tab w:val="left" w:pos="2268"/>
        </w:tabs>
        <w:ind w:left="567"/>
      </w:pPr>
      <w:r>
        <w:t xml:space="preserve"> </w:t>
      </w:r>
      <w:r>
        <w:tab/>
        <w:t>nil</w:t>
      </w:r>
    </w:p>
    <w:p w:rsidR="00340FD7" w:rsidRDefault="00340FD7" w:rsidP="003A3E20">
      <w:pPr>
        <w:pStyle w:val="SingleParagraph"/>
        <w:tabs>
          <w:tab w:val="left" w:pos="2268"/>
        </w:tabs>
        <w:ind w:left="567"/>
      </w:pPr>
      <w:r>
        <w:t>..</w:t>
      </w:r>
      <w:r>
        <w:tab/>
        <w:t>not zero, but rounded to zero</w:t>
      </w:r>
    </w:p>
    <w:p w:rsidR="00340FD7" w:rsidRDefault="00340FD7" w:rsidP="003A3E20">
      <w:pPr>
        <w:pStyle w:val="SingleParagraph"/>
        <w:tabs>
          <w:tab w:val="left" w:pos="2268"/>
        </w:tabs>
        <w:ind w:left="567"/>
      </w:pPr>
      <w:r>
        <w:t>na</w:t>
      </w:r>
      <w:r>
        <w:tab/>
        <w:t>not applicable (unless otherwise specified)</w:t>
      </w:r>
    </w:p>
    <w:p w:rsidR="00340FD7" w:rsidRDefault="00340FD7" w:rsidP="003A3E20">
      <w:pPr>
        <w:pStyle w:val="SingleParagraph"/>
        <w:tabs>
          <w:tab w:val="left" w:pos="2268"/>
        </w:tabs>
        <w:ind w:left="567"/>
      </w:pPr>
      <w:r>
        <w:t>nfp</w:t>
      </w:r>
      <w:r>
        <w:tab/>
        <w:t>not for publication</w:t>
      </w:r>
    </w:p>
    <w:p w:rsidR="00340FD7" w:rsidRDefault="00340FD7" w:rsidP="003A3E20">
      <w:pPr>
        <w:pStyle w:val="SingleParagraph"/>
        <w:tabs>
          <w:tab w:val="left" w:pos="2268"/>
        </w:tabs>
        <w:ind w:left="567"/>
      </w:pPr>
      <w:r>
        <w:t>$m</w:t>
      </w:r>
      <w:r>
        <w:tab/>
        <w:t>$ million</w:t>
      </w:r>
    </w:p>
    <w:p w:rsidR="00340FD7" w:rsidRDefault="00340FD7" w:rsidP="003A3E20">
      <w:pPr>
        <w:tabs>
          <w:tab w:val="left" w:pos="2268"/>
        </w:tabs>
        <w:ind w:left="567"/>
      </w:pPr>
      <w:r>
        <w:t>$b</w:t>
      </w:r>
      <w:r>
        <w:tab/>
        <w:t>$ billion</w:t>
      </w:r>
    </w:p>
    <w:p w:rsidR="00340FD7" w:rsidRDefault="00340FD7" w:rsidP="003A3E20">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340FD7" w:rsidRDefault="00340FD7" w:rsidP="003A3E20">
      <w:pPr>
        <w:pStyle w:val="Heading4"/>
        <w:jc w:val="both"/>
      </w:pPr>
      <w:r>
        <w:t>Enquiries</w:t>
      </w:r>
    </w:p>
    <w:p w:rsidR="00340FD7" w:rsidRDefault="00340FD7" w:rsidP="003A3E20">
      <w:r>
        <w:t xml:space="preserve">Should you have any enquiries regarding this publication please contact </w:t>
      </w:r>
      <w:r w:rsidR="0040657D" w:rsidRPr="0040657D">
        <w:t>Darren Box</w:t>
      </w:r>
      <w:r>
        <w:t xml:space="preserve">, Chief Financial Officer, Department of </w:t>
      </w:r>
      <w:r w:rsidR="0040657D" w:rsidRPr="0040657D">
        <w:t>Human Services</w:t>
      </w:r>
      <w:r>
        <w:t xml:space="preserve"> on (02) </w:t>
      </w:r>
      <w:r w:rsidR="0040657D">
        <w:t>6223</w:t>
      </w:r>
      <w:r w:rsidR="003F039D">
        <w:t xml:space="preserve"> </w:t>
      </w:r>
      <w:r w:rsidR="0040657D">
        <w:t>4433</w:t>
      </w:r>
      <w:r>
        <w:t>.</w:t>
      </w:r>
    </w:p>
    <w:p w:rsidR="004806C5" w:rsidRDefault="00340FD7" w:rsidP="003A3E20">
      <w:r>
        <w:t xml:space="preserve">A copy of this document can be located on the Australian Government </w:t>
      </w:r>
      <w:smartTag w:uri="urn:schemas-microsoft-com:office:smarttags" w:element="PersonName">
        <w:r>
          <w:t>Budget</w:t>
        </w:r>
      </w:smartTag>
      <w:r>
        <w:t xml:space="preserve"> website at: </w:t>
      </w:r>
      <w:r w:rsidRPr="00AA27AA">
        <w:t>http://www.budget.gov.au</w:t>
      </w:r>
      <w:r>
        <w:t>.</w:t>
      </w:r>
    </w:p>
    <w:p w:rsidR="00340FD7" w:rsidRDefault="004806C5" w:rsidP="004806C5">
      <w:r>
        <w:br w:type="page"/>
      </w:r>
    </w:p>
    <w:p w:rsidR="00340FD7" w:rsidRDefault="00340FD7" w:rsidP="005932CC">
      <w:pPr>
        <w:pStyle w:val="PartHeading"/>
      </w:pPr>
      <w:r>
        <w:t>User Guide</w:t>
      </w:r>
    </w:p>
    <w:p w:rsidR="00340FD7" w:rsidRDefault="00340FD7" w:rsidP="005932CC">
      <w:pPr>
        <w:pStyle w:val="PartHeading"/>
      </w:pPr>
      <w:r>
        <w:t>to the</w:t>
      </w:r>
    </w:p>
    <w:p w:rsidR="00340FD7" w:rsidRDefault="00340FD7" w:rsidP="005932CC">
      <w:pPr>
        <w:pStyle w:val="PartHeading"/>
      </w:pPr>
      <w:r>
        <w:t>Portfolio Budget Statements</w:t>
      </w:r>
    </w:p>
    <w:p w:rsidR="00340FD7" w:rsidRDefault="00340FD7" w:rsidP="003A3E20">
      <w:pPr>
        <w:sectPr w:rsidR="00340FD7" w:rsidSect="00715386">
          <w:headerReference w:type="even" r:id="rId17"/>
          <w:headerReference w:type="default" r:id="rId18"/>
          <w:headerReference w:type="first" r:id="rId19"/>
          <w:footerReference w:type="first" r:id="rId20"/>
          <w:pgSz w:w="11906" w:h="16838" w:code="9"/>
          <w:pgMar w:top="2466" w:right="2098" w:bottom="2466" w:left="2098" w:header="1899" w:footer="1899" w:gutter="0"/>
          <w:pgNumType w:fmt="lowerRoman"/>
          <w:cols w:space="708"/>
          <w:titlePg/>
          <w:docGrid w:linePitch="360"/>
        </w:sectPr>
      </w:pPr>
    </w:p>
    <w:p w:rsidR="00340FD7" w:rsidRDefault="00340FD7" w:rsidP="005932CC">
      <w:pPr>
        <w:pStyle w:val="Heading1"/>
        <w:rPr>
          <w:kern w:val="0"/>
          <w:lang w:val="en-US"/>
        </w:rPr>
      </w:pPr>
      <w:bookmarkStart w:id="1" w:name="_Toc112211948"/>
      <w:bookmarkStart w:id="2" w:name="_Toc112212042"/>
      <w:bookmarkStart w:id="3" w:name="_Toc112137860"/>
      <w:bookmarkStart w:id="4" w:name="_Toc112224367"/>
      <w:bookmarkStart w:id="5" w:name="_Toc112225828"/>
      <w:r>
        <w:rPr>
          <w:kern w:val="0"/>
          <w:lang w:val="en-US"/>
        </w:rPr>
        <w:t>User Guide</w:t>
      </w:r>
      <w:bookmarkEnd w:id="1"/>
      <w:bookmarkEnd w:id="2"/>
      <w:bookmarkEnd w:id="3"/>
      <w:bookmarkEnd w:id="4"/>
      <w:bookmarkEnd w:id="5"/>
    </w:p>
    <w:p w:rsidR="00340FD7" w:rsidRDefault="00340FD7" w:rsidP="003A3E20">
      <w:r>
        <w:t>The purpose of the 2011</w:t>
      </w:r>
      <w:r>
        <w:noBreakHyphen/>
        <w:t xml:space="preserve">12 Portfolio </w:t>
      </w:r>
      <w:smartTag w:uri="urn:schemas-microsoft-com:office:smarttags" w:element="PersonName">
        <w:r>
          <w:t>Budget</w:t>
        </w:r>
      </w:smartTag>
      <w:r>
        <w:t xml:space="preserve"> Statements (PB Statements) is to inform Senators and Members of Parliament of the proposed allocation of resources to Government outcomes by agencies within the portfolio. Agencies receive resources from the annual appropriations acts, special appropriations (including standing appropriations and special accounts), and revenue from other sources.</w:t>
      </w:r>
    </w:p>
    <w:p w:rsidR="00340FD7" w:rsidRDefault="00340FD7" w:rsidP="003A3E20">
      <w:r>
        <w:t>A key role of the PB Statements is to facilitate the understanding of proposed annual appropriations in Appropriation Bills No. 1 and No. 2 2011</w:t>
      </w:r>
      <w:r>
        <w:noBreakHyphen/>
        <w:t>12 (or Appropriation Bill [Parliamentary Departments] No. 1 2011</w:t>
      </w:r>
      <w:r>
        <w:noBreakHyphen/>
        <w:t xml:space="preserve">12 for the parliamentary departments). In this sense the PB Statements are </w:t>
      </w:r>
      <w:smartTag w:uri="urn:schemas-microsoft-com:office:smarttags" w:element="PersonName">
        <w:r>
          <w:t>Budget</w:t>
        </w:r>
      </w:smartTag>
      <w:r>
        <w:t xml:space="preserve"> related papers and are declared by the Appropriation Acts to be ‘relevant documents’ to the interpretation of the Acts according to section 15AB of the </w:t>
      </w:r>
      <w:r>
        <w:rPr>
          <w:i/>
        </w:rPr>
        <w:t>Acts Interpretation Act 1901</w:t>
      </w:r>
      <w:r>
        <w:t>.</w:t>
      </w:r>
    </w:p>
    <w:p w:rsidR="00340FD7" w:rsidRDefault="00340FD7" w:rsidP="003A3E20">
      <w:r>
        <w:t>The PB Statements provide information, explanation and justification to enable Parliament to understand the purpose of each outcome proposed in the Bills.</w:t>
      </w:r>
    </w:p>
    <w:p w:rsidR="00340FD7" w:rsidRDefault="00340FD7" w:rsidP="003A3E20">
      <w:pPr>
        <w:spacing w:after="0"/>
      </w:pPr>
      <w:r>
        <w:t xml:space="preserve">As required under section 12 of the </w:t>
      </w:r>
      <w:r>
        <w:rPr>
          <w:i/>
        </w:rPr>
        <w:t xml:space="preserve">Charter of </w:t>
      </w:r>
      <w:smartTag w:uri="urn:schemas-microsoft-com:office:smarttags" w:element="PersonName">
        <w:r>
          <w:rPr>
            <w:i/>
          </w:rPr>
          <w:t>Budget</w:t>
        </w:r>
      </w:smartTag>
      <w:r>
        <w:rPr>
          <w:i/>
        </w:rPr>
        <w:t xml:space="preserve"> Honesty Act 1998</w:t>
      </w:r>
      <w:r>
        <w:t>, non</w:t>
      </w:r>
      <w:r>
        <w:noBreakHyphen/>
        <w:t>general government sector entities are not consolidated into the Commonwealth general government sector fiscal estimates and accordingly, these entities are not reported in the PB Statements.</w:t>
      </w:r>
    </w:p>
    <w:p w:rsidR="00340FD7" w:rsidRDefault="00340FD7" w:rsidP="003A3E20">
      <w:pPr>
        <w:spacing w:after="0" w:line="240" w:lineRule="auto"/>
        <w:rPr>
          <w:rFonts w:ascii="Arial" w:hAnsi="Arial"/>
          <w:b/>
          <w:smallCaps/>
          <w:sz w:val="34"/>
        </w:rPr>
      </w:pPr>
      <w:r>
        <w:br w:type="page"/>
      </w:r>
    </w:p>
    <w:p w:rsidR="00340FD7" w:rsidRDefault="00340FD7" w:rsidP="005932CC">
      <w:pPr>
        <w:pStyle w:val="ContentsHeading"/>
      </w:pPr>
      <w:r>
        <w:t>Contents</w:t>
      </w:r>
    </w:p>
    <w:p w:rsidR="00340FD7" w:rsidRDefault="00340FD7" w:rsidP="003A3E20">
      <w:pPr>
        <w:pStyle w:val="TOC1"/>
        <w:jc w:val="both"/>
        <w:rPr>
          <w:rFonts w:ascii="Times New Roman" w:hAnsi="Times New Roman"/>
          <w:b w:val="0"/>
          <w:noProof/>
          <w:sz w:val="24"/>
          <w:szCs w:val="24"/>
        </w:rPr>
      </w:pPr>
      <w:r>
        <w:rPr>
          <w:noProof/>
        </w:rPr>
        <w:t>Portfolio Overview</w:t>
      </w:r>
      <w:r>
        <w:rPr>
          <w:noProof/>
        </w:rPr>
        <w:tab/>
      </w:r>
      <w:r w:rsidR="004F6201">
        <w:rPr>
          <w:noProof/>
        </w:rPr>
        <w:fldChar w:fldCharType="begin"/>
      </w:r>
      <w:r w:rsidR="004F6201">
        <w:rPr>
          <w:noProof/>
        </w:rPr>
        <w:instrText xml:space="preserve"> PAGEREF _Ref291675792 \h </w:instrText>
      </w:r>
      <w:r w:rsidR="004F6201">
        <w:rPr>
          <w:noProof/>
        </w:rPr>
      </w:r>
      <w:r w:rsidR="004F6201">
        <w:rPr>
          <w:noProof/>
        </w:rPr>
        <w:fldChar w:fldCharType="separate"/>
      </w:r>
      <w:r w:rsidR="00CF5C30">
        <w:rPr>
          <w:noProof/>
        </w:rPr>
        <w:t>1</w:t>
      </w:r>
      <w:r w:rsidR="004F6201">
        <w:rPr>
          <w:noProof/>
        </w:rPr>
        <w:fldChar w:fldCharType="end"/>
      </w:r>
    </w:p>
    <w:p w:rsidR="00340FD7" w:rsidRDefault="00977D1D" w:rsidP="003A3E20">
      <w:pPr>
        <w:pStyle w:val="TOC2"/>
        <w:jc w:val="both"/>
        <w:rPr>
          <w:rFonts w:ascii="Times New Roman" w:hAnsi="Times New Roman"/>
          <w:noProof/>
          <w:sz w:val="24"/>
          <w:szCs w:val="24"/>
        </w:rPr>
      </w:pPr>
      <w:r>
        <w:rPr>
          <w:noProof/>
        </w:rPr>
        <w:t xml:space="preserve">Human Services </w:t>
      </w:r>
      <w:r w:rsidR="00340FD7">
        <w:rPr>
          <w:noProof/>
        </w:rPr>
        <w:t>Portfolio Overview</w:t>
      </w:r>
      <w:r w:rsidR="00340FD7">
        <w:rPr>
          <w:noProof/>
        </w:rPr>
        <w:tab/>
      </w:r>
      <w:r w:rsidR="004F6201">
        <w:rPr>
          <w:noProof/>
        </w:rPr>
        <w:fldChar w:fldCharType="begin"/>
      </w:r>
      <w:r w:rsidR="004F6201">
        <w:rPr>
          <w:noProof/>
        </w:rPr>
        <w:instrText xml:space="preserve"> PAGEREF _Ref291675853 \h </w:instrText>
      </w:r>
      <w:r w:rsidR="004F6201">
        <w:rPr>
          <w:noProof/>
        </w:rPr>
      </w:r>
      <w:r w:rsidR="004F6201">
        <w:rPr>
          <w:noProof/>
        </w:rPr>
        <w:fldChar w:fldCharType="separate"/>
      </w:r>
      <w:r w:rsidR="00CF5C30">
        <w:rPr>
          <w:noProof/>
        </w:rPr>
        <w:t>3</w:t>
      </w:r>
      <w:r w:rsidR="004F6201">
        <w:rPr>
          <w:noProof/>
        </w:rPr>
        <w:fldChar w:fldCharType="end"/>
      </w:r>
    </w:p>
    <w:p w:rsidR="00340FD7" w:rsidRDefault="00340FD7" w:rsidP="003A3E20">
      <w:pPr>
        <w:pStyle w:val="TOC1"/>
        <w:jc w:val="both"/>
        <w:rPr>
          <w:rFonts w:ascii="Times New Roman" w:hAnsi="Times New Roman"/>
          <w:b w:val="0"/>
          <w:noProof/>
          <w:sz w:val="24"/>
          <w:szCs w:val="24"/>
        </w:rPr>
      </w:pPr>
      <w:r>
        <w:rPr>
          <w:noProof/>
        </w:rPr>
        <w:t>Agency Resources and Planned Performance</w:t>
      </w:r>
      <w:r>
        <w:rPr>
          <w:noProof/>
        </w:rPr>
        <w:tab/>
      </w:r>
      <w:r w:rsidR="004F6201">
        <w:rPr>
          <w:noProof/>
        </w:rPr>
        <w:fldChar w:fldCharType="begin"/>
      </w:r>
      <w:r w:rsidR="004F6201">
        <w:rPr>
          <w:noProof/>
        </w:rPr>
        <w:instrText xml:space="preserve"> PAGEREF _Ref291675942 \h </w:instrText>
      </w:r>
      <w:r w:rsidR="004F6201">
        <w:rPr>
          <w:noProof/>
        </w:rPr>
      </w:r>
      <w:r w:rsidR="004F6201">
        <w:rPr>
          <w:noProof/>
        </w:rPr>
        <w:fldChar w:fldCharType="separate"/>
      </w:r>
      <w:r w:rsidR="00CF5C30">
        <w:rPr>
          <w:noProof/>
        </w:rPr>
        <w:t>9</w:t>
      </w:r>
      <w:r w:rsidR="004F6201">
        <w:rPr>
          <w:noProof/>
        </w:rPr>
        <w:fldChar w:fldCharType="end"/>
      </w:r>
    </w:p>
    <w:p w:rsidR="00340FD7" w:rsidRDefault="00EB0B45" w:rsidP="003A3E20">
      <w:pPr>
        <w:pStyle w:val="TOC2"/>
        <w:jc w:val="both"/>
        <w:rPr>
          <w:noProof/>
        </w:rPr>
      </w:pPr>
      <w:r>
        <w:rPr>
          <w:noProof/>
        </w:rPr>
        <w:t xml:space="preserve">Department of </w:t>
      </w:r>
      <w:r w:rsidR="00977D1D">
        <w:rPr>
          <w:noProof/>
        </w:rPr>
        <w:t>Human Services</w:t>
      </w:r>
      <w:r w:rsidR="00340FD7">
        <w:rPr>
          <w:noProof/>
        </w:rPr>
        <w:tab/>
      </w:r>
      <w:r w:rsidR="004F6201">
        <w:rPr>
          <w:noProof/>
        </w:rPr>
        <w:fldChar w:fldCharType="begin"/>
      </w:r>
      <w:r w:rsidR="004F6201">
        <w:rPr>
          <w:noProof/>
        </w:rPr>
        <w:instrText xml:space="preserve"> PAGEREF _Ref291676185 \h </w:instrText>
      </w:r>
      <w:r w:rsidR="004F6201">
        <w:rPr>
          <w:noProof/>
        </w:rPr>
      </w:r>
      <w:r w:rsidR="004F6201">
        <w:rPr>
          <w:noProof/>
        </w:rPr>
        <w:fldChar w:fldCharType="separate"/>
      </w:r>
      <w:r w:rsidR="00CF5C30">
        <w:rPr>
          <w:noProof/>
        </w:rPr>
        <w:t>13</w:t>
      </w:r>
      <w:r w:rsidR="004F6201">
        <w:rPr>
          <w:noProof/>
        </w:rPr>
        <w:fldChar w:fldCharType="end"/>
      </w:r>
    </w:p>
    <w:p w:rsidR="00340FD7" w:rsidRDefault="00340FD7" w:rsidP="00EC379B">
      <w:pPr>
        <w:pStyle w:val="TOC1"/>
        <w:jc w:val="both"/>
        <w:rPr>
          <w:noProof/>
        </w:rPr>
      </w:pPr>
      <w:r>
        <w:rPr>
          <w:noProof/>
        </w:rPr>
        <w:t>Glossary</w:t>
      </w:r>
      <w:r>
        <w:rPr>
          <w:noProof/>
        </w:rPr>
        <w:tab/>
      </w:r>
      <w:r w:rsidR="00EC379B">
        <w:rPr>
          <w:noProof/>
        </w:rPr>
        <w:fldChar w:fldCharType="begin"/>
      </w:r>
      <w:r w:rsidR="00EC379B">
        <w:rPr>
          <w:noProof/>
        </w:rPr>
        <w:instrText xml:space="preserve"> PAGEREF _Ref291676974 \h </w:instrText>
      </w:r>
      <w:r w:rsidR="00EC379B">
        <w:rPr>
          <w:noProof/>
        </w:rPr>
      </w:r>
      <w:r w:rsidR="00EC379B">
        <w:rPr>
          <w:noProof/>
        </w:rPr>
        <w:fldChar w:fldCharType="separate"/>
      </w:r>
      <w:r w:rsidR="00CF5C30">
        <w:rPr>
          <w:noProof/>
        </w:rPr>
        <w:t>63</w:t>
      </w:r>
      <w:r w:rsidR="00EC379B">
        <w:rPr>
          <w:noProof/>
        </w:rPr>
        <w:fldChar w:fldCharType="end"/>
      </w:r>
    </w:p>
    <w:p w:rsidR="00EC379B" w:rsidRPr="00EC379B" w:rsidRDefault="00EC379B" w:rsidP="00EC379B"/>
    <w:p w:rsidR="00340FD7" w:rsidRDefault="00340FD7" w:rsidP="003A3E20">
      <w:pPr>
        <w:sectPr w:rsidR="00340FD7" w:rsidSect="00715386">
          <w:headerReference w:type="even" r:id="rId21"/>
          <w:headerReference w:type="default" r:id="rId22"/>
          <w:headerReference w:type="first" r:id="rId23"/>
          <w:footerReference w:type="first" r:id="rId24"/>
          <w:pgSz w:w="11906" w:h="16838" w:code="9"/>
          <w:pgMar w:top="2466" w:right="2098" w:bottom="2466" w:left="2098" w:header="1899" w:footer="1899" w:gutter="0"/>
          <w:pgNumType w:fmt="lowerRoman"/>
          <w:cols w:space="708"/>
          <w:titlePg/>
          <w:docGrid w:linePitch="360"/>
        </w:sectPr>
      </w:pPr>
    </w:p>
    <w:p w:rsidR="00340FD7" w:rsidRPr="00E71420" w:rsidRDefault="00340FD7" w:rsidP="00E71420">
      <w:pPr>
        <w:pStyle w:val="Heading1"/>
        <w:rPr>
          <w:sz w:val="52"/>
          <w:szCs w:val="52"/>
        </w:rPr>
      </w:pPr>
      <w:bookmarkStart w:id="6" w:name="_Toc190766147"/>
      <w:bookmarkStart w:id="7" w:name="_Ref291675792"/>
      <w:r w:rsidRPr="00E71420">
        <w:rPr>
          <w:sz w:val="52"/>
          <w:szCs w:val="52"/>
        </w:rPr>
        <w:t xml:space="preserve">Portfolio </w:t>
      </w:r>
      <w:bookmarkEnd w:id="6"/>
      <w:r w:rsidRPr="00E71420">
        <w:rPr>
          <w:sz w:val="52"/>
          <w:szCs w:val="52"/>
        </w:rPr>
        <w:t>Overview</w:t>
      </w:r>
      <w:bookmarkEnd w:id="7"/>
    </w:p>
    <w:p w:rsidR="00340FD7" w:rsidRDefault="00340FD7" w:rsidP="003A3E20">
      <w:pPr>
        <w:sectPr w:rsidR="00340FD7" w:rsidSect="00715386">
          <w:headerReference w:type="even" r:id="rId25"/>
          <w:headerReference w:type="default" r:id="rId26"/>
          <w:headerReference w:type="first" r:id="rId27"/>
          <w:footerReference w:type="first" r:id="rId28"/>
          <w:type w:val="oddPage"/>
          <w:pgSz w:w="11906" w:h="16838" w:code="9"/>
          <w:pgMar w:top="2466" w:right="2098" w:bottom="2466" w:left="2098" w:header="1899" w:footer="1899" w:gutter="0"/>
          <w:pgNumType w:start="1"/>
          <w:cols w:space="708"/>
          <w:vAlign w:val="center"/>
          <w:titlePg/>
          <w:docGrid w:linePitch="360"/>
        </w:sectPr>
      </w:pPr>
    </w:p>
    <w:p w:rsidR="00340FD7" w:rsidRDefault="00DD5BEC" w:rsidP="004F6201">
      <w:pPr>
        <w:pStyle w:val="Heading1"/>
      </w:pPr>
      <w:bookmarkStart w:id="8" w:name="_Toc190766148"/>
      <w:bookmarkStart w:id="9" w:name="_Ref291675853"/>
      <w:r>
        <w:t>Human Services</w:t>
      </w:r>
      <w:r w:rsidR="00340FD7">
        <w:t xml:space="preserve"> Portfolio Overview</w:t>
      </w:r>
      <w:bookmarkEnd w:id="8"/>
      <w:bookmarkEnd w:id="9"/>
    </w:p>
    <w:p w:rsidR="00340FD7" w:rsidRDefault="00340FD7" w:rsidP="003A3E20">
      <w:pPr>
        <w:pStyle w:val="Heading2"/>
        <w:jc w:val="both"/>
      </w:pPr>
      <w:bookmarkStart w:id="10" w:name="_Toc190682306"/>
      <w:r>
        <w:t>Minister</w:t>
      </w:r>
      <w:r w:rsidR="003F1DFA">
        <w:t xml:space="preserve"> </w:t>
      </w:r>
      <w:r>
        <w:t>and portfolio responsibilities</w:t>
      </w:r>
      <w:bookmarkEnd w:id="10"/>
    </w:p>
    <w:p w:rsidR="00006206" w:rsidRPr="00567E2A" w:rsidRDefault="00006206" w:rsidP="00006206">
      <w:pPr>
        <w:autoSpaceDE w:val="0"/>
        <w:autoSpaceDN w:val="0"/>
        <w:adjustRightInd w:val="0"/>
        <w:spacing w:line="240" w:lineRule="auto"/>
        <w:jc w:val="left"/>
        <w:rPr>
          <w:rFonts w:cs="Book Antiqua"/>
          <w:color w:val="000000"/>
        </w:rPr>
      </w:pPr>
      <w:r w:rsidRPr="00567E2A">
        <w:rPr>
          <w:rFonts w:cs="Book Antiqua"/>
          <w:color w:val="000000"/>
        </w:rPr>
        <w:t>The Department of Human Services was created on 26 October 2004, as part of the Finance</w:t>
      </w:r>
      <w:r w:rsidR="00624514">
        <w:rPr>
          <w:rFonts w:cs="Book Antiqua"/>
          <w:color w:val="000000"/>
        </w:rPr>
        <w:t xml:space="preserve"> and Administration</w:t>
      </w:r>
      <w:r w:rsidRPr="00567E2A">
        <w:rPr>
          <w:rFonts w:cs="Book Antiqua"/>
          <w:color w:val="000000"/>
        </w:rPr>
        <w:t xml:space="preserve"> </w:t>
      </w:r>
      <w:r>
        <w:rPr>
          <w:rFonts w:cs="Book Antiqua"/>
          <w:color w:val="000000"/>
        </w:rPr>
        <w:t>portfolio</w:t>
      </w:r>
      <w:r w:rsidRPr="00567E2A">
        <w:rPr>
          <w:rFonts w:cs="Book Antiqua"/>
          <w:color w:val="000000"/>
        </w:rPr>
        <w:t xml:space="preserve">, to improve the development and delivery of </w:t>
      </w:r>
      <w:r w:rsidR="00EB0B45">
        <w:rPr>
          <w:rFonts w:cs="Book Antiqua"/>
          <w:color w:val="000000"/>
        </w:rPr>
        <w:t>g</w:t>
      </w:r>
      <w:r w:rsidRPr="00567E2A">
        <w:rPr>
          <w:rFonts w:cs="Book Antiqua"/>
          <w:color w:val="000000"/>
        </w:rPr>
        <w:t xml:space="preserve">overnment social and health related services to the Australian people. </w:t>
      </w:r>
    </w:p>
    <w:p w:rsidR="00006206" w:rsidRPr="00567E2A" w:rsidRDefault="00006206" w:rsidP="00006206">
      <w:pPr>
        <w:autoSpaceDE w:val="0"/>
        <w:autoSpaceDN w:val="0"/>
        <w:adjustRightInd w:val="0"/>
        <w:spacing w:line="240" w:lineRule="auto"/>
        <w:rPr>
          <w:rFonts w:cs="Book Antiqua"/>
          <w:color w:val="000000"/>
        </w:rPr>
      </w:pPr>
      <w:r w:rsidRPr="00567E2A">
        <w:rPr>
          <w:rFonts w:cs="Book Antiqua"/>
          <w:color w:val="000000"/>
        </w:rPr>
        <w:t>As a result of the Administrative Arrangements Orders (AAOs) issued on 30</w:t>
      </w:r>
      <w:r w:rsidR="00977D1D">
        <w:rPr>
          <w:rFonts w:cs="Book Antiqua"/>
          <w:color w:val="000000"/>
        </w:rPr>
        <w:t> </w:t>
      </w:r>
      <w:r w:rsidRPr="00567E2A">
        <w:rPr>
          <w:rFonts w:cs="Book Antiqua"/>
          <w:color w:val="000000"/>
        </w:rPr>
        <w:t>January</w:t>
      </w:r>
      <w:r w:rsidR="00977D1D">
        <w:rPr>
          <w:rFonts w:cs="Book Antiqua"/>
          <w:color w:val="000000"/>
        </w:rPr>
        <w:t> </w:t>
      </w:r>
      <w:r w:rsidRPr="00567E2A">
        <w:rPr>
          <w:rFonts w:cs="Book Antiqua"/>
          <w:color w:val="000000"/>
        </w:rPr>
        <w:t xml:space="preserve">2007, the Department of Human Services and its agencies were transferred to a newly created Human Services </w:t>
      </w:r>
      <w:r>
        <w:rPr>
          <w:rFonts w:cs="Book Antiqua"/>
          <w:color w:val="000000"/>
        </w:rPr>
        <w:t>portfolio</w:t>
      </w:r>
      <w:r w:rsidRPr="00567E2A">
        <w:rPr>
          <w:rFonts w:cs="Book Antiqua"/>
          <w:color w:val="000000"/>
        </w:rPr>
        <w:t xml:space="preserve">. </w:t>
      </w:r>
    </w:p>
    <w:p w:rsidR="00006206" w:rsidRDefault="00006206" w:rsidP="00006206">
      <w:pPr>
        <w:autoSpaceDE w:val="0"/>
        <w:autoSpaceDN w:val="0"/>
        <w:adjustRightInd w:val="0"/>
        <w:spacing w:after="0" w:line="240" w:lineRule="auto"/>
        <w:jc w:val="left"/>
        <w:rPr>
          <w:rFonts w:ascii="Arial" w:hAnsi="Arial" w:cs="Arial"/>
          <w:iCs/>
        </w:rPr>
      </w:pPr>
      <w:r w:rsidRPr="00D06379">
        <w:rPr>
          <w:rFonts w:cs="Book Antiqua"/>
          <w:color w:val="000000"/>
        </w:rPr>
        <w:t xml:space="preserve">The Human Services </w:t>
      </w:r>
      <w:r w:rsidR="00D8776F">
        <w:rPr>
          <w:rFonts w:cs="Book Antiqua"/>
          <w:color w:val="000000"/>
        </w:rPr>
        <w:t xml:space="preserve">portfolio </w:t>
      </w:r>
      <w:r w:rsidRPr="00D06379">
        <w:rPr>
          <w:rFonts w:cs="Book Antiqua"/>
          <w:color w:val="000000"/>
        </w:rPr>
        <w:t xml:space="preserve">provides policy advice on service delivery matters to government </w:t>
      </w:r>
      <w:r w:rsidR="00D8776F">
        <w:rPr>
          <w:rFonts w:cs="Book Antiqua"/>
          <w:color w:val="000000"/>
        </w:rPr>
        <w:t xml:space="preserve">to </w:t>
      </w:r>
      <w:r w:rsidRPr="00D06379">
        <w:rPr>
          <w:rFonts w:cs="Book Antiqua"/>
          <w:color w:val="000000"/>
        </w:rPr>
        <w:t>ensure effective, innovative, and efficient implementation of Government service delivery</w:t>
      </w:r>
      <w:r w:rsidR="00D8776F">
        <w:rPr>
          <w:rFonts w:cs="Book Antiqua"/>
          <w:color w:val="000000"/>
        </w:rPr>
        <w:t>. The portfolio also</w:t>
      </w:r>
      <w:r w:rsidRPr="00D06379" w:rsidDel="00FE06F3">
        <w:rPr>
          <w:rFonts w:cs="Book Antiqua"/>
          <w:color w:val="000000"/>
        </w:rPr>
        <w:t xml:space="preserve"> </w:t>
      </w:r>
      <w:r w:rsidRPr="00D06379">
        <w:rPr>
          <w:rFonts w:cs="Book Antiqua"/>
          <w:bCs/>
          <w:color w:val="000000"/>
        </w:rPr>
        <w:t xml:space="preserve">delivers a range of government and other payments and services to Australians. </w:t>
      </w:r>
    </w:p>
    <w:p w:rsidR="00006206" w:rsidRPr="006C0CBD" w:rsidRDefault="00006206" w:rsidP="00006206">
      <w:pPr>
        <w:spacing w:before="100" w:beforeAutospacing="1" w:after="100" w:afterAutospacing="1" w:line="240" w:lineRule="auto"/>
        <w:jc w:val="left"/>
        <w:rPr>
          <w:rFonts w:cs="Book Antiqua"/>
          <w:b/>
          <w:i/>
          <w:color w:val="000000"/>
        </w:rPr>
      </w:pPr>
      <w:r w:rsidRPr="006C0CBD">
        <w:rPr>
          <w:rFonts w:cs="Book Antiqua"/>
          <w:b/>
          <w:i/>
          <w:color w:val="000000"/>
        </w:rPr>
        <w:t xml:space="preserve">New portfolio governance arrangements </w:t>
      </w:r>
    </w:p>
    <w:p w:rsidR="003F3B22" w:rsidRPr="003F3B22" w:rsidRDefault="003F3B22" w:rsidP="003F3B22">
      <w:pPr>
        <w:autoSpaceDE w:val="0"/>
        <w:autoSpaceDN w:val="0"/>
        <w:adjustRightInd w:val="0"/>
        <w:spacing w:before="100" w:after="100" w:line="240" w:lineRule="auto"/>
        <w:jc w:val="left"/>
        <w:rPr>
          <w:rFonts w:cs="Book Antiqua"/>
          <w:color w:val="000000"/>
        </w:rPr>
      </w:pPr>
      <w:r w:rsidRPr="003F3B22">
        <w:rPr>
          <w:rFonts w:cs="Book Antiqua"/>
          <w:color w:val="000000"/>
        </w:rPr>
        <w:t xml:space="preserve">The </w:t>
      </w:r>
      <w:r w:rsidR="005A1122">
        <w:rPr>
          <w:rFonts w:cs="Book Antiqua"/>
          <w:i/>
          <w:color w:val="000000"/>
        </w:rPr>
        <w:t xml:space="preserve">Human Services Legislation Amendment Bill 2011 </w:t>
      </w:r>
      <w:r w:rsidRPr="003F3B22">
        <w:rPr>
          <w:rFonts w:cs="Book Antiqua"/>
          <w:color w:val="000000"/>
        </w:rPr>
        <w:t xml:space="preserve">is drafted to integrate Centrelink and Medicare </w:t>
      </w:r>
      <w:smartTag w:uri="urn:schemas-microsoft-com:office:smarttags" w:element="country-region">
        <w:smartTag w:uri="urn:schemas-microsoft-com:office:smarttags" w:element="place">
          <w:r w:rsidRPr="003F3B22">
            <w:rPr>
              <w:rFonts w:cs="Book Antiqua"/>
              <w:color w:val="000000"/>
            </w:rPr>
            <w:t>Australia</w:t>
          </w:r>
        </w:smartTag>
      </w:smartTag>
      <w:r w:rsidRPr="003F3B22">
        <w:rPr>
          <w:rFonts w:cs="Book Antiqua"/>
          <w:color w:val="000000"/>
        </w:rPr>
        <w:t xml:space="preserve"> into the Department of Human Services from 1</w:t>
      </w:r>
      <w:r w:rsidR="00977D1D">
        <w:rPr>
          <w:rFonts w:cs="Book Antiqua"/>
          <w:color w:val="000000"/>
        </w:rPr>
        <w:t> </w:t>
      </w:r>
      <w:r w:rsidRPr="003F3B22">
        <w:rPr>
          <w:rFonts w:cs="Book Antiqua"/>
          <w:color w:val="000000"/>
        </w:rPr>
        <w:t>July</w:t>
      </w:r>
      <w:r w:rsidR="00977D1D">
        <w:rPr>
          <w:rFonts w:cs="Book Antiqua"/>
          <w:color w:val="000000"/>
        </w:rPr>
        <w:t> </w:t>
      </w:r>
      <w:r w:rsidRPr="003F3B22">
        <w:rPr>
          <w:rFonts w:cs="Book Antiqua"/>
          <w:color w:val="000000"/>
        </w:rPr>
        <w:t xml:space="preserve">2011. It is therefore intended that all programs currently delivered by Medicare Australia and Centrelink would be delivered by the Department from that date. </w:t>
      </w:r>
    </w:p>
    <w:p w:rsidR="003F3B22" w:rsidRPr="003F3B22" w:rsidRDefault="003F3B22" w:rsidP="003F3B22">
      <w:pPr>
        <w:autoSpaceDE w:val="0"/>
        <w:autoSpaceDN w:val="0"/>
        <w:adjustRightInd w:val="0"/>
        <w:spacing w:before="100" w:after="100" w:line="240" w:lineRule="auto"/>
        <w:jc w:val="left"/>
        <w:rPr>
          <w:rFonts w:cs="Book Antiqua"/>
          <w:color w:val="000000"/>
        </w:rPr>
      </w:pPr>
      <w:r w:rsidRPr="003F3B22">
        <w:rPr>
          <w:rFonts w:cs="Book Antiqua"/>
          <w:color w:val="000000"/>
        </w:rPr>
        <w:t xml:space="preserve">The </w:t>
      </w:r>
      <w:r w:rsidR="00EB0B45">
        <w:rPr>
          <w:rFonts w:cs="Book Antiqua"/>
          <w:color w:val="000000"/>
        </w:rPr>
        <w:t xml:space="preserve">2011-12 </w:t>
      </w:r>
      <w:r w:rsidRPr="003F3B22">
        <w:rPr>
          <w:rFonts w:cs="Book Antiqua"/>
          <w:color w:val="000000"/>
        </w:rPr>
        <w:t>Appropriation Bills are drafted on the basis that integration occurs on 1</w:t>
      </w:r>
      <w:r w:rsidR="00EB0B45">
        <w:rPr>
          <w:rFonts w:cs="Book Antiqua"/>
          <w:color w:val="000000"/>
        </w:rPr>
        <w:t> </w:t>
      </w:r>
      <w:r w:rsidRPr="003F3B22">
        <w:rPr>
          <w:rFonts w:cs="Book Antiqua"/>
          <w:color w:val="000000"/>
        </w:rPr>
        <w:t xml:space="preserve">July 2011, and therefore contain appropriations for the 2011-12 </w:t>
      </w:r>
      <w:smartTag w:uri="urn:schemas-microsoft-com:office:smarttags" w:element="PersonName">
        <w:r w:rsidRPr="003F3B22">
          <w:rPr>
            <w:rFonts w:cs="Book Antiqua"/>
            <w:color w:val="000000"/>
          </w:rPr>
          <w:t>Budget</w:t>
        </w:r>
      </w:smartTag>
      <w:r w:rsidRPr="003F3B22">
        <w:rPr>
          <w:rFonts w:cs="Book Antiqua"/>
          <w:color w:val="000000"/>
        </w:rPr>
        <w:t xml:space="preserve"> year only for the Department of Human Services, and nil for Centrelink and Medicare </w:t>
      </w:r>
      <w:smartTag w:uri="urn:schemas-microsoft-com:office:smarttags" w:element="place">
        <w:smartTag w:uri="urn:schemas-microsoft-com:office:smarttags" w:element="country-region">
          <w:r w:rsidRPr="003F3B22">
            <w:rPr>
              <w:rFonts w:cs="Book Antiqua"/>
              <w:color w:val="000000"/>
            </w:rPr>
            <w:t>Australia</w:t>
          </w:r>
        </w:smartTag>
      </w:smartTag>
      <w:r w:rsidRPr="003F3B22">
        <w:rPr>
          <w:rFonts w:cs="Book Antiqua"/>
          <w:color w:val="000000"/>
        </w:rPr>
        <w:t xml:space="preserve">. </w:t>
      </w:r>
    </w:p>
    <w:p w:rsidR="00006206" w:rsidRPr="006C0CBD" w:rsidRDefault="003F3B22" w:rsidP="003F3B22">
      <w:pPr>
        <w:spacing w:after="0" w:line="240" w:lineRule="auto"/>
        <w:jc w:val="left"/>
        <w:rPr>
          <w:rFonts w:cs="Book Antiqua"/>
          <w:color w:val="000000"/>
        </w:rPr>
      </w:pPr>
      <w:r w:rsidRPr="003F3B22">
        <w:rPr>
          <w:rFonts w:cs="Book Antiqua"/>
          <w:color w:val="000000"/>
        </w:rPr>
        <w:t xml:space="preserve">However, if the </w:t>
      </w:r>
      <w:r w:rsidR="005A1122">
        <w:rPr>
          <w:rFonts w:cs="Book Antiqua"/>
          <w:i/>
          <w:color w:val="000000"/>
        </w:rPr>
        <w:t xml:space="preserve">Human Services Legislation Amendment Bill 2011 </w:t>
      </w:r>
      <w:r w:rsidRPr="003F3B22">
        <w:rPr>
          <w:rFonts w:cs="Book Antiqua"/>
          <w:color w:val="000000"/>
        </w:rPr>
        <w:t>does not come into effect on 1 July 2011, Medicare Australia and Centrelink w</w:t>
      </w:r>
      <w:r w:rsidR="00FE1D8E">
        <w:rPr>
          <w:rFonts w:cs="Book Antiqua"/>
          <w:color w:val="000000"/>
        </w:rPr>
        <w:t>ill</w:t>
      </w:r>
      <w:r w:rsidRPr="003F3B22">
        <w:rPr>
          <w:rFonts w:cs="Book Antiqua"/>
          <w:color w:val="000000"/>
        </w:rPr>
        <w:t xml:space="preserve"> remain separate agencies until such time as the legislation comes into effect. The Appropriation Bills therefore contain contingency provisions that would effectively split the Department of Human Services appropriations into separate appropriations for the three agencies.</w:t>
      </w:r>
    </w:p>
    <w:p w:rsidR="00006206" w:rsidRPr="00567E2A" w:rsidRDefault="00006206" w:rsidP="00006206">
      <w:pPr>
        <w:autoSpaceDE w:val="0"/>
        <w:autoSpaceDN w:val="0"/>
        <w:adjustRightInd w:val="0"/>
        <w:spacing w:before="240" w:line="240" w:lineRule="auto"/>
        <w:jc w:val="left"/>
        <w:rPr>
          <w:rFonts w:ascii="Arial" w:hAnsi="Arial" w:cs="Arial"/>
          <w:color w:val="000000"/>
          <w:sz w:val="21"/>
          <w:szCs w:val="21"/>
        </w:rPr>
      </w:pPr>
      <w:r w:rsidRPr="00567E2A">
        <w:rPr>
          <w:rFonts w:ascii="Arial" w:hAnsi="Arial" w:cs="Arial"/>
          <w:b/>
          <w:bCs/>
          <w:color w:val="000000"/>
          <w:sz w:val="26"/>
          <w:szCs w:val="26"/>
        </w:rPr>
        <w:t>H</w:t>
      </w:r>
      <w:r w:rsidRPr="00567E2A">
        <w:rPr>
          <w:rFonts w:ascii="Arial" w:hAnsi="Arial" w:cs="Arial"/>
          <w:b/>
          <w:bCs/>
          <w:color w:val="000000"/>
          <w:sz w:val="21"/>
          <w:szCs w:val="21"/>
        </w:rPr>
        <w:t xml:space="preserve">UMAN </w:t>
      </w:r>
      <w:r w:rsidRPr="00567E2A">
        <w:rPr>
          <w:rFonts w:ascii="Arial" w:hAnsi="Arial" w:cs="Arial"/>
          <w:b/>
          <w:bCs/>
          <w:color w:val="000000"/>
          <w:sz w:val="26"/>
          <w:szCs w:val="26"/>
        </w:rPr>
        <w:t>S</w:t>
      </w:r>
      <w:r w:rsidRPr="00567E2A">
        <w:rPr>
          <w:rFonts w:ascii="Arial" w:hAnsi="Arial" w:cs="Arial"/>
          <w:b/>
          <w:bCs/>
          <w:color w:val="000000"/>
          <w:sz w:val="21"/>
          <w:szCs w:val="21"/>
        </w:rPr>
        <w:t xml:space="preserve">ERVICES </w:t>
      </w:r>
      <w:r w:rsidRPr="00567E2A">
        <w:rPr>
          <w:rFonts w:ascii="Arial" w:hAnsi="Arial" w:cs="Arial"/>
          <w:b/>
          <w:bCs/>
          <w:color w:val="000000"/>
          <w:sz w:val="26"/>
          <w:szCs w:val="26"/>
        </w:rPr>
        <w:t>A</w:t>
      </w:r>
      <w:r w:rsidRPr="00567E2A">
        <w:rPr>
          <w:rFonts w:ascii="Arial" w:hAnsi="Arial" w:cs="Arial"/>
          <w:b/>
          <w:bCs/>
          <w:color w:val="000000"/>
          <w:sz w:val="21"/>
          <w:szCs w:val="21"/>
        </w:rPr>
        <w:t xml:space="preserve">GENCIES </w:t>
      </w:r>
    </w:p>
    <w:p w:rsidR="00006206" w:rsidRPr="00567E2A" w:rsidRDefault="00006206" w:rsidP="00006206">
      <w:pPr>
        <w:autoSpaceDE w:val="0"/>
        <w:autoSpaceDN w:val="0"/>
        <w:adjustRightInd w:val="0"/>
        <w:spacing w:before="240" w:line="240" w:lineRule="auto"/>
        <w:jc w:val="left"/>
        <w:rPr>
          <w:rFonts w:ascii="Arial" w:hAnsi="Arial" w:cs="Arial"/>
          <w:color w:val="000000"/>
          <w:sz w:val="21"/>
          <w:szCs w:val="21"/>
        </w:rPr>
      </w:pPr>
      <w:r w:rsidRPr="00567E2A">
        <w:rPr>
          <w:rFonts w:ascii="Arial" w:hAnsi="Arial" w:cs="Arial"/>
          <w:b/>
          <w:bCs/>
          <w:color w:val="000000"/>
          <w:sz w:val="26"/>
          <w:szCs w:val="26"/>
        </w:rPr>
        <w:t>A</w:t>
      </w:r>
      <w:r w:rsidRPr="00567E2A">
        <w:rPr>
          <w:rFonts w:ascii="Arial" w:hAnsi="Arial" w:cs="Arial"/>
          <w:b/>
          <w:bCs/>
          <w:color w:val="000000"/>
          <w:sz w:val="21"/>
          <w:szCs w:val="21"/>
        </w:rPr>
        <w:t xml:space="preserve">GENCIES WITHIN </w:t>
      </w:r>
      <w:r>
        <w:rPr>
          <w:rFonts w:ascii="Arial" w:hAnsi="Arial" w:cs="Arial"/>
          <w:b/>
          <w:bCs/>
          <w:color w:val="000000"/>
          <w:sz w:val="21"/>
          <w:szCs w:val="21"/>
        </w:rPr>
        <w:t xml:space="preserve">THE </w:t>
      </w:r>
      <w:r w:rsidRPr="00567E2A">
        <w:rPr>
          <w:rFonts w:ascii="Arial" w:hAnsi="Arial" w:cs="Arial"/>
          <w:b/>
          <w:bCs/>
          <w:color w:val="000000"/>
          <w:sz w:val="26"/>
          <w:szCs w:val="26"/>
        </w:rPr>
        <w:t>H</w:t>
      </w:r>
      <w:r w:rsidRPr="00567E2A">
        <w:rPr>
          <w:rFonts w:ascii="Arial" w:hAnsi="Arial" w:cs="Arial"/>
          <w:b/>
          <w:bCs/>
          <w:color w:val="000000"/>
          <w:sz w:val="21"/>
          <w:szCs w:val="21"/>
        </w:rPr>
        <w:t xml:space="preserve">UMAN </w:t>
      </w:r>
      <w:r w:rsidRPr="00567E2A">
        <w:rPr>
          <w:rFonts w:ascii="Arial" w:hAnsi="Arial" w:cs="Arial"/>
          <w:b/>
          <w:bCs/>
          <w:color w:val="000000"/>
          <w:sz w:val="26"/>
          <w:szCs w:val="26"/>
        </w:rPr>
        <w:t>S</w:t>
      </w:r>
      <w:r w:rsidRPr="00567E2A">
        <w:rPr>
          <w:rFonts w:ascii="Arial" w:hAnsi="Arial" w:cs="Arial"/>
          <w:b/>
          <w:bCs/>
          <w:color w:val="000000"/>
          <w:sz w:val="21"/>
          <w:szCs w:val="21"/>
        </w:rPr>
        <w:t xml:space="preserve">ERVICES </w:t>
      </w:r>
      <w:r w:rsidRPr="009514F7">
        <w:rPr>
          <w:rFonts w:ascii="Arial" w:hAnsi="Arial" w:cs="Arial"/>
          <w:b/>
          <w:bCs/>
          <w:color w:val="000000"/>
          <w:sz w:val="26"/>
          <w:szCs w:val="26"/>
        </w:rPr>
        <w:t>P</w:t>
      </w:r>
      <w:r w:rsidRPr="009514F7">
        <w:rPr>
          <w:rFonts w:ascii="Arial" w:hAnsi="Arial" w:cs="Arial"/>
          <w:b/>
          <w:bCs/>
          <w:color w:val="000000"/>
          <w:sz w:val="21"/>
          <w:szCs w:val="21"/>
        </w:rPr>
        <w:t>ORTFOLIO</w:t>
      </w:r>
      <w:r w:rsidRPr="00567E2A">
        <w:rPr>
          <w:rFonts w:ascii="Arial" w:hAnsi="Arial" w:cs="Arial"/>
          <w:b/>
          <w:bCs/>
          <w:color w:val="000000"/>
          <w:sz w:val="21"/>
          <w:szCs w:val="21"/>
        </w:rPr>
        <w:t xml:space="preserve"> </w:t>
      </w:r>
    </w:p>
    <w:p w:rsidR="004806C5" w:rsidRDefault="00006206" w:rsidP="00006206">
      <w:pPr>
        <w:spacing w:before="100" w:beforeAutospacing="1" w:after="100" w:afterAutospacing="1" w:line="240" w:lineRule="auto"/>
        <w:jc w:val="left"/>
        <w:rPr>
          <w:rFonts w:cs="Book Antiqua"/>
          <w:color w:val="000000"/>
        </w:rPr>
      </w:pPr>
      <w:r w:rsidRPr="00567E2A">
        <w:rPr>
          <w:rFonts w:cs="Book Antiqua"/>
          <w:color w:val="000000"/>
        </w:rPr>
        <w:t xml:space="preserve">The Human Services </w:t>
      </w:r>
      <w:r>
        <w:rPr>
          <w:rFonts w:cs="Book Antiqua"/>
          <w:color w:val="000000"/>
        </w:rPr>
        <w:t>portfolio</w:t>
      </w:r>
      <w:r w:rsidRPr="00567E2A">
        <w:rPr>
          <w:rFonts w:cs="Book Antiqua"/>
          <w:color w:val="000000"/>
        </w:rPr>
        <w:t xml:space="preserve"> </w:t>
      </w:r>
      <w:r w:rsidR="0045269D">
        <w:rPr>
          <w:rFonts w:cs="Book Antiqua"/>
          <w:color w:val="000000"/>
        </w:rPr>
        <w:t xml:space="preserve">currently </w:t>
      </w:r>
      <w:r w:rsidRPr="00567E2A">
        <w:rPr>
          <w:rFonts w:cs="Book Antiqua"/>
          <w:color w:val="000000"/>
        </w:rPr>
        <w:t>comprises the following General Government Sector entities and Non-</w:t>
      </w:r>
      <w:r>
        <w:rPr>
          <w:rFonts w:cs="Book Antiqua"/>
          <w:color w:val="000000"/>
        </w:rPr>
        <w:t xml:space="preserve">General </w:t>
      </w:r>
      <w:r w:rsidRPr="00567E2A">
        <w:rPr>
          <w:rFonts w:cs="Book Antiqua"/>
          <w:color w:val="000000"/>
        </w:rPr>
        <w:t>Government Sector Entities</w:t>
      </w:r>
      <w:r w:rsidR="00EB0B45">
        <w:rPr>
          <w:rFonts w:cs="Book Antiqua"/>
          <w:color w:val="000000"/>
        </w:rPr>
        <w:t>, as shown in Figure 1a</w:t>
      </w:r>
      <w:r w:rsidRPr="006C0CBD">
        <w:rPr>
          <w:rFonts w:cs="Book Antiqua"/>
          <w:color w:val="000000"/>
        </w:rPr>
        <w:t xml:space="preserve">.  </w:t>
      </w:r>
    </w:p>
    <w:p w:rsidR="004806C5" w:rsidRDefault="004806C5" w:rsidP="004806C5">
      <w:r>
        <w:br w:type="page"/>
      </w:r>
    </w:p>
    <w:p w:rsidR="00006206" w:rsidRPr="00567E2A" w:rsidRDefault="00006206" w:rsidP="00006206">
      <w:pPr>
        <w:autoSpaceDE w:val="0"/>
        <w:autoSpaceDN w:val="0"/>
        <w:adjustRightInd w:val="0"/>
        <w:spacing w:line="240" w:lineRule="auto"/>
        <w:rPr>
          <w:rFonts w:cs="Book Antiqua"/>
          <w:color w:val="000000"/>
        </w:rPr>
      </w:pPr>
      <w:r w:rsidRPr="00567E2A">
        <w:rPr>
          <w:rFonts w:cs="Book Antiqua"/>
          <w:b/>
          <w:bCs/>
          <w:i/>
          <w:iCs/>
          <w:color w:val="000000"/>
        </w:rPr>
        <w:t xml:space="preserve">General Government Sector Entities </w:t>
      </w:r>
    </w:p>
    <w:p w:rsidR="00006206" w:rsidRPr="00D06379" w:rsidRDefault="00006206" w:rsidP="00F06396">
      <w:pPr>
        <w:numPr>
          <w:ilvl w:val="0"/>
          <w:numId w:val="8"/>
        </w:numPr>
        <w:tabs>
          <w:tab w:val="clear" w:pos="720"/>
          <w:tab w:val="num" w:pos="360"/>
        </w:tabs>
        <w:autoSpaceDE w:val="0"/>
        <w:autoSpaceDN w:val="0"/>
        <w:adjustRightInd w:val="0"/>
        <w:spacing w:after="0" w:line="240" w:lineRule="auto"/>
        <w:ind w:left="360"/>
        <w:jc w:val="left"/>
        <w:rPr>
          <w:rFonts w:cs="Book Antiqua"/>
          <w:color w:val="000000"/>
        </w:rPr>
      </w:pPr>
      <w:r w:rsidRPr="00460870">
        <w:rPr>
          <w:rFonts w:cs="Book Antiqua"/>
          <w:color w:val="000000"/>
        </w:rPr>
        <w:t>The</w:t>
      </w:r>
      <w:r>
        <w:rPr>
          <w:rFonts w:cs="Book Antiqua"/>
          <w:color w:val="000000"/>
        </w:rPr>
        <w:t xml:space="preserve"> </w:t>
      </w:r>
      <w:r w:rsidRPr="00460870">
        <w:rPr>
          <w:rFonts w:cs="Book Antiqua"/>
          <w:b/>
          <w:color w:val="000000"/>
        </w:rPr>
        <w:t>Department of Human</w:t>
      </w:r>
      <w:r w:rsidRPr="00460870">
        <w:rPr>
          <w:rFonts w:cs="Book Antiqua"/>
          <w:b/>
          <w:bCs/>
          <w:color w:val="000000"/>
        </w:rPr>
        <w:t xml:space="preserve"> Services</w:t>
      </w:r>
      <w:r w:rsidRPr="00460870">
        <w:rPr>
          <w:rFonts w:cs="Book Antiqua"/>
          <w:bCs/>
          <w:color w:val="000000"/>
        </w:rPr>
        <w:t xml:space="preserve"> </w:t>
      </w:r>
      <w:r w:rsidR="00911AEA">
        <w:rPr>
          <w:rFonts w:cs="Book Antiqua"/>
          <w:bCs/>
          <w:color w:val="000000"/>
        </w:rPr>
        <w:t xml:space="preserve">(DHS) </w:t>
      </w:r>
      <w:r w:rsidRPr="00460870">
        <w:rPr>
          <w:rFonts w:cs="Book Antiqua"/>
          <w:color w:val="000000"/>
        </w:rPr>
        <w:t>comprises</w:t>
      </w:r>
      <w:r>
        <w:rPr>
          <w:rFonts w:cs="Book Antiqua"/>
          <w:color w:val="000000"/>
        </w:rPr>
        <w:t xml:space="preserve"> the Central Department,</w:t>
      </w:r>
      <w:r w:rsidRPr="00460870">
        <w:rPr>
          <w:rFonts w:cs="Book Antiqua"/>
          <w:color w:val="000000"/>
        </w:rPr>
        <w:t xml:space="preserve"> the Child Support Program and CRS Australia. The </w:t>
      </w:r>
      <w:r>
        <w:rPr>
          <w:rFonts w:cs="Book Antiqua"/>
          <w:color w:val="000000"/>
        </w:rPr>
        <w:t xml:space="preserve">Central </w:t>
      </w:r>
      <w:r w:rsidRPr="00460870">
        <w:rPr>
          <w:rFonts w:cs="Book Antiqua"/>
          <w:color w:val="000000"/>
        </w:rPr>
        <w:t xml:space="preserve">Department’s role is to direct, coordinate and broker improvements to service delivery, provide policy advice on service delivery matters to government and ensure efficient implementation of Government service delivery. </w:t>
      </w:r>
      <w:r w:rsidRPr="00D06379">
        <w:rPr>
          <w:rFonts w:cs="Book Antiqua"/>
          <w:bCs/>
          <w:color w:val="000000"/>
        </w:rPr>
        <w:t>T</w:t>
      </w:r>
      <w:r w:rsidRPr="00D06379">
        <w:rPr>
          <w:rFonts w:cs="Book Antiqua"/>
          <w:color w:val="000000"/>
        </w:rPr>
        <w:t xml:space="preserve">he Child Support Program provides support to separated parents to provide the financial and emotional support necessary for their children’s wellbeing. CRS Australia assists people with an injury or a disability to </w:t>
      </w:r>
      <w:r w:rsidR="00624514">
        <w:rPr>
          <w:rFonts w:cs="Book Antiqua"/>
          <w:color w:val="000000"/>
        </w:rPr>
        <w:t>find</w:t>
      </w:r>
      <w:r w:rsidRPr="00D06379">
        <w:rPr>
          <w:rFonts w:cs="Book Antiqua"/>
          <w:color w:val="000000"/>
        </w:rPr>
        <w:t xml:space="preserve"> </w:t>
      </w:r>
      <w:r w:rsidR="00624514">
        <w:rPr>
          <w:rFonts w:cs="Book Antiqua"/>
          <w:color w:val="000000"/>
        </w:rPr>
        <w:t>employment</w:t>
      </w:r>
      <w:r w:rsidRPr="00D06379">
        <w:rPr>
          <w:rFonts w:cs="Book Antiqua"/>
          <w:color w:val="000000"/>
        </w:rPr>
        <w:t xml:space="preserve"> or return to work by providing individualised vocational rehabilitation, and helping employers to keep their workplaces safe. </w:t>
      </w:r>
    </w:p>
    <w:p w:rsidR="00006206" w:rsidRPr="00460870" w:rsidRDefault="00006206" w:rsidP="00F06396">
      <w:pPr>
        <w:numPr>
          <w:ilvl w:val="0"/>
          <w:numId w:val="8"/>
        </w:numPr>
        <w:tabs>
          <w:tab w:val="clear" w:pos="720"/>
          <w:tab w:val="num" w:pos="360"/>
        </w:tabs>
        <w:autoSpaceDE w:val="0"/>
        <w:autoSpaceDN w:val="0"/>
        <w:adjustRightInd w:val="0"/>
        <w:spacing w:after="0" w:line="240" w:lineRule="auto"/>
        <w:ind w:left="360"/>
        <w:jc w:val="left"/>
        <w:rPr>
          <w:rFonts w:cs="Book Antiqua"/>
          <w:color w:val="000000"/>
        </w:rPr>
      </w:pPr>
      <w:r w:rsidRPr="00460870">
        <w:rPr>
          <w:rFonts w:cs="Book Antiqua"/>
          <w:b/>
          <w:color w:val="000000"/>
        </w:rPr>
        <w:t>C</w:t>
      </w:r>
      <w:r w:rsidRPr="00460870">
        <w:rPr>
          <w:rFonts w:cs="Book Antiqua"/>
          <w:b/>
          <w:bCs/>
          <w:color w:val="000000"/>
        </w:rPr>
        <w:t>entrelink</w:t>
      </w:r>
      <w:r w:rsidRPr="00460870">
        <w:rPr>
          <w:rFonts w:cs="Book Antiqua"/>
          <w:bCs/>
          <w:color w:val="000000"/>
        </w:rPr>
        <w:t xml:space="preserve"> delivers a range of government payments and services for retirees, the unemployed, families, carers, pare</w:t>
      </w:r>
      <w:r w:rsidR="00513FCF">
        <w:rPr>
          <w:rFonts w:cs="Book Antiqua"/>
          <w:bCs/>
          <w:color w:val="000000"/>
        </w:rPr>
        <w:t>nts, people with disabilities, I</w:t>
      </w:r>
      <w:r w:rsidRPr="00460870">
        <w:rPr>
          <w:rFonts w:cs="Book Antiqua"/>
          <w:bCs/>
          <w:color w:val="000000"/>
        </w:rPr>
        <w:t xml:space="preserve">ndigenous people, and people from diverse cultural and linguistic backgrounds, and provides services at times of major change. </w:t>
      </w:r>
    </w:p>
    <w:p w:rsidR="00006206" w:rsidRPr="00734A54" w:rsidRDefault="00006206" w:rsidP="004806C5">
      <w:pPr>
        <w:numPr>
          <w:ilvl w:val="0"/>
          <w:numId w:val="8"/>
        </w:numPr>
        <w:tabs>
          <w:tab w:val="clear" w:pos="720"/>
          <w:tab w:val="num" w:pos="360"/>
        </w:tabs>
        <w:autoSpaceDE w:val="0"/>
        <w:autoSpaceDN w:val="0"/>
        <w:adjustRightInd w:val="0"/>
        <w:spacing w:after="0" w:line="240" w:lineRule="auto"/>
        <w:ind w:left="360"/>
        <w:jc w:val="left"/>
      </w:pPr>
      <w:r w:rsidRPr="00734A54">
        <w:rPr>
          <w:rFonts w:cs="Book Antiqua"/>
          <w:b/>
          <w:color w:val="000000"/>
        </w:rPr>
        <w:t>Medicare Australia</w:t>
      </w:r>
      <w:r w:rsidRPr="00734A54">
        <w:rPr>
          <w:rFonts w:cs="Book Antiqua"/>
          <w:color w:val="000000"/>
        </w:rPr>
        <w:t xml:space="preserve"> looks after the health of Australians through efficient services and payments such as Medicare, the Pharmaceutical Benefits Scheme, the Australian Childhood Immunisation Register and the Australian Organ Donor Register.</w:t>
      </w:r>
      <w:r w:rsidR="004806C5" w:rsidRPr="00734A54">
        <w:t xml:space="preserve"> </w:t>
      </w:r>
    </w:p>
    <w:p w:rsidR="004806C5" w:rsidRPr="00734A54" w:rsidRDefault="004806C5" w:rsidP="004806C5">
      <w:pPr>
        <w:numPr>
          <w:ilvl w:val="0"/>
          <w:numId w:val="8"/>
        </w:numPr>
        <w:tabs>
          <w:tab w:val="clear" w:pos="720"/>
          <w:tab w:val="num" w:pos="360"/>
        </w:tabs>
        <w:autoSpaceDE w:val="0"/>
        <w:autoSpaceDN w:val="0"/>
        <w:adjustRightInd w:val="0"/>
        <w:spacing w:after="0" w:line="240" w:lineRule="auto"/>
        <w:ind w:left="360"/>
        <w:jc w:val="left"/>
      </w:pPr>
    </w:p>
    <w:p w:rsidR="0045269D" w:rsidRPr="008C3793" w:rsidRDefault="00A94A10" w:rsidP="00006206">
      <w:pPr>
        <w:autoSpaceDE w:val="0"/>
        <w:autoSpaceDN w:val="0"/>
        <w:adjustRightInd w:val="0"/>
        <w:spacing w:after="0" w:line="240" w:lineRule="auto"/>
        <w:jc w:val="left"/>
      </w:pPr>
      <w:r w:rsidRPr="00734A54">
        <w:t>Should</w:t>
      </w:r>
      <w:r w:rsidR="00D8776F" w:rsidRPr="00734A54">
        <w:t xml:space="preserve"> the </w:t>
      </w:r>
      <w:r w:rsidR="005A1122" w:rsidRPr="00734A54">
        <w:rPr>
          <w:i/>
        </w:rPr>
        <w:t>Human</w:t>
      </w:r>
      <w:r w:rsidR="005A1122">
        <w:rPr>
          <w:i/>
        </w:rPr>
        <w:t xml:space="preserve"> Services Legislation Amendment Bill 2011 </w:t>
      </w:r>
      <w:r>
        <w:t>be passed and come</w:t>
      </w:r>
      <w:r w:rsidR="00D8776F" w:rsidRPr="008C3793">
        <w:t xml:space="preserve"> into effect on 1 </w:t>
      </w:r>
      <w:r w:rsidR="0045269D" w:rsidRPr="008C3793">
        <w:t>July</w:t>
      </w:r>
      <w:r w:rsidR="00F42F29">
        <w:t> </w:t>
      </w:r>
      <w:r w:rsidR="0045269D" w:rsidRPr="008C3793">
        <w:t xml:space="preserve">2011, Centrelink and Medicare Australia will </w:t>
      </w:r>
      <w:r w:rsidR="00D8776F" w:rsidRPr="008C3793">
        <w:t>be</w:t>
      </w:r>
      <w:r w:rsidR="0045269D" w:rsidRPr="008C3793">
        <w:t xml:space="preserve"> integrated into the Department of Human Services. </w:t>
      </w:r>
      <w:r w:rsidR="00D8776F" w:rsidRPr="008C3793">
        <w:t>T</w:t>
      </w:r>
      <w:r w:rsidR="0045269D" w:rsidRPr="008C3793">
        <w:t xml:space="preserve">his document </w:t>
      </w:r>
      <w:r w:rsidR="00624514">
        <w:t>has been</w:t>
      </w:r>
      <w:r w:rsidR="0045269D" w:rsidRPr="008C3793">
        <w:t xml:space="preserve"> prepared</w:t>
      </w:r>
      <w:r w:rsidR="00B014B6" w:rsidRPr="008C3793">
        <w:t xml:space="preserve"> </w:t>
      </w:r>
      <w:r w:rsidR="00D8776F" w:rsidRPr="008C3793">
        <w:t>to re</w:t>
      </w:r>
      <w:r w:rsidR="00081366" w:rsidRPr="008C3793">
        <w:t>f</w:t>
      </w:r>
      <w:r w:rsidR="00D8776F" w:rsidRPr="008C3793">
        <w:t>lect the integrated Department of Human Services</w:t>
      </w:r>
      <w:r w:rsidR="00B014B6" w:rsidRPr="008C3793">
        <w:t>, as shown in Figure 1b.</w:t>
      </w:r>
      <w:r w:rsidR="00624514">
        <w:t xml:space="preserve"> Figure 1a reflects the current Human Service</w:t>
      </w:r>
      <w:r w:rsidR="00721B4F">
        <w:t>s</w:t>
      </w:r>
      <w:r w:rsidR="00624514">
        <w:t xml:space="preserve"> portfolio structure and outcomes.</w:t>
      </w:r>
    </w:p>
    <w:p w:rsidR="0045269D" w:rsidRDefault="0045269D" w:rsidP="00006206">
      <w:pPr>
        <w:autoSpaceDE w:val="0"/>
        <w:autoSpaceDN w:val="0"/>
        <w:adjustRightInd w:val="0"/>
        <w:spacing w:after="0" w:line="240" w:lineRule="auto"/>
        <w:jc w:val="left"/>
        <w:rPr>
          <w:highlight w:val="yellow"/>
        </w:rPr>
      </w:pPr>
    </w:p>
    <w:p w:rsidR="00006206" w:rsidRPr="00567E2A" w:rsidRDefault="00006206" w:rsidP="00006206">
      <w:pPr>
        <w:autoSpaceDE w:val="0"/>
        <w:autoSpaceDN w:val="0"/>
        <w:adjustRightInd w:val="0"/>
        <w:spacing w:line="240" w:lineRule="auto"/>
        <w:rPr>
          <w:rFonts w:cs="Book Antiqua"/>
          <w:color w:val="000000"/>
        </w:rPr>
      </w:pPr>
      <w:r w:rsidRPr="00567E2A">
        <w:rPr>
          <w:rFonts w:cs="Book Antiqua"/>
          <w:b/>
          <w:bCs/>
          <w:i/>
          <w:iCs/>
          <w:color w:val="000000"/>
        </w:rPr>
        <w:t>Non-</w:t>
      </w:r>
      <w:r>
        <w:rPr>
          <w:rFonts w:cs="Book Antiqua"/>
          <w:b/>
          <w:bCs/>
          <w:i/>
          <w:iCs/>
          <w:color w:val="000000"/>
        </w:rPr>
        <w:t xml:space="preserve">General </w:t>
      </w:r>
      <w:r w:rsidRPr="00567E2A">
        <w:rPr>
          <w:rFonts w:cs="Book Antiqua"/>
          <w:b/>
          <w:bCs/>
          <w:i/>
          <w:iCs/>
          <w:color w:val="000000"/>
        </w:rPr>
        <w:t xml:space="preserve">Government Sector Entities (Public Non-Financial Corporations) </w:t>
      </w:r>
    </w:p>
    <w:p w:rsidR="00006206" w:rsidRPr="00567E2A" w:rsidRDefault="00006206" w:rsidP="00F06396">
      <w:pPr>
        <w:numPr>
          <w:ilvl w:val="0"/>
          <w:numId w:val="8"/>
        </w:numPr>
        <w:tabs>
          <w:tab w:val="clear" w:pos="720"/>
          <w:tab w:val="num" w:pos="360"/>
        </w:tabs>
        <w:autoSpaceDE w:val="0"/>
        <w:autoSpaceDN w:val="0"/>
        <w:adjustRightInd w:val="0"/>
        <w:spacing w:line="240" w:lineRule="auto"/>
        <w:ind w:left="360"/>
        <w:rPr>
          <w:rFonts w:cs="Book Antiqua"/>
          <w:color w:val="000000"/>
        </w:rPr>
      </w:pPr>
      <w:r w:rsidRPr="00567E2A">
        <w:rPr>
          <w:rFonts w:cs="Book Antiqua"/>
          <w:b/>
          <w:bCs/>
          <w:color w:val="000000"/>
        </w:rPr>
        <w:t xml:space="preserve">Australian Hearing </w:t>
      </w:r>
      <w:r w:rsidRPr="00567E2A">
        <w:rPr>
          <w:rFonts w:cs="Book Antiqua"/>
          <w:color w:val="000000"/>
        </w:rPr>
        <w:t xml:space="preserve">is one of the largest hearing service providers in the world and is dedicated to helping people manage their hearing impairment so they have a better quality of life. Australian Hearing provides a full range of hearing services for children and young people up to the age of 21, eligible adults and aged pensioners, and most war veterans. </w:t>
      </w:r>
    </w:p>
    <w:p w:rsidR="00006206" w:rsidRDefault="00006206" w:rsidP="00006206">
      <w:pPr>
        <w:autoSpaceDE w:val="0"/>
        <w:autoSpaceDN w:val="0"/>
        <w:adjustRightInd w:val="0"/>
        <w:spacing w:after="0" w:line="240" w:lineRule="auto"/>
        <w:jc w:val="left"/>
        <w:rPr>
          <w:rFonts w:cs="Book Antiqua"/>
          <w:color w:val="000000"/>
        </w:rPr>
      </w:pPr>
      <w:r w:rsidRPr="00567E2A">
        <w:rPr>
          <w:rFonts w:cs="Book Antiqua"/>
          <w:color w:val="000000"/>
        </w:rPr>
        <w:t xml:space="preserve">As required under Section 12 of the </w:t>
      </w:r>
      <w:r w:rsidRPr="00567E2A">
        <w:rPr>
          <w:rFonts w:cs="Book Antiqua"/>
          <w:i/>
          <w:iCs/>
          <w:color w:val="000000"/>
        </w:rPr>
        <w:t xml:space="preserve">Charter of </w:t>
      </w:r>
      <w:smartTag w:uri="urn:schemas-microsoft-com:office:smarttags" w:element="PersonName">
        <w:r w:rsidRPr="00567E2A">
          <w:rPr>
            <w:rFonts w:cs="Book Antiqua"/>
            <w:i/>
            <w:iCs/>
            <w:color w:val="000000"/>
          </w:rPr>
          <w:t>Budget</w:t>
        </w:r>
      </w:smartTag>
      <w:r w:rsidRPr="00567E2A">
        <w:rPr>
          <w:rFonts w:cs="Book Antiqua"/>
          <w:i/>
          <w:iCs/>
          <w:color w:val="000000"/>
        </w:rPr>
        <w:t xml:space="preserve"> Honesty Act 1998</w:t>
      </w:r>
      <w:r w:rsidRPr="00567E2A">
        <w:rPr>
          <w:rFonts w:cs="Book Antiqua"/>
          <w:color w:val="000000"/>
        </w:rPr>
        <w:t xml:space="preserve">, non-general government sector entities are not consolidated into the Commonwealth general government sector fiscal estimates. These entities are not reported in the Portfolio </w:t>
      </w:r>
      <w:smartTag w:uri="urn:schemas-microsoft-com:office:smarttags" w:element="PersonName">
        <w:r w:rsidRPr="00567E2A">
          <w:rPr>
            <w:rFonts w:cs="Book Antiqua"/>
            <w:color w:val="000000"/>
          </w:rPr>
          <w:t>Budget</w:t>
        </w:r>
      </w:smartTag>
      <w:r w:rsidRPr="00567E2A">
        <w:rPr>
          <w:rFonts w:cs="Book Antiqua"/>
          <w:color w:val="000000"/>
        </w:rPr>
        <w:t xml:space="preserve"> Statements</w:t>
      </w:r>
      <w:r>
        <w:rPr>
          <w:rFonts w:cs="Book Antiqua"/>
          <w:color w:val="000000"/>
        </w:rPr>
        <w:t xml:space="preserve"> or Portfolio Additional Estimates Statements</w:t>
      </w:r>
      <w:r w:rsidRPr="00567E2A">
        <w:rPr>
          <w:rFonts w:cs="Book Antiqua"/>
          <w:color w:val="000000"/>
        </w:rPr>
        <w:t xml:space="preserve">. </w:t>
      </w:r>
    </w:p>
    <w:p w:rsidR="00006206" w:rsidRPr="00567E2A" w:rsidRDefault="00006206" w:rsidP="00006206">
      <w:pPr>
        <w:autoSpaceDE w:val="0"/>
        <w:autoSpaceDN w:val="0"/>
        <w:adjustRightInd w:val="0"/>
        <w:spacing w:after="0" w:line="240" w:lineRule="auto"/>
        <w:jc w:val="left"/>
        <w:rPr>
          <w:rFonts w:cs="Book Antiqua"/>
          <w:color w:val="000000"/>
        </w:rPr>
      </w:pPr>
    </w:p>
    <w:p w:rsidR="00006206" w:rsidRPr="00567E2A" w:rsidRDefault="00006206" w:rsidP="00006206">
      <w:pPr>
        <w:autoSpaceDE w:val="0"/>
        <w:autoSpaceDN w:val="0"/>
        <w:adjustRightInd w:val="0"/>
        <w:spacing w:after="0" w:line="240" w:lineRule="auto"/>
        <w:jc w:val="left"/>
        <w:rPr>
          <w:rFonts w:cs="Book Antiqua"/>
          <w:color w:val="000000"/>
        </w:rPr>
      </w:pPr>
      <w:r w:rsidRPr="00567E2A">
        <w:rPr>
          <w:rFonts w:cs="Book Antiqua"/>
          <w:color w:val="000000"/>
        </w:rPr>
        <w:t xml:space="preserve">More comprehensive information on activities undertaken within the Department of Human Services is available on the following web site. </w:t>
      </w:r>
    </w:p>
    <w:p w:rsidR="00006206" w:rsidRDefault="00006206" w:rsidP="00006206">
      <w:pPr>
        <w:pStyle w:val="Department"/>
        <w:rPr>
          <w:rFonts w:cs="Book Antiqua"/>
          <w:b w:val="0"/>
          <w:color w:val="000000"/>
          <w:sz w:val="20"/>
        </w:rPr>
      </w:pPr>
    </w:p>
    <w:p w:rsidR="00006206" w:rsidRPr="00C052D3" w:rsidRDefault="00006206" w:rsidP="00006206">
      <w:pPr>
        <w:pStyle w:val="Department"/>
        <w:jc w:val="left"/>
        <w:rPr>
          <w:rFonts w:ascii="Book Antiqua" w:hAnsi="Book Antiqua" w:cs="Book Antiqua"/>
          <w:b w:val="0"/>
          <w:color w:val="000000"/>
          <w:sz w:val="20"/>
        </w:rPr>
      </w:pPr>
      <w:r w:rsidRPr="00C052D3">
        <w:rPr>
          <w:rFonts w:ascii="Book Antiqua" w:hAnsi="Book Antiqua" w:cs="Book Antiqua"/>
          <w:b w:val="0"/>
          <w:color w:val="000000"/>
          <w:sz w:val="20"/>
        </w:rPr>
        <w:t>http://www.humanservices.gov.au</w:t>
      </w:r>
    </w:p>
    <w:p w:rsidR="00340FD7" w:rsidRDefault="00340FD7" w:rsidP="003A3E20"/>
    <w:p w:rsidR="00340FD7" w:rsidRDefault="00340FD7" w:rsidP="003A3E20">
      <w:pPr>
        <w:pStyle w:val="FigureHeading"/>
        <w:jc w:val="both"/>
      </w:pPr>
      <w:r>
        <w:br w:type="page"/>
        <w:t>Figure 1</w:t>
      </w:r>
      <w:r w:rsidR="003F7BC3">
        <w:t>a</w:t>
      </w:r>
      <w:r>
        <w:t xml:space="preserve">: </w:t>
      </w:r>
      <w:r w:rsidR="003F7BC3">
        <w:t xml:space="preserve">Current </w:t>
      </w:r>
      <w:r w:rsidR="00DD5BEC">
        <w:t>Human Services</w:t>
      </w:r>
      <w:r>
        <w:t xml:space="preserve"> portfolio structure and outcomes</w:t>
      </w:r>
    </w:p>
    <w:tbl>
      <w:tblPr>
        <w:tblStyle w:val="TableGrid"/>
        <w:tblW w:w="0" w:type="auto"/>
        <w:tblLook w:val="04A0" w:firstRow="1" w:lastRow="0" w:firstColumn="1" w:lastColumn="0" w:noHBand="0" w:noVBand="1"/>
        <w:tblCaption w:val="Portfolio structure"/>
        <w:tblDescription w:val="The Department of Human Services is responsible to the MInister for Human Services. &#10;&#10;Centrelink, Medicare Australia and Australian Hearing are each individually responsible to the Minister through the Department of  Human Services.&#10;"/>
      </w:tblPr>
      <w:tblGrid>
        <w:gridCol w:w="7700"/>
      </w:tblGrid>
      <w:tr w:rsidR="003E44FF" w:rsidTr="00A25FDF">
        <w:trPr>
          <w:tblHeader/>
        </w:trPr>
        <w:tc>
          <w:tcPr>
            <w:tcW w:w="7700" w:type="dxa"/>
            <w:vAlign w:val="center"/>
          </w:tcPr>
          <w:p w:rsidR="003E44FF" w:rsidRDefault="003E44FF" w:rsidP="006434BB">
            <w:pPr>
              <w:pStyle w:val="NoSpacing"/>
              <w:spacing w:before="60" w:after="0" w:line="240" w:lineRule="auto"/>
              <w:jc w:val="center"/>
              <w:rPr>
                <w:b/>
                <w:bCs/>
              </w:rPr>
            </w:pPr>
            <w:r w:rsidRPr="003E44FF">
              <w:rPr>
                <w:b/>
                <w:bCs/>
              </w:rPr>
              <w:t>Portfolio Minister for Human Services</w:t>
            </w:r>
          </w:p>
          <w:p w:rsidR="003E44FF" w:rsidRDefault="003E44FF" w:rsidP="003E44FF">
            <w:pPr>
              <w:pStyle w:val="NoSpacing"/>
              <w:spacing w:after="0" w:line="240" w:lineRule="auto"/>
              <w:jc w:val="center"/>
            </w:pPr>
            <w:r w:rsidRPr="003E44FF">
              <w:rPr>
                <w:b/>
                <w:bCs/>
              </w:rPr>
              <w:t>The Hon Tanya Plibersek MP</w:t>
            </w:r>
          </w:p>
        </w:tc>
      </w:tr>
      <w:tr w:rsidR="003E44FF" w:rsidTr="003E44FF">
        <w:tc>
          <w:tcPr>
            <w:tcW w:w="7700" w:type="dxa"/>
          </w:tcPr>
          <w:p w:rsidR="006434BB" w:rsidRDefault="003E44FF" w:rsidP="006434BB">
            <w:pPr>
              <w:pStyle w:val="NoSpacing"/>
              <w:tabs>
                <w:tab w:val="left" w:pos="870"/>
              </w:tabs>
              <w:spacing w:before="60" w:after="0" w:line="240" w:lineRule="auto"/>
              <w:jc w:val="center"/>
              <w:rPr>
                <w:b/>
                <w:bCs/>
              </w:rPr>
            </w:pPr>
            <w:r w:rsidRPr="003E44FF">
              <w:rPr>
                <w:b/>
                <w:bCs/>
              </w:rPr>
              <w:t>Department of Human Services</w:t>
            </w:r>
          </w:p>
          <w:p w:rsidR="003E44FF" w:rsidRPr="003E44FF" w:rsidRDefault="003E44FF" w:rsidP="006434BB">
            <w:pPr>
              <w:pStyle w:val="NoSpacing"/>
              <w:tabs>
                <w:tab w:val="left" w:pos="870"/>
              </w:tabs>
              <w:spacing w:after="0" w:line="240" w:lineRule="auto"/>
              <w:jc w:val="center"/>
            </w:pPr>
            <w:r w:rsidRPr="003E44FF">
              <w:rPr>
                <w:b/>
                <w:bCs/>
              </w:rPr>
              <w:t xml:space="preserve"> (including the Child Support Program and CRS Australia)</w:t>
            </w:r>
          </w:p>
          <w:p w:rsidR="003E44FF" w:rsidRPr="003E44FF" w:rsidRDefault="003E44FF" w:rsidP="006434BB">
            <w:pPr>
              <w:pStyle w:val="NoSpacing"/>
              <w:tabs>
                <w:tab w:val="left" w:pos="870"/>
              </w:tabs>
              <w:spacing w:after="0" w:line="240" w:lineRule="auto"/>
              <w:jc w:val="center"/>
            </w:pPr>
            <w:r w:rsidRPr="003E44FF">
              <w:rPr>
                <w:b/>
                <w:bCs/>
              </w:rPr>
              <w:t>Portfolio Secretary: Ms Kathryn Campbell, CSC</w:t>
            </w:r>
          </w:p>
          <w:p w:rsidR="006434BB" w:rsidRDefault="006434BB" w:rsidP="006434BB">
            <w:pPr>
              <w:pStyle w:val="NoSpacing"/>
              <w:tabs>
                <w:tab w:val="left" w:pos="870"/>
              </w:tabs>
              <w:spacing w:after="0" w:line="240" w:lineRule="auto"/>
              <w:jc w:val="center"/>
              <w:rPr>
                <w:b/>
                <w:bCs/>
              </w:rPr>
            </w:pPr>
          </w:p>
          <w:p w:rsidR="003E44FF" w:rsidRPr="003E44FF" w:rsidRDefault="003E44FF" w:rsidP="006434BB">
            <w:pPr>
              <w:pStyle w:val="NoSpacing"/>
              <w:tabs>
                <w:tab w:val="left" w:pos="870"/>
              </w:tabs>
              <w:spacing w:after="0" w:line="240" w:lineRule="auto"/>
              <w:jc w:val="center"/>
            </w:pPr>
            <w:r w:rsidRPr="003E44FF">
              <w:rPr>
                <w:b/>
                <w:bCs/>
              </w:rPr>
              <w:t>Outcome 1</w:t>
            </w:r>
          </w:p>
          <w:p w:rsidR="003E44FF" w:rsidRPr="003E44FF" w:rsidRDefault="003E44FF" w:rsidP="006434BB">
            <w:pPr>
              <w:pStyle w:val="NoSpacing"/>
              <w:tabs>
                <w:tab w:val="left" w:pos="870"/>
              </w:tabs>
              <w:spacing w:after="0" w:line="240" w:lineRule="auto"/>
              <w:jc w:val="center"/>
            </w:pPr>
            <w:r w:rsidRPr="003E44FF">
              <w:t>Informed government decisions on, and access, to social, health and child support services for Australians through policy development and advice, and the coordination and delivery of services.</w:t>
            </w:r>
          </w:p>
          <w:p w:rsidR="003E44FF" w:rsidRDefault="003E44FF" w:rsidP="003E44FF">
            <w:pPr>
              <w:pStyle w:val="NoSpacing"/>
              <w:tabs>
                <w:tab w:val="left" w:pos="870"/>
              </w:tabs>
            </w:pPr>
          </w:p>
        </w:tc>
      </w:tr>
      <w:tr w:rsidR="00A25FDF" w:rsidTr="00A25FDF">
        <w:trPr>
          <w:trHeight w:val="1946"/>
        </w:trPr>
        <w:tc>
          <w:tcPr>
            <w:tcW w:w="7700" w:type="dxa"/>
          </w:tcPr>
          <w:p w:rsidR="00A25FDF" w:rsidRDefault="00A25FDF" w:rsidP="006434BB">
            <w:pPr>
              <w:pStyle w:val="NoSpacing"/>
              <w:spacing w:after="0" w:line="240" w:lineRule="auto"/>
              <w:jc w:val="center"/>
              <w:rPr>
                <w:b/>
                <w:bCs/>
              </w:rPr>
            </w:pPr>
            <w:r w:rsidRPr="006434BB">
              <w:rPr>
                <w:b/>
                <w:bCs/>
              </w:rPr>
              <w:t>Centrelink</w:t>
            </w:r>
          </w:p>
          <w:p w:rsidR="00A25FDF" w:rsidRPr="006434BB" w:rsidRDefault="00A25FDF" w:rsidP="006434BB">
            <w:pPr>
              <w:pStyle w:val="NoSpacing"/>
              <w:spacing w:after="0" w:line="240" w:lineRule="auto"/>
              <w:jc w:val="center"/>
            </w:pPr>
            <w:r w:rsidRPr="006434BB">
              <w:rPr>
                <w:b/>
                <w:bCs/>
              </w:rPr>
              <w:t>Chief Executive Officer</w:t>
            </w:r>
          </w:p>
          <w:p w:rsidR="00A25FDF" w:rsidRPr="006434BB" w:rsidRDefault="00A25FDF" w:rsidP="006434BB">
            <w:pPr>
              <w:pStyle w:val="NoSpacing"/>
              <w:jc w:val="center"/>
              <w:rPr>
                <w:b/>
                <w:bCs/>
              </w:rPr>
            </w:pPr>
            <w:r w:rsidRPr="006434BB">
              <w:rPr>
                <w:b/>
                <w:bCs/>
              </w:rPr>
              <w:t>Ms Carolyn Hogg, PSM</w:t>
            </w:r>
          </w:p>
          <w:p w:rsidR="00A25FDF" w:rsidRDefault="00A25FDF" w:rsidP="006434BB">
            <w:pPr>
              <w:pStyle w:val="NoSpacing"/>
              <w:spacing w:after="0" w:line="240" w:lineRule="auto"/>
              <w:jc w:val="center"/>
              <w:rPr>
                <w:b/>
                <w:bCs/>
              </w:rPr>
            </w:pPr>
            <w:r w:rsidRPr="006434BB">
              <w:rPr>
                <w:b/>
                <w:bCs/>
              </w:rPr>
              <w:t>Outcome 1</w:t>
            </w:r>
          </w:p>
          <w:p w:rsidR="00A25FDF" w:rsidRDefault="00A25FDF" w:rsidP="006434BB">
            <w:pPr>
              <w:pStyle w:val="NoSpacing"/>
              <w:spacing w:after="0" w:line="240" w:lineRule="auto"/>
            </w:pPr>
            <w:r w:rsidRPr="006434BB">
              <w:t>Self-sufficiency for individuals and families through access to personalised assistance and co-ordinated delivery of payments and services on behalf of government</w:t>
            </w:r>
            <w:r w:rsidRPr="006434BB">
              <w:rPr>
                <w:b/>
                <w:bCs/>
              </w:rPr>
              <w:t xml:space="preserve">.  </w:t>
            </w:r>
          </w:p>
        </w:tc>
      </w:tr>
      <w:tr w:rsidR="00A25FDF" w:rsidTr="007A102A">
        <w:tc>
          <w:tcPr>
            <w:tcW w:w="7700" w:type="dxa"/>
          </w:tcPr>
          <w:p w:rsidR="00A25FDF" w:rsidRDefault="00A25FDF" w:rsidP="00A25FDF">
            <w:pPr>
              <w:pStyle w:val="NoSpacing"/>
              <w:spacing w:after="0" w:line="240" w:lineRule="auto"/>
              <w:jc w:val="center"/>
              <w:rPr>
                <w:b/>
                <w:bCs/>
              </w:rPr>
            </w:pPr>
            <w:r w:rsidRPr="006434BB">
              <w:rPr>
                <w:b/>
                <w:bCs/>
              </w:rPr>
              <w:t>Medicare Australia</w:t>
            </w:r>
          </w:p>
          <w:p w:rsidR="00A25FDF" w:rsidRPr="006434BB" w:rsidRDefault="00A25FDF" w:rsidP="00A25FDF">
            <w:pPr>
              <w:pStyle w:val="NoSpacing"/>
              <w:spacing w:after="0" w:line="240" w:lineRule="auto"/>
              <w:jc w:val="center"/>
            </w:pPr>
            <w:r w:rsidRPr="006434BB">
              <w:rPr>
                <w:b/>
                <w:bCs/>
              </w:rPr>
              <w:t>Chief Executive Officer</w:t>
            </w:r>
          </w:p>
          <w:p w:rsidR="00A25FDF" w:rsidRPr="00A07790" w:rsidRDefault="00A25FDF" w:rsidP="00A25FDF">
            <w:pPr>
              <w:pStyle w:val="NoSpacing"/>
              <w:jc w:val="center"/>
              <w:rPr>
                <w:b/>
                <w:bCs/>
              </w:rPr>
            </w:pPr>
            <w:r w:rsidRPr="006434BB">
              <w:rPr>
                <w:b/>
                <w:bCs/>
              </w:rPr>
              <w:t>Ms Lynelle Briggs</w:t>
            </w:r>
          </w:p>
          <w:p w:rsidR="00A25FDF" w:rsidRDefault="00A25FDF" w:rsidP="00A25FDF">
            <w:pPr>
              <w:pStyle w:val="NoSpacing"/>
              <w:spacing w:after="0" w:line="240" w:lineRule="auto"/>
              <w:jc w:val="center"/>
              <w:rPr>
                <w:b/>
                <w:bCs/>
              </w:rPr>
            </w:pPr>
            <w:r w:rsidRPr="006434BB">
              <w:rPr>
                <w:b/>
                <w:bCs/>
              </w:rPr>
              <w:t>Outcome 1</w:t>
            </w:r>
          </w:p>
          <w:p w:rsidR="00A25FDF" w:rsidRPr="006434BB" w:rsidRDefault="00A25FDF" w:rsidP="00A25FDF">
            <w:pPr>
              <w:pStyle w:val="NoSpacing"/>
              <w:spacing w:before="240"/>
              <w:jc w:val="center"/>
              <w:rPr>
                <w:b/>
                <w:bCs/>
              </w:rPr>
            </w:pPr>
            <w:r w:rsidRPr="00A07790">
              <w:rPr>
                <w:bCs/>
              </w:rPr>
              <w:t>Access to Government health and other payment and information services to the Australian public and providers through convenient and efficient service delivery</w:t>
            </w:r>
            <w:r w:rsidRPr="00A07790">
              <w:t>.</w:t>
            </w:r>
          </w:p>
        </w:tc>
      </w:tr>
      <w:tr w:rsidR="006434BB" w:rsidTr="007A102A">
        <w:tc>
          <w:tcPr>
            <w:tcW w:w="7700" w:type="dxa"/>
          </w:tcPr>
          <w:p w:rsidR="006434BB" w:rsidRPr="006434BB" w:rsidRDefault="006434BB" w:rsidP="006434BB">
            <w:pPr>
              <w:pStyle w:val="NoSpacing"/>
              <w:spacing w:before="240" w:after="0" w:line="240" w:lineRule="auto"/>
              <w:jc w:val="center"/>
            </w:pPr>
            <w:r w:rsidRPr="006434BB">
              <w:rPr>
                <w:b/>
                <w:bCs/>
              </w:rPr>
              <w:t>Australian Hearing*</w:t>
            </w:r>
          </w:p>
          <w:p w:rsidR="006434BB" w:rsidRPr="006434BB" w:rsidRDefault="006434BB" w:rsidP="006434BB">
            <w:pPr>
              <w:pStyle w:val="NoSpacing"/>
              <w:spacing w:after="0" w:line="240" w:lineRule="auto"/>
              <w:jc w:val="center"/>
            </w:pPr>
            <w:r w:rsidRPr="006434BB">
              <w:rPr>
                <w:b/>
                <w:bCs/>
              </w:rPr>
              <w:t>Managing Director:</w:t>
            </w:r>
          </w:p>
          <w:p w:rsidR="006434BB" w:rsidRPr="006434BB" w:rsidRDefault="006434BB" w:rsidP="006434BB">
            <w:pPr>
              <w:pStyle w:val="NoSpacing"/>
              <w:spacing w:after="0" w:line="240" w:lineRule="auto"/>
              <w:jc w:val="center"/>
            </w:pPr>
            <w:r w:rsidRPr="006434BB">
              <w:rPr>
                <w:b/>
                <w:bCs/>
              </w:rPr>
              <w:t>Mr Steven Grundy</w:t>
            </w:r>
          </w:p>
          <w:p w:rsidR="006434BB" w:rsidRDefault="006434BB" w:rsidP="00A07790">
            <w:pPr>
              <w:pStyle w:val="NoSpacing"/>
              <w:spacing w:before="360"/>
            </w:pPr>
            <w:r>
              <w:t>*</w:t>
            </w:r>
            <w:r w:rsidRPr="006434BB">
              <w:t>This agency is a Non-General Government Sector entity a</w:t>
            </w:r>
            <w:r>
              <w:t xml:space="preserve">nd is not consolidated into the </w:t>
            </w:r>
            <w:r w:rsidRPr="006434BB">
              <w:t>Commonwealth general government sector fiscal estimates. Therefore it is not reported</w:t>
            </w:r>
            <w:r>
              <w:t xml:space="preserve"> </w:t>
            </w:r>
            <w:r w:rsidRPr="006434BB">
              <w:t>in the Portfolio Budget Statements or Portfolio Additional Estimates Statements.</w:t>
            </w:r>
          </w:p>
        </w:tc>
      </w:tr>
    </w:tbl>
    <w:p w:rsidR="00340FD7" w:rsidRDefault="00340FD7" w:rsidP="003A3E20">
      <w:pPr>
        <w:pStyle w:val="NoSpacing"/>
      </w:pPr>
    </w:p>
    <w:p w:rsidR="003F7BC3" w:rsidRDefault="00340FD7" w:rsidP="003F7BC3">
      <w:pPr>
        <w:pStyle w:val="Heading3"/>
        <w:ind w:left="1134" w:hanging="1134"/>
        <w:jc w:val="both"/>
        <w:rPr>
          <w:smallCaps w:val="0"/>
          <w:sz w:val="20"/>
        </w:rPr>
      </w:pPr>
      <w:r>
        <w:br w:type="page"/>
      </w:r>
      <w:r w:rsidR="003F7BC3" w:rsidRPr="003F7BC3">
        <w:rPr>
          <w:smallCaps w:val="0"/>
          <w:sz w:val="20"/>
        </w:rPr>
        <w:t>Figure 1</w:t>
      </w:r>
      <w:r w:rsidR="003F7BC3">
        <w:rPr>
          <w:smallCaps w:val="0"/>
          <w:sz w:val="20"/>
        </w:rPr>
        <w:t>b</w:t>
      </w:r>
      <w:r w:rsidR="003F7BC3" w:rsidRPr="003F7BC3">
        <w:rPr>
          <w:smallCaps w:val="0"/>
          <w:sz w:val="20"/>
        </w:rPr>
        <w:t xml:space="preserve">: </w:t>
      </w:r>
      <w:r w:rsidR="003F7BC3">
        <w:rPr>
          <w:smallCaps w:val="0"/>
          <w:sz w:val="20"/>
        </w:rPr>
        <w:t xml:space="preserve">New </w:t>
      </w:r>
      <w:r w:rsidR="003F7BC3" w:rsidRPr="003F7BC3">
        <w:rPr>
          <w:smallCaps w:val="0"/>
          <w:sz w:val="20"/>
        </w:rPr>
        <w:t>Human Services portfolio structure and outcome</w:t>
      </w:r>
      <w:r w:rsidR="003F7BC3">
        <w:rPr>
          <w:smallCaps w:val="0"/>
          <w:sz w:val="20"/>
        </w:rPr>
        <w:t xml:space="preserve"> </w:t>
      </w:r>
    </w:p>
    <w:tbl>
      <w:tblPr>
        <w:tblStyle w:val="TableGrid"/>
        <w:tblW w:w="0" w:type="auto"/>
        <w:tblLook w:val="04A0" w:firstRow="1" w:lastRow="0" w:firstColumn="1" w:lastColumn="0" w:noHBand="0" w:noVBand="1"/>
        <w:tblCaption w:val="Portfolio structure"/>
        <w:tblDescription w:val="The Department of Human Services is responsible to the MInister for Human Services. (Centrelink and Medicare Australia have merged into the Department of  Human Services). The department has a new outcome statement.&#10;&#10;Australian hearing is responsible to the Minister through the Department of Human Services."/>
      </w:tblPr>
      <w:tblGrid>
        <w:gridCol w:w="7700"/>
      </w:tblGrid>
      <w:tr w:rsidR="00A07790" w:rsidTr="00A25FDF">
        <w:trPr>
          <w:tblHeader/>
        </w:trPr>
        <w:tc>
          <w:tcPr>
            <w:tcW w:w="7700" w:type="dxa"/>
            <w:vAlign w:val="center"/>
          </w:tcPr>
          <w:p w:rsidR="00A07790" w:rsidRDefault="00A07790" w:rsidP="007A102A">
            <w:pPr>
              <w:pStyle w:val="NoSpacing"/>
              <w:spacing w:before="60" w:after="0" w:line="240" w:lineRule="auto"/>
              <w:jc w:val="center"/>
              <w:rPr>
                <w:b/>
                <w:bCs/>
              </w:rPr>
            </w:pPr>
            <w:r w:rsidRPr="003E44FF">
              <w:rPr>
                <w:b/>
                <w:bCs/>
              </w:rPr>
              <w:t>Portfolio Minister for Human Services</w:t>
            </w:r>
          </w:p>
          <w:p w:rsidR="00A07790" w:rsidRDefault="00A07790" w:rsidP="007A102A">
            <w:pPr>
              <w:pStyle w:val="NoSpacing"/>
              <w:spacing w:after="0" w:line="240" w:lineRule="auto"/>
              <w:jc w:val="center"/>
            </w:pPr>
            <w:r w:rsidRPr="003E44FF">
              <w:rPr>
                <w:b/>
                <w:bCs/>
              </w:rPr>
              <w:t>The Hon Tanya Plibersek MP</w:t>
            </w:r>
          </w:p>
        </w:tc>
      </w:tr>
      <w:tr w:rsidR="00A07790" w:rsidTr="007A102A">
        <w:tc>
          <w:tcPr>
            <w:tcW w:w="7700" w:type="dxa"/>
          </w:tcPr>
          <w:p w:rsidR="00A07790" w:rsidRDefault="00A07790" w:rsidP="007A102A">
            <w:pPr>
              <w:pStyle w:val="NoSpacing"/>
              <w:tabs>
                <w:tab w:val="left" w:pos="870"/>
              </w:tabs>
              <w:spacing w:before="60" w:after="0" w:line="240" w:lineRule="auto"/>
              <w:jc w:val="center"/>
              <w:rPr>
                <w:b/>
                <w:bCs/>
              </w:rPr>
            </w:pPr>
            <w:r w:rsidRPr="003E44FF">
              <w:rPr>
                <w:b/>
                <w:bCs/>
              </w:rPr>
              <w:t>Department of Human Services</w:t>
            </w:r>
          </w:p>
          <w:p w:rsidR="00A07790" w:rsidRPr="003E44FF" w:rsidRDefault="00A07790" w:rsidP="007A102A">
            <w:pPr>
              <w:pStyle w:val="NoSpacing"/>
              <w:tabs>
                <w:tab w:val="left" w:pos="870"/>
              </w:tabs>
              <w:spacing w:after="0" w:line="240" w:lineRule="auto"/>
              <w:jc w:val="center"/>
            </w:pPr>
            <w:r w:rsidRPr="003E44FF">
              <w:rPr>
                <w:b/>
                <w:bCs/>
              </w:rPr>
              <w:t xml:space="preserve"> (including the Child Support Program and CRS Australia)</w:t>
            </w:r>
          </w:p>
          <w:p w:rsidR="00A07790" w:rsidRPr="003E44FF" w:rsidRDefault="00A07790" w:rsidP="007A102A">
            <w:pPr>
              <w:pStyle w:val="NoSpacing"/>
              <w:tabs>
                <w:tab w:val="left" w:pos="870"/>
              </w:tabs>
              <w:spacing w:after="0" w:line="240" w:lineRule="auto"/>
              <w:jc w:val="center"/>
            </w:pPr>
            <w:r w:rsidRPr="003E44FF">
              <w:rPr>
                <w:b/>
                <w:bCs/>
              </w:rPr>
              <w:t>Portfolio Secretary: Ms Kathryn Campbell, CSC</w:t>
            </w:r>
          </w:p>
          <w:p w:rsidR="00A07790" w:rsidRDefault="00A07790" w:rsidP="007A102A">
            <w:pPr>
              <w:pStyle w:val="NoSpacing"/>
              <w:tabs>
                <w:tab w:val="left" w:pos="870"/>
              </w:tabs>
              <w:spacing w:after="0" w:line="240" w:lineRule="auto"/>
              <w:jc w:val="center"/>
              <w:rPr>
                <w:b/>
                <w:bCs/>
              </w:rPr>
            </w:pPr>
          </w:p>
          <w:p w:rsidR="00A07790" w:rsidRPr="003E44FF" w:rsidRDefault="00A07790" w:rsidP="007A102A">
            <w:pPr>
              <w:pStyle w:val="NoSpacing"/>
              <w:tabs>
                <w:tab w:val="left" w:pos="870"/>
              </w:tabs>
              <w:spacing w:after="0" w:line="240" w:lineRule="auto"/>
              <w:jc w:val="center"/>
            </w:pPr>
            <w:r w:rsidRPr="003E44FF">
              <w:rPr>
                <w:b/>
                <w:bCs/>
              </w:rPr>
              <w:t>Outcome 1</w:t>
            </w:r>
          </w:p>
          <w:p w:rsidR="00A07790" w:rsidRDefault="00A07790" w:rsidP="00A07790">
            <w:pPr>
              <w:pStyle w:val="NoSpacing"/>
              <w:tabs>
                <w:tab w:val="left" w:pos="870"/>
              </w:tabs>
            </w:pPr>
            <w:r w:rsidRPr="00A07790">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r>
      <w:tr w:rsidR="00A07790" w:rsidTr="007A102A">
        <w:tc>
          <w:tcPr>
            <w:tcW w:w="7700" w:type="dxa"/>
          </w:tcPr>
          <w:p w:rsidR="00A07790" w:rsidRPr="006434BB" w:rsidRDefault="00A07790" w:rsidP="007A102A">
            <w:pPr>
              <w:pStyle w:val="NoSpacing"/>
              <w:spacing w:before="240" w:after="0" w:line="240" w:lineRule="auto"/>
              <w:jc w:val="center"/>
            </w:pPr>
            <w:r w:rsidRPr="006434BB">
              <w:rPr>
                <w:b/>
                <w:bCs/>
              </w:rPr>
              <w:t>Australian Hearing*</w:t>
            </w:r>
          </w:p>
          <w:p w:rsidR="00A07790" w:rsidRPr="006434BB" w:rsidRDefault="00A07790" w:rsidP="007A102A">
            <w:pPr>
              <w:pStyle w:val="NoSpacing"/>
              <w:spacing w:after="0" w:line="240" w:lineRule="auto"/>
              <w:jc w:val="center"/>
            </w:pPr>
            <w:r w:rsidRPr="006434BB">
              <w:rPr>
                <w:b/>
                <w:bCs/>
              </w:rPr>
              <w:t>Managing Director:</w:t>
            </w:r>
          </w:p>
          <w:p w:rsidR="00A07790" w:rsidRPr="006434BB" w:rsidRDefault="00A07790" w:rsidP="007A102A">
            <w:pPr>
              <w:pStyle w:val="NoSpacing"/>
              <w:spacing w:after="0" w:line="240" w:lineRule="auto"/>
              <w:jc w:val="center"/>
            </w:pPr>
            <w:r w:rsidRPr="006434BB">
              <w:rPr>
                <w:b/>
                <w:bCs/>
              </w:rPr>
              <w:t>Mr Steven Grundy</w:t>
            </w:r>
          </w:p>
          <w:p w:rsidR="00A07790" w:rsidRDefault="00A07790" w:rsidP="007A102A">
            <w:pPr>
              <w:pStyle w:val="NoSpacing"/>
              <w:spacing w:before="360"/>
            </w:pPr>
            <w:r>
              <w:t>*</w:t>
            </w:r>
            <w:r w:rsidRPr="006434BB">
              <w:t>This agency is a Non-General Government Sector entity a</w:t>
            </w:r>
            <w:r>
              <w:t xml:space="preserve">nd is not consolidated into the </w:t>
            </w:r>
            <w:r w:rsidRPr="006434BB">
              <w:t>Commonwealth general government sector fiscal estimates. Therefore it is not reported</w:t>
            </w:r>
            <w:r>
              <w:t xml:space="preserve"> </w:t>
            </w:r>
            <w:r w:rsidRPr="006434BB">
              <w:t>in the Portfolio Budget Statements or Portfolio Additional Estimates Statements.</w:t>
            </w:r>
          </w:p>
        </w:tc>
      </w:tr>
    </w:tbl>
    <w:p w:rsidR="00340FD7" w:rsidRDefault="003F7BC3" w:rsidP="003A3E20">
      <w:pPr>
        <w:pStyle w:val="Heading3"/>
        <w:jc w:val="both"/>
      </w:pPr>
      <w:r>
        <w:br w:type="page"/>
      </w:r>
      <w:r w:rsidR="00340FD7">
        <w:t>Portfolio resources</w:t>
      </w:r>
    </w:p>
    <w:p w:rsidR="00340FD7" w:rsidRDefault="00340FD7" w:rsidP="003A3E20">
      <w:r>
        <w:t>Table 1 shows the total new resources provided to the portfolio in th</w:t>
      </w:r>
      <w:r w:rsidR="006D6EF6">
        <w:t>e 2011</w:t>
      </w:r>
      <w:r w:rsidR="006D6EF6">
        <w:noBreakHyphen/>
        <w:t>12 budget year</w:t>
      </w:r>
      <w:r>
        <w:t>.</w:t>
      </w:r>
    </w:p>
    <w:p w:rsidR="00340FD7" w:rsidRPr="006854CE" w:rsidRDefault="00340FD7" w:rsidP="003A3E20">
      <w:pPr>
        <w:pStyle w:val="TableHeading"/>
        <w:jc w:val="both"/>
      </w:pPr>
      <w:r>
        <w:t>Table 1: Portfolio Resources 2011</w:t>
      </w:r>
      <w:r>
        <w:noBreakHyphen/>
        <w:t>12</w:t>
      </w:r>
    </w:p>
    <w:tbl>
      <w:tblPr>
        <w:tblW w:w="7662" w:type="dxa"/>
        <w:tblInd w:w="78" w:type="dxa"/>
        <w:tblLayout w:type="fixed"/>
        <w:tblLook w:val="0000" w:firstRow="0" w:lastRow="0" w:firstColumn="0" w:lastColumn="0" w:noHBand="0" w:noVBand="0"/>
      </w:tblPr>
      <w:tblGrid>
        <w:gridCol w:w="2338"/>
        <w:gridCol w:w="1077"/>
        <w:gridCol w:w="1077"/>
        <w:gridCol w:w="1077"/>
        <w:gridCol w:w="1016"/>
        <w:gridCol w:w="1077"/>
      </w:tblGrid>
      <w:tr w:rsidR="00A25FDF" w:rsidTr="007A102A">
        <w:trPr>
          <w:trHeight w:val="435"/>
        </w:trPr>
        <w:tc>
          <w:tcPr>
            <w:tcW w:w="2338" w:type="dxa"/>
            <w:tcBorders>
              <w:top w:val="single" w:sz="2" w:space="0" w:color="auto"/>
              <w:left w:val="nil"/>
              <w:right w:val="nil"/>
            </w:tcBorders>
          </w:tcPr>
          <w:p w:rsidR="00A25FDF" w:rsidRDefault="00A25FDF" w:rsidP="00A25FDF">
            <w:pPr>
              <w:autoSpaceDE w:val="0"/>
              <w:autoSpaceDN w:val="0"/>
              <w:adjustRightInd w:val="0"/>
              <w:spacing w:after="0" w:line="240" w:lineRule="auto"/>
              <w:jc w:val="right"/>
              <w:rPr>
                <w:rFonts w:ascii="Arial" w:hAnsi="Arial" w:cs="Arial"/>
                <w:b/>
                <w:bCs/>
                <w:color w:val="000000"/>
                <w:sz w:val="16"/>
                <w:szCs w:val="16"/>
              </w:rPr>
            </w:pPr>
          </w:p>
        </w:tc>
        <w:tc>
          <w:tcPr>
            <w:tcW w:w="1077" w:type="dxa"/>
            <w:tcBorders>
              <w:top w:val="single" w:sz="2" w:space="0" w:color="auto"/>
              <w:left w:val="nil"/>
              <w:right w:val="nil"/>
            </w:tcBorders>
            <w:shd w:val="solid" w:color="E6E6E6" w:fill="auto"/>
          </w:tcPr>
          <w:p w:rsidR="00A25FDF" w:rsidRDefault="00A25FDF" w:rsidP="00A25FDF">
            <w:pPr>
              <w:autoSpaceDE w:val="0"/>
              <w:autoSpaceDN w:val="0"/>
              <w:adjustRightInd w:val="0"/>
              <w:spacing w:after="0" w:line="240" w:lineRule="auto"/>
              <w:ind w:left="-114"/>
              <w:jc w:val="center"/>
              <w:rPr>
                <w:rFonts w:ascii="Arial" w:hAnsi="Arial" w:cs="Arial"/>
                <w:color w:val="000000"/>
                <w:sz w:val="16"/>
                <w:szCs w:val="16"/>
              </w:rPr>
            </w:pPr>
            <w:r>
              <w:rPr>
                <w:rFonts w:ascii="Arial" w:hAnsi="Arial" w:cs="Arial"/>
                <w:color w:val="000000"/>
                <w:sz w:val="16"/>
                <w:szCs w:val="16"/>
              </w:rPr>
              <w:t>Appropriation</w:t>
            </w:r>
          </w:p>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Bill No. 1</w:t>
            </w:r>
          </w:p>
        </w:tc>
        <w:tc>
          <w:tcPr>
            <w:tcW w:w="1077" w:type="dxa"/>
            <w:tcBorders>
              <w:top w:val="single" w:sz="2" w:space="0" w:color="auto"/>
              <w:left w:val="nil"/>
              <w:right w:val="nil"/>
            </w:tcBorders>
            <w:shd w:val="solid" w:color="E6E6E6" w:fill="auto"/>
          </w:tcPr>
          <w:p w:rsidR="00A25FDF" w:rsidRDefault="00A25FDF" w:rsidP="00A25FDF">
            <w:pPr>
              <w:autoSpaceDE w:val="0"/>
              <w:autoSpaceDN w:val="0"/>
              <w:adjustRightInd w:val="0"/>
              <w:spacing w:after="0" w:line="240" w:lineRule="auto"/>
              <w:ind w:left="-114"/>
              <w:jc w:val="center"/>
              <w:rPr>
                <w:rFonts w:ascii="Arial" w:hAnsi="Arial" w:cs="Arial"/>
                <w:color w:val="000000"/>
                <w:sz w:val="16"/>
                <w:szCs w:val="16"/>
              </w:rPr>
            </w:pPr>
            <w:r>
              <w:rPr>
                <w:rFonts w:ascii="Arial" w:hAnsi="Arial" w:cs="Arial"/>
                <w:color w:val="000000"/>
                <w:sz w:val="16"/>
                <w:szCs w:val="16"/>
              </w:rPr>
              <w:t>Appropriation</w:t>
            </w:r>
          </w:p>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Bill No. 2</w:t>
            </w:r>
          </w:p>
        </w:tc>
        <w:tc>
          <w:tcPr>
            <w:tcW w:w="1077" w:type="dxa"/>
            <w:tcBorders>
              <w:top w:val="single" w:sz="2" w:space="0" w:color="auto"/>
              <w:left w:val="nil"/>
              <w:right w:val="nil"/>
            </w:tcBorders>
            <w:shd w:val="solid" w:color="E6E6E6" w:fill="auto"/>
          </w:tcPr>
          <w:p w:rsidR="00A25FDF" w:rsidRDefault="00A25FDF" w:rsidP="00A25FD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Special</w:t>
            </w:r>
          </w:p>
          <w:p w:rsidR="00A25FDF" w:rsidRDefault="00A25FDF" w:rsidP="00A25FDF">
            <w:pPr>
              <w:autoSpaceDE w:val="0"/>
              <w:autoSpaceDN w:val="0"/>
              <w:adjustRightInd w:val="0"/>
              <w:spacing w:after="0" w:line="240" w:lineRule="auto"/>
              <w:ind w:left="-142"/>
              <w:jc w:val="right"/>
              <w:rPr>
                <w:rFonts w:ascii="Arial" w:hAnsi="Arial" w:cs="Arial"/>
                <w:color w:val="000000"/>
                <w:sz w:val="16"/>
                <w:szCs w:val="16"/>
              </w:rPr>
            </w:pPr>
            <w:r>
              <w:rPr>
                <w:rFonts w:ascii="Arial" w:hAnsi="Arial" w:cs="Arial"/>
                <w:color w:val="000000"/>
                <w:sz w:val="16"/>
                <w:szCs w:val="16"/>
              </w:rPr>
              <w:t>Appropriation</w:t>
            </w:r>
          </w:p>
        </w:tc>
        <w:tc>
          <w:tcPr>
            <w:tcW w:w="1016" w:type="dxa"/>
            <w:tcBorders>
              <w:top w:val="single" w:sz="2" w:space="0" w:color="auto"/>
              <w:left w:val="nil"/>
              <w:right w:val="nil"/>
            </w:tcBorders>
          </w:tcPr>
          <w:p w:rsidR="00A25FDF" w:rsidRDefault="00A25FDF" w:rsidP="00A25FDF">
            <w:pPr>
              <w:autoSpaceDE w:val="0"/>
              <w:autoSpaceDN w:val="0"/>
              <w:adjustRightInd w:val="0"/>
              <w:spacing w:after="0" w:line="240" w:lineRule="auto"/>
              <w:ind w:left="-85"/>
              <w:jc w:val="right"/>
              <w:rPr>
                <w:rFonts w:ascii="Arial" w:hAnsi="Arial" w:cs="Arial"/>
                <w:color w:val="000000"/>
                <w:sz w:val="16"/>
                <w:szCs w:val="16"/>
              </w:rPr>
            </w:pPr>
            <w:r>
              <w:rPr>
                <w:rFonts w:ascii="Arial" w:hAnsi="Arial" w:cs="Arial"/>
                <w:color w:val="000000"/>
                <w:sz w:val="16"/>
                <w:szCs w:val="16"/>
              </w:rPr>
              <w:t>Receipts</w:t>
            </w:r>
          </w:p>
        </w:tc>
        <w:tc>
          <w:tcPr>
            <w:tcW w:w="1077" w:type="dxa"/>
            <w:tcBorders>
              <w:top w:val="single" w:sz="2" w:space="0" w:color="auto"/>
              <w:left w:val="nil"/>
              <w:right w:val="nil"/>
            </w:tcBorders>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tc>
      </w:tr>
      <w:tr w:rsidR="00A25FDF" w:rsidTr="00A25FDF">
        <w:trPr>
          <w:trHeight w:val="215"/>
        </w:trPr>
        <w:tc>
          <w:tcPr>
            <w:tcW w:w="2338" w:type="dxa"/>
            <w:tcBorders>
              <w:top w:val="nil"/>
              <w:left w:val="nil"/>
              <w:bottom w:val="single" w:sz="2" w:space="0" w:color="auto"/>
              <w:right w:val="nil"/>
            </w:tcBorders>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p>
        </w:tc>
        <w:tc>
          <w:tcPr>
            <w:tcW w:w="1077" w:type="dxa"/>
            <w:tcBorders>
              <w:top w:val="nil"/>
              <w:left w:val="nil"/>
              <w:bottom w:val="single" w:sz="2" w:space="0" w:color="auto"/>
              <w:right w:val="nil"/>
            </w:tcBorders>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077" w:type="dxa"/>
            <w:tcBorders>
              <w:top w:val="nil"/>
              <w:left w:val="nil"/>
              <w:bottom w:val="single" w:sz="2" w:space="0" w:color="auto"/>
              <w:right w:val="nil"/>
            </w:tcBorders>
            <w:shd w:val="solid" w:color="E6E6E6" w:fill="auto"/>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077" w:type="dxa"/>
            <w:tcBorders>
              <w:top w:val="nil"/>
              <w:left w:val="nil"/>
              <w:bottom w:val="single" w:sz="2" w:space="0" w:color="auto"/>
              <w:right w:val="nil"/>
            </w:tcBorders>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016" w:type="dxa"/>
            <w:tcBorders>
              <w:top w:val="nil"/>
              <w:left w:val="nil"/>
              <w:bottom w:val="single" w:sz="2" w:space="0" w:color="auto"/>
              <w:right w:val="nil"/>
            </w:tcBorders>
            <w:shd w:val="solid" w:color="E6E6E6" w:fill="auto"/>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077" w:type="dxa"/>
            <w:tcBorders>
              <w:top w:val="nil"/>
              <w:left w:val="nil"/>
              <w:bottom w:val="single" w:sz="2" w:space="0" w:color="auto"/>
              <w:right w:val="nil"/>
            </w:tcBorders>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r>
      <w:tr w:rsidR="00A25FDF" w:rsidTr="00A25FDF">
        <w:trPr>
          <w:trHeight w:val="215"/>
        </w:trPr>
        <w:tc>
          <w:tcPr>
            <w:tcW w:w="2338" w:type="dxa"/>
            <w:tcBorders>
              <w:top w:val="nil"/>
              <w:left w:val="nil"/>
              <w:bottom w:val="nil"/>
              <w:right w:val="nil"/>
            </w:tcBorders>
          </w:tcPr>
          <w:p w:rsidR="00A25FDF" w:rsidRDefault="00A25FDF" w:rsidP="00A25FDF">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Human Services</w:t>
            </w:r>
          </w:p>
        </w:tc>
        <w:tc>
          <w:tcPr>
            <w:tcW w:w="1077" w:type="dxa"/>
            <w:tcBorders>
              <w:top w:val="nil"/>
              <w:left w:val="nil"/>
              <w:bottom w:val="nil"/>
              <w:right w:val="nil"/>
            </w:tcBorders>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solid" w:color="E6E6E6" w:fill="auto"/>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p>
        </w:tc>
        <w:tc>
          <w:tcPr>
            <w:tcW w:w="1077" w:type="dxa"/>
            <w:tcBorders>
              <w:top w:val="nil"/>
              <w:left w:val="nil"/>
              <w:bottom w:val="nil"/>
              <w:right w:val="nil"/>
            </w:tcBorders>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p>
        </w:tc>
        <w:tc>
          <w:tcPr>
            <w:tcW w:w="1016" w:type="dxa"/>
            <w:tcBorders>
              <w:top w:val="nil"/>
              <w:left w:val="nil"/>
              <w:bottom w:val="nil"/>
              <w:right w:val="nil"/>
            </w:tcBorders>
            <w:shd w:val="solid" w:color="E6E6E6" w:fill="auto"/>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p>
        </w:tc>
        <w:tc>
          <w:tcPr>
            <w:tcW w:w="1077" w:type="dxa"/>
            <w:tcBorders>
              <w:top w:val="nil"/>
              <w:left w:val="nil"/>
              <w:bottom w:val="nil"/>
              <w:right w:val="nil"/>
            </w:tcBorders>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p>
        </w:tc>
      </w:tr>
      <w:tr w:rsidR="00A25FDF" w:rsidTr="00A25FDF">
        <w:trPr>
          <w:trHeight w:val="215"/>
        </w:trPr>
        <w:tc>
          <w:tcPr>
            <w:tcW w:w="2338" w:type="dxa"/>
            <w:tcBorders>
              <w:top w:val="nil"/>
              <w:left w:val="nil"/>
              <w:bottom w:val="nil"/>
              <w:right w:val="nil"/>
            </w:tcBorders>
          </w:tcPr>
          <w:p w:rsidR="00A25FDF" w:rsidRDefault="00A25FDF" w:rsidP="00A25FDF">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appropriations</w:t>
            </w:r>
          </w:p>
        </w:tc>
        <w:tc>
          <w:tcPr>
            <w:tcW w:w="1077" w:type="dxa"/>
            <w:tcBorders>
              <w:top w:val="nil"/>
              <w:left w:val="nil"/>
              <w:bottom w:val="nil"/>
              <w:right w:val="nil"/>
            </w:tcBorders>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9.3 </w:t>
            </w:r>
          </w:p>
        </w:tc>
        <w:tc>
          <w:tcPr>
            <w:tcW w:w="1077" w:type="dxa"/>
            <w:tcBorders>
              <w:top w:val="nil"/>
              <w:left w:val="nil"/>
              <w:bottom w:val="nil"/>
              <w:right w:val="nil"/>
            </w:tcBorders>
            <w:shd w:val="solid" w:color="E6E6E6" w:fill="auto"/>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77" w:type="dxa"/>
            <w:tcBorders>
              <w:top w:val="nil"/>
              <w:left w:val="nil"/>
              <w:bottom w:val="nil"/>
              <w:right w:val="nil"/>
            </w:tcBorders>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77.4 </w:t>
            </w:r>
          </w:p>
        </w:tc>
        <w:tc>
          <w:tcPr>
            <w:tcW w:w="1016" w:type="dxa"/>
            <w:tcBorders>
              <w:top w:val="nil"/>
              <w:left w:val="nil"/>
              <w:bottom w:val="nil"/>
              <w:right w:val="nil"/>
            </w:tcBorders>
            <w:shd w:val="solid" w:color="E6E6E6" w:fill="auto"/>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1,190.4 </w:t>
            </w:r>
          </w:p>
        </w:tc>
        <w:tc>
          <w:tcPr>
            <w:tcW w:w="1077" w:type="dxa"/>
            <w:tcBorders>
              <w:top w:val="nil"/>
              <w:left w:val="nil"/>
              <w:bottom w:val="nil"/>
              <w:right w:val="nil"/>
            </w:tcBorders>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1,277.1 </w:t>
            </w:r>
          </w:p>
        </w:tc>
      </w:tr>
      <w:tr w:rsidR="00A25FDF" w:rsidTr="00A25FDF">
        <w:trPr>
          <w:trHeight w:val="215"/>
        </w:trPr>
        <w:tc>
          <w:tcPr>
            <w:tcW w:w="2338" w:type="dxa"/>
            <w:tcBorders>
              <w:top w:val="nil"/>
              <w:left w:val="nil"/>
              <w:bottom w:val="nil"/>
              <w:right w:val="nil"/>
            </w:tcBorders>
          </w:tcPr>
          <w:p w:rsidR="00A25FDF" w:rsidRDefault="00A25FDF" w:rsidP="00A25FDF">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appropriations</w:t>
            </w:r>
          </w:p>
        </w:tc>
        <w:tc>
          <w:tcPr>
            <w:tcW w:w="1077" w:type="dxa"/>
            <w:tcBorders>
              <w:top w:val="nil"/>
              <w:left w:val="nil"/>
              <w:bottom w:val="nil"/>
              <w:right w:val="nil"/>
            </w:tcBorders>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4,193.7 </w:t>
            </w:r>
          </w:p>
        </w:tc>
        <w:tc>
          <w:tcPr>
            <w:tcW w:w="1077" w:type="dxa"/>
            <w:tcBorders>
              <w:top w:val="nil"/>
              <w:left w:val="nil"/>
              <w:bottom w:val="nil"/>
              <w:right w:val="nil"/>
            </w:tcBorders>
            <w:shd w:val="solid" w:color="E6E6E6" w:fill="auto"/>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25.2 </w:t>
            </w:r>
          </w:p>
        </w:tc>
        <w:tc>
          <w:tcPr>
            <w:tcW w:w="1077" w:type="dxa"/>
            <w:tcBorders>
              <w:top w:val="nil"/>
              <w:left w:val="nil"/>
              <w:bottom w:val="nil"/>
              <w:right w:val="nil"/>
            </w:tcBorders>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16" w:type="dxa"/>
            <w:tcBorders>
              <w:top w:val="nil"/>
              <w:left w:val="nil"/>
              <w:bottom w:val="nil"/>
              <w:right w:val="nil"/>
            </w:tcBorders>
            <w:shd w:val="solid" w:color="E6E6E6" w:fill="auto"/>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242.4 </w:t>
            </w:r>
          </w:p>
        </w:tc>
        <w:tc>
          <w:tcPr>
            <w:tcW w:w="1077" w:type="dxa"/>
            <w:tcBorders>
              <w:top w:val="nil"/>
              <w:left w:val="nil"/>
              <w:bottom w:val="nil"/>
              <w:right w:val="nil"/>
            </w:tcBorders>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4,461.3 </w:t>
            </w:r>
          </w:p>
        </w:tc>
      </w:tr>
      <w:tr w:rsidR="00A25FDF" w:rsidTr="00A25FDF">
        <w:trPr>
          <w:trHeight w:val="215"/>
        </w:trPr>
        <w:tc>
          <w:tcPr>
            <w:tcW w:w="2338" w:type="dxa"/>
            <w:tcBorders>
              <w:top w:val="nil"/>
              <w:left w:val="nil"/>
              <w:bottom w:val="nil"/>
              <w:right w:val="nil"/>
            </w:tcBorders>
          </w:tcPr>
          <w:p w:rsidR="00A25FDF" w:rsidRDefault="00A25FDF" w:rsidP="00A25FDF">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Portfolio total:</w:t>
            </w:r>
          </w:p>
        </w:tc>
        <w:tc>
          <w:tcPr>
            <w:tcW w:w="1077" w:type="dxa"/>
            <w:tcBorders>
              <w:top w:val="nil"/>
              <w:left w:val="nil"/>
              <w:bottom w:val="nil"/>
              <w:right w:val="nil"/>
            </w:tcBorders>
          </w:tcPr>
          <w:p w:rsidR="00A25FDF" w:rsidRDefault="00A25FDF" w:rsidP="00A25FDF">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4,203.0 </w:t>
            </w:r>
          </w:p>
        </w:tc>
        <w:tc>
          <w:tcPr>
            <w:tcW w:w="1077" w:type="dxa"/>
            <w:tcBorders>
              <w:top w:val="nil"/>
              <w:left w:val="nil"/>
              <w:bottom w:val="nil"/>
              <w:right w:val="nil"/>
            </w:tcBorders>
            <w:shd w:val="solid" w:color="E6E6E6" w:fill="auto"/>
          </w:tcPr>
          <w:p w:rsidR="00A25FDF" w:rsidRDefault="00A25FDF" w:rsidP="00A25FDF">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25.2 </w:t>
            </w:r>
          </w:p>
        </w:tc>
        <w:tc>
          <w:tcPr>
            <w:tcW w:w="1077" w:type="dxa"/>
            <w:tcBorders>
              <w:top w:val="nil"/>
              <w:left w:val="nil"/>
              <w:bottom w:val="nil"/>
              <w:right w:val="nil"/>
            </w:tcBorders>
          </w:tcPr>
          <w:p w:rsidR="00A25FDF" w:rsidRDefault="00A25FDF" w:rsidP="00A25FDF">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77.4 </w:t>
            </w:r>
          </w:p>
        </w:tc>
        <w:tc>
          <w:tcPr>
            <w:tcW w:w="1016" w:type="dxa"/>
            <w:tcBorders>
              <w:top w:val="nil"/>
              <w:left w:val="nil"/>
              <w:bottom w:val="nil"/>
              <w:right w:val="nil"/>
            </w:tcBorders>
            <w:shd w:val="solid" w:color="E6E6E6" w:fill="auto"/>
          </w:tcPr>
          <w:p w:rsidR="00A25FDF" w:rsidRDefault="00A25FDF" w:rsidP="00A25FDF">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1,432.8 </w:t>
            </w:r>
          </w:p>
        </w:tc>
        <w:tc>
          <w:tcPr>
            <w:tcW w:w="1077" w:type="dxa"/>
            <w:tcBorders>
              <w:top w:val="single" w:sz="2" w:space="0" w:color="000000"/>
              <w:left w:val="nil"/>
              <w:bottom w:val="single" w:sz="2" w:space="0" w:color="000000"/>
              <w:right w:val="nil"/>
            </w:tcBorders>
          </w:tcPr>
          <w:p w:rsidR="00A25FDF" w:rsidRDefault="00A25FDF" w:rsidP="00A25FDF">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5,738.4 </w:t>
            </w:r>
          </w:p>
        </w:tc>
      </w:tr>
      <w:tr w:rsidR="00A25FDF" w:rsidTr="00A25FDF">
        <w:trPr>
          <w:trHeight w:val="289"/>
        </w:trPr>
        <w:tc>
          <w:tcPr>
            <w:tcW w:w="6585" w:type="dxa"/>
            <w:gridSpan w:val="5"/>
            <w:tcBorders>
              <w:top w:val="nil"/>
              <w:left w:val="nil"/>
              <w:bottom w:val="nil"/>
              <w:right w:val="nil"/>
            </w:tcBorders>
            <w:vAlign w:val="bottom"/>
          </w:tcPr>
          <w:p w:rsidR="00A25FDF" w:rsidRDefault="00A25FDF" w:rsidP="00A25FDF">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Resources available within portfolio</w:t>
            </w:r>
          </w:p>
        </w:tc>
        <w:tc>
          <w:tcPr>
            <w:tcW w:w="1077" w:type="dxa"/>
            <w:tcBorders>
              <w:top w:val="nil"/>
              <w:left w:val="nil"/>
              <w:bottom w:val="nil"/>
              <w:right w:val="nil"/>
            </w:tcBorders>
            <w:vAlign w:val="bottom"/>
          </w:tcPr>
          <w:p w:rsidR="00A25FDF" w:rsidRDefault="00A25FDF" w:rsidP="00A25FDF">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5,738.4</w:t>
            </w:r>
          </w:p>
        </w:tc>
      </w:tr>
    </w:tbl>
    <w:p w:rsidR="00340FD7" w:rsidRDefault="00340FD7" w:rsidP="003A3E20">
      <w:pPr>
        <w:pStyle w:val="TableGraphic"/>
      </w:pPr>
    </w:p>
    <w:p w:rsidR="00340FD7" w:rsidRPr="00C8049D" w:rsidRDefault="00340FD7" w:rsidP="003A3E20">
      <w:pPr>
        <w:pStyle w:val="NoSpacing"/>
      </w:pPr>
    </w:p>
    <w:p w:rsidR="00340FD7" w:rsidRDefault="00340FD7" w:rsidP="003A3E20">
      <w:pPr>
        <w:pStyle w:val="NoSpacing"/>
      </w:pPr>
    </w:p>
    <w:p w:rsidR="00340FD7" w:rsidRPr="00683579" w:rsidRDefault="00340FD7" w:rsidP="003A3E20">
      <w:pPr>
        <w:sectPr w:rsidR="00340FD7" w:rsidRPr="00683579" w:rsidSect="00715386">
          <w:headerReference w:type="even" r:id="rId29"/>
          <w:headerReference w:type="default" r:id="rId30"/>
          <w:headerReference w:type="first" r:id="rId31"/>
          <w:footerReference w:type="first" r:id="rId32"/>
          <w:type w:val="oddPage"/>
          <w:pgSz w:w="11906" w:h="16838" w:code="9"/>
          <w:pgMar w:top="2466" w:right="2098" w:bottom="2466" w:left="2098" w:header="1899" w:footer="1899" w:gutter="0"/>
          <w:cols w:space="708"/>
          <w:titlePg/>
          <w:docGrid w:linePitch="360"/>
        </w:sectPr>
      </w:pPr>
    </w:p>
    <w:p w:rsidR="00340FD7" w:rsidRPr="00D2337C" w:rsidRDefault="00D2337C" w:rsidP="004F6201">
      <w:pPr>
        <w:pStyle w:val="Heading4"/>
        <w:jc w:val="center"/>
        <w:rPr>
          <w:rFonts w:ascii="Arial Bold" w:hAnsi="Arial Bold"/>
          <w:smallCaps/>
          <w:sz w:val="52"/>
          <w:szCs w:val="52"/>
        </w:rPr>
      </w:pPr>
      <w:bookmarkStart w:id="11" w:name="_Toc190766149"/>
      <w:bookmarkStart w:id="12" w:name="_Ref291675942"/>
      <w:r w:rsidRPr="00D2337C">
        <w:rPr>
          <w:rFonts w:ascii="Arial Bold" w:hAnsi="Arial Bold"/>
          <w:smallCaps/>
          <w:sz w:val="52"/>
          <w:szCs w:val="52"/>
        </w:rPr>
        <w:t>Agency Resources and</w:t>
      </w:r>
      <w:r w:rsidRPr="00D2337C">
        <w:rPr>
          <w:rFonts w:ascii="Arial Bold" w:hAnsi="Arial Bold"/>
          <w:smallCaps/>
          <w:sz w:val="52"/>
          <w:szCs w:val="52"/>
        </w:rPr>
        <w:br/>
        <w:t>Planned Performance</w:t>
      </w:r>
      <w:bookmarkEnd w:id="11"/>
      <w:bookmarkEnd w:id="12"/>
    </w:p>
    <w:p w:rsidR="00340FD7" w:rsidRDefault="00340FD7" w:rsidP="003A3E20"/>
    <w:p w:rsidR="00340FD7" w:rsidRDefault="0045269D" w:rsidP="003A3E20">
      <w:pPr>
        <w:pStyle w:val="TOC1"/>
        <w:jc w:val="both"/>
      </w:pPr>
      <w:r>
        <w:t xml:space="preserve">Department of </w:t>
      </w:r>
      <w:r w:rsidR="00977D1D">
        <w:t>Human Services</w:t>
      </w:r>
      <w:r w:rsidR="00340FD7">
        <w:tab/>
      </w:r>
      <w:r w:rsidR="00D617F1">
        <w:fldChar w:fldCharType="begin"/>
      </w:r>
      <w:r w:rsidR="00D617F1">
        <w:instrText xml:space="preserve"> PAGEREF _Ref291676185 \h </w:instrText>
      </w:r>
      <w:r w:rsidR="00D617F1">
        <w:fldChar w:fldCharType="separate"/>
      </w:r>
      <w:r w:rsidR="00CF5C30">
        <w:rPr>
          <w:noProof/>
        </w:rPr>
        <w:t>13</w:t>
      </w:r>
      <w:r w:rsidR="00D617F1">
        <w:fldChar w:fldCharType="end"/>
      </w:r>
    </w:p>
    <w:p w:rsidR="00340FD7" w:rsidRDefault="00340FD7" w:rsidP="003A3E20">
      <w:pPr>
        <w:pStyle w:val="TOC1"/>
        <w:jc w:val="both"/>
      </w:pPr>
    </w:p>
    <w:p w:rsidR="00340FD7" w:rsidRDefault="00340FD7" w:rsidP="003A3E20"/>
    <w:p w:rsidR="00340FD7" w:rsidRDefault="00340FD7" w:rsidP="003A3E20">
      <w:pPr>
        <w:sectPr w:rsidR="00340FD7" w:rsidSect="00715386">
          <w:type w:val="oddPage"/>
          <w:pgSz w:w="11906" w:h="16838" w:code="9"/>
          <w:pgMar w:top="2466" w:right="2098" w:bottom="2466" w:left="2098" w:header="1899" w:footer="1899" w:gutter="0"/>
          <w:cols w:space="708"/>
          <w:titlePg/>
          <w:docGrid w:linePitch="360"/>
        </w:sectPr>
      </w:pPr>
    </w:p>
    <w:p w:rsidR="00340FD7" w:rsidRDefault="0045269D" w:rsidP="00062284">
      <w:pPr>
        <w:pStyle w:val="Department"/>
      </w:pPr>
      <w:r>
        <w:t xml:space="preserve">Department of </w:t>
      </w:r>
      <w:r w:rsidR="00DD5BEC">
        <w:t>Human Services</w:t>
      </w:r>
    </w:p>
    <w:p w:rsidR="00340FD7" w:rsidRDefault="00340FD7" w:rsidP="004806C5">
      <w:pPr>
        <w:pStyle w:val="DepartmentSubtitle"/>
        <w:spacing w:before="360"/>
      </w:pPr>
      <w:r>
        <w:t>Agency resources and planned performance</w:t>
      </w:r>
    </w:p>
    <w:p w:rsidR="00340FD7" w:rsidRDefault="00340FD7" w:rsidP="003A3E20">
      <w:pPr>
        <w:sectPr w:rsidR="00340FD7" w:rsidSect="00715386">
          <w:footerReference w:type="first" r:id="rId33"/>
          <w:type w:val="oddPage"/>
          <w:pgSz w:w="11906" w:h="16838" w:code="9"/>
          <w:pgMar w:top="2466" w:right="2098" w:bottom="2466" w:left="2098" w:header="1899" w:footer="1899" w:gutter="0"/>
          <w:cols w:space="708"/>
          <w:titlePg/>
          <w:docGrid w:linePitch="360"/>
        </w:sectPr>
      </w:pPr>
    </w:p>
    <w:p w:rsidR="00340FD7" w:rsidRDefault="0045269D" w:rsidP="004F6201">
      <w:pPr>
        <w:pStyle w:val="Heading1"/>
        <w:spacing w:after="360"/>
      </w:pPr>
      <w:bookmarkStart w:id="13" w:name="_Ref291676185"/>
      <w:r>
        <w:t xml:space="preserve">Department of </w:t>
      </w:r>
      <w:r w:rsidR="00DD5BEC">
        <w:t>Human Services</w:t>
      </w:r>
      <w:bookmarkEnd w:id="13"/>
      <w:r w:rsidR="006331B2">
        <w:t xml:space="preserve"> </w:t>
      </w:r>
    </w:p>
    <w:p w:rsidR="00340FD7" w:rsidRDefault="00340FD7" w:rsidP="003A3E20">
      <w:pPr>
        <w:pStyle w:val="TOC3"/>
        <w:jc w:val="both"/>
        <w:rPr>
          <w:rFonts w:ascii="Times New Roman" w:hAnsi="Times New Roman"/>
          <w:b w:val="0"/>
          <w:noProof/>
          <w:sz w:val="24"/>
          <w:szCs w:val="24"/>
        </w:rPr>
      </w:pPr>
      <w:r>
        <w:rPr>
          <w:noProof/>
        </w:rPr>
        <w:t>Section 1: Agency overview and resources</w:t>
      </w:r>
      <w:r>
        <w:rPr>
          <w:noProof/>
        </w:rPr>
        <w:tab/>
      </w:r>
      <w:r w:rsidR="00D617F1">
        <w:rPr>
          <w:noProof/>
        </w:rPr>
        <w:fldChar w:fldCharType="begin"/>
      </w:r>
      <w:r w:rsidR="00D617F1">
        <w:rPr>
          <w:noProof/>
        </w:rPr>
        <w:instrText xml:space="preserve"> PAGEREF _Ref291676396 \h </w:instrText>
      </w:r>
      <w:r w:rsidR="00D617F1">
        <w:rPr>
          <w:noProof/>
        </w:rPr>
      </w:r>
      <w:r w:rsidR="00D617F1">
        <w:rPr>
          <w:noProof/>
        </w:rPr>
        <w:fldChar w:fldCharType="separate"/>
      </w:r>
      <w:r w:rsidR="00CF5C30">
        <w:rPr>
          <w:noProof/>
        </w:rPr>
        <w:t>14</w:t>
      </w:r>
      <w:r w:rsidR="00D617F1">
        <w:rPr>
          <w:noProof/>
        </w:rPr>
        <w:fldChar w:fldCharType="end"/>
      </w:r>
    </w:p>
    <w:p w:rsidR="00340FD7" w:rsidRDefault="00340FD7" w:rsidP="003A3E20">
      <w:pPr>
        <w:pStyle w:val="TOC4"/>
        <w:tabs>
          <w:tab w:val="left" w:pos="800"/>
        </w:tabs>
        <w:jc w:val="both"/>
        <w:rPr>
          <w:rFonts w:ascii="Times New Roman" w:hAnsi="Times New Roman"/>
          <w:noProof/>
          <w:sz w:val="24"/>
          <w:szCs w:val="24"/>
        </w:rPr>
      </w:pPr>
      <w:r>
        <w:rPr>
          <w:noProof/>
        </w:rPr>
        <w:t>1.1</w:t>
      </w:r>
      <w:r>
        <w:rPr>
          <w:rFonts w:ascii="Times New Roman" w:hAnsi="Times New Roman"/>
          <w:noProof/>
          <w:sz w:val="24"/>
          <w:szCs w:val="24"/>
        </w:rPr>
        <w:tab/>
      </w:r>
      <w:r>
        <w:rPr>
          <w:noProof/>
        </w:rPr>
        <w:t>Strategic Direction Statement</w:t>
      </w:r>
      <w:r>
        <w:rPr>
          <w:noProof/>
        </w:rPr>
        <w:tab/>
      </w:r>
      <w:r w:rsidR="00D617F1">
        <w:rPr>
          <w:noProof/>
        </w:rPr>
        <w:fldChar w:fldCharType="begin"/>
      </w:r>
      <w:r w:rsidR="00D617F1">
        <w:rPr>
          <w:noProof/>
        </w:rPr>
        <w:instrText xml:space="preserve"> PAGEREF _Ref291676501 \h </w:instrText>
      </w:r>
      <w:r w:rsidR="00D617F1">
        <w:rPr>
          <w:noProof/>
        </w:rPr>
      </w:r>
      <w:r w:rsidR="00D617F1">
        <w:rPr>
          <w:noProof/>
        </w:rPr>
        <w:fldChar w:fldCharType="separate"/>
      </w:r>
      <w:r w:rsidR="00CF5C30">
        <w:rPr>
          <w:noProof/>
        </w:rPr>
        <w:t>14</w:t>
      </w:r>
      <w:r w:rsidR="00D617F1">
        <w:rPr>
          <w:noProof/>
        </w:rPr>
        <w:fldChar w:fldCharType="end"/>
      </w:r>
    </w:p>
    <w:p w:rsidR="00340FD7" w:rsidRDefault="00340FD7" w:rsidP="003A3E20">
      <w:pPr>
        <w:pStyle w:val="TOC4"/>
        <w:tabs>
          <w:tab w:val="left" w:pos="800"/>
        </w:tabs>
        <w:jc w:val="both"/>
        <w:rPr>
          <w:rFonts w:ascii="Times New Roman" w:hAnsi="Times New Roman"/>
          <w:noProof/>
          <w:sz w:val="24"/>
          <w:szCs w:val="24"/>
        </w:rPr>
      </w:pPr>
      <w:r>
        <w:rPr>
          <w:noProof/>
        </w:rPr>
        <w:t>1.2</w:t>
      </w:r>
      <w:r>
        <w:rPr>
          <w:rFonts w:ascii="Times New Roman" w:hAnsi="Times New Roman"/>
          <w:noProof/>
          <w:sz w:val="24"/>
          <w:szCs w:val="24"/>
        </w:rPr>
        <w:tab/>
      </w:r>
      <w:r>
        <w:rPr>
          <w:noProof/>
        </w:rPr>
        <w:t>Agency Resource Statement</w:t>
      </w:r>
      <w:r>
        <w:rPr>
          <w:noProof/>
        </w:rPr>
        <w:tab/>
      </w:r>
      <w:r w:rsidR="00D617F1">
        <w:rPr>
          <w:noProof/>
        </w:rPr>
        <w:fldChar w:fldCharType="begin"/>
      </w:r>
      <w:r w:rsidR="00D617F1">
        <w:rPr>
          <w:noProof/>
        </w:rPr>
        <w:instrText xml:space="preserve"> PAGEREF _Ref291676528 \h </w:instrText>
      </w:r>
      <w:r w:rsidR="00D617F1">
        <w:rPr>
          <w:noProof/>
        </w:rPr>
      </w:r>
      <w:r w:rsidR="00D617F1">
        <w:rPr>
          <w:noProof/>
        </w:rPr>
        <w:fldChar w:fldCharType="separate"/>
      </w:r>
      <w:r w:rsidR="00CF5C30">
        <w:rPr>
          <w:noProof/>
        </w:rPr>
        <w:t>17</w:t>
      </w:r>
      <w:r w:rsidR="00D617F1">
        <w:rPr>
          <w:noProof/>
        </w:rPr>
        <w:fldChar w:fldCharType="end"/>
      </w:r>
    </w:p>
    <w:p w:rsidR="00340FD7" w:rsidRDefault="00340FD7" w:rsidP="003A3E20">
      <w:pPr>
        <w:pStyle w:val="TOC4"/>
        <w:tabs>
          <w:tab w:val="left" w:pos="800"/>
        </w:tabs>
        <w:jc w:val="both"/>
        <w:rPr>
          <w:noProof/>
        </w:rPr>
      </w:pPr>
      <w:r>
        <w:rPr>
          <w:noProof/>
        </w:rPr>
        <w:t>1.3</w:t>
      </w:r>
      <w:r>
        <w:rPr>
          <w:rFonts w:ascii="Times New Roman" w:hAnsi="Times New Roman"/>
          <w:noProof/>
          <w:sz w:val="24"/>
          <w:szCs w:val="24"/>
        </w:rPr>
        <w:tab/>
      </w:r>
      <w:smartTag w:uri="urn:schemas-microsoft-com:office:smarttags" w:element="PersonName">
        <w:r>
          <w:rPr>
            <w:noProof/>
          </w:rPr>
          <w:t>Budget</w:t>
        </w:r>
      </w:smartTag>
      <w:r>
        <w:rPr>
          <w:noProof/>
        </w:rPr>
        <w:t xml:space="preserve"> Measures</w:t>
      </w:r>
      <w:r>
        <w:rPr>
          <w:noProof/>
        </w:rPr>
        <w:tab/>
      </w:r>
      <w:r w:rsidR="00ED2EFD">
        <w:rPr>
          <w:noProof/>
        </w:rPr>
        <w:fldChar w:fldCharType="begin"/>
      </w:r>
      <w:r w:rsidR="00ED2EFD">
        <w:rPr>
          <w:noProof/>
        </w:rPr>
        <w:instrText xml:space="preserve"> PAGEREF _Ref292649957 \h </w:instrText>
      </w:r>
      <w:r w:rsidR="00ED2EFD">
        <w:rPr>
          <w:noProof/>
        </w:rPr>
      </w:r>
      <w:r w:rsidR="00ED2EFD">
        <w:rPr>
          <w:noProof/>
        </w:rPr>
        <w:fldChar w:fldCharType="separate"/>
      </w:r>
      <w:r w:rsidR="00CF5C30">
        <w:rPr>
          <w:noProof/>
        </w:rPr>
        <w:t>21</w:t>
      </w:r>
      <w:r w:rsidR="00ED2EFD">
        <w:rPr>
          <w:noProof/>
        </w:rPr>
        <w:fldChar w:fldCharType="end"/>
      </w:r>
    </w:p>
    <w:p w:rsidR="00D617F1" w:rsidRPr="00D617F1" w:rsidRDefault="00D617F1" w:rsidP="00D617F1">
      <w:pPr>
        <w:pStyle w:val="TOC4"/>
        <w:tabs>
          <w:tab w:val="left" w:pos="800"/>
        </w:tabs>
        <w:ind w:left="799" w:hanging="799"/>
        <w:jc w:val="both"/>
        <w:rPr>
          <w:noProof/>
        </w:rPr>
      </w:pPr>
      <w:r>
        <w:rPr>
          <w:noProof/>
        </w:rPr>
        <w:t>1.4</w:t>
      </w:r>
      <w:r w:rsidRPr="00D617F1">
        <w:rPr>
          <w:noProof/>
        </w:rPr>
        <w:tab/>
      </w:r>
      <w:r>
        <w:rPr>
          <w:noProof/>
        </w:rPr>
        <w:t>Transition from previous program structure to integrated program structure</w:t>
      </w:r>
      <w:r>
        <w:rPr>
          <w:noProof/>
        </w:rPr>
        <w:tab/>
      </w:r>
      <w:r w:rsidR="00ED2EFD">
        <w:rPr>
          <w:noProof/>
        </w:rPr>
        <w:fldChar w:fldCharType="begin"/>
      </w:r>
      <w:r w:rsidR="00ED2EFD">
        <w:rPr>
          <w:noProof/>
        </w:rPr>
        <w:instrText xml:space="preserve"> PAGEREF _Ref292649847 \h </w:instrText>
      </w:r>
      <w:r w:rsidR="00ED2EFD">
        <w:rPr>
          <w:noProof/>
        </w:rPr>
      </w:r>
      <w:r w:rsidR="00ED2EFD">
        <w:rPr>
          <w:noProof/>
        </w:rPr>
        <w:fldChar w:fldCharType="separate"/>
      </w:r>
      <w:r w:rsidR="00CF5C30">
        <w:rPr>
          <w:noProof/>
        </w:rPr>
        <w:t>30</w:t>
      </w:r>
      <w:r w:rsidR="00ED2EFD">
        <w:rPr>
          <w:noProof/>
        </w:rPr>
        <w:fldChar w:fldCharType="end"/>
      </w:r>
    </w:p>
    <w:p w:rsidR="00340FD7" w:rsidRDefault="00340FD7" w:rsidP="003A3E20">
      <w:pPr>
        <w:pStyle w:val="TOC3"/>
        <w:jc w:val="both"/>
        <w:rPr>
          <w:rFonts w:ascii="Times New Roman" w:hAnsi="Times New Roman"/>
          <w:b w:val="0"/>
          <w:noProof/>
          <w:sz w:val="24"/>
          <w:szCs w:val="24"/>
        </w:rPr>
      </w:pPr>
      <w:r>
        <w:rPr>
          <w:noProof/>
        </w:rPr>
        <w:t>Section 2: Outcomes and planned performance</w:t>
      </w:r>
      <w:r>
        <w:rPr>
          <w:noProof/>
        </w:rPr>
        <w:tab/>
      </w:r>
      <w:r w:rsidR="00317FDF">
        <w:rPr>
          <w:noProof/>
        </w:rPr>
        <w:t>31</w:t>
      </w:r>
    </w:p>
    <w:p w:rsidR="00340FD7" w:rsidRDefault="00340FD7" w:rsidP="003A3E20">
      <w:pPr>
        <w:pStyle w:val="TOC4"/>
        <w:tabs>
          <w:tab w:val="left" w:pos="800"/>
        </w:tabs>
        <w:jc w:val="both"/>
        <w:rPr>
          <w:rFonts w:ascii="Times New Roman" w:hAnsi="Times New Roman"/>
          <w:noProof/>
          <w:sz w:val="24"/>
          <w:szCs w:val="24"/>
        </w:rPr>
      </w:pPr>
      <w:r>
        <w:rPr>
          <w:noProof/>
        </w:rPr>
        <w:t>2.1</w:t>
      </w:r>
      <w:r>
        <w:rPr>
          <w:rFonts w:ascii="Times New Roman" w:hAnsi="Times New Roman"/>
          <w:noProof/>
          <w:sz w:val="24"/>
          <w:szCs w:val="24"/>
        </w:rPr>
        <w:tab/>
      </w:r>
      <w:r>
        <w:rPr>
          <w:noProof/>
        </w:rPr>
        <w:t>Outcomes and performance information</w:t>
      </w:r>
      <w:r>
        <w:rPr>
          <w:noProof/>
        </w:rPr>
        <w:tab/>
      </w:r>
      <w:r w:rsidR="00D617F1">
        <w:rPr>
          <w:noProof/>
        </w:rPr>
        <w:fldChar w:fldCharType="begin"/>
      </w:r>
      <w:r w:rsidR="00D617F1">
        <w:rPr>
          <w:noProof/>
        </w:rPr>
        <w:instrText xml:space="preserve"> PAGEREF _Ref291676485 \h </w:instrText>
      </w:r>
      <w:r w:rsidR="00D617F1">
        <w:rPr>
          <w:noProof/>
        </w:rPr>
      </w:r>
      <w:r w:rsidR="00D617F1">
        <w:rPr>
          <w:noProof/>
        </w:rPr>
        <w:fldChar w:fldCharType="separate"/>
      </w:r>
      <w:r w:rsidR="00CF5C30">
        <w:rPr>
          <w:noProof/>
        </w:rPr>
        <w:t>31</w:t>
      </w:r>
      <w:r w:rsidR="00D617F1">
        <w:rPr>
          <w:noProof/>
        </w:rPr>
        <w:fldChar w:fldCharType="end"/>
      </w:r>
    </w:p>
    <w:p w:rsidR="00340FD7" w:rsidRDefault="00340FD7" w:rsidP="003A3E20">
      <w:pPr>
        <w:pStyle w:val="TOC3"/>
        <w:jc w:val="both"/>
        <w:rPr>
          <w:rFonts w:ascii="Times New Roman" w:hAnsi="Times New Roman"/>
          <w:b w:val="0"/>
          <w:noProof/>
          <w:sz w:val="24"/>
          <w:szCs w:val="24"/>
        </w:rPr>
      </w:pPr>
      <w:r>
        <w:rPr>
          <w:noProof/>
        </w:rPr>
        <w:t>Section 3: Explanatory tables and budgeted financial statements</w:t>
      </w:r>
      <w:r>
        <w:rPr>
          <w:noProof/>
        </w:rPr>
        <w:tab/>
      </w:r>
      <w:r w:rsidR="00D617F1">
        <w:rPr>
          <w:noProof/>
        </w:rPr>
        <w:fldChar w:fldCharType="begin"/>
      </w:r>
      <w:r w:rsidR="00D617F1">
        <w:rPr>
          <w:noProof/>
        </w:rPr>
        <w:instrText xml:space="preserve"> PAGEREF _Ref291676438 \h </w:instrText>
      </w:r>
      <w:r w:rsidR="00D617F1">
        <w:rPr>
          <w:noProof/>
        </w:rPr>
      </w:r>
      <w:r w:rsidR="00D617F1">
        <w:rPr>
          <w:noProof/>
        </w:rPr>
        <w:fldChar w:fldCharType="separate"/>
      </w:r>
      <w:r w:rsidR="00CF5C30">
        <w:rPr>
          <w:noProof/>
        </w:rPr>
        <w:t>41</w:t>
      </w:r>
      <w:r w:rsidR="00D617F1">
        <w:rPr>
          <w:noProof/>
        </w:rPr>
        <w:fldChar w:fldCharType="end"/>
      </w:r>
    </w:p>
    <w:p w:rsidR="00340FD7" w:rsidRDefault="00340FD7" w:rsidP="003A3E20">
      <w:pPr>
        <w:pStyle w:val="TOC4"/>
        <w:tabs>
          <w:tab w:val="left" w:pos="800"/>
        </w:tabs>
        <w:jc w:val="both"/>
        <w:rPr>
          <w:noProof/>
        </w:rPr>
      </w:pPr>
      <w:r>
        <w:rPr>
          <w:noProof/>
        </w:rPr>
        <w:t>3.1</w:t>
      </w:r>
      <w:r>
        <w:rPr>
          <w:rFonts w:ascii="Times New Roman" w:hAnsi="Times New Roman"/>
          <w:noProof/>
          <w:sz w:val="24"/>
          <w:szCs w:val="24"/>
        </w:rPr>
        <w:tab/>
      </w:r>
      <w:r>
        <w:rPr>
          <w:noProof/>
        </w:rPr>
        <w:t>Explanatory tables</w:t>
      </w:r>
      <w:r>
        <w:rPr>
          <w:noProof/>
        </w:rPr>
        <w:tab/>
      </w:r>
      <w:r w:rsidR="00D617F1">
        <w:rPr>
          <w:noProof/>
        </w:rPr>
        <w:fldChar w:fldCharType="begin"/>
      </w:r>
      <w:r w:rsidR="00D617F1">
        <w:rPr>
          <w:noProof/>
        </w:rPr>
        <w:instrText xml:space="preserve"> PAGEREF _Ref291676454 \h </w:instrText>
      </w:r>
      <w:r w:rsidR="00D617F1">
        <w:rPr>
          <w:noProof/>
        </w:rPr>
      </w:r>
      <w:r w:rsidR="00D617F1">
        <w:rPr>
          <w:noProof/>
        </w:rPr>
        <w:fldChar w:fldCharType="separate"/>
      </w:r>
      <w:r w:rsidR="00CF5C30">
        <w:rPr>
          <w:noProof/>
        </w:rPr>
        <w:t>41</w:t>
      </w:r>
      <w:r w:rsidR="00D617F1">
        <w:rPr>
          <w:noProof/>
        </w:rPr>
        <w:fldChar w:fldCharType="end"/>
      </w:r>
    </w:p>
    <w:p w:rsidR="00340FD7" w:rsidRDefault="00340FD7" w:rsidP="003A3E20">
      <w:pPr>
        <w:pStyle w:val="TOC4"/>
        <w:tabs>
          <w:tab w:val="left" w:pos="800"/>
        </w:tabs>
        <w:jc w:val="both"/>
        <w:rPr>
          <w:noProof/>
        </w:rPr>
      </w:pPr>
      <w:r>
        <w:rPr>
          <w:noProof/>
        </w:rPr>
        <w:t>3.2</w:t>
      </w:r>
      <w:r>
        <w:rPr>
          <w:rFonts w:ascii="Times New Roman" w:hAnsi="Times New Roman"/>
          <w:noProof/>
          <w:sz w:val="24"/>
          <w:szCs w:val="24"/>
        </w:rPr>
        <w:tab/>
      </w:r>
      <w:smartTag w:uri="urn:schemas-microsoft-com:office:smarttags" w:element="PersonName">
        <w:r>
          <w:rPr>
            <w:noProof/>
          </w:rPr>
          <w:t>Budget</w:t>
        </w:r>
      </w:smartTag>
      <w:r>
        <w:rPr>
          <w:noProof/>
        </w:rPr>
        <w:t>ed Financial Statements</w:t>
      </w:r>
      <w:r>
        <w:rPr>
          <w:noProof/>
        </w:rPr>
        <w:tab/>
      </w:r>
      <w:r w:rsidR="00EC379B">
        <w:rPr>
          <w:noProof/>
        </w:rPr>
        <w:fldChar w:fldCharType="begin"/>
      </w:r>
      <w:r w:rsidR="00EC379B">
        <w:rPr>
          <w:noProof/>
        </w:rPr>
        <w:instrText xml:space="preserve"> PAGEREF _Ref291676894 \h </w:instrText>
      </w:r>
      <w:r w:rsidR="00EC379B">
        <w:rPr>
          <w:noProof/>
        </w:rPr>
      </w:r>
      <w:r w:rsidR="00EC379B">
        <w:rPr>
          <w:noProof/>
        </w:rPr>
        <w:fldChar w:fldCharType="separate"/>
      </w:r>
      <w:r w:rsidR="00CF5C30">
        <w:rPr>
          <w:noProof/>
        </w:rPr>
        <w:t>45</w:t>
      </w:r>
      <w:r w:rsidR="00EC379B">
        <w:rPr>
          <w:noProof/>
        </w:rPr>
        <w:fldChar w:fldCharType="end"/>
      </w:r>
    </w:p>
    <w:p w:rsidR="00340FD7" w:rsidRPr="008B5AFD" w:rsidRDefault="00340FD7" w:rsidP="003A3E20"/>
    <w:p w:rsidR="00340FD7" w:rsidRDefault="00340FD7" w:rsidP="003A3E20">
      <w:pPr>
        <w:sectPr w:rsidR="00340FD7" w:rsidSect="00715386">
          <w:type w:val="oddPage"/>
          <w:pgSz w:w="11906" w:h="16838" w:code="9"/>
          <w:pgMar w:top="2466" w:right="2098" w:bottom="2466" w:left="2098" w:header="1899" w:footer="1899" w:gutter="0"/>
          <w:cols w:space="708"/>
          <w:titlePg/>
          <w:docGrid w:linePitch="360"/>
        </w:sectPr>
      </w:pPr>
    </w:p>
    <w:p w:rsidR="006C4A0F" w:rsidRDefault="0045269D" w:rsidP="00062284">
      <w:pPr>
        <w:pStyle w:val="Heading1"/>
      </w:pPr>
      <w:bookmarkStart w:id="14" w:name="_Ref291675979"/>
      <w:bookmarkStart w:id="15" w:name="_Toc190682310"/>
      <w:bookmarkStart w:id="16" w:name="_Toc190682528"/>
      <w:r>
        <w:t xml:space="preserve">Department of </w:t>
      </w:r>
      <w:r w:rsidR="006C4A0F">
        <w:t>Human Services</w:t>
      </w:r>
      <w:bookmarkEnd w:id="14"/>
      <w:r w:rsidR="006C4A0F">
        <w:t xml:space="preserve"> </w:t>
      </w:r>
    </w:p>
    <w:p w:rsidR="006C4A0F" w:rsidRDefault="006C4A0F" w:rsidP="006C4A0F">
      <w:pPr>
        <w:pStyle w:val="Heading2"/>
        <w:jc w:val="both"/>
      </w:pPr>
      <w:bookmarkStart w:id="17" w:name="_Toc190682308"/>
      <w:bookmarkStart w:id="18" w:name="_Toc190682526"/>
      <w:bookmarkStart w:id="19" w:name="_Ref291676396"/>
      <w:r>
        <w:t>Section 1: Agency overview and resources</w:t>
      </w:r>
      <w:bookmarkEnd w:id="17"/>
      <w:bookmarkEnd w:id="18"/>
      <w:bookmarkEnd w:id="19"/>
    </w:p>
    <w:p w:rsidR="006C4A0F" w:rsidRDefault="006C4A0F" w:rsidP="006C4A0F">
      <w:pPr>
        <w:pStyle w:val="Heading3"/>
        <w:jc w:val="both"/>
      </w:pPr>
      <w:bookmarkStart w:id="20" w:name="_Toc190682309"/>
      <w:bookmarkStart w:id="21" w:name="_Toc190682527"/>
      <w:bookmarkStart w:id="22" w:name="_Ref291676501"/>
      <w:r>
        <w:t>1.1</w:t>
      </w:r>
      <w:r>
        <w:tab/>
        <w:t>Strategic Direction</w:t>
      </w:r>
      <w:bookmarkEnd w:id="20"/>
      <w:bookmarkEnd w:id="21"/>
      <w:r>
        <w:t xml:space="preserve"> Statement</w:t>
      </w:r>
      <w:bookmarkEnd w:id="22"/>
    </w:p>
    <w:p w:rsidR="006C4A0F" w:rsidRPr="00AE01F4" w:rsidRDefault="006C4A0F" w:rsidP="006C4A0F">
      <w:r w:rsidRPr="00AE01F4">
        <w:t xml:space="preserve">The </w:t>
      </w:r>
      <w:r>
        <w:t>Human Services portfolio (the portfolio)</w:t>
      </w:r>
      <w:r w:rsidRPr="00AE01F4">
        <w:t xml:space="preserve"> performs a significant function in the development of service delivery policy and provides access to social, health and other payments and services on behalf of Australian Government policy departments and other organisations. These payments and services support Government outcomes in policy and program areas such as Social Inclusion, Closing the Gap, Welfare Reform, Health Reform and Emergency Management.</w:t>
      </w:r>
    </w:p>
    <w:p w:rsidR="006C4A0F" w:rsidRDefault="00A94A10" w:rsidP="006C4A0F">
      <w:r>
        <w:t>Should</w:t>
      </w:r>
      <w:r w:rsidR="006C4A0F" w:rsidRPr="00650434">
        <w:t xml:space="preserve"> the </w:t>
      </w:r>
      <w:r w:rsidR="005A1122">
        <w:rPr>
          <w:i/>
        </w:rPr>
        <w:t xml:space="preserve">Human Services Legislation Amendment Bill 2011 </w:t>
      </w:r>
      <w:r>
        <w:t>be passed,</w:t>
      </w:r>
      <w:r w:rsidR="006C4A0F" w:rsidRPr="00650434">
        <w:t xml:space="preserve"> Centrelink and Medicare </w:t>
      </w:r>
      <w:r w:rsidR="005D17E4">
        <w:t xml:space="preserve">Australia </w:t>
      </w:r>
      <w:r>
        <w:t xml:space="preserve">would integrate </w:t>
      </w:r>
      <w:r w:rsidR="005D17E4">
        <w:t>into</w:t>
      </w:r>
      <w:r w:rsidR="006C4A0F" w:rsidRPr="00650434">
        <w:t xml:space="preserve"> the Department of Human Services from 1</w:t>
      </w:r>
      <w:r w:rsidR="005D17E4">
        <w:t> </w:t>
      </w:r>
      <w:r w:rsidR="006C4A0F" w:rsidRPr="00650434">
        <w:t>July</w:t>
      </w:r>
      <w:r w:rsidR="001C1EF3">
        <w:t> </w:t>
      </w:r>
      <w:r w:rsidR="006C4A0F" w:rsidRPr="00650434">
        <w:t xml:space="preserve">2011. This would provide further opportunities to increase efficiencies across the </w:t>
      </w:r>
      <w:r w:rsidR="006C4A0F">
        <w:t>portfolio</w:t>
      </w:r>
      <w:r w:rsidR="006C4A0F" w:rsidRPr="00650434">
        <w:t xml:space="preserve"> with the aim of delivering improved and more convenient services for Australians.</w:t>
      </w:r>
    </w:p>
    <w:p w:rsidR="00D8776F" w:rsidRDefault="00667289" w:rsidP="006C4A0F">
      <w:r>
        <w:t>The Department of Human Services</w:t>
      </w:r>
      <w:r w:rsidR="00B014B6">
        <w:t xml:space="preserve">, integrated with Centrelink and Medicare </w:t>
      </w:r>
      <w:smartTag w:uri="urn:schemas-microsoft-com:office:smarttags" w:element="country-region">
        <w:smartTag w:uri="urn:schemas-microsoft-com:office:smarttags" w:element="place">
          <w:r w:rsidR="00B014B6">
            <w:t>Australia</w:t>
          </w:r>
        </w:smartTag>
      </w:smartTag>
      <w:r w:rsidR="00B014B6">
        <w:t>,</w:t>
      </w:r>
      <w:r>
        <w:t xml:space="preserve"> is hereafter referred to as the Department.</w:t>
      </w:r>
    </w:p>
    <w:p w:rsidR="006C4A0F" w:rsidRDefault="006C4A0F" w:rsidP="006C4A0F">
      <w:r>
        <w:t xml:space="preserve">The </w:t>
      </w:r>
      <w:r w:rsidR="007E6B7A">
        <w:t xml:space="preserve">Department’s </w:t>
      </w:r>
      <w:r>
        <w:t>contribution to the Go</w:t>
      </w:r>
      <w:r w:rsidR="006D6EF6">
        <w:t>vernment’s agenda is reflected in its</w:t>
      </w:r>
      <w:r>
        <w:t xml:space="preserve"> outcome statement which is to:</w:t>
      </w:r>
    </w:p>
    <w:p w:rsidR="006C4A0F" w:rsidRPr="00B90C27" w:rsidRDefault="006C4A0F" w:rsidP="006C4A0F">
      <w:pPr>
        <w:rPr>
          <w:i/>
        </w:rPr>
      </w:pPr>
      <w:r w:rsidRPr="00B90C27">
        <w:rPr>
          <w:i/>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r>
        <w:rPr>
          <w:i/>
        </w:rPr>
        <w:t>.</w:t>
      </w:r>
    </w:p>
    <w:p w:rsidR="006C4A0F" w:rsidRDefault="006C4A0F" w:rsidP="006C4A0F">
      <w:r>
        <w:t xml:space="preserve">The </w:t>
      </w:r>
      <w:r w:rsidR="007E6B7A">
        <w:t xml:space="preserve">Department </w:t>
      </w:r>
      <w:r>
        <w:t>works with</w:t>
      </w:r>
      <w:r w:rsidR="00EE1CFC">
        <w:t xml:space="preserve"> other</w:t>
      </w:r>
      <w:r>
        <w:t xml:space="preserve"> government agencies to provide access to government social and health-related services that support self-sufficiency through:</w:t>
      </w:r>
    </w:p>
    <w:p w:rsidR="006C4A0F" w:rsidRDefault="006C4A0F" w:rsidP="006C4A0F">
      <w:pPr>
        <w:numPr>
          <w:ilvl w:val="0"/>
          <w:numId w:val="8"/>
        </w:numPr>
        <w:rPr>
          <w:rFonts w:cs="Book Antiqua"/>
          <w:color w:val="000000"/>
        </w:rPr>
      </w:pPr>
      <w:r>
        <w:t xml:space="preserve">the development of innovative and flexible service delivery policy </w:t>
      </w:r>
      <w:r>
        <w:rPr>
          <w:rFonts w:cs="Book Antiqua"/>
          <w:color w:val="000000"/>
        </w:rPr>
        <w:t>that</w:t>
      </w:r>
      <w:r w:rsidRPr="00E27411">
        <w:rPr>
          <w:rFonts w:cs="Book Antiqua"/>
          <w:color w:val="000000"/>
        </w:rPr>
        <w:t xml:space="preserve"> </w:t>
      </w:r>
      <w:r>
        <w:rPr>
          <w:rFonts w:cs="Book Antiqua"/>
          <w:color w:val="000000"/>
        </w:rPr>
        <w:t>supports the implementation</w:t>
      </w:r>
      <w:r w:rsidRPr="00E955BF">
        <w:rPr>
          <w:rFonts w:cs="Book Antiqua"/>
          <w:color w:val="000000"/>
        </w:rPr>
        <w:t xml:space="preserve"> of </w:t>
      </w:r>
      <w:r>
        <w:rPr>
          <w:rFonts w:cs="Book Antiqua"/>
          <w:color w:val="000000"/>
        </w:rPr>
        <w:t>G</w:t>
      </w:r>
      <w:r w:rsidRPr="00E955BF">
        <w:rPr>
          <w:rFonts w:cs="Book Antiqua"/>
          <w:color w:val="000000"/>
        </w:rPr>
        <w:t xml:space="preserve">overnment policy and programs; </w:t>
      </w:r>
    </w:p>
    <w:p w:rsidR="006C4A0F" w:rsidRPr="009B2AD8" w:rsidRDefault="006C4A0F" w:rsidP="006C4A0F">
      <w:pPr>
        <w:numPr>
          <w:ilvl w:val="0"/>
          <w:numId w:val="8"/>
        </w:numPr>
        <w:autoSpaceDE w:val="0"/>
        <w:autoSpaceDN w:val="0"/>
        <w:adjustRightInd w:val="0"/>
        <w:spacing w:before="120" w:after="0" w:line="240" w:lineRule="auto"/>
      </w:pPr>
      <w:r>
        <w:rPr>
          <w:rFonts w:cs="Book Antiqua"/>
          <w:color w:val="000000"/>
        </w:rPr>
        <w:t>the design and development of s</w:t>
      </w:r>
      <w:r w:rsidRPr="00E955BF">
        <w:rPr>
          <w:rFonts w:cs="Book Antiqua"/>
          <w:color w:val="000000"/>
        </w:rPr>
        <w:t>ervice delivery systems that</w:t>
      </w:r>
      <w:r>
        <w:rPr>
          <w:rFonts w:cs="Book Antiqua"/>
          <w:color w:val="000000"/>
        </w:rPr>
        <w:t xml:space="preserve"> are convenient</w:t>
      </w:r>
      <w:r w:rsidR="008C4D51">
        <w:rPr>
          <w:rFonts w:cs="Book Antiqua"/>
          <w:color w:val="000000"/>
        </w:rPr>
        <w:t xml:space="preserve"> and</w:t>
      </w:r>
      <w:r>
        <w:rPr>
          <w:rFonts w:cs="Book Antiqua"/>
          <w:color w:val="000000"/>
        </w:rPr>
        <w:t xml:space="preserve"> accessible, and meet the diverse needs of the community;</w:t>
      </w:r>
    </w:p>
    <w:p w:rsidR="006C4A0F" w:rsidRDefault="006C4A0F" w:rsidP="006C4A0F">
      <w:pPr>
        <w:numPr>
          <w:ilvl w:val="0"/>
          <w:numId w:val="8"/>
        </w:numPr>
        <w:autoSpaceDE w:val="0"/>
        <w:autoSpaceDN w:val="0"/>
        <w:adjustRightInd w:val="0"/>
        <w:spacing w:before="120" w:after="0" w:line="240" w:lineRule="auto"/>
      </w:pPr>
      <w:r>
        <w:rPr>
          <w:rFonts w:cs="Book Antiqua"/>
          <w:color w:val="000000"/>
        </w:rPr>
        <w:t xml:space="preserve">the provision of payments and services that match </w:t>
      </w:r>
      <w:r w:rsidRPr="00E955BF">
        <w:rPr>
          <w:rFonts w:cs="Book Antiqua"/>
          <w:color w:val="000000"/>
        </w:rPr>
        <w:t>customers’</w:t>
      </w:r>
      <w:r>
        <w:rPr>
          <w:rFonts w:cs="Book Antiqua"/>
          <w:color w:val="000000"/>
        </w:rPr>
        <w:t xml:space="preserve"> </w:t>
      </w:r>
      <w:r w:rsidRPr="00E955BF">
        <w:rPr>
          <w:rFonts w:cs="Book Antiqua"/>
          <w:color w:val="000000"/>
        </w:rPr>
        <w:t>circumstances</w:t>
      </w:r>
      <w:r>
        <w:rPr>
          <w:rFonts w:cs="Book Antiqua"/>
          <w:color w:val="000000"/>
        </w:rPr>
        <w:t>;</w:t>
      </w:r>
    </w:p>
    <w:p w:rsidR="006C4A0F" w:rsidRDefault="006C4A0F" w:rsidP="006C4A0F">
      <w:pPr>
        <w:numPr>
          <w:ilvl w:val="0"/>
          <w:numId w:val="8"/>
        </w:numPr>
        <w:autoSpaceDE w:val="0"/>
        <w:autoSpaceDN w:val="0"/>
        <w:adjustRightInd w:val="0"/>
        <w:spacing w:before="120" w:after="0" w:line="240" w:lineRule="auto"/>
      </w:pPr>
      <w:r>
        <w:t>support for people to help them understand their rights and responsibilities and meet their obligations; and</w:t>
      </w:r>
    </w:p>
    <w:p w:rsidR="006C4A0F" w:rsidRDefault="006C4A0F" w:rsidP="006C4A0F">
      <w:pPr>
        <w:numPr>
          <w:ilvl w:val="0"/>
          <w:numId w:val="8"/>
        </w:numPr>
        <w:autoSpaceDE w:val="0"/>
        <w:autoSpaceDN w:val="0"/>
        <w:adjustRightInd w:val="0"/>
        <w:spacing w:before="120" w:after="0" w:line="240" w:lineRule="auto"/>
      </w:pPr>
      <w:r w:rsidRPr="007F5C15">
        <w:rPr>
          <w:color w:val="000000"/>
        </w:rPr>
        <w:t xml:space="preserve">work with the </w:t>
      </w:r>
      <w:r w:rsidRPr="007F5C15">
        <w:rPr>
          <w:rFonts w:cs="Book Antiqua"/>
          <w:color w:val="000000"/>
        </w:rPr>
        <w:t>public, private and non-government organisations, State and Territory Governments and other Australian Government departments and agencies to build partnerships for the delivery of services</w:t>
      </w:r>
      <w:r>
        <w:rPr>
          <w:rFonts w:cs="Book Antiqua"/>
          <w:color w:val="000000"/>
        </w:rPr>
        <w:t>.</w:t>
      </w:r>
    </w:p>
    <w:p w:rsidR="006C4A0F" w:rsidRDefault="006C4A0F" w:rsidP="00875303">
      <w:pPr>
        <w:spacing w:before="120"/>
      </w:pPr>
      <w:r>
        <w:t xml:space="preserve">Service Delivery Reform is the Government’s strategy to provide Australians with better access to social, health and welfare services. As part of the reform, the </w:t>
      </w:r>
      <w:r w:rsidR="007E6B7A">
        <w:t xml:space="preserve">Department </w:t>
      </w:r>
      <w:r>
        <w:t xml:space="preserve">is working to enhance its flexibility and effectiveness in delivering easy, high quality services that work for all Australians. This will enable the </w:t>
      </w:r>
      <w:r w:rsidR="007E6B7A">
        <w:t xml:space="preserve">Department </w:t>
      </w:r>
      <w:r>
        <w:t>to better coordinate, tailor and target its services for people based on their needs and circumstances through avenues most accessible and suited to them.</w:t>
      </w:r>
    </w:p>
    <w:p w:rsidR="006C4A0F" w:rsidRDefault="006C4A0F" w:rsidP="006C4A0F">
      <w:r>
        <w:t xml:space="preserve">Other significant new measures affecting the </w:t>
      </w:r>
      <w:r w:rsidR="007E6B7A">
        <w:t xml:space="preserve">Department </w:t>
      </w:r>
      <w:r>
        <w:t xml:space="preserve">include </w:t>
      </w:r>
      <w:r w:rsidR="0015428D">
        <w:t xml:space="preserve">the </w:t>
      </w:r>
      <w:r>
        <w:t>National Health R</w:t>
      </w:r>
      <w:r w:rsidR="00CE7506">
        <w:t>efor</w:t>
      </w:r>
      <w:r w:rsidR="00D079B7">
        <w:t>ms an</w:t>
      </w:r>
      <w:r w:rsidR="00CE7506">
        <w:t>d Building Australia’s Future Workforce</w:t>
      </w:r>
      <w:r w:rsidR="00D079B7">
        <w:t xml:space="preserve"> package</w:t>
      </w:r>
      <w:r w:rsidR="005973D1">
        <w:t>.</w:t>
      </w:r>
    </w:p>
    <w:p w:rsidR="006C4A0F" w:rsidRDefault="006C4A0F" w:rsidP="006C4A0F">
      <w:r>
        <w:t xml:space="preserve">The </w:t>
      </w:r>
      <w:r w:rsidR="007E6B7A">
        <w:t xml:space="preserve">Department </w:t>
      </w:r>
      <w:r>
        <w:t xml:space="preserve">will also continue to contribute to the implementation of recommendations made in </w:t>
      </w:r>
      <w:r>
        <w:rPr>
          <w:i/>
        </w:rPr>
        <w:t xml:space="preserve">Ahead of the Game: </w:t>
      </w:r>
      <w:r w:rsidR="002C6E89">
        <w:rPr>
          <w:i/>
        </w:rPr>
        <w:t xml:space="preserve">Blueprint for the </w:t>
      </w:r>
      <w:r>
        <w:rPr>
          <w:i/>
        </w:rPr>
        <w:t>Reform of Australian Government Administration</w:t>
      </w:r>
      <w:r w:rsidR="007B4251">
        <w:rPr>
          <w:i/>
        </w:rPr>
        <w:t xml:space="preserve"> </w:t>
      </w:r>
      <w:r w:rsidR="007B4251" w:rsidRPr="007B4251">
        <w:t>(Advisory Group on Reform of Australian Government Administration, March 2010)</w:t>
      </w:r>
      <w:r w:rsidR="0015428D">
        <w:t>,</w:t>
      </w:r>
      <w:r>
        <w:t xml:space="preserve"> particularly those relating to delivering better services for </w:t>
      </w:r>
      <w:r w:rsidR="002C6E89">
        <w:t>c</w:t>
      </w:r>
      <w:r>
        <w:t>itizens.</w:t>
      </w:r>
    </w:p>
    <w:p w:rsidR="006C4A0F" w:rsidRDefault="006C4A0F" w:rsidP="006C4A0F">
      <w:r w:rsidRPr="00580503">
        <w:t xml:space="preserve">There are a number of environmental factors that will drive the activities of the </w:t>
      </w:r>
      <w:r w:rsidR="007E6B7A">
        <w:t>Department</w:t>
      </w:r>
      <w:r>
        <w:t>. In summary these are:</w:t>
      </w:r>
    </w:p>
    <w:p w:rsidR="006C4A0F" w:rsidRPr="00580503" w:rsidRDefault="006C4A0F" w:rsidP="006C4A0F">
      <w:pPr>
        <w:numPr>
          <w:ilvl w:val="0"/>
          <w:numId w:val="9"/>
        </w:numPr>
        <w:spacing w:before="120" w:after="0"/>
      </w:pPr>
      <w:r w:rsidRPr="00580503">
        <w:t>the demographic trend of Australia’s rapidly ageing population resulting in both increased customer numbers and a shortage of skilled working age people;</w:t>
      </w:r>
    </w:p>
    <w:p w:rsidR="006C4A0F" w:rsidRPr="00516DC0" w:rsidRDefault="006C4A0F" w:rsidP="006C4A0F">
      <w:pPr>
        <w:numPr>
          <w:ilvl w:val="0"/>
          <w:numId w:val="9"/>
        </w:numPr>
        <w:autoSpaceDE w:val="0"/>
        <w:autoSpaceDN w:val="0"/>
        <w:adjustRightInd w:val="0"/>
        <w:spacing w:before="120" w:after="0" w:line="240" w:lineRule="auto"/>
      </w:pPr>
      <w:r w:rsidRPr="00A64429">
        <w:rPr>
          <w:szCs w:val="24"/>
        </w:rPr>
        <w:t>emerging community expectations around convenient access to and q</w:t>
      </w:r>
      <w:r>
        <w:rPr>
          <w:szCs w:val="24"/>
        </w:rPr>
        <w:t>uality of services;</w:t>
      </w:r>
      <w:r w:rsidRPr="00A64429">
        <w:rPr>
          <w:szCs w:val="24"/>
        </w:rPr>
        <w:t xml:space="preserve"> </w:t>
      </w:r>
    </w:p>
    <w:p w:rsidR="006C4A0F" w:rsidRPr="00A64429" w:rsidRDefault="006C4A0F" w:rsidP="006C4A0F">
      <w:pPr>
        <w:numPr>
          <w:ilvl w:val="0"/>
          <w:numId w:val="9"/>
        </w:numPr>
        <w:spacing w:before="120" w:after="0"/>
      </w:pPr>
      <w:r w:rsidRPr="00580503">
        <w:t>the need to deliver services that improve our efficiency and more effectively meet customer needs through better use of technology and self service channels;</w:t>
      </w:r>
    </w:p>
    <w:p w:rsidR="006C4A0F" w:rsidRPr="00580503" w:rsidRDefault="006C4A0F" w:rsidP="006C4A0F">
      <w:pPr>
        <w:numPr>
          <w:ilvl w:val="0"/>
          <w:numId w:val="9"/>
        </w:numPr>
        <w:spacing w:before="120" w:after="0"/>
      </w:pPr>
      <w:r w:rsidRPr="00580503">
        <w:t>the need to provide timely citizen access to government services during emergencies and balance these short term demands with the continuous delivery of payments and services</w:t>
      </w:r>
      <w:r>
        <w:t xml:space="preserve"> and support to third party providers</w:t>
      </w:r>
      <w:r w:rsidRPr="00580503">
        <w:t>; and</w:t>
      </w:r>
    </w:p>
    <w:p w:rsidR="006C4A0F" w:rsidRDefault="006C4A0F" w:rsidP="006C4A0F">
      <w:pPr>
        <w:numPr>
          <w:ilvl w:val="0"/>
          <w:numId w:val="9"/>
        </w:numPr>
        <w:autoSpaceDE w:val="0"/>
        <w:autoSpaceDN w:val="0"/>
        <w:adjustRightInd w:val="0"/>
        <w:spacing w:before="120" w:after="0" w:line="240" w:lineRule="auto"/>
      </w:pPr>
      <w:r w:rsidRPr="00234DDD">
        <w:t xml:space="preserve"> government trends towards greater integration and cross-agency initiatives with</w:t>
      </w:r>
      <w:r w:rsidRPr="00234DDD">
        <w:rPr>
          <w:szCs w:val="24"/>
        </w:rPr>
        <w:t xml:space="preserve"> shared services and infrastructure, to provide more efficient and less costly services.</w:t>
      </w:r>
    </w:p>
    <w:p w:rsidR="00C274FF" w:rsidRDefault="00C274FF">
      <w:pPr>
        <w:spacing w:after="0" w:line="240" w:lineRule="auto"/>
        <w:jc w:val="left"/>
      </w:pPr>
      <w:r>
        <w:br w:type="page"/>
      </w:r>
    </w:p>
    <w:p w:rsidR="006C4A0F" w:rsidRPr="00AD34D5" w:rsidRDefault="006C4A0F" w:rsidP="006C4A0F">
      <w:r w:rsidRPr="00AD34D5">
        <w:t xml:space="preserve">The </w:t>
      </w:r>
      <w:r w:rsidR="007E6B7A">
        <w:t>Department’s</w:t>
      </w:r>
      <w:r w:rsidR="007E6B7A" w:rsidRPr="00AD34D5">
        <w:t xml:space="preserve"> </w:t>
      </w:r>
      <w:r w:rsidRPr="00AD34D5">
        <w:t>key strategies are set out below:</w:t>
      </w:r>
    </w:p>
    <w:p w:rsidR="006C4A0F" w:rsidRPr="00095453" w:rsidRDefault="006C4A0F" w:rsidP="00F06396">
      <w:pPr>
        <w:numPr>
          <w:ilvl w:val="0"/>
          <w:numId w:val="9"/>
        </w:numPr>
        <w:spacing w:after="120"/>
        <w:ind w:left="714" w:hanging="357"/>
      </w:pPr>
      <w:r>
        <w:t>improve the delivery of</w:t>
      </w:r>
      <w:r w:rsidRPr="00095453">
        <w:t xml:space="preserve"> high quality servic</w:t>
      </w:r>
      <w:r>
        <w:t>es to the Australian community;</w:t>
      </w:r>
    </w:p>
    <w:p w:rsidR="006C4A0F" w:rsidRDefault="006C4A0F" w:rsidP="00F06396">
      <w:pPr>
        <w:numPr>
          <w:ilvl w:val="0"/>
          <w:numId w:val="9"/>
        </w:numPr>
        <w:spacing w:after="120"/>
        <w:ind w:left="714" w:hanging="357"/>
      </w:pPr>
      <w:r>
        <w:t xml:space="preserve">implement </w:t>
      </w:r>
      <w:r w:rsidR="008A5C23">
        <w:t xml:space="preserve">the Government’s </w:t>
      </w:r>
      <w:r>
        <w:t>Service Delivery Reform</w:t>
      </w:r>
      <w:r w:rsidR="008A5C23">
        <w:t xml:space="preserve"> approach – </w:t>
      </w:r>
      <w:r w:rsidR="00AB77B2">
        <w:t>“</w:t>
      </w:r>
      <w:r w:rsidR="008A5C23">
        <w:t>easy, high quality and works for you</w:t>
      </w:r>
      <w:r w:rsidR="00AB77B2">
        <w:t>”</w:t>
      </w:r>
      <w:r>
        <w:t>;</w:t>
      </w:r>
    </w:p>
    <w:p w:rsidR="008A5C23" w:rsidRDefault="006C4A0F" w:rsidP="00F06396">
      <w:pPr>
        <w:numPr>
          <w:ilvl w:val="0"/>
          <w:numId w:val="9"/>
        </w:numPr>
        <w:spacing w:after="120"/>
        <w:ind w:left="714" w:hanging="357"/>
      </w:pPr>
      <w:r>
        <w:t xml:space="preserve">work with </w:t>
      </w:r>
      <w:r w:rsidR="004A501B">
        <w:t xml:space="preserve">other </w:t>
      </w:r>
      <w:r>
        <w:t xml:space="preserve">government agencies to </w:t>
      </w:r>
      <w:r w:rsidR="008A5C23">
        <w:t xml:space="preserve">develop and </w:t>
      </w:r>
      <w:r>
        <w:t>deliver innovative and flexible service</w:t>
      </w:r>
      <w:r w:rsidR="008A5C23">
        <w:t>s and policies informed by service delivery expertise, customer experience and on-the-ground knowledge of the community</w:t>
      </w:r>
      <w:r>
        <w:t>;</w:t>
      </w:r>
      <w:r w:rsidR="008A5C23" w:rsidRPr="008A5C23">
        <w:t xml:space="preserve"> </w:t>
      </w:r>
    </w:p>
    <w:p w:rsidR="008A5C23" w:rsidRDefault="008A5C23" w:rsidP="00F06396">
      <w:pPr>
        <w:numPr>
          <w:ilvl w:val="0"/>
          <w:numId w:val="9"/>
        </w:numPr>
        <w:spacing w:after="120"/>
        <w:ind w:left="714" w:hanging="357"/>
      </w:pPr>
      <w:r>
        <w:t>contribute to the development and delivery of government priorities, such as  Participation, Social Inclusion, Closing the Gap, National Health Reform and eHealth;</w:t>
      </w:r>
    </w:p>
    <w:p w:rsidR="006C4A0F" w:rsidRDefault="008A5C23" w:rsidP="00F06396">
      <w:pPr>
        <w:numPr>
          <w:ilvl w:val="0"/>
          <w:numId w:val="9"/>
        </w:numPr>
        <w:spacing w:after="120"/>
        <w:ind w:left="714" w:hanging="357"/>
      </w:pPr>
      <w:r>
        <w:t>ensure service delivery is convenient and accessible and meets the diverse needs of the Australian community;</w:t>
      </w:r>
    </w:p>
    <w:p w:rsidR="008A5C23" w:rsidRDefault="008A5C23" w:rsidP="00F06396">
      <w:pPr>
        <w:numPr>
          <w:ilvl w:val="0"/>
          <w:numId w:val="9"/>
        </w:numPr>
        <w:spacing w:after="120"/>
        <w:ind w:left="714" w:hanging="357"/>
      </w:pPr>
      <w:r>
        <w:t>improve service delivery at the local level, particularly for people living in areas of disadvantage and remote and regional areas;</w:t>
      </w:r>
    </w:p>
    <w:p w:rsidR="008A5C23" w:rsidRDefault="008A5C23" w:rsidP="00F06396">
      <w:pPr>
        <w:numPr>
          <w:ilvl w:val="0"/>
          <w:numId w:val="9"/>
        </w:numPr>
        <w:spacing w:after="120"/>
        <w:ind w:left="714" w:hanging="357"/>
      </w:pPr>
      <w:r>
        <w:t xml:space="preserve">work </w:t>
      </w:r>
      <w:r w:rsidR="00C43B2C">
        <w:t>with</w:t>
      </w:r>
      <w:r>
        <w:t xml:space="preserve"> business and health professionals to deliver more effective and efficient services; </w:t>
      </w:r>
    </w:p>
    <w:p w:rsidR="006C4A0F" w:rsidRDefault="006C4A0F" w:rsidP="00F06396">
      <w:pPr>
        <w:numPr>
          <w:ilvl w:val="0"/>
          <w:numId w:val="9"/>
        </w:numPr>
        <w:spacing w:after="120"/>
        <w:ind w:left="714" w:hanging="357"/>
      </w:pPr>
      <w:r w:rsidRPr="00095453">
        <w:t>provid</w:t>
      </w:r>
      <w:r w:rsidR="002C6E89">
        <w:t>e</w:t>
      </w:r>
      <w:r w:rsidRPr="00095453">
        <w:t xml:space="preserve"> advice and service delivery that balances individuals</w:t>
      </w:r>
      <w:r w:rsidR="00C43B2C">
        <w:t>’</w:t>
      </w:r>
      <w:r w:rsidRPr="00095453">
        <w:t xml:space="preserve"> preference for service delivery with the risks to taxpayer funds caused by fraud and incorrect payment</w:t>
      </w:r>
      <w:r w:rsidR="002C6E89">
        <w:t>s</w:t>
      </w:r>
      <w:r w:rsidRPr="00095453">
        <w:t>;</w:t>
      </w:r>
    </w:p>
    <w:p w:rsidR="008A5C23" w:rsidRPr="00095453" w:rsidRDefault="008A5C23" w:rsidP="00F06396">
      <w:pPr>
        <w:numPr>
          <w:ilvl w:val="0"/>
          <w:numId w:val="9"/>
        </w:numPr>
        <w:spacing w:after="120"/>
        <w:ind w:left="714" w:hanging="357"/>
      </w:pPr>
      <w:r>
        <w:t>improve the administration and integrity of the programs we deliver; and</w:t>
      </w:r>
    </w:p>
    <w:p w:rsidR="006C4A0F" w:rsidRDefault="008A5C23" w:rsidP="00F06396">
      <w:pPr>
        <w:numPr>
          <w:ilvl w:val="0"/>
          <w:numId w:val="9"/>
        </w:numPr>
        <w:spacing w:after="120"/>
        <w:ind w:left="714" w:hanging="357"/>
      </w:pPr>
      <w:r>
        <w:t>develop an ICT capability that supports service delivery and government priorities.</w:t>
      </w:r>
    </w:p>
    <w:p w:rsidR="006C4A0F" w:rsidRPr="00580503" w:rsidRDefault="006C4A0F" w:rsidP="008A5C23">
      <w:pPr>
        <w:spacing w:after="120"/>
        <w:ind w:left="357"/>
      </w:pPr>
    </w:p>
    <w:p w:rsidR="00340FD7" w:rsidRDefault="00340FD7" w:rsidP="003A3E20">
      <w:pPr>
        <w:pStyle w:val="Heading3"/>
        <w:jc w:val="both"/>
      </w:pPr>
      <w:r>
        <w:br w:type="page"/>
      </w:r>
      <w:bookmarkStart w:id="23" w:name="_Ref291676528"/>
      <w:r>
        <w:t>1.2</w:t>
      </w:r>
      <w:r>
        <w:tab/>
        <w:t>Agency resource statement</w:t>
      </w:r>
      <w:bookmarkEnd w:id="15"/>
      <w:bookmarkEnd w:id="16"/>
      <w:bookmarkEnd w:id="23"/>
    </w:p>
    <w:p w:rsidR="00340FD7" w:rsidRDefault="00340FD7" w:rsidP="003A3E20">
      <w:bookmarkStart w:id="24" w:name="OLE_LINK11"/>
      <w:bookmarkStart w:id="25" w:name="OLE_LINK12"/>
      <w:r>
        <w:t>Table 1.1 shows the total resources from all sources. The table summarises how resources will be applied by outcome and by administered and departmental classification.</w:t>
      </w:r>
    </w:p>
    <w:bookmarkEnd w:id="24"/>
    <w:bookmarkEnd w:id="25"/>
    <w:p w:rsidR="00340FD7" w:rsidRDefault="00340FD7" w:rsidP="003A3E20">
      <w:pPr>
        <w:pStyle w:val="TableHeading"/>
        <w:jc w:val="both"/>
      </w:pPr>
      <w:r w:rsidRPr="00F37EF3">
        <w:t xml:space="preserve">Table 1.1: </w:t>
      </w:r>
      <w:r w:rsidR="007E6B7A">
        <w:t xml:space="preserve">Department of </w:t>
      </w:r>
      <w:r w:rsidR="00AE3EEA">
        <w:t>Human Services</w:t>
      </w:r>
      <w:r w:rsidRPr="00F37EF3">
        <w:t xml:space="preserve"> </w:t>
      </w:r>
      <w:r>
        <w:t>R</w:t>
      </w:r>
      <w:r w:rsidRPr="00F37EF3">
        <w:t xml:space="preserve">esource </w:t>
      </w:r>
      <w:r>
        <w:t>S</w:t>
      </w:r>
      <w:r w:rsidRPr="00F37EF3">
        <w:t>tat</w:t>
      </w:r>
      <w:r>
        <w:t xml:space="preserve">ement — </w:t>
      </w:r>
      <w:smartTag w:uri="urn:schemas-microsoft-com:office:smarttags" w:element="PersonName">
        <w:r>
          <w:t>Budget</w:t>
        </w:r>
      </w:smartTag>
      <w:r>
        <w:br/>
        <w:t>Estimates for 2011</w:t>
      </w:r>
      <w:r>
        <w:noBreakHyphen/>
        <w:t>12</w:t>
      </w:r>
      <w:r w:rsidRPr="00F37EF3">
        <w:t xml:space="preserve"> as at </w:t>
      </w:r>
      <w:smartTag w:uri="urn:schemas-microsoft-com:office:smarttags" w:element="PersonName">
        <w:r w:rsidRPr="00F37EF3">
          <w:t>Budget</w:t>
        </w:r>
      </w:smartTag>
      <w:r w:rsidRPr="00F37EF3">
        <w:t xml:space="preserve"> May </w:t>
      </w:r>
      <w:r>
        <w:t>2011</w:t>
      </w:r>
    </w:p>
    <w:tbl>
      <w:tblPr>
        <w:tblW w:w="8238" w:type="dxa"/>
        <w:tblInd w:w="78" w:type="dxa"/>
        <w:tblLayout w:type="fixed"/>
        <w:tblLook w:val="0000" w:firstRow="0" w:lastRow="0" w:firstColumn="0" w:lastColumn="0" w:noHBand="0" w:noVBand="0"/>
      </w:tblPr>
      <w:tblGrid>
        <w:gridCol w:w="2599"/>
        <w:gridCol w:w="236"/>
        <w:gridCol w:w="1091"/>
        <w:gridCol w:w="236"/>
        <w:gridCol w:w="1120"/>
        <w:gridCol w:w="236"/>
        <w:gridCol w:w="1062"/>
        <w:gridCol w:w="236"/>
        <w:gridCol w:w="1186"/>
        <w:gridCol w:w="236"/>
      </w:tblGrid>
      <w:tr w:rsidR="00C274FF" w:rsidTr="007A102A">
        <w:trPr>
          <w:trHeight w:val="1070"/>
        </w:trPr>
        <w:tc>
          <w:tcPr>
            <w:tcW w:w="2599" w:type="dxa"/>
            <w:tcBorders>
              <w:top w:val="single" w:sz="2" w:space="0" w:color="000000"/>
              <w:left w:val="nil"/>
              <w:right w:val="nil"/>
            </w:tcBorders>
          </w:tcPr>
          <w:p w:rsidR="00C274FF" w:rsidRDefault="00C274FF">
            <w:pPr>
              <w:autoSpaceDE w:val="0"/>
              <w:autoSpaceDN w:val="0"/>
              <w:adjustRightInd w:val="0"/>
              <w:spacing w:after="0" w:line="240" w:lineRule="auto"/>
              <w:jc w:val="right"/>
              <w:rPr>
                <w:rFonts w:ascii="Arial" w:hAnsi="Arial" w:cs="Arial"/>
                <w:color w:val="000000"/>
                <w:sz w:val="15"/>
                <w:szCs w:val="15"/>
              </w:rPr>
            </w:pPr>
          </w:p>
        </w:tc>
        <w:tc>
          <w:tcPr>
            <w:tcW w:w="236" w:type="dxa"/>
            <w:tcBorders>
              <w:top w:val="single" w:sz="2" w:space="0" w:color="000000"/>
              <w:left w:val="nil"/>
              <w:right w:val="nil"/>
            </w:tcBorders>
          </w:tcPr>
          <w:p w:rsidR="00C274FF" w:rsidRDefault="00C274FF">
            <w:pPr>
              <w:autoSpaceDE w:val="0"/>
              <w:autoSpaceDN w:val="0"/>
              <w:adjustRightInd w:val="0"/>
              <w:spacing w:after="0" w:line="240" w:lineRule="auto"/>
              <w:jc w:val="center"/>
              <w:rPr>
                <w:rFonts w:ascii="Arial" w:hAnsi="Arial" w:cs="Arial"/>
                <w:color w:val="000000"/>
                <w:sz w:val="15"/>
                <w:szCs w:val="15"/>
              </w:rPr>
            </w:pPr>
          </w:p>
        </w:tc>
        <w:tc>
          <w:tcPr>
            <w:tcW w:w="1091" w:type="dxa"/>
            <w:tcBorders>
              <w:top w:val="single" w:sz="2" w:space="0" w:color="000000"/>
              <w:left w:val="nil"/>
              <w:right w:val="nil"/>
            </w:tcBorders>
          </w:tcPr>
          <w:p w:rsidR="00C274FF" w:rsidRDefault="00C274FF">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w:t>
            </w:r>
          </w:p>
          <w:p w:rsidR="00C274FF" w:rsidRDefault="00C274FF">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of prior</w:t>
            </w:r>
          </w:p>
          <w:p w:rsidR="00C274FF" w:rsidRDefault="00C274FF">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year amounts</w:t>
            </w:r>
          </w:p>
          <w:p w:rsidR="00C274FF" w:rsidRDefault="00C274FF">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available in</w:t>
            </w:r>
          </w:p>
          <w:p w:rsidR="00C274FF" w:rsidRDefault="00C274FF"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236" w:type="dxa"/>
            <w:tcBorders>
              <w:top w:val="single" w:sz="2" w:space="0" w:color="000000"/>
              <w:left w:val="nil"/>
              <w:right w:val="nil"/>
            </w:tcBorders>
          </w:tcPr>
          <w:p w:rsidR="00C274FF" w:rsidRDefault="00C274FF"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6"/>
                <w:szCs w:val="16"/>
                <w:vertAlign w:val="superscript"/>
              </w:rPr>
              <w:t>+</w:t>
            </w:r>
          </w:p>
        </w:tc>
        <w:tc>
          <w:tcPr>
            <w:tcW w:w="1120" w:type="dxa"/>
            <w:tcBorders>
              <w:top w:val="single" w:sz="2" w:space="0" w:color="000000"/>
              <w:left w:val="nil"/>
              <w:right w:val="nil"/>
            </w:tcBorders>
          </w:tcPr>
          <w:p w:rsidR="00C274FF" w:rsidRDefault="00C274FF">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Proposed</w:t>
            </w:r>
          </w:p>
          <w:p w:rsidR="00C274FF" w:rsidRDefault="00C274FF">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at Budget</w:t>
            </w:r>
          </w:p>
          <w:p w:rsidR="00C274FF" w:rsidRDefault="00C274FF"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236" w:type="dxa"/>
            <w:tcBorders>
              <w:top w:val="single" w:sz="2" w:space="0" w:color="000000"/>
              <w:left w:val="nil"/>
              <w:right w:val="nil"/>
            </w:tcBorders>
          </w:tcPr>
          <w:p w:rsidR="00C274FF" w:rsidRDefault="00C274FF" w:rsidP="007A102A">
            <w:pPr>
              <w:autoSpaceDE w:val="0"/>
              <w:autoSpaceDN w:val="0"/>
              <w:adjustRightInd w:val="0"/>
              <w:spacing w:after="0" w:line="240" w:lineRule="auto"/>
              <w:jc w:val="center"/>
              <w:rPr>
                <w:rFonts w:ascii="Arial" w:hAnsi="Arial" w:cs="Arial"/>
                <w:color w:val="000000"/>
                <w:sz w:val="15"/>
                <w:szCs w:val="15"/>
                <w:vertAlign w:val="superscript"/>
              </w:rPr>
            </w:pPr>
            <w:r>
              <w:rPr>
                <w:rFonts w:ascii="Arial" w:hAnsi="Arial" w:cs="Arial"/>
                <w:color w:val="000000"/>
                <w:sz w:val="16"/>
                <w:szCs w:val="16"/>
                <w:vertAlign w:val="superscript"/>
              </w:rPr>
              <w:t>=</w:t>
            </w:r>
          </w:p>
        </w:tc>
        <w:tc>
          <w:tcPr>
            <w:tcW w:w="1062" w:type="dxa"/>
            <w:tcBorders>
              <w:top w:val="single" w:sz="2" w:space="0" w:color="000000"/>
              <w:left w:val="nil"/>
              <w:right w:val="nil"/>
            </w:tcBorders>
            <w:shd w:val="solid" w:color="E6E6E6" w:fill="auto"/>
          </w:tcPr>
          <w:p w:rsidR="00C274FF" w:rsidRDefault="00C274FF">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Total</w:t>
            </w:r>
          </w:p>
          <w:p w:rsidR="00C274FF" w:rsidRDefault="00C274FF">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w:t>
            </w:r>
          </w:p>
          <w:p w:rsidR="00C274FF" w:rsidRDefault="00C274FF"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236" w:type="dxa"/>
            <w:tcBorders>
              <w:top w:val="single" w:sz="2" w:space="0" w:color="000000"/>
              <w:left w:val="nil"/>
              <w:right w:val="nil"/>
            </w:tcBorders>
          </w:tcPr>
          <w:p w:rsidR="00C274FF" w:rsidRDefault="00C274FF">
            <w:pPr>
              <w:autoSpaceDE w:val="0"/>
              <w:autoSpaceDN w:val="0"/>
              <w:adjustRightInd w:val="0"/>
              <w:spacing w:after="0" w:line="240" w:lineRule="auto"/>
              <w:jc w:val="right"/>
              <w:rPr>
                <w:rFonts w:ascii="Arial" w:hAnsi="Arial" w:cs="Arial"/>
                <w:color w:val="000000"/>
                <w:sz w:val="15"/>
                <w:szCs w:val="15"/>
              </w:rPr>
            </w:pPr>
          </w:p>
        </w:tc>
        <w:tc>
          <w:tcPr>
            <w:tcW w:w="1186" w:type="dxa"/>
            <w:tcBorders>
              <w:top w:val="single" w:sz="2" w:space="0" w:color="000000"/>
              <w:left w:val="nil"/>
              <w:right w:val="nil"/>
            </w:tcBorders>
          </w:tcPr>
          <w:p w:rsidR="00C274FF" w:rsidRDefault="00C274FF">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Actual</w:t>
            </w:r>
          </w:p>
          <w:p w:rsidR="00C274FF" w:rsidRDefault="00C274FF">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available</w:t>
            </w:r>
          </w:p>
          <w:p w:rsidR="00C274FF" w:rsidRDefault="00C274FF">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appropriation</w:t>
            </w:r>
          </w:p>
          <w:p w:rsidR="00C274FF" w:rsidRDefault="00C274FF"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2010-11</w:t>
            </w:r>
          </w:p>
        </w:tc>
        <w:tc>
          <w:tcPr>
            <w:tcW w:w="236" w:type="dxa"/>
            <w:tcBorders>
              <w:top w:val="nil"/>
              <w:left w:val="nil"/>
              <w:right w:val="nil"/>
            </w:tcBorders>
          </w:tcPr>
          <w:p w:rsidR="00C274FF" w:rsidRDefault="00C274FF" w:rsidP="007A102A">
            <w:pPr>
              <w:autoSpaceDE w:val="0"/>
              <w:autoSpaceDN w:val="0"/>
              <w:adjustRightInd w:val="0"/>
              <w:spacing w:after="0" w:line="240" w:lineRule="auto"/>
              <w:jc w:val="left"/>
              <w:rPr>
                <w:rFonts w:ascii="Calibri" w:hAnsi="Calibri" w:cs="Calibri"/>
                <w:color w:val="000000"/>
                <w:sz w:val="22"/>
                <w:szCs w:val="22"/>
              </w:rPr>
            </w:pPr>
            <w:r w:rsidRPr="00C274FF">
              <w:rPr>
                <w:rFonts w:ascii="Calibri" w:hAnsi="Calibri" w:cs="Calibri"/>
                <w:color w:val="000000"/>
                <w:sz w:val="22"/>
                <w:szCs w:val="22"/>
                <w:vertAlign w:val="subscript"/>
              </w:rPr>
              <w:t>7</w:t>
            </w:r>
          </w:p>
        </w:tc>
      </w:tr>
      <w:tr w:rsidR="00102FA3" w:rsidTr="00C274FF">
        <w:trPr>
          <w:trHeight w:val="213"/>
        </w:trPr>
        <w:tc>
          <w:tcPr>
            <w:tcW w:w="2599" w:type="dxa"/>
            <w:tcBorders>
              <w:top w:val="nil"/>
              <w:left w:val="nil"/>
              <w:bottom w:val="nil"/>
              <w:right w:val="nil"/>
            </w:tcBorders>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102FA3" w:rsidRDefault="00102FA3">
            <w:pPr>
              <w:autoSpaceDE w:val="0"/>
              <w:autoSpaceDN w:val="0"/>
              <w:adjustRightInd w:val="0"/>
              <w:spacing w:after="0" w:line="240" w:lineRule="auto"/>
              <w:jc w:val="center"/>
              <w:rPr>
                <w:rFonts w:ascii="Arial" w:hAnsi="Arial" w:cs="Arial"/>
                <w:color w:val="000000"/>
                <w:sz w:val="15"/>
                <w:szCs w:val="15"/>
              </w:rPr>
            </w:pPr>
          </w:p>
        </w:tc>
        <w:tc>
          <w:tcPr>
            <w:tcW w:w="1091" w:type="dxa"/>
            <w:tcBorders>
              <w:top w:val="nil"/>
              <w:left w:val="nil"/>
              <w:bottom w:val="single" w:sz="2" w:space="0" w:color="000000"/>
              <w:right w:val="nil"/>
            </w:tcBorders>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102FA3" w:rsidRDefault="00102FA3">
            <w:pPr>
              <w:autoSpaceDE w:val="0"/>
              <w:autoSpaceDN w:val="0"/>
              <w:adjustRightInd w:val="0"/>
              <w:spacing w:after="0" w:line="240" w:lineRule="auto"/>
              <w:jc w:val="left"/>
              <w:rPr>
                <w:rFonts w:ascii="Arial" w:hAnsi="Arial" w:cs="Arial"/>
                <w:b/>
                <w:bCs/>
                <w:color w:val="000000"/>
                <w:sz w:val="15"/>
                <w:szCs w:val="15"/>
                <w:vertAlign w:val="superscript"/>
              </w:rPr>
            </w:pPr>
          </w:p>
        </w:tc>
        <w:tc>
          <w:tcPr>
            <w:tcW w:w="1120" w:type="dxa"/>
            <w:tcBorders>
              <w:top w:val="nil"/>
              <w:left w:val="nil"/>
              <w:bottom w:val="single" w:sz="2" w:space="0" w:color="000000"/>
              <w:right w:val="nil"/>
            </w:tcBorders>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102FA3" w:rsidRDefault="00102FA3">
            <w:pPr>
              <w:autoSpaceDE w:val="0"/>
              <w:autoSpaceDN w:val="0"/>
              <w:adjustRightInd w:val="0"/>
              <w:spacing w:after="0" w:line="240" w:lineRule="auto"/>
              <w:jc w:val="left"/>
              <w:rPr>
                <w:rFonts w:ascii="Arial" w:hAnsi="Arial" w:cs="Arial"/>
                <w:b/>
                <w:bCs/>
                <w:color w:val="000000"/>
                <w:sz w:val="15"/>
                <w:szCs w:val="15"/>
                <w:vertAlign w:val="superscript"/>
              </w:rPr>
            </w:pPr>
          </w:p>
        </w:tc>
        <w:tc>
          <w:tcPr>
            <w:tcW w:w="1062" w:type="dxa"/>
            <w:tcBorders>
              <w:top w:val="nil"/>
              <w:left w:val="nil"/>
              <w:bottom w:val="single" w:sz="2" w:space="0" w:color="000000"/>
              <w:right w:val="nil"/>
            </w:tcBorders>
            <w:shd w:val="solid" w:color="E6E6E6"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1186" w:type="dxa"/>
            <w:tcBorders>
              <w:top w:val="nil"/>
              <w:left w:val="nil"/>
              <w:bottom w:val="single" w:sz="2" w:space="0" w:color="000000"/>
              <w:right w:val="nil"/>
            </w:tcBorders>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102FA3" w:rsidRDefault="00102FA3">
            <w:pPr>
              <w:autoSpaceDE w:val="0"/>
              <w:autoSpaceDN w:val="0"/>
              <w:adjustRightInd w:val="0"/>
              <w:spacing w:after="0" w:line="240" w:lineRule="auto"/>
              <w:jc w:val="left"/>
              <w:rPr>
                <w:rFonts w:ascii="Calibri" w:hAnsi="Calibri" w:cs="Calibri"/>
                <w:color w:val="000000"/>
                <w:sz w:val="22"/>
                <w:szCs w:val="22"/>
              </w:rPr>
            </w:pPr>
          </w:p>
        </w:tc>
      </w:tr>
      <w:tr w:rsidR="00102FA3" w:rsidTr="00DA349B">
        <w:tc>
          <w:tcPr>
            <w:tcW w:w="2599" w:type="dxa"/>
            <w:tcBorders>
              <w:top w:val="nil"/>
              <w:left w:val="nil"/>
              <w:bottom w:val="nil"/>
              <w:right w:val="nil"/>
            </w:tcBorders>
            <w:vAlign w:val="bottom"/>
          </w:tcPr>
          <w:p w:rsidR="00102FA3" w:rsidRDefault="00102FA3" w:rsidP="00DA349B">
            <w:pPr>
              <w:autoSpaceDE w:val="0"/>
              <w:autoSpaceDN w:val="0"/>
              <w:adjustRightInd w:val="0"/>
              <w:spacing w:after="0" w:line="240" w:lineRule="auto"/>
              <w:jc w:val="left"/>
              <w:rPr>
                <w:rFonts w:ascii="Arial" w:hAnsi="Arial" w:cs="Arial"/>
                <w:b/>
                <w:bCs/>
                <w:color w:val="000000"/>
                <w:sz w:val="15"/>
                <w:szCs w:val="15"/>
                <w:vertAlign w:val="superscript"/>
              </w:rPr>
            </w:pPr>
            <w:r>
              <w:rPr>
                <w:rFonts w:ascii="Arial" w:hAnsi="Arial" w:cs="Arial"/>
                <w:b/>
                <w:bCs/>
                <w:color w:val="000000"/>
                <w:sz w:val="15"/>
                <w:szCs w:val="15"/>
              </w:rPr>
              <w:t>Ordinary annual services</w:t>
            </w:r>
            <w:r>
              <w:rPr>
                <w:rFonts w:ascii="Arial" w:hAnsi="Arial" w:cs="Arial"/>
                <w:b/>
                <w:bCs/>
                <w:color w:val="000000"/>
                <w:sz w:val="15"/>
                <w:szCs w:val="15"/>
                <w:vertAlign w:val="superscript"/>
              </w:rPr>
              <w:t>1</w:t>
            </w:r>
          </w:p>
        </w:tc>
        <w:tc>
          <w:tcPr>
            <w:tcW w:w="236" w:type="dxa"/>
            <w:tcBorders>
              <w:top w:val="nil"/>
              <w:left w:val="nil"/>
              <w:bottom w:val="nil"/>
              <w:right w:val="nil"/>
            </w:tcBorders>
          </w:tcPr>
          <w:p w:rsidR="00102FA3" w:rsidRDefault="00102FA3">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nil"/>
              <w:left w:val="nil"/>
              <w:bottom w:val="nil"/>
              <w:right w:val="nil"/>
            </w:tcBorders>
            <w:vAlign w:val="bottom"/>
          </w:tcPr>
          <w:p w:rsidR="00102FA3" w:rsidRDefault="00102FA3"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102FA3" w:rsidRDefault="00102FA3"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120" w:type="dxa"/>
            <w:tcBorders>
              <w:top w:val="nil"/>
              <w:left w:val="nil"/>
              <w:bottom w:val="nil"/>
              <w:right w:val="nil"/>
            </w:tcBorders>
            <w:vAlign w:val="bottom"/>
          </w:tcPr>
          <w:p w:rsidR="00102FA3" w:rsidRDefault="00102FA3"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102FA3" w:rsidRDefault="00102FA3"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nil"/>
              <w:left w:val="nil"/>
              <w:bottom w:val="nil"/>
              <w:right w:val="nil"/>
            </w:tcBorders>
            <w:shd w:val="solid" w:color="E6E6E6" w:fill="auto"/>
            <w:vAlign w:val="bottom"/>
          </w:tcPr>
          <w:p w:rsidR="00102FA3" w:rsidRDefault="00102FA3"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102FA3" w:rsidRDefault="00102FA3" w:rsidP="00DA349B">
            <w:pPr>
              <w:autoSpaceDE w:val="0"/>
              <w:autoSpaceDN w:val="0"/>
              <w:adjustRightInd w:val="0"/>
              <w:spacing w:after="0" w:line="240" w:lineRule="auto"/>
              <w:jc w:val="right"/>
              <w:rPr>
                <w:rFonts w:ascii="Arial" w:hAnsi="Arial" w:cs="Arial"/>
                <w:b/>
                <w:bCs/>
                <w:color w:val="000000"/>
                <w:sz w:val="15"/>
                <w:szCs w:val="15"/>
              </w:rPr>
            </w:pPr>
          </w:p>
        </w:tc>
        <w:tc>
          <w:tcPr>
            <w:tcW w:w="1186" w:type="dxa"/>
            <w:tcBorders>
              <w:top w:val="nil"/>
              <w:left w:val="nil"/>
              <w:bottom w:val="nil"/>
              <w:right w:val="nil"/>
            </w:tcBorders>
            <w:vAlign w:val="bottom"/>
          </w:tcPr>
          <w:p w:rsidR="00102FA3" w:rsidRDefault="00102FA3"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102FA3" w:rsidRDefault="00102FA3" w:rsidP="00DA349B">
            <w:pPr>
              <w:autoSpaceDE w:val="0"/>
              <w:autoSpaceDN w:val="0"/>
              <w:adjustRightInd w:val="0"/>
              <w:spacing w:after="0" w:line="240" w:lineRule="auto"/>
              <w:jc w:val="right"/>
              <w:rPr>
                <w:rFonts w:ascii="Calibri" w:hAnsi="Calibri" w:cs="Calibri"/>
                <w:color w:val="000000"/>
                <w:sz w:val="22"/>
                <w:szCs w:val="22"/>
              </w:rPr>
            </w:pPr>
          </w:p>
        </w:tc>
      </w:tr>
      <w:tr w:rsidR="00102FA3" w:rsidTr="00DA349B">
        <w:tc>
          <w:tcPr>
            <w:tcW w:w="2599" w:type="dxa"/>
            <w:tcBorders>
              <w:top w:val="nil"/>
              <w:left w:val="nil"/>
              <w:bottom w:val="nil"/>
              <w:right w:val="nil"/>
            </w:tcBorders>
            <w:vAlign w:val="bottom"/>
          </w:tcPr>
          <w:p w:rsidR="00102FA3" w:rsidRDefault="00102FA3"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Departmental appropriation</w:t>
            </w:r>
          </w:p>
        </w:tc>
        <w:tc>
          <w:tcPr>
            <w:tcW w:w="236" w:type="dxa"/>
            <w:tcBorders>
              <w:top w:val="nil"/>
              <w:left w:val="nil"/>
              <w:bottom w:val="nil"/>
              <w:right w:val="nil"/>
            </w:tcBorders>
          </w:tcPr>
          <w:p w:rsidR="00102FA3" w:rsidRDefault="00102FA3">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nil"/>
              <w:left w:val="nil"/>
              <w:right w:val="nil"/>
            </w:tcBorders>
            <w:vAlign w:val="bottom"/>
          </w:tcPr>
          <w:p w:rsidR="00102FA3" w:rsidRDefault="00102FA3"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right w:val="nil"/>
            </w:tcBorders>
            <w:vAlign w:val="bottom"/>
          </w:tcPr>
          <w:p w:rsidR="00102FA3" w:rsidRDefault="00102FA3"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120" w:type="dxa"/>
            <w:tcBorders>
              <w:top w:val="nil"/>
              <w:left w:val="nil"/>
              <w:right w:val="nil"/>
            </w:tcBorders>
            <w:vAlign w:val="bottom"/>
          </w:tcPr>
          <w:p w:rsidR="00102FA3" w:rsidRDefault="00102FA3"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right w:val="nil"/>
            </w:tcBorders>
            <w:vAlign w:val="bottom"/>
          </w:tcPr>
          <w:p w:rsidR="00102FA3" w:rsidRDefault="00102FA3"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nil"/>
              <w:left w:val="nil"/>
              <w:right w:val="nil"/>
            </w:tcBorders>
            <w:shd w:val="solid" w:color="E6E6E6" w:fill="auto"/>
            <w:vAlign w:val="bottom"/>
          </w:tcPr>
          <w:p w:rsidR="00102FA3" w:rsidRDefault="00102FA3"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right w:val="nil"/>
            </w:tcBorders>
            <w:vAlign w:val="bottom"/>
          </w:tcPr>
          <w:p w:rsidR="00102FA3" w:rsidRDefault="00102FA3" w:rsidP="00DA349B">
            <w:pPr>
              <w:autoSpaceDE w:val="0"/>
              <w:autoSpaceDN w:val="0"/>
              <w:adjustRightInd w:val="0"/>
              <w:spacing w:after="0" w:line="240" w:lineRule="auto"/>
              <w:jc w:val="right"/>
              <w:rPr>
                <w:rFonts w:ascii="Arial" w:hAnsi="Arial" w:cs="Arial"/>
                <w:color w:val="000000"/>
                <w:sz w:val="15"/>
                <w:szCs w:val="15"/>
              </w:rPr>
            </w:pPr>
          </w:p>
        </w:tc>
        <w:tc>
          <w:tcPr>
            <w:tcW w:w="1186" w:type="dxa"/>
            <w:tcBorders>
              <w:top w:val="nil"/>
              <w:left w:val="nil"/>
              <w:right w:val="nil"/>
            </w:tcBorders>
            <w:vAlign w:val="bottom"/>
          </w:tcPr>
          <w:p w:rsidR="00102FA3" w:rsidRDefault="00102FA3"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102FA3" w:rsidRDefault="00102FA3" w:rsidP="00DA349B">
            <w:pPr>
              <w:autoSpaceDE w:val="0"/>
              <w:autoSpaceDN w:val="0"/>
              <w:adjustRightInd w:val="0"/>
              <w:spacing w:after="0" w:line="240" w:lineRule="auto"/>
              <w:jc w:val="right"/>
              <w:rPr>
                <w:rFonts w:ascii="Calibri" w:hAnsi="Calibri" w:cs="Calibri"/>
                <w:color w:val="000000"/>
                <w:sz w:val="22"/>
                <w:szCs w:val="22"/>
              </w:rPr>
            </w:pPr>
          </w:p>
        </w:tc>
      </w:tr>
      <w:tr w:rsidR="00C274FF" w:rsidTr="00DA349B">
        <w:tc>
          <w:tcPr>
            <w:tcW w:w="2599" w:type="dxa"/>
            <w:tcBorders>
              <w:top w:val="nil"/>
              <w:left w:val="nil"/>
              <w:bottom w:val="nil"/>
              <w:right w:val="nil"/>
            </w:tcBorders>
            <w:vAlign w:val="bottom"/>
          </w:tcPr>
          <w:p w:rsidR="00C274FF" w:rsidRDefault="00C274FF" w:rsidP="00DA349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Prior year departmental appropriation</w:t>
            </w:r>
            <w:r>
              <w:rPr>
                <w:rFonts w:ascii="Arial" w:hAnsi="Arial" w:cs="Arial"/>
                <w:color w:val="000000"/>
                <w:sz w:val="15"/>
                <w:szCs w:val="15"/>
                <w:vertAlign w:val="superscript"/>
              </w:rPr>
              <w:t>2</w:t>
            </w:r>
          </w:p>
        </w:tc>
        <w:tc>
          <w:tcPr>
            <w:tcW w:w="236" w:type="dxa"/>
            <w:tcBorders>
              <w:top w:val="nil"/>
              <w:left w:val="nil"/>
              <w:bottom w:val="nil"/>
              <w:right w:val="nil"/>
            </w:tcBorders>
          </w:tcPr>
          <w:p w:rsidR="00C274FF" w:rsidRDefault="00C274FF" w:rsidP="00C274FF">
            <w:pPr>
              <w:autoSpaceDE w:val="0"/>
              <w:autoSpaceDN w:val="0"/>
              <w:adjustRightInd w:val="0"/>
              <w:spacing w:after="0" w:line="240" w:lineRule="auto"/>
              <w:jc w:val="center"/>
              <w:rPr>
                <w:rFonts w:ascii="Arial" w:hAnsi="Arial" w:cs="Arial"/>
                <w:b/>
                <w:bCs/>
                <w:color w:val="000000"/>
                <w:sz w:val="15"/>
                <w:szCs w:val="15"/>
              </w:rPr>
            </w:pPr>
          </w:p>
        </w:tc>
        <w:tc>
          <w:tcPr>
            <w:tcW w:w="1091" w:type="dxa"/>
            <w:tcBorders>
              <w:left w:val="nil"/>
              <w:right w:val="nil"/>
            </w:tcBorders>
            <w:vAlign w:val="bottom"/>
          </w:tcPr>
          <w:p w:rsidR="00C274FF" w:rsidRDefault="00C274FF"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722,186 </w:t>
            </w:r>
          </w:p>
        </w:tc>
        <w:tc>
          <w:tcPr>
            <w:tcW w:w="236" w:type="dxa"/>
            <w:tcBorders>
              <w:left w:val="nil"/>
              <w:right w:val="nil"/>
            </w:tcBorders>
            <w:vAlign w:val="bottom"/>
          </w:tcPr>
          <w:p w:rsidR="00C274FF" w:rsidRDefault="00C274FF"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120" w:type="dxa"/>
            <w:tcBorders>
              <w:left w:val="nil"/>
              <w:right w:val="nil"/>
            </w:tcBorders>
            <w:vAlign w:val="bottom"/>
          </w:tcPr>
          <w:p w:rsidR="00C274FF" w:rsidRDefault="00C274FF"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left w:val="nil"/>
              <w:right w:val="nil"/>
            </w:tcBorders>
            <w:vAlign w:val="bottom"/>
          </w:tcPr>
          <w:p w:rsidR="00C274FF" w:rsidRDefault="00C274FF"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left w:val="nil"/>
              <w:right w:val="nil"/>
            </w:tcBorders>
            <w:shd w:val="solid" w:color="E6E6E6" w:fill="auto"/>
            <w:vAlign w:val="bottom"/>
          </w:tcPr>
          <w:p w:rsidR="00C274FF" w:rsidRDefault="00C274FF"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722,186 </w:t>
            </w:r>
          </w:p>
        </w:tc>
        <w:tc>
          <w:tcPr>
            <w:tcW w:w="236" w:type="dxa"/>
            <w:tcBorders>
              <w:left w:val="nil"/>
              <w:right w:val="nil"/>
            </w:tcBorders>
            <w:vAlign w:val="bottom"/>
          </w:tcPr>
          <w:p w:rsidR="00C274FF" w:rsidRDefault="00C274FF" w:rsidP="00DA349B">
            <w:pPr>
              <w:autoSpaceDE w:val="0"/>
              <w:autoSpaceDN w:val="0"/>
              <w:adjustRightInd w:val="0"/>
              <w:spacing w:after="0" w:line="240" w:lineRule="auto"/>
              <w:jc w:val="right"/>
              <w:rPr>
                <w:rFonts w:ascii="Arial" w:hAnsi="Arial" w:cs="Arial"/>
                <w:color w:val="000000"/>
                <w:sz w:val="15"/>
                <w:szCs w:val="15"/>
              </w:rPr>
            </w:pPr>
          </w:p>
        </w:tc>
        <w:tc>
          <w:tcPr>
            <w:tcW w:w="1186" w:type="dxa"/>
            <w:tcBorders>
              <w:left w:val="nil"/>
              <w:right w:val="nil"/>
            </w:tcBorders>
            <w:vAlign w:val="bottom"/>
          </w:tcPr>
          <w:p w:rsidR="00C274FF" w:rsidRDefault="00C274FF"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866,699 </w:t>
            </w:r>
          </w:p>
        </w:tc>
        <w:tc>
          <w:tcPr>
            <w:tcW w:w="236" w:type="dxa"/>
            <w:tcBorders>
              <w:top w:val="nil"/>
              <w:left w:val="nil"/>
              <w:bottom w:val="nil"/>
              <w:right w:val="nil"/>
            </w:tcBorders>
            <w:vAlign w:val="bottom"/>
          </w:tcPr>
          <w:p w:rsidR="00C274FF" w:rsidRDefault="00C274FF" w:rsidP="00DA349B">
            <w:pPr>
              <w:autoSpaceDE w:val="0"/>
              <w:autoSpaceDN w:val="0"/>
              <w:adjustRightInd w:val="0"/>
              <w:spacing w:after="0" w:line="240" w:lineRule="auto"/>
              <w:jc w:val="right"/>
              <w:rPr>
                <w:rFonts w:ascii="Arial" w:hAnsi="Arial" w:cs="Arial"/>
                <w:color w:val="FF0000"/>
                <w:sz w:val="15"/>
                <w:szCs w:val="15"/>
                <w:vertAlign w:val="superscript"/>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appropriation</w:t>
            </w:r>
            <w:r>
              <w:rPr>
                <w:rFonts w:ascii="Arial" w:hAnsi="Arial" w:cs="Arial"/>
                <w:color w:val="000000"/>
                <w:sz w:val="15"/>
                <w:szCs w:val="15"/>
                <w:vertAlign w:val="superscript"/>
              </w:rPr>
              <w:t>3</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p>
        </w:tc>
        <w:tc>
          <w:tcPr>
            <w:tcW w:w="1091" w:type="dxa"/>
            <w:tcBorders>
              <w:left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left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120" w:type="dxa"/>
            <w:tcBorders>
              <w:left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4,193,691 </w:t>
            </w:r>
          </w:p>
        </w:tc>
        <w:tc>
          <w:tcPr>
            <w:tcW w:w="236" w:type="dxa"/>
            <w:tcBorders>
              <w:left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left w:val="nil"/>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4,193,691 </w:t>
            </w:r>
          </w:p>
        </w:tc>
        <w:tc>
          <w:tcPr>
            <w:tcW w:w="236" w:type="dxa"/>
            <w:tcBorders>
              <w:left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1186" w:type="dxa"/>
            <w:tcBorders>
              <w:left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3,842,772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s31 Relevant agency receipts</w:t>
            </w:r>
            <w:r>
              <w:rPr>
                <w:rFonts w:ascii="Arial" w:hAnsi="Arial" w:cs="Arial"/>
                <w:color w:val="000000"/>
                <w:sz w:val="15"/>
                <w:szCs w:val="15"/>
                <w:vertAlign w:val="superscript"/>
              </w:rPr>
              <w:t>4</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p>
        </w:tc>
        <w:tc>
          <w:tcPr>
            <w:tcW w:w="1091" w:type="dxa"/>
            <w:tcBorders>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left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i/>
                <w:iCs/>
                <w:color w:val="000000"/>
                <w:sz w:val="15"/>
                <w:szCs w:val="15"/>
                <w:vertAlign w:val="superscript"/>
              </w:rPr>
            </w:pPr>
          </w:p>
        </w:tc>
        <w:tc>
          <w:tcPr>
            <w:tcW w:w="1120" w:type="dxa"/>
            <w:tcBorders>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242,432 </w:t>
            </w:r>
          </w:p>
        </w:tc>
        <w:tc>
          <w:tcPr>
            <w:tcW w:w="236" w:type="dxa"/>
            <w:tcBorders>
              <w:left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2" w:type="dxa"/>
            <w:tcBorders>
              <w:left w:val="nil"/>
              <w:bottom w:val="single" w:sz="2" w:space="0" w:color="auto"/>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242,432 </w:t>
            </w:r>
          </w:p>
        </w:tc>
        <w:tc>
          <w:tcPr>
            <w:tcW w:w="236" w:type="dxa"/>
            <w:tcBorders>
              <w:left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186" w:type="dxa"/>
            <w:tcBorders>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449,939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722,186 </w:t>
            </w:r>
          </w:p>
        </w:tc>
        <w:tc>
          <w:tcPr>
            <w:tcW w:w="236" w:type="dxa"/>
            <w:tcBorders>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120"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4,436,123 </w:t>
            </w:r>
          </w:p>
        </w:tc>
        <w:tc>
          <w:tcPr>
            <w:tcW w:w="236" w:type="dxa"/>
            <w:tcBorders>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i/>
                <w:iCs/>
                <w:color w:val="000000"/>
                <w:sz w:val="15"/>
                <w:szCs w:val="15"/>
                <w:vertAlign w:val="superscript"/>
              </w:rPr>
            </w:pPr>
          </w:p>
        </w:tc>
        <w:tc>
          <w:tcPr>
            <w:tcW w:w="1062" w:type="dxa"/>
            <w:tcBorders>
              <w:top w:val="single" w:sz="2" w:space="0" w:color="auto"/>
              <w:left w:val="nil"/>
              <w:bottom w:val="single" w:sz="2" w:space="0" w:color="auto"/>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5,158,309 </w:t>
            </w:r>
          </w:p>
        </w:tc>
        <w:tc>
          <w:tcPr>
            <w:tcW w:w="236" w:type="dxa"/>
            <w:tcBorders>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1186"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5,159,410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FF0000"/>
                <w:sz w:val="15"/>
                <w:szCs w:val="15"/>
                <w:vertAlign w:val="superscript"/>
              </w:rPr>
            </w:pPr>
            <w:r>
              <w:rPr>
                <w:rFonts w:ascii="Arial" w:hAnsi="Arial" w:cs="Arial"/>
                <w:color w:val="FF0000"/>
                <w:sz w:val="15"/>
                <w:szCs w:val="15"/>
                <w:vertAlign w:val="superscript"/>
              </w:rPr>
              <w:t>8</w:t>
            </w: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Administered expenses</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120"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nil"/>
              <w:left w:val="nil"/>
              <w:bottom w:val="nil"/>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118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Outcome 1</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color w:val="000000"/>
                <w:sz w:val="15"/>
                <w:szCs w:val="15"/>
              </w:rPr>
            </w:pPr>
          </w:p>
        </w:tc>
        <w:tc>
          <w:tcPr>
            <w:tcW w:w="1091"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120"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9,313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nil"/>
              <w:left w:val="nil"/>
              <w:bottom w:val="nil"/>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9,313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118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6,336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120"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9,313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2" w:type="dxa"/>
            <w:tcBorders>
              <w:top w:val="single" w:sz="2" w:space="0" w:color="auto"/>
              <w:left w:val="nil"/>
              <w:bottom w:val="single" w:sz="2" w:space="0" w:color="auto"/>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9,313 </w:t>
            </w:r>
          </w:p>
        </w:tc>
        <w:tc>
          <w:tcPr>
            <w:tcW w:w="236"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1186"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6,336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FF0000"/>
                <w:sz w:val="15"/>
                <w:szCs w:val="15"/>
                <w:vertAlign w:val="superscript"/>
              </w:rPr>
            </w:pPr>
            <w:r>
              <w:rPr>
                <w:rFonts w:ascii="Arial" w:hAnsi="Arial" w:cs="Arial"/>
                <w:color w:val="FF0000"/>
                <w:sz w:val="15"/>
                <w:szCs w:val="15"/>
                <w:vertAlign w:val="superscript"/>
              </w:rPr>
              <w:t>9</w:t>
            </w: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ordinary annual services  </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A</w:t>
            </w:r>
          </w:p>
        </w:tc>
        <w:tc>
          <w:tcPr>
            <w:tcW w:w="1091" w:type="dxa"/>
            <w:tcBorders>
              <w:top w:val="nil"/>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722,186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120" w:type="dxa"/>
            <w:tcBorders>
              <w:top w:val="nil"/>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4,445,436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2" w:type="dxa"/>
            <w:tcBorders>
              <w:top w:val="nil"/>
              <w:left w:val="nil"/>
              <w:bottom w:val="single" w:sz="2" w:space="0" w:color="auto"/>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5,167,622 </w:t>
            </w:r>
          </w:p>
        </w:tc>
        <w:tc>
          <w:tcPr>
            <w:tcW w:w="236" w:type="dxa"/>
            <w:tcBorders>
              <w:top w:val="nil"/>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1186" w:type="dxa"/>
            <w:tcBorders>
              <w:top w:val="nil"/>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5,165,746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b/>
                <w:bCs/>
                <w:color w:val="000000"/>
                <w:sz w:val="15"/>
                <w:szCs w:val="15"/>
                <w:vertAlign w:val="superscript"/>
              </w:rPr>
            </w:pPr>
            <w:r>
              <w:rPr>
                <w:rFonts w:ascii="Arial" w:hAnsi="Arial" w:cs="Arial"/>
                <w:b/>
                <w:bCs/>
                <w:color w:val="000000"/>
                <w:sz w:val="15"/>
                <w:szCs w:val="15"/>
              </w:rPr>
              <w:t>Other services</w:t>
            </w:r>
            <w:r>
              <w:rPr>
                <w:rFonts w:ascii="Arial" w:hAnsi="Arial" w:cs="Arial"/>
                <w:b/>
                <w:bCs/>
                <w:color w:val="000000"/>
                <w:sz w:val="15"/>
                <w:szCs w:val="15"/>
                <w:vertAlign w:val="superscript"/>
              </w:rPr>
              <w:t>5</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120"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nil"/>
              <w:left w:val="nil"/>
              <w:bottom w:val="nil"/>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118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color w:val="000000"/>
                <w:sz w:val="15"/>
                <w:szCs w:val="15"/>
              </w:rPr>
            </w:pPr>
            <w:r>
              <w:rPr>
                <w:rFonts w:ascii="Arial" w:hAnsi="Arial" w:cs="Arial"/>
                <w:b/>
                <w:bCs/>
                <w:color w:val="000000"/>
                <w:sz w:val="15"/>
                <w:szCs w:val="15"/>
              </w:rPr>
              <w:t>Departmental non-operating</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color w:val="000000"/>
                <w:sz w:val="15"/>
                <w:szCs w:val="15"/>
              </w:rPr>
            </w:pPr>
          </w:p>
        </w:tc>
        <w:tc>
          <w:tcPr>
            <w:tcW w:w="1091"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120"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2" w:type="dxa"/>
            <w:tcBorders>
              <w:top w:val="nil"/>
              <w:left w:val="nil"/>
              <w:bottom w:val="nil"/>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1186" w:type="dxa"/>
            <w:tcBorders>
              <w:top w:val="nil"/>
              <w:left w:val="nil"/>
              <w:bottom w:val="nil"/>
              <w:right w:val="nil"/>
            </w:tcBorders>
            <w:shd w:val="solid" w:color="FFFFFF" w:fill="auto"/>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Prior year departmental appropriation</w:t>
            </w:r>
            <w:r>
              <w:rPr>
                <w:rFonts w:ascii="Arial" w:hAnsi="Arial" w:cs="Arial"/>
                <w:b/>
                <w:bCs/>
                <w:color w:val="000000"/>
                <w:sz w:val="15"/>
                <w:szCs w:val="15"/>
                <w:vertAlign w:val="superscript"/>
              </w:rPr>
              <w:t>2</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color w:val="000000"/>
                <w:sz w:val="15"/>
                <w:szCs w:val="15"/>
              </w:rPr>
            </w:pPr>
          </w:p>
        </w:tc>
        <w:tc>
          <w:tcPr>
            <w:tcW w:w="1091"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7,944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120"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2" w:type="dxa"/>
            <w:tcBorders>
              <w:top w:val="nil"/>
              <w:left w:val="nil"/>
              <w:bottom w:val="nil"/>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7,944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1186" w:type="dxa"/>
            <w:tcBorders>
              <w:top w:val="nil"/>
              <w:left w:val="nil"/>
              <w:bottom w:val="nil"/>
              <w:right w:val="nil"/>
            </w:tcBorders>
            <w:shd w:val="solid" w:color="FFFFFF" w:fill="auto"/>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32,545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Equity injections</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color w:val="000000"/>
                <w:sz w:val="15"/>
                <w:szCs w:val="15"/>
              </w:rPr>
            </w:pPr>
          </w:p>
        </w:tc>
        <w:tc>
          <w:tcPr>
            <w:tcW w:w="1091"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120"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25,213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nil"/>
              <w:left w:val="nil"/>
              <w:bottom w:val="nil"/>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25,213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1186" w:type="dxa"/>
            <w:tcBorders>
              <w:top w:val="nil"/>
              <w:left w:val="nil"/>
              <w:bottom w:val="nil"/>
              <w:right w:val="nil"/>
            </w:tcBorders>
            <w:shd w:val="solid" w:color="FFFFFF" w:fill="auto"/>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77,477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color w:val="000000"/>
                <w:sz w:val="15"/>
                <w:szCs w:val="15"/>
              </w:rPr>
            </w:pPr>
          </w:p>
        </w:tc>
        <w:tc>
          <w:tcPr>
            <w:tcW w:w="1091"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7,944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120"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25,213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single" w:sz="2" w:space="0" w:color="auto"/>
              <w:left w:val="nil"/>
              <w:bottom w:val="single" w:sz="2" w:space="0" w:color="000000"/>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33,157 </w:t>
            </w:r>
          </w:p>
        </w:tc>
        <w:tc>
          <w:tcPr>
            <w:tcW w:w="236" w:type="dxa"/>
            <w:tcBorders>
              <w:top w:val="single" w:sz="2" w:space="0" w:color="auto"/>
              <w:left w:val="nil"/>
              <w:bottom w:val="single" w:sz="2" w:space="0" w:color="000000"/>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1186" w:type="dxa"/>
            <w:tcBorders>
              <w:top w:val="single" w:sz="2" w:space="0" w:color="auto"/>
              <w:left w:val="nil"/>
              <w:bottom w:val="single" w:sz="2" w:space="0" w:color="000000"/>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110,022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FF0000"/>
                <w:sz w:val="15"/>
                <w:szCs w:val="15"/>
                <w:vertAlign w:val="superscript"/>
              </w:rPr>
            </w:pPr>
            <w:r>
              <w:rPr>
                <w:rFonts w:ascii="Arial" w:hAnsi="Arial" w:cs="Arial"/>
                <w:color w:val="FF0000"/>
                <w:sz w:val="15"/>
                <w:szCs w:val="15"/>
                <w:vertAlign w:val="superscript"/>
              </w:rPr>
              <w:t>10</w:t>
            </w: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Administered non-operating</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120"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nil"/>
              <w:left w:val="nil"/>
              <w:bottom w:val="nil"/>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118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Administered assets and liabilities</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color w:val="000000"/>
                <w:sz w:val="15"/>
                <w:szCs w:val="15"/>
              </w:rPr>
            </w:pPr>
          </w:p>
        </w:tc>
        <w:tc>
          <w:tcPr>
            <w:tcW w:w="1091"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120"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single" w:sz="2" w:space="0" w:color="auto"/>
              <w:left w:val="nil"/>
              <w:bottom w:val="single" w:sz="2" w:space="0" w:color="auto"/>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1186"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160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color w:val="000000"/>
                <w:sz w:val="15"/>
                <w:szCs w:val="15"/>
              </w:rPr>
            </w:pPr>
          </w:p>
        </w:tc>
        <w:tc>
          <w:tcPr>
            <w:tcW w:w="1091"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120"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single" w:sz="2" w:space="0" w:color="auto"/>
              <w:left w:val="nil"/>
              <w:bottom w:val="single" w:sz="2" w:space="0" w:color="auto"/>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236"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1186"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160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other services </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B</w:t>
            </w:r>
          </w:p>
        </w:tc>
        <w:tc>
          <w:tcPr>
            <w:tcW w:w="1091" w:type="dxa"/>
            <w:tcBorders>
              <w:top w:val="nil"/>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7,944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120" w:type="dxa"/>
            <w:tcBorders>
              <w:top w:val="nil"/>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25,213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2" w:type="dxa"/>
            <w:tcBorders>
              <w:top w:val="nil"/>
              <w:left w:val="nil"/>
              <w:bottom w:val="single" w:sz="2" w:space="0" w:color="auto"/>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33,157 </w:t>
            </w:r>
          </w:p>
        </w:tc>
        <w:tc>
          <w:tcPr>
            <w:tcW w:w="236" w:type="dxa"/>
            <w:tcBorders>
              <w:top w:val="nil"/>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1186" w:type="dxa"/>
            <w:tcBorders>
              <w:top w:val="nil"/>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110,182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A349B" w:rsidTr="00DA349B">
        <w:trPr>
          <w:trHeight w:val="494"/>
        </w:trPr>
        <w:tc>
          <w:tcPr>
            <w:tcW w:w="2599" w:type="dxa"/>
            <w:tcBorders>
              <w:top w:val="nil"/>
              <w:left w:val="nil"/>
              <w:right w:val="nil"/>
            </w:tcBorders>
            <w:vAlign w:val="bottom"/>
          </w:tcPr>
          <w:p w:rsidR="00DA349B" w:rsidRDefault="00DA349B"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available annual appropriations</w:t>
            </w:r>
          </w:p>
        </w:tc>
        <w:tc>
          <w:tcPr>
            <w:tcW w:w="236" w:type="dxa"/>
            <w:tcBorders>
              <w:top w:val="nil"/>
              <w:left w:val="nil"/>
              <w:right w:val="nil"/>
            </w:tcBorders>
          </w:tcPr>
          <w:p w:rsidR="00DA349B" w:rsidRDefault="00DA349B" w:rsidP="00D71047">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5"/>
                <w:szCs w:val="15"/>
              </w:rPr>
              <w:t xml:space="preserve">730,130 </w:t>
            </w:r>
          </w:p>
        </w:tc>
        <w:tc>
          <w:tcPr>
            <w:tcW w:w="23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1120"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5"/>
                <w:szCs w:val="15"/>
              </w:rPr>
              <w:t xml:space="preserve"> 4,470,649 </w:t>
            </w:r>
          </w:p>
        </w:tc>
        <w:tc>
          <w:tcPr>
            <w:tcW w:w="23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1062" w:type="dxa"/>
            <w:tcBorders>
              <w:top w:val="nil"/>
              <w:left w:val="nil"/>
              <w:right w:val="nil"/>
            </w:tcBorders>
            <w:shd w:val="solid" w:color="E6E6E6" w:fill="auto"/>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5"/>
                <w:szCs w:val="15"/>
              </w:rPr>
              <w:t xml:space="preserve"> 5,200,779 </w:t>
            </w:r>
          </w:p>
        </w:tc>
        <w:tc>
          <w:tcPr>
            <w:tcW w:w="23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118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5"/>
                <w:szCs w:val="15"/>
              </w:rPr>
              <w:t xml:space="preserve">5,275,928 </w:t>
            </w:r>
          </w:p>
        </w:tc>
        <w:tc>
          <w:tcPr>
            <w:tcW w:w="23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appropriations</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120"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nil"/>
              <w:left w:val="nil"/>
              <w:bottom w:val="nil"/>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118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appropriations limited</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120"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nil"/>
              <w:left w:val="nil"/>
              <w:bottom w:val="nil"/>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118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 by criteria/entitlement</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120"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nil"/>
              <w:left w:val="nil"/>
              <w:bottom w:val="nil"/>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118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Child Support (Registration and Collection) Act 1988</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120"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2" w:type="dxa"/>
            <w:tcBorders>
              <w:top w:val="single" w:sz="2" w:space="0" w:color="auto"/>
              <w:left w:val="nil"/>
              <w:bottom w:val="single" w:sz="2" w:space="0" w:color="auto"/>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1186"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FF0000"/>
                <w:sz w:val="15"/>
                <w:szCs w:val="15"/>
                <w:vertAlign w:val="superscript"/>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Section 77 - unremitted deductions</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120"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77,325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single" w:sz="2" w:space="0" w:color="auto"/>
              <w:left w:val="nil"/>
              <w:bottom w:val="single" w:sz="2" w:space="0" w:color="auto"/>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77,325 </w:t>
            </w:r>
          </w:p>
        </w:tc>
        <w:tc>
          <w:tcPr>
            <w:tcW w:w="236"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1186"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74,708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Calibri" w:hAnsi="Calibri" w:cs="Calibri"/>
                <w:color w:val="000000"/>
                <w:sz w:val="22"/>
                <w:szCs w:val="22"/>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Section 78 - unexplained remittances</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120"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50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single" w:sz="2" w:space="0" w:color="auto"/>
              <w:left w:val="nil"/>
              <w:bottom w:val="single" w:sz="2" w:space="0" w:color="auto"/>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50 </w:t>
            </w:r>
          </w:p>
        </w:tc>
        <w:tc>
          <w:tcPr>
            <w:tcW w:w="236"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p>
        </w:tc>
        <w:tc>
          <w:tcPr>
            <w:tcW w:w="1186"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50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FF0000"/>
                <w:sz w:val="15"/>
                <w:szCs w:val="15"/>
                <w:vertAlign w:val="superscript"/>
              </w:rPr>
            </w:pPr>
          </w:p>
        </w:tc>
      </w:tr>
      <w:tr w:rsidR="00D71047" w:rsidTr="00DA349B">
        <w:tc>
          <w:tcPr>
            <w:tcW w:w="2599"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special appropriations</w:t>
            </w:r>
          </w:p>
        </w:tc>
        <w:tc>
          <w:tcPr>
            <w:tcW w:w="236" w:type="dxa"/>
            <w:tcBorders>
              <w:top w:val="nil"/>
              <w:left w:val="nil"/>
              <w:bottom w:val="nil"/>
              <w:right w:val="nil"/>
            </w:tcBorders>
          </w:tcPr>
          <w:p w:rsidR="00D71047" w:rsidRDefault="00D71047" w:rsidP="00D71047">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C</w:t>
            </w:r>
          </w:p>
        </w:tc>
        <w:tc>
          <w:tcPr>
            <w:tcW w:w="1091"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120"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77,375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vertAlign w:val="superscript"/>
              </w:rPr>
            </w:pPr>
          </w:p>
        </w:tc>
        <w:tc>
          <w:tcPr>
            <w:tcW w:w="1062" w:type="dxa"/>
            <w:tcBorders>
              <w:top w:val="single" w:sz="2" w:space="0" w:color="auto"/>
              <w:left w:val="nil"/>
              <w:bottom w:val="single" w:sz="2" w:space="0" w:color="auto"/>
              <w:right w:val="nil"/>
            </w:tcBorders>
            <w:shd w:val="solid" w:color="E6E6E6" w:fill="auto"/>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77,375 </w:t>
            </w:r>
          </w:p>
        </w:tc>
        <w:tc>
          <w:tcPr>
            <w:tcW w:w="236"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p>
        </w:tc>
        <w:tc>
          <w:tcPr>
            <w:tcW w:w="1186" w:type="dxa"/>
            <w:tcBorders>
              <w:top w:val="single" w:sz="2" w:space="0" w:color="auto"/>
              <w:left w:val="nil"/>
              <w:bottom w:val="single" w:sz="2" w:space="0" w:color="auto"/>
              <w:right w:val="nil"/>
            </w:tcBorders>
            <w:vAlign w:val="bottom"/>
          </w:tcPr>
          <w:p w:rsidR="00D71047" w:rsidRDefault="00D71047"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74,758 </w:t>
            </w:r>
          </w:p>
        </w:tc>
        <w:tc>
          <w:tcPr>
            <w:tcW w:w="236" w:type="dxa"/>
            <w:tcBorders>
              <w:top w:val="nil"/>
              <w:left w:val="nil"/>
              <w:bottom w:val="nil"/>
              <w:right w:val="nil"/>
            </w:tcBorders>
            <w:vAlign w:val="bottom"/>
          </w:tcPr>
          <w:p w:rsidR="00D71047" w:rsidRDefault="00D71047" w:rsidP="00DA349B">
            <w:pPr>
              <w:autoSpaceDE w:val="0"/>
              <w:autoSpaceDN w:val="0"/>
              <w:adjustRightInd w:val="0"/>
              <w:spacing w:after="0" w:line="240" w:lineRule="auto"/>
              <w:jc w:val="right"/>
              <w:rPr>
                <w:rFonts w:ascii="Arial" w:hAnsi="Arial" w:cs="Arial"/>
                <w:color w:val="FF0000"/>
                <w:sz w:val="15"/>
                <w:szCs w:val="15"/>
                <w:vertAlign w:val="superscript"/>
              </w:rPr>
            </w:pPr>
            <w:r>
              <w:rPr>
                <w:rFonts w:ascii="Arial" w:hAnsi="Arial" w:cs="Arial"/>
                <w:color w:val="FF0000"/>
                <w:sz w:val="15"/>
                <w:szCs w:val="15"/>
                <w:vertAlign w:val="superscript"/>
              </w:rPr>
              <w:t>11</w:t>
            </w:r>
          </w:p>
        </w:tc>
      </w:tr>
      <w:tr w:rsidR="00DA349B" w:rsidTr="007A102A">
        <w:trPr>
          <w:trHeight w:val="537"/>
        </w:trPr>
        <w:tc>
          <w:tcPr>
            <w:tcW w:w="2599" w:type="dxa"/>
            <w:tcBorders>
              <w:top w:val="nil"/>
              <w:left w:val="nil"/>
              <w:right w:val="nil"/>
            </w:tcBorders>
            <w:vAlign w:val="bottom"/>
          </w:tcPr>
          <w:p w:rsidR="00DA349B" w:rsidRDefault="00DA349B"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appropriations excluding</w:t>
            </w:r>
          </w:p>
          <w:p w:rsidR="00DA349B" w:rsidRDefault="00DA349B"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 special accounts</w:t>
            </w:r>
          </w:p>
        </w:tc>
        <w:tc>
          <w:tcPr>
            <w:tcW w:w="236" w:type="dxa"/>
            <w:tcBorders>
              <w:top w:val="nil"/>
              <w:left w:val="nil"/>
              <w:right w:val="nil"/>
            </w:tcBorders>
          </w:tcPr>
          <w:p w:rsidR="00DA349B" w:rsidRDefault="00DA349B" w:rsidP="00D71047">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5"/>
                <w:szCs w:val="15"/>
              </w:rPr>
              <w:t xml:space="preserve">730,130 </w:t>
            </w:r>
          </w:p>
        </w:tc>
        <w:tc>
          <w:tcPr>
            <w:tcW w:w="23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120"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5"/>
                <w:szCs w:val="15"/>
              </w:rPr>
              <w:t xml:space="preserve"> 4,548,024 </w:t>
            </w:r>
          </w:p>
        </w:tc>
        <w:tc>
          <w:tcPr>
            <w:tcW w:w="23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vertAlign w:val="superscript"/>
              </w:rPr>
            </w:pPr>
          </w:p>
        </w:tc>
        <w:tc>
          <w:tcPr>
            <w:tcW w:w="1062" w:type="dxa"/>
            <w:tcBorders>
              <w:top w:val="nil"/>
              <w:left w:val="nil"/>
              <w:right w:val="nil"/>
            </w:tcBorders>
            <w:shd w:val="solid" w:color="E6E6E6" w:fill="auto"/>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5"/>
                <w:szCs w:val="15"/>
              </w:rPr>
              <w:t xml:space="preserve">5,278,154 </w:t>
            </w:r>
          </w:p>
        </w:tc>
        <w:tc>
          <w:tcPr>
            <w:tcW w:w="23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118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5"/>
                <w:szCs w:val="15"/>
              </w:rPr>
              <w:t xml:space="preserve">5,350,686 </w:t>
            </w:r>
          </w:p>
        </w:tc>
        <w:tc>
          <w:tcPr>
            <w:tcW w:w="23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Calibri" w:hAnsi="Calibri" w:cs="Calibri"/>
                <w:color w:val="000000"/>
                <w:sz w:val="22"/>
                <w:szCs w:val="22"/>
              </w:rPr>
            </w:pPr>
          </w:p>
        </w:tc>
      </w:tr>
    </w:tbl>
    <w:p w:rsidR="00340FD7" w:rsidRDefault="00340FD7" w:rsidP="003A3E20">
      <w:pPr>
        <w:pStyle w:val="TableGraphic"/>
      </w:pPr>
    </w:p>
    <w:p w:rsidR="00340FD7" w:rsidRPr="00C20E76" w:rsidRDefault="00340FD7" w:rsidP="003A3E20">
      <w:pPr>
        <w:pStyle w:val="TableHeadingcontinued"/>
        <w:jc w:val="both"/>
      </w:pPr>
      <w:r>
        <w:t xml:space="preserve">Table 1.1: </w:t>
      </w:r>
      <w:r w:rsidR="007E6B7A">
        <w:t xml:space="preserve">Department of </w:t>
      </w:r>
      <w:r w:rsidR="00AE3EEA">
        <w:t>Human Services</w:t>
      </w:r>
      <w:r>
        <w:t xml:space="preserve"> Resource Statement — </w:t>
      </w:r>
      <w:smartTag w:uri="urn:schemas-microsoft-com:office:smarttags" w:element="PersonName">
        <w:r>
          <w:t>Budget</w:t>
        </w:r>
      </w:smartTag>
      <w:r>
        <w:br/>
        <w:t>Estimates for 2011</w:t>
      </w:r>
      <w:r>
        <w:noBreakHyphen/>
        <w:t xml:space="preserve">12 as at </w:t>
      </w:r>
      <w:smartTag w:uri="urn:schemas-microsoft-com:office:smarttags" w:element="PersonName">
        <w:r>
          <w:t>Budget</w:t>
        </w:r>
      </w:smartTag>
      <w:r>
        <w:t xml:space="preserve"> May 2011 (continued)</w:t>
      </w:r>
    </w:p>
    <w:tbl>
      <w:tblPr>
        <w:tblW w:w="8128" w:type="dxa"/>
        <w:tblInd w:w="78" w:type="dxa"/>
        <w:tblLayout w:type="fixed"/>
        <w:tblLook w:val="0000" w:firstRow="0" w:lastRow="0" w:firstColumn="0" w:lastColumn="0" w:noHBand="0" w:noVBand="0"/>
      </w:tblPr>
      <w:tblGrid>
        <w:gridCol w:w="2599"/>
        <w:gridCol w:w="236"/>
        <w:gridCol w:w="1091"/>
        <w:gridCol w:w="236"/>
        <w:gridCol w:w="1120"/>
        <w:gridCol w:w="236"/>
        <w:gridCol w:w="1062"/>
        <w:gridCol w:w="236"/>
        <w:gridCol w:w="1076"/>
        <w:gridCol w:w="236"/>
      </w:tblGrid>
      <w:tr w:rsidR="00DA349B" w:rsidTr="007A102A">
        <w:trPr>
          <w:trHeight w:val="216"/>
        </w:trPr>
        <w:tc>
          <w:tcPr>
            <w:tcW w:w="2599" w:type="dxa"/>
            <w:vMerge w:val="restart"/>
            <w:tcBorders>
              <w:top w:val="single" w:sz="2" w:space="0" w:color="auto"/>
              <w:left w:val="nil"/>
              <w:right w:val="nil"/>
            </w:tcBorders>
          </w:tcPr>
          <w:p w:rsidR="00DA349B" w:rsidRDefault="00DA349B">
            <w:pPr>
              <w:autoSpaceDE w:val="0"/>
              <w:autoSpaceDN w:val="0"/>
              <w:adjustRightInd w:val="0"/>
              <w:spacing w:after="0" w:line="240" w:lineRule="auto"/>
              <w:jc w:val="right"/>
              <w:rPr>
                <w:rFonts w:ascii="Arial" w:hAnsi="Arial" w:cs="Arial"/>
                <w:color w:val="000000"/>
                <w:sz w:val="15"/>
                <w:szCs w:val="15"/>
              </w:rPr>
            </w:pPr>
          </w:p>
        </w:tc>
        <w:tc>
          <w:tcPr>
            <w:tcW w:w="236" w:type="dxa"/>
            <w:vMerge w:val="restart"/>
            <w:tcBorders>
              <w:top w:val="single" w:sz="2" w:space="0" w:color="auto"/>
              <w:left w:val="nil"/>
              <w:right w:val="nil"/>
            </w:tcBorders>
          </w:tcPr>
          <w:p w:rsidR="00DA349B" w:rsidRDefault="00DA349B">
            <w:pPr>
              <w:autoSpaceDE w:val="0"/>
              <w:autoSpaceDN w:val="0"/>
              <w:adjustRightInd w:val="0"/>
              <w:spacing w:after="0" w:line="240" w:lineRule="auto"/>
              <w:jc w:val="center"/>
              <w:rPr>
                <w:rFonts w:ascii="Arial" w:hAnsi="Arial" w:cs="Arial"/>
                <w:color w:val="000000"/>
                <w:sz w:val="15"/>
                <w:szCs w:val="15"/>
              </w:rPr>
            </w:pPr>
          </w:p>
        </w:tc>
        <w:tc>
          <w:tcPr>
            <w:tcW w:w="1091" w:type="dxa"/>
            <w:vMerge w:val="restart"/>
            <w:tcBorders>
              <w:top w:val="single" w:sz="2" w:space="0" w:color="auto"/>
              <w:left w:val="nil"/>
              <w:right w:val="nil"/>
            </w:tcBorders>
          </w:tcPr>
          <w:p w:rsidR="00DA349B" w:rsidRDefault="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w:t>
            </w:r>
          </w:p>
          <w:p w:rsidR="00DA349B" w:rsidRDefault="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of prior</w:t>
            </w:r>
          </w:p>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year amounts</w:t>
            </w:r>
          </w:p>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available in</w:t>
            </w:r>
          </w:p>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236" w:type="dxa"/>
            <w:vMerge w:val="restart"/>
            <w:tcBorders>
              <w:top w:val="single" w:sz="2" w:space="0" w:color="auto"/>
              <w:left w:val="nil"/>
              <w:right w:val="nil"/>
            </w:tcBorders>
          </w:tcPr>
          <w:p w:rsidR="00DA349B" w:rsidRDefault="00DA349B"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6"/>
                <w:szCs w:val="16"/>
                <w:vertAlign w:val="superscript"/>
              </w:rPr>
              <w:t>+</w:t>
            </w:r>
          </w:p>
        </w:tc>
        <w:tc>
          <w:tcPr>
            <w:tcW w:w="1120" w:type="dxa"/>
            <w:vMerge w:val="restart"/>
            <w:tcBorders>
              <w:top w:val="single" w:sz="2" w:space="0" w:color="auto"/>
              <w:left w:val="nil"/>
              <w:right w:val="nil"/>
            </w:tcBorders>
          </w:tcPr>
          <w:p w:rsidR="00DA349B" w:rsidRDefault="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Proposed</w:t>
            </w:r>
          </w:p>
          <w:p w:rsidR="00DA349B" w:rsidRDefault="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at Budget</w:t>
            </w:r>
          </w:p>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236" w:type="dxa"/>
            <w:vMerge w:val="restart"/>
            <w:tcBorders>
              <w:top w:val="single" w:sz="2" w:space="0" w:color="auto"/>
              <w:left w:val="nil"/>
              <w:right w:val="nil"/>
            </w:tcBorders>
          </w:tcPr>
          <w:p w:rsidR="00DA349B" w:rsidRDefault="00DA349B" w:rsidP="007A102A">
            <w:pPr>
              <w:autoSpaceDE w:val="0"/>
              <w:autoSpaceDN w:val="0"/>
              <w:adjustRightInd w:val="0"/>
              <w:spacing w:after="0" w:line="240" w:lineRule="auto"/>
              <w:jc w:val="center"/>
              <w:rPr>
                <w:rFonts w:ascii="Arial" w:hAnsi="Arial" w:cs="Arial"/>
                <w:color w:val="000000"/>
                <w:sz w:val="15"/>
                <w:szCs w:val="15"/>
                <w:vertAlign w:val="superscript"/>
              </w:rPr>
            </w:pPr>
            <w:r>
              <w:rPr>
                <w:rFonts w:ascii="Arial" w:hAnsi="Arial" w:cs="Arial"/>
                <w:color w:val="000000"/>
                <w:sz w:val="16"/>
                <w:szCs w:val="16"/>
                <w:vertAlign w:val="superscript"/>
              </w:rPr>
              <w:t>=</w:t>
            </w:r>
          </w:p>
        </w:tc>
        <w:tc>
          <w:tcPr>
            <w:tcW w:w="1062" w:type="dxa"/>
            <w:vMerge w:val="restart"/>
            <w:tcBorders>
              <w:top w:val="single" w:sz="2" w:space="0" w:color="auto"/>
              <w:left w:val="nil"/>
              <w:right w:val="nil"/>
            </w:tcBorders>
            <w:shd w:val="solid" w:color="E6E6E6" w:fill="auto"/>
          </w:tcPr>
          <w:p w:rsidR="00DA349B" w:rsidRDefault="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Total</w:t>
            </w:r>
          </w:p>
          <w:p w:rsidR="00DA349B" w:rsidRDefault="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w:t>
            </w:r>
          </w:p>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236" w:type="dxa"/>
            <w:vMerge w:val="restart"/>
            <w:tcBorders>
              <w:top w:val="single" w:sz="2" w:space="0" w:color="auto"/>
              <w:left w:val="nil"/>
              <w:right w:val="nil"/>
            </w:tcBorders>
          </w:tcPr>
          <w:p w:rsidR="00DA349B" w:rsidRDefault="00DA349B">
            <w:pPr>
              <w:autoSpaceDE w:val="0"/>
              <w:autoSpaceDN w:val="0"/>
              <w:adjustRightInd w:val="0"/>
              <w:spacing w:after="0" w:line="240" w:lineRule="auto"/>
              <w:jc w:val="right"/>
              <w:rPr>
                <w:rFonts w:ascii="Arial" w:hAnsi="Arial" w:cs="Arial"/>
                <w:color w:val="000000"/>
                <w:sz w:val="15"/>
                <w:szCs w:val="15"/>
              </w:rPr>
            </w:pPr>
          </w:p>
        </w:tc>
        <w:tc>
          <w:tcPr>
            <w:tcW w:w="1076" w:type="dxa"/>
            <w:vMerge w:val="restart"/>
            <w:tcBorders>
              <w:top w:val="single" w:sz="2" w:space="0" w:color="auto"/>
              <w:left w:val="nil"/>
              <w:right w:val="nil"/>
            </w:tcBorders>
          </w:tcPr>
          <w:p w:rsidR="00DA349B" w:rsidRDefault="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Actual</w:t>
            </w:r>
          </w:p>
          <w:p w:rsidR="00DA349B" w:rsidRDefault="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available</w:t>
            </w:r>
          </w:p>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appropriation</w:t>
            </w:r>
          </w:p>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2010-11</w:t>
            </w:r>
          </w:p>
        </w:tc>
        <w:tc>
          <w:tcPr>
            <w:tcW w:w="236" w:type="dxa"/>
            <w:tcBorders>
              <w:top w:val="nil"/>
              <w:left w:val="nil"/>
              <w:bottom w:val="nil"/>
              <w:right w:val="nil"/>
            </w:tcBorders>
          </w:tcPr>
          <w:p w:rsidR="00DA349B" w:rsidRDefault="00DA349B">
            <w:pPr>
              <w:autoSpaceDE w:val="0"/>
              <w:autoSpaceDN w:val="0"/>
              <w:adjustRightInd w:val="0"/>
              <w:spacing w:after="0" w:line="240" w:lineRule="auto"/>
              <w:jc w:val="left"/>
              <w:rPr>
                <w:rFonts w:ascii="Calibri" w:hAnsi="Calibri" w:cs="Calibri"/>
                <w:color w:val="000000"/>
                <w:sz w:val="22"/>
                <w:szCs w:val="22"/>
              </w:rPr>
            </w:pPr>
          </w:p>
        </w:tc>
      </w:tr>
      <w:tr w:rsidR="00DA349B" w:rsidTr="007A102A">
        <w:trPr>
          <w:trHeight w:val="216"/>
        </w:trPr>
        <w:tc>
          <w:tcPr>
            <w:tcW w:w="2599" w:type="dxa"/>
            <w:vMerge/>
            <w:tcBorders>
              <w:left w:val="nil"/>
              <w:right w:val="nil"/>
            </w:tcBorders>
          </w:tcPr>
          <w:p w:rsidR="00DA349B" w:rsidRDefault="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right w:val="nil"/>
            </w:tcBorders>
          </w:tcPr>
          <w:p w:rsidR="00DA349B" w:rsidRDefault="00DA349B">
            <w:pPr>
              <w:autoSpaceDE w:val="0"/>
              <w:autoSpaceDN w:val="0"/>
              <w:adjustRightInd w:val="0"/>
              <w:spacing w:after="0" w:line="240" w:lineRule="auto"/>
              <w:jc w:val="center"/>
              <w:rPr>
                <w:rFonts w:ascii="Arial" w:hAnsi="Arial" w:cs="Arial"/>
                <w:color w:val="000000"/>
                <w:sz w:val="15"/>
                <w:szCs w:val="15"/>
              </w:rPr>
            </w:pPr>
          </w:p>
        </w:tc>
        <w:tc>
          <w:tcPr>
            <w:tcW w:w="1091" w:type="dxa"/>
            <w:vMerge/>
            <w:tcBorders>
              <w:left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right w:val="nil"/>
            </w:tcBorders>
          </w:tcPr>
          <w:p w:rsidR="00DA349B" w:rsidRDefault="00DA349B">
            <w:pPr>
              <w:autoSpaceDE w:val="0"/>
              <w:autoSpaceDN w:val="0"/>
              <w:adjustRightInd w:val="0"/>
              <w:spacing w:after="0" w:line="240" w:lineRule="auto"/>
              <w:jc w:val="center"/>
              <w:rPr>
                <w:rFonts w:ascii="Arial" w:hAnsi="Arial" w:cs="Arial"/>
                <w:color w:val="000000"/>
                <w:sz w:val="16"/>
                <w:szCs w:val="16"/>
                <w:vertAlign w:val="superscript"/>
              </w:rPr>
            </w:pPr>
          </w:p>
        </w:tc>
        <w:tc>
          <w:tcPr>
            <w:tcW w:w="1120" w:type="dxa"/>
            <w:vMerge/>
            <w:tcBorders>
              <w:left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right w:val="nil"/>
            </w:tcBorders>
          </w:tcPr>
          <w:p w:rsidR="00DA349B" w:rsidRDefault="00DA349B">
            <w:pPr>
              <w:autoSpaceDE w:val="0"/>
              <w:autoSpaceDN w:val="0"/>
              <w:adjustRightInd w:val="0"/>
              <w:spacing w:after="0" w:line="240" w:lineRule="auto"/>
              <w:jc w:val="center"/>
              <w:rPr>
                <w:rFonts w:ascii="Arial" w:hAnsi="Arial" w:cs="Arial"/>
                <w:color w:val="000000"/>
                <w:sz w:val="16"/>
                <w:szCs w:val="16"/>
                <w:vertAlign w:val="superscript"/>
              </w:rPr>
            </w:pPr>
          </w:p>
        </w:tc>
        <w:tc>
          <w:tcPr>
            <w:tcW w:w="1062" w:type="dxa"/>
            <w:vMerge/>
            <w:tcBorders>
              <w:left w:val="nil"/>
              <w:right w:val="nil"/>
            </w:tcBorders>
            <w:shd w:val="solid" w:color="E6E6E6" w:fill="auto"/>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right w:val="nil"/>
            </w:tcBorders>
          </w:tcPr>
          <w:p w:rsidR="00DA349B" w:rsidRDefault="00DA349B">
            <w:pPr>
              <w:autoSpaceDE w:val="0"/>
              <w:autoSpaceDN w:val="0"/>
              <w:adjustRightInd w:val="0"/>
              <w:spacing w:after="0" w:line="240" w:lineRule="auto"/>
              <w:jc w:val="right"/>
              <w:rPr>
                <w:rFonts w:ascii="Arial" w:hAnsi="Arial" w:cs="Arial"/>
                <w:color w:val="000000"/>
                <w:sz w:val="15"/>
                <w:szCs w:val="15"/>
              </w:rPr>
            </w:pPr>
          </w:p>
        </w:tc>
        <w:tc>
          <w:tcPr>
            <w:tcW w:w="1076" w:type="dxa"/>
            <w:vMerge/>
            <w:tcBorders>
              <w:left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DA349B" w:rsidRDefault="00DA349B">
            <w:pPr>
              <w:autoSpaceDE w:val="0"/>
              <w:autoSpaceDN w:val="0"/>
              <w:adjustRightInd w:val="0"/>
              <w:spacing w:after="0" w:line="240" w:lineRule="auto"/>
              <w:jc w:val="left"/>
              <w:rPr>
                <w:rFonts w:ascii="Calibri" w:hAnsi="Calibri" w:cs="Calibri"/>
                <w:color w:val="000000"/>
                <w:sz w:val="22"/>
                <w:szCs w:val="22"/>
              </w:rPr>
            </w:pPr>
          </w:p>
        </w:tc>
      </w:tr>
      <w:tr w:rsidR="00DA349B" w:rsidTr="007A102A">
        <w:trPr>
          <w:trHeight w:val="216"/>
        </w:trPr>
        <w:tc>
          <w:tcPr>
            <w:tcW w:w="2599" w:type="dxa"/>
            <w:vMerge/>
            <w:tcBorders>
              <w:left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right w:val="nil"/>
            </w:tcBorders>
          </w:tcPr>
          <w:p w:rsidR="00DA349B" w:rsidRDefault="00DA349B" w:rsidP="00DA349B">
            <w:pPr>
              <w:autoSpaceDE w:val="0"/>
              <w:autoSpaceDN w:val="0"/>
              <w:adjustRightInd w:val="0"/>
              <w:spacing w:after="0" w:line="240" w:lineRule="auto"/>
              <w:jc w:val="center"/>
              <w:rPr>
                <w:rFonts w:ascii="Arial" w:hAnsi="Arial" w:cs="Arial"/>
                <w:color w:val="000000"/>
                <w:sz w:val="15"/>
                <w:szCs w:val="15"/>
              </w:rPr>
            </w:pPr>
          </w:p>
        </w:tc>
        <w:tc>
          <w:tcPr>
            <w:tcW w:w="1091" w:type="dxa"/>
            <w:vMerge/>
            <w:tcBorders>
              <w:left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120" w:type="dxa"/>
            <w:vMerge/>
            <w:tcBorders>
              <w:left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062" w:type="dxa"/>
            <w:vMerge/>
            <w:tcBorders>
              <w:left w:val="nil"/>
              <w:right w:val="nil"/>
            </w:tcBorders>
            <w:shd w:val="solid" w:color="E6E6E6" w:fill="auto"/>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1076" w:type="dxa"/>
            <w:vMerge/>
            <w:tcBorders>
              <w:left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Calibri" w:hAnsi="Calibri" w:cs="Calibri"/>
                <w:color w:val="000000"/>
                <w:sz w:val="22"/>
                <w:szCs w:val="22"/>
              </w:rPr>
            </w:pPr>
          </w:p>
        </w:tc>
      </w:tr>
      <w:tr w:rsidR="00DA349B" w:rsidTr="007A102A">
        <w:trPr>
          <w:trHeight w:val="216"/>
        </w:trPr>
        <w:tc>
          <w:tcPr>
            <w:tcW w:w="2599" w:type="dxa"/>
            <w:vMerge/>
            <w:tcBorders>
              <w:left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right w:val="nil"/>
            </w:tcBorders>
          </w:tcPr>
          <w:p w:rsidR="00DA349B" w:rsidRDefault="00DA349B" w:rsidP="00DA349B">
            <w:pPr>
              <w:autoSpaceDE w:val="0"/>
              <w:autoSpaceDN w:val="0"/>
              <w:adjustRightInd w:val="0"/>
              <w:spacing w:after="0" w:line="240" w:lineRule="auto"/>
              <w:jc w:val="center"/>
              <w:rPr>
                <w:rFonts w:ascii="Arial" w:hAnsi="Arial" w:cs="Arial"/>
                <w:color w:val="000000"/>
                <w:sz w:val="15"/>
                <w:szCs w:val="15"/>
              </w:rPr>
            </w:pPr>
          </w:p>
        </w:tc>
        <w:tc>
          <w:tcPr>
            <w:tcW w:w="1091" w:type="dxa"/>
            <w:vMerge/>
            <w:tcBorders>
              <w:left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120" w:type="dxa"/>
            <w:vMerge/>
            <w:tcBorders>
              <w:left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062" w:type="dxa"/>
            <w:vMerge/>
            <w:tcBorders>
              <w:left w:val="nil"/>
              <w:right w:val="nil"/>
            </w:tcBorders>
            <w:shd w:val="solid" w:color="E6E6E6" w:fill="auto"/>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1076" w:type="dxa"/>
            <w:vMerge/>
            <w:tcBorders>
              <w:left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Calibri" w:hAnsi="Calibri" w:cs="Calibri"/>
                <w:color w:val="000000"/>
                <w:sz w:val="22"/>
                <w:szCs w:val="22"/>
              </w:rPr>
            </w:pPr>
          </w:p>
        </w:tc>
      </w:tr>
      <w:tr w:rsidR="00DA349B" w:rsidTr="00DA349B">
        <w:trPr>
          <w:trHeight w:val="80"/>
        </w:trPr>
        <w:tc>
          <w:tcPr>
            <w:tcW w:w="2599" w:type="dxa"/>
            <w:vMerge/>
            <w:tcBorders>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bottom w:val="nil"/>
              <w:right w:val="nil"/>
            </w:tcBorders>
          </w:tcPr>
          <w:p w:rsidR="00DA349B" w:rsidRDefault="00DA349B" w:rsidP="00DA349B">
            <w:pPr>
              <w:autoSpaceDE w:val="0"/>
              <w:autoSpaceDN w:val="0"/>
              <w:adjustRightInd w:val="0"/>
              <w:spacing w:after="0" w:line="240" w:lineRule="auto"/>
              <w:jc w:val="center"/>
              <w:rPr>
                <w:rFonts w:ascii="Arial" w:hAnsi="Arial" w:cs="Arial"/>
                <w:color w:val="000000"/>
                <w:sz w:val="15"/>
                <w:szCs w:val="15"/>
              </w:rPr>
            </w:pPr>
          </w:p>
        </w:tc>
        <w:tc>
          <w:tcPr>
            <w:tcW w:w="1091" w:type="dxa"/>
            <w:vMerge/>
            <w:tcBorders>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120" w:type="dxa"/>
            <w:vMerge/>
            <w:tcBorders>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062" w:type="dxa"/>
            <w:vMerge/>
            <w:tcBorders>
              <w:left w:val="nil"/>
              <w:bottom w:val="nil"/>
              <w:right w:val="nil"/>
            </w:tcBorders>
            <w:shd w:val="solid" w:color="E6E6E6" w:fill="auto"/>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vMerge/>
            <w:tcBorders>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1076" w:type="dxa"/>
            <w:vMerge/>
            <w:tcBorders>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Calibri" w:hAnsi="Calibri" w:cs="Calibri"/>
                <w:color w:val="000000"/>
                <w:sz w:val="22"/>
                <w:szCs w:val="22"/>
              </w:rPr>
            </w:pPr>
          </w:p>
        </w:tc>
      </w:tr>
      <w:tr w:rsidR="00DA349B" w:rsidTr="00D71047">
        <w:trPr>
          <w:trHeight w:val="216"/>
        </w:trPr>
        <w:tc>
          <w:tcPr>
            <w:tcW w:w="2599"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center"/>
              <w:rPr>
                <w:rFonts w:ascii="Arial" w:hAnsi="Arial" w:cs="Arial"/>
                <w:color w:val="000000"/>
                <w:sz w:val="15"/>
                <w:szCs w:val="15"/>
              </w:rPr>
            </w:pPr>
          </w:p>
        </w:tc>
        <w:tc>
          <w:tcPr>
            <w:tcW w:w="1091" w:type="dxa"/>
            <w:tcBorders>
              <w:top w:val="nil"/>
              <w:left w:val="nil"/>
              <w:bottom w:val="single" w:sz="2" w:space="0" w:color="auto"/>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b/>
                <w:bCs/>
                <w:color w:val="000000"/>
                <w:sz w:val="15"/>
                <w:szCs w:val="15"/>
                <w:vertAlign w:val="superscript"/>
              </w:rPr>
            </w:pPr>
          </w:p>
        </w:tc>
        <w:tc>
          <w:tcPr>
            <w:tcW w:w="1120" w:type="dxa"/>
            <w:tcBorders>
              <w:top w:val="nil"/>
              <w:left w:val="nil"/>
              <w:bottom w:val="single" w:sz="2" w:space="0" w:color="auto"/>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b/>
                <w:bCs/>
                <w:color w:val="000000"/>
                <w:sz w:val="15"/>
                <w:szCs w:val="15"/>
                <w:vertAlign w:val="superscript"/>
              </w:rPr>
            </w:pPr>
          </w:p>
        </w:tc>
        <w:tc>
          <w:tcPr>
            <w:tcW w:w="1062" w:type="dxa"/>
            <w:tcBorders>
              <w:top w:val="nil"/>
              <w:left w:val="nil"/>
              <w:bottom w:val="single" w:sz="2" w:space="0" w:color="auto"/>
              <w:right w:val="nil"/>
            </w:tcBorders>
            <w:shd w:val="solid" w:color="E6E6E6" w:fill="auto"/>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single" w:sz="2" w:space="0" w:color="auto"/>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1076" w:type="dxa"/>
            <w:tcBorders>
              <w:top w:val="nil"/>
              <w:left w:val="nil"/>
              <w:bottom w:val="single" w:sz="2" w:space="0" w:color="auto"/>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Calibri" w:hAnsi="Calibri" w:cs="Calibri"/>
                <w:color w:val="000000"/>
                <w:sz w:val="22"/>
                <w:szCs w:val="22"/>
              </w:rPr>
            </w:pPr>
          </w:p>
        </w:tc>
      </w:tr>
      <w:tr w:rsidR="00DA349B" w:rsidTr="00D71047">
        <w:trPr>
          <w:trHeight w:val="216"/>
        </w:trPr>
        <w:tc>
          <w:tcPr>
            <w:tcW w:w="2599"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accounts</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120"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062" w:type="dxa"/>
            <w:tcBorders>
              <w:top w:val="nil"/>
              <w:left w:val="nil"/>
              <w:bottom w:val="nil"/>
              <w:right w:val="nil"/>
            </w:tcBorders>
            <w:shd w:val="solid" w:color="E6E6E6" w:fill="auto"/>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107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Calibri" w:hAnsi="Calibri" w:cs="Calibri"/>
                <w:color w:val="000000"/>
                <w:sz w:val="22"/>
                <w:szCs w:val="22"/>
              </w:rPr>
            </w:pPr>
          </w:p>
        </w:tc>
      </w:tr>
      <w:tr w:rsidR="00DA349B" w:rsidTr="00D71047">
        <w:trPr>
          <w:trHeight w:val="260"/>
        </w:trPr>
        <w:tc>
          <w:tcPr>
            <w:tcW w:w="2599"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Opening balance</w:t>
            </w:r>
            <w:r>
              <w:rPr>
                <w:rFonts w:ascii="Arial" w:hAnsi="Arial" w:cs="Arial"/>
                <w:color w:val="000000"/>
                <w:sz w:val="15"/>
                <w:szCs w:val="15"/>
                <w:vertAlign w:val="superscript"/>
              </w:rPr>
              <w:t>6</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center"/>
              <w:rPr>
                <w:rFonts w:ascii="Arial" w:hAnsi="Arial" w:cs="Arial"/>
                <w:color w:val="000000"/>
                <w:sz w:val="15"/>
                <w:szCs w:val="15"/>
              </w:rPr>
            </w:pPr>
          </w:p>
        </w:tc>
        <w:tc>
          <w:tcPr>
            <w:tcW w:w="1091"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51,953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120"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062" w:type="dxa"/>
            <w:tcBorders>
              <w:top w:val="nil"/>
              <w:left w:val="nil"/>
              <w:bottom w:val="nil"/>
              <w:right w:val="nil"/>
            </w:tcBorders>
            <w:shd w:val="solid" w:color="E6E6E6" w:fill="auto"/>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51,953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107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51,953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Calibri" w:hAnsi="Calibri" w:cs="Calibri"/>
                <w:color w:val="000000"/>
                <w:sz w:val="22"/>
                <w:szCs w:val="22"/>
              </w:rPr>
            </w:pPr>
          </w:p>
        </w:tc>
      </w:tr>
      <w:tr w:rsidR="00DA349B" w:rsidTr="00D71047">
        <w:trPr>
          <w:trHeight w:val="216"/>
        </w:trPr>
        <w:tc>
          <w:tcPr>
            <w:tcW w:w="2599"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Appropriation receipts</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center"/>
              <w:rPr>
                <w:rFonts w:ascii="Arial" w:hAnsi="Arial" w:cs="Arial"/>
                <w:color w:val="000000"/>
                <w:sz w:val="15"/>
                <w:szCs w:val="15"/>
              </w:rPr>
            </w:pPr>
          </w:p>
        </w:tc>
        <w:tc>
          <w:tcPr>
            <w:tcW w:w="1091"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120"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78,922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062" w:type="dxa"/>
            <w:tcBorders>
              <w:top w:val="nil"/>
              <w:left w:val="nil"/>
              <w:bottom w:val="nil"/>
              <w:right w:val="nil"/>
            </w:tcBorders>
            <w:shd w:val="solid" w:color="E6E6E6" w:fill="auto"/>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78,922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107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76,233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Calibri" w:hAnsi="Calibri" w:cs="Calibri"/>
                <w:color w:val="000000"/>
                <w:sz w:val="22"/>
                <w:szCs w:val="22"/>
              </w:rPr>
            </w:pPr>
          </w:p>
        </w:tc>
      </w:tr>
      <w:tr w:rsidR="00DA349B" w:rsidTr="00D71047">
        <w:trPr>
          <w:trHeight w:val="216"/>
        </w:trPr>
        <w:tc>
          <w:tcPr>
            <w:tcW w:w="2599"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Non-appropriation receipts to</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center"/>
              <w:rPr>
                <w:rFonts w:ascii="Arial" w:hAnsi="Arial" w:cs="Arial"/>
                <w:color w:val="000000"/>
                <w:sz w:val="15"/>
                <w:szCs w:val="15"/>
              </w:rPr>
            </w:pPr>
          </w:p>
        </w:tc>
        <w:tc>
          <w:tcPr>
            <w:tcW w:w="1091"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120"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062" w:type="dxa"/>
            <w:tcBorders>
              <w:top w:val="nil"/>
              <w:left w:val="nil"/>
              <w:bottom w:val="nil"/>
              <w:right w:val="nil"/>
            </w:tcBorders>
            <w:shd w:val="solid" w:color="E6E6E6" w:fill="auto"/>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107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Calibri" w:hAnsi="Calibri" w:cs="Calibri"/>
                <w:color w:val="000000"/>
                <w:sz w:val="22"/>
                <w:szCs w:val="22"/>
              </w:rPr>
            </w:pPr>
          </w:p>
        </w:tc>
      </w:tr>
      <w:tr w:rsidR="00DA349B" w:rsidTr="00D71047">
        <w:trPr>
          <w:trHeight w:val="216"/>
        </w:trPr>
        <w:tc>
          <w:tcPr>
            <w:tcW w:w="2599"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Special accounts</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center"/>
              <w:rPr>
                <w:rFonts w:ascii="Arial" w:hAnsi="Arial" w:cs="Arial"/>
                <w:color w:val="000000"/>
                <w:sz w:val="15"/>
                <w:szCs w:val="15"/>
              </w:rPr>
            </w:pPr>
          </w:p>
        </w:tc>
        <w:tc>
          <w:tcPr>
            <w:tcW w:w="1091"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120"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1,190,379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vertAlign w:val="superscript"/>
              </w:rPr>
            </w:pPr>
          </w:p>
        </w:tc>
        <w:tc>
          <w:tcPr>
            <w:tcW w:w="1062" w:type="dxa"/>
            <w:tcBorders>
              <w:top w:val="nil"/>
              <w:left w:val="nil"/>
              <w:bottom w:val="nil"/>
              <w:right w:val="nil"/>
            </w:tcBorders>
            <w:shd w:val="solid" w:color="E6E6E6" w:fill="auto"/>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1,190,379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107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1,150,127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Calibri" w:hAnsi="Calibri" w:cs="Calibri"/>
                <w:color w:val="000000"/>
                <w:sz w:val="22"/>
                <w:szCs w:val="22"/>
              </w:rPr>
            </w:pPr>
          </w:p>
        </w:tc>
      </w:tr>
      <w:tr w:rsidR="00DA349B" w:rsidTr="00D71047">
        <w:trPr>
          <w:trHeight w:val="216"/>
        </w:trPr>
        <w:tc>
          <w:tcPr>
            <w:tcW w:w="2599"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Special accounts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D</w:t>
            </w:r>
          </w:p>
        </w:tc>
        <w:tc>
          <w:tcPr>
            <w:tcW w:w="1091" w:type="dxa"/>
            <w:tcBorders>
              <w:top w:val="single" w:sz="2" w:space="0" w:color="auto"/>
              <w:left w:val="nil"/>
              <w:bottom w:val="single" w:sz="2" w:space="0" w:color="auto"/>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51,953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b/>
                <w:bCs/>
                <w:color w:val="000000"/>
                <w:sz w:val="15"/>
                <w:szCs w:val="15"/>
                <w:vertAlign w:val="superscript"/>
              </w:rPr>
            </w:pPr>
          </w:p>
        </w:tc>
        <w:tc>
          <w:tcPr>
            <w:tcW w:w="1120" w:type="dxa"/>
            <w:tcBorders>
              <w:top w:val="single" w:sz="2" w:space="0" w:color="auto"/>
              <w:left w:val="nil"/>
              <w:bottom w:val="single" w:sz="2" w:space="0" w:color="auto"/>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1,269,301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b/>
                <w:bCs/>
                <w:color w:val="000000"/>
                <w:sz w:val="15"/>
                <w:szCs w:val="15"/>
                <w:vertAlign w:val="superscript"/>
              </w:rPr>
            </w:pPr>
          </w:p>
        </w:tc>
        <w:tc>
          <w:tcPr>
            <w:tcW w:w="1062" w:type="dxa"/>
            <w:tcBorders>
              <w:top w:val="single" w:sz="2" w:space="0" w:color="auto"/>
              <w:left w:val="nil"/>
              <w:bottom w:val="single" w:sz="2" w:space="0" w:color="auto"/>
              <w:right w:val="nil"/>
            </w:tcBorders>
            <w:shd w:val="solid" w:color="E6E6E6" w:fill="auto"/>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1,321,254 </w:t>
            </w:r>
          </w:p>
        </w:tc>
        <w:tc>
          <w:tcPr>
            <w:tcW w:w="236" w:type="dxa"/>
            <w:tcBorders>
              <w:top w:val="single" w:sz="2" w:space="0" w:color="auto"/>
              <w:left w:val="nil"/>
              <w:bottom w:val="single" w:sz="2" w:space="0" w:color="auto"/>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1076" w:type="dxa"/>
            <w:tcBorders>
              <w:top w:val="single" w:sz="2" w:space="0" w:color="000000"/>
              <w:left w:val="nil"/>
              <w:bottom w:val="single" w:sz="2" w:space="0" w:color="000000"/>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1,278,313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FF0000"/>
                <w:sz w:val="15"/>
                <w:szCs w:val="15"/>
                <w:vertAlign w:val="superscript"/>
              </w:rPr>
            </w:pPr>
            <w:r>
              <w:rPr>
                <w:rFonts w:ascii="Arial" w:hAnsi="Arial" w:cs="Arial"/>
                <w:color w:val="FF0000"/>
                <w:sz w:val="15"/>
                <w:szCs w:val="15"/>
                <w:vertAlign w:val="superscript"/>
              </w:rPr>
              <w:t>12</w:t>
            </w:r>
          </w:p>
        </w:tc>
      </w:tr>
      <w:tr w:rsidR="00DA349B" w:rsidTr="00D71047">
        <w:trPr>
          <w:trHeight w:val="216"/>
        </w:trPr>
        <w:tc>
          <w:tcPr>
            <w:tcW w:w="2599"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resourcing</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center"/>
              <w:rPr>
                <w:rFonts w:ascii="Arial" w:hAnsi="Arial" w:cs="Arial"/>
                <w:b/>
                <w:bCs/>
                <w:color w:val="000000"/>
                <w:sz w:val="15"/>
                <w:szCs w:val="15"/>
              </w:rPr>
            </w:pPr>
          </w:p>
        </w:tc>
        <w:tc>
          <w:tcPr>
            <w:tcW w:w="1091"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b/>
                <w:bCs/>
                <w:color w:val="000000"/>
                <w:sz w:val="15"/>
                <w:szCs w:val="15"/>
                <w:vertAlign w:val="superscript"/>
              </w:rPr>
            </w:pPr>
          </w:p>
        </w:tc>
        <w:tc>
          <w:tcPr>
            <w:tcW w:w="1120"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b/>
                <w:bCs/>
                <w:color w:val="000000"/>
                <w:sz w:val="15"/>
                <w:szCs w:val="15"/>
                <w:vertAlign w:val="superscript"/>
              </w:rPr>
            </w:pPr>
          </w:p>
        </w:tc>
        <w:tc>
          <w:tcPr>
            <w:tcW w:w="1062" w:type="dxa"/>
            <w:tcBorders>
              <w:top w:val="nil"/>
              <w:left w:val="nil"/>
              <w:bottom w:val="nil"/>
              <w:right w:val="nil"/>
            </w:tcBorders>
            <w:shd w:val="solid" w:color="E6E6E6" w:fill="auto"/>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107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Calibri" w:hAnsi="Calibri" w:cs="Calibri"/>
                <w:color w:val="000000"/>
                <w:sz w:val="22"/>
                <w:szCs w:val="22"/>
              </w:rPr>
            </w:pPr>
          </w:p>
        </w:tc>
      </w:tr>
      <w:tr w:rsidR="00DA349B" w:rsidTr="00D71047">
        <w:trPr>
          <w:trHeight w:val="216"/>
        </w:trPr>
        <w:tc>
          <w:tcPr>
            <w:tcW w:w="2599"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A+B+C+D</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center"/>
              <w:rPr>
                <w:rFonts w:ascii="Arial" w:hAnsi="Arial" w:cs="Arial"/>
                <w:color w:val="000000"/>
                <w:sz w:val="15"/>
                <w:szCs w:val="15"/>
              </w:rPr>
            </w:pPr>
          </w:p>
        </w:tc>
        <w:tc>
          <w:tcPr>
            <w:tcW w:w="1091" w:type="dxa"/>
            <w:tcBorders>
              <w:top w:val="nil"/>
              <w:left w:val="nil"/>
              <w:bottom w:val="single" w:sz="2" w:space="0" w:color="auto"/>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782,083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1120" w:type="dxa"/>
            <w:tcBorders>
              <w:top w:val="nil"/>
              <w:left w:val="nil"/>
              <w:bottom w:val="single" w:sz="2" w:space="0" w:color="auto"/>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5,817,325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1062" w:type="dxa"/>
            <w:tcBorders>
              <w:top w:val="nil"/>
              <w:left w:val="nil"/>
              <w:bottom w:val="single" w:sz="2" w:space="0" w:color="auto"/>
              <w:right w:val="nil"/>
            </w:tcBorders>
            <w:shd w:val="solid" w:color="E6E6E6" w:fill="auto"/>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6,599,408 </w:t>
            </w:r>
          </w:p>
        </w:tc>
        <w:tc>
          <w:tcPr>
            <w:tcW w:w="236" w:type="dxa"/>
            <w:tcBorders>
              <w:top w:val="nil"/>
              <w:left w:val="nil"/>
              <w:bottom w:val="single" w:sz="2" w:space="0" w:color="auto"/>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1076" w:type="dxa"/>
            <w:tcBorders>
              <w:top w:val="nil"/>
              <w:left w:val="nil"/>
              <w:bottom w:val="single" w:sz="2" w:space="0" w:color="auto"/>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6,628,999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Calibri" w:hAnsi="Calibri" w:cs="Calibri"/>
                <w:color w:val="000000"/>
                <w:sz w:val="22"/>
                <w:szCs w:val="22"/>
              </w:rPr>
            </w:pPr>
          </w:p>
        </w:tc>
      </w:tr>
      <w:tr w:rsidR="00DA349B" w:rsidTr="00DA349B">
        <w:trPr>
          <w:trHeight w:val="806"/>
        </w:trPr>
        <w:tc>
          <w:tcPr>
            <w:tcW w:w="2599" w:type="dxa"/>
            <w:tcBorders>
              <w:top w:val="nil"/>
              <w:left w:val="nil"/>
              <w:right w:val="nil"/>
            </w:tcBorders>
            <w:vAlign w:val="bottom"/>
          </w:tcPr>
          <w:p w:rsidR="00DA349B" w:rsidRDefault="00DA349B" w:rsidP="00DA349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Less appropriations drawn from</w:t>
            </w:r>
          </w:p>
          <w:p w:rsidR="00DA349B" w:rsidRDefault="00DA349B" w:rsidP="00DA349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or special appropriations above</w:t>
            </w:r>
          </w:p>
          <w:p w:rsidR="00DA349B" w:rsidRDefault="00DA349B" w:rsidP="00DA349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and credited to special accounts</w:t>
            </w:r>
          </w:p>
        </w:tc>
        <w:tc>
          <w:tcPr>
            <w:tcW w:w="23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1091"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color w:val="000000"/>
                <w:sz w:val="15"/>
                <w:szCs w:val="15"/>
              </w:rPr>
            </w:pPr>
          </w:p>
        </w:tc>
        <w:tc>
          <w:tcPr>
            <w:tcW w:w="1120"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color w:val="000000"/>
                <w:sz w:val="15"/>
                <w:szCs w:val="15"/>
              </w:rPr>
              <w:t xml:space="preserve"> 78,922 </w:t>
            </w:r>
          </w:p>
        </w:tc>
        <w:tc>
          <w:tcPr>
            <w:tcW w:w="23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1062" w:type="dxa"/>
            <w:tcBorders>
              <w:top w:val="nil"/>
              <w:left w:val="nil"/>
              <w:right w:val="nil"/>
            </w:tcBorders>
            <w:shd w:val="solid" w:color="E6E6E6" w:fill="auto"/>
            <w:vAlign w:val="bottom"/>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color w:val="000000"/>
                <w:sz w:val="15"/>
                <w:szCs w:val="15"/>
              </w:rPr>
              <w:t xml:space="preserve"> 78,922 </w:t>
            </w:r>
          </w:p>
        </w:tc>
        <w:tc>
          <w:tcPr>
            <w:tcW w:w="23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107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color w:val="000000"/>
                <w:sz w:val="15"/>
                <w:szCs w:val="15"/>
              </w:rPr>
              <w:t xml:space="preserve">76,233 </w:t>
            </w:r>
          </w:p>
        </w:tc>
        <w:tc>
          <w:tcPr>
            <w:tcW w:w="236" w:type="dxa"/>
            <w:tcBorders>
              <w:top w:val="nil"/>
              <w:left w:val="nil"/>
              <w:right w:val="nil"/>
            </w:tcBorders>
            <w:vAlign w:val="bottom"/>
          </w:tcPr>
          <w:p w:rsidR="00DA349B" w:rsidRDefault="00DA349B" w:rsidP="00DA349B">
            <w:pPr>
              <w:autoSpaceDE w:val="0"/>
              <w:autoSpaceDN w:val="0"/>
              <w:adjustRightInd w:val="0"/>
              <w:spacing w:after="0" w:line="240" w:lineRule="auto"/>
              <w:jc w:val="right"/>
              <w:rPr>
                <w:rFonts w:ascii="Calibri" w:hAnsi="Calibri" w:cs="Calibri"/>
                <w:color w:val="000000"/>
                <w:sz w:val="22"/>
                <w:szCs w:val="22"/>
              </w:rPr>
            </w:pPr>
          </w:p>
        </w:tc>
      </w:tr>
      <w:tr w:rsidR="00DA349B" w:rsidTr="00D71047">
        <w:trPr>
          <w:trHeight w:val="216"/>
        </w:trPr>
        <w:tc>
          <w:tcPr>
            <w:tcW w:w="2599"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000000"/>
                <w:sz w:val="15"/>
                <w:szCs w:val="15"/>
              </w:rPr>
            </w:pPr>
            <w:r>
              <w:rPr>
                <w:rFonts w:ascii="Arial" w:hAnsi="Arial" w:cs="Arial"/>
                <w:b/>
                <w:bCs/>
                <w:color w:val="000000"/>
                <w:sz w:val="15"/>
                <w:szCs w:val="15"/>
              </w:rPr>
              <w:t>Total net resourcing for Department of Human Services</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center"/>
              <w:rPr>
                <w:rFonts w:ascii="Arial" w:hAnsi="Arial" w:cs="Arial"/>
                <w:color w:val="000000"/>
                <w:sz w:val="15"/>
                <w:szCs w:val="15"/>
              </w:rPr>
            </w:pPr>
          </w:p>
        </w:tc>
        <w:tc>
          <w:tcPr>
            <w:tcW w:w="1091" w:type="dxa"/>
            <w:tcBorders>
              <w:top w:val="nil"/>
              <w:left w:val="nil"/>
              <w:bottom w:val="single" w:sz="2" w:space="0" w:color="auto"/>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782,083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1120" w:type="dxa"/>
            <w:tcBorders>
              <w:top w:val="nil"/>
              <w:left w:val="nil"/>
              <w:bottom w:val="single" w:sz="2" w:space="0" w:color="auto"/>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5,738,403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1062" w:type="dxa"/>
            <w:tcBorders>
              <w:top w:val="nil"/>
              <w:left w:val="nil"/>
              <w:bottom w:val="single" w:sz="2" w:space="0" w:color="auto"/>
              <w:right w:val="nil"/>
            </w:tcBorders>
            <w:shd w:val="solid" w:color="E6E6E6" w:fill="auto"/>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6,520,486 </w:t>
            </w:r>
          </w:p>
        </w:tc>
        <w:tc>
          <w:tcPr>
            <w:tcW w:w="236" w:type="dxa"/>
            <w:tcBorders>
              <w:top w:val="nil"/>
              <w:left w:val="nil"/>
              <w:bottom w:val="single" w:sz="2" w:space="0" w:color="auto"/>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p>
        </w:tc>
        <w:tc>
          <w:tcPr>
            <w:tcW w:w="1076" w:type="dxa"/>
            <w:tcBorders>
              <w:top w:val="nil"/>
              <w:left w:val="nil"/>
              <w:bottom w:val="single" w:sz="2" w:space="0" w:color="auto"/>
              <w:right w:val="nil"/>
            </w:tcBorders>
          </w:tcPr>
          <w:p w:rsidR="00DA349B" w:rsidRDefault="00DA349B" w:rsidP="00DA349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6,552,766 </w:t>
            </w:r>
          </w:p>
        </w:tc>
        <w:tc>
          <w:tcPr>
            <w:tcW w:w="236" w:type="dxa"/>
            <w:tcBorders>
              <w:top w:val="nil"/>
              <w:left w:val="nil"/>
              <w:bottom w:val="nil"/>
              <w:right w:val="nil"/>
            </w:tcBorders>
          </w:tcPr>
          <w:p w:rsidR="00DA349B" w:rsidRDefault="00DA349B" w:rsidP="00DA349B">
            <w:pPr>
              <w:autoSpaceDE w:val="0"/>
              <w:autoSpaceDN w:val="0"/>
              <w:adjustRightInd w:val="0"/>
              <w:spacing w:after="0" w:line="240" w:lineRule="auto"/>
              <w:jc w:val="left"/>
              <w:rPr>
                <w:rFonts w:ascii="Arial" w:hAnsi="Arial" w:cs="Arial"/>
                <w:color w:val="FF0000"/>
                <w:sz w:val="15"/>
                <w:szCs w:val="15"/>
                <w:vertAlign w:val="superscript"/>
              </w:rPr>
            </w:pPr>
            <w:r>
              <w:rPr>
                <w:rFonts w:ascii="Arial" w:hAnsi="Arial" w:cs="Arial"/>
                <w:color w:val="FF0000"/>
                <w:sz w:val="15"/>
                <w:szCs w:val="15"/>
                <w:vertAlign w:val="superscript"/>
              </w:rPr>
              <w:t>13</w:t>
            </w:r>
          </w:p>
        </w:tc>
      </w:tr>
    </w:tbl>
    <w:p w:rsidR="00340FD7" w:rsidRPr="007C796F" w:rsidRDefault="00340FD7" w:rsidP="007C796F">
      <w:pPr>
        <w:pStyle w:val="TableGraphic"/>
        <w:ind w:right="0"/>
        <w:rPr>
          <w:sz w:val="2"/>
          <w:szCs w:val="2"/>
        </w:rPr>
      </w:pPr>
    </w:p>
    <w:p w:rsidR="00340FD7" w:rsidRPr="00AE3EEA" w:rsidRDefault="00340FD7" w:rsidP="003A3E20">
      <w:pPr>
        <w:pStyle w:val="ChartandTableFootnote"/>
        <w:rPr>
          <w:szCs w:val="16"/>
        </w:rPr>
      </w:pPr>
      <w:r w:rsidRPr="00AE3EEA">
        <w:rPr>
          <w:szCs w:val="16"/>
        </w:rPr>
        <w:t>1</w:t>
      </w:r>
      <w:r w:rsidRPr="00AE3EEA">
        <w:rPr>
          <w:szCs w:val="16"/>
        </w:rPr>
        <w:tab/>
        <w:t>Appropriation Bill (No.1) 2011</w:t>
      </w:r>
      <w:r w:rsidRPr="00AE3EEA">
        <w:rPr>
          <w:szCs w:val="16"/>
        </w:rPr>
        <w:noBreakHyphen/>
        <w:t>12.</w:t>
      </w:r>
    </w:p>
    <w:p w:rsidR="00340FD7" w:rsidRPr="00AE3EEA" w:rsidRDefault="00340FD7" w:rsidP="003A3E20">
      <w:pPr>
        <w:pStyle w:val="ChartandTableFootnote"/>
        <w:rPr>
          <w:szCs w:val="16"/>
        </w:rPr>
      </w:pPr>
      <w:r w:rsidRPr="00AE3EEA">
        <w:rPr>
          <w:szCs w:val="16"/>
        </w:rPr>
        <w:t>2</w:t>
      </w:r>
      <w:r w:rsidRPr="00AE3EEA">
        <w:rPr>
          <w:szCs w:val="16"/>
        </w:rPr>
        <w:tab/>
        <w:t>Estimated adjusted balance carried forward from previous year.</w:t>
      </w:r>
    </w:p>
    <w:p w:rsidR="00340FD7" w:rsidRPr="00AE3EEA" w:rsidRDefault="00340FD7" w:rsidP="003A3E20">
      <w:pPr>
        <w:pStyle w:val="ChartandTableFootnote"/>
        <w:rPr>
          <w:color w:val="000000"/>
          <w:szCs w:val="16"/>
        </w:rPr>
      </w:pPr>
      <w:r w:rsidRPr="00AE3EEA">
        <w:rPr>
          <w:szCs w:val="16"/>
        </w:rPr>
        <w:t>3</w:t>
      </w:r>
      <w:r w:rsidRPr="00AE3EEA">
        <w:rPr>
          <w:szCs w:val="16"/>
        </w:rPr>
        <w:tab/>
      </w:r>
      <w:r w:rsidRPr="00AE3EEA">
        <w:rPr>
          <w:color w:val="000000"/>
          <w:szCs w:val="16"/>
        </w:rPr>
        <w:t>Includes an amount of $</w:t>
      </w:r>
      <w:r w:rsidR="00586EC0">
        <w:rPr>
          <w:color w:val="000000"/>
          <w:szCs w:val="16"/>
        </w:rPr>
        <w:t>28</w:t>
      </w:r>
      <w:r w:rsidR="00DC4057">
        <w:rPr>
          <w:color w:val="000000"/>
          <w:szCs w:val="16"/>
        </w:rPr>
        <w:t>5</w:t>
      </w:r>
      <w:r w:rsidR="00586EC0">
        <w:rPr>
          <w:color w:val="000000"/>
          <w:szCs w:val="16"/>
        </w:rPr>
        <w:t>.</w:t>
      </w:r>
      <w:r w:rsidR="008254DE">
        <w:rPr>
          <w:color w:val="000000"/>
          <w:szCs w:val="16"/>
        </w:rPr>
        <w:t>001</w:t>
      </w:r>
      <w:r w:rsidR="00DC4057">
        <w:rPr>
          <w:color w:val="000000"/>
          <w:szCs w:val="16"/>
        </w:rPr>
        <w:t>m</w:t>
      </w:r>
      <w:r w:rsidRPr="00AE3EEA">
        <w:rPr>
          <w:color w:val="000000"/>
          <w:szCs w:val="16"/>
        </w:rPr>
        <w:t xml:space="preserve"> in 2011</w:t>
      </w:r>
      <w:r w:rsidRPr="00AE3EEA">
        <w:rPr>
          <w:color w:val="000000"/>
          <w:szCs w:val="16"/>
        </w:rPr>
        <w:noBreakHyphen/>
        <w:t xml:space="preserve">12 for the Departmental Capital </w:t>
      </w:r>
      <w:smartTag w:uri="urn:schemas-microsoft-com:office:smarttags" w:element="PersonName">
        <w:r w:rsidRPr="00AE3EEA">
          <w:rPr>
            <w:color w:val="000000"/>
            <w:szCs w:val="16"/>
          </w:rPr>
          <w:t>Budget</w:t>
        </w:r>
      </w:smartTag>
      <w:r w:rsidRPr="00AE3EEA">
        <w:rPr>
          <w:color w:val="000000"/>
          <w:szCs w:val="16"/>
        </w:rPr>
        <w:t xml:space="preserve"> (refer to table 3.2.5 for</w:t>
      </w:r>
      <w:r w:rsidRPr="00AE3EEA">
        <w:rPr>
          <w:rFonts w:cs="Arial"/>
          <w:szCs w:val="16"/>
        </w:rPr>
        <w:t xml:space="preserve"> further details). For accounting purposes this amount has been designated as 'contributions by owners'.</w:t>
      </w:r>
      <w:r w:rsidR="00B32A3E">
        <w:rPr>
          <w:rFonts w:cs="Arial"/>
          <w:szCs w:val="16"/>
        </w:rPr>
        <w:t xml:space="preserve"> It also includes $56.</w:t>
      </w:r>
      <w:r w:rsidR="00B96684">
        <w:rPr>
          <w:rFonts w:cs="Arial"/>
          <w:szCs w:val="16"/>
        </w:rPr>
        <w:t>12</w:t>
      </w:r>
      <w:r w:rsidR="00B32A3E">
        <w:rPr>
          <w:rFonts w:cs="Arial"/>
          <w:szCs w:val="16"/>
        </w:rPr>
        <w:t>1</w:t>
      </w:r>
      <w:r w:rsidR="00B96684">
        <w:rPr>
          <w:rFonts w:cs="Arial"/>
          <w:szCs w:val="16"/>
        </w:rPr>
        <w:t>m to fund expense incurred in 2010-11.</w:t>
      </w:r>
    </w:p>
    <w:p w:rsidR="00340FD7" w:rsidRPr="00586EC0" w:rsidRDefault="00340FD7" w:rsidP="00586EC0">
      <w:pPr>
        <w:pStyle w:val="ChartandTableFootnote"/>
        <w:rPr>
          <w:szCs w:val="16"/>
        </w:rPr>
      </w:pPr>
      <w:r w:rsidRPr="00AE3EEA">
        <w:rPr>
          <w:szCs w:val="16"/>
        </w:rPr>
        <w:t>4</w:t>
      </w:r>
      <w:r w:rsidRPr="00AE3EEA">
        <w:rPr>
          <w:szCs w:val="16"/>
        </w:rPr>
        <w:tab/>
      </w:r>
      <w:r w:rsidRPr="00AE3EEA">
        <w:rPr>
          <w:rFonts w:cs="Arial"/>
          <w:szCs w:val="16"/>
        </w:rPr>
        <w:t>s31 Relevant Agency receipts — estimate.</w:t>
      </w:r>
    </w:p>
    <w:p w:rsidR="00340FD7" w:rsidRPr="00AE3EEA" w:rsidRDefault="00586EC0" w:rsidP="003A3E20">
      <w:pPr>
        <w:pStyle w:val="ChartandTableFootnote"/>
        <w:rPr>
          <w:rFonts w:cs="Arial"/>
          <w:szCs w:val="16"/>
        </w:rPr>
      </w:pPr>
      <w:r>
        <w:rPr>
          <w:szCs w:val="16"/>
        </w:rPr>
        <w:t>5</w:t>
      </w:r>
      <w:r w:rsidR="00340FD7" w:rsidRPr="00AE3EEA">
        <w:rPr>
          <w:szCs w:val="16"/>
        </w:rPr>
        <w:tab/>
      </w:r>
      <w:r w:rsidR="00340FD7" w:rsidRPr="00AE3EEA">
        <w:rPr>
          <w:rFonts w:cs="Arial"/>
          <w:szCs w:val="16"/>
        </w:rPr>
        <w:t>Appropriation Bill (No.2) 2011</w:t>
      </w:r>
      <w:r w:rsidR="00340FD7" w:rsidRPr="00AE3EEA">
        <w:rPr>
          <w:rFonts w:cs="Arial"/>
          <w:szCs w:val="16"/>
        </w:rPr>
        <w:noBreakHyphen/>
        <w:t>12.</w:t>
      </w:r>
    </w:p>
    <w:p w:rsidR="00340FD7" w:rsidRPr="00AE3EEA" w:rsidRDefault="00586EC0" w:rsidP="003A3E20">
      <w:pPr>
        <w:pStyle w:val="ChartandTableFootnote"/>
        <w:rPr>
          <w:rFonts w:cs="Arial"/>
          <w:szCs w:val="16"/>
        </w:rPr>
      </w:pPr>
      <w:r>
        <w:rPr>
          <w:szCs w:val="16"/>
        </w:rPr>
        <w:t>6</w:t>
      </w:r>
      <w:r w:rsidR="00340FD7" w:rsidRPr="00AE3EEA">
        <w:rPr>
          <w:szCs w:val="16"/>
        </w:rPr>
        <w:tab/>
      </w:r>
      <w:r w:rsidR="00340FD7" w:rsidRPr="00AE3EEA">
        <w:rPr>
          <w:rFonts w:cs="Arial"/>
          <w:szCs w:val="16"/>
        </w:rPr>
        <w:t>Estimated opening balance for special accounts (</w:t>
      </w:r>
      <w:r w:rsidR="008254DE">
        <w:rPr>
          <w:rFonts w:cs="Arial"/>
          <w:szCs w:val="16"/>
        </w:rPr>
        <w:t>excluding opening balance</w:t>
      </w:r>
      <w:r w:rsidR="00B32A3E">
        <w:rPr>
          <w:rFonts w:cs="Arial"/>
          <w:szCs w:val="16"/>
        </w:rPr>
        <w:t>s</w:t>
      </w:r>
      <w:r w:rsidR="008254DE">
        <w:rPr>
          <w:rFonts w:cs="Arial"/>
          <w:szCs w:val="16"/>
        </w:rPr>
        <w:t xml:space="preserve"> held in the special accounts in the nature of ‘Special Public Money’</w:t>
      </w:r>
      <w:r w:rsidR="00340FD7" w:rsidRPr="00AE3EEA">
        <w:rPr>
          <w:rFonts w:cs="Arial"/>
          <w:szCs w:val="16"/>
        </w:rPr>
        <w:t xml:space="preserve">). </w:t>
      </w:r>
      <w:r w:rsidR="00340FD7" w:rsidRPr="00AE3EEA">
        <w:rPr>
          <w:szCs w:val="16"/>
        </w:rPr>
        <w:t>F</w:t>
      </w:r>
      <w:r w:rsidR="00340FD7" w:rsidRPr="00AE3EEA">
        <w:rPr>
          <w:rFonts w:cs="Arial"/>
          <w:szCs w:val="16"/>
        </w:rPr>
        <w:t>or further information on special accounts see Table 3.1.2.</w:t>
      </w:r>
    </w:p>
    <w:p w:rsidR="00340FD7" w:rsidRPr="005F29A2" w:rsidRDefault="00586EC0" w:rsidP="003A3E20">
      <w:pPr>
        <w:pStyle w:val="ChartandTableFootnote"/>
        <w:rPr>
          <w:szCs w:val="16"/>
        </w:rPr>
      </w:pPr>
      <w:r>
        <w:rPr>
          <w:szCs w:val="16"/>
        </w:rPr>
        <w:t>7</w:t>
      </w:r>
      <w:r w:rsidR="00340FD7" w:rsidRPr="005F29A2">
        <w:rPr>
          <w:szCs w:val="16"/>
        </w:rPr>
        <w:tab/>
      </w:r>
      <w:r w:rsidR="005D7746" w:rsidRPr="005F29A2">
        <w:rPr>
          <w:szCs w:val="16"/>
        </w:rPr>
        <w:t>The Department of Human Services</w:t>
      </w:r>
      <w:r w:rsidR="00B96684">
        <w:rPr>
          <w:szCs w:val="16"/>
        </w:rPr>
        <w:t xml:space="preserve"> (DHS)</w:t>
      </w:r>
      <w:r w:rsidR="005D7746" w:rsidRPr="005F29A2">
        <w:rPr>
          <w:szCs w:val="16"/>
        </w:rPr>
        <w:t xml:space="preserve">, Centrelink and Medicare Australia will be </w:t>
      </w:r>
      <w:r w:rsidR="006C623F">
        <w:rPr>
          <w:szCs w:val="16"/>
        </w:rPr>
        <w:t xml:space="preserve">integrated </w:t>
      </w:r>
      <w:r w:rsidR="005D7746" w:rsidRPr="005F29A2">
        <w:rPr>
          <w:szCs w:val="16"/>
        </w:rPr>
        <w:t>on 1</w:t>
      </w:r>
      <w:r w:rsidR="00256BB0">
        <w:rPr>
          <w:szCs w:val="16"/>
        </w:rPr>
        <w:t> </w:t>
      </w:r>
      <w:r w:rsidR="005D7746" w:rsidRPr="005F29A2">
        <w:rPr>
          <w:szCs w:val="16"/>
        </w:rPr>
        <w:t xml:space="preserve">July 2011 into a single agency </w:t>
      </w:r>
      <w:r w:rsidR="009B05C4">
        <w:rPr>
          <w:szCs w:val="16"/>
        </w:rPr>
        <w:t xml:space="preserve">subject to </w:t>
      </w:r>
      <w:r w:rsidR="005D7746" w:rsidRPr="005F29A2">
        <w:rPr>
          <w:szCs w:val="16"/>
        </w:rPr>
        <w:t xml:space="preserve">the passage of the </w:t>
      </w:r>
      <w:r w:rsidR="005A1122" w:rsidRPr="005735CF">
        <w:rPr>
          <w:i/>
          <w:szCs w:val="16"/>
        </w:rPr>
        <w:t xml:space="preserve">Human Services Legislation Amendment Bill 2011 </w:t>
      </w:r>
      <w:r w:rsidR="005D7746" w:rsidRPr="005F29A2">
        <w:rPr>
          <w:szCs w:val="16"/>
        </w:rPr>
        <w:t>currently before Parliament. Actual available appropriations for 2010-11 shows the combined amounts for the three agencies.</w:t>
      </w:r>
    </w:p>
    <w:p w:rsidR="00340FD7" w:rsidRPr="005E3FFD" w:rsidRDefault="00586EC0" w:rsidP="003A3E20">
      <w:pPr>
        <w:pStyle w:val="ChartandTableFootnote"/>
        <w:rPr>
          <w:szCs w:val="16"/>
        </w:rPr>
      </w:pPr>
      <w:r>
        <w:rPr>
          <w:szCs w:val="16"/>
        </w:rPr>
        <w:t>8</w:t>
      </w:r>
      <w:r w:rsidR="00340FD7" w:rsidRPr="005E3FFD">
        <w:rPr>
          <w:szCs w:val="16"/>
        </w:rPr>
        <w:tab/>
      </w:r>
      <w:r w:rsidR="005D7746" w:rsidRPr="005E3FFD">
        <w:rPr>
          <w:szCs w:val="16"/>
        </w:rPr>
        <w:t xml:space="preserve">Total Departmental Appropriations for </w:t>
      </w:r>
      <w:r w:rsidR="00BB22D1">
        <w:rPr>
          <w:szCs w:val="16"/>
        </w:rPr>
        <w:t>2010-11 is made up of</w:t>
      </w:r>
      <w:r w:rsidR="005D7746" w:rsidRPr="005E3FFD">
        <w:rPr>
          <w:szCs w:val="16"/>
        </w:rPr>
        <w:t>: D</w:t>
      </w:r>
      <w:r w:rsidR="00B96684">
        <w:rPr>
          <w:szCs w:val="16"/>
        </w:rPr>
        <w:t xml:space="preserve">HS </w:t>
      </w:r>
      <w:r w:rsidR="005E3FFD" w:rsidRPr="005E3FFD">
        <w:rPr>
          <w:szCs w:val="16"/>
        </w:rPr>
        <w:t>$</w:t>
      </w:r>
      <w:r w:rsidR="00FA6391">
        <w:rPr>
          <w:szCs w:val="16"/>
        </w:rPr>
        <w:t>987</w:t>
      </w:r>
      <w:r w:rsidR="00BB22D1">
        <w:rPr>
          <w:szCs w:val="16"/>
        </w:rPr>
        <w:t>.</w:t>
      </w:r>
      <w:r w:rsidR="008254DE">
        <w:rPr>
          <w:szCs w:val="16"/>
        </w:rPr>
        <w:t>007</w:t>
      </w:r>
      <w:r w:rsidR="00BB22D1">
        <w:rPr>
          <w:szCs w:val="16"/>
        </w:rPr>
        <w:t>m</w:t>
      </w:r>
      <w:r w:rsidR="00FA6391">
        <w:rPr>
          <w:szCs w:val="16"/>
        </w:rPr>
        <w:t>,</w:t>
      </w:r>
      <w:r w:rsidR="005D7746" w:rsidRPr="005E3FFD">
        <w:rPr>
          <w:szCs w:val="16"/>
        </w:rPr>
        <w:t xml:space="preserve"> Centrelink </w:t>
      </w:r>
      <w:r w:rsidR="005F29A2" w:rsidRPr="005E3FFD">
        <w:rPr>
          <w:szCs w:val="16"/>
        </w:rPr>
        <w:t>$3,244</w:t>
      </w:r>
      <w:r w:rsidR="00BB22D1">
        <w:rPr>
          <w:szCs w:val="16"/>
        </w:rPr>
        <w:t>.</w:t>
      </w:r>
      <w:r w:rsidR="005F29A2" w:rsidRPr="005E3FFD">
        <w:rPr>
          <w:szCs w:val="16"/>
        </w:rPr>
        <w:t>185</w:t>
      </w:r>
      <w:r w:rsidR="00BB22D1">
        <w:rPr>
          <w:szCs w:val="16"/>
        </w:rPr>
        <w:t>m</w:t>
      </w:r>
      <w:r w:rsidR="00835EA6">
        <w:rPr>
          <w:szCs w:val="16"/>
        </w:rPr>
        <w:t xml:space="preserve"> </w:t>
      </w:r>
      <w:r w:rsidR="005D7746" w:rsidRPr="005E3FFD">
        <w:rPr>
          <w:szCs w:val="16"/>
        </w:rPr>
        <w:t xml:space="preserve">and Medicare Australia </w:t>
      </w:r>
      <w:r w:rsidR="005F29A2" w:rsidRPr="005E3FFD">
        <w:rPr>
          <w:szCs w:val="16"/>
        </w:rPr>
        <w:t>$9</w:t>
      </w:r>
      <w:r w:rsidR="00FA6391">
        <w:rPr>
          <w:szCs w:val="16"/>
        </w:rPr>
        <w:t>2</w:t>
      </w:r>
      <w:r w:rsidR="005F29A2" w:rsidRPr="005E3FFD">
        <w:rPr>
          <w:szCs w:val="16"/>
        </w:rPr>
        <w:t>8</w:t>
      </w:r>
      <w:r w:rsidR="00BB22D1">
        <w:rPr>
          <w:szCs w:val="16"/>
        </w:rPr>
        <w:t>.</w:t>
      </w:r>
      <w:r w:rsidR="00FA6391">
        <w:rPr>
          <w:szCs w:val="16"/>
        </w:rPr>
        <w:t>21</w:t>
      </w:r>
      <w:r w:rsidR="006545C3">
        <w:rPr>
          <w:szCs w:val="16"/>
        </w:rPr>
        <w:t>8</w:t>
      </w:r>
      <w:r w:rsidR="00BB22D1">
        <w:rPr>
          <w:szCs w:val="16"/>
        </w:rPr>
        <w:t>m</w:t>
      </w:r>
      <w:r w:rsidR="005D7746" w:rsidRPr="005E3FFD">
        <w:rPr>
          <w:szCs w:val="16"/>
        </w:rPr>
        <w:t>.</w:t>
      </w:r>
    </w:p>
    <w:p w:rsidR="005D7746" w:rsidRPr="005F29A2" w:rsidRDefault="00586EC0" w:rsidP="005D7746">
      <w:pPr>
        <w:pStyle w:val="ChartandTableFootnote"/>
      </w:pPr>
      <w:r>
        <w:rPr>
          <w:szCs w:val="16"/>
        </w:rPr>
        <w:t>9</w:t>
      </w:r>
      <w:r w:rsidR="005D7746" w:rsidRPr="005F29A2">
        <w:rPr>
          <w:szCs w:val="16"/>
        </w:rPr>
        <w:tab/>
        <w:t>Total Administered exp</w:t>
      </w:r>
      <w:r w:rsidR="00BB22D1">
        <w:rPr>
          <w:szCs w:val="16"/>
        </w:rPr>
        <w:t>enses for 2010-11 is made up of</w:t>
      </w:r>
      <w:r w:rsidR="00FE5E95">
        <w:rPr>
          <w:szCs w:val="16"/>
        </w:rPr>
        <w:t>:</w:t>
      </w:r>
      <w:r w:rsidR="00B96684">
        <w:rPr>
          <w:szCs w:val="16"/>
        </w:rPr>
        <w:t xml:space="preserve"> DHS </w:t>
      </w:r>
      <w:r w:rsidR="005F29A2" w:rsidRPr="005F29A2">
        <w:rPr>
          <w:szCs w:val="16"/>
        </w:rPr>
        <w:t>$6</w:t>
      </w:r>
      <w:r w:rsidR="00BB22D1">
        <w:rPr>
          <w:szCs w:val="16"/>
        </w:rPr>
        <w:t>.</w:t>
      </w:r>
      <w:r w:rsidR="005F29A2" w:rsidRPr="005F29A2">
        <w:rPr>
          <w:szCs w:val="16"/>
        </w:rPr>
        <w:t>336</w:t>
      </w:r>
      <w:r w:rsidR="00BB22D1">
        <w:rPr>
          <w:szCs w:val="16"/>
        </w:rPr>
        <w:t>m</w:t>
      </w:r>
      <w:r w:rsidR="000232EB">
        <w:rPr>
          <w:szCs w:val="16"/>
        </w:rPr>
        <w:t>.</w:t>
      </w:r>
    </w:p>
    <w:p w:rsidR="005D7746" w:rsidRPr="005F29A2" w:rsidRDefault="005D7746" w:rsidP="005D7746">
      <w:pPr>
        <w:pStyle w:val="ChartandTableFootnote"/>
        <w:rPr>
          <w:szCs w:val="16"/>
        </w:rPr>
      </w:pPr>
      <w:r w:rsidRPr="005F29A2">
        <w:t>1</w:t>
      </w:r>
      <w:r w:rsidR="00586EC0">
        <w:t>0</w:t>
      </w:r>
      <w:r w:rsidRPr="005F29A2">
        <w:tab/>
      </w:r>
      <w:r w:rsidRPr="005F29A2">
        <w:rPr>
          <w:szCs w:val="16"/>
        </w:rPr>
        <w:t>Total Departmental non-oper</w:t>
      </w:r>
      <w:r w:rsidR="00BB22D1">
        <w:rPr>
          <w:szCs w:val="16"/>
        </w:rPr>
        <w:t>ating for 2010-11 is made up of</w:t>
      </w:r>
      <w:r w:rsidRPr="005F29A2">
        <w:rPr>
          <w:szCs w:val="16"/>
        </w:rPr>
        <w:t xml:space="preserve">: </w:t>
      </w:r>
      <w:r w:rsidR="00B96684">
        <w:rPr>
          <w:szCs w:val="16"/>
        </w:rPr>
        <w:t xml:space="preserve">DHS $0.734m, </w:t>
      </w:r>
      <w:r w:rsidR="005F29A2" w:rsidRPr="005F29A2">
        <w:rPr>
          <w:szCs w:val="16"/>
        </w:rPr>
        <w:t>C</w:t>
      </w:r>
      <w:r w:rsidRPr="005F29A2">
        <w:rPr>
          <w:szCs w:val="16"/>
        </w:rPr>
        <w:t xml:space="preserve">entrelink </w:t>
      </w:r>
      <w:r w:rsidR="005F29A2" w:rsidRPr="005F29A2">
        <w:rPr>
          <w:szCs w:val="16"/>
        </w:rPr>
        <w:t>$6</w:t>
      </w:r>
      <w:r w:rsidR="006545C3">
        <w:rPr>
          <w:szCs w:val="16"/>
        </w:rPr>
        <w:t>1.1</w:t>
      </w:r>
      <w:r w:rsidR="00B96684">
        <w:rPr>
          <w:szCs w:val="16"/>
        </w:rPr>
        <w:t>9</w:t>
      </w:r>
      <w:r w:rsidR="005F29A2" w:rsidRPr="005F29A2">
        <w:rPr>
          <w:szCs w:val="16"/>
        </w:rPr>
        <w:t>0</w:t>
      </w:r>
      <w:r w:rsidR="00BB22D1">
        <w:rPr>
          <w:szCs w:val="16"/>
        </w:rPr>
        <w:t>m</w:t>
      </w:r>
      <w:r w:rsidRPr="005F29A2">
        <w:rPr>
          <w:szCs w:val="16"/>
        </w:rPr>
        <w:t xml:space="preserve"> and Medicare Australia</w:t>
      </w:r>
      <w:r w:rsidR="005F29A2" w:rsidRPr="005F29A2">
        <w:t xml:space="preserve"> $</w:t>
      </w:r>
      <w:r w:rsidR="00B96684">
        <w:t>48.098</w:t>
      </w:r>
      <w:r w:rsidR="00BB22D1">
        <w:rPr>
          <w:szCs w:val="16"/>
        </w:rPr>
        <w:t>m</w:t>
      </w:r>
      <w:r w:rsidRPr="005F29A2">
        <w:rPr>
          <w:szCs w:val="16"/>
        </w:rPr>
        <w:t xml:space="preserve">. </w:t>
      </w:r>
    </w:p>
    <w:p w:rsidR="005D7746" w:rsidRPr="00FE5E95" w:rsidRDefault="00586EC0" w:rsidP="005D7746">
      <w:pPr>
        <w:pStyle w:val="ChartandTableFootnote"/>
        <w:rPr>
          <w:szCs w:val="16"/>
        </w:rPr>
      </w:pPr>
      <w:r>
        <w:rPr>
          <w:szCs w:val="16"/>
        </w:rPr>
        <w:t>11</w:t>
      </w:r>
      <w:r w:rsidR="00723DE2">
        <w:rPr>
          <w:szCs w:val="16"/>
        </w:rPr>
        <w:tab/>
        <w:t>Total s</w:t>
      </w:r>
      <w:r w:rsidR="005D7746" w:rsidRPr="00FE5E95">
        <w:rPr>
          <w:szCs w:val="16"/>
        </w:rPr>
        <w:t>pecial appropriations for 201</w:t>
      </w:r>
      <w:r w:rsidR="00FE5E95" w:rsidRPr="00FE5E95">
        <w:rPr>
          <w:szCs w:val="16"/>
        </w:rPr>
        <w:t xml:space="preserve">0-11 is made up of: </w:t>
      </w:r>
      <w:r w:rsidR="005D7746" w:rsidRPr="00FE5E95">
        <w:rPr>
          <w:szCs w:val="16"/>
        </w:rPr>
        <w:t xml:space="preserve">DHS </w:t>
      </w:r>
      <w:r w:rsidR="005F29A2" w:rsidRPr="00FE5E95">
        <w:rPr>
          <w:szCs w:val="16"/>
        </w:rPr>
        <w:t>$74</w:t>
      </w:r>
      <w:r w:rsidR="00BB22D1">
        <w:rPr>
          <w:szCs w:val="16"/>
        </w:rPr>
        <w:t>.</w:t>
      </w:r>
      <w:r w:rsidR="005F29A2" w:rsidRPr="00FE5E95">
        <w:rPr>
          <w:szCs w:val="16"/>
        </w:rPr>
        <w:t>758</w:t>
      </w:r>
      <w:r w:rsidR="00BB22D1">
        <w:rPr>
          <w:szCs w:val="16"/>
        </w:rPr>
        <w:t>m.</w:t>
      </w:r>
    </w:p>
    <w:p w:rsidR="005D7746" w:rsidRPr="000D4D72" w:rsidRDefault="00586EC0" w:rsidP="005D7746">
      <w:pPr>
        <w:pStyle w:val="ChartandTableFootnote"/>
        <w:rPr>
          <w:szCs w:val="16"/>
        </w:rPr>
      </w:pPr>
      <w:r>
        <w:rPr>
          <w:szCs w:val="16"/>
        </w:rPr>
        <w:t>12</w:t>
      </w:r>
      <w:r w:rsidR="005D7746" w:rsidRPr="000D4D72">
        <w:rPr>
          <w:szCs w:val="16"/>
        </w:rPr>
        <w:tab/>
        <w:t xml:space="preserve">Total special accounts for 2010-11 is made up of: DHS </w:t>
      </w:r>
      <w:r w:rsidR="000D4D72" w:rsidRPr="000D4D72">
        <w:rPr>
          <w:szCs w:val="16"/>
        </w:rPr>
        <w:t>$1,278</w:t>
      </w:r>
      <w:r w:rsidR="00BB22D1">
        <w:rPr>
          <w:szCs w:val="16"/>
        </w:rPr>
        <w:t>.</w:t>
      </w:r>
      <w:r w:rsidR="00B96684">
        <w:rPr>
          <w:szCs w:val="16"/>
        </w:rPr>
        <w:t>3</w:t>
      </w:r>
      <w:r w:rsidR="000D4D72" w:rsidRPr="000D4D72">
        <w:rPr>
          <w:szCs w:val="16"/>
        </w:rPr>
        <w:t>13</w:t>
      </w:r>
      <w:r w:rsidR="00BB22D1">
        <w:rPr>
          <w:szCs w:val="16"/>
        </w:rPr>
        <w:t>m.</w:t>
      </w:r>
    </w:p>
    <w:p w:rsidR="006B6F55" w:rsidRPr="005E3FFD" w:rsidRDefault="00586EC0" w:rsidP="006B6F55">
      <w:pPr>
        <w:pStyle w:val="ChartandTableFootnote"/>
        <w:rPr>
          <w:szCs w:val="16"/>
        </w:rPr>
      </w:pPr>
      <w:r>
        <w:rPr>
          <w:szCs w:val="16"/>
        </w:rPr>
        <w:t>13</w:t>
      </w:r>
      <w:r w:rsidR="006B6F55" w:rsidRPr="005E3FFD">
        <w:rPr>
          <w:szCs w:val="16"/>
        </w:rPr>
        <w:t xml:space="preserve"> Total net resourcing for 2010-11 is made up of: DHS </w:t>
      </w:r>
      <w:r w:rsidR="005E3FFD" w:rsidRPr="005E3FFD">
        <w:rPr>
          <w:szCs w:val="16"/>
        </w:rPr>
        <w:t>$</w:t>
      </w:r>
      <w:r w:rsidR="00835EA6">
        <w:rPr>
          <w:szCs w:val="16"/>
        </w:rPr>
        <w:t>2,</w:t>
      </w:r>
      <w:r w:rsidR="00FA6391">
        <w:rPr>
          <w:szCs w:val="16"/>
        </w:rPr>
        <w:t>2</w:t>
      </w:r>
      <w:r w:rsidR="00835EA6">
        <w:rPr>
          <w:szCs w:val="16"/>
        </w:rPr>
        <w:t>7</w:t>
      </w:r>
      <w:r w:rsidR="006545C3">
        <w:rPr>
          <w:szCs w:val="16"/>
        </w:rPr>
        <w:t>1</w:t>
      </w:r>
      <w:r w:rsidR="00BB22D1">
        <w:rPr>
          <w:szCs w:val="16"/>
        </w:rPr>
        <w:t>.</w:t>
      </w:r>
      <w:r w:rsidR="006545C3">
        <w:rPr>
          <w:szCs w:val="16"/>
        </w:rPr>
        <w:t>0</w:t>
      </w:r>
      <w:r w:rsidR="00E14434">
        <w:rPr>
          <w:szCs w:val="16"/>
        </w:rPr>
        <w:t>7</w:t>
      </w:r>
      <w:r w:rsidR="006545C3">
        <w:rPr>
          <w:szCs w:val="16"/>
        </w:rPr>
        <w:t>5</w:t>
      </w:r>
      <w:r w:rsidR="00BB22D1">
        <w:rPr>
          <w:szCs w:val="16"/>
        </w:rPr>
        <w:t>m</w:t>
      </w:r>
      <w:r w:rsidR="00835EA6">
        <w:rPr>
          <w:szCs w:val="16"/>
        </w:rPr>
        <w:t>;</w:t>
      </w:r>
      <w:r w:rsidR="006B6F55" w:rsidRPr="005E3FFD">
        <w:rPr>
          <w:szCs w:val="16"/>
        </w:rPr>
        <w:t xml:space="preserve"> Centrelink </w:t>
      </w:r>
      <w:r w:rsidR="005E3FFD" w:rsidRPr="005E3FFD">
        <w:rPr>
          <w:szCs w:val="16"/>
        </w:rPr>
        <w:t>$3,</w:t>
      </w:r>
      <w:r w:rsidR="006545C3">
        <w:rPr>
          <w:szCs w:val="16"/>
        </w:rPr>
        <w:t>305</w:t>
      </w:r>
      <w:r w:rsidR="00B96684">
        <w:rPr>
          <w:szCs w:val="16"/>
        </w:rPr>
        <w:t>.</w:t>
      </w:r>
      <w:r w:rsidR="006545C3">
        <w:rPr>
          <w:szCs w:val="16"/>
        </w:rPr>
        <w:t>375</w:t>
      </w:r>
      <w:r w:rsidR="00BB22D1">
        <w:rPr>
          <w:szCs w:val="16"/>
        </w:rPr>
        <w:t>m</w:t>
      </w:r>
      <w:r w:rsidR="006B6F55" w:rsidRPr="005E3FFD">
        <w:rPr>
          <w:szCs w:val="16"/>
        </w:rPr>
        <w:t xml:space="preserve"> and Medicare Australia </w:t>
      </w:r>
      <w:r w:rsidR="002001B7">
        <w:rPr>
          <w:szCs w:val="16"/>
        </w:rPr>
        <w:t>$9</w:t>
      </w:r>
      <w:r w:rsidR="006545C3">
        <w:rPr>
          <w:szCs w:val="16"/>
        </w:rPr>
        <w:t>76.316</w:t>
      </w:r>
      <w:r w:rsidR="00BB22D1">
        <w:rPr>
          <w:szCs w:val="16"/>
        </w:rPr>
        <w:t>m</w:t>
      </w:r>
      <w:r w:rsidR="006B6F55" w:rsidRPr="005E3FFD">
        <w:rPr>
          <w:szCs w:val="16"/>
        </w:rPr>
        <w:t>.</w:t>
      </w:r>
    </w:p>
    <w:p w:rsidR="00340FD7" w:rsidRPr="00AE3EEA" w:rsidRDefault="00340FD7" w:rsidP="003A3E20">
      <w:pPr>
        <w:pStyle w:val="ChartandTableFootnote"/>
        <w:rPr>
          <w:szCs w:val="16"/>
        </w:rPr>
      </w:pPr>
      <w:r w:rsidRPr="00AE3EEA">
        <w:rPr>
          <w:szCs w:val="16"/>
        </w:rPr>
        <w:t>Reader note: All figures are GST exclusive.</w:t>
      </w:r>
    </w:p>
    <w:p w:rsidR="00DA349B" w:rsidRDefault="00DA349B">
      <w:pPr>
        <w:spacing w:after="0" w:line="240" w:lineRule="auto"/>
        <w:jc w:val="left"/>
      </w:pPr>
      <w:r>
        <w:br w:type="page"/>
      </w:r>
    </w:p>
    <w:p w:rsidR="00340FD7" w:rsidRPr="000A5C86" w:rsidRDefault="00340FD7" w:rsidP="003A3E20">
      <w:pPr>
        <w:pStyle w:val="NoSpacing"/>
      </w:pPr>
    </w:p>
    <w:p w:rsidR="00340FD7" w:rsidRDefault="00340FD7" w:rsidP="003A3E20">
      <w:pPr>
        <w:pStyle w:val="TableHeading"/>
        <w:jc w:val="both"/>
      </w:pPr>
      <w:r>
        <w:t>Third party payments from and on behalf of other agencies</w:t>
      </w:r>
    </w:p>
    <w:tbl>
      <w:tblPr>
        <w:tblW w:w="7967" w:type="dxa"/>
        <w:tblInd w:w="78" w:type="dxa"/>
        <w:tblLayout w:type="fixed"/>
        <w:tblLook w:val="0000" w:firstRow="0" w:lastRow="0" w:firstColumn="0" w:lastColumn="0" w:noHBand="0" w:noVBand="0"/>
      </w:tblPr>
      <w:tblGrid>
        <w:gridCol w:w="5571"/>
        <w:gridCol w:w="1073"/>
        <w:gridCol w:w="236"/>
        <w:gridCol w:w="1087"/>
      </w:tblGrid>
      <w:tr w:rsidR="002F6001" w:rsidTr="007A102A">
        <w:tc>
          <w:tcPr>
            <w:tcW w:w="5571" w:type="dxa"/>
            <w:tcBorders>
              <w:top w:val="single" w:sz="2" w:space="0" w:color="auto"/>
              <w:left w:val="nil"/>
              <w:bottom w:val="nil"/>
              <w:right w:val="nil"/>
            </w:tcBorders>
            <w:vAlign w:val="bottom"/>
          </w:tcPr>
          <w:p w:rsidR="002F6001" w:rsidRDefault="002F6001" w:rsidP="002F6001">
            <w:pPr>
              <w:autoSpaceDE w:val="0"/>
              <w:autoSpaceDN w:val="0"/>
              <w:adjustRightInd w:val="0"/>
              <w:spacing w:after="0" w:line="240" w:lineRule="auto"/>
              <w:jc w:val="left"/>
              <w:rPr>
                <w:rFonts w:ascii="Arial" w:hAnsi="Arial" w:cs="Arial"/>
                <w:color w:val="000000"/>
                <w:sz w:val="15"/>
                <w:szCs w:val="15"/>
                <w:vertAlign w:val="superscript"/>
              </w:rPr>
            </w:pPr>
          </w:p>
        </w:tc>
        <w:tc>
          <w:tcPr>
            <w:tcW w:w="1073" w:type="dxa"/>
            <w:tcBorders>
              <w:top w:val="single" w:sz="2" w:space="0" w:color="auto"/>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236" w:type="dxa"/>
            <w:tcBorders>
              <w:top w:val="single" w:sz="2" w:space="0" w:color="auto"/>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single" w:sz="2" w:space="0" w:color="auto"/>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2010-11</w:t>
            </w:r>
          </w:p>
        </w:tc>
      </w:tr>
      <w:tr w:rsidR="002F6001" w:rsidTr="007A102A">
        <w:tc>
          <w:tcPr>
            <w:tcW w:w="5571"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left"/>
              <w:rPr>
                <w:rFonts w:ascii="Arial" w:hAnsi="Arial" w:cs="Arial"/>
                <w:color w:val="000000"/>
                <w:sz w:val="15"/>
                <w:szCs w:val="15"/>
                <w:vertAlign w:val="superscript"/>
              </w:rPr>
            </w:pPr>
          </w:p>
        </w:tc>
        <w:tc>
          <w:tcPr>
            <w:tcW w:w="1073" w:type="dxa"/>
            <w:tcBorders>
              <w:top w:val="nil"/>
              <w:left w:val="nil"/>
              <w:bottom w:val="single" w:sz="2" w:space="0" w:color="auto"/>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single" w:sz="2" w:space="0" w:color="auto"/>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single" w:sz="2" w:space="0" w:color="auto"/>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b/>
                <w:bCs/>
                <w:color w:val="000000"/>
                <w:sz w:val="15"/>
                <w:szCs w:val="15"/>
              </w:rPr>
              <w:t>Payments made on behalf of other agencies</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(disclosed in the respective Agency Resource Statement)</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r>
      <w:tr w:rsidR="002F6001" w:rsidTr="007A102A">
        <w:tc>
          <w:tcPr>
            <w:tcW w:w="5571" w:type="dxa"/>
            <w:tcBorders>
              <w:top w:val="nil"/>
              <w:left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Families, Housing, Community Services</w:t>
            </w:r>
          </w:p>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b/>
                <w:bCs/>
                <w:color w:val="000000"/>
                <w:sz w:val="15"/>
                <w:szCs w:val="15"/>
              </w:rPr>
              <w:t>and Indigenous Affairs (FaHCSIA)</w:t>
            </w:r>
            <w:r>
              <w:rPr>
                <w:rFonts w:ascii="Arial" w:hAnsi="Arial" w:cs="Arial"/>
                <w:b/>
                <w:bCs/>
                <w:color w:val="000000"/>
                <w:sz w:val="15"/>
                <w:szCs w:val="15"/>
                <w:vertAlign w:val="superscript"/>
              </w:rPr>
              <w:t>14</w:t>
            </w:r>
            <w:r>
              <w:rPr>
                <w:rFonts w:ascii="Arial" w:hAnsi="Arial" w:cs="Arial"/>
                <w:b/>
                <w:bCs/>
                <w:color w:val="000000"/>
                <w:sz w:val="15"/>
                <w:szCs w:val="15"/>
              </w:rPr>
              <w:t xml:space="preserve"> </w:t>
            </w:r>
          </w:p>
        </w:tc>
        <w:tc>
          <w:tcPr>
            <w:tcW w:w="1073" w:type="dxa"/>
            <w:tcBorders>
              <w:top w:val="nil"/>
              <w:left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r>
      <w:tr w:rsidR="00102FA3" w:rsidTr="007A102A">
        <w:tc>
          <w:tcPr>
            <w:tcW w:w="5571" w:type="dxa"/>
            <w:tcBorders>
              <w:top w:val="nil"/>
              <w:left w:val="nil"/>
              <w:bottom w:val="nil"/>
              <w:right w:val="nil"/>
            </w:tcBorders>
            <w:vAlign w:val="bottom"/>
          </w:tcPr>
          <w:p w:rsidR="00102FA3" w:rsidRDefault="00102FA3" w:rsidP="007A102A">
            <w:pPr>
              <w:autoSpaceDE w:val="0"/>
              <w:autoSpaceDN w:val="0"/>
              <w:adjustRightInd w:val="0"/>
              <w:spacing w:before="60"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Appropriations - </w:t>
            </w:r>
            <w:r>
              <w:rPr>
                <w:rFonts w:ascii="Arial" w:hAnsi="Arial" w:cs="Arial"/>
                <w:i/>
                <w:iCs/>
                <w:color w:val="000000"/>
                <w:sz w:val="15"/>
                <w:szCs w:val="15"/>
              </w:rPr>
              <w:t>A New Tax System (Family Assistance) (Administration) Act 1999</w:t>
            </w:r>
          </w:p>
        </w:tc>
        <w:tc>
          <w:tcPr>
            <w:tcW w:w="1073"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19,027,340 </w:t>
            </w:r>
          </w:p>
        </w:tc>
        <w:tc>
          <w:tcPr>
            <w:tcW w:w="236"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19,143,416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54,104,668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50,922,915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Paid Parental Leave Act 2010</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1,394,521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349,243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Ex Gratia and Act of Grace Payments</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3,729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3,837 </w:t>
            </w:r>
          </w:p>
        </w:tc>
      </w:tr>
      <w:tr w:rsidR="002F6001" w:rsidTr="007A102A">
        <w:tc>
          <w:tcPr>
            <w:tcW w:w="5571" w:type="dxa"/>
            <w:tcBorders>
              <w:top w:val="nil"/>
              <w:left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b/>
                <w:bCs/>
                <w:color w:val="000000"/>
                <w:sz w:val="15"/>
                <w:szCs w:val="15"/>
              </w:rPr>
              <w:t xml:space="preserve">Department of Innovation, Industry, Science and Research </w:t>
            </w:r>
          </w:p>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b/>
                <w:bCs/>
                <w:color w:val="000000"/>
                <w:sz w:val="15"/>
                <w:szCs w:val="15"/>
              </w:rPr>
              <w:t>(DIISR)</w:t>
            </w:r>
            <w:r>
              <w:rPr>
                <w:rFonts w:ascii="Arial" w:hAnsi="Arial" w:cs="Arial"/>
                <w:b/>
                <w:bCs/>
                <w:color w:val="000000"/>
                <w:sz w:val="15"/>
                <w:szCs w:val="15"/>
                <w:vertAlign w:val="superscript"/>
              </w:rPr>
              <w:t xml:space="preserve">14 </w:t>
            </w:r>
          </w:p>
        </w:tc>
        <w:tc>
          <w:tcPr>
            <w:tcW w:w="1073" w:type="dxa"/>
            <w:tcBorders>
              <w:top w:val="nil"/>
              <w:left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LPG Vehicle Scheme</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33,175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43,000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b/>
                <w:bCs/>
                <w:color w:val="000000"/>
                <w:sz w:val="15"/>
                <w:szCs w:val="15"/>
              </w:rPr>
              <w:t>Australian Government Attorney-General's Department (AG)</w:t>
            </w:r>
            <w:r>
              <w:rPr>
                <w:rFonts w:ascii="Arial" w:hAnsi="Arial" w:cs="Arial"/>
                <w:b/>
                <w:bCs/>
                <w:color w:val="000000"/>
                <w:sz w:val="15"/>
                <w:szCs w:val="15"/>
                <w:vertAlign w:val="superscript"/>
              </w:rPr>
              <w:t>14</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r>
      <w:tr w:rsidR="00102FA3" w:rsidTr="007A102A">
        <w:tc>
          <w:tcPr>
            <w:tcW w:w="5571" w:type="dxa"/>
            <w:tcBorders>
              <w:top w:val="nil"/>
              <w:left w:val="nil"/>
              <w:bottom w:val="nil"/>
              <w:right w:val="nil"/>
            </w:tcBorders>
            <w:vAlign w:val="bottom"/>
          </w:tcPr>
          <w:p w:rsidR="00102FA3" w:rsidRDefault="00102FA3" w:rsidP="007A102A">
            <w:pPr>
              <w:autoSpaceDE w:val="0"/>
              <w:autoSpaceDN w:val="0"/>
              <w:adjustRightInd w:val="0"/>
              <w:spacing w:before="60"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National Security and Criminal Justice - </w:t>
            </w:r>
            <w:r>
              <w:rPr>
                <w:rFonts w:ascii="Arial" w:hAnsi="Arial" w:cs="Arial"/>
                <w:i/>
                <w:iCs/>
                <w:color w:val="000000"/>
                <w:sz w:val="15"/>
                <w:szCs w:val="15"/>
              </w:rPr>
              <w:t>Social Security Act 1999</w:t>
            </w:r>
          </w:p>
        </w:tc>
        <w:tc>
          <w:tcPr>
            <w:tcW w:w="1073"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55,500 </w:t>
            </w:r>
          </w:p>
        </w:tc>
        <w:tc>
          <w:tcPr>
            <w:tcW w:w="236"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910,981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Disaster Income Recovery Subsidy</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120,750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Queensland Premier Disaster Relief</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90,000 </w:t>
            </w:r>
          </w:p>
        </w:tc>
      </w:tr>
      <w:tr w:rsidR="002F6001" w:rsidTr="007A102A">
        <w:tc>
          <w:tcPr>
            <w:tcW w:w="5571" w:type="dxa"/>
            <w:tcBorders>
              <w:top w:val="nil"/>
              <w:left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Sustainability, Environment, Water, Population</w:t>
            </w:r>
          </w:p>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b/>
                <w:bCs/>
                <w:color w:val="000000"/>
                <w:sz w:val="15"/>
                <w:szCs w:val="15"/>
              </w:rPr>
              <w:t>and Communities (DSEWPAC)</w:t>
            </w:r>
            <w:r>
              <w:rPr>
                <w:rFonts w:ascii="Arial" w:hAnsi="Arial" w:cs="Arial"/>
                <w:b/>
                <w:bCs/>
                <w:color w:val="000000"/>
                <w:sz w:val="15"/>
                <w:szCs w:val="15"/>
                <w:vertAlign w:val="superscript"/>
              </w:rPr>
              <w:t>14</w:t>
            </w:r>
          </w:p>
        </w:tc>
        <w:tc>
          <w:tcPr>
            <w:tcW w:w="1073" w:type="dxa"/>
            <w:tcBorders>
              <w:top w:val="nil"/>
              <w:left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Sustainable Rural Water Use and Infrastructure</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881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Infrastructure and Transport (DIT)</w:t>
            </w:r>
            <w:r>
              <w:rPr>
                <w:rFonts w:ascii="Arial" w:hAnsi="Arial" w:cs="Arial"/>
                <w:b/>
                <w:bCs/>
                <w:color w:val="000000"/>
                <w:sz w:val="15"/>
                <w:szCs w:val="15"/>
                <w:vertAlign w:val="superscript"/>
              </w:rPr>
              <w:t>14</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r>
      <w:tr w:rsidR="00102FA3" w:rsidTr="007A102A">
        <w:tc>
          <w:tcPr>
            <w:tcW w:w="5571" w:type="dxa"/>
            <w:tcBorders>
              <w:top w:val="nil"/>
              <w:left w:val="nil"/>
              <w:bottom w:val="nil"/>
              <w:right w:val="nil"/>
            </w:tcBorders>
            <w:vAlign w:val="bottom"/>
          </w:tcPr>
          <w:p w:rsidR="00102FA3" w:rsidRDefault="00102FA3"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xml:space="preserve">Annual Appropriation - Bass Strait Passenger Vehicle Equalisation Scheme </w:t>
            </w:r>
          </w:p>
        </w:tc>
        <w:tc>
          <w:tcPr>
            <w:tcW w:w="1073"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41,200 </w:t>
            </w:r>
          </w:p>
        </w:tc>
        <w:tc>
          <w:tcPr>
            <w:tcW w:w="236"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40,000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Tasmanian Freight Equalisation Scheme</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114,400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110,000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Tasmanian Wheat Freight Scheme</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1,050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2F6001" w:rsidTr="007A102A">
        <w:tc>
          <w:tcPr>
            <w:tcW w:w="5571" w:type="dxa"/>
            <w:tcBorders>
              <w:top w:val="nil"/>
              <w:left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Education, Employment and Workplace Relations</w:t>
            </w:r>
          </w:p>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b/>
                <w:bCs/>
                <w:color w:val="000000"/>
                <w:sz w:val="15"/>
                <w:szCs w:val="15"/>
              </w:rPr>
              <w:t>(DEEWR)</w:t>
            </w:r>
            <w:r>
              <w:rPr>
                <w:rFonts w:ascii="Arial" w:hAnsi="Arial" w:cs="Arial"/>
                <w:b/>
                <w:bCs/>
                <w:color w:val="000000"/>
                <w:sz w:val="15"/>
                <w:szCs w:val="15"/>
                <w:vertAlign w:val="superscript"/>
              </w:rPr>
              <w:t>14</w:t>
            </w:r>
          </w:p>
        </w:tc>
        <w:tc>
          <w:tcPr>
            <w:tcW w:w="1073" w:type="dxa"/>
            <w:tcBorders>
              <w:top w:val="nil"/>
              <w:left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r>
      <w:tr w:rsidR="00102FA3" w:rsidTr="007A102A">
        <w:tc>
          <w:tcPr>
            <w:tcW w:w="5571" w:type="dxa"/>
            <w:tcBorders>
              <w:top w:val="nil"/>
              <w:left w:val="nil"/>
              <w:bottom w:val="nil"/>
              <w:right w:val="nil"/>
            </w:tcBorders>
            <w:vAlign w:val="bottom"/>
          </w:tcPr>
          <w:p w:rsidR="00102FA3" w:rsidRDefault="00102FA3"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A New Tax System </w:t>
            </w:r>
            <w:r>
              <w:rPr>
                <w:rFonts w:ascii="Arial" w:hAnsi="Arial" w:cs="Arial"/>
                <w:i/>
                <w:iCs/>
                <w:color w:val="000000"/>
                <w:sz w:val="15"/>
                <w:szCs w:val="15"/>
              </w:rPr>
              <w:t xml:space="preserve">(Family Assistance) (Administration) </w:t>
            </w:r>
            <w:r>
              <w:rPr>
                <w:rFonts w:ascii="Arial" w:hAnsi="Arial" w:cs="Arial"/>
                <w:color w:val="000000"/>
                <w:sz w:val="15"/>
                <w:szCs w:val="15"/>
              </w:rPr>
              <w:t>Act 1999</w:t>
            </w:r>
            <w:r>
              <w:rPr>
                <w:rFonts w:ascii="Arial" w:hAnsi="Arial" w:cs="Arial"/>
                <w:color w:val="000000"/>
                <w:sz w:val="15"/>
                <w:szCs w:val="15"/>
                <w:vertAlign w:val="superscript"/>
              </w:rPr>
              <w:t xml:space="preserve">15 </w:t>
            </w:r>
          </w:p>
        </w:tc>
        <w:tc>
          <w:tcPr>
            <w:tcW w:w="1073"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3,778,455 </w:t>
            </w:r>
          </w:p>
        </w:tc>
        <w:tc>
          <w:tcPr>
            <w:tcW w:w="236"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3,443,385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Social Security </w:t>
            </w:r>
            <w:r>
              <w:rPr>
                <w:rFonts w:ascii="Arial" w:hAnsi="Arial" w:cs="Arial"/>
                <w:i/>
                <w:iCs/>
                <w:color w:val="000000"/>
                <w:sz w:val="15"/>
                <w:szCs w:val="15"/>
              </w:rPr>
              <w:t>(Administration)</w:t>
            </w:r>
            <w:r>
              <w:rPr>
                <w:rFonts w:ascii="Arial" w:hAnsi="Arial" w:cs="Arial"/>
                <w:color w:val="000000"/>
                <w:sz w:val="15"/>
                <w:szCs w:val="15"/>
              </w:rPr>
              <w:t xml:space="preserve"> Act 1999</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13,551,226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13,586,356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Act 1991</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2,858,396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3,089,962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Student Assistance Act 1973</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272,061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269,428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xml:space="preserve">Annual Appropriation - Compensation and Debt Relief </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198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198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Annual Appropriation - Child Care For Eligible Parents Undergoing Training</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53,585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52,675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Agriculture, Fisheries and Forestry (DAFF)</w:t>
            </w:r>
            <w:r>
              <w:rPr>
                <w:rFonts w:ascii="Arial" w:hAnsi="Arial" w:cs="Arial"/>
                <w:b/>
                <w:bCs/>
                <w:color w:val="000000"/>
                <w:sz w:val="15"/>
                <w:szCs w:val="15"/>
                <w:vertAlign w:val="superscript"/>
              </w:rPr>
              <w:t>14</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r>
      <w:tr w:rsidR="00102FA3" w:rsidTr="007A102A">
        <w:tc>
          <w:tcPr>
            <w:tcW w:w="5571" w:type="dxa"/>
            <w:tcBorders>
              <w:top w:val="nil"/>
              <w:left w:val="nil"/>
              <w:bottom w:val="nil"/>
              <w:right w:val="nil"/>
            </w:tcBorders>
            <w:vAlign w:val="bottom"/>
          </w:tcPr>
          <w:p w:rsidR="00102FA3" w:rsidRDefault="00102FA3" w:rsidP="007A102A">
            <w:pPr>
              <w:autoSpaceDE w:val="0"/>
              <w:autoSpaceDN w:val="0"/>
              <w:adjustRightInd w:val="0"/>
              <w:spacing w:before="60"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Farm Household Support Act 1992</w:t>
            </w:r>
            <w:r>
              <w:rPr>
                <w:rFonts w:ascii="Arial" w:hAnsi="Arial" w:cs="Arial"/>
                <w:color w:val="000000"/>
                <w:sz w:val="15"/>
                <w:szCs w:val="15"/>
              </w:rPr>
              <w:t xml:space="preserve"> </w:t>
            </w:r>
            <w:r>
              <w:rPr>
                <w:rFonts w:ascii="Arial" w:hAnsi="Arial" w:cs="Arial"/>
                <w:i/>
                <w:iCs/>
                <w:color w:val="000000"/>
                <w:sz w:val="15"/>
                <w:szCs w:val="15"/>
              </w:rPr>
              <w:t>(Exceptional Circumstances Relief Payment)</w:t>
            </w:r>
          </w:p>
        </w:tc>
        <w:tc>
          <w:tcPr>
            <w:tcW w:w="1073"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8,379 </w:t>
            </w:r>
          </w:p>
        </w:tc>
        <w:tc>
          <w:tcPr>
            <w:tcW w:w="236"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152,035 </w:t>
            </w:r>
          </w:p>
        </w:tc>
      </w:tr>
      <w:tr w:rsidR="00102FA3" w:rsidTr="007A102A">
        <w:tc>
          <w:tcPr>
            <w:tcW w:w="5571" w:type="dxa"/>
            <w:tcBorders>
              <w:top w:val="nil"/>
              <w:left w:val="nil"/>
              <w:bottom w:val="nil"/>
              <w:right w:val="nil"/>
            </w:tcBorders>
            <w:vAlign w:val="bottom"/>
          </w:tcPr>
          <w:p w:rsidR="00102FA3" w:rsidRDefault="00102FA3"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Annual Appropriation - Drought Assistance - Interim Income Support Payments</w:t>
            </w:r>
          </w:p>
        </w:tc>
        <w:tc>
          <w:tcPr>
            <w:tcW w:w="1073"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1,094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Annual Appropriation - Drought Assistance - Professional Advice</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15,500 </w:t>
            </w:r>
          </w:p>
        </w:tc>
      </w:tr>
      <w:tr w:rsidR="002F6001" w:rsidTr="007A102A">
        <w:tc>
          <w:tcPr>
            <w:tcW w:w="5571" w:type="dxa"/>
            <w:tcBorders>
              <w:top w:val="nil"/>
              <w:left w:val="nil"/>
              <w:bottom w:val="nil"/>
              <w:right w:val="nil"/>
            </w:tcBorders>
            <w:vAlign w:val="bottom"/>
          </w:tcPr>
          <w:p w:rsidR="002F6001" w:rsidRDefault="002F6001"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Annual Appropriation - Drought Assistance - Re-establishment Assistance</w:t>
            </w:r>
          </w:p>
        </w:tc>
        <w:tc>
          <w:tcPr>
            <w:tcW w:w="1073"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9,613 </w:t>
            </w:r>
          </w:p>
        </w:tc>
        <w:tc>
          <w:tcPr>
            <w:tcW w:w="236" w:type="dxa"/>
            <w:tcBorders>
              <w:top w:val="nil"/>
              <w:left w:val="nil"/>
              <w:bottom w:val="nil"/>
              <w:right w:val="nil"/>
            </w:tcBorders>
            <w:shd w:val="solid" w:color="E6E6E6" w:fill="auto"/>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2F6001" w:rsidRDefault="002F6001"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24,000 </w:t>
            </w:r>
          </w:p>
        </w:tc>
      </w:tr>
      <w:tr w:rsidR="00102FA3" w:rsidTr="007A102A">
        <w:tc>
          <w:tcPr>
            <w:tcW w:w="5571" w:type="dxa"/>
            <w:tcBorders>
              <w:top w:val="nil"/>
              <w:left w:val="nil"/>
              <w:bottom w:val="nil"/>
              <w:right w:val="nil"/>
            </w:tcBorders>
            <w:vAlign w:val="bottom"/>
          </w:tcPr>
          <w:p w:rsidR="00102FA3" w:rsidRDefault="00102FA3"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Annual Appropriation - Drought Policy Reform - Pilot of New Measures in Western Australia</w:t>
            </w:r>
          </w:p>
        </w:tc>
        <w:tc>
          <w:tcPr>
            <w:tcW w:w="1073"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12,757 </w:t>
            </w:r>
          </w:p>
        </w:tc>
        <w:tc>
          <w:tcPr>
            <w:tcW w:w="236"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2,863 </w:t>
            </w:r>
          </w:p>
        </w:tc>
      </w:tr>
      <w:tr w:rsidR="00102FA3" w:rsidTr="007A102A">
        <w:tc>
          <w:tcPr>
            <w:tcW w:w="5571" w:type="dxa"/>
            <w:tcBorders>
              <w:top w:val="nil"/>
              <w:left w:val="nil"/>
              <w:bottom w:val="nil"/>
              <w:right w:val="nil"/>
            </w:tcBorders>
            <w:vAlign w:val="bottom"/>
          </w:tcPr>
          <w:p w:rsidR="00102FA3" w:rsidRDefault="00102FA3"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Annual Appropriation - Tackling Climate Change - Australia's Farming Future - Climate Change Adjustment Program</w:t>
            </w:r>
          </w:p>
        </w:tc>
        <w:tc>
          <w:tcPr>
            <w:tcW w:w="1073"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16,414 </w:t>
            </w:r>
          </w:p>
        </w:tc>
        <w:tc>
          <w:tcPr>
            <w:tcW w:w="236" w:type="dxa"/>
            <w:tcBorders>
              <w:top w:val="nil"/>
              <w:left w:val="nil"/>
              <w:bottom w:val="nil"/>
              <w:right w:val="nil"/>
            </w:tcBorders>
            <w:shd w:val="solid" w:color="E6E6E6" w:fill="auto"/>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nil"/>
              <w:right w:val="nil"/>
            </w:tcBorders>
            <w:vAlign w:val="bottom"/>
          </w:tcPr>
          <w:p w:rsidR="00102FA3" w:rsidRDefault="00102FA3" w:rsidP="002F6001">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16,760 </w:t>
            </w:r>
          </w:p>
        </w:tc>
      </w:tr>
      <w:tr w:rsidR="007A102A" w:rsidTr="007A102A">
        <w:tc>
          <w:tcPr>
            <w:tcW w:w="5571" w:type="dxa"/>
            <w:tcBorders>
              <w:top w:val="nil"/>
              <w:left w:val="nil"/>
              <w:bottom w:val="single" w:sz="2" w:space="0" w:color="auto"/>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p>
        </w:tc>
        <w:tc>
          <w:tcPr>
            <w:tcW w:w="1073" w:type="dxa"/>
            <w:tcBorders>
              <w:top w:val="nil"/>
              <w:left w:val="nil"/>
              <w:bottom w:val="single" w:sz="2" w:space="0" w:color="auto"/>
              <w:right w:val="nil"/>
            </w:tcBorders>
            <w:shd w:val="solid" w:color="E6E6E6" w:fill="auto"/>
            <w:vAlign w:val="bottom"/>
          </w:tcPr>
          <w:p w:rsidR="007A102A" w:rsidRDefault="007A102A" w:rsidP="002F6001">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single" w:sz="2" w:space="0" w:color="auto"/>
              <w:right w:val="nil"/>
            </w:tcBorders>
            <w:shd w:val="solid" w:color="E6E6E6" w:fill="auto"/>
            <w:vAlign w:val="bottom"/>
          </w:tcPr>
          <w:p w:rsidR="007A102A" w:rsidRDefault="007A102A" w:rsidP="002F6001">
            <w:pPr>
              <w:autoSpaceDE w:val="0"/>
              <w:autoSpaceDN w:val="0"/>
              <w:adjustRightInd w:val="0"/>
              <w:spacing w:after="0" w:line="240" w:lineRule="auto"/>
              <w:jc w:val="right"/>
              <w:rPr>
                <w:rFonts w:ascii="Arial" w:hAnsi="Arial" w:cs="Arial"/>
                <w:color w:val="000000"/>
                <w:sz w:val="15"/>
                <w:szCs w:val="15"/>
              </w:rPr>
            </w:pPr>
          </w:p>
        </w:tc>
        <w:tc>
          <w:tcPr>
            <w:tcW w:w="1087" w:type="dxa"/>
            <w:tcBorders>
              <w:top w:val="nil"/>
              <w:left w:val="nil"/>
              <w:bottom w:val="single" w:sz="2" w:space="0" w:color="auto"/>
              <w:right w:val="nil"/>
            </w:tcBorders>
            <w:vAlign w:val="bottom"/>
          </w:tcPr>
          <w:p w:rsidR="007A102A" w:rsidRDefault="007A102A" w:rsidP="002F6001">
            <w:pPr>
              <w:autoSpaceDE w:val="0"/>
              <w:autoSpaceDN w:val="0"/>
              <w:adjustRightInd w:val="0"/>
              <w:spacing w:after="0" w:line="240" w:lineRule="auto"/>
              <w:jc w:val="right"/>
              <w:rPr>
                <w:rFonts w:ascii="Arial" w:hAnsi="Arial" w:cs="Arial"/>
                <w:color w:val="000000"/>
                <w:sz w:val="15"/>
                <w:szCs w:val="15"/>
              </w:rPr>
            </w:pPr>
          </w:p>
        </w:tc>
      </w:tr>
    </w:tbl>
    <w:p w:rsidR="00E975D0" w:rsidRDefault="00E975D0" w:rsidP="00E975D0">
      <w:pPr>
        <w:pStyle w:val="TableGraphic"/>
        <w:rPr>
          <w:rFonts w:ascii="Arial" w:hAnsi="Arial"/>
          <w:sz w:val="16"/>
        </w:rPr>
      </w:pPr>
      <w:r w:rsidRPr="00E975D0">
        <w:rPr>
          <w:rFonts w:ascii="Arial" w:hAnsi="Arial"/>
          <w:sz w:val="16"/>
        </w:rPr>
        <w:t>14</w:t>
      </w:r>
      <w:r w:rsidR="00D13769">
        <w:rPr>
          <w:rFonts w:ascii="Arial" w:hAnsi="Arial"/>
          <w:sz w:val="16"/>
        </w:rPr>
        <w:t xml:space="preserve">  </w:t>
      </w:r>
      <w:r w:rsidRPr="00E975D0">
        <w:rPr>
          <w:rFonts w:ascii="Arial" w:hAnsi="Arial"/>
          <w:sz w:val="16"/>
        </w:rPr>
        <w:t xml:space="preserve">Numbers provided for 2010-11 represents amounts paid by Centrelink prior to </w:t>
      </w:r>
      <w:r w:rsidR="00836E5E">
        <w:rPr>
          <w:rFonts w:ascii="Arial" w:hAnsi="Arial"/>
          <w:sz w:val="16"/>
        </w:rPr>
        <w:t>integration</w:t>
      </w:r>
      <w:r w:rsidRPr="00E975D0">
        <w:rPr>
          <w:rFonts w:ascii="Arial" w:hAnsi="Arial"/>
          <w:sz w:val="16"/>
        </w:rPr>
        <w:t>.</w:t>
      </w:r>
    </w:p>
    <w:p w:rsidR="007A102A" w:rsidRDefault="00FB489C" w:rsidP="007A102A">
      <w:pPr>
        <w:jc w:val="left"/>
      </w:pPr>
      <w:r>
        <w:rPr>
          <w:rFonts w:ascii="Arial" w:hAnsi="Arial"/>
          <w:sz w:val="16"/>
        </w:rPr>
        <w:t>1</w:t>
      </w:r>
      <w:r w:rsidR="00B96684" w:rsidRPr="00FB489C">
        <w:rPr>
          <w:rFonts w:ascii="Arial" w:hAnsi="Arial"/>
          <w:sz w:val="16"/>
        </w:rPr>
        <w:t xml:space="preserve">5 </w:t>
      </w:r>
      <w:r>
        <w:rPr>
          <w:rFonts w:ascii="Arial" w:hAnsi="Arial"/>
          <w:sz w:val="16"/>
        </w:rPr>
        <w:t xml:space="preserve"> </w:t>
      </w:r>
      <w:r w:rsidR="00B96684" w:rsidRPr="00FB489C">
        <w:rPr>
          <w:rFonts w:ascii="Arial" w:hAnsi="Arial"/>
          <w:sz w:val="16"/>
        </w:rPr>
        <w:t>The figures disclosed include Child Care Benefit program appropriat</w:t>
      </w:r>
      <w:r>
        <w:rPr>
          <w:rFonts w:ascii="Arial" w:hAnsi="Arial"/>
          <w:sz w:val="16"/>
        </w:rPr>
        <w:t xml:space="preserve">ions amounting to $2,052.4m in </w:t>
      </w:r>
      <w:r w:rsidR="00B96684" w:rsidRPr="00FB489C">
        <w:rPr>
          <w:rFonts w:ascii="Arial" w:hAnsi="Arial"/>
          <w:sz w:val="16"/>
        </w:rPr>
        <w:t>2010-11 and $2,177.8m in 2011-12 which both Centrelink and DEEWR deliver to customers on behalf of DEEWR.</w:t>
      </w:r>
      <w:r w:rsidR="007A102A">
        <w:br w:type="page"/>
      </w:r>
    </w:p>
    <w:p w:rsidR="00B96684" w:rsidRPr="00FB489C" w:rsidRDefault="00B96684" w:rsidP="00FB489C">
      <w:pPr>
        <w:jc w:val="left"/>
        <w:rPr>
          <w:rFonts w:ascii="Arial" w:hAnsi="Arial"/>
          <w:sz w:val="16"/>
        </w:rPr>
      </w:pPr>
    </w:p>
    <w:p w:rsidR="00E975D0" w:rsidRDefault="00E975D0" w:rsidP="00E975D0">
      <w:pPr>
        <w:pStyle w:val="TableHeading"/>
        <w:jc w:val="both"/>
      </w:pPr>
      <w:r>
        <w:t>Third party payments from and on behalf of other agencies (continued)</w:t>
      </w:r>
    </w:p>
    <w:tbl>
      <w:tblPr>
        <w:tblW w:w="8256" w:type="dxa"/>
        <w:tblInd w:w="78" w:type="dxa"/>
        <w:tblLayout w:type="fixed"/>
        <w:tblLook w:val="0000" w:firstRow="0" w:lastRow="0" w:firstColumn="0" w:lastColumn="0" w:noHBand="0" w:noVBand="0"/>
      </w:tblPr>
      <w:tblGrid>
        <w:gridCol w:w="5587"/>
        <w:gridCol w:w="1239"/>
        <w:gridCol w:w="236"/>
        <w:gridCol w:w="1194"/>
      </w:tblGrid>
      <w:tr w:rsidR="007A102A" w:rsidTr="007A102A">
        <w:trPr>
          <w:trHeight w:val="289"/>
        </w:trPr>
        <w:tc>
          <w:tcPr>
            <w:tcW w:w="5587" w:type="dxa"/>
            <w:tcBorders>
              <w:top w:val="single" w:sz="2" w:space="0" w:color="auto"/>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p>
        </w:tc>
        <w:tc>
          <w:tcPr>
            <w:tcW w:w="1239" w:type="dxa"/>
            <w:tcBorders>
              <w:top w:val="single" w:sz="2" w:space="0" w:color="auto"/>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236" w:type="dxa"/>
            <w:tcBorders>
              <w:top w:val="single" w:sz="2" w:space="0" w:color="auto"/>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single" w:sz="2" w:space="0" w:color="auto"/>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2010-11</w:t>
            </w:r>
          </w:p>
        </w:tc>
      </w:tr>
      <w:tr w:rsidR="007A102A" w:rsidTr="007A102A">
        <w:trPr>
          <w:trHeight w:val="289"/>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p>
        </w:tc>
        <w:tc>
          <w:tcPr>
            <w:tcW w:w="1239" w:type="dxa"/>
            <w:tcBorders>
              <w:top w:val="nil"/>
              <w:left w:val="nil"/>
              <w:bottom w:val="single" w:sz="2" w:space="0" w:color="auto"/>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single" w:sz="2" w:space="0" w:color="auto"/>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7A102A" w:rsidTr="007A102A">
        <w:trPr>
          <w:trHeight w:val="289"/>
        </w:trPr>
        <w:tc>
          <w:tcPr>
            <w:tcW w:w="5587" w:type="dxa"/>
            <w:tcBorders>
              <w:top w:val="nil"/>
              <w:left w:val="nil"/>
              <w:bottom w:val="nil"/>
              <w:right w:val="nil"/>
            </w:tcBorders>
            <w:shd w:val="solid" w:color="FFFFFF" w:fill="auto"/>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Veterans' Affairs</w:t>
            </w:r>
            <w:r>
              <w:rPr>
                <w:rFonts w:ascii="Arial" w:hAnsi="Arial" w:cs="Arial"/>
                <w:b/>
                <w:bCs/>
                <w:color w:val="000000"/>
                <w:sz w:val="15"/>
                <w:szCs w:val="15"/>
                <w:vertAlign w:val="superscript"/>
              </w:rPr>
              <w:t>16</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89"/>
        </w:trPr>
        <w:tc>
          <w:tcPr>
            <w:tcW w:w="5587" w:type="dxa"/>
            <w:tcBorders>
              <w:top w:val="nil"/>
              <w:left w:val="nil"/>
              <w:bottom w:val="nil"/>
              <w:right w:val="nil"/>
            </w:tcBorders>
            <w:shd w:val="solid" w:color="FFFFFF" w:fill="auto"/>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i/>
                <w:iCs/>
                <w:color w:val="000000"/>
                <w:sz w:val="15"/>
                <w:szCs w:val="15"/>
              </w:rPr>
              <w:t>Veterans’ Entitlements Act 1986</w:t>
            </w:r>
            <w:r>
              <w:rPr>
                <w:rFonts w:ascii="Arial" w:hAnsi="Arial" w:cs="Arial"/>
                <w:color w:val="000000"/>
                <w:sz w:val="15"/>
                <w:szCs w:val="15"/>
              </w:rPr>
              <w:t xml:space="preserve"> &amp; Related Acts</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3,796,970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3,770,295 </w:t>
            </w:r>
          </w:p>
        </w:tc>
      </w:tr>
      <w:tr w:rsidR="007A102A" w:rsidTr="007A102A">
        <w:trPr>
          <w:trHeight w:val="274"/>
        </w:trPr>
        <w:tc>
          <w:tcPr>
            <w:tcW w:w="5587" w:type="dxa"/>
            <w:tcBorders>
              <w:top w:val="nil"/>
              <w:left w:val="nil"/>
              <w:bottom w:val="nil"/>
              <w:right w:val="nil"/>
            </w:tcBorders>
            <w:shd w:val="solid" w:color="FFFFFF" w:fill="auto"/>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i/>
                <w:iCs/>
                <w:color w:val="000000"/>
                <w:sz w:val="15"/>
                <w:szCs w:val="15"/>
              </w:rPr>
              <w:t>Military Rehabilitation and Compensation Act 2004</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5,261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4,968 </w:t>
            </w:r>
          </w:p>
        </w:tc>
      </w:tr>
      <w:tr w:rsidR="007A102A" w:rsidTr="007A102A">
        <w:trPr>
          <w:trHeight w:val="216"/>
        </w:trPr>
        <w:tc>
          <w:tcPr>
            <w:tcW w:w="5587" w:type="dxa"/>
            <w:tcBorders>
              <w:top w:val="nil"/>
              <w:left w:val="nil"/>
              <w:bottom w:val="nil"/>
              <w:right w:val="nil"/>
            </w:tcBorders>
            <w:shd w:val="solid" w:color="FFFFFF" w:fill="auto"/>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i/>
                <w:iCs/>
                <w:color w:val="000000"/>
                <w:sz w:val="15"/>
                <w:szCs w:val="15"/>
              </w:rPr>
              <w:t>Australian Participants in British Nuclear Tests (Treatment) Act 2006</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602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600 </w:t>
            </w:r>
          </w:p>
        </w:tc>
      </w:tr>
      <w:tr w:rsidR="007A102A" w:rsidTr="007A102A">
        <w:trPr>
          <w:trHeight w:val="289"/>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Health and Ageing</w:t>
            </w:r>
            <w:r>
              <w:rPr>
                <w:rFonts w:ascii="Arial" w:hAnsi="Arial" w:cs="Arial"/>
                <w:b/>
                <w:bCs/>
                <w:color w:val="000000"/>
                <w:sz w:val="15"/>
                <w:szCs w:val="15"/>
                <w:vertAlign w:val="superscript"/>
              </w:rPr>
              <w:t>16</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30"/>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i/>
                <w:iCs/>
                <w:color w:val="000000"/>
                <w:sz w:val="15"/>
                <w:szCs w:val="15"/>
              </w:rPr>
              <w:t xml:space="preserve">Health Insurance Act 1973 </w:t>
            </w:r>
            <w:r>
              <w:rPr>
                <w:rFonts w:ascii="Arial" w:hAnsi="Arial" w:cs="Arial"/>
                <w:color w:val="000000"/>
                <w:sz w:val="15"/>
                <w:szCs w:val="15"/>
              </w:rPr>
              <w:t>- Medical Benefits</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16,892,683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16,383,915 </w:t>
            </w:r>
          </w:p>
        </w:tc>
      </w:tr>
      <w:tr w:rsidR="007A102A" w:rsidTr="007A102A">
        <w:trPr>
          <w:trHeight w:val="230"/>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i/>
                <w:iCs/>
                <w:color w:val="000000"/>
                <w:sz w:val="15"/>
                <w:szCs w:val="15"/>
              </w:rPr>
              <w:t>Dental Benefits Act 2008</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74,829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68,089 </w:t>
            </w:r>
          </w:p>
        </w:tc>
      </w:tr>
      <w:tr w:rsidR="007A102A" w:rsidTr="007A102A">
        <w:trPr>
          <w:trHeight w:val="289"/>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i/>
                <w:iCs/>
                <w:color w:val="000000"/>
                <w:sz w:val="15"/>
                <w:szCs w:val="15"/>
              </w:rPr>
              <w:t>National Health Act 1953</w:t>
            </w:r>
            <w:r>
              <w:rPr>
                <w:rFonts w:ascii="Arial" w:hAnsi="Arial" w:cs="Arial"/>
                <w:color w:val="000000"/>
                <w:sz w:val="15"/>
                <w:szCs w:val="15"/>
              </w:rPr>
              <w:t xml:space="preserve"> - Pharmaceutical Benefits</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9,525,697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8,928,407 </w:t>
            </w:r>
          </w:p>
        </w:tc>
      </w:tr>
      <w:tr w:rsidR="007A102A" w:rsidTr="007A102A">
        <w:trPr>
          <w:trHeight w:val="245"/>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i/>
                <w:iCs/>
                <w:color w:val="000000"/>
                <w:sz w:val="15"/>
                <w:szCs w:val="15"/>
              </w:rPr>
              <w:t xml:space="preserve">National Health Act 1953 </w:t>
            </w:r>
            <w:r>
              <w:rPr>
                <w:rFonts w:ascii="Arial" w:hAnsi="Arial" w:cs="Arial"/>
                <w:color w:val="000000"/>
                <w:sz w:val="15"/>
                <w:szCs w:val="15"/>
              </w:rPr>
              <w:t>- Aids and Appliances</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84,441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78,107 </w:t>
            </w:r>
          </w:p>
        </w:tc>
      </w:tr>
      <w:tr w:rsidR="007A102A" w:rsidTr="007A102A">
        <w:trPr>
          <w:trHeight w:val="245"/>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i/>
                <w:iCs/>
                <w:color w:val="000000"/>
                <w:sz w:val="15"/>
                <w:szCs w:val="15"/>
              </w:rPr>
              <w:t>Private Health Insurance Act 2007</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3,728,102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4,655,935 </w:t>
            </w:r>
          </w:p>
        </w:tc>
      </w:tr>
      <w:tr w:rsidR="007A102A" w:rsidTr="007A102A">
        <w:trPr>
          <w:trHeight w:val="245"/>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i/>
                <w:iCs/>
                <w:color w:val="000000"/>
                <w:sz w:val="15"/>
                <w:szCs w:val="15"/>
              </w:rPr>
              <w:t>Medical Indemnity Agreement Act 2002</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117,199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108,699 </w:t>
            </w:r>
          </w:p>
        </w:tc>
      </w:tr>
      <w:tr w:rsidR="007A102A" w:rsidTr="007A102A">
        <w:trPr>
          <w:trHeight w:val="260"/>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i/>
                <w:iCs/>
                <w:color w:val="000000"/>
                <w:sz w:val="15"/>
                <w:szCs w:val="15"/>
              </w:rPr>
              <w:t xml:space="preserve">Aged Care Act 1997 </w:t>
            </w:r>
            <w:r>
              <w:rPr>
                <w:rFonts w:ascii="Arial" w:hAnsi="Arial" w:cs="Arial"/>
                <w:color w:val="000000"/>
                <w:sz w:val="15"/>
                <w:szCs w:val="15"/>
              </w:rPr>
              <w:t>(Total)</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8,239,872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7,694,204 </w:t>
            </w:r>
          </w:p>
        </w:tc>
      </w:tr>
      <w:tr w:rsidR="007A102A" w:rsidTr="007A102A">
        <w:trPr>
          <w:trHeight w:val="216"/>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i/>
                <w:iCs/>
                <w:color w:val="000000"/>
                <w:sz w:val="15"/>
                <w:szCs w:val="15"/>
              </w:rPr>
              <w:t>FMA Act 1987</w:t>
            </w:r>
            <w:r>
              <w:rPr>
                <w:rFonts w:ascii="Arial" w:hAnsi="Arial" w:cs="Arial"/>
                <w:color w:val="000000"/>
                <w:sz w:val="15"/>
                <w:szCs w:val="15"/>
              </w:rPr>
              <w:t xml:space="preserve"> - Australian Childhood Immunisation Register</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8,340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9,494 </w:t>
            </w:r>
          </w:p>
        </w:tc>
      </w:tr>
      <w:tr w:rsidR="007A102A" w:rsidTr="007A102A">
        <w:trPr>
          <w:trHeight w:val="274"/>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Climate Change and Energy Efficiency</w:t>
            </w:r>
            <w:r>
              <w:rPr>
                <w:rFonts w:ascii="Arial" w:hAnsi="Arial" w:cs="Arial"/>
                <w:b/>
                <w:bCs/>
                <w:color w:val="000000"/>
                <w:sz w:val="15"/>
                <w:szCs w:val="15"/>
                <w:vertAlign w:val="superscript"/>
              </w:rPr>
              <w:t>16</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7A102A">
        <w:trPr>
          <w:trHeight w:val="216"/>
        </w:trPr>
        <w:tc>
          <w:tcPr>
            <w:tcW w:w="5587" w:type="dxa"/>
            <w:tcBorders>
              <w:top w:val="nil"/>
              <w:left w:val="nil"/>
              <w:bottom w:val="nil"/>
              <w:right w:val="nil"/>
            </w:tcBorders>
            <w:shd w:val="solid" w:color="FFFFFF" w:fill="auto"/>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i/>
                <w:iCs/>
                <w:color w:val="000000"/>
                <w:sz w:val="15"/>
                <w:szCs w:val="15"/>
              </w:rPr>
              <w:t xml:space="preserve"> Water Entitlements and Home Insulation Act 2009-2010</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21,989 </w:t>
            </w:r>
          </w:p>
        </w:tc>
      </w:tr>
      <w:tr w:rsidR="007A102A" w:rsidTr="007A102A">
        <w:trPr>
          <w:trHeight w:val="216"/>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Total payments made on behalf of other agencies</w:t>
            </w:r>
          </w:p>
        </w:tc>
        <w:tc>
          <w:tcPr>
            <w:tcW w:w="1239" w:type="dxa"/>
            <w:tcBorders>
              <w:top w:val="single" w:sz="2" w:space="0" w:color="auto"/>
              <w:left w:val="nil"/>
              <w:bottom w:val="single" w:sz="2" w:space="0" w:color="auto"/>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137,810,663 </w:t>
            </w:r>
          </w:p>
        </w:tc>
        <w:tc>
          <w:tcPr>
            <w:tcW w:w="236" w:type="dxa"/>
            <w:tcBorders>
              <w:top w:val="single" w:sz="2" w:space="0" w:color="auto"/>
              <w:left w:val="nil"/>
              <w:bottom w:val="single" w:sz="2" w:space="0" w:color="auto"/>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b/>
                <w:bCs/>
                <w:color w:val="000000"/>
                <w:sz w:val="15"/>
                <w:szCs w:val="15"/>
              </w:rPr>
            </w:pPr>
          </w:p>
        </w:tc>
        <w:tc>
          <w:tcPr>
            <w:tcW w:w="1194" w:type="dxa"/>
            <w:tcBorders>
              <w:top w:val="single" w:sz="2" w:space="0" w:color="auto"/>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134,113,981 </w:t>
            </w:r>
          </w:p>
        </w:tc>
      </w:tr>
      <w:tr w:rsidR="007A102A" w:rsidTr="007A102A">
        <w:trPr>
          <w:trHeight w:val="115"/>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b/>
                <w:bCs/>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b/>
                <w:bCs/>
                <w:color w:val="000000"/>
                <w:sz w:val="15"/>
                <w:szCs w:val="15"/>
              </w:rPr>
            </w:pPr>
          </w:p>
        </w:tc>
      </w:tr>
      <w:tr w:rsidR="007A102A" w:rsidTr="007A102A">
        <w:trPr>
          <w:trHeight w:val="216"/>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Receipts received from other agencies for the provision of services</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6"/>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Australian Electoral Commission (AEC)</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5,433 </w:t>
            </w:r>
          </w:p>
        </w:tc>
      </w:tr>
      <w:tr w:rsidR="007A102A" w:rsidTr="007A102A">
        <w:trPr>
          <w:trHeight w:val="216"/>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Australian Government Attorney-General's Department (AG)</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546 </w:t>
            </w:r>
          </w:p>
        </w:tc>
      </w:tr>
      <w:tr w:rsidR="007A102A" w:rsidTr="007A102A">
        <w:trPr>
          <w:trHeight w:val="289"/>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Centrelink</w:t>
            </w:r>
            <w:r>
              <w:rPr>
                <w:rFonts w:ascii="Arial" w:hAnsi="Arial" w:cs="Arial"/>
                <w:color w:val="000000"/>
                <w:sz w:val="15"/>
                <w:szCs w:val="15"/>
                <w:vertAlign w:val="superscript"/>
              </w:rPr>
              <w:t>17</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8,985 </w:t>
            </w:r>
          </w:p>
        </w:tc>
      </w:tr>
      <w:tr w:rsidR="007A102A" w:rsidTr="007A102A">
        <w:trPr>
          <w:trHeight w:val="245"/>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Climate Change and Energy Efficiency (DCCEE)</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446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12,934 </w:t>
            </w:r>
          </w:p>
        </w:tc>
      </w:tr>
      <w:tr w:rsidR="007A102A" w:rsidTr="007A102A">
        <w:trPr>
          <w:trHeight w:val="245"/>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Defence</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623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609 </w:t>
            </w:r>
          </w:p>
        </w:tc>
      </w:tr>
      <w:tr w:rsidR="007A102A" w:rsidTr="007A102A">
        <w:trPr>
          <w:trHeight w:val="289"/>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Education, Employment and Workplace Relations (DEEWR)</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144,156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257,861 </w:t>
            </w:r>
          </w:p>
        </w:tc>
      </w:tr>
      <w:tr w:rsidR="007A102A" w:rsidTr="007A102A">
        <w:trPr>
          <w:trHeight w:val="289"/>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Families, Housing, Community Services</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60"/>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and Indigenous Affairs (FaHCSIA) </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9,324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16,413 </w:t>
            </w:r>
          </w:p>
        </w:tc>
      </w:tr>
      <w:tr w:rsidR="007A102A" w:rsidTr="007A102A">
        <w:trPr>
          <w:trHeight w:val="289"/>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Finance and Deregulation (DOFD)</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500 </w:t>
            </w:r>
          </w:p>
        </w:tc>
      </w:tr>
      <w:tr w:rsidR="007A102A" w:rsidTr="007A102A">
        <w:trPr>
          <w:trHeight w:val="245"/>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Foreign Affairs and Trade (DFAT)</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4,940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5,848 </w:t>
            </w:r>
          </w:p>
        </w:tc>
      </w:tr>
      <w:tr w:rsidR="007A102A" w:rsidTr="007A102A">
        <w:trPr>
          <w:trHeight w:val="201"/>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Health and Ageing (DoHA)</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14,783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31,876 </w:t>
            </w:r>
          </w:p>
        </w:tc>
      </w:tr>
      <w:tr w:rsidR="007A102A" w:rsidTr="007A102A">
        <w:trPr>
          <w:trHeight w:val="274"/>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Human Services (DHS)</w:t>
            </w:r>
            <w:r>
              <w:rPr>
                <w:rFonts w:ascii="Arial" w:hAnsi="Arial" w:cs="Arial"/>
                <w:color w:val="000000"/>
                <w:sz w:val="15"/>
                <w:szCs w:val="15"/>
                <w:vertAlign w:val="superscript"/>
              </w:rPr>
              <w:t>17</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11,807 </w:t>
            </w:r>
          </w:p>
        </w:tc>
      </w:tr>
      <w:tr w:rsidR="007A102A" w:rsidTr="007A102A">
        <w:trPr>
          <w:trHeight w:val="201"/>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Immigration and Citizenship (DIAC)</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334 </w:t>
            </w:r>
          </w:p>
        </w:tc>
      </w:tr>
      <w:tr w:rsidR="007A102A" w:rsidTr="007A102A">
        <w:trPr>
          <w:trHeight w:val="201"/>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Infrastructure and Transport (DIT)</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1,061 </w:t>
            </w:r>
          </w:p>
        </w:tc>
      </w:tr>
      <w:tr w:rsidR="007A102A" w:rsidTr="007A102A">
        <w:trPr>
          <w:trHeight w:val="201"/>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Veterans' Affairs (DVA)</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16,355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22,514 </w:t>
            </w:r>
          </w:p>
        </w:tc>
      </w:tr>
      <w:tr w:rsidR="007A102A" w:rsidTr="007A102A">
        <w:trPr>
          <w:trHeight w:val="274"/>
        </w:trPr>
        <w:tc>
          <w:tcPr>
            <w:tcW w:w="5587"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Medicare Australia (MA)</w:t>
            </w:r>
            <w:r>
              <w:rPr>
                <w:rFonts w:ascii="Arial" w:hAnsi="Arial" w:cs="Arial"/>
                <w:color w:val="000000"/>
                <w:sz w:val="15"/>
                <w:szCs w:val="15"/>
                <w:vertAlign w:val="superscript"/>
              </w:rPr>
              <w:t>17</w:t>
            </w:r>
          </w:p>
        </w:tc>
        <w:tc>
          <w:tcPr>
            <w:tcW w:w="1239"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236" w:type="dxa"/>
            <w:tcBorders>
              <w:top w:val="nil"/>
              <w:left w:val="nil"/>
              <w:bottom w:val="nil"/>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1194"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1,050 </w:t>
            </w:r>
          </w:p>
        </w:tc>
      </w:tr>
      <w:tr w:rsidR="007A102A" w:rsidTr="007A102A">
        <w:trPr>
          <w:trHeight w:val="519"/>
        </w:trPr>
        <w:tc>
          <w:tcPr>
            <w:tcW w:w="5587"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Total s31 Relevant agency receipts received for the provision of services</w:t>
            </w:r>
            <w:r>
              <w:rPr>
                <w:rFonts w:ascii="Arial" w:hAnsi="Arial" w:cs="Arial"/>
                <w:b/>
                <w:bCs/>
                <w:color w:val="000000"/>
                <w:sz w:val="15"/>
                <w:szCs w:val="15"/>
                <w:vertAlign w:val="superscript"/>
              </w:rPr>
              <w:t>18</w:t>
            </w:r>
          </w:p>
        </w:tc>
        <w:tc>
          <w:tcPr>
            <w:tcW w:w="1239" w:type="dxa"/>
            <w:tcBorders>
              <w:top w:val="single" w:sz="2" w:space="0" w:color="auto"/>
              <w:left w:val="nil"/>
              <w:bottom w:val="single" w:sz="2" w:space="0" w:color="auto"/>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190,627</w:t>
            </w:r>
          </w:p>
        </w:tc>
        <w:tc>
          <w:tcPr>
            <w:tcW w:w="236" w:type="dxa"/>
            <w:tcBorders>
              <w:top w:val="single" w:sz="2" w:space="0" w:color="auto"/>
              <w:left w:val="nil"/>
              <w:bottom w:val="single" w:sz="2" w:space="0" w:color="auto"/>
              <w:right w:val="nil"/>
            </w:tcBorders>
            <w:shd w:val="solid" w:color="E6E6E6" w:fill="auto"/>
            <w:vAlign w:val="bottom"/>
          </w:tcPr>
          <w:p w:rsidR="007A102A" w:rsidRDefault="007A102A" w:rsidP="007A102A">
            <w:pPr>
              <w:autoSpaceDE w:val="0"/>
              <w:autoSpaceDN w:val="0"/>
              <w:adjustRightInd w:val="0"/>
              <w:spacing w:after="0" w:line="240" w:lineRule="auto"/>
              <w:jc w:val="right"/>
              <w:rPr>
                <w:rFonts w:ascii="Arial" w:hAnsi="Arial" w:cs="Arial"/>
                <w:b/>
                <w:bCs/>
                <w:color w:val="000000"/>
                <w:sz w:val="15"/>
                <w:szCs w:val="15"/>
              </w:rPr>
            </w:pPr>
          </w:p>
        </w:tc>
        <w:tc>
          <w:tcPr>
            <w:tcW w:w="1194" w:type="dxa"/>
            <w:tcBorders>
              <w:top w:val="single" w:sz="2" w:space="0" w:color="auto"/>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377,771</w:t>
            </w:r>
          </w:p>
        </w:tc>
      </w:tr>
    </w:tbl>
    <w:p w:rsidR="00340FD7" w:rsidRPr="00E975D0" w:rsidRDefault="00340FD7" w:rsidP="006B6F55">
      <w:pPr>
        <w:pStyle w:val="TableGraphic"/>
        <w:rPr>
          <w:noProof/>
          <w:sz w:val="4"/>
          <w:szCs w:val="4"/>
        </w:rPr>
      </w:pPr>
    </w:p>
    <w:p w:rsidR="00B96684" w:rsidRDefault="006B6F55" w:rsidP="00B96684">
      <w:pPr>
        <w:pStyle w:val="ChartandTableFootnote"/>
        <w:tabs>
          <w:tab w:val="clear" w:pos="284"/>
          <w:tab w:val="left" w:pos="0"/>
        </w:tabs>
        <w:ind w:left="0" w:firstLine="0"/>
        <w:jc w:val="left"/>
      </w:pPr>
      <w:r w:rsidRPr="00AC4BA4">
        <w:t>1</w:t>
      </w:r>
      <w:r w:rsidR="00FB489C">
        <w:t>6</w:t>
      </w:r>
      <w:r w:rsidR="00B96684">
        <w:t xml:space="preserve">   </w:t>
      </w:r>
      <w:r w:rsidRPr="006B6F55">
        <w:t>Numbers provided for 201</w:t>
      </w:r>
      <w:r>
        <w:t>0-11 represents amounts paid by</w:t>
      </w:r>
      <w:r w:rsidRPr="006B6F55">
        <w:t xml:space="preserve"> Medicare Australia prior to </w:t>
      </w:r>
      <w:r w:rsidR="00836E5E" w:rsidRPr="00836E5E">
        <w:t>integration</w:t>
      </w:r>
      <w:r w:rsidR="00836E5E">
        <w:t>.</w:t>
      </w:r>
    </w:p>
    <w:p w:rsidR="00FB489C" w:rsidRDefault="00FB489C" w:rsidP="00B96684">
      <w:pPr>
        <w:pStyle w:val="ChartandTableFootnote"/>
        <w:tabs>
          <w:tab w:val="clear" w:pos="284"/>
          <w:tab w:val="left" w:pos="0"/>
        </w:tabs>
        <w:ind w:left="0" w:firstLine="0"/>
        <w:jc w:val="left"/>
      </w:pPr>
      <w:r>
        <w:t xml:space="preserve">17   </w:t>
      </w:r>
      <w:r w:rsidRPr="006B6F55">
        <w:t>Numbers provided for 201</w:t>
      </w:r>
      <w:r>
        <w:t>0-11 represents receipts received between DHS, MA and Centrelink.</w:t>
      </w:r>
    </w:p>
    <w:p w:rsidR="00C70705" w:rsidRDefault="00FB489C" w:rsidP="00B96684">
      <w:pPr>
        <w:pStyle w:val="ChartandTableFootnote"/>
        <w:tabs>
          <w:tab w:val="clear" w:pos="284"/>
          <w:tab w:val="left" w:pos="0"/>
        </w:tabs>
        <w:ind w:left="0" w:firstLine="0"/>
        <w:jc w:val="left"/>
      </w:pPr>
      <w:r>
        <w:t>18   Total s31 relevant agency receipts are made</w:t>
      </w:r>
      <w:r w:rsidR="00480F34">
        <w:t xml:space="preserve"> up of: DHS $160.206m, Centrelink $115.732m and MA $101.833m.</w:t>
      </w:r>
    </w:p>
    <w:p w:rsidR="00340FD7" w:rsidRPr="00ED2EFD" w:rsidRDefault="00480F34" w:rsidP="00ED2EFD">
      <w:pPr>
        <w:pStyle w:val="Heading3"/>
        <w:jc w:val="both"/>
      </w:pPr>
      <w:r>
        <w:br w:type="page"/>
      </w:r>
      <w:bookmarkStart w:id="26" w:name="_Toc190682311"/>
      <w:bookmarkStart w:id="27" w:name="_Toc190682529"/>
      <w:bookmarkStart w:id="28" w:name="_Ref291676537"/>
      <w:bookmarkStart w:id="29" w:name="_Ref292649957"/>
      <w:r w:rsidR="00576137" w:rsidRPr="00ED2EFD">
        <w:rPr>
          <w:smallCaps w:val="0"/>
        </w:rPr>
        <w:t>1.3</w:t>
      </w:r>
      <w:r w:rsidR="00576137" w:rsidRPr="00ED2EFD">
        <w:rPr>
          <w:smallCaps w:val="0"/>
        </w:rPr>
        <w:tab/>
        <w:t>Budget measures</w:t>
      </w:r>
      <w:bookmarkEnd w:id="26"/>
      <w:bookmarkEnd w:id="27"/>
      <w:bookmarkEnd w:id="28"/>
      <w:bookmarkEnd w:id="29"/>
    </w:p>
    <w:p w:rsidR="00340FD7" w:rsidRDefault="00340FD7" w:rsidP="00576137">
      <w:pPr>
        <w:spacing w:before="240"/>
      </w:pPr>
      <w:smartTag w:uri="urn:schemas-microsoft-com:office:smarttags" w:element="PersonName">
        <w:r w:rsidRPr="00DC32EC">
          <w:t>Budget</w:t>
        </w:r>
      </w:smartTag>
      <w:r w:rsidRPr="00DC32EC">
        <w:t xml:space="preserve"> measures relating to </w:t>
      </w:r>
      <w:r w:rsidR="002C6E89">
        <w:t xml:space="preserve">the Department of </w:t>
      </w:r>
      <w:r w:rsidR="00AE3EEA">
        <w:t>Human Services</w:t>
      </w:r>
      <w:r w:rsidRPr="00DC32EC">
        <w:t xml:space="preserve"> are detailed in </w:t>
      </w:r>
      <w:smartTag w:uri="urn:schemas-microsoft-com:office:smarttags" w:element="PersonName">
        <w:r w:rsidRPr="00DC32EC">
          <w:t>Budget</w:t>
        </w:r>
      </w:smartTag>
      <w:r w:rsidRPr="00DC32EC">
        <w:t xml:space="preserve"> Paper No. 2</w:t>
      </w:r>
      <w:r>
        <w:t xml:space="preserve"> and are summarised below. </w:t>
      </w:r>
    </w:p>
    <w:p w:rsidR="00865628" w:rsidRDefault="00340FD7" w:rsidP="002B0328">
      <w:pPr>
        <w:pStyle w:val="TableHeading"/>
        <w:tabs>
          <w:tab w:val="left" w:pos="300"/>
        </w:tabs>
        <w:jc w:val="both"/>
      </w:pPr>
      <w:r w:rsidRPr="002B779E">
        <w:t>T</w:t>
      </w:r>
      <w:r w:rsidR="00042440">
        <w:t xml:space="preserve">able 1.2: </w:t>
      </w:r>
      <w:r w:rsidR="00027F65">
        <w:t>Department of Human Services</w:t>
      </w:r>
      <w:r w:rsidR="00042440">
        <w:t xml:space="preserve"> </w:t>
      </w:r>
      <w:r>
        <w:t>2011</w:t>
      </w:r>
      <w:r>
        <w:noBreakHyphen/>
        <w:t xml:space="preserve">12 </w:t>
      </w:r>
      <w:smartTag w:uri="urn:schemas-microsoft-com:office:smarttags" w:element="PersonName">
        <w:r>
          <w:t>Budget</w:t>
        </w:r>
      </w:smartTag>
      <w:r>
        <w:t xml:space="preserve"> m</w:t>
      </w:r>
      <w:r w:rsidRPr="002B779E">
        <w:t>easures</w:t>
      </w:r>
    </w:p>
    <w:p w:rsidR="00154176" w:rsidRPr="00865628" w:rsidRDefault="00154176" w:rsidP="00865628">
      <w:pPr>
        <w:pStyle w:val="TableHeading"/>
        <w:tabs>
          <w:tab w:val="left" w:pos="300"/>
        </w:tabs>
        <w:spacing w:before="0" w:after="0"/>
        <w:jc w:val="both"/>
        <w:rPr>
          <w:sz w:val="2"/>
          <w:szCs w:val="2"/>
        </w:rPr>
      </w:pPr>
    </w:p>
    <w:tbl>
      <w:tblPr>
        <w:tblW w:w="0" w:type="auto"/>
        <w:tblInd w:w="78" w:type="dxa"/>
        <w:tblLayout w:type="fixed"/>
        <w:tblLook w:val="0000" w:firstRow="0" w:lastRow="0" w:firstColumn="0" w:lastColumn="0" w:noHBand="0" w:noVBand="0"/>
      </w:tblPr>
      <w:tblGrid>
        <w:gridCol w:w="2819"/>
        <w:gridCol w:w="758"/>
        <w:gridCol w:w="772"/>
        <w:gridCol w:w="870"/>
        <w:gridCol w:w="853"/>
        <w:gridCol w:w="853"/>
        <w:gridCol w:w="885"/>
      </w:tblGrid>
      <w:tr w:rsidR="00F26FBA" w:rsidTr="00F26FBA">
        <w:trPr>
          <w:trHeight w:val="211"/>
        </w:trPr>
        <w:tc>
          <w:tcPr>
            <w:tcW w:w="2819"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758" w:type="dxa"/>
            <w:tcBorders>
              <w:top w:val="single" w:sz="2" w:space="0" w:color="auto"/>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Program</w:t>
            </w:r>
          </w:p>
        </w:tc>
        <w:tc>
          <w:tcPr>
            <w:tcW w:w="772" w:type="dxa"/>
            <w:tcBorders>
              <w:top w:val="single" w:sz="2" w:space="0" w:color="auto"/>
              <w:left w:val="nil"/>
              <w:bottom w:val="nil"/>
              <w:right w:val="nil"/>
            </w:tcBorders>
            <w:shd w:val="solid" w:color="FFFFFF" w:fill="auto"/>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2010-11</w:t>
            </w:r>
          </w:p>
        </w:tc>
        <w:tc>
          <w:tcPr>
            <w:tcW w:w="870" w:type="dxa"/>
            <w:tcBorders>
              <w:top w:val="single" w:sz="2" w:space="0" w:color="auto"/>
              <w:left w:val="nil"/>
              <w:bottom w:val="nil"/>
              <w:right w:val="nil"/>
            </w:tcBorders>
            <w:shd w:val="solid" w:color="FFFFFF" w:fill="auto"/>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853" w:type="dxa"/>
            <w:tcBorders>
              <w:top w:val="single" w:sz="2" w:space="0" w:color="auto"/>
              <w:left w:val="nil"/>
              <w:bottom w:val="nil"/>
              <w:right w:val="nil"/>
            </w:tcBorders>
            <w:shd w:val="solid" w:color="FFFFFF" w:fill="auto"/>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2012-13</w:t>
            </w:r>
          </w:p>
        </w:tc>
        <w:tc>
          <w:tcPr>
            <w:tcW w:w="853" w:type="dxa"/>
            <w:tcBorders>
              <w:top w:val="single" w:sz="2" w:space="0" w:color="auto"/>
              <w:left w:val="nil"/>
              <w:bottom w:val="nil"/>
              <w:right w:val="nil"/>
            </w:tcBorders>
            <w:shd w:val="solid" w:color="FFFFFF" w:fill="auto"/>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2013-14</w:t>
            </w:r>
          </w:p>
        </w:tc>
        <w:tc>
          <w:tcPr>
            <w:tcW w:w="885" w:type="dxa"/>
            <w:tcBorders>
              <w:top w:val="single" w:sz="2" w:space="0" w:color="auto"/>
              <w:left w:val="nil"/>
              <w:bottom w:val="nil"/>
              <w:right w:val="nil"/>
            </w:tcBorders>
            <w:shd w:val="solid" w:color="FFFFFF" w:fill="auto"/>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2014-15</w:t>
            </w: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758"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772" w:type="dxa"/>
            <w:tcBorders>
              <w:top w:val="nil"/>
              <w:left w:val="nil"/>
              <w:bottom w:val="single" w:sz="2" w:space="0" w:color="auto"/>
              <w:right w:val="nil"/>
            </w:tcBorders>
            <w:shd w:val="solid" w:color="FFFFFF" w:fill="auto"/>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70" w:type="dxa"/>
            <w:tcBorders>
              <w:top w:val="nil"/>
              <w:left w:val="nil"/>
              <w:bottom w:val="single" w:sz="2" w:space="0" w:color="auto"/>
              <w:right w:val="nil"/>
            </w:tcBorders>
            <w:shd w:val="solid" w:color="FFFFFF" w:fill="auto"/>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3" w:type="dxa"/>
            <w:tcBorders>
              <w:top w:val="nil"/>
              <w:left w:val="nil"/>
              <w:bottom w:val="single" w:sz="2" w:space="0" w:color="auto"/>
              <w:right w:val="nil"/>
            </w:tcBorders>
            <w:shd w:val="solid" w:color="FFFFFF" w:fill="auto"/>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3" w:type="dxa"/>
            <w:tcBorders>
              <w:top w:val="nil"/>
              <w:left w:val="nil"/>
              <w:bottom w:val="single" w:sz="2" w:space="0" w:color="auto"/>
              <w:right w:val="nil"/>
            </w:tcBorders>
            <w:shd w:val="solid" w:color="FFFFFF" w:fill="auto"/>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85" w:type="dxa"/>
            <w:tcBorders>
              <w:top w:val="nil"/>
              <w:left w:val="nil"/>
              <w:bottom w:val="single" w:sz="2" w:space="0" w:color="auto"/>
              <w:right w:val="nil"/>
            </w:tcBorders>
            <w:shd w:val="solid" w:color="FFFFFF" w:fill="auto"/>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Expense measures </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772" w:type="dxa"/>
            <w:tcBorders>
              <w:top w:val="nil"/>
              <w:left w:val="nil"/>
              <w:bottom w:val="nil"/>
              <w:right w:val="nil"/>
            </w:tcBorders>
            <w:shd w:val="solid" w:color="FFFFFF" w:fill="auto"/>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shd w:val="solid" w:color="FFFFFF" w:fill="auto"/>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shd w:val="solid" w:color="FFFFFF" w:fill="auto"/>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Service Delivery Reform</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improving services</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4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 increased support for people needing assistance</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11,266 </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18,056 </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21,942 </w:t>
            </w: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21,563 </w:t>
            </w:r>
          </w:p>
        </w:tc>
      </w:tr>
      <w:tr w:rsidR="00F26FBA" w:rsidTr="00F26FBA">
        <w:trPr>
          <w:trHeight w:val="593"/>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involving users and the community in designing improved service delivery</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4,572 </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4,557 </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1,941 </w:t>
            </w: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1,944 </w:t>
            </w: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improving access </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right"/>
              <w:rPr>
                <w:rFonts w:ascii="Calibri" w:hAnsi="Calibri" w:cs="Calibri"/>
                <w:color w:val="000000"/>
                <w:sz w:val="22"/>
                <w:szCs w:val="22"/>
              </w:rPr>
            </w:pP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58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extending services through Medicare and Centrelink </w:t>
            </w:r>
          </w:p>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one-stop-shops</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8,148 </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8,973 </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9,213 </w:t>
            </w: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1,410 </w:t>
            </w:r>
          </w:p>
        </w:tc>
      </w:tr>
      <w:tr w:rsidR="00F26FBA" w:rsidTr="00F26FBA">
        <w:trPr>
          <w:trHeight w:val="58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extension of rural mobile services and outreach support for the homeless</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226"/>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right"/>
              <w:rPr>
                <w:rFonts w:ascii="Calibri" w:hAnsi="Calibri" w:cs="Calibri"/>
                <w:color w:val="000000"/>
                <w:sz w:val="22"/>
                <w:szCs w:val="22"/>
              </w:rPr>
            </w:pP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2,720 </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4,758 </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8,038 </w:t>
            </w: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8,947 </w:t>
            </w: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claiming Medicare benefits online</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1,241 </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929 </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(882)</w:t>
            </w: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(1,696)</w:t>
            </w: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single web and telephone service</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11,806 </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5,668 </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4,591 </w:t>
            </w: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3,805 </w:t>
            </w: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improving portfolio business </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254"/>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improving online services</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right"/>
              <w:rPr>
                <w:rFonts w:ascii="Calibri" w:hAnsi="Calibri" w:cs="Calibri"/>
                <w:color w:val="000000"/>
                <w:sz w:val="22"/>
                <w:szCs w:val="22"/>
              </w:rPr>
            </w:pP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41,455 </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25,151 </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15,575 </w:t>
            </w: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21,426 </w:t>
            </w:r>
          </w:p>
        </w:tc>
      </w:tr>
      <w:tr w:rsidR="00F26FBA" w:rsidTr="00F26FBA">
        <w:trPr>
          <w:trHeight w:val="440"/>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integrated business operation and workflow management system</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(41,583)</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(98,810)</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(100,206)</w:t>
            </w: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(100,725)</w:t>
            </w:r>
          </w:p>
        </w:tc>
      </w:tr>
      <w:tr w:rsidR="00F26FBA" w:rsidTr="00F26FBA">
        <w:trPr>
          <w:trHeight w:val="396"/>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simplifying and automating online services</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(6,285)</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(23,865)</w:t>
            </w: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(47,472)</w:t>
            </w: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(62,784)</w:t>
            </w:r>
          </w:p>
        </w:tc>
      </w:tr>
      <w:tr w:rsidR="00F26FBA" w:rsidTr="00F26FBA">
        <w:trPr>
          <w:trHeight w:val="226"/>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integrating the portfolio </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corporate integration</w:t>
            </w:r>
          </w:p>
        </w:tc>
        <w:tc>
          <w:tcPr>
            <w:tcW w:w="758" w:type="dxa"/>
            <w:tcBorders>
              <w:top w:val="nil"/>
              <w:left w:val="nil"/>
              <w:bottom w:val="nil"/>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r>
      <w:tr w:rsidR="00F26FBA" w:rsidTr="00F26FBA">
        <w:trPr>
          <w:trHeight w:val="226"/>
        </w:trPr>
        <w:tc>
          <w:tcPr>
            <w:tcW w:w="2819" w:type="dxa"/>
            <w:tcBorders>
              <w:top w:val="nil"/>
              <w:left w:val="nil"/>
              <w:bottom w:val="single" w:sz="2" w:space="0" w:color="auto"/>
              <w:right w:val="nil"/>
            </w:tcBorders>
          </w:tcPr>
          <w:p w:rsidR="00F26FBA" w:rsidRDefault="00F26FB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58" w:type="dxa"/>
            <w:tcBorders>
              <w:top w:val="nil"/>
              <w:left w:val="nil"/>
              <w:bottom w:val="single" w:sz="2" w:space="0" w:color="auto"/>
              <w:right w:val="nil"/>
            </w:tcBorders>
          </w:tcPr>
          <w:p w:rsidR="00F26FBA" w:rsidRDefault="00F26FB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65,625 </w:t>
            </w:r>
          </w:p>
        </w:tc>
        <w:tc>
          <w:tcPr>
            <w:tcW w:w="853"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40,915 </w:t>
            </w:r>
          </w:p>
        </w:tc>
        <w:tc>
          <w:tcPr>
            <w:tcW w:w="853"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18,470 </w:t>
            </w:r>
          </w:p>
        </w:tc>
        <w:tc>
          <w:tcPr>
            <w:tcW w:w="885"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12,396 </w:t>
            </w:r>
          </w:p>
        </w:tc>
      </w:tr>
    </w:tbl>
    <w:p w:rsidR="00305F1A" w:rsidRDefault="00305F1A" w:rsidP="00305F1A">
      <w:pPr>
        <w:pStyle w:val="TableGraphic"/>
        <w:ind w:right="0"/>
        <w:rPr>
          <w:rFonts w:ascii="Arial" w:hAnsi="Arial" w:cs="Arial"/>
          <w:sz w:val="16"/>
          <w:szCs w:val="16"/>
        </w:rPr>
      </w:pPr>
      <w:r w:rsidRPr="009B35A5">
        <w:rPr>
          <w:rFonts w:ascii="Arial" w:hAnsi="Arial" w:cs="Arial"/>
          <w:sz w:val="16"/>
          <w:szCs w:val="16"/>
        </w:rPr>
        <w:t>Prepared on a Government Finance Statistics (fiscal) basis.</w:t>
      </w:r>
    </w:p>
    <w:p w:rsidR="0037158D" w:rsidRDefault="00340FD7" w:rsidP="0005132E">
      <w:pPr>
        <w:pStyle w:val="TableHeading"/>
        <w:tabs>
          <w:tab w:val="left" w:pos="300"/>
        </w:tabs>
        <w:jc w:val="both"/>
      </w:pPr>
      <w:r>
        <w:br w:type="page"/>
      </w:r>
      <w:r w:rsidR="0037158D" w:rsidRPr="002B779E">
        <w:t>T</w:t>
      </w:r>
      <w:r w:rsidR="0037158D">
        <w:t xml:space="preserve">able 1.2: </w:t>
      </w:r>
      <w:r w:rsidR="00027F65">
        <w:t>Department of Human Services</w:t>
      </w:r>
      <w:r w:rsidR="0037158D">
        <w:t xml:space="preserve"> 2011</w:t>
      </w:r>
      <w:r w:rsidR="0037158D">
        <w:noBreakHyphen/>
        <w:t xml:space="preserve">12 </w:t>
      </w:r>
      <w:smartTag w:uri="urn:schemas-microsoft-com:office:smarttags" w:element="PersonName">
        <w:r w:rsidR="0037158D">
          <w:t>Budget</w:t>
        </w:r>
      </w:smartTag>
      <w:r w:rsidR="0037158D">
        <w:t xml:space="preserve"> m</w:t>
      </w:r>
      <w:r w:rsidR="0037158D" w:rsidRPr="002B779E">
        <w:t>easures</w:t>
      </w:r>
      <w:r w:rsidR="0037158D">
        <w:t xml:space="preserve"> (continued)</w:t>
      </w:r>
    </w:p>
    <w:tbl>
      <w:tblPr>
        <w:tblW w:w="7841" w:type="dxa"/>
        <w:tblInd w:w="78" w:type="dxa"/>
        <w:tblLayout w:type="fixed"/>
        <w:tblLook w:val="0000" w:firstRow="0" w:lastRow="0" w:firstColumn="0" w:lastColumn="0" w:noHBand="0" w:noVBand="0"/>
      </w:tblPr>
      <w:tblGrid>
        <w:gridCol w:w="2819"/>
        <w:gridCol w:w="789"/>
        <w:gridCol w:w="772"/>
        <w:gridCol w:w="870"/>
        <w:gridCol w:w="853"/>
        <w:gridCol w:w="853"/>
        <w:gridCol w:w="885"/>
      </w:tblGrid>
      <w:tr w:rsidR="007A102A" w:rsidTr="007A102A">
        <w:trPr>
          <w:trHeight w:val="226"/>
        </w:trPr>
        <w:tc>
          <w:tcPr>
            <w:tcW w:w="2819" w:type="dxa"/>
            <w:tcBorders>
              <w:top w:val="nil"/>
              <w:left w:val="nil"/>
              <w:bottom w:val="nil"/>
              <w:right w:val="nil"/>
            </w:tcBorders>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789" w:type="dxa"/>
            <w:tcBorders>
              <w:top w:val="nil"/>
              <w:left w:val="nil"/>
              <w:bottom w:val="nil"/>
              <w:right w:val="nil"/>
            </w:tcBorders>
          </w:tcPr>
          <w:p w:rsidR="007A102A" w:rsidRDefault="007A102A" w:rsidP="007A102A">
            <w:pPr>
              <w:autoSpaceDE w:val="0"/>
              <w:autoSpaceDN w:val="0"/>
              <w:adjustRightInd w:val="0"/>
              <w:spacing w:after="0" w:line="240" w:lineRule="auto"/>
              <w:ind w:left="-170"/>
              <w:jc w:val="center"/>
              <w:rPr>
                <w:rFonts w:ascii="Arial" w:hAnsi="Arial" w:cs="Arial"/>
                <w:color w:val="000000"/>
                <w:sz w:val="15"/>
                <w:szCs w:val="15"/>
              </w:rPr>
            </w:pPr>
            <w:r>
              <w:rPr>
                <w:rFonts w:ascii="Arial" w:hAnsi="Arial" w:cs="Arial"/>
                <w:color w:val="000000"/>
                <w:sz w:val="15"/>
                <w:szCs w:val="15"/>
              </w:rPr>
              <w:t>Program</w:t>
            </w:r>
          </w:p>
        </w:tc>
        <w:tc>
          <w:tcPr>
            <w:tcW w:w="772" w:type="dxa"/>
            <w:tcBorders>
              <w:top w:val="nil"/>
              <w:left w:val="nil"/>
              <w:bottom w:val="nil"/>
              <w:right w:val="nil"/>
            </w:tcBorders>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2010-11</w:t>
            </w:r>
          </w:p>
        </w:tc>
        <w:tc>
          <w:tcPr>
            <w:tcW w:w="870" w:type="dxa"/>
            <w:tcBorders>
              <w:top w:val="nil"/>
              <w:left w:val="nil"/>
              <w:bottom w:val="nil"/>
              <w:right w:val="nil"/>
            </w:tcBorders>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853" w:type="dxa"/>
            <w:tcBorders>
              <w:top w:val="nil"/>
              <w:left w:val="nil"/>
              <w:bottom w:val="nil"/>
              <w:right w:val="nil"/>
            </w:tcBorders>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2012-13</w:t>
            </w:r>
          </w:p>
        </w:tc>
        <w:tc>
          <w:tcPr>
            <w:tcW w:w="853" w:type="dxa"/>
            <w:tcBorders>
              <w:top w:val="nil"/>
              <w:left w:val="nil"/>
              <w:bottom w:val="nil"/>
              <w:right w:val="nil"/>
            </w:tcBorders>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2013-14</w:t>
            </w:r>
          </w:p>
        </w:tc>
        <w:tc>
          <w:tcPr>
            <w:tcW w:w="885" w:type="dxa"/>
            <w:tcBorders>
              <w:top w:val="nil"/>
              <w:left w:val="nil"/>
              <w:bottom w:val="nil"/>
              <w:right w:val="nil"/>
            </w:tcBorders>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2014-15</w:t>
            </w:r>
          </w:p>
        </w:tc>
      </w:tr>
      <w:tr w:rsidR="007A102A" w:rsidTr="007A102A">
        <w:trPr>
          <w:trHeight w:val="226"/>
        </w:trPr>
        <w:tc>
          <w:tcPr>
            <w:tcW w:w="2819" w:type="dxa"/>
            <w:tcBorders>
              <w:top w:val="nil"/>
              <w:left w:val="nil"/>
              <w:bottom w:val="nil"/>
              <w:right w:val="nil"/>
            </w:tcBorders>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70" w:type="dxa"/>
            <w:tcBorders>
              <w:top w:val="nil"/>
              <w:left w:val="nil"/>
              <w:bottom w:val="nil"/>
              <w:right w:val="nil"/>
            </w:tcBorders>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3" w:type="dxa"/>
            <w:tcBorders>
              <w:top w:val="nil"/>
              <w:left w:val="nil"/>
              <w:bottom w:val="nil"/>
              <w:right w:val="nil"/>
            </w:tcBorders>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3" w:type="dxa"/>
            <w:tcBorders>
              <w:top w:val="nil"/>
              <w:left w:val="nil"/>
              <w:bottom w:val="nil"/>
              <w:right w:val="nil"/>
            </w:tcBorders>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85" w:type="dxa"/>
            <w:tcBorders>
              <w:top w:val="nil"/>
              <w:left w:val="nil"/>
              <w:bottom w:val="nil"/>
              <w:right w:val="nil"/>
            </w:tcBorders>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F26FBA" w:rsidTr="007A102A">
        <w:trPr>
          <w:trHeight w:val="226"/>
        </w:trPr>
        <w:tc>
          <w:tcPr>
            <w:tcW w:w="2819" w:type="dxa"/>
            <w:tcBorders>
              <w:top w:val="nil"/>
              <w:left w:val="nil"/>
              <w:bottom w:val="nil"/>
              <w:right w:val="nil"/>
            </w:tcBorders>
            <w:vAlign w:val="bottom"/>
          </w:tcPr>
          <w:p w:rsidR="00F26FB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Service Delivery Reform (continued)</w:t>
            </w:r>
          </w:p>
        </w:tc>
        <w:tc>
          <w:tcPr>
            <w:tcW w:w="78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411"/>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integrating the portfolio (continued)</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F26FBA" w:rsidTr="007A102A">
        <w:trPr>
          <w:trHeight w:val="411"/>
        </w:trPr>
        <w:tc>
          <w:tcPr>
            <w:tcW w:w="281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information and communications technology integration</w:t>
            </w:r>
          </w:p>
        </w:tc>
        <w:tc>
          <w:tcPr>
            <w:tcW w:w="78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r>
      <w:tr w:rsidR="00F26FBA" w:rsidTr="007A102A">
        <w:trPr>
          <w:trHeight w:val="211"/>
        </w:trPr>
        <w:tc>
          <w:tcPr>
            <w:tcW w:w="281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10,610 </w:t>
            </w: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3,031 </w:t>
            </w: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(10,182)</w:t>
            </w:r>
          </w:p>
        </w:tc>
        <w:tc>
          <w:tcPr>
            <w:tcW w:w="885"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(31,995)</w:t>
            </w:r>
          </w:p>
        </w:tc>
      </w:tr>
      <w:tr w:rsidR="00F26FBA" w:rsidTr="007A102A">
        <w:trPr>
          <w:trHeight w:val="211"/>
        </w:trPr>
        <w:tc>
          <w:tcPr>
            <w:tcW w:w="281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Centrelink - call centre supplementation</w:t>
            </w:r>
          </w:p>
        </w:tc>
        <w:tc>
          <w:tcPr>
            <w:tcW w:w="78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r>
      <w:tr w:rsidR="00F26FBA" w:rsidTr="007A102A">
        <w:trPr>
          <w:trHeight w:val="211"/>
        </w:trPr>
        <w:tc>
          <w:tcPr>
            <w:tcW w:w="281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51,000 </w:t>
            </w: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F26FBA" w:rsidTr="007A102A">
        <w:trPr>
          <w:trHeight w:val="211"/>
        </w:trPr>
        <w:tc>
          <w:tcPr>
            <w:tcW w:w="281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Building Australia's Future Workforce </w:t>
            </w:r>
          </w:p>
        </w:tc>
        <w:tc>
          <w:tcPr>
            <w:tcW w:w="78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r>
      <w:tr w:rsidR="00F26FBA" w:rsidTr="007A102A">
        <w:trPr>
          <w:trHeight w:val="411"/>
        </w:trPr>
        <w:tc>
          <w:tcPr>
            <w:tcW w:w="281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improved services - tailored support for job seekers</w:t>
            </w:r>
          </w:p>
        </w:tc>
        <w:tc>
          <w:tcPr>
            <w:tcW w:w="78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r>
      <w:tr w:rsidR="00F26FBA" w:rsidTr="007A102A">
        <w:trPr>
          <w:trHeight w:val="211"/>
        </w:trPr>
        <w:tc>
          <w:tcPr>
            <w:tcW w:w="281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3,815 </w:t>
            </w: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4,126 </w:t>
            </w: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5,464 </w:t>
            </w:r>
          </w:p>
        </w:tc>
        <w:tc>
          <w:tcPr>
            <w:tcW w:w="885"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6,122 </w:t>
            </w: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Community Innovation through Collaboration</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1,474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1,488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1,502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1,516 </w:t>
            </w: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Administered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2,760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10,790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9,821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8,853 </w:t>
            </w:r>
          </w:p>
        </w:tc>
      </w:tr>
      <w:tr w:rsidR="007A102A" w:rsidTr="007A102A">
        <w:trPr>
          <w:trHeight w:val="581"/>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Fraud prevention and compliance </w:t>
            </w:r>
          </w:p>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improving compliance with income reporting</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3,196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2,095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1,573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2,589 </w:t>
            </w:r>
          </w:p>
        </w:tc>
      </w:tr>
      <w:tr w:rsidR="007A102A" w:rsidTr="007A102A">
        <w:trPr>
          <w:trHeight w:val="382"/>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Attorney-General's Department</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425"/>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Natural Disaster Recovery and Rebuilding</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425"/>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 Assistance to individuals affected by floods in Queensland and other states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69"/>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1</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13,600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7A102A">
        <w:trPr>
          <w:trHeight w:val="425"/>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 assistance to individuals affected by Tropical Cyclone Yasi</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26"/>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1</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6,400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Agriculture, Fisheries and Forestry</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Drought Assistance</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396"/>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Exceptional Circumstances assistance for primary producers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40"/>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1</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382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338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7A102A">
        <w:trPr>
          <w:trHeight w:val="396"/>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Exceptional Circumstances assistance for small businesses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26"/>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1</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434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7A102A">
        <w:trPr>
          <w:trHeight w:val="382"/>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re-establishment assistance - extension </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503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18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7A102A">
        <w:trPr>
          <w:trHeight w:val="382"/>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transitional income support - extension</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1,626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37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7A102A">
        <w:trPr>
          <w:trHeight w:val="382"/>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professional advice and planning grant - wind up costs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1</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(1,175)</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1,331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7A102A">
        <w:trPr>
          <w:trHeight w:val="567"/>
        </w:trPr>
        <w:tc>
          <w:tcPr>
            <w:tcW w:w="281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Drought policy reform - pilot of new measures in Western Australia - extension and expansion</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1"/>
        </w:trPr>
        <w:tc>
          <w:tcPr>
            <w:tcW w:w="2819"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7,358 </w:t>
            </w:r>
          </w:p>
        </w:tc>
        <w:tc>
          <w:tcPr>
            <w:tcW w:w="853"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105 </w:t>
            </w:r>
          </w:p>
        </w:tc>
        <w:tc>
          <w:tcPr>
            <w:tcW w:w="853"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bl>
    <w:p w:rsidR="00BB4934" w:rsidRPr="00865628" w:rsidRDefault="00BB4934" w:rsidP="00BB643C">
      <w:pPr>
        <w:pStyle w:val="ChartandTableFootnote"/>
        <w:tabs>
          <w:tab w:val="clear" w:pos="284"/>
          <w:tab w:val="left" w:pos="300"/>
        </w:tabs>
        <w:ind w:left="0" w:firstLine="0"/>
        <w:rPr>
          <w:sz w:val="2"/>
          <w:szCs w:val="2"/>
        </w:rPr>
      </w:pPr>
    </w:p>
    <w:p w:rsidR="00CE14E3" w:rsidRDefault="006D2013" w:rsidP="00F06396">
      <w:pPr>
        <w:pStyle w:val="ChartandTableFootnote"/>
        <w:numPr>
          <w:ilvl w:val="1"/>
          <w:numId w:val="19"/>
        </w:numPr>
        <w:tabs>
          <w:tab w:val="clear" w:pos="284"/>
          <w:tab w:val="clear" w:pos="1080"/>
          <w:tab w:val="num" w:pos="300"/>
        </w:tabs>
        <w:ind w:left="300" w:hanging="300"/>
      </w:pPr>
      <w:r>
        <w:t>Measures for 2010</w:t>
      </w:r>
      <w:r w:rsidR="00BB643C" w:rsidRPr="0037158D">
        <w:t>–11 are related to Centrelink.</w:t>
      </w:r>
      <w:r w:rsidR="00BB643C">
        <w:t xml:space="preserve"> </w:t>
      </w:r>
    </w:p>
    <w:p w:rsidR="00BB643C" w:rsidRDefault="00BB643C" w:rsidP="00BB643C">
      <w:pPr>
        <w:pStyle w:val="TableGraphic"/>
        <w:rPr>
          <w:rFonts w:ascii="Arial" w:hAnsi="Arial" w:cs="Arial"/>
          <w:sz w:val="16"/>
          <w:szCs w:val="16"/>
        </w:rPr>
      </w:pPr>
      <w:r w:rsidRPr="009B35A5">
        <w:rPr>
          <w:rFonts w:ascii="Arial" w:hAnsi="Arial" w:cs="Arial"/>
          <w:sz w:val="16"/>
          <w:szCs w:val="16"/>
        </w:rPr>
        <w:t>Prepared on a Government Finance Statistics (fiscal) basis.</w:t>
      </w:r>
    </w:p>
    <w:p w:rsidR="00AF1E42" w:rsidRDefault="0037158D" w:rsidP="00610A3A">
      <w:pPr>
        <w:pStyle w:val="TableHeading"/>
        <w:tabs>
          <w:tab w:val="left" w:pos="300"/>
        </w:tabs>
        <w:jc w:val="both"/>
      </w:pPr>
      <w:r>
        <w:br w:type="page"/>
      </w:r>
      <w:r w:rsidR="00BB643C" w:rsidRPr="002B779E">
        <w:t>T</w:t>
      </w:r>
      <w:r w:rsidR="00BB643C">
        <w:t xml:space="preserve">able 1.2: </w:t>
      </w:r>
      <w:r w:rsidR="00610A3A">
        <w:t>Department of Human Services 2011</w:t>
      </w:r>
      <w:r w:rsidR="00610A3A">
        <w:noBreakHyphen/>
        <w:t xml:space="preserve">12 </w:t>
      </w:r>
      <w:smartTag w:uri="urn:schemas-microsoft-com:office:smarttags" w:element="PersonName">
        <w:r w:rsidR="00610A3A">
          <w:t>Budget</w:t>
        </w:r>
      </w:smartTag>
      <w:r w:rsidR="00610A3A">
        <w:t xml:space="preserve"> m</w:t>
      </w:r>
      <w:r w:rsidR="00610A3A" w:rsidRPr="002B779E">
        <w:t>easures</w:t>
      </w:r>
      <w:r w:rsidR="00610A3A">
        <w:t xml:space="preserve"> (continued)</w:t>
      </w:r>
    </w:p>
    <w:tbl>
      <w:tblPr>
        <w:tblW w:w="7841" w:type="dxa"/>
        <w:tblInd w:w="78" w:type="dxa"/>
        <w:tblLayout w:type="fixed"/>
        <w:tblLook w:val="0000" w:firstRow="0" w:lastRow="0" w:firstColumn="0" w:lastColumn="0" w:noHBand="0" w:noVBand="0"/>
      </w:tblPr>
      <w:tblGrid>
        <w:gridCol w:w="2819"/>
        <w:gridCol w:w="789"/>
        <w:gridCol w:w="772"/>
        <w:gridCol w:w="870"/>
        <w:gridCol w:w="853"/>
        <w:gridCol w:w="853"/>
        <w:gridCol w:w="885"/>
      </w:tblGrid>
      <w:tr w:rsidR="00F26FBA" w:rsidTr="007A102A">
        <w:trPr>
          <w:trHeight w:val="211"/>
        </w:trPr>
        <w:tc>
          <w:tcPr>
            <w:tcW w:w="2819"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789" w:type="dxa"/>
            <w:tcBorders>
              <w:top w:val="single" w:sz="2" w:space="0" w:color="auto"/>
              <w:left w:val="nil"/>
              <w:bottom w:val="nil"/>
              <w:right w:val="nil"/>
            </w:tcBorders>
          </w:tcPr>
          <w:p w:rsidR="00F26FBA" w:rsidRDefault="00F26FBA" w:rsidP="007A102A">
            <w:pPr>
              <w:autoSpaceDE w:val="0"/>
              <w:autoSpaceDN w:val="0"/>
              <w:adjustRightInd w:val="0"/>
              <w:spacing w:after="0" w:line="240" w:lineRule="auto"/>
              <w:ind w:left="-30"/>
              <w:jc w:val="center"/>
              <w:rPr>
                <w:rFonts w:ascii="Arial" w:hAnsi="Arial" w:cs="Arial"/>
                <w:color w:val="000000"/>
                <w:sz w:val="15"/>
                <w:szCs w:val="15"/>
              </w:rPr>
            </w:pPr>
            <w:r>
              <w:rPr>
                <w:rFonts w:ascii="Arial" w:hAnsi="Arial" w:cs="Arial"/>
                <w:color w:val="000000"/>
                <w:sz w:val="15"/>
                <w:szCs w:val="15"/>
              </w:rPr>
              <w:t>Program</w:t>
            </w:r>
          </w:p>
        </w:tc>
        <w:tc>
          <w:tcPr>
            <w:tcW w:w="772"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2010-11</w:t>
            </w:r>
          </w:p>
        </w:tc>
        <w:tc>
          <w:tcPr>
            <w:tcW w:w="870"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853"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2012-13</w:t>
            </w:r>
          </w:p>
        </w:tc>
        <w:tc>
          <w:tcPr>
            <w:tcW w:w="853"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2013-14</w:t>
            </w:r>
          </w:p>
        </w:tc>
        <w:tc>
          <w:tcPr>
            <w:tcW w:w="885"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2014-15</w:t>
            </w:r>
          </w:p>
        </w:tc>
      </w:tr>
      <w:tr w:rsidR="00F26FBA" w:rsidTr="007A102A">
        <w:trPr>
          <w:trHeight w:val="211"/>
        </w:trPr>
        <w:tc>
          <w:tcPr>
            <w:tcW w:w="2819"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789"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772"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70"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3"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3"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85"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F26FBA" w:rsidTr="007A102A">
        <w:trPr>
          <w:trHeight w:val="211"/>
        </w:trPr>
        <w:tc>
          <w:tcPr>
            <w:tcW w:w="2819" w:type="dxa"/>
            <w:tcBorders>
              <w:top w:val="nil"/>
              <w:left w:val="nil"/>
              <w:bottom w:val="nil"/>
              <w:right w:val="nil"/>
            </w:tcBorders>
            <w:vAlign w:val="bottom"/>
          </w:tcPr>
          <w:p w:rsidR="00F26FBA" w:rsidRDefault="00F26FBA" w:rsidP="007A102A">
            <w:pPr>
              <w:autoSpaceDE w:val="0"/>
              <w:autoSpaceDN w:val="0"/>
              <w:adjustRightInd w:val="0"/>
              <w:spacing w:before="60" w:after="0" w:line="240" w:lineRule="auto"/>
              <w:jc w:val="left"/>
              <w:rPr>
                <w:rFonts w:ascii="Arial" w:hAnsi="Arial" w:cs="Arial"/>
                <w:b/>
                <w:bCs/>
                <w:color w:val="000000"/>
                <w:sz w:val="15"/>
                <w:szCs w:val="15"/>
              </w:rPr>
            </w:pPr>
            <w:r>
              <w:rPr>
                <w:rFonts w:ascii="Arial" w:hAnsi="Arial" w:cs="Arial"/>
                <w:b/>
                <w:bCs/>
                <w:color w:val="000000"/>
                <w:sz w:val="15"/>
                <w:szCs w:val="15"/>
              </w:rPr>
              <w:t xml:space="preserve">Expense measures </w:t>
            </w:r>
          </w:p>
        </w:tc>
        <w:tc>
          <w:tcPr>
            <w:tcW w:w="78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b/>
                <w:bCs/>
                <w:color w:val="000000"/>
                <w:sz w:val="15"/>
                <w:szCs w:val="15"/>
              </w:rPr>
            </w:pPr>
            <w:r>
              <w:rPr>
                <w:rFonts w:ascii="Arial" w:hAnsi="Arial" w:cs="Arial"/>
                <w:b/>
                <w:bCs/>
                <w:color w:val="000000"/>
                <w:sz w:val="15"/>
                <w:szCs w:val="15"/>
              </w:rPr>
              <w:t>Department of  Broadband, Communications and the Digital Economy</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Digital Television Switchover - assistance</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6,445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22,938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11,813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229 </w:t>
            </w:r>
          </w:p>
        </w:tc>
      </w:tr>
      <w:tr w:rsidR="007A102A" w:rsidTr="007A102A">
        <w:trPr>
          <w:trHeight w:val="411"/>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b/>
                <w:bCs/>
                <w:color w:val="000000"/>
                <w:sz w:val="15"/>
                <w:szCs w:val="15"/>
              </w:rPr>
            </w:pPr>
            <w:r>
              <w:rPr>
                <w:rFonts w:ascii="Arial" w:hAnsi="Arial" w:cs="Arial"/>
                <w:b/>
                <w:bCs/>
                <w:color w:val="000000"/>
                <w:sz w:val="15"/>
                <w:szCs w:val="15"/>
              </w:rPr>
              <w:t>Department of Education, Employment and Workplace Relations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411"/>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Natural Disaster Recovery and Rebuilding</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411"/>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xml:space="preserve"> - assistance to business affected by Tropical Cyclone Yasi</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26"/>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1</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7,000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xml:space="preserve">Employment Services Arrangements   </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54"/>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efficiencies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1,051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(15,029)</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(15,200)</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(15,332)</w:t>
            </w:r>
          </w:p>
        </w:tc>
      </w:tr>
      <w:tr w:rsidR="007A102A" w:rsidTr="007A102A">
        <w:trPr>
          <w:trHeight w:val="763"/>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New Enterprise Incentive Scheme - continuation and extension to Disability Employment Services job seekers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83"/>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1,285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77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74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112 </w:t>
            </w: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Building Australia's Future Workforce</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425"/>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connection interviews and jobseeker workshops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4,039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4,769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4,409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4,446 </w:t>
            </w:r>
          </w:p>
        </w:tc>
      </w:tr>
      <w:tr w:rsidR="007A102A" w:rsidTr="007A102A">
        <w:trPr>
          <w:trHeight w:val="425"/>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xml:space="preserve">- wage subsidy for the very long-term unemployed </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1,309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185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187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188 </w:t>
            </w:r>
          </w:p>
        </w:tc>
      </w:tr>
      <w:tr w:rsidR="007A102A" w:rsidTr="007A102A">
        <w:trPr>
          <w:trHeight w:val="425"/>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increased obligations for very long-term unemployed job seekers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1,599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1,664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1,674 </w:t>
            </w:r>
          </w:p>
        </w:tc>
      </w:tr>
      <w:tr w:rsidR="007A102A" w:rsidTr="007A102A">
        <w:trPr>
          <w:trHeight w:val="440"/>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Priority Employment Area initiatives - extension</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40"/>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3,084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3,055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7A102A">
        <w:trPr>
          <w:trHeight w:val="593"/>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changes to the eligibility criteria for Youth Allowance (Other) and Newstart Allowance</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7,514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3,135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2,224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2,189 </w:t>
            </w:r>
          </w:p>
        </w:tc>
      </w:tr>
      <w:tr w:rsidR="007A102A" w:rsidTr="007A102A">
        <w:trPr>
          <w:trHeight w:val="425"/>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improved access to the Language, Literacy, and Numeracy program</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83"/>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52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52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53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53 </w:t>
            </w:r>
          </w:p>
        </w:tc>
      </w:tr>
      <w:tr w:rsidR="007A102A" w:rsidTr="007A102A">
        <w:trPr>
          <w:trHeight w:val="411"/>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incentives for single parents and Parenting Payment reforms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83"/>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2,932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6,037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2,345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2,878 </w:t>
            </w:r>
          </w:p>
        </w:tc>
      </w:tr>
      <w:tr w:rsidR="007A102A" w:rsidTr="007A102A">
        <w:trPr>
          <w:trHeight w:val="211"/>
        </w:trPr>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streamlining services for job seekers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rPr>
          <w:trHeight w:val="226"/>
        </w:trPr>
        <w:tc>
          <w:tcPr>
            <w:tcW w:w="2819" w:type="dxa"/>
            <w:tcBorders>
              <w:top w:val="nil"/>
              <w:left w:val="nil"/>
              <w:bottom w:val="single" w:sz="2" w:space="0" w:color="auto"/>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8,710 </w:t>
            </w:r>
          </w:p>
        </w:tc>
        <w:tc>
          <w:tcPr>
            <w:tcW w:w="853"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7,918 </w:t>
            </w:r>
          </w:p>
        </w:tc>
        <w:tc>
          <w:tcPr>
            <w:tcW w:w="853"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6,278 </w:t>
            </w:r>
          </w:p>
        </w:tc>
        <w:tc>
          <w:tcPr>
            <w:tcW w:w="885"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6,193 </w:t>
            </w:r>
          </w:p>
        </w:tc>
      </w:tr>
    </w:tbl>
    <w:p w:rsidR="00545841" w:rsidRPr="00FD3E6E" w:rsidRDefault="00545841" w:rsidP="00856408">
      <w:pPr>
        <w:pStyle w:val="TableHeadingcontinued"/>
        <w:tabs>
          <w:tab w:val="left" w:pos="300"/>
        </w:tabs>
        <w:spacing w:before="0" w:after="0"/>
        <w:rPr>
          <w:rFonts w:ascii="Arial" w:hAnsi="Arial" w:cs="Arial"/>
          <w:b w:val="0"/>
          <w:sz w:val="4"/>
          <w:szCs w:val="4"/>
        </w:rPr>
      </w:pPr>
    </w:p>
    <w:p w:rsidR="00846446" w:rsidRDefault="00846446" w:rsidP="00F06396">
      <w:pPr>
        <w:pStyle w:val="ChartandTableFootnote"/>
        <w:numPr>
          <w:ilvl w:val="0"/>
          <w:numId w:val="29"/>
        </w:numPr>
        <w:tabs>
          <w:tab w:val="clear" w:pos="284"/>
          <w:tab w:val="clear" w:pos="1080"/>
          <w:tab w:val="num" w:pos="300"/>
        </w:tabs>
        <w:ind w:left="300" w:hanging="300"/>
      </w:pPr>
      <w:bookmarkStart w:id="30" w:name="OLE_LINK4"/>
      <w:r w:rsidRPr="0037158D">
        <w:t>Measures for 2010–11 are related to Centrelink.</w:t>
      </w:r>
      <w:r>
        <w:t xml:space="preserve"> </w:t>
      </w:r>
    </w:p>
    <w:bookmarkEnd w:id="30"/>
    <w:p w:rsidR="006E4C8A" w:rsidRDefault="006E4C8A" w:rsidP="00545841">
      <w:pPr>
        <w:pStyle w:val="TableHeadingcontinued"/>
        <w:spacing w:before="0"/>
        <w:jc w:val="both"/>
        <w:rPr>
          <w:rFonts w:ascii="Arial" w:hAnsi="Arial" w:cs="Arial"/>
          <w:sz w:val="16"/>
          <w:szCs w:val="16"/>
        </w:rPr>
      </w:pPr>
      <w:r w:rsidRPr="00AF1E42">
        <w:rPr>
          <w:rFonts w:ascii="Arial" w:hAnsi="Arial" w:cs="Arial"/>
          <w:b w:val="0"/>
          <w:sz w:val="16"/>
          <w:szCs w:val="16"/>
        </w:rPr>
        <w:t>Prepared on a Government Finance Statistics (fiscal) basis.</w:t>
      </w:r>
    </w:p>
    <w:p w:rsidR="00610A3A" w:rsidRDefault="00BB643C" w:rsidP="00610A3A">
      <w:pPr>
        <w:pStyle w:val="TableHeading"/>
        <w:tabs>
          <w:tab w:val="left" w:pos="300"/>
        </w:tabs>
        <w:jc w:val="both"/>
      </w:pPr>
      <w:r>
        <w:br w:type="page"/>
      </w:r>
      <w:r w:rsidR="006E4C8A" w:rsidRPr="002B779E">
        <w:t>T</w:t>
      </w:r>
      <w:r w:rsidR="006E4C8A">
        <w:t xml:space="preserve">able 1.2: </w:t>
      </w:r>
      <w:r w:rsidR="00610A3A">
        <w:t>Department of Human Services 2011</w:t>
      </w:r>
      <w:r w:rsidR="00610A3A">
        <w:noBreakHyphen/>
        <w:t xml:space="preserve">12 </w:t>
      </w:r>
      <w:smartTag w:uri="urn:schemas-microsoft-com:office:smarttags" w:element="PersonName">
        <w:r w:rsidR="00610A3A">
          <w:t>Budget</w:t>
        </w:r>
      </w:smartTag>
      <w:r w:rsidR="00610A3A">
        <w:t xml:space="preserve"> m</w:t>
      </w:r>
      <w:r w:rsidR="00610A3A" w:rsidRPr="002B779E">
        <w:t>easures</w:t>
      </w:r>
      <w:r w:rsidR="00610A3A">
        <w:t xml:space="preserve"> (continued)</w:t>
      </w:r>
    </w:p>
    <w:tbl>
      <w:tblPr>
        <w:tblW w:w="7841" w:type="dxa"/>
        <w:tblInd w:w="78" w:type="dxa"/>
        <w:tblLayout w:type="fixed"/>
        <w:tblLook w:val="0000" w:firstRow="0" w:lastRow="0" w:firstColumn="0" w:lastColumn="0" w:noHBand="0" w:noVBand="0"/>
      </w:tblPr>
      <w:tblGrid>
        <w:gridCol w:w="2819"/>
        <w:gridCol w:w="789"/>
        <w:gridCol w:w="772"/>
        <w:gridCol w:w="870"/>
        <w:gridCol w:w="853"/>
        <w:gridCol w:w="853"/>
        <w:gridCol w:w="885"/>
      </w:tblGrid>
      <w:tr w:rsidR="00F26FBA" w:rsidTr="007A102A">
        <w:trPr>
          <w:trHeight w:val="283"/>
        </w:trPr>
        <w:tc>
          <w:tcPr>
            <w:tcW w:w="2819"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789" w:type="dxa"/>
            <w:tcBorders>
              <w:top w:val="single" w:sz="2" w:space="0" w:color="auto"/>
              <w:left w:val="nil"/>
              <w:bottom w:val="nil"/>
              <w:right w:val="nil"/>
            </w:tcBorders>
          </w:tcPr>
          <w:p w:rsidR="00F26FBA" w:rsidRDefault="00F26FBA" w:rsidP="007A102A">
            <w:pPr>
              <w:autoSpaceDE w:val="0"/>
              <w:autoSpaceDN w:val="0"/>
              <w:adjustRightInd w:val="0"/>
              <w:spacing w:after="0" w:line="240" w:lineRule="auto"/>
              <w:ind w:left="-170"/>
              <w:jc w:val="center"/>
              <w:rPr>
                <w:rFonts w:ascii="Arial" w:hAnsi="Arial" w:cs="Arial"/>
                <w:color w:val="000000"/>
                <w:sz w:val="15"/>
                <w:szCs w:val="15"/>
              </w:rPr>
            </w:pPr>
            <w:r>
              <w:rPr>
                <w:rFonts w:ascii="Arial" w:hAnsi="Arial" w:cs="Arial"/>
                <w:color w:val="000000"/>
                <w:sz w:val="15"/>
                <w:szCs w:val="15"/>
              </w:rPr>
              <w:t>Program</w:t>
            </w:r>
          </w:p>
        </w:tc>
        <w:tc>
          <w:tcPr>
            <w:tcW w:w="772"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2010-11</w:t>
            </w:r>
          </w:p>
        </w:tc>
        <w:tc>
          <w:tcPr>
            <w:tcW w:w="870"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853"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2012-13</w:t>
            </w:r>
          </w:p>
        </w:tc>
        <w:tc>
          <w:tcPr>
            <w:tcW w:w="853"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2013-14</w:t>
            </w:r>
          </w:p>
        </w:tc>
        <w:tc>
          <w:tcPr>
            <w:tcW w:w="885"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2014-15</w:t>
            </w:r>
          </w:p>
        </w:tc>
      </w:tr>
      <w:tr w:rsidR="00F26FBA" w:rsidTr="007A102A">
        <w:trPr>
          <w:trHeight w:val="283"/>
        </w:trPr>
        <w:tc>
          <w:tcPr>
            <w:tcW w:w="2819"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789" w:type="dxa"/>
            <w:tcBorders>
              <w:top w:val="nil"/>
              <w:left w:val="nil"/>
              <w:bottom w:val="single" w:sz="2" w:space="0" w:color="auto"/>
              <w:right w:val="nil"/>
            </w:tcBorders>
            <w:vAlign w:val="bottom"/>
          </w:tcPr>
          <w:p w:rsidR="00F26FBA" w:rsidRDefault="00F26FB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70"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3"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3"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85"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F26FBA" w:rsidTr="007A102A">
        <w:tc>
          <w:tcPr>
            <w:tcW w:w="2819" w:type="dxa"/>
            <w:tcBorders>
              <w:top w:val="nil"/>
              <w:left w:val="nil"/>
              <w:bottom w:val="nil"/>
              <w:right w:val="nil"/>
            </w:tcBorders>
            <w:vAlign w:val="bottom"/>
          </w:tcPr>
          <w:p w:rsidR="00F26FBA" w:rsidRDefault="00F26FBA" w:rsidP="007A102A">
            <w:pPr>
              <w:autoSpaceDE w:val="0"/>
              <w:autoSpaceDN w:val="0"/>
              <w:adjustRightInd w:val="0"/>
              <w:spacing w:before="60" w:after="0" w:line="240" w:lineRule="auto"/>
              <w:jc w:val="left"/>
              <w:rPr>
                <w:rFonts w:ascii="Arial" w:hAnsi="Arial" w:cs="Arial"/>
                <w:b/>
                <w:bCs/>
                <w:color w:val="000000"/>
                <w:sz w:val="15"/>
                <w:szCs w:val="15"/>
              </w:rPr>
            </w:pPr>
            <w:r>
              <w:rPr>
                <w:rFonts w:ascii="Arial" w:hAnsi="Arial" w:cs="Arial"/>
                <w:b/>
                <w:bCs/>
                <w:color w:val="000000"/>
                <w:sz w:val="15"/>
                <w:szCs w:val="15"/>
              </w:rPr>
              <w:t xml:space="preserve">Expense measures </w:t>
            </w:r>
          </w:p>
        </w:tc>
        <w:tc>
          <w:tcPr>
            <w:tcW w:w="78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b/>
                <w:bCs/>
                <w:color w:val="000000"/>
                <w:sz w:val="15"/>
                <w:szCs w:val="15"/>
              </w:rPr>
            </w:pPr>
            <w:r>
              <w:rPr>
                <w:rFonts w:ascii="Arial" w:hAnsi="Arial" w:cs="Arial"/>
                <w:b/>
                <w:bCs/>
                <w:color w:val="000000"/>
                <w:sz w:val="15"/>
                <w:szCs w:val="15"/>
              </w:rPr>
              <w:t>Department of Education, Employment and Workplace Relations (continued)</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Building Australia's Future Workforce (continued)</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targeted locations income management and extension of the School Enrolment and Attendance measure</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5,606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Compulsory Participation Plans and Support for Teenage Parents - targeted locations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9,692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4,650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1,977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1,979 </w:t>
            </w: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transitional activities for early school leavers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677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101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102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103 </w:t>
            </w: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Compulsory participation requirements for Jobless Families - targeted locations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11,977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8,696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6,669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6,676 </w:t>
            </w: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b/>
                <w:bCs/>
                <w:color w:val="000000"/>
                <w:sz w:val="15"/>
                <w:szCs w:val="15"/>
              </w:rPr>
            </w:pPr>
            <w:r>
              <w:rPr>
                <w:rFonts w:ascii="Arial" w:hAnsi="Arial" w:cs="Arial"/>
                <w:b/>
                <w:bCs/>
                <w:color w:val="000000"/>
                <w:sz w:val="15"/>
                <w:szCs w:val="15"/>
              </w:rPr>
              <w:t>Department of Families, Housing, Community Services and Indigenous Affairs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Strengthening Compliance for Child Support</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10,836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10,931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11,026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11,510 </w:t>
            </w: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Social Security Agreement with Hungary</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6"/>
                <w:szCs w:val="16"/>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6"/>
                <w:szCs w:val="16"/>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6"/>
                <w:szCs w:val="16"/>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6"/>
                <w:szCs w:val="16"/>
              </w:rPr>
            </w:pP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1,410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2,784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372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375 </w:t>
            </w: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Provisional Partner Visa Holders - Entitlement to Special Benefit</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1,138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(913)</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(1,041)</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(1,050)</w:t>
            </w: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Cape York Welfare Reform Trial - extension</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1,437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1,450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Child protection and voluntary income management in Western Australia - continuation</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10,849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xml:space="preserve">Disability Support Pension - portability changes </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1</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205 </w:t>
            </w: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1,582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1,581 </w:t>
            </w: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1,243 </w:t>
            </w: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1,076 </w:t>
            </w: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Reform of family payments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6"/>
                <w:szCs w:val="16"/>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6"/>
                <w:szCs w:val="16"/>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6"/>
                <w:szCs w:val="16"/>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6"/>
                <w:szCs w:val="16"/>
              </w:rPr>
            </w:pPr>
          </w:p>
        </w:tc>
      </w:tr>
      <w:tr w:rsidR="007A102A" w:rsidTr="007A102A">
        <w:tc>
          <w:tcPr>
            <w:tcW w:w="2819" w:type="dxa"/>
            <w:tcBorders>
              <w:top w:val="nil"/>
              <w:left w:val="nil"/>
              <w:bottom w:val="nil"/>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pause indexation of upper limits and thresholds for a further two years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6"/>
                <w:szCs w:val="16"/>
              </w:rPr>
            </w:pPr>
          </w:p>
        </w:tc>
        <w:tc>
          <w:tcPr>
            <w:tcW w:w="870"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6"/>
                <w:szCs w:val="16"/>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6"/>
                <w:szCs w:val="16"/>
              </w:rPr>
            </w:pPr>
          </w:p>
        </w:tc>
        <w:tc>
          <w:tcPr>
            <w:tcW w:w="853"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6"/>
                <w:szCs w:val="16"/>
              </w:rPr>
            </w:pPr>
          </w:p>
        </w:tc>
      </w:tr>
      <w:tr w:rsidR="007A102A" w:rsidTr="007A102A">
        <w:tc>
          <w:tcPr>
            <w:tcW w:w="2819" w:type="dxa"/>
            <w:tcBorders>
              <w:top w:val="nil"/>
              <w:left w:val="nil"/>
              <w:bottom w:val="single" w:sz="2" w:space="0" w:color="auto"/>
              <w:right w:val="nil"/>
            </w:tcBorders>
            <w:vAlign w:val="bottom"/>
          </w:tcPr>
          <w:p w:rsidR="007A102A" w:rsidRDefault="007A102A" w:rsidP="007A102A">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78 </w:t>
            </w:r>
          </w:p>
        </w:tc>
        <w:tc>
          <w:tcPr>
            <w:tcW w:w="853"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(5,008)</w:t>
            </w:r>
          </w:p>
        </w:tc>
        <w:tc>
          <w:tcPr>
            <w:tcW w:w="853"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(14,521)</w:t>
            </w:r>
          </w:p>
        </w:tc>
        <w:tc>
          <w:tcPr>
            <w:tcW w:w="885"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(14,652)</w:t>
            </w:r>
          </w:p>
        </w:tc>
      </w:tr>
    </w:tbl>
    <w:p w:rsidR="00846446" w:rsidRPr="00846446" w:rsidRDefault="00846446" w:rsidP="00545841">
      <w:pPr>
        <w:pStyle w:val="TableHeadingcontinued"/>
        <w:tabs>
          <w:tab w:val="left" w:pos="300"/>
        </w:tabs>
        <w:spacing w:before="0" w:after="0"/>
        <w:rPr>
          <w:rFonts w:ascii="Arial" w:hAnsi="Arial" w:cs="Arial"/>
          <w:b w:val="0"/>
          <w:sz w:val="4"/>
          <w:szCs w:val="4"/>
        </w:rPr>
      </w:pPr>
    </w:p>
    <w:p w:rsidR="007423AD" w:rsidRDefault="007423AD" w:rsidP="007423AD">
      <w:pPr>
        <w:pStyle w:val="ChartandTableFootnote"/>
        <w:numPr>
          <w:ilvl w:val="0"/>
          <w:numId w:val="32"/>
        </w:numPr>
        <w:tabs>
          <w:tab w:val="clear" w:pos="284"/>
          <w:tab w:val="clear" w:pos="720"/>
          <w:tab w:val="num" w:pos="300"/>
        </w:tabs>
        <w:ind w:left="300" w:hanging="300"/>
      </w:pPr>
      <w:r w:rsidRPr="0037158D">
        <w:t>Measures for 2010–11 are related to Centrelink.</w:t>
      </w:r>
      <w:r>
        <w:t xml:space="preserve"> </w:t>
      </w:r>
    </w:p>
    <w:p w:rsidR="006E6377" w:rsidRPr="000C4A24" w:rsidRDefault="006E6377" w:rsidP="00545841">
      <w:pPr>
        <w:pStyle w:val="TableHeadingcontinued"/>
        <w:tabs>
          <w:tab w:val="left" w:pos="300"/>
        </w:tabs>
        <w:spacing w:before="0" w:after="0"/>
        <w:rPr>
          <w:rFonts w:ascii="Arial" w:hAnsi="Arial" w:cs="Arial"/>
          <w:b w:val="0"/>
          <w:sz w:val="16"/>
          <w:szCs w:val="16"/>
        </w:rPr>
      </w:pPr>
      <w:r w:rsidRPr="00AF1E42">
        <w:rPr>
          <w:rFonts w:ascii="Arial" w:hAnsi="Arial" w:cs="Arial"/>
          <w:b w:val="0"/>
          <w:sz w:val="16"/>
          <w:szCs w:val="16"/>
        </w:rPr>
        <w:t>Prepared on a Government Finance Statistics (fiscal) basis.</w:t>
      </w:r>
    </w:p>
    <w:p w:rsidR="00610A3A" w:rsidRDefault="006E4C8A" w:rsidP="00610A3A">
      <w:pPr>
        <w:pStyle w:val="TableHeading"/>
        <w:tabs>
          <w:tab w:val="left" w:pos="300"/>
        </w:tabs>
        <w:jc w:val="both"/>
      </w:pPr>
      <w:r>
        <w:br w:type="page"/>
      </w:r>
      <w:bookmarkStart w:id="31" w:name="_Ref291676711"/>
      <w:bookmarkStart w:id="32" w:name="_Toc190682312"/>
      <w:bookmarkStart w:id="33" w:name="_Toc190682530"/>
      <w:r w:rsidR="00DF5AE0" w:rsidRPr="002B779E">
        <w:t>T</w:t>
      </w:r>
      <w:r w:rsidR="00DF5AE0">
        <w:t xml:space="preserve">able 1.2: </w:t>
      </w:r>
      <w:r w:rsidR="00610A3A">
        <w:t>Department of Human Services 2011</w:t>
      </w:r>
      <w:r w:rsidR="00610A3A">
        <w:noBreakHyphen/>
        <w:t xml:space="preserve">12 </w:t>
      </w:r>
      <w:smartTag w:uri="urn:schemas-microsoft-com:office:smarttags" w:element="PersonName">
        <w:r w:rsidR="00610A3A">
          <w:t>Budget</w:t>
        </w:r>
      </w:smartTag>
      <w:r w:rsidR="00610A3A">
        <w:t xml:space="preserve"> m</w:t>
      </w:r>
      <w:r w:rsidR="00610A3A" w:rsidRPr="002B779E">
        <w:t>easures</w:t>
      </w:r>
      <w:r w:rsidR="00610A3A">
        <w:t xml:space="preserve"> (continued)</w:t>
      </w:r>
    </w:p>
    <w:tbl>
      <w:tblPr>
        <w:tblW w:w="7841" w:type="dxa"/>
        <w:tblInd w:w="78" w:type="dxa"/>
        <w:tblLayout w:type="fixed"/>
        <w:tblLook w:val="0000" w:firstRow="0" w:lastRow="0" w:firstColumn="0" w:lastColumn="0" w:noHBand="0" w:noVBand="0"/>
      </w:tblPr>
      <w:tblGrid>
        <w:gridCol w:w="2819"/>
        <w:gridCol w:w="789"/>
        <w:gridCol w:w="772"/>
        <w:gridCol w:w="870"/>
        <w:gridCol w:w="853"/>
        <w:gridCol w:w="853"/>
        <w:gridCol w:w="885"/>
      </w:tblGrid>
      <w:tr w:rsidR="00F26FBA" w:rsidTr="007A102A">
        <w:trPr>
          <w:trHeight w:val="211"/>
        </w:trPr>
        <w:tc>
          <w:tcPr>
            <w:tcW w:w="2819"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789" w:type="dxa"/>
            <w:tcBorders>
              <w:top w:val="single" w:sz="2" w:space="0" w:color="auto"/>
              <w:left w:val="nil"/>
              <w:bottom w:val="nil"/>
              <w:right w:val="nil"/>
            </w:tcBorders>
            <w:vAlign w:val="bottom"/>
          </w:tcPr>
          <w:p w:rsidR="00F26FBA" w:rsidRDefault="00F26FBA" w:rsidP="007A102A">
            <w:pPr>
              <w:autoSpaceDE w:val="0"/>
              <w:autoSpaceDN w:val="0"/>
              <w:adjustRightInd w:val="0"/>
              <w:spacing w:after="0" w:line="240" w:lineRule="auto"/>
              <w:ind w:left="-170"/>
              <w:jc w:val="center"/>
              <w:rPr>
                <w:rFonts w:ascii="Arial" w:hAnsi="Arial" w:cs="Arial"/>
                <w:color w:val="000000"/>
                <w:sz w:val="15"/>
                <w:szCs w:val="15"/>
              </w:rPr>
            </w:pPr>
            <w:r>
              <w:rPr>
                <w:rFonts w:ascii="Arial" w:hAnsi="Arial" w:cs="Arial"/>
                <w:color w:val="000000"/>
                <w:sz w:val="15"/>
                <w:szCs w:val="15"/>
              </w:rPr>
              <w:t>Program</w:t>
            </w:r>
          </w:p>
        </w:tc>
        <w:tc>
          <w:tcPr>
            <w:tcW w:w="772"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2010-11</w:t>
            </w:r>
          </w:p>
        </w:tc>
        <w:tc>
          <w:tcPr>
            <w:tcW w:w="870"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853"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2012-13</w:t>
            </w:r>
          </w:p>
        </w:tc>
        <w:tc>
          <w:tcPr>
            <w:tcW w:w="853"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2013-14</w:t>
            </w:r>
          </w:p>
        </w:tc>
        <w:tc>
          <w:tcPr>
            <w:tcW w:w="885" w:type="dxa"/>
            <w:tcBorders>
              <w:top w:val="single" w:sz="2" w:space="0" w:color="auto"/>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2014-15</w:t>
            </w:r>
          </w:p>
        </w:tc>
      </w:tr>
      <w:tr w:rsidR="00F26FBA" w:rsidTr="007A102A">
        <w:trPr>
          <w:trHeight w:val="242"/>
        </w:trPr>
        <w:tc>
          <w:tcPr>
            <w:tcW w:w="2819" w:type="dxa"/>
            <w:tcBorders>
              <w:top w:val="nil"/>
              <w:left w:val="nil"/>
              <w:bottom w:val="nil"/>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p>
        </w:tc>
        <w:tc>
          <w:tcPr>
            <w:tcW w:w="789" w:type="dxa"/>
            <w:tcBorders>
              <w:top w:val="nil"/>
              <w:left w:val="nil"/>
              <w:bottom w:val="single" w:sz="2" w:space="0" w:color="auto"/>
              <w:right w:val="nil"/>
            </w:tcBorders>
            <w:vAlign w:val="bottom"/>
          </w:tcPr>
          <w:p w:rsidR="00F26FBA" w:rsidRDefault="00F26FB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70"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3"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3"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85" w:type="dxa"/>
            <w:tcBorders>
              <w:top w:val="nil"/>
              <w:left w:val="nil"/>
              <w:bottom w:val="single" w:sz="2" w:space="0" w:color="auto"/>
              <w:right w:val="nil"/>
            </w:tcBorders>
          </w:tcPr>
          <w:p w:rsidR="00F26FBA" w:rsidRDefault="00F26FB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F26FBA" w:rsidTr="00E71420">
        <w:trPr>
          <w:trHeight w:val="211"/>
        </w:trPr>
        <w:tc>
          <w:tcPr>
            <w:tcW w:w="2819" w:type="dxa"/>
            <w:tcBorders>
              <w:top w:val="nil"/>
              <w:left w:val="nil"/>
              <w:bottom w:val="nil"/>
              <w:right w:val="nil"/>
            </w:tcBorders>
            <w:vAlign w:val="bottom"/>
          </w:tcPr>
          <w:p w:rsidR="00F26FBA" w:rsidRDefault="00F26FBA" w:rsidP="00E7142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Expense measures </w:t>
            </w:r>
          </w:p>
        </w:tc>
        <w:tc>
          <w:tcPr>
            <w:tcW w:w="789"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F26FBA" w:rsidRDefault="00F26FBA" w:rsidP="007A102A">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382"/>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Families, Housing, Community Services and Indigenous Affairs (continued)</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382"/>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Reform of family payments (continued)</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425"/>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pause indexation of Family Tax Benefit supplements for three years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254"/>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1</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150 </w:t>
            </w: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156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(107)</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(247)</w:t>
            </w: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(491)</w:t>
            </w:r>
          </w:p>
        </w:tc>
      </w:tr>
      <w:tr w:rsidR="007A102A" w:rsidTr="00E71420">
        <w:trPr>
          <w:trHeight w:val="581"/>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Reform of Family Payments - Aligning Family Tax Benefit Part A eligibility with Youth Allowance age of independence</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211"/>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1,537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(83)</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(184)</w:t>
            </w: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(232)</w:t>
            </w:r>
          </w:p>
        </w:tc>
      </w:tr>
      <w:tr w:rsidR="007A102A" w:rsidTr="00E71420">
        <w:trPr>
          <w:trHeight w:val="607"/>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Community Development Employment Projects program - eligibility for the Approved Program of Work Supplement</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254"/>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1</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90 </w:t>
            </w: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1,896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199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201 </w:t>
            </w: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203 </w:t>
            </w:r>
          </w:p>
        </w:tc>
      </w:tr>
      <w:tr w:rsidR="007A102A" w:rsidTr="00E71420">
        <w:trPr>
          <w:trHeight w:val="254"/>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Building Australia's Future Workforce</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581"/>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implementation of more efficient and accurate assessments for Disability Support Pension</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211"/>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2,784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1,381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1,052 </w:t>
            </w: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1,061 </w:t>
            </w:r>
          </w:p>
        </w:tc>
      </w:tr>
      <w:tr w:rsidR="007A102A" w:rsidTr="00E71420">
        <w:trPr>
          <w:trHeight w:val="425"/>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Disability Support Pension - participation requirements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211"/>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8,308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14,917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25,703 </w:t>
            </w: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18,832 </w:t>
            </w:r>
          </w:p>
        </w:tc>
      </w:tr>
      <w:tr w:rsidR="007A102A" w:rsidTr="00E71420">
        <w:trPr>
          <w:trHeight w:val="581"/>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Disability Support Pension - allow all recipients to work up to 30 hours a week</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211"/>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742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2,676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E71420">
        <w:trPr>
          <w:trHeight w:val="367"/>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Audit of Disability Support Pension new claim assessments </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E71420">
        <w:trPr>
          <w:trHeight w:val="211"/>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749"/>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 targeted locations income management and extension of the School Enrolment and Attendance Measure </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211"/>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8,845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19,823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19,718 </w:t>
            </w: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19,642 </w:t>
            </w:r>
          </w:p>
        </w:tc>
      </w:tr>
      <w:tr w:rsidR="007A102A" w:rsidTr="00E71420">
        <w:trPr>
          <w:trHeight w:val="240"/>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Health and Ageing</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211"/>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Pharmaceutical Benefits Scheme  </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211"/>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new listings from 1 April 2011</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254"/>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2</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23 </w:t>
            </w: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94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103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107 </w:t>
            </w: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113 </w:t>
            </w:r>
          </w:p>
        </w:tc>
      </w:tr>
      <w:tr w:rsidR="007A102A" w:rsidTr="00E71420">
        <w:trPr>
          <w:trHeight w:val="211"/>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new listing from 1 July 2011</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211"/>
        </w:trPr>
        <w:tc>
          <w:tcPr>
            <w:tcW w:w="2819"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789" w:type="dxa"/>
            <w:tcBorders>
              <w:top w:val="nil"/>
              <w:left w:val="nil"/>
              <w:bottom w:val="nil"/>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123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124 </w:t>
            </w:r>
          </w:p>
        </w:tc>
        <w:tc>
          <w:tcPr>
            <w:tcW w:w="853"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126 </w:t>
            </w:r>
          </w:p>
        </w:tc>
        <w:tc>
          <w:tcPr>
            <w:tcW w:w="885"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126 </w:t>
            </w:r>
          </w:p>
        </w:tc>
      </w:tr>
      <w:tr w:rsidR="007A102A" w:rsidTr="00E71420">
        <w:trPr>
          <w:trHeight w:val="254"/>
        </w:trPr>
        <w:tc>
          <w:tcPr>
            <w:tcW w:w="2819" w:type="dxa"/>
            <w:tcBorders>
              <w:top w:val="nil"/>
              <w:left w:val="nil"/>
              <w:bottom w:val="single" w:sz="2" w:space="0" w:color="auto"/>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Medicare Benefits Schedule - new and revised listings</w:t>
            </w:r>
          </w:p>
        </w:tc>
        <w:tc>
          <w:tcPr>
            <w:tcW w:w="789"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single" w:sz="2" w:space="0" w:color="auto"/>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single" w:sz="2" w:space="0" w:color="auto"/>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single" w:sz="2" w:space="0" w:color="auto"/>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single" w:sz="2" w:space="0" w:color="auto"/>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single" w:sz="2" w:space="0" w:color="auto"/>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rPr>
          <w:trHeight w:val="254"/>
        </w:trPr>
        <w:tc>
          <w:tcPr>
            <w:tcW w:w="2819" w:type="dxa"/>
            <w:tcBorders>
              <w:top w:val="nil"/>
              <w:left w:val="nil"/>
              <w:bottom w:val="single" w:sz="2" w:space="0" w:color="auto"/>
              <w:right w:val="nil"/>
            </w:tcBorders>
            <w:vAlign w:val="bottom"/>
          </w:tcPr>
          <w:p w:rsidR="007A102A" w:rsidRDefault="007A102A" w:rsidP="00E71420">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2</w:t>
            </w:r>
          </w:p>
        </w:tc>
        <w:tc>
          <w:tcPr>
            <w:tcW w:w="789" w:type="dxa"/>
            <w:tcBorders>
              <w:top w:val="nil"/>
              <w:left w:val="nil"/>
              <w:bottom w:val="single" w:sz="2" w:space="0" w:color="auto"/>
              <w:right w:val="nil"/>
            </w:tcBorders>
            <w:vAlign w:val="bottom"/>
          </w:tcPr>
          <w:p w:rsidR="007A102A" w:rsidRDefault="007A102A" w:rsidP="007A102A">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single" w:sz="2" w:space="0" w:color="auto"/>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149 </w:t>
            </w:r>
          </w:p>
        </w:tc>
        <w:tc>
          <w:tcPr>
            <w:tcW w:w="870" w:type="dxa"/>
            <w:tcBorders>
              <w:top w:val="nil"/>
              <w:left w:val="nil"/>
              <w:bottom w:val="single" w:sz="2" w:space="0" w:color="auto"/>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94 </w:t>
            </w:r>
          </w:p>
        </w:tc>
        <w:tc>
          <w:tcPr>
            <w:tcW w:w="853" w:type="dxa"/>
            <w:tcBorders>
              <w:top w:val="nil"/>
              <w:left w:val="nil"/>
              <w:bottom w:val="single" w:sz="2" w:space="0" w:color="auto"/>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58 </w:t>
            </w:r>
          </w:p>
        </w:tc>
        <w:tc>
          <w:tcPr>
            <w:tcW w:w="853" w:type="dxa"/>
            <w:tcBorders>
              <w:top w:val="nil"/>
              <w:left w:val="nil"/>
              <w:bottom w:val="single" w:sz="2" w:space="0" w:color="auto"/>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46 </w:t>
            </w:r>
          </w:p>
        </w:tc>
        <w:tc>
          <w:tcPr>
            <w:tcW w:w="885" w:type="dxa"/>
            <w:tcBorders>
              <w:top w:val="nil"/>
              <w:left w:val="nil"/>
              <w:bottom w:val="single" w:sz="2" w:space="0" w:color="auto"/>
              <w:right w:val="nil"/>
            </w:tcBorders>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51 </w:t>
            </w:r>
          </w:p>
        </w:tc>
      </w:tr>
    </w:tbl>
    <w:p w:rsidR="00C10804" w:rsidRDefault="00C10804" w:rsidP="00C10804">
      <w:pPr>
        <w:pStyle w:val="ChartandTableFootnote"/>
        <w:tabs>
          <w:tab w:val="clear" w:pos="284"/>
        </w:tabs>
        <w:ind w:left="0" w:firstLine="0"/>
      </w:pPr>
      <w:r>
        <w:t>1</w:t>
      </w:r>
      <w:r w:rsidR="00665AAF">
        <w:rPr>
          <w:rFonts w:cs="Arial"/>
          <w:b/>
          <w:szCs w:val="16"/>
        </w:rPr>
        <w:t xml:space="preserve">   </w:t>
      </w:r>
      <w:r w:rsidRPr="0037158D">
        <w:t>Measures for 2010–11 are related to Centrelink.</w:t>
      </w:r>
      <w:r>
        <w:t xml:space="preserve"> </w:t>
      </w:r>
    </w:p>
    <w:p w:rsidR="00665AAF" w:rsidRPr="00C10804" w:rsidRDefault="00C10804" w:rsidP="00665AAF">
      <w:pPr>
        <w:pStyle w:val="TableHeadingcontinued"/>
        <w:tabs>
          <w:tab w:val="left" w:pos="0"/>
        </w:tabs>
        <w:spacing w:before="0" w:after="0"/>
        <w:rPr>
          <w:rFonts w:ascii="Arial" w:hAnsi="Arial"/>
          <w:b w:val="0"/>
          <w:sz w:val="16"/>
        </w:rPr>
      </w:pPr>
      <w:r w:rsidRPr="00C10804">
        <w:rPr>
          <w:rFonts w:ascii="Arial" w:hAnsi="Arial"/>
          <w:b w:val="0"/>
          <w:sz w:val="16"/>
        </w:rPr>
        <w:t xml:space="preserve">2   </w:t>
      </w:r>
      <w:r w:rsidR="00665AAF" w:rsidRPr="00C10804">
        <w:rPr>
          <w:rFonts w:ascii="Arial" w:hAnsi="Arial"/>
          <w:b w:val="0"/>
          <w:sz w:val="16"/>
        </w:rPr>
        <w:t>Measures for 2010–11 are related to Medicare Australia.</w:t>
      </w:r>
    </w:p>
    <w:p w:rsidR="00856408" w:rsidRDefault="00856408" w:rsidP="00856408">
      <w:pPr>
        <w:pStyle w:val="TableHeadingcontinued"/>
        <w:spacing w:before="0"/>
        <w:jc w:val="both"/>
        <w:rPr>
          <w:rFonts w:ascii="Arial" w:hAnsi="Arial" w:cs="Arial"/>
          <w:sz w:val="16"/>
          <w:szCs w:val="16"/>
        </w:rPr>
      </w:pPr>
      <w:r w:rsidRPr="00AF1E42">
        <w:rPr>
          <w:rFonts w:ascii="Arial" w:hAnsi="Arial" w:cs="Arial"/>
          <w:b w:val="0"/>
          <w:sz w:val="16"/>
          <w:szCs w:val="16"/>
        </w:rPr>
        <w:t>Prepared on a Government Finance Statistics (fiscal) basis.</w:t>
      </w:r>
    </w:p>
    <w:p w:rsidR="00610A3A" w:rsidRDefault="00DF5AE0" w:rsidP="00610A3A">
      <w:pPr>
        <w:pStyle w:val="TableHeading"/>
        <w:tabs>
          <w:tab w:val="left" w:pos="300"/>
        </w:tabs>
        <w:jc w:val="both"/>
      </w:pPr>
      <w:r>
        <w:br w:type="page"/>
      </w:r>
      <w:r w:rsidR="00846446" w:rsidRPr="002B779E">
        <w:t>T</w:t>
      </w:r>
      <w:r w:rsidR="00846446">
        <w:t xml:space="preserve">able 1.2: </w:t>
      </w:r>
      <w:r w:rsidR="00610A3A">
        <w:t>Department of Human Services 2011</w:t>
      </w:r>
      <w:r w:rsidR="00610A3A">
        <w:noBreakHyphen/>
        <w:t xml:space="preserve">12 </w:t>
      </w:r>
      <w:smartTag w:uri="urn:schemas-microsoft-com:office:smarttags" w:element="PersonName">
        <w:r w:rsidR="00610A3A">
          <w:t>Budget</w:t>
        </w:r>
      </w:smartTag>
      <w:r w:rsidR="00610A3A">
        <w:t xml:space="preserve"> m</w:t>
      </w:r>
      <w:r w:rsidR="00610A3A" w:rsidRPr="002B779E">
        <w:t>easures</w:t>
      </w:r>
      <w:r w:rsidR="00610A3A">
        <w:t xml:space="preserve"> (continued)</w:t>
      </w:r>
    </w:p>
    <w:tbl>
      <w:tblPr>
        <w:tblW w:w="7983" w:type="dxa"/>
        <w:tblInd w:w="78" w:type="dxa"/>
        <w:tblLayout w:type="fixed"/>
        <w:tblLook w:val="0000" w:firstRow="0" w:lastRow="0" w:firstColumn="0" w:lastColumn="0" w:noHBand="0" w:noVBand="0"/>
      </w:tblPr>
      <w:tblGrid>
        <w:gridCol w:w="2819"/>
        <w:gridCol w:w="931"/>
        <w:gridCol w:w="772"/>
        <w:gridCol w:w="870"/>
        <w:gridCol w:w="853"/>
        <w:gridCol w:w="853"/>
        <w:gridCol w:w="885"/>
      </w:tblGrid>
      <w:tr w:rsidR="00102FA3" w:rsidTr="00E71420">
        <w:trPr>
          <w:trHeight w:val="211"/>
        </w:trPr>
        <w:tc>
          <w:tcPr>
            <w:tcW w:w="2819" w:type="dxa"/>
            <w:tcBorders>
              <w:top w:val="single" w:sz="2" w:space="0" w:color="auto"/>
              <w:left w:val="nil"/>
              <w:bottom w:val="nil"/>
              <w:right w:val="nil"/>
            </w:tcBorders>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931" w:type="dxa"/>
            <w:tcBorders>
              <w:top w:val="single" w:sz="2" w:space="0" w:color="auto"/>
              <w:left w:val="nil"/>
              <w:bottom w:val="nil"/>
              <w:right w:val="nil"/>
            </w:tcBorders>
          </w:tcPr>
          <w:p w:rsidR="00102FA3" w:rsidRDefault="00102FA3">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Program</w:t>
            </w:r>
          </w:p>
        </w:tc>
        <w:tc>
          <w:tcPr>
            <w:tcW w:w="772" w:type="dxa"/>
            <w:tcBorders>
              <w:top w:val="single" w:sz="2" w:space="0" w:color="auto"/>
              <w:left w:val="nil"/>
              <w:bottom w:val="nil"/>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2010-11</w:t>
            </w:r>
          </w:p>
        </w:tc>
        <w:tc>
          <w:tcPr>
            <w:tcW w:w="870" w:type="dxa"/>
            <w:tcBorders>
              <w:top w:val="single" w:sz="2" w:space="0" w:color="auto"/>
              <w:left w:val="nil"/>
              <w:bottom w:val="nil"/>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853" w:type="dxa"/>
            <w:tcBorders>
              <w:top w:val="single" w:sz="2" w:space="0" w:color="auto"/>
              <w:left w:val="nil"/>
              <w:bottom w:val="nil"/>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2012-13</w:t>
            </w:r>
          </w:p>
        </w:tc>
        <w:tc>
          <w:tcPr>
            <w:tcW w:w="853" w:type="dxa"/>
            <w:tcBorders>
              <w:top w:val="single" w:sz="2" w:space="0" w:color="auto"/>
              <w:left w:val="nil"/>
              <w:bottom w:val="nil"/>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2013-14</w:t>
            </w:r>
          </w:p>
        </w:tc>
        <w:tc>
          <w:tcPr>
            <w:tcW w:w="885" w:type="dxa"/>
            <w:tcBorders>
              <w:top w:val="single" w:sz="2" w:space="0" w:color="auto"/>
              <w:left w:val="nil"/>
              <w:bottom w:val="nil"/>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2014-15</w:t>
            </w:r>
          </w:p>
        </w:tc>
      </w:tr>
      <w:tr w:rsidR="00102FA3" w:rsidTr="00E71420">
        <w:trPr>
          <w:trHeight w:val="211"/>
        </w:trPr>
        <w:tc>
          <w:tcPr>
            <w:tcW w:w="2819" w:type="dxa"/>
            <w:tcBorders>
              <w:top w:val="nil"/>
              <w:left w:val="nil"/>
              <w:bottom w:val="nil"/>
              <w:right w:val="nil"/>
            </w:tcBorders>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931" w:type="dxa"/>
            <w:tcBorders>
              <w:top w:val="nil"/>
              <w:left w:val="nil"/>
              <w:bottom w:val="single" w:sz="2" w:space="0" w:color="auto"/>
              <w:right w:val="nil"/>
            </w:tcBorders>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772" w:type="dxa"/>
            <w:tcBorders>
              <w:top w:val="nil"/>
              <w:left w:val="nil"/>
              <w:bottom w:val="single" w:sz="2" w:space="0" w:color="auto"/>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70" w:type="dxa"/>
            <w:tcBorders>
              <w:top w:val="nil"/>
              <w:left w:val="nil"/>
              <w:bottom w:val="single" w:sz="2" w:space="0" w:color="auto"/>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3" w:type="dxa"/>
            <w:tcBorders>
              <w:top w:val="nil"/>
              <w:left w:val="nil"/>
              <w:bottom w:val="single" w:sz="2" w:space="0" w:color="auto"/>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3" w:type="dxa"/>
            <w:tcBorders>
              <w:top w:val="nil"/>
              <w:left w:val="nil"/>
              <w:bottom w:val="single" w:sz="2" w:space="0" w:color="auto"/>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85" w:type="dxa"/>
            <w:tcBorders>
              <w:top w:val="nil"/>
              <w:left w:val="nil"/>
              <w:bottom w:val="single" w:sz="2" w:space="0" w:color="auto"/>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102FA3" w:rsidTr="00E71420">
        <w:trPr>
          <w:trHeight w:val="211"/>
        </w:trPr>
        <w:tc>
          <w:tcPr>
            <w:tcW w:w="2819" w:type="dxa"/>
            <w:tcBorders>
              <w:top w:val="nil"/>
              <w:left w:val="nil"/>
              <w:bottom w:val="nil"/>
              <w:right w:val="nil"/>
            </w:tcBorders>
          </w:tcPr>
          <w:p w:rsidR="00102FA3" w:rsidRDefault="00102FA3">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Expense measures </w:t>
            </w:r>
          </w:p>
        </w:tc>
        <w:tc>
          <w:tcPr>
            <w:tcW w:w="931" w:type="dxa"/>
            <w:tcBorders>
              <w:top w:val="nil"/>
              <w:left w:val="nil"/>
              <w:bottom w:val="nil"/>
              <w:right w:val="nil"/>
            </w:tcBorders>
          </w:tcPr>
          <w:p w:rsidR="00102FA3" w:rsidRDefault="00102FA3">
            <w:pPr>
              <w:autoSpaceDE w:val="0"/>
              <w:autoSpaceDN w:val="0"/>
              <w:adjustRightInd w:val="0"/>
              <w:spacing w:after="0" w:line="240" w:lineRule="auto"/>
              <w:jc w:val="right"/>
              <w:rPr>
                <w:rFonts w:ascii="Arial" w:hAnsi="Arial" w:cs="Arial"/>
                <w:color w:val="000000"/>
                <w:sz w:val="16"/>
                <w:szCs w:val="16"/>
              </w:rPr>
            </w:pPr>
          </w:p>
        </w:tc>
        <w:tc>
          <w:tcPr>
            <w:tcW w:w="772" w:type="dxa"/>
            <w:tcBorders>
              <w:top w:val="nil"/>
              <w:left w:val="nil"/>
              <w:bottom w:val="nil"/>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b/>
                <w:bCs/>
                <w:color w:val="000000"/>
                <w:sz w:val="15"/>
                <w:szCs w:val="15"/>
              </w:rPr>
            </w:pPr>
            <w:r>
              <w:rPr>
                <w:rFonts w:ascii="Arial" w:hAnsi="Arial" w:cs="Arial"/>
                <w:b/>
                <w:bCs/>
                <w:color w:val="000000"/>
                <w:sz w:val="15"/>
                <w:szCs w:val="15"/>
              </w:rPr>
              <w:t>Department of Health and Ageing (continued)</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Aged Care - Residential aged care viability supplement - continuation and expansion</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165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Primary Care - redirection of the domestic violence referral points project</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2</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53 </w:t>
            </w: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188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xml:space="preserve">A Better Start for Children with Disability - Early Intervention </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2</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170 </w:t>
            </w: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178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101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82 </w:t>
            </w: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50 </w:t>
            </w: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Diagnostic imaging - reforms</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61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124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118 </w:t>
            </w: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75 </w:t>
            </w: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National Mental Health Reform</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health and wellbeing checks for three year olds</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43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6"/>
                <w:szCs w:val="16"/>
              </w:rPr>
            </w:pP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 Better Access Initiative - rationalisation of allied health treatment sessions</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(110)</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(220)</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(281)</w:t>
            </w: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(350)</w:t>
            </w: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National Health and Hospitals Network - General practice and primary care - coordinated diabetes care - deferral</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3</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Primary care - continuation of incentives to improve access to after-hours care</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3</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Better access initiative for occupational therapists and social workers - continuation</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expenses</w:t>
            </w:r>
            <w:r>
              <w:rPr>
                <w:rFonts w:ascii="Arial" w:hAnsi="Arial" w:cs="Arial"/>
                <w:color w:val="000000"/>
                <w:sz w:val="15"/>
                <w:szCs w:val="15"/>
                <w:vertAlign w:val="superscript"/>
              </w:rPr>
              <w:t>3</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b/>
                <w:bCs/>
                <w:color w:val="000000"/>
                <w:sz w:val="15"/>
                <w:szCs w:val="15"/>
              </w:rPr>
            </w:pPr>
            <w:r>
              <w:rPr>
                <w:rFonts w:ascii="Arial" w:hAnsi="Arial" w:cs="Arial"/>
                <w:b/>
                <w:bCs/>
                <w:color w:val="000000"/>
                <w:sz w:val="15"/>
                <w:szCs w:val="15"/>
              </w:rPr>
              <w:t>Department of Veteran Affairs</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c>
          <w:tcPr>
            <w:tcW w:w="2819" w:type="dxa"/>
            <w:tcBorders>
              <w:top w:val="nil"/>
              <w:left w:val="nil"/>
              <w:bottom w:val="nil"/>
              <w:right w:val="nil"/>
            </w:tcBorders>
            <w:vAlign w:val="bottom"/>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Prisoner of War Recognition Supplement - establishment</w:t>
            </w:r>
          </w:p>
        </w:tc>
        <w:tc>
          <w:tcPr>
            <w:tcW w:w="931" w:type="dxa"/>
            <w:tcBorders>
              <w:top w:val="nil"/>
              <w:left w:val="nil"/>
              <w:bottom w:val="nil"/>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772"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70"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53"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c>
          <w:tcPr>
            <w:tcW w:w="885" w:type="dxa"/>
            <w:tcBorders>
              <w:top w:val="nil"/>
              <w:left w:val="nil"/>
              <w:bottom w:val="nil"/>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p>
        </w:tc>
      </w:tr>
      <w:tr w:rsidR="007A102A" w:rsidTr="00E71420">
        <w:tc>
          <w:tcPr>
            <w:tcW w:w="2819" w:type="dxa"/>
            <w:tcBorders>
              <w:top w:val="nil"/>
              <w:left w:val="nil"/>
              <w:bottom w:val="single" w:sz="2" w:space="0" w:color="auto"/>
              <w:right w:val="nil"/>
            </w:tcBorders>
          </w:tcPr>
          <w:p w:rsidR="007A102A" w:rsidRDefault="007A102A" w:rsidP="00E71420">
            <w:pPr>
              <w:autoSpaceDE w:val="0"/>
              <w:autoSpaceDN w:val="0"/>
              <w:adjustRightInd w:val="0"/>
              <w:spacing w:before="60"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931" w:type="dxa"/>
            <w:tcBorders>
              <w:top w:val="nil"/>
              <w:left w:val="nil"/>
              <w:bottom w:val="single" w:sz="2" w:space="0" w:color="auto"/>
              <w:right w:val="nil"/>
            </w:tcBorders>
            <w:vAlign w:val="bottom"/>
          </w:tcPr>
          <w:p w:rsidR="007A102A" w:rsidRDefault="007A102A" w:rsidP="00E71420">
            <w:pPr>
              <w:autoSpaceDE w:val="0"/>
              <w:autoSpaceDN w:val="0"/>
              <w:adjustRightInd w:val="0"/>
              <w:spacing w:after="0" w:line="240" w:lineRule="auto"/>
              <w:jc w:val="center"/>
              <w:rPr>
                <w:rFonts w:ascii="Arial" w:hAnsi="Arial" w:cs="Arial"/>
                <w:color w:val="000000"/>
                <w:sz w:val="15"/>
                <w:szCs w:val="15"/>
              </w:rPr>
            </w:pPr>
          </w:p>
        </w:tc>
        <w:tc>
          <w:tcPr>
            <w:tcW w:w="772" w:type="dxa"/>
            <w:tcBorders>
              <w:top w:val="nil"/>
              <w:left w:val="nil"/>
              <w:bottom w:val="single" w:sz="2" w:space="0" w:color="auto"/>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70" w:type="dxa"/>
            <w:tcBorders>
              <w:top w:val="nil"/>
              <w:left w:val="nil"/>
              <w:bottom w:val="single" w:sz="2" w:space="0" w:color="auto"/>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106 </w:t>
            </w:r>
          </w:p>
        </w:tc>
        <w:tc>
          <w:tcPr>
            <w:tcW w:w="853" w:type="dxa"/>
            <w:tcBorders>
              <w:top w:val="nil"/>
              <w:left w:val="nil"/>
              <w:bottom w:val="single" w:sz="2" w:space="0" w:color="auto"/>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 </w:t>
            </w:r>
          </w:p>
        </w:tc>
        <w:tc>
          <w:tcPr>
            <w:tcW w:w="853" w:type="dxa"/>
            <w:tcBorders>
              <w:top w:val="nil"/>
              <w:left w:val="nil"/>
              <w:bottom w:val="single" w:sz="2" w:space="0" w:color="auto"/>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 </w:t>
            </w:r>
          </w:p>
        </w:tc>
        <w:tc>
          <w:tcPr>
            <w:tcW w:w="885" w:type="dxa"/>
            <w:tcBorders>
              <w:top w:val="nil"/>
              <w:left w:val="nil"/>
              <w:bottom w:val="single" w:sz="2" w:space="0" w:color="auto"/>
              <w:right w:val="nil"/>
            </w:tcBorders>
            <w:shd w:val="solid" w:color="FFFFFF" w:fill="auto"/>
            <w:vAlign w:val="bottom"/>
          </w:tcPr>
          <w:p w:rsidR="007A102A" w:rsidRDefault="007A102A"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 </w:t>
            </w:r>
          </w:p>
        </w:tc>
      </w:tr>
    </w:tbl>
    <w:p w:rsidR="0022385C" w:rsidRDefault="00393904" w:rsidP="00F741C6">
      <w:pPr>
        <w:pStyle w:val="TableHeadingcontinued"/>
        <w:tabs>
          <w:tab w:val="left" w:pos="0"/>
        </w:tabs>
        <w:spacing w:before="0" w:after="0"/>
      </w:pPr>
      <w:r>
        <w:rPr>
          <w:rFonts w:ascii="Arial" w:hAnsi="Arial" w:cs="Arial"/>
          <w:b w:val="0"/>
          <w:sz w:val="16"/>
          <w:szCs w:val="16"/>
        </w:rPr>
        <w:t xml:space="preserve">2  </w:t>
      </w:r>
      <w:r w:rsidR="0022385C" w:rsidRPr="0022385C">
        <w:rPr>
          <w:rFonts w:ascii="Arial" w:hAnsi="Arial"/>
          <w:b w:val="0"/>
          <w:sz w:val="16"/>
        </w:rPr>
        <w:t xml:space="preserve"> </w:t>
      </w:r>
      <w:r w:rsidR="0022385C" w:rsidRPr="00C10804">
        <w:rPr>
          <w:rFonts w:ascii="Arial" w:hAnsi="Arial"/>
          <w:b w:val="0"/>
          <w:sz w:val="16"/>
        </w:rPr>
        <w:t>Measures for 2010–11 are related to Medicare Australia.</w:t>
      </w:r>
    </w:p>
    <w:p w:rsidR="00F741C6" w:rsidRDefault="00F741C6" w:rsidP="00E71420">
      <w:pPr>
        <w:pStyle w:val="TableHeadingcontinued"/>
        <w:tabs>
          <w:tab w:val="left" w:pos="284"/>
        </w:tabs>
        <w:spacing w:before="0" w:after="0"/>
        <w:ind w:left="284" w:hanging="284"/>
      </w:pPr>
      <w:r>
        <w:rPr>
          <w:rFonts w:ascii="Arial" w:hAnsi="Arial" w:cs="Arial"/>
          <w:b w:val="0"/>
          <w:sz w:val="16"/>
          <w:szCs w:val="16"/>
        </w:rPr>
        <w:t>3   Th</w:t>
      </w:r>
      <w:r w:rsidR="00A16838">
        <w:rPr>
          <w:rFonts w:ascii="Arial" w:hAnsi="Arial" w:cs="Arial"/>
          <w:b w:val="0"/>
          <w:sz w:val="16"/>
          <w:szCs w:val="16"/>
        </w:rPr>
        <w:t>e</w:t>
      </w:r>
      <w:r>
        <w:rPr>
          <w:rFonts w:ascii="Arial" w:hAnsi="Arial" w:cs="Arial"/>
          <w:b w:val="0"/>
          <w:sz w:val="16"/>
          <w:szCs w:val="16"/>
        </w:rPr>
        <w:t>s</w:t>
      </w:r>
      <w:r w:rsidR="00A16838">
        <w:rPr>
          <w:rFonts w:ascii="Arial" w:hAnsi="Arial" w:cs="Arial"/>
          <w:b w:val="0"/>
          <w:sz w:val="16"/>
          <w:szCs w:val="16"/>
        </w:rPr>
        <w:t>e</w:t>
      </w:r>
      <w:r>
        <w:rPr>
          <w:rFonts w:ascii="Arial" w:hAnsi="Arial" w:cs="Arial"/>
          <w:b w:val="0"/>
          <w:sz w:val="16"/>
          <w:szCs w:val="16"/>
        </w:rPr>
        <w:t xml:space="preserve"> measures will appear in Budget </w:t>
      </w:r>
      <w:r w:rsidR="0008295B">
        <w:rPr>
          <w:rFonts w:ascii="Arial" w:hAnsi="Arial" w:cs="Arial"/>
          <w:b w:val="0"/>
          <w:sz w:val="16"/>
          <w:szCs w:val="16"/>
        </w:rPr>
        <w:t>P</w:t>
      </w:r>
      <w:r>
        <w:rPr>
          <w:rFonts w:ascii="Arial" w:hAnsi="Arial" w:cs="Arial"/>
          <w:b w:val="0"/>
          <w:sz w:val="16"/>
          <w:szCs w:val="16"/>
        </w:rPr>
        <w:t xml:space="preserve">aper No.2 </w:t>
      </w:r>
      <w:r w:rsidR="0008295B">
        <w:rPr>
          <w:rFonts w:ascii="Arial" w:hAnsi="Arial" w:cs="Arial"/>
          <w:b w:val="0"/>
          <w:sz w:val="16"/>
          <w:szCs w:val="16"/>
        </w:rPr>
        <w:t>and the e</w:t>
      </w:r>
      <w:r>
        <w:rPr>
          <w:rFonts w:ascii="Arial" w:hAnsi="Arial" w:cs="Arial"/>
          <w:b w:val="0"/>
          <w:sz w:val="16"/>
          <w:szCs w:val="16"/>
        </w:rPr>
        <w:t>stimates for the Department of Human Services will be adjusted post Budget.</w:t>
      </w:r>
    </w:p>
    <w:p w:rsidR="002E744E" w:rsidRPr="000C4A24" w:rsidRDefault="002E744E" w:rsidP="002E744E">
      <w:pPr>
        <w:pStyle w:val="TableHeadingcontinued"/>
        <w:tabs>
          <w:tab w:val="left" w:pos="300"/>
        </w:tabs>
        <w:spacing w:before="0" w:after="0"/>
        <w:rPr>
          <w:rFonts w:ascii="Arial" w:hAnsi="Arial" w:cs="Arial"/>
          <w:b w:val="0"/>
          <w:sz w:val="16"/>
          <w:szCs w:val="16"/>
        </w:rPr>
      </w:pPr>
      <w:r w:rsidRPr="00AF1E42">
        <w:rPr>
          <w:rFonts w:ascii="Arial" w:hAnsi="Arial" w:cs="Arial"/>
          <w:b w:val="0"/>
          <w:sz w:val="16"/>
          <w:szCs w:val="16"/>
        </w:rPr>
        <w:t>Prepared on a Government Finance Statistics (fiscal) basis.</w:t>
      </w:r>
    </w:p>
    <w:p w:rsidR="00415B28" w:rsidRDefault="00846446" w:rsidP="00610A3A">
      <w:pPr>
        <w:pStyle w:val="TableHeading"/>
        <w:tabs>
          <w:tab w:val="left" w:pos="300"/>
        </w:tabs>
        <w:jc w:val="both"/>
      </w:pPr>
      <w:r>
        <w:br w:type="page"/>
      </w:r>
      <w:r w:rsidR="00415B28" w:rsidRPr="002B779E">
        <w:t>T</w:t>
      </w:r>
      <w:r w:rsidR="00415B28">
        <w:t>able 1.2: Department of Human Services 2011</w:t>
      </w:r>
      <w:r w:rsidR="00415B28">
        <w:noBreakHyphen/>
        <w:t xml:space="preserve">12 </w:t>
      </w:r>
      <w:smartTag w:uri="urn:schemas-microsoft-com:office:smarttags" w:element="PersonName">
        <w:r w:rsidR="00415B28">
          <w:t>Budget</w:t>
        </w:r>
      </w:smartTag>
      <w:r w:rsidR="00415B28">
        <w:t xml:space="preserve"> m</w:t>
      </w:r>
      <w:r w:rsidR="00415B28" w:rsidRPr="002B779E">
        <w:t>easures</w:t>
      </w:r>
      <w:r w:rsidR="00415B28">
        <w:t xml:space="preserve"> (continued)</w:t>
      </w:r>
    </w:p>
    <w:tbl>
      <w:tblPr>
        <w:tblW w:w="8363" w:type="dxa"/>
        <w:tblInd w:w="78" w:type="dxa"/>
        <w:tblLayout w:type="fixed"/>
        <w:tblLook w:val="0000" w:firstRow="0" w:lastRow="0" w:firstColumn="0" w:lastColumn="0" w:noHBand="0" w:noVBand="0"/>
      </w:tblPr>
      <w:tblGrid>
        <w:gridCol w:w="2474"/>
        <w:gridCol w:w="789"/>
        <w:gridCol w:w="1020"/>
        <w:gridCol w:w="1020"/>
        <w:gridCol w:w="1020"/>
        <w:gridCol w:w="1020"/>
        <w:gridCol w:w="1020"/>
      </w:tblGrid>
      <w:tr w:rsidR="00102FA3" w:rsidTr="00E71420">
        <w:trPr>
          <w:trHeight w:val="211"/>
        </w:trPr>
        <w:tc>
          <w:tcPr>
            <w:tcW w:w="2474" w:type="dxa"/>
            <w:tcBorders>
              <w:top w:val="single" w:sz="2" w:space="0" w:color="auto"/>
              <w:left w:val="nil"/>
              <w:bottom w:val="nil"/>
              <w:right w:val="nil"/>
            </w:tcBorders>
          </w:tcPr>
          <w:p w:rsidR="00102FA3" w:rsidRPr="00E71420" w:rsidRDefault="00102FA3">
            <w:pPr>
              <w:autoSpaceDE w:val="0"/>
              <w:autoSpaceDN w:val="0"/>
              <w:adjustRightInd w:val="0"/>
              <w:spacing w:after="0" w:line="240" w:lineRule="auto"/>
              <w:jc w:val="right"/>
              <w:rPr>
                <w:rFonts w:ascii="Arial" w:hAnsi="Arial" w:cs="Arial"/>
                <w:color w:val="000000"/>
                <w:sz w:val="15"/>
                <w:szCs w:val="15"/>
              </w:rPr>
            </w:pPr>
          </w:p>
        </w:tc>
        <w:tc>
          <w:tcPr>
            <w:tcW w:w="789" w:type="dxa"/>
            <w:tcBorders>
              <w:top w:val="single" w:sz="2" w:space="0" w:color="auto"/>
              <w:left w:val="nil"/>
              <w:bottom w:val="nil"/>
              <w:right w:val="nil"/>
            </w:tcBorders>
          </w:tcPr>
          <w:p w:rsidR="00102FA3" w:rsidRPr="00E71420" w:rsidRDefault="00102FA3" w:rsidP="00E71420">
            <w:pPr>
              <w:autoSpaceDE w:val="0"/>
              <w:autoSpaceDN w:val="0"/>
              <w:adjustRightInd w:val="0"/>
              <w:spacing w:after="0" w:line="240" w:lineRule="auto"/>
              <w:ind w:left="-170"/>
              <w:jc w:val="center"/>
              <w:rPr>
                <w:rFonts w:ascii="Arial" w:hAnsi="Arial" w:cs="Arial"/>
                <w:color w:val="000000"/>
                <w:sz w:val="15"/>
                <w:szCs w:val="15"/>
              </w:rPr>
            </w:pPr>
            <w:r w:rsidRPr="00E71420">
              <w:rPr>
                <w:rFonts w:ascii="Arial" w:hAnsi="Arial" w:cs="Arial"/>
                <w:color w:val="000000"/>
                <w:sz w:val="15"/>
                <w:szCs w:val="15"/>
              </w:rPr>
              <w:t>Program</w:t>
            </w:r>
          </w:p>
        </w:tc>
        <w:tc>
          <w:tcPr>
            <w:tcW w:w="1020" w:type="dxa"/>
            <w:tcBorders>
              <w:top w:val="single" w:sz="2" w:space="0" w:color="auto"/>
              <w:left w:val="nil"/>
              <w:bottom w:val="nil"/>
              <w:right w:val="nil"/>
            </w:tcBorders>
            <w:shd w:val="solid" w:color="FFFFFF" w:fill="auto"/>
          </w:tcPr>
          <w:p w:rsidR="00102FA3" w:rsidRPr="00E71420" w:rsidRDefault="00102FA3">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2010-11</w:t>
            </w:r>
          </w:p>
        </w:tc>
        <w:tc>
          <w:tcPr>
            <w:tcW w:w="1020" w:type="dxa"/>
            <w:tcBorders>
              <w:top w:val="single" w:sz="2" w:space="0" w:color="auto"/>
              <w:left w:val="nil"/>
              <w:bottom w:val="nil"/>
              <w:right w:val="nil"/>
            </w:tcBorders>
            <w:shd w:val="solid" w:color="FFFFFF" w:fill="auto"/>
          </w:tcPr>
          <w:p w:rsidR="00102FA3" w:rsidRPr="00E71420" w:rsidRDefault="00102FA3">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2011-12</w:t>
            </w:r>
          </w:p>
        </w:tc>
        <w:tc>
          <w:tcPr>
            <w:tcW w:w="1020" w:type="dxa"/>
            <w:tcBorders>
              <w:top w:val="single" w:sz="2" w:space="0" w:color="auto"/>
              <w:left w:val="nil"/>
              <w:bottom w:val="nil"/>
              <w:right w:val="nil"/>
            </w:tcBorders>
            <w:shd w:val="solid" w:color="FFFFFF" w:fill="auto"/>
          </w:tcPr>
          <w:p w:rsidR="00102FA3" w:rsidRPr="00E71420" w:rsidRDefault="00102FA3">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2012-13</w:t>
            </w:r>
          </w:p>
        </w:tc>
        <w:tc>
          <w:tcPr>
            <w:tcW w:w="1020" w:type="dxa"/>
            <w:tcBorders>
              <w:top w:val="single" w:sz="2" w:space="0" w:color="auto"/>
              <w:left w:val="nil"/>
              <w:bottom w:val="nil"/>
              <w:right w:val="nil"/>
            </w:tcBorders>
            <w:shd w:val="solid" w:color="FFFFFF" w:fill="auto"/>
          </w:tcPr>
          <w:p w:rsidR="00102FA3" w:rsidRPr="00E71420" w:rsidRDefault="00102FA3">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2013-14</w:t>
            </w:r>
          </w:p>
        </w:tc>
        <w:tc>
          <w:tcPr>
            <w:tcW w:w="1020" w:type="dxa"/>
            <w:tcBorders>
              <w:top w:val="single" w:sz="2" w:space="0" w:color="auto"/>
              <w:left w:val="nil"/>
              <w:bottom w:val="nil"/>
              <w:right w:val="nil"/>
            </w:tcBorders>
            <w:shd w:val="solid" w:color="FFFFFF" w:fill="auto"/>
          </w:tcPr>
          <w:p w:rsidR="00102FA3" w:rsidRPr="00E71420" w:rsidRDefault="00102FA3">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2014-15</w:t>
            </w:r>
          </w:p>
        </w:tc>
      </w:tr>
      <w:tr w:rsidR="00102FA3" w:rsidTr="00E71420">
        <w:trPr>
          <w:trHeight w:val="211"/>
        </w:trPr>
        <w:tc>
          <w:tcPr>
            <w:tcW w:w="2474" w:type="dxa"/>
            <w:tcBorders>
              <w:top w:val="nil"/>
              <w:left w:val="nil"/>
              <w:bottom w:val="nil"/>
              <w:right w:val="nil"/>
            </w:tcBorders>
          </w:tcPr>
          <w:p w:rsidR="00102FA3" w:rsidRPr="00E71420" w:rsidRDefault="00102FA3">
            <w:pPr>
              <w:autoSpaceDE w:val="0"/>
              <w:autoSpaceDN w:val="0"/>
              <w:adjustRightInd w:val="0"/>
              <w:spacing w:after="0" w:line="240" w:lineRule="auto"/>
              <w:jc w:val="right"/>
              <w:rPr>
                <w:rFonts w:ascii="Arial" w:hAnsi="Arial" w:cs="Arial"/>
                <w:color w:val="000000"/>
                <w:sz w:val="15"/>
                <w:szCs w:val="15"/>
              </w:rPr>
            </w:pPr>
          </w:p>
        </w:tc>
        <w:tc>
          <w:tcPr>
            <w:tcW w:w="789" w:type="dxa"/>
            <w:tcBorders>
              <w:top w:val="nil"/>
              <w:left w:val="nil"/>
              <w:bottom w:val="single" w:sz="2" w:space="0" w:color="auto"/>
              <w:right w:val="nil"/>
            </w:tcBorders>
          </w:tcPr>
          <w:p w:rsidR="00102FA3" w:rsidRPr="00E71420" w:rsidRDefault="00102FA3">
            <w:pPr>
              <w:autoSpaceDE w:val="0"/>
              <w:autoSpaceDN w:val="0"/>
              <w:adjustRightInd w:val="0"/>
              <w:spacing w:after="0" w:line="240" w:lineRule="auto"/>
              <w:jc w:val="right"/>
              <w:rPr>
                <w:rFonts w:ascii="Arial" w:hAnsi="Arial" w:cs="Arial"/>
                <w:color w:val="000000"/>
                <w:sz w:val="15"/>
                <w:szCs w:val="15"/>
              </w:rPr>
            </w:pPr>
          </w:p>
        </w:tc>
        <w:tc>
          <w:tcPr>
            <w:tcW w:w="1020" w:type="dxa"/>
            <w:tcBorders>
              <w:top w:val="nil"/>
              <w:left w:val="nil"/>
              <w:bottom w:val="single" w:sz="2" w:space="0" w:color="auto"/>
              <w:right w:val="nil"/>
            </w:tcBorders>
            <w:shd w:val="solid" w:color="FFFFFF" w:fill="auto"/>
          </w:tcPr>
          <w:p w:rsidR="00102FA3" w:rsidRPr="00E71420" w:rsidRDefault="00102FA3">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$'000</w:t>
            </w:r>
          </w:p>
        </w:tc>
        <w:tc>
          <w:tcPr>
            <w:tcW w:w="1020" w:type="dxa"/>
            <w:tcBorders>
              <w:top w:val="nil"/>
              <w:left w:val="nil"/>
              <w:bottom w:val="single" w:sz="2" w:space="0" w:color="auto"/>
              <w:right w:val="nil"/>
            </w:tcBorders>
            <w:shd w:val="solid" w:color="FFFFFF" w:fill="auto"/>
          </w:tcPr>
          <w:p w:rsidR="00102FA3" w:rsidRPr="00E71420" w:rsidRDefault="00102FA3">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$'000</w:t>
            </w:r>
          </w:p>
        </w:tc>
        <w:tc>
          <w:tcPr>
            <w:tcW w:w="1020" w:type="dxa"/>
            <w:tcBorders>
              <w:top w:val="nil"/>
              <w:left w:val="nil"/>
              <w:bottom w:val="single" w:sz="2" w:space="0" w:color="auto"/>
              <w:right w:val="nil"/>
            </w:tcBorders>
            <w:shd w:val="solid" w:color="FFFFFF" w:fill="auto"/>
          </w:tcPr>
          <w:p w:rsidR="00102FA3" w:rsidRPr="00E71420" w:rsidRDefault="00102FA3">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$'000</w:t>
            </w:r>
          </w:p>
        </w:tc>
        <w:tc>
          <w:tcPr>
            <w:tcW w:w="1020" w:type="dxa"/>
            <w:tcBorders>
              <w:top w:val="nil"/>
              <w:left w:val="nil"/>
              <w:bottom w:val="single" w:sz="2" w:space="0" w:color="auto"/>
              <w:right w:val="nil"/>
            </w:tcBorders>
            <w:shd w:val="solid" w:color="FFFFFF" w:fill="auto"/>
          </w:tcPr>
          <w:p w:rsidR="00102FA3" w:rsidRPr="00E71420" w:rsidRDefault="00102FA3">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$'000</w:t>
            </w:r>
          </w:p>
        </w:tc>
        <w:tc>
          <w:tcPr>
            <w:tcW w:w="1020" w:type="dxa"/>
            <w:tcBorders>
              <w:top w:val="nil"/>
              <w:left w:val="nil"/>
              <w:bottom w:val="single" w:sz="2" w:space="0" w:color="auto"/>
              <w:right w:val="nil"/>
            </w:tcBorders>
            <w:shd w:val="solid" w:color="FFFFFF" w:fill="auto"/>
          </w:tcPr>
          <w:p w:rsidR="00102FA3" w:rsidRPr="00E71420" w:rsidRDefault="00102FA3">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$'000</w:t>
            </w:r>
          </w:p>
        </w:tc>
      </w:tr>
      <w:tr w:rsidR="00102FA3" w:rsidTr="00E71420">
        <w:trPr>
          <w:trHeight w:val="211"/>
        </w:trPr>
        <w:tc>
          <w:tcPr>
            <w:tcW w:w="2474" w:type="dxa"/>
            <w:tcBorders>
              <w:top w:val="nil"/>
              <w:left w:val="nil"/>
              <w:bottom w:val="nil"/>
              <w:right w:val="nil"/>
            </w:tcBorders>
            <w:vAlign w:val="bottom"/>
          </w:tcPr>
          <w:p w:rsidR="00102FA3" w:rsidRPr="00E71420" w:rsidRDefault="00102FA3" w:rsidP="00E71420">
            <w:pPr>
              <w:autoSpaceDE w:val="0"/>
              <w:autoSpaceDN w:val="0"/>
              <w:adjustRightInd w:val="0"/>
              <w:spacing w:after="0" w:line="240" w:lineRule="auto"/>
              <w:jc w:val="left"/>
              <w:rPr>
                <w:rFonts w:ascii="Arial" w:hAnsi="Arial" w:cs="Arial"/>
                <w:b/>
                <w:bCs/>
                <w:color w:val="000000"/>
                <w:sz w:val="15"/>
                <w:szCs w:val="15"/>
              </w:rPr>
            </w:pPr>
            <w:r w:rsidRPr="00E71420">
              <w:rPr>
                <w:rFonts w:ascii="Arial" w:hAnsi="Arial" w:cs="Arial"/>
                <w:b/>
                <w:bCs/>
                <w:color w:val="000000"/>
                <w:sz w:val="15"/>
                <w:szCs w:val="15"/>
              </w:rPr>
              <w:t>Cross Portfolio</w:t>
            </w:r>
          </w:p>
        </w:tc>
        <w:tc>
          <w:tcPr>
            <w:tcW w:w="789" w:type="dxa"/>
            <w:tcBorders>
              <w:top w:val="nil"/>
              <w:left w:val="nil"/>
              <w:bottom w:val="nil"/>
              <w:right w:val="nil"/>
            </w:tcBorders>
          </w:tcPr>
          <w:p w:rsidR="00102FA3" w:rsidRPr="00E71420" w:rsidRDefault="00102FA3">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trHeight w:val="396"/>
        </w:trPr>
        <w:tc>
          <w:tcPr>
            <w:tcW w:w="2474" w:type="dxa"/>
            <w:tcBorders>
              <w:top w:val="nil"/>
              <w:left w:val="nil"/>
              <w:bottom w:val="nil"/>
              <w:right w:val="nil"/>
            </w:tcBorders>
            <w:vAlign w:val="bottom"/>
          </w:tcPr>
          <w:p w:rsidR="00102FA3" w:rsidRPr="00E71420" w:rsidRDefault="00102FA3" w:rsidP="00E71420">
            <w:pPr>
              <w:autoSpaceDE w:val="0"/>
              <w:autoSpaceDN w:val="0"/>
              <w:adjustRightInd w:val="0"/>
              <w:spacing w:after="0" w:line="240" w:lineRule="auto"/>
              <w:jc w:val="left"/>
              <w:rPr>
                <w:rFonts w:ascii="Arial" w:hAnsi="Arial" w:cs="Arial"/>
                <w:color w:val="000000"/>
                <w:sz w:val="15"/>
                <w:szCs w:val="15"/>
              </w:rPr>
            </w:pPr>
            <w:r w:rsidRPr="00E71420">
              <w:rPr>
                <w:rFonts w:ascii="Arial" w:hAnsi="Arial" w:cs="Arial"/>
                <w:color w:val="000000"/>
                <w:sz w:val="15"/>
                <w:szCs w:val="15"/>
              </w:rPr>
              <w:t>Migration Program - allocation of places for 2011-12</w:t>
            </w:r>
          </w:p>
        </w:tc>
        <w:tc>
          <w:tcPr>
            <w:tcW w:w="789" w:type="dxa"/>
            <w:tcBorders>
              <w:top w:val="nil"/>
              <w:left w:val="nil"/>
              <w:bottom w:val="nil"/>
              <w:right w:val="nil"/>
            </w:tcBorders>
          </w:tcPr>
          <w:p w:rsidR="00102FA3" w:rsidRPr="00E71420" w:rsidRDefault="00102FA3">
            <w:pPr>
              <w:autoSpaceDE w:val="0"/>
              <w:autoSpaceDN w:val="0"/>
              <w:adjustRightInd w:val="0"/>
              <w:spacing w:after="0" w:line="240" w:lineRule="auto"/>
              <w:jc w:val="center"/>
              <w:rPr>
                <w:rFonts w:ascii="Arial" w:hAnsi="Arial" w:cs="Arial"/>
                <w:color w:val="000000"/>
                <w:sz w:val="15"/>
                <w:szCs w:val="15"/>
              </w:rPr>
            </w:pPr>
            <w:r w:rsidRPr="00E71420">
              <w:rPr>
                <w:rFonts w:ascii="Arial" w:hAnsi="Arial" w:cs="Arial"/>
                <w:color w:val="000000"/>
                <w:sz w:val="15"/>
                <w:szCs w:val="15"/>
              </w:rPr>
              <w:t>1.1</w:t>
            </w: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6"/>
                <w:szCs w:val="16"/>
              </w:rPr>
            </w:pPr>
          </w:p>
        </w:tc>
      </w:tr>
      <w:tr w:rsidR="00102FA3" w:rsidTr="00E71420">
        <w:trPr>
          <w:trHeight w:val="211"/>
        </w:trPr>
        <w:tc>
          <w:tcPr>
            <w:tcW w:w="2474" w:type="dxa"/>
            <w:tcBorders>
              <w:top w:val="nil"/>
              <w:left w:val="nil"/>
              <w:bottom w:val="nil"/>
              <w:right w:val="nil"/>
            </w:tcBorders>
            <w:vAlign w:val="bottom"/>
          </w:tcPr>
          <w:p w:rsidR="00102FA3" w:rsidRPr="00E71420" w:rsidRDefault="00102FA3" w:rsidP="00E71420">
            <w:pPr>
              <w:autoSpaceDE w:val="0"/>
              <w:autoSpaceDN w:val="0"/>
              <w:adjustRightInd w:val="0"/>
              <w:spacing w:after="0" w:line="240" w:lineRule="auto"/>
              <w:jc w:val="left"/>
              <w:rPr>
                <w:rFonts w:ascii="Arial" w:hAnsi="Arial" w:cs="Arial"/>
                <w:color w:val="000000"/>
                <w:sz w:val="15"/>
                <w:szCs w:val="15"/>
              </w:rPr>
            </w:pPr>
            <w:r w:rsidRPr="00E71420">
              <w:rPr>
                <w:rFonts w:ascii="Arial" w:hAnsi="Arial" w:cs="Arial"/>
                <w:color w:val="000000"/>
                <w:sz w:val="15"/>
                <w:szCs w:val="15"/>
              </w:rPr>
              <w:t>Departmental expenses</w:t>
            </w:r>
          </w:p>
        </w:tc>
        <w:tc>
          <w:tcPr>
            <w:tcW w:w="789" w:type="dxa"/>
            <w:tcBorders>
              <w:top w:val="nil"/>
              <w:left w:val="nil"/>
              <w:bottom w:val="nil"/>
              <w:right w:val="nil"/>
            </w:tcBorders>
          </w:tcPr>
          <w:p w:rsidR="00102FA3" w:rsidRPr="00E71420" w:rsidRDefault="00102FA3">
            <w:pPr>
              <w:autoSpaceDE w:val="0"/>
              <w:autoSpaceDN w:val="0"/>
              <w:adjustRightInd w:val="0"/>
              <w:spacing w:after="0" w:line="240" w:lineRule="auto"/>
              <w:jc w:val="center"/>
              <w:rPr>
                <w:rFonts w:ascii="Arial" w:hAnsi="Arial" w:cs="Arial"/>
                <w:color w:val="000000"/>
                <w:sz w:val="15"/>
                <w:szCs w:val="15"/>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 xml:space="preserve">- </w:t>
            </w: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 xml:space="preserve">1,437 </w:t>
            </w: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 xml:space="preserve">2,209 </w:t>
            </w: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 xml:space="preserve"> 3,343 </w:t>
            </w: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 xml:space="preserve"> 3,652 </w:t>
            </w:r>
          </w:p>
        </w:tc>
      </w:tr>
      <w:tr w:rsidR="00102FA3" w:rsidTr="00E71420">
        <w:trPr>
          <w:trHeight w:val="607"/>
        </w:trPr>
        <w:tc>
          <w:tcPr>
            <w:tcW w:w="2474" w:type="dxa"/>
            <w:tcBorders>
              <w:top w:val="nil"/>
              <w:left w:val="nil"/>
              <w:bottom w:val="nil"/>
              <w:right w:val="nil"/>
            </w:tcBorders>
            <w:shd w:val="clear" w:color="auto" w:fill="auto"/>
            <w:vAlign w:val="bottom"/>
          </w:tcPr>
          <w:p w:rsidR="00102FA3" w:rsidRPr="00E71420" w:rsidRDefault="00102FA3" w:rsidP="00E71420">
            <w:pPr>
              <w:autoSpaceDE w:val="0"/>
              <w:autoSpaceDN w:val="0"/>
              <w:adjustRightInd w:val="0"/>
              <w:spacing w:after="0" w:line="240" w:lineRule="auto"/>
              <w:jc w:val="left"/>
              <w:rPr>
                <w:rFonts w:ascii="Arial" w:hAnsi="Arial" w:cs="Arial"/>
                <w:color w:val="000000"/>
                <w:sz w:val="15"/>
                <w:szCs w:val="15"/>
              </w:rPr>
            </w:pPr>
            <w:r w:rsidRPr="00E71420">
              <w:rPr>
                <w:rFonts w:ascii="Arial" w:hAnsi="Arial" w:cs="Arial"/>
                <w:color w:val="000000"/>
                <w:sz w:val="15"/>
                <w:szCs w:val="15"/>
              </w:rPr>
              <w:t xml:space="preserve">Natural Disaster Recovery and Rebuilding - Commission of Inquiry into Queensland Floods </w:t>
            </w:r>
          </w:p>
        </w:tc>
        <w:tc>
          <w:tcPr>
            <w:tcW w:w="789" w:type="dxa"/>
            <w:tcBorders>
              <w:top w:val="nil"/>
              <w:left w:val="nil"/>
              <w:bottom w:val="nil"/>
              <w:right w:val="nil"/>
            </w:tcBorders>
            <w:shd w:val="clear" w:color="auto" w:fill="auto"/>
          </w:tcPr>
          <w:p w:rsidR="00102FA3" w:rsidRPr="00E71420" w:rsidRDefault="00102FA3">
            <w:pPr>
              <w:autoSpaceDE w:val="0"/>
              <w:autoSpaceDN w:val="0"/>
              <w:adjustRightInd w:val="0"/>
              <w:spacing w:after="0" w:line="240" w:lineRule="auto"/>
              <w:jc w:val="center"/>
              <w:rPr>
                <w:rFonts w:ascii="Arial" w:hAnsi="Arial" w:cs="Arial"/>
                <w:color w:val="000000"/>
                <w:sz w:val="15"/>
                <w:szCs w:val="15"/>
              </w:rPr>
            </w:pPr>
            <w:r w:rsidRPr="00E71420">
              <w:rPr>
                <w:rFonts w:ascii="Arial" w:hAnsi="Arial" w:cs="Arial"/>
                <w:color w:val="000000"/>
                <w:sz w:val="15"/>
                <w:szCs w:val="15"/>
              </w:rPr>
              <w:t>1.1</w:t>
            </w:r>
          </w:p>
        </w:tc>
        <w:tc>
          <w:tcPr>
            <w:tcW w:w="1020" w:type="dxa"/>
            <w:tcBorders>
              <w:top w:val="nil"/>
              <w:left w:val="nil"/>
              <w:bottom w:val="nil"/>
              <w:right w:val="nil"/>
            </w:tcBorders>
            <w:shd w:val="clear" w:color="auto"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p>
        </w:tc>
        <w:tc>
          <w:tcPr>
            <w:tcW w:w="1020" w:type="dxa"/>
            <w:tcBorders>
              <w:top w:val="nil"/>
              <w:left w:val="nil"/>
              <w:bottom w:val="nil"/>
              <w:right w:val="nil"/>
            </w:tcBorders>
            <w:shd w:val="clear" w:color="auto"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p>
        </w:tc>
        <w:tc>
          <w:tcPr>
            <w:tcW w:w="1020" w:type="dxa"/>
            <w:tcBorders>
              <w:top w:val="nil"/>
              <w:left w:val="nil"/>
              <w:bottom w:val="nil"/>
              <w:right w:val="nil"/>
            </w:tcBorders>
            <w:shd w:val="clear" w:color="auto"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p>
        </w:tc>
        <w:tc>
          <w:tcPr>
            <w:tcW w:w="1020" w:type="dxa"/>
            <w:tcBorders>
              <w:top w:val="nil"/>
              <w:left w:val="nil"/>
              <w:bottom w:val="nil"/>
              <w:right w:val="nil"/>
            </w:tcBorders>
            <w:shd w:val="clear" w:color="auto"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p>
        </w:tc>
        <w:tc>
          <w:tcPr>
            <w:tcW w:w="1020" w:type="dxa"/>
            <w:tcBorders>
              <w:top w:val="nil"/>
              <w:left w:val="nil"/>
              <w:bottom w:val="nil"/>
              <w:right w:val="nil"/>
            </w:tcBorders>
            <w:shd w:val="clear" w:color="auto"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trHeight w:val="211"/>
        </w:trPr>
        <w:tc>
          <w:tcPr>
            <w:tcW w:w="2474" w:type="dxa"/>
            <w:tcBorders>
              <w:top w:val="nil"/>
              <w:left w:val="nil"/>
              <w:bottom w:val="nil"/>
              <w:right w:val="nil"/>
            </w:tcBorders>
            <w:shd w:val="clear" w:color="auto" w:fill="auto"/>
            <w:vAlign w:val="bottom"/>
          </w:tcPr>
          <w:p w:rsidR="00102FA3" w:rsidRPr="00E71420" w:rsidRDefault="00102FA3" w:rsidP="00E71420">
            <w:pPr>
              <w:autoSpaceDE w:val="0"/>
              <w:autoSpaceDN w:val="0"/>
              <w:adjustRightInd w:val="0"/>
              <w:spacing w:after="0" w:line="240" w:lineRule="auto"/>
              <w:jc w:val="left"/>
              <w:rPr>
                <w:rFonts w:ascii="Arial" w:hAnsi="Arial" w:cs="Arial"/>
                <w:color w:val="000000"/>
                <w:sz w:val="15"/>
                <w:szCs w:val="15"/>
              </w:rPr>
            </w:pPr>
            <w:r w:rsidRPr="00E71420">
              <w:rPr>
                <w:rFonts w:ascii="Arial" w:hAnsi="Arial" w:cs="Arial"/>
                <w:color w:val="000000"/>
                <w:sz w:val="15"/>
                <w:szCs w:val="15"/>
              </w:rPr>
              <w:t>Departmental expenses</w:t>
            </w:r>
          </w:p>
        </w:tc>
        <w:tc>
          <w:tcPr>
            <w:tcW w:w="789" w:type="dxa"/>
            <w:tcBorders>
              <w:top w:val="nil"/>
              <w:left w:val="nil"/>
              <w:bottom w:val="nil"/>
              <w:right w:val="nil"/>
            </w:tcBorders>
            <w:shd w:val="clear" w:color="auto" w:fill="auto"/>
          </w:tcPr>
          <w:p w:rsidR="00102FA3" w:rsidRPr="00E71420" w:rsidRDefault="00102FA3">
            <w:pPr>
              <w:autoSpaceDE w:val="0"/>
              <w:autoSpaceDN w:val="0"/>
              <w:adjustRightInd w:val="0"/>
              <w:spacing w:after="0" w:line="240" w:lineRule="auto"/>
              <w:jc w:val="center"/>
              <w:rPr>
                <w:rFonts w:ascii="Arial" w:hAnsi="Arial" w:cs="Arial"/>
                <w:color w:val="000000"/>
                <w:sz w:val="15"/>
                <w:szCs w:val="15"/>
              </w:rPr>
            </w:pPr>
          </w:p>
        </w:tc>
        <w:tc>
          <w:tcPr>
            <w:tcW w:w="1020" w:type="dxa"/>
            <w:tcBorders>
              <w:top w:val="nil"/>
              <w:left w:val="nil"/>
              <w:bottom w:val="nil"/>
              <w:right w:val="nil"/>
            </w:tcBorders>
            <w:shd w:val="clear" w:color="auto"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 xml:space="preserve">- </w:t>
            </w:r>
          </w:p>
        </w:tc>
        <w:tc>
          <w:tcPr>
            <w:tcW w:w="1020" w:type="dxa"/>
            <w:tcBorders>
              <w:top w:val="nil"/>
              <w:left w:val="nil"/>
              <w:bottom w:val="nil"/>
              <w:right w:val="nil"/>
            </w:tcBorders>
            <w:shd w:val="clear" w:color="auto"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 xml:space="preserve"> (87)</w:t>
            </w:r>
          </w:p>
        </w:tc>
        <w:tc>
          <w:tcPr>
            <w:tcW w:w="1020" w:type="dxa"/>
            <w:tcBorders>
              <w:top w:val="nil"/>
              <w:left w:val="nil"/>
              <w:bottom w:val="nil"/>
              <w:right w:val="nil"/>
            </w:tcBorders>
            <w:shd w:val="clear" w:color="auto"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 xml:space="preserve"> - </w:t>
            </w:r>
          </w:p>
        </w:tc>
        <w:tc>
          <w:tcPr>
            <w:tcW w:w="1020" w:type="dxa"/>
            <w:tcBorders>
              <w:top w:val="nil"/>
              <w:left w:val="nil"/>
              <w:bottom w:val="nil"/>
              <w:right w:val="nil"/>
            </w:tcBorders>
            <w:shd w:val="clear" w:color="auto"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 xml:space="preserve">- </w:t>
            </w:r>
          </w:p>
        </w:tc>
        <w:tc>
          <w:tcPr>
            <w:tcW w:w="1020" w:type="dxa"/>
            <w:tcBorders>
              <w:top w:val="nil"/>
              <w:left w:val="nil"/>
              <w:bottom w:val="nil"/>
              <w:right w:val="nil"/>
            </w:tcBorders>
            <w:shd w:val="clear" w:color="auto"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 xml:space="preserve">- </w:t>
            </w:r>
          </w:p>
        </w:tc>
      </w:tr>
      <w:tr w:rsidR="00102FA3" w:rsidTr="00E71420">
        <w:trPr>
          <w:trHeight w:val="425"/>
        </w:trPr>
        <w:tc>
          <w:tcPr>
            <w:tcW w:w="2474" w:type="dxa"/>
            <w:tcBorders>
              <w:top w:val="nil"/>
              <w:left w:val="nil"/>
              <w:bottom w:val="nil"/>
              <w:right w:val="nil"/>
            </w:tcBorders>
            <w:vAlign w:val="bottom"/>
          </w:tcPr>
          <w:p w:rsidR="00102FA3" w:rsidRPr="00E71420" w:rsidRDefault="00102FA3" w:rsidP="00E71420">
            <w:pPr>
              <w:autoSpaceDE w:val="0"/>
              <w:autoSpaceDN w:val="0"/>
              <w:adjustRightInd w:val="0"/>
              <w:spacing w:after="0" w:line="240" w:lineRule="auto"/>
              <w:jc w:val="left"/>
              <w:rPr>
                <w:rFonts w:ascii="Arial" w:hAnsi="Arial" w:cs="Arial"/>
                <w:color w:val="000000"/>
                <w:sz w:val="15"/>
                <w:szCs w:val="15"/>
              </w:rPr>
            </w:pPr>
            <w:r w:rsidRPr="00E71420">
              <w:rPr>
                <w:rFonts w:ascii="Arial" w:hAnsi="Arial" w:cs="Arial"/>
                <w:color w:val="000000"/>
                <w:sz w:val="15"/>
                <w:szCs w:val="15"/>
              </w:rPr>
              <w:t>Efficiency dividend - temporary increase in the rate</w:t>
            </w:r>
          </w:p>
        </w:tc>
        <w:tc>
          <w:tcPr>
            <w:tcW w:w="789" w:type="dxa"/>
            <w:tcBorders>
              <w:top w:val="nil"/>
              <w:left w:val="nil"/>
              <w:bottom w:val="nil"/>
              <w:right w:val="nil"/>
            </w:tcBorders>
          </w:tcPr>
          <w:p w:rsidR="00102FA3" w:rsidRPr="00E71420" w:rsidRDefault="00102FA3">
            <w:pPr>
              <w:autoSpaceDE w:val="0"/>
              <w:autoSpaceDN w:val="0"/>
              <w:adjustRightInd w:val="0"/>
              <w:spacing w:after="0" w:line="240" w:lineRule="auto"/>
              <w:jc w:val="center"/>
              <w:rPr>
                <w:rFonts w:ascii="Arial" w:hAnsi="Arial" w:cs="Arial"/>
                <w:color w:val="000000"/>
                <w:sz w:val="15"/>
                <w:szCs w:val="15"/>
              </w:rPr>
            </w:pPr>
            <w:r w:rsidRPr="00E71420">
              <w:rPr>
                <w:rFonts w:ascii="Arial" w:hAnsi="Arial" w:cs="Arial"/>
                <w:color w:val="000000"/>
                <w:sz w:val="15"/>
                <w:szCs w:val="15"/>
              </w:rPr>
              <w:t>1.1</w:t>
            </w: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trHeight w:val="211"/>
        </w:trPr>
        <w:tc>
          <w:tcPr>
            <w:tcW w:w="2474" w:type="dxa"/>
            <w:tcBorders>
              <w:top w:val="nil"/>
              <w:left w:val="nil"/>
              <w:bottom w:val="nil"/>
              <w:right w:val="nil"/>
            </w:tcBorders>
            <w:vAlign w:val="bottom"/>
          </w:tcPr>
          <w:p w:rsidR="00102FA3" w:rsidRPr="00E71420" w:rsidRDefault="00102FA3" w:rsidP="00E71420">
            <w:pPr>
              <w:autoSpaceDE w:val="0"/>
              <w:autoSpaceDN w:val="0"/>
              <w:adjustRightInd w:val="0"/>
              <w:spacing w:after="0" w:line="240" w:lineRule="auto"/>
              <w:jc w:val="left"/>
              <w:rPr>
                <w:rFonts w:ascii="Arial" w:hAnsi="Arial" w:cs="Arial"/>
                <w:color w:val="000000"/>
                <w:sz w:val="15"/>
                <w:szCs w:val="15"/>
              </w:rPr>
            </w:pPr>
            <w:r w:rsidRPr="00E71420">
              <w:rPr>
                <w:rFonts w:ascii="Arial" w:hAnsi="Arial" w:cs="Arial"/>
                <w:color w:val="000000"/>
                <w:sz w:val="15"/>
                <w:szCs w:val="15"/>
              </w:rPr>
              <w:t>Departmental expenses</w:t>
            </w:r>
          </w:p>
        </w:tc>
        <w:tc>
          <w:tcPr>
            <w:tcW w:w="789" w:type="dxa"/>
            <w:tcBorders>
              <w:top w:val="nil"/>
              <w:left w:val="nil"/>
              <w:bottom w:val="nil"/>
              <w:right w:val="nil"/>
            </w:tcBorders>
          </w:tcPr>
          <w:p w:rsidR="00102FA3" w:rsidRPr="00E71420" w:rsidRDefault="00102FA3">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 xml:space="preserve">- </w:t>
            </w: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 xml:space="preserve"> (18,039)</w:t>
            </w: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 xml:space="preserve"> (36,425)</w:t>
            </w: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(45,283)</w:t>
            </w: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color w:val="000000"/>
                <w:sz w:val="15"/>
                <w:szCs w:val="15"/>
              </w:rPr>
            </w:pPr>
            <w:r w:rsidRPr="00E71420">
              <w:rPr>
                <w:rFonts w:ascii="Arial" w:hAnsi="Arial" w:cs="Arial"/>
                <w:color w:val="000000"/>
                <w:sz w:val="15"/>
                <w:szCs w:val="15"/>
              </w:rPr>
              <w:t>(54,334)</w:t>
            </w:r>
          </w:p>
        </w:tc>
      </w:tr>
      <w:tr w:rsidR="00102FA3" w:rsidTr="00E71420">
        <w:trPr>
          <w:trHeight w:val="211"/>
        </w:trPr>
        <w:tc>
          <w:tcPr>
            <w:tcW w:w="2474" w:type="dxa"/>
            <w:tcBorders>
              <w:top w:val="nil"/>
              <w:left w:val="nil"/>
              <w:bottom w:val="nil"/>
              <w:right w:val="nil"/>
            </w:tcBorders>
            <w:vAlign w:val="bottom"/>
          </w:tcPr>
          <w:p w:rsidR="00102FA3" w:rsidRPr="00E71420" w:rsidRDefault="00102FA3" w:rsidP="00E71420">
            <w:pPr>
              <w:autoSpaceDE w:val="0"/>
              <w:autoSpaceDN w:val="0"/>
              <w:adjustRightInd w:val="0"/>
              <w:spacing w:after="0" w:line="240" w:lineRule="auto"/>
              <w:jc w:val="left"/>
              <w:rPr>
                <w:rFonts w:ascii="Arial" w:hAnsi="Arial" w:cs="Arial"/>
                <w:b/>
                <w:bCs/>
                <w:color w:val="000000"/>
                <w:sz w:val="15"/>
                <w:szCs w:val="15"/>
              </w:rPr>
            </w:pPr>
            <w:r w:rsidRPr="00E71420">
              <w:rPr>
                <w:rFonts w:ascii="Arial" w:hAnsi="Arial" w:cs="Arial"/>
                <w:b/>
                <w:bCs/>
                <w:color w:val="000000"/>
                <w:sz w:val="15"/>
                <w:szCs w:val="15"/>
              </w:rPr>
              <w:t>Total expense measures</w:t>
            </w:r>
          </w:p>
        </w:tc>
        <w:tc>
          <w:tcPr>
            <w:tcW w:w="789" w:type="dxa"/>
            <w:tcBorders>
              <w:top w:val="nil"/>
              <w:left w:val="nil"/>
              <w:bottom w:val="nil"/>
              <w:right w:val="nil"/>
            </w:tcBorders>
          </w:tcPr>
          <w:p w:rsidR="00102FA3" w:rsidRPr="00E71420" w:rsidRDefault="00102FA3">
            <w:pPr>
              <w:autoSpaceDE w:val="0"/>
              <w:autoSpaceDN w:val="0"/>
              <w:adjustRightInd w:val="0"/>
              <w:spacing w:after="0" w:line="240" w:lineRule="auto"/>
              <w:jc w:val="center"/>
              <w:rPr>
                <w:rFonts w:ascii="Arial" w:hAnsi="Arial" w:cs="Arial"/>
                <w:color w:val="000000"/>
                <w:sz w:val="15"/>
                <w:szCs w:val="15"/>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p>
        </w:tc>
        <w:tc>
          <w:tcPr>
            <w:tcW w:w="1020" w:type="dxa"/>
            <w:tcBorders>
              <w:top w:val="nil"/>
              <w:left w:val="nil"/>
              <w:bottom w:val="nil"/>
              <w:right w:val="nil"/>
            </w:tcBorders>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p>
        </w:tc>
        <w:tc>
          <w:tcPr>
            <w:tcW w:w="1020" w:type="dxa"/>
            <w:tcBorders>
              <w:top w:val="nil"/>
              <w:left w:val="nil"/>
              <w:bottom w:val="nil"/>
              <w:right w:val="nil"/>
            </w:tcBorders>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p>
        </w:tc>
      </w:tr>
      <w:tr w:rsidR="00102FA3" w:rsidTr="00E71420">
        <w:trPr>
          <w:trHeight w:val="211"/>
        </w:trPr>
        <w:tc>
          <w:tcPr>
            <w:tcW w:w="2474" w:type="dxa"/>
            <w:tcBorders>
              <w:top w:val="nil"/>
              <w:left w:val="nil"/>
              <w:bottom w:val="nil"/>
              <w:right w:val="nil"/>
            </w:tcBorders>
            <w:vAlign w:val="bottom"/>
          </w:tcPr>
          <w:p w:rsidR="00102FA3" w:rsidRPr="00E71420" w:rsidRDefault="00102FA3" w:rsidP="00E71420">
            <w:pPr>
              <w:autoSpaceDE w:val="0"/>
              <w:autoSpaceDN w:val="0"/>
              <w:adjustRightInd w:val="0"/>
              <w:spacing w:after="0" w:line="240" w:lineRule="auto"/>
              <w:jc w:val="left"/>
              <w:rPr>
                <w:rFonts w:ascii="Arial" w:hAnsi="Arial" w:cs="Arial"/>
                <w:color w:val="000000"/>
                <w:sz w:val="15"/>
                <w:szCs w:val="15"/>
              </w:rPr>
            </w:pPr>
            <w:r w:rsidRPr="00E71420">
              <w:rPr>
                <w:rFonts w:ascii="Arial" w:hAnsi="Arial" w:cs="Arial"/>
                <w:color w:val="000000"/>
                <w:sz w:val="15"/>
                <w:szCs w:val="15"/>
              </w:rPr>
              <w:t>Administered</w:t>
            </w:r>
          </w:p>
        </w:tc>
        <w:tc>
          <w:tcPr>
            <w:tcW w:w="789" w:type="dxa"/>
            <w:tcBorders>
              <w:top w:val="nil"/>
              <w:left w:val="nil"/>
              <w:bottom w:val="nil"/>
              <w:right w:val="nil"/>
            </w:tcBorders>
          </w:tcPr>
          <w:p w:rsidR="00102FA3" w:rsidRPr="00E71420" w:rsidRDefault="00102FA3">
            <w:pPr>
              <w:autoSpaceDE w:val="0"/>
              <w:autoSpaceDN w:val="0"/>
              <w:adjustRightInd w:val="0"/>
              <w:spacing w:after="0" w:line="240" w:lineRule="auto"/>
              <w:jc w:val="center"/>
              <w:rPr>
                <w:rFonts w:ascii="Arial" w:hAnsi="Arial" w:cs="Arial"/>
                <w:color w:val="000000"/>
                <w:sz w:val="15"/>
                <w:szCs w:val="15"/>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r w:rsidRPr="00E71420">
              <w:rPr>
                <w:rFonts w:ascii="Arial" w:hAnsi="Arial" w:cs="Arial"/>
                <w:b/>
                <w:bCs/>
                <w:color w:val="000000"/>
                <w:sz w:val="15"/>
                <w:szCs w:val="15"/>
              </w:rPr>
              <w:t xml:space="preserve"> - </w:t>
            </w:r>
          </w:p>
        </w:tc>
        <w:tc>
          <w:tcPr>
            <w:tcW w:w="1020" w:type="dxa"/>
            <w:tcBorders>
              <w:top w:val="nil"/>
              <w:left w:val="nil"/>
              <w:bottom w:val="nil"/>
              <w:right w:val="nil"/>
            </w:tcBorders>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r w:rsidRPr="00E71420">
              <w:rPr>
                <w:rFonts w:ascii="Arial" w:hAnsi="Arial" w:cs="Arial"/>
                <w:b/>
                <w:bCs/>
                <w:color w:val="000000"/>
                <w:sz w:val="15"/>
                <w:szCs w:val="15"/>
              </w:rPr>
              <w:t xml:space="preserve">2,760 </w:t>
            </w: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r w:rsidRPr="00E71420">
              <w:rPr>
                <w:rFonts w:ascii="Arial" w:hAnsi="Arial" w:cs="Arial"/>
                <w:b/>
                <w:bCs/>
                <w:color w:val="000000"/>
                <w:sz w:val="15"/>
                <w:szCs w:val="15"/>
              </w:rPr>
              <w:t xml:space="preserve"> 10,790 </w:t>
            </w:r>
          </w:p>
        </w:tc>
        <w:tc>
          <w:tcPr>
            <w:tcW w:w="1020" w:type="dxa"/>
            <w:tcBorders>
              <w:top w:val="nil"/>
              <w:left w:val="nil"/>
              <w:bottom w:val="nil"/>
              <w:right w:val="nil"/>
            </w:tcBorders>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r w:rsidRPr="00E71420">
              <w:rPr>
                <w:rFonts w:ascii="Arial" w:hAnsi="Arial" w:cs="Arial"/>
                <w:b/>
                <w:bCs/>
                <w:color w:val="000000"/>
                <w:sz w:val="15"/>
                <w:szCs w:val="15"/>
              </w:rPr>
              <w:t xml:space="preserve"> 9,821 </w:t>
            </w: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r w:rsidRPr="00E71420">
              <w:rPr>
                <w:rFonts w:ascii="Arial" w:hAnsi="Arial" w:cs="Arial"/>
                <w:b/>
                <w:bCs/>
                <w:color w:val="000000"/>
                <w:sz w:val="15"/>
                <w:szCs w:val="15"/>
              </w:rPr>
              <w:t xml:space="preserve"> 8,853 </w:t>
            </w:r>
          </w:p>
        </w:tc>
      </w:tr>
      <w:tr w:rsidR="00102FA3" w:rsidTr="00E71420">
        <w:trPr>
          <w:trHeight w:val="211"/>
        </w:trPr>
        <w:tc>
          <w:tcPr>
            <w:tcW w:w="2474" w:type="dxa"/>
            <w:tcBorders>
              <w:top w:val="nil"/>
              <w:left w:val="nil"/>
              <w:bottom w:val="nil"/>
              <w:right w:val="nil"/>
            </w:tcBorders>
            <w:vAlign w:val="bottom"/>
          </w:tcPr>
          <w:p w:rsidR="00102FA3" w:rsidRPr="00E71420" w:rsidRDefault="00102FA3" w:rsidP="00E71420">
            <w:pPr>
              <w:autoSpaceDE w:val="0"/>
              <w:autoSpaceDN w:val="0"/>
              <w:adjustRightInd w:val="0"/>
              <w:spacing w:after="0" w:line="240" w:lineRule="auto"/>
              <w:jc w:val="left"/>
              <w:rPr>
                <w:rFonts w:ascii="Arial" w:hAnsi="Arial" w:cs="Arial"/>
                <w:color w:val="000000"/>
                <w:sz w:val="15"/>
                <w:szCs w:val="15"/>
              </w:rPr>
            </w:pPr>
            <w:r w:rsidRPr="00E71420">
              <w:rPr>
                <w:rFonts w:ascii="Arial" w:hAnsi="Arial" w:cs="Arial"/>
                <w:color w:val="000000"/>
                <w:sz w:val="15"/>
                <w:szCs w:val="15"/>
              </w:rPr>
              <w:t>Departmental</w:t>
            </w:r>
          </w:p>
        </w:tc>
        <w:tc>
          <w:tcPr>
            <w:tcW w:w="789" w:type="dxa"/>
            <w:tcBorders>
              <w:top w:val="nil"/>
              <w:left w:val="nil"/>
              <w:bottom w:val="nil"/>
              <w:right w:val="nil"/>
            </w:tcBorders>
          </w:tcPr>
          <w:p w:rsidR="00102FA3" w:rsidRPr="00E71420" w:rsidRDefault="00102FA3">
            <w:pPr>
              <w:autoSpaceDE w:val="0"/>
              <w:autoSpaceDN w:val="0"/>
              <w:adjustRightInd w:val="0"/>
              <w:spacing w:after="0" w:line="240" w:lineRule="auto"/>
              <w:jc w:val="center"/>
              <w:rPr>
                <w:rFonts w:ascii="Arial" w:hAnsi="Arial" w:cs="Arial"/>
                <w:color w:val="000000"/>
                <w:sz w:val="15"/>
                <w:szCs w:val="15"/>
              </w:rPr>
            </w:pP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r w:rsidRPr="00E71420">
              <w:rPr>
                <w:rFonts w:ascii="Arial" w:hAnsi="Arial" w:cs="Arial"/>
                <w:b/>
                <w:bCs/>
                <w:color w:val="000000"/>
                <w:sz w:val="15"/>
                <w:szCs w:val="15"/>
              </w:rPr>
              <w:t xml:space="preserve"> 27,051 </w:t>
            </w:r>
          </w:p>
        </w:tc>
        <w:tc>
          <w:tcPr>
            <w:tcW w:w="1020" w:type="dxa"/>
            <w:tcBorders>
              <w:top w:val="nil"/>
              <w:left w:val="nil"/>
              <w:bottom w:val="nil"/>
              <w:right w:val="nil"/>
            </w:tcBorders>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r w:rsidRPr="00E71420">
              <w:rPr>
                <w:rFonts w:ascii="Arial" w:hAnsi="Arial" w:cs="Arial"/>
                <w:b/>
                <w:bCs/>
                <w:color w:val="000000"/>
                <w:sz w:val="15"/>
                <w:szCs w:val="15"/>
              </w:rPr>
              <w:t xml:space="preserve">280,837 </w:t>
            </w: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r w:rsidRPr="00E71420">
              <w:rPr>
                <w:rFonts w:ascii="Arial" w:hAnsi="Arial" w:cs="Arial"/>
                <w:b/>
                <w:bCs/>
                <w:color w:val="000000"/>
                <w:sz w:val="15"/>
                <w:szCs w:val="15"/>
              </w:rPr>
              <w:t xml:space="preserve"> 61,171 </w:t>
            </w:r>
          </w:p>
        </w:tc>
        <w:tc>
          <w:tcPr>
            <w:tcW w:w="1020" w:type="dxa"/>
            <w:tcBorders>
              <w:top w:val="nil"/>
              <w:left w:val="nil"/>
              <w:bottom w:val="nil"/>
              <w:right w:val="nil"/>
            </w:tcBorders>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r w:rsidRPr="00E71420">
              <w:rPr>
                <w:rFonts w:ascii="Arial" w:hAnsi="Arial" w:cs="Arial"/>
                <w:b/>
                <w:bCs/>
                <w:color w:val="000000"/>
                <w:sz w:val="15"/>
                <w:szCs w:val="15"/>
              </w:rPr>
              <w:t xml:space="preserve"> (46,250)</w:t>
            </w:r>
          </w:p>
        </w:tc>
        <w:tc>
          <w:tcPr>
            <w:tcW w:w="1020" w:type="dxa"/>
            <w:tcBorders>
              <w:top w:val="nil"/>
              <w:left w:val="nil"/>
              <w:bottom w:val="nil"/>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r w:rsidRPr="00E71420">
              <w:rPr>
                <w:rFonts w:ascii="Arial" w:hAnsi="Arial" w:cs="Arial"/>
                <w:b/>
                <w:bCs/>
                <w:color w:val="000000"/>
                <w:sz w:val="15"/>
                <w:szCs w:val="15"/>
              </w:rPr>
              <w:t>(118,429)</w:t>
            </w:r>
          </w:p>
        </w:tc>
      </w:tr>
      <w:tr w:rsidR="00102FA3" w:rsidTr="00E71420">
        <w:trPr>
          <w:trHeight w:val="211"/>
        </w:trPr>
        <w:tc>
          <w:tcPr>
            <w:tcW w:w="2474" w:type="dxa"/>
            <w:tcBorders>
              <w:top w:val="nil"/>
              <w:left w:val="nil"/>
              <w:bottom w:val="single" w:sz="2" w:space="0" w:color="auto"/>
              <w:right w:val="nil"/>
            </w:tcBorders>
            <w:vAlign w:val="bottom"/>
          </w:tcPr>
          <w:p w:rsidR="00102FA3" w:rsidRPr="00E71420" w:rsidRDefault="00102FA3" w:rsidP="00E71420">
            <w:pPr>
              <w:autoSpaceDE w:val="0"/>
              <w:autoSpaceDN w:val="0"/>
              <w:adjustRightInd w:val="0"/>
              <w:spacing w:after="0" w:line="240" w:lineRule="auto"/>
              <w:jc w:val="left"/>
              <w:rPr>
                <w:rFonts w:ascii="Arial" w:hAnsi="Arial" w:cs="Arial"/>
                <w:b/>
                <w:bCs/>
                <w:color w:val="000000"/>
                <w:sz w:val="15"/>
                <w:szCs w:val="15"/>
              </w:rPr>
            </w:pPr>
            <w:r w:rsidRPr="00E71420">
              <w:rPr>
                <w:rFonts w:ascii="Arial" w:hAnsi="Arial" w:cs="Arial"/>
                <w:b/>
                <w:bCs/>
                <w:color w:val="000000"/>
                <w:sz w:val="15"/>
                <w:szCs w:val="15"/>
              </w:rPr>
              <w:t xml:space="preserve">Total </w:t>
            </w:r>
          </w:p>
        </w:tc>
        <w:tc>
          <w:tcPr>
            <w:tcW w:w="789" w:type="dxa"/>
            <w:tcBorders>
              <w:top w:val="nil"/>
              <w:left w:val="nil"/>
              <w:bottom w:val="single" w:sz="2" w:space="0" w:color="auto"/>
              <w:right w:val="nil"/>
            </w:tcBorders>
            <w:shd w:val="solid" w:color="FFFFFF" w:fill="auto"/>
          </w:tcPr>
          <w:p w:rsidR="00102FA3" w:rsidRPr="00E71420" w:rsidRDefault="00102FA3">
            <w:pPr>
              <w:autoSpaceDE w:val="0"/>
              <w:autoSpaceDN w:val="0"/>
              <w:adjustRightInd w:val="0"/>
              <w:spacing w:after="0" w:line="240" w:lineRule="auto"/>
              <w:jc w:val="center"/>
              <w:rPr>
                <w:rFonts w:ascii="Arial" w:hAnsi="Arial" w:cs="Arial"/>
                <w:color w:val="000000"/>
                <w:sz w:val="15"/>
                <w:szCs w:val="15"/>
              </w:rPr>
            </w:pPr>
          </w:p>
        </w:tc>
        <w:tc>
          <w:tcPr>
            <w:tcW w:w="1020" w:type="dxa"/>
            <w:tcBorders>
              <w:top w:val="single" w:sz="2" w:space="0" w:color="auto"/>
              <w:left w:val="nil"/>
              <w:bottom w:val="single" w:sz="2" w:space="0" w:color="auto"/>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r w:rsidRPr="00E71420">
              <w:rPr>
                <w:rFonts w:ascii="Arial" w:hAnsi="Arial" w:cs="Arial"/>
                <w:b/>
                <w:bCs/>
                <w:color w:val="000000"/>
                <w:sz w:val="15"/>
                <w:szCs w:val="15"/>
              </w:rPr>
              <w:t xml:space="preserve"> 27,051 </w:t>
            </w:r>
          </w:p>
        </w:tc>
        <w:tc>
          <w:tcPr>
            <w:tcW w:w="1020" w:type="dxa"/>
            <w:tcBorders>
              <w:top w:val="single" w:sz="2" w:space="0" w:color="auto"/>
              <w:left w:val="nil"/>
              <w:bottom w:val="single" w:sz="2" w:space="0" w:color="auto"/>
              <w:right w:val="nil"/>
            </w:tcBorders>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r w:rsidRPr="00E71420">
              <w:rPr>
                <w:rFonts w:ascii="Arial" w:hAnsi="Arial" w:cs="Arial"/>
                <w:b/>
                <w:bCs/>
                <w:color w:val="000000"/>
                <w:sz w:val="15"/>
                <w:szCs w:val="15"/>
              </w:rPr>
              <w:t xml:space="preserve">283,597 </w:t>
            </w:r>
          </w:p>
        </w:tc>
        <w:tc>
          <w:tcPr>
            <w:tcW w:w="1020" w:type="dxa"/>
            <w:tcBorders>
              <w:top w:val="single" w:sz="2" w:space="0" w:color="auto"/>
              <w:left w:val="nil"/>
              <w:bottom w:val="single" w:sz="2" w:space="0" w:color="auto"/>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r w:rsidRPr="00E71420">
              <w:rPr>
                <w:rFonts w:ascii="Arial" w:hAnsi="Arial" w:cs="Arial"/>
                <w:b/>
                <w:bCs/>
                <w:color w:val="000000"/>
                <w:sz w:val="15"/>
                <w:szCs w:val="15"/>
              </w:rPr>
              <w:t xml:space="preserve">71,961 </w:t>
            </w:r>
          </w:p>
        </w:tc>
        <w:tc>
          <w:tcPr>
            <w:tcW w:w="1020" w:type="dxa"/>
            <w:tcBorders>
              <w:top w:val="single" w:sz="2" w:space="0" w:color="auto"/>
              <w:left w:val="nil"/>
              <w:bottom w:val="single" w:sz="2" w:space="0" w:color="auto"/>
              <w:right w:val="nil"/>
            </w:tcBorders>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r w:rsidRPr="00E71420">
              <w:rPr>
                <w:rFonts w:ascii="Arial" w:hAnsi="Arial" w:cs="Arial"/>
                <w:b/>
                <w:bCs/>
                <w:color w:val="000000"/>
                <w:sz w:val="15"/>
                <w:szCs w:val="15"/>
              </w:rPr>
              <w:t xml:space="preserve"> (36,429)</w:t>
            </w:r>
          </w:p>
        </w:tc>
        <w:tc>
          <w:tcPr>
            <w:tcW w:w="1020" w:type="dxa"/>
            <w:tcBorders>
              <w:top w:val="single" w:sz="2" w:space="0" w:color="auto"/>
              <w:left w:val="nil"/>
              <w:bottom w:val="single" w:sz="2" w:space="0" w:color="auto"/>
              <w:right w:val="nil"/>
            </w:tcBorders>
            <w:shd w:val="solid" w:color="FFFFFF" w:fill="auto"/>
            <w:vAlign w:val="bottom"/>
          </w:tcPr>
          <w:p w:rsidR="00102FA3" w:rsidRPr="00E71420" w:rsidRDefault="00102FA3" w:rsidP="00E71420">
            <w:pPr>
              <w:autoSpaceDE w:val="0"/>
              <w:autoSpaceDN w:val="0"/>
              <w:adjustRightInd w:val="0"/>
              <w:spacing w:after="0" w:line="240" w:lineRule="auto"/>
              <w:jc w:val="right"/>
              <w:rPr>
                <w:rFonts w:ascii="Arial" w:hAnsi="Arial" w:cs="Arial"/>
                <w:b/>
                <w:bCs/>
                <w:color w:val="000000"/>
                <w:sz w:val="15"/>
                <w:szCs w:val="15"/>
              </w:rPr>
            </w:pPr>
            <w:r w:rsidRPr="00E71420">
              <w:rPr>
                <w:rFonts w:ascii="Arial" w:hAnsi="Arial" w:cs="Arial"/>
                <w:b/>
                <w:bCs/>
                <w:color w:val="000000"/>
                <w:sz w:val="15"/>
                <w:szCs w:val="15"/>
              </w:rPr>
              <w:t xml:space="preserve"> (109,576)</w:t>
            </w:r>
          </w:p>
        </w:tc>
      </w:tr>
    </w:tbl>
    <w:p w:rsidR="00602A3A" w:rsidRPr="00602A3A" w:rsidRDefault="00602A3A" w:rsidP="00602A3A">
      <w:pPr>
        <w:pStyle w:val="TableHeadingcontinued"/>
        <w:tabs>
          <w:tab w:val="left" w:pos="300"/>
        </w:tabs>
        <w:spacing w:before="0" w:after="0"/>
        <w:rPr>
          <w:rFonts w:ascii="Arial" w:hAnsi="Arial" w:cs="Arial"/>
          <w:b w:val="0"/>
          <w:sz w:val="16"/>
          <w:szCs w:val="16"/>
        </w:rPr>
      </w:pPr>
      <w:r w:rsidRPr="00602A3A">
        <w:rPr>
          <w:rFonts w:ascii="Arial" w:hAnsi="Arial" w:cs="Arial"/>
          <w:b w:val="0"/>
          <w:sz w:val="16"/>
          <w:szCs w:val="16"/>
        </w:rPr>
        <w:t>Prepared on a Government Finance Statistics (fiscal) basis.</w:t>
      </w:r>
    </w:p>
    <w:p w:rsidR="00610A3A" w:rsidRDefault="00415B28" w:rsidP="00610A3A">
      <w:pPr>
        <w:pStyle w:val="TableHeading"/>
        <w:tabs>
          <w:tab w:val="left" w:pos="300"/>
        </w:tabs>
        <w:jc w:val="both"/>
      </w:pPr>
      <w:r>
        <w:br w:type="page"/>
      </w:r>
      <w:r w:rsidR="0069058C" w:rsidRPr="002B779E">
        <w:t>T</w:t>
      </w:r>
      <w:r w:rsidR="0069058C">
        <w:t xml:space="preserve">able 1.2: </w:t>
      </w:r>
      <w:r w:rsidR="00610A3A">
        <w:t>Department of Human Services 2011</w:t>
      </w:r>
      <w:r w:rsidR="00610A3A">
        <w:noBreakHyphen/>
        <w:t xml:space="preserve">12 </w:t>
      </w:r>
      <w:smartTag w:uri="urn:schemas-microsoft-com:office:smarttags" w:element="PersonName">
        <w:r w:rsidR="00610A3A">
          <w:t>Budget</w:t>
        </w:r>
      </w:smartTag>
      <w:r w:rsidR="00610A3A">
        <w:t xml:space="preserve"> m</w:t>
      </w:r>
      <w:r w:rsidR="00610A3A" w:rsidRPr="002B779E">
        <w:t>easures</w:t>
      </w:r>
      <w:r w:rsidR="00610A3A">
        <w:t xml:space="preserve"> (continued)</w:t>
      </w:r>
    </w:p>
    <w:tbl>
      <w:tblPr>
        <w:tblW w:w="7858" w:type="dxa"/>
        <w:tblInd w:w="78" w:type="dxa"/>
        <w:tblLayout w:type="fixed"/>
        <w:tblLook w:val="0000" w:firstRow="0" w:lastRow="0" w:firstColumn="0" w:lastColumn="0" w:noHBand="0" w:noVBand="0"/>
      </w:tblPr>
      <w:tblGrid>
        <w:gridCol w:w="2819"/>
        <w:gridCol w:w="789"/>
        <w:gridCol w:w="850"/>
        <w:gridCol w:w="850"/>
        <w:gridCol w:w="850"/>
        <w:gridCol w:w="850"/>
        <w:gridCol w:w="850"/>
      </w:tblGrid>
      <w:tr w:rsidR="00102FA3" w:rsidTr="00E71420">
        <w:trPr>
          <w:trHeight w:val="211"/>
        </w:trPr>
        <w:tc>
          <w:tcPr>
            <w:tcW w:w="2819" w:type="dxa"/>
            <w:tcBorders>
              <w:top w:val="single" w:sz="2" w:space="0" w:color="auto"/>
              <w:left w:val="nil"/>
              <w:bottom w:val="nil"/>
              <w:right w:val="nil"/>
            </w:tcBorders>
            <w:shd w:val="clear" w:color="auto" w:fill="auto"/>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789" w:type="dxa"/>
            <w:tcBorders>
              <w:top w:val="single" w:sz="2" w:space="0" w:color="auto"/>
              <w:left w:val="nil"/>
              <w:bottom w:val="nil"/>
              <w:right w:val="nil"/>
            </w:tcBorders>
            <w:shd w:val="clear" w:color="auto" w:fill="auto"/>
          </w:tcPr>
          <w:p w:rsidR="00102FA3" w:rsidRDefault="00102FA3" w:rsidP="00E71420">
            <w:pPr>
              <w:autoSpaceDE w:val="0"/>
              <w:autoSpaceDN w:val="0"/>
              <w:adjustRightInd w:val="0"/>
              <w:spacing w:after="0" w:line="240" w:lineRule="auto"/>
              <w:ind w:left="-170"/>
              <w:jc w:val="center"/>
              <w:rPr>
                <w:rFonts w:ascii="Arial" w:hAnsi="Arial" w:cs="Arial"/>
                <w:color w:val="000000"/>
                <w:sz w:val="15"/>
                <w:szCs w:val="15"/>
              </w:rPr>
            </w:pPr>
            <w:r>
              <w:rPr>
                <w:rFonts w:ascii="Arial" w:hAnsi="Arial" w:cs="Arial"/>
                <w:color w:val="000000"/>
                <w:sz w:val="15"/>
                <w:szCs w:val="15"/>
              </w:rPr>
              <w:t>Program</w:t>
            </w:r>
          </w:p>
        </w:tc>
        <w:tc>
          <w:tcPr>
            <w:tcW w:w="850" w:type="dxa"/>
            <w:tcBorders>
              <w:top w:val="single" w:sz="2" w:space="0" w:color="auto"/>
              <w:left w:val="nil"/>
              <w:bottom w:val="nil"/>
              <w:right w:val="nil"/>
            </w:tcBorders>
            <w:shd w:val="clear" w:color="auto"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2010-11</w:t>
            </w:r>
          </w:p>
        </w:tc>
        <w:tc>
          <w:tcPr>
            <w:tcW w:w="850" w:type="dxa"/>
            <w:tcBorders>
              <w:top w:val="single" w:sz="2" w:space="0" w:color="auto"/>
              <w:left w:val="nil"/>
              <w:bottom w:val="nil"/>
              <w:right w:val="nil"/>
            </w:tcBorders>
            <w:shd w:val="clear" w:color="auto"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850" w:type="dxa"/>
            <w:tcBorders>
              <w:top w:val="single" w:sz="2" w:space="0" w:color="auto"/>
              <w:left w:val="nil"/>
              <w:bottom w:val="nil"/>
              <w:right w:val="nil"/>
            </w:tcBorders>
            <w:shd w:val="clear" w:color="auto"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2012-13</w:t>
            </w:r>
          </w:p>
        </w:tc>
        <w:tc>
          <w:tcPr>
            <w:tcW w:w="850" w:type="dxa"/>
            <w:tcBorders>
              <w:top w:val="single" w:sz="2" w:space="0" w:color="auto"/>
              <w:left w:val="nil"/>
              <w:bottom w:val="nil"/>
              <w:right w:val="nil"/>
            </w:tcBorders>
            <w:shd w:val="clear" w:color="auto"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2013-14</w:t>
            </w:r>
          </w:p>
        </w:tc>
        <w:tc>
          <w:tcPr>
            <w:tcW w:w="850" w:type="dxa"/>
            <w:tcBorders>
              <w:top w:val="single" w:sz="2" w:space="0" w:color="auto"/>
              <w:left w:val="nil"/>
              <w:bottom w:val="nil"/>
              <w:right w:val="nil"/>
            </w:tcBorders>
            <w:shd w:val="clear" w:color="auto"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2014-15</w:t>
            </w:r>
          </w:p>
        </w:tc>
      </w:tr>
      <w:tr w:rsidR="00102FA3" w:rsidTr="00E71420">
        <w:trPr>
          <w:trHeight w:val="211"/>
        </w:trPr>
        <w:tc>
          <w:tcPr>
            <w:tcW w:w="2819" w:type="dxa"/>
            <w:tcBorders>
              <w:top w:val="nil"/>
              <w:left w:val="nil"/>
              <w:bottom w:val="nil"/>
              <w:right w:val="nil"/>
            </w:tcBorders>
            <w:shd w:val="clear" w:color="auto" w:fill="auto"/>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789" w:type="dxa"/>
            <w:tcBorders>
              <w:top w:val="nil"/>
              <w:left w:val="nil"/>
              <w:bottom w:val="single" w:sz="2" w:space="0" w:color="auto"/>
              <w:right w:val="nil"/>
            </w:tcBorders>
            <w:shd w:val="clear" w:color="auto" w:fill="auto"/>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single" w:sz="2" w:space="0" w:color="auto"/>
              <w:right w:val="nil"/>
            </w:tcBorders>
            <w:shd w:val="clear" w:color="auto"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0" w:type="dxa"/>
            <w:tcBorders>
              <w:top w:val="nil"/>
              <w:left w:val="nil"/>
              <w:bottom w:val="single" w:sz="2" w:space="0" w:color="auto"/>
              <w:right w:val="nil"/>
            </w:tcBorders>
            <w:shd w:val="clear" w:color="auto"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0" w:type="dxa"/>
            <w:tcBorders>
              <w:top w:val="nil"/>
              <w:left w:val="nil"/>
              <w:bottom w:val="single" w:sz="2" w:space="0" w:color="auto"/>
              <w:right w:val="nil"/>
            </w:tcBorders>
            <w:shd w:val="clear" w:color="auto"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0" w:type="dxa"/>
            <w:tcBorders>
              <w:top w:val="nil"/>
              <w:left w:val="nil"/>
              <w:bottom w:val="single" w:sz="2" w:space="0" w:color="auto"/>
              <w:right w:val="nil"/>
            </w:tcBorders>
            <w:shd w:val="clear" w:color="auto"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0" w:type="dxa"/>
            <w:tcBorders>
              <w:top w:val="nil"/>
              <w:left w:val="nil"/>
              <w:bottom w:val="single" w:sz="2" w:space="0" w:color="auto"/>
              <w:right w:val="nil"/>
            </w:tcBorders>
            <w:shd w:val="clear" w:color="auto"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b/>
                <w:bCs/>
                <w:color w:val="000000"/>
                <w:sz w:val="15"/>
                <w:szCs w:val="15"/>
              </w:rPr>
            </w:pPr>
            <w:r>
              <w:rPr>
                <w:rFonts w:ascii="Arial" w:hAnsi="Arial" w:cs="Arial"/>
                <w:b/>
                <w:bCs/>
                <w:color w:val="000000"/>
                <w:sz w:val="15"/>
                <w:szCs w:val="15"/>
              </w:rPr>
              <w:t>Capital measures</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Service Delivery Reform</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 improving access</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 extending services through Medicare and Centrelink</w:t>
            </w:r>
          </w:p>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 xml:space="preserve"> one-stop-shops</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Departmental capital</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 single web and telephone service</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Departmental capital</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 improving portfolio business</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 improving online services</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Departmental capital</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 integrating the portfolio</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 corporate integration</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Departmental capital</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 information and communications technology integration</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Departmental capital</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Building Australia's Future Workforce</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-improved services - tailored support for job seekers</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cantSplit/>
        </w:trPr>
        <w:tc>
          <w:tcPr>
            <w:tcW w:w="281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Departmental capital</w:t>
            </w:r>
          </w:p>
        </w:tc>
        <w:tc>
          <w:tcPr>
            <w:tcW w:w="789"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E71420" w:rsidTr="00E71420">
        <w:trPr>
          <w:cantSplit/>
        </w:trPr>
        <w:tc>
          <w:tcPr>
            <w:tcW w:w="281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b/>
                <w:bCs/>
                <w:color w:val="000000"/>
                <w:sz w:val="15"/>
                <w:szCs w:val="15"/>
              </w:rPr>
            </w:pPr>
            <w:r>
              <w:rPr>
                <w:rFonts w:ascii="Arial" w:hAnsi="Arial" w:cs="Arial"/>
                <w:b/>
                <w:bCs/>
                <w:color w:val="000000"/>
                <w:sz w:val="15"/>
                <w:szCs w:val="15"/>
              </w:rPr>
              <w:t>Department of  Broadband, Communications and the Digital Economy</w:t>
            </w:r>
          </w:p>
        </w:tc>
        <w:tc>
          <w:tcPr>
            <w:tcW w:w="78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r>
      <w:tr w:rsidR="00E71420" w:rsidTr="00E71420">
        <w:trPr>
          <w:cantSplit/>
        </w:trPr>
        <w:tc>
          <w:tcPr>
            <w:tcW w:w="281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Digital Television Switchover - assistance</w:t>
            </w:r>
          </w:p>
        </w:tc>
        <w:tc>
          <w:tcPr>
            <w:tcW w:w="78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r>
      <w:tr w:rsidR="00E71420" w:rsidTr="00E71420">
        <w:trPr>
          <w:cantSplit/>
        </w:trPr>
        <w:tc>
          <w:tcPr>
            <w:tcW w:w="281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Departmental capital</w:t>
            </w:r>
          </w:p>
        </w:tc>
        <w:tc>
          <w:tcPr>
            <w:tcW w:w="78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822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E71420" w:rsidTr="00E71420">
        <w:trPr>
          <w:cantSplit/>
        </w:trPr>
        <w:tc>
          <w:tcPr>
            <w:tcW w:w="281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b/>
                <w:bCs/>
                <w:color w:val="000000"/>
                <w:sz w:val="15"/>
                <w:szCs w:val="15"/>
              </w:rPr>
            </w:pPr>
            <w:r>
              <w:rPr>
                <w:rFonts w:ascii="Arial" w:hAnsi="Arial" w:cs="Arial"/>
                <w:b/>
                <w:bCs/>
                <w:color w:val="000000"/>
                <w:sz w:val="15"/>
                <w:szCs w:val="15"/>
              </w:rPr>
              <w:t>Department of Education, Employment and Workplace Relations</w:t>
            </w:r>
          </w:p>
        </w:tc>
        <w:tc>
          <w:tcPr>
            <w:tcW w:w="78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r>
      <w:tr w:rsidR="00E71420" w:rsidTr="00E71420">
        <w:trPr>
          <w:cantSplit/>
        </w:trPr>
        <w:tc>
          <w:tcPr>
            <w:tcW w:w="281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Building Australia's Future Workforce</w:t>
            </w:r>
          </w:p>
        </w:tc>
        <w:tc>
          <w:tcPr>
            <w:tcW w:w="78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r>
      <w:tr w:rsidR="00E71420" w:rsidTr="00E71420">
        <w:trPr>
          <w:cantSplit/>
        </w:trPr>
        <w:tc>
          <w:tcPr>
            <w:tcW w:w="281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 connection interviews and jobseeker workshops</w:t>
            </w:r>
          </w:p>
        </w:tc>
        <w:tc>
          <w:tcPr>
            <w:tcW w:w="78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r>
      <w:tr w:rsidR="00E71420" w:rsidTr="00E71420">
        <w:trPr>
          <w:cantSplit/>
        </w:trPr>
        <w:tc>
          <w:tcPr>
            <w:tcW w:w="281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Departmental capital</w:t>
            </w:r>
          </w:p>
        </w:tc>
        <w:tc>
          <w:tcPr>
            <w:tcW w:w="78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312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E71420" w:rsidTr="00E71420">
        <w:trPr>
          <w:cantSplit/>
        </w:trPr>
        <w:tc>
          <w:tcPr>
            <w:tcW w:w="281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 streamlining services for job seekers</w:t>
            </w:r>
          </w:p>
        </w:tc>
        <w:tc>
          <w:tcPr>
            <w:tcW w:w="78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r>
      <w:tr w:rsidR="00E71420" w:rsidTr="00E71420">
        <w:trPr>
          <w:cantSplit/>
        </w:trPr>
        <w:tc>
          <w:tcPr>
            <w:tcW w:w="281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Departmental capital</w:t>
            </w:r>
          </w:p>
        </w:tc>
        <w:tc>
          <w:tcPr>
            <w:tcW w:w="78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3,233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E71420" w:rsidTr="00E71420">
        <w:trPr>
          <w:cantSplit/>
        </w:trPr>
        <w:tc>
          <w:tcPr>
            <w:tcW w:w="281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b/>
                <w:bCs/>
                <w:color w:val="000000"/>
                <w:sz w:val="15"/>
                <w:szCs w:val="15"/>
              </w:rPr>
            </w:pPr>
            <w:r>
              <w:rPr>
                <w:rFonts w:ascii="Arial" w:hAnsi="Arial" w:cs="Arial"/>
                <w:b/>
                <w:bCs/>
                <w:color w:val="000000"/>
                <w:sz w:val="15"/>
                <w:szCs w:val="15"/>
              </w:rPr>
              <w:t>Department of Families, Housing, Community Services and Indigenous Affairs</w:t>
            </w:r>
          </w:p>
        </w:tc>
        <w:tc>
          <w:tcPr>
            <w:tcW w:w="78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r>
      <w:tr w:rsidR="00E71420" w:rsidTr="00E71420">
        <w:trPr>
          <w:cantSplit/>
        </w:trPr>
        <w:tc>
          <w:tcPr>
            <w:tcW w:w="281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Building Australia's Future Workforce</w:t>
            </w:r>
          </w:p>
        </w:tc>
        <w:tc>
          <w:tcPr>
            <w:tcW w:w="78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r>
      <w:tr w:rsidR="00E71420" w:rsidTr="00E71420">
        <w:trPr>
          <w:cantSplit/>
        </w:trPr>
        <w:tc>
          <w:tcPr>
            <w:tcW w:w="281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 xml:space="preserve"> - targeted locations income management and extension of School Enrolment and Attendance Measure </w:t>
            </w:r>
          </w:p>
        </w:tc>
        <w:tc>
          <w:tcPr>
            <w:tcW w:w="78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r>
      <w:tr w:rsidR="00E71420" w:rsidTr="00E71420">
        <w:trPr>
          <w:cantSplit/>
        </w:trPr>
        <w:tc>
          <w:tcPr>
            <w:tcW w:w="281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Departmental capital</w:t>
            </w:r>
          </w:p>
        </w:tc>
        <w:tc>
          <w:tcPr>
            <w:tcW w:w="78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288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E71420" w:rsidTr="00E71420">
        <w:trPr>
          <w:cantSplit/>
        </w:trPr>
        <w:tc>
          <w:tcPr>
            <w:tcW w:w="281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b/>
                <w:bCs/>
                <w:color w:val="000000"/>
                <w:sz w:val="15"/>
                <w:szCs w:val="15"/>
              </w:rPr>
            </w:pPr>
            <w:r>
              <w:rPr>
                <w:rFonts w:ascii="Arial" w:hAnsi="Arial" w:cs="Arial"/>
                <w:b/>
                <w:bCs/>
                <w:color w:val="000000"/>
                <w:sz w:val="15"/>
                <w:szCs w:val="15"/>
              </w:rPr>
              <w:t>Department of Health and Ageing</w:t>
            </w:r>
          </w:p>
        </w:tc>
        <w:tc>
          <w:tcPr>
            <w:tcW w:w="78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r>
      <w:tr w:rsidR="00E71420" w:rsidTr="00E71420">
        <w:trPr>
          <w:cantSplit/>
        </w:trPr>
        <w:tc>
          <w:tcPr>
            <w:tcW w:w="281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Aged Care - Residential aged care viability supplement - continuation and expansion</w:t>
            </w:r>
          </w:p>
        </w:tc>
        <w:tc>
          <w:tcPr>
            <w:tcW w:w="789"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p>
        </w:tc>
      </w:tr>
      <w:tr w:rsidR="00E71420" w:rsidTr="00E71420">
        <w:trPr>
          <w:cantSplit/>
        </w:trPr>
        <w:tc>
          <w:tcPr>
            <w:tcW w:w="2819" w:type="dxa"/>
            <w:tcBorders>
              <w:top w:val="nil"/>
              <w:left w:val="nil"/>
              <w:bottom w:val="single" w:sz="2" w:space="0" w:color="auto"/>
              <w:right w:val="nil"/>
            </w:tcBorders>
            <w:shd w:val="clear" w:color="auto" w:fill="auto"/>
            <w:vAlign w:val="bottom"/>
          </w:tcPr>
          <w:p w:rsidR="00E71420" w:rsidRDefault="00E71420" w:rsidP="00E71420">
            <w:pPr>
              <w:autoSpaceDE w:val="0"/>
              <w:autoSpaceDN w:val="0"/>
              <w:adjustRightInd w:val="0"/>
              <w:spacing w:before="40" w:after="0" w:line="240" w:lineRule="auto"/>
              <w:jc w:val="left"/>
              <w:rPr>
                <w:rFonts w:ascii="Arial" w:hAnsi="Arial" w:cs="Arial"/>
                <w:color w:val="000000"/>
                <w:sz w:val="15"/>
                <w:szCs w:val="15"/>
              </w:rPr>
            </w:pPr>
            <w:r>
              <w:rPr>
                <w:rFonts w:ascii="Arial" w:hAnsi="Arial" w:cs="Arial"/>
                <w:color w:val="000000"/>
                <w:sz w:val="15"/>
                <w:szCs w:val="15"/>
              </w:rPr>
              <w:t>Departmental capital</w:t>
            </w:r>
          </w:p>
        </w:tc>
        <w:tc>
          <w:tcPr>
            <w:tcW w:w="789" w:type="dxa"/>
            <w:tcBorders>
              <w:top w:val="nil"/>
              <w:left w:val="nil"/>
              <w:bottom w:val="single" w:sz="2" w:space="0" w:color="auto"/>
              <w:right w:val="nil"/>
            </w:tcBorders>
            <w:shd w:val="clear" w:color="auto" w:fill="auto"/>
            <w:vAlign w:val="bottom"/>
          </w:tcPr>
          <w:p w:rsidR="00E71420" w:rsidRDefault="00E71420" w:rsidP="00E71420">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single" w:sz="2" w:space="0" w:color="auto"/>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single" w:sz="2" w:space="0" w:color="auto"/>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194 </w:t>
            </w:r>
          </w:p>
        </w:tc>
        <w:tc>
          <w:tcPr>
            <w:tcW w:w="850" w:type="dxa"/>
            <w:tcBorders>
              <w:top w:val="nil"/>
              <w:left w:val="nil"/>
              <w:bottom w:val="single" w:sz="2" w:space="0" w:color="auto"/>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850" w:type="dxa"/>
            <w:tcBorders>
              <w:top w:val="nil"/>
              <w:left w:val="nil"/>
              <w:bottom w:val="single" w:sz="2" w:space="0" w:color="auto"/>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0" w:type="dxa"/>
            <w:tcBorders>
              <w:top w:val="nil"/>
              <w:left w:val="nil"/>
              <w:bottom w:val="single" w:sz="2" w:space="0" w:color="auto"/>
              <w:right w:val="nil"/>
            </w:tcBorders>
            <w:shd w:val="clear" w:color="auto" w:fill="auto"/>
            <w:vAlign w:val="bottom"/>
          </w:tcPr>
          <w:p w:rsidR="00E71420" w:rsidRDefault="00E71420"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bl>
    <w:p w:rsidR="00E71420" w:rsidRDefault="00BB26C4" w:rsidP="00BB26C4">
      <w:pPr>
        <w:pStyle w:val="TableHeadingcontinued"/>
        <w:tabs>
          <w:tab w:val="left" w:pos="0"/>
        </w:tabs>
        <w:spacing w:before="0" w:after="0"/>
        <w:rPr>
          <w:rFonts w:ascii="Arial" w:hAnsi="Arial" w:cs="Arial"/>
          <w:b w:val="0"/>
          <w:sz w:val="16"/>
          <w:szCs w:val="16"/>
        </w:rPr>
      </w:pPr>
      <w:r w:rsidRPr="00AF1E42">
        <w:rPr>
          <w:rFonts w:ascii="Arial" w:hAnsi="Arial" w:cs="Arial"/>
          <w:b w:val="0"/>
          <w:sz w:val="16"/>
          <w:szCs w:val="16"/>
        </w:rPr>
        <w:t>Prepared on a Government Finance Statistics (fiscal) basis.</w:t>
      </w:r>
    </w:p>
    <w:p w:rsidR="00E71420" w:rsidRDefault="00E71420" w:rsidP="00E71420">
      <w:r>
        <w:br w:type="page"/>
      </w:r>
    </w:p>
    <w:p w:rsidR="0081587C" w:rsidRDefault="0081587C" w:rsidP="0081587C">
      <w:pPr>
        <w:pStyle w:val="TableHeading"/>
        <w:tabs>
          <w:tab w:val="left" w:pos="300"/>
        </w:tabs>
        <w:jc w:val="both"/>
      </w:pPr>
      <w:r w:rsidRPr="002B779E">
        <w:t>T</w:t>
      </w:r>
      <w:r>
        <w:t>able 1.2: Department of Human Services 2011</w:t>
      </w:r>
      <w:r>
        <w:noBreakHyphen/>
        <w:t xml:space="preserve">12 </w:t>
      </w:r>
      <w:smartTag w:uri="urn:schemas-microsoft-com:office:smarttags" w:element="PersonName">
        <w:r>
          <w:t>Budget</w:t>
        </w:r>
      </w:smartTag>
      <w:r>
        <w:t xml:space="preserve"> m</w:t>
      </w:r>
      <w:r w:rsidRPr="002B779E">
        <w:t>easures</w:t>
      </w:r>
      <w:r>
        <w:t xml:space="preserve"> (continued)</w:t>
      </w:r>
    </w:p>
    <w:tbl>
      <w:tblPr>
        <w:tblW w:w="7859" w:type="dxa"/>
        <w:tblInd w:w="78" w:type="dxa"/>
        <w:tblLayout w:type="fixed"/>
        <w:tblLook w:val="0000" w:firstRow="0" w:lastRow="0" w:firstColumn="0" w:lastColumn="0" w:noHBand="0" w:noVBand="0"/>
      </w:tblPr>
      <w:tblGrid>
        <w:gridCol w:w="2819"/>
        <w:gridCol w:w="789"/>
        <w:gridCol w:w="850"/>
        <w:gridCol w:w="851"/>
        <w:gridCol w:w="850"/>
        <w:gridCol w:w="850"/>
        <w:gridCol w:w="850"/>
      </w:tblGrid>
      <w:tr w:rsidR="00102FA3" w:rsidTr="00E71420">
        <w:trPr>
          <w:trHeight w:val="211"/>
        </w:trPr>
        <w:tc>
          <w:tcPr>
            <w:tcW w:w="2819" w:type="dxa"/>
            <w:tcBorders>
              <w:top w:val="single" w:sz="2" w:space="0" w:color="auto"/>
              <w:left w:val="nil"/>
              <w:bottom w:val="nil"/>
              <w:right w:val="nil"/>
            </w:tcBorders>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789" w:type="dxa"/>
            <w:tcBorders>
              <w:top w:val="single" w:sz="2" w:space="0" w:color="auto"/>
              <w:left w:val="nil"/>
              <w:bottom w:val="nil"/>
              <w:right w:val="nil"/>
            </w:tcBorders>
          </w:tcPr>
          <w:p w:rsidR="00102FA3" w:rsidRDefault="00102FA3" w:rsidP="00E71420">
            <w:pPr>
              <w:autoSpaceDE w:val="0"/>
              <w:autoSpaceDN w:val="0"/>
              <w:adjustRightInd w:val="0"/>
              <w:spacing w:after="0" w:line="240" w:lineRule="auto"/>
              <w:ind w:left="-170"/>
              <w:jc w:val="center"/>
              <w:rPr>
                <w:rFonts w:ascii="Arial" w:hAnsi="Arial" w:cs="Arial"/>
                <w:color w:val="000000"/>
                <w:sz w:val="15"/>
                <w:szCs w:val="15"/>
              </w:rPr>
            </w:pPr>
            <w:r>
              <w:rPr>
                <w:rFonts w:ascii="Arial" w:hAnsi="Arial" w:cs="Arial"/>
                <w:color w:val="000000"/>
                <w:sz w:val="15"/>
                <w:szCs w:val="15"/>
              </w:rPr>
              <w:t>Program</w:t>
            </w:r>
          </w:p>
        </w:tc>
        <w:tc>
          <w:tcPr>
            <w:tcW w:w="850" w:type="dxa"/>
            <w:tcBorders>
              <w:top w:val="single" w:sz="2" w:space="0" w:color="auto"/>
              <w:left w:val="nil"/>
              <w:bottom w:val="nil"/>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2010-11</w:t>
            </w:r>
          </w:p>
        </w:tc>
        <w:tc>
          <w:tcPr>
            <w:tcW w:w="851" w:type="dxa"/>
            <w:tcBorders>
              <w:top w:val="single" w:sz="2" w:space="0" w:color="auto"/>
              <w:left w:val="nil"/>
              <w:bottom w:val="nil"/>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c>
          <w:tcPr>
            <w:tcW w:w="850" w:type="dxa"/>
            <w:tcBorders>
              <w:top w:val="single" w:sz="2" w:space="0" w:color="auto"/>
              <w:left w:val="nil"/>
              <w:bottom w:val="nil"/>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2012-13</w:t>
            </w:r>
          </w:p>
        </w:tc>
        <w:tc>
          <w:tcPr>
            <w:tcW w:w="850" w:type="dxa"/>
            <w:tcBorders>
              <w:top w:val="single" w:sz="2" w:space="0" w:color="auto"/>
              <w:left w:val="nil"/>
              <w:bottom w:val="nil"/>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2013-14</w:t>
            </w:r>
          </w:p>
        </w:tc>
        <w:tc>
          <w:tcPr>
            <w:tcW w:w="850" w:type="dxa"/>
            <w:tcBorders>
              <w:top w:val="single" w:sz="2" w:space="0" w:color="auto"/>
              <w:left w:val="nil"/>
              <w:bottom w:val="nil"/>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2014-15</w:t>
            </w:r>
          </w:p>
        </w:tc>
      </w:tr>
      <w:tr w:rsidR="00102FA3" w:rsidTr="00E71420">
        <w:trPr>
          <w:trHeight w:val="211"/>
        </w:trPr>
        <w:tc>
          <w:tcPr>
            <w:tcW w:w="2819" w:type="dxa"/>
            <w:tcBorders>
              <w:top w:val="nil"/>
              <w:left w:val="nil"/>
              <w:bottom w:val="nil"/>
              <w:right w:val="nil"/>
            </w:tcBorders>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789" w:type="dxa"/>
            <w:tcBorders>
              <w:top w:val="nil"/>
              <w:left w:val="nil"/>
              <w:bottom w:val="single" w:sz="2" w:space="0" w:color="auto"/>
              <w:right w:val="nil"/>
            </w:tcBorders>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single" w:sz="2" w:space="0" w:color="auto"/>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1" w:type="dxa"/>
            <w:tcBorders>
              <w:top w:val="nil"/>
              <w:left w:val="nil"/>
              <w:bottom w:val="single" w:sz="2" w:space="0" w:color="auto"/>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0" w:type="dxa"/>
            <w:tcBorders>
              <w:top w:val="nil"/>
              <w:left w:val="nil"/>
              <w:bottom w:val="single" w:sz="2" w:space="0" w:color="auto"/>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0" w:type="dxa"/>
            <w:tcBorders>
              <w:top w:val="nil"/>
              <w:left w:val="nil"/>
              <w:bottom w:val="single" w:sz="2" w:space="0" w:color="auto"/>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850" w:type="dxa"/>
            <w:tcBorders>
              <w:top w:val="nil"/>
              <w:left w:val="nil"/>
              <w:bottom w:val="single" w:sz="2" w:space="0" w:color="auto"/>
              <w:right w:val="nil"/>
            </w:tcBorders>
            <w:shd w:val="solid" w:color="FFFFFF" w:fill="auto"/>
          </w:tcPr>
          <w:p w:rsidR="00102FA3" w:rsidRDefault="00102FA3">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102FA3" w:rsidTr="00E71420">
        <w:trPr>
          <w:trHeight w:val="211"/>
        </w:trPr>
        <w:tc>
          <w:tcPr>
            <w:tcW w:w="2819" w:type="dxa"/>
            <w:tcBorders>
              <w:top w:val="nil"/>
              <w:left w:val="nil"/>
              <w:bottom w:val="nil"/>
              <w:right w:val="nil"/>
            </w:tcBorders>
            <w:vAlign w:val="bottom"/>
          </w:tcPr>
          <w:p w:rsidR="00102FA3" w:rsidRDefault="00102FA3" w:rsidP="00E7142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Capital measures (continued)</w:t>
            </w:r>
          </w:p>
        </w:tc>
        <w:tc>
          <w:tcPr>
            <w:tcW w:w="789" w:type="dxa"/>
            <w:tcBorders>
              <w:top w:val="nil"/>
              <w:left w:val="nil"/>
              <w:bottom w:val="nil"/>
              <w:right w:val="nil"/>
            </w:tcBorders>
          </w:tcPr>
          <w:p w:rsidR="00102FA3" w:rsidRDefault="00102FA3">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1"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trHeight w:val="211"/>
        </w:trPr>
        <w:tc>
          <w:tcPr>
            <w:tcW w:w="2819" w:type="dxa"/>
            <w:tcBorders>
              <w:top w:val="nil"/>
              <w:left w:val="nil"/>
              <w:bottom w:val="nil"/>
              <w:right w:val="nil"/>
            </w:tcBorders>
            <w:vAlign w:val="bottom"/>
          </w:tcPr>
          <w:p w:rsidR="00102FA3" w:rsidRDefault="00102FA3" w:rsidP="00E7142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Cross Portfolio</w:t>
            </w:r>
          </w:p>
        </w:tc>
        <w:tc>
          <w:tcPr>
            <w:tcW w:w="789" w:type="dxa"/>
            <w:tcBorders>
              <w:top w:val="nil"/>
              <w:left w:val="nil"/>
              <w:bottom w:val="nil"/>
              <w:right w:val="nil"/>
            </w:tcBorders>
          </w:tcPr>
          <w:p w:rsidR="00102FA3" w:rsidRDefault="00102FA3">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1"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trHeight w:val="411"/>
        </w:trPr>
        <w:tc>
          <w:tcPr>
            <w:tcW w:w="2819" w:type="dxa"/>
            <w:tcBorders>
              <w:top w:val="nil"/>
              <w:left w:val="nil"/>
              <w:bottom w:val="nil"/>
              <w:right w:val="nil"/>
            </w:tcBorders>
            <w:vAlign w:val="bottom"/>
          </w:tcPr>
          <w:p w:rsidR="00102FA3" w:rsidRDefault="00102FA3"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Efficiency dividend - temporary increase in the rate</w:t>
            </w:r>
          </w:p>
        </w:tc>
        <w:tc>
          <w:tcPr>
            <w:tcW w:w="789" w:type="dxa"/>
            <w:tcBorders>
              <w:top w:val="nil"/>
              <w:left w:val="nil"/>
              <w:bottom w:val="nil"/>
              <w:right w:val="nil"/>
            </w:tcBorders>
          </w:tcPr>
          <w:p w:rsidR="00102FA3" w:rsidRDefault="00102FA3">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1.1</w:t>
            </w: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1"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trHeight w:val="211"/>
        </w:trPr>
        <w:tc>
          <w:tcPr>
            <w:tcW w:w="2819" w:type="dxa"/>
            <w:tcBorders>
              <w:top w:val="nil"/>
              <w:left w:val="nil"/>
              <w:bottom w:val="nil"/>
              <w:right w:val="nil"/>
            </w:tcBorders>
            <w:vAlign w:val="bottom"/>
          </w:tcPr>
          <w:p w:rsidR="00102FA3" w:rsidRDefault="00102FA3" w:rsidP="00E71420">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capital</w:t>
            </w:r>
          </w:p>
        </w:tc>
        <w:tc>
          <w:tcPr>
            <w:tcW w:w="789" w:type="dxa"/>
            <w:tcBorders>
              <w:top w:val="nil"/>
              <w:left w:val="nil"/>
              <w:bottom w:val="nil"/>
              <w:right w:val="nil"/>
            </w:tcBorders>
          </w:tcPr>
          <w:p w:rsidR="00102FA3" w:rsidRDefault="00102FA3">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851"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(1,447)</w:t>
            </w: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(1,614)</w:t>
            </w: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(1,597)</w:t>
            </w: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(3,666)</w:t>
            </w:r>
          </w:p>
        </w:tc>
      </w:tr>
      <w:tr w:rsidR="00102FA3" w:rsidTr="00E71420">
        <w:trPr>
          <w:trHeight w:val="211"/>
        </w:trPr>
        <w:tc>
          <w:tcPr>
            <w:tcW w:w="2819" w:type="dxa"/>
            <w:tcBorders>
              <w:top w:val="nil"/>
              <w:left w:val="nil"/>
              <w:bottom w:val="nil"/>
              <w:right w:val="nil"/>
            </w:tcBorders>
            <w:vAlign w:val="bottom"/>
          </w:tcPr>
          <w:p w:rsidR="00102FA3" w:rsidRDefault="00102FA3" w:rsidP="00E71420">
            <w:pPr>
              <w:autoSpaceDE w:val="0"/>
              <w:autoSpaceDN w:val="0"/>
              <w:adjustRightInd w:val="0"/>
              <w:spacing w:after="0" w:line="240" w:lineRule="auto"/>
              <w:jc w:val="left"/>
              <w:rPr>
                <w:rFonts w:ascii="Arial" w:hAnsi="Arial" w:cs="Arial"/>
                <w:b/>
                <w:bCs/>
                <w:color w:val="000000"/>
                <w:sz w:val="15"/>
                <w:szCs w:val="15"/>
              </w:rPr>
            </w:pPr>
          </w:p>
        </w:tc>
        <w:tc>
          <w:tcPr>
            <w:tcW w:w="789" w:type="dxa"/>
            <w:tcBorders>
              <w:top w:val="nil"/>
              <w:left w:val="nil"/>
              <w:bottom w:val="nil"/>
              <w:right w:val="nil"/>
            </w:tcBorders>
          </w:tcPr>
          <w:p w:rsidR="00102FA3" w:rsidRDefault="00102FA3">
            <w:pPr>
              <w:autoSpaceDE w:val="0"/>
              <w:autoSpaceDN w:val="0"/>
              <w:adjustRightInd w:val="0"/>
              <w:spacing w:after="0" w:line="240" w:lineRule="auto"/>
              <w:jc w:val="center"/>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1"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c>
          <w:tcPr>
            <w:tcW w:w="850" w:type="dxa"/>
            <w:tcBorders>
              <w:top w:val="nil"/>
              <w:left w:val="nil"/>
              <w:bottom w:val="nil"/>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color w:val="000000"/>
                <w:sz w:val="15"/>
                <w:szCs w:val="15"/>
              </w:rPr>
            </w:pPr>
          </w:p>
        </w:tc>
      </w:tr>
      <w:tr w:rsidR="00102FA3" w:rsidTr="00E71420">
        <w:trPr>
          <w:trHeight w:val="382"/>
        </w:trPr>
        <w:tc>
          <w:tcPr>
            <w:tcW w:w="2819" w:type="dxa"/>
            <w:tcBorders>
              <w:top w:val="nil"/>
              <w:left w:val="nil"/>
              <w:bottom w:val="single" w:sz="2" w:space="0" w:color="auto"/>
              <w:right w:val="nil"/>
            </w:tcBorders>
            <w:vAlign w:val="bottom"/>
          </w:tcPr>
          <w:p w:rsidR="00102FA3" w:rsidRDefault="00102FA3" w:rsidP="00E7142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Depatmental capital measures</w:t>
            </w:r>
          </w:p>
        </w:tc>
        <w:tc>
          <w:tcPr>
            <w:tcW w:w="789" w:type="dxa"/>
            <w:tcBorders>
              <w:top w:val="nil"/>
              <w:left w:val="nil"/>
              <w:bottom w:val="single" w:sz="2" w:space="0" w:color="auto"/>
              <w:right w:val="nil"/>
            </w:tcBorders>
          </w:tcPr>
          <w:p w:rsidR="00102FA3" w:rsidRDefault="00102FA3">
            <w:pPr>
              <w:autoSpaceDE w:val="0"/>
              <w:autoSpaceDN w:val="0"/>
              <w:adjustRightInd w:val="0"/>
              <w:spacing w:after="0" w:line="240" w:lineRule="auto"/>
              <w:jc w:val="center"/>
              <w:rPr>
                <w:rFonts w:ascii="Arial" w:hAnsi="Arial" w:cs="Arial"/>
                <w:color w:val="000000"/>
                <w:sz w:val="15"/>
                <w:szCs w:val="15"/>
              </w:rPr>
            </w:pPr>
          </w:p>
        </w:tc>
        <w:tc>
          <w:tcPr>
            <w:tcW w:w="850" w:type="dxa"/>
            <w:tcBorders>
              <w:top w:val="single" w:sz="2" w:space="0" w:color="auto"/>
              <w:left w:val="nil"/>
              <w:bottom w:val="single" w:sz="2" w:space="0" w:color="auto"/>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 </w:t>
            </w:r>
          </w:p>
        </w:tc>
        <w:tc>
          <w:tcPr>
            <w:tcW w:w="851" w:type="dxa"/>
            <w:tcBorders>
              <w:top w:val="single" w:sz="2" w:space="0" w:color="auto"/>
              <w:left w:val="nil"/>
              <w:bottom w:val="single" w:sz="2" w:space="0" w:color="auto"/>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2,580 </w:t>
            </w:r>
          </w:p>
        </w:tc>
        <w:tc>
          <w:tcPr>
            <w:tcW w:w="850" w:type="dxa"/>
            <w:tcBorders>
              <w:top w:val="single" w:sz="2" w:space="0" w:color="auto"/>
              <w:left w:val="nil"/>
              <w:bottom w:val="single" w:sz="2" w:space="0" w:color="auto"/>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(792)</w:t>
            </w:r>
          </w:p>
        </w:tc>
        <w:tc>
          <w:tcPr>
            <w:tcW w:w="850" w:type="dxa"/>
            <w:tcBorders>
              <w:top w:val="single" w:sz="2" w:space="0" w:color="auto"/>
              <w:left w:val="nil"/>
              <w:bottom w:val="single" w:sz="2" w:space="0" w:color="auto"/>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(1,597)</w:t>
            </w:r>
          </w:p>
        </w:tc>
        <w:tc>
          <w:tcPr>
            <w:tcW w:w="850" w:type="dxa"/>
            <w:tcBorders>
              <w:top w:val="single" w:sz="2" w:space="0" w:color="auto"/>
              <w:left w:val="nil"/>
              <w:bottom w:val="single" w:sz="2" w:space="0" w:color="auto"/>
              <w:right w:val="nil"/>
            </w:tcBorders>
            <w:shd w:val="solid" w:color="FFFFFF" w:fill="auto"/>
            <w:vAlign w:val="bottom"/>
          </w:tcPr>
          <w:p w:rsidR="00102FA3" w:rsidRDefault="00102FA3" w:rsidP="00E71420">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(3,666)</w:t>
            </w:r>
          </w:p>
        </w:tc>
      </w:tr>
    </w:tbl>
    <w:p w:rsidR="0081587C" w:rsidRDefault="0081587C" w:rsidP="0081587C">
      <w:pPr>
        <w:pStyle w:val="TableGraphic"/>
        <w:rPr>
          <w:rFonts w:ascii="Arial" w:hAnsi="Arial" w:cs="Arial"/>
          <w:sz w:val="16"/>
          <w:szCs w:val="16"/>
        </w:rPr>
      </w:pPr>
      <w:r w:rsidRPr="0081587C">
        <w:rPr>
          <w:rFonts w:ascii="Arial" w:hAnsi="Arial" w:cs="Arial"/>
          <w:sz w:val="16"/>
          <w:szCs w:val="16"/>
        </w:rPr>
        <w:t>Prepared on a Government Finance Statistics (fiscal) basis.</w:t>
      </w:r>
    </w:p>
    <w:p w:rsidR="0081587C" w:rsidRDefault="0081587C" w:rsidP="0081587C">
      <w:pPr>
        <w:spacing w:after="0"/>
        <w:rPr>
          <w:rFonts w:ascii="Arial" w:hAnsi="Arial" w:cs="Arial"/>
          <w:sz w:val="16"/>
          <w:szCs w:val="16"/>
        </w:rPr>
      </w:pPr>
    </w:p>
    <w:p w:rsidR="001E6755" w:rsidRPr="001E6755" w:rsidRDefault="001E6755" w:rsidP="001E6755">
      <w:pPr>
        <w:rPr>
          <w:rFonts w:ascii="Arial" w:hAnsi="Arial" w:cs="Arial"/>
          <w:sz w:val="16"/>
          <w:szCs w:val="16"/>
        </w:rPr>
      </w:pPr>
      <w:r w:rsidRPr="00BE556C">
        <w:rPr>
          <w:rFonts w:ascii="Arial" w:hAnsi="Arial" w:cs="Arial"/>
          <w:sz w:val="16"/>
          <w:szCs w:val="16"/>
        </w:rPr>
        <w:t>Note: The measures “</w:t>
      </w:r>
      <w:r w:rsidRPr="00BE556C">
        <w:rPr>
          <w:rFonts w:ascii="Arial" w:hAnsi="Arial" w:cs="Arial"/>
          <w:i/>
          <w:sz w:val="16"/>
          <w:szCs w:val="16"/>
        </w:rPr>
        <w:t>Family Tax Benefit Part A – more flexible advances</w:t>
      </w:r>
      <w:r w:rsidRPr="00BE556C">
        <w:rPr>
          <w:rFonts w:ascii="Arial" w:hAnsi="Arial" w:cs="Arial"/>
          <w:sz w:val="16"/>
          <w:szCs w:val="16"/>
        </w:rPr>
        <w:t>”, “</w:t>
      </w:r>
      <w:r w:rsidRPr="00BE556C">
        <w:rPr>
          <w:rFonts w:ascii="Arial" w:hAnsi="Arial" w:cs="Arial"/>
          <w:i/>
          <w:sz w:val="16"/>
          <w:szCs w:val="16"/>
        </w:rPr>
        <w:t>Healthy Start for School</w:t>
      </w:r>
      <w:r w:rsidRPr="00BE556C">
        <w:rPr>
          <w:rFonts w:ascii="Arial" w:hAnsi="Arial" w:cs="Arial"/>
          <w:sz w:val="16"/>
          <w:szCs w:val="16"/>
        </w:rPr>
        <w:t>”, “</w:t>
      </w:r>
      <w:r w:rsidR="00B27025" w:rsidRPr="00BE556C">
        <w:rPr>
          <w:rFonts w:ascii="Arial" w:hAnsi="Arial" w:cs="Arial"/>
          <w:i/>
          <w:sz w:val="16"/>
          <w:szCs w:val="16"/>
        </w:rPr>
        <w:t>Child Care Rebate – additional payment option</w:t>
      </w:r>
      <w:r w:rsidR="00B27025" w:rsidRPr="00BE556C">
        <w:rPr>
          <w:rFonts w:ascii="Arial" w:hAnsi="Arial" w:cs="Arial"/>
          <w:sz w:val="16"/>
          <w:szCs w:val="16"/>
        </w:rPr>
        <w:t>”, “</w:t>
      </w:r>
      <w:r w:rsidR="00B27025" w:rsidRPr="00BE556C">
        <w:rPr>
          <w:rFonts w:ascii="Arial" w:hAnsi="Arial" w:cs="Arial"/>
          <w:i/>
          <w:sz w:val="16"/>
          <w:szCs w:val="16"/>
        </w:rPr>
        <w:t>Building Australia’s Future Workforce -</w:t>
      </w:r>
      <w:r w:rsidR="00B27025" w:rsidRPr="00BE556C">
        <w:rPr>
          <w:rFonts w:ascii="Arial" w:hAnsi="Arial" w:cs="Arial"/>
          <w:sz w:val="16"/>
          <w:szCs w:val="16"/>
        </w:rPr>
        <w:t xml:space="preserve"> </w:t>
      </w:r>
      <w:r w:rsidR="00B27025" w:rsidRPr="00BE556C">
        <w:rPr>
          <w:rFonts w:ascii="Arial" w:hAnsi="Arial" w:cs="Arial"/>
          <w:i/>
          <w:sz w:val="16"/>
          <w:szCs w:val="16"/>
        </w:rPr>
        <w:t>Supporting Families</w:t>
      </w:r>
      <w:r w:rsidRPr="00BE556C">
        <w:rPr>
          <w:rFonts w:ascii="Arial" w:hAnsi="Arial" w:cs="Arial"/>
          <w:i/>
          <w:sz w:val="16"/>
          <w:szCs w:val="16"/>
        </w:rPr>
        <w:t xml:space="preserve"> </w:t>
      </w:r>
      <w:r w:rsidR="00B27025" w:rsidRPr="00BE556C">
        <w:rPr>
          <w:rFonts w:ascii="Arial" w:hAnsi="Arial" w:cs="Arial"/>
          <w:i/>
          <w:sz w:val="16"/>
          <w:szCs w:val="16"/>
        </w:rPr>
        <w:t>with Teenagers</w:t>
      </w:r>
      <w:r w:rsidR="00B27025" w:rsidRPr="00BE556C">
        <w:rPr>
          <w:rFonts w:ascii="Arial" w:hAnsi="Arial" w:cs="Arial"/>
          <w:sz w:val="16"/>
          <w:szCs w:val="16"/>
        </w:rPr>
        <w:t>”, “</w:t>
      </w:r>
      <w:r w:rsidR="0081342F" w:rsidRPr="00BE556C">
        <w:rPr>
          <w:rFonts w:ascii="Arial" w:hAnsi="Arial" w:cs="Arial"/>
          <w:i/>
          <w:sz w:val="16"/>
          <w:szCs w:val="16"/>
        </w:rPr>
        <w:t>Drought Assistance – interim income support for primary producers – Delungra area</w:t>
      </w:r>
      <w:r w:rsidR="0081342F" w:rsidRPr="00BE556C">
        <w:rPr>
          <w:rFonts w:ascii="Arial" w:hAnsi="Arial" w:cs="Arial"/>
          <w:sz w:val="16"/>
          <w:szCs w:val="16"/>
        </w:rPr>
        <w:t>”, “</w:t>
      </w:r>
      <w:r w:rsidR="0081342F" w:rsidRPr="00BE556C">
        <w:rPr>
          <w:rFonts w:ascii="Arial" w:hAnsi="Arial" w:cs="Arial"/>
          <w:i/>
          <w:sz w:val="16"/>
          <w:szCs w:val="16"/>
        </w:rPr>
        <w:t>Drought Assistance – interim income support for small business – Delungra area</w:t>
      </w:r>
      <w:r w:rsidR="0081342F" w:rsidRPr="00BE556C">
        <w:rPr>
          <w:rFonts w:ascii="Arial" w:hAnsi="Arial" w:cs="Arial"/>
          <w:sz w:val="16"/>
          <w:szCs w:val="16"/>
        </w:rPr>
        <w:t>”, “</w:t>
      </w:r>
      <w:r w:rsidR="0081342F" w:rsidRPr="00BE556C">
        <w:rPr>
          <w:rFonts w:ascii="Arial" w:hAnsi="Arial" w:cs="Arial"/>
          <w:i/>
          <w:sz w:val="16"/>
          <w:szCs w:val="16"/>
        </w:rPr>
        <w:t>Community Development Employment Projects program – continuation of grandfathered wage arrangements</w:t>
      </w:r>
      <w:r w:rsidR="0081342F" w:rsidRPr="00BE556C">
        <w:rPr>
          <w:rFonts w:ascii="Arial" w:hAnsi="Arial" w:cs="Arial"/>
          <w:sz w:val="16"/>
          <w:szCs w:val="16"/>
        </w:rPr>
        <w:t>”, and “</w:t>
      </w:r>
      <w:r w:rsidR="0081342F" w:rsidRPr="00BE556C">
        <w:rPr>
          <w:rFonts w:ascii="Arial" w:hAnsi="Arial" w:cs="Arial"/>
          <w:i/>
          <w:sz w:val="16"/>
          <w:szCs w:val="16"/>
        </w:rPr>
        <w:t>Pharmaceutical Benefits Scheme – new and extensions to listings from 1 February 2011</w:t>
      </w:r>
      <w:r w:rsidR="0081342F" w:rsidRPr="00BE556C">
        <w:rPr>
          <w:rFonts w:ascii="Arial" w:hAnsi="Arial" w:cs="Arial"/>
          <w:sz w:val="16"/>
          <w:szCs w:val="16"/>
        </w:rPr>
        <w:t xml:space="preserve">” </w:t>
      </w:r>
      <w:r w:rsidRPr="00BE556C">
        <w:rPr>
          <w:rFonts w:ascii="Arial" w:hAnsi="Arial" w:cs="Arial"/>
          <w:sz w:val="16"/>
          <w:szCs w:val="16"/>
        </w:rPr>
        <w:t>will appear in the Budget Paper No.2 as they were decided after MYEFO. However they were reported in the 2010-11 Portfolio Additional Estimates Statements and therefore will not appear in 2011-12 Portfolio Budget Statements.</w:t>
      </w:r>
      <w:r w:rsidRPr="001E6755">
        <w:rPr>
          <w:rFonts w:ascii="Arial" w:hAnsi="Arial" w:cs="Arial"/>
          <w:sz w:val="16"/>
          <w:szCs w:val="16"/>
        </w:rPr>
        <w:t xml:space="preserve"> </w:t>
      </w:r>
    </w:p>
    <w:p w:rsidR="00DD5BEC" w:rsidRPr="003B788E" w:rsidRDefault="00CE14E3" w:rsidP="006E6377">
      <w:pPr>
        <w:pStyle w:val="Heading3"/>
        <w:jc w:val="both"/>
      </w:pPr>
      <w:r>
        <w:br w:type="page"/>
      </w:r>
      <w:bookmarkStart w:id="34" w:name="_Ref292649847"/>
      <w:r w:rsidR="00DD5BEC">
        <w:t xml:space="preserve">1.4 </w:t>
      </w:r>
      <w:r w:rsidR="00DD5BEC">
        <w:tab/>
        <w:t>Transition from previous program structure to integrated program structure</w:t>
      </w:r>
      <w:bookmarkEnd w:id="31"/>
      <w:bookmarkEnd w:id="34"/>
      <w:r w:rsidR="00DD5BEC">
        <w:t xml:space="preserve"> </w:t>
      </w:r>
    </w:p>
    <w:p w:rsidR="003B788E" w:rsidRDefault="001513E8" w:rsidP="003B788E">
      <w:pPr>
        <w:spacing w:before="120"/>
        <w:jc w:val="left"/>
        <w:rPr>
          <w:b/>
        </w:rPr>
      </w:pPr>
      <w:r>
        <w:t>The proposed integration of Ce</w:t>
      </w:r>
      <w:r w:rsidR="00102FA3">
        <w:t xml:space="preserve">ntrelink and Medicare Australia </w:t>
      </w:r>
      <w:r w:rsidR="006331B2">
        <w:t xml:space="preserve">into </w:t>
      </w:r>
      <w:r>
        <w:t>the</w:t>
      </w:r>
      <w:r w:rsidR="006331B2">
        <w:t xml:space="preserve"> Department of </w:t>
      </w:r>
      <w:r>
        <w:t>Human Services</w:t>
      </w:r>
      <w:r w:rsidR="006331B2">
        <w:t xml:space="preserve"> has resulted in </w:t>
      </w:r>
      <w:r w:rsidR="00F57610">
        <w:t xml:space="preserve">a </w:t>
      </w:r>
      <w:r w:rsidR="006331B2">
        <w:t xml:space="preserve">review of the Program Structure across the </w:t>
      </w:r>
      <w:r>
        <w:t>three agencies</w:t>
      </w:r>
      <w:r w:rsidR="006331B2">
        <w:t xml:space="preserve">. The table below outlines the transition from the 2010-11 </w:t>
      </w:r>
      <w:smartTag w:uri="urn:schemas-microsoft-com:office:smarttags" w:element="PersonName">
        <w:r w:rsidR="006331B2">
          <w:t>Budget</w:t>
        </w:r>
      </w:smartTag>
      <w:r w:rsidR="006331B2">
        <w:t xml:space="preserve"> year to the program reporting framework used for the 2011-12 </w:t>
      </w:r>
      <w:smartTag w:uri="urn:schemas-microsoft-com:office:smarttags" w:element="PersonName">
        <w:r w:rsidR="006331B2">
          <w:t>Budget</w:t>
        </w:r>
      </w:smartTag>
      <w:r w:rsidR="006331B2">
        <w:t>.</w:t>
      </w:r>
      <w:r w:rsidR="003B788E" w:rsidRPr="003B788E">
        <w:rPr>
          <w:b/>
        </w:rPr>
        <w:t xml:space="preserve"> </w:t>
      </w:r>
    </w:p>
    <w:p w:rsidR="003B788E" w:rsidRDefault="003B788E" w:rsidP="003B788E">
      <w:pPr>
        <w:spacing w:after="120"/>
        <w:jc w:val="center"/>
        <w:rPr>
          <w:b/>
        </w:rPr>
      </w:pPr>
      <w:r>
        <w:rPr>
          <w:b/>
        </w:rPr>
        <w:t xml:space="preserve">Figure 2: </w:t>
      </w:r>
      <w:r w:rsidRPr="00AF238D">
        <w:rPr>
          <w:b/>
        </w:rPr>
        <w:t>Transition Table</w:t>
      </w:r>
    </w:p>
    <w:p w:rsidR="00340FD7" w:rsidRDefault="001C167B" w:rsidP="00A83484">
      <w:pPr>
        <w:pStyle w:val="Heading2"/>
        <w:jc w:val="center"/>
      </w:pPr>
      <w:bookmarkStart w:id="35" w:name="_Ref291676411"/>
      <w:r>
        <w:rPr>
          <w:noProof/>
        </w:rPr>
        <w:drawing>
          <wp:inline distT="0" distB="0" distL="0" distR="0" wp14:anchorId="39BC7DCA" wp14:editId="0F327318">
            <wp:extent cx="5172075" cy="5495925"/>
            <wp:effectExtent l="0" t="0" r="9525" b="9525"/>
            <wp:docPr id="18" name="Picture 18" descr="Centrelink Program 1.1 has been integrated into Department of Human Services program 1.1.&#10;&#10;Medicare programs 1.1, 1.2 and 1.3 have been integrated into Department of HumanServices program 1.1. Medicare program 1.4 ceased in 2010-11" title="Transiti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72075" cy="5495925"/>
                    </a:xfrm>
                    <a:prstGeom prst="rect">
                      <a:avLst/>
                    </a:prstGeom>
                    <a:noFill/>
                    <a:ln>
                      <a:noFill/>
                    </a:ln>
                  </pic:spPr>
                </pic:pic>
              </a:graphicData>
            </a:graphic>
          </wp:inline>
        </w:drawing>
      </w:r>
      <w:r w:rsidR="003B788E">
        <w:br w:type="page"/>
      </w:r>
      <w:r w:rsidR="00340FD7">
        <w:t>Section 2: Outcomes and planned performance</w:t>
      </w:r>
      <w:bookmarkEnd w:id="35"/>
    </w:p>
    <w:p w:rsidR="00340FD7" w:rsidRDefault="00340FD7" w:rsidP="003A3E20">
      <w:pPr>
        <w:pStyle w:val="Heading3"/>
        <w:jc w:val="both"/>
      </w:pPr>
      <w:bookmarkStart w:id="36" w:name="_Ref291676485"/>
      <w:r>
        <w:t>2.1</w:t>
      </w:r>
      <w:r>
        <w:tab/>
        <w:t>Outcomes and performance information</w:t>
      </w:r>
      <w:bookmarkEnd w:id="36"/>
    </w:p>
    <w:p w:rsidR="00340FD7" w:rsidRDefault="00340FD7" w:rsidP="003A3E20">
      <w:r>
        <w:t xml:space="preserve">Government outcomes are the intended results, impacts or consequences of actions by the Government on the Australian community. </w:t>
      </w:r>
      <w:r w:rsidRPr="00E95DB8">
        <w:t>Commonwealth programs are the primary vehicle by which government agencies achieve the intended results of their outcome statements. Agencies are required to identify the programs</w:t>
      </w:r>
      <w:r>
        <w:t xml:space="preserve"> which contribute to Government outcomes over the </w:t>
      </w:r>
      <w:smartTag w:uri="urn:schemas-microsoft-com:office:smarttags" w:element="PersonName">
        <w:r>
          <w:t>Budget</w:t>
        </w:r>
      </w:smartTag>
      <w:r>
        <w:t xml:space="preserve"> and forward years.</w:t>
      </w:r>
    </w:p>
    <w:p w:rsidR="00340FD7" w:rsidRDefault="00340FD7" w:rsidP="003A3E20">
      <w:r>
        <w:t>Each outcome is described below together with its related programs, specifying the performance indicators and targets used to assess and monitor the per</w:t>
      </w:r>
      <w:r w:rsidRPr="00357BAC">
        <w:t xml:space="preserve">formance of the </w:t>
      </w:r>
      <w:r w:rsidR="00617D6B">
        <w:t xml:space="preserve">Department of </w:t>
      </w:r>
      <w:r w:rsidRPr="00357BAC">
        <w:t>Human Services</w:t>
      </w:r>
      <w:r w:rsidR="00042440">
        <w:t xml:space="preserve"> </w:t>
      </w:r>
      <w:r>
        <w:t>in achieving Government outcomes.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340FD7" w:rsidTr="00081366">
        <w:trPr>
          <w:trHeight w:val="1398"/>
        </w:trPr>
        <w:tc>
          <w:tcPr>
            <w:tcW w:w="7600" w:type="dxa"/>
            <w:shd w:val="clear" w:color="auto" w:fill="E6E6E6"/>
          </w:tcPr>
          <w:p w:rsidR="00340FD7" w:rsidRPr="00CB685D" w:rsidRDefault="00340FD7" w:rsidP="003A3E20">
            <w:pPr>
              <w:pStyle w:val="TableColumnHeadingLeft"/>
              <w:jc w:val="both"/>
            </w:pPr>
            <w:r>
              <w:t xml:space="preserve">Outcome 1: </w:t>
            </w:r>
            <w:r w:rsidRPr="00CB685D">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r>
    </w:tbl>
    <w:p w:rsidR="00340FD7" w:rsidRDefault="00340FD7" w:rsidP="003A3E20">
      <w:pPr>
        <w:pStyle w:val="NoSpacing"/>
      </w:pPr>
    </w:p>
    <w:p w:rsidR="00340FD7" w:rsidRDefault="00340FD7" w:rsidP="00E71420">
      <w:pPr>
        <w:pStyle w:val="Heading4"/>
      </w:pPr>
      <w:r>
        <w:t>Outcome Expense Statement</w:t>
      </w:r>
    </w:p>
    <w:p w:rsidR="00340FD7" w:rsidRDefault="00340FD7" w:rsidP="003A3E20">
      <w:r>
        <w:t xml:space="preserve">Table 2.1 provides an overview of the total expenses for </w:t>
      </w:r>
      <w:r w:rsidR="00081366" w:rsidRPr="00A80611">
        <w:t>O</w:t>
      </w:r>
      <w:r w:rsidRPr="00A80611">
        <w:t>utcome</w:t>
      </w:r>
      <w:r w:rsidR="003F1DFA" w:rsidRPr="00A80611">
        <w:t xml:space="preserve"> 1</w:t>
      </w:r>
      <w:r>
        <w:t xml:space="preserve"> by program.</w:t>
      </w:r>
    </w:p>
    <w:p w:rsidR="00340FD7" w:rsidRDefault="00340FD7" w:rsidP="003A3E20">
      <w:pPr>
        <w:pStyle w:val="TableHeading"/>
        <w:jc w:val="both"/>
      </w:pPr>
      <w:r>
        <w:t xml:space="preserve">Table 2.1: </w:t>
      </w:r>
      <w:smartTag w:uri="urn:schemas-microsoft-com:office:smarttags" w:element="PersonName">
        <w:r>
          <w:t>Budget</w:t>
        </w:r>
      </w:smartTag>
      <w:r>
        <w:t>ed Expenses for Outcome 1</w:t>
      </w:r>
    </w:p>
    <w:tbl>
      <w:tblPr>
        <w:tblW w:w="0" w:type="auto"/>
        <w:tblInd w:w="78" w:type="dxa"/>
        <w:tblLayout w:type="fixed"/>
        <w:tblLook w:val="0000" w:firstRow="0" w:lastRow="0" w:firstColumn="0" w:lastColumn="0" w:noHBand="0" w:noVBand="0"/>
      </w:tblPr>
      <w:tblGrid>
        <w:gridCol w:w="4700"/>
        <w:gridCol w:w="236"/>
        <w:gridCol w:w="1222"/>
        <w:gridCol w:w="236"/>
        <w:gridCol w:w="1352"/>
      </w:tblGrid>
      <w:tr w:rsidR="006F548E" w:rsidTr="006F548E">
        <w:trPr>
          <w:trHeight w:val="230"/>
        </w:trPr>
        <w:tc>
          <w:tcPr>
            <w:tcW w:w="4700" w:type="dxa"/>
            <w:gridSpan w:val="2"/>
            <w:tcBorders>
              <w:top w:val="single" w:sz="2" w:space="0" w:color="000000"/>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Outcome 1: 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1222"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2010-11</w:t>
            </w:r>
          </w:p>
        </w:tc>
        <w:tc>
          <w:tcPr>
            <w:tcW w:w="113" w:type="dxa"/>
            <w:tcBorders>
              <w:top w:val="single" w:sz="2" w:space="0" w:color="000000"/>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single" w:sz="2" w:space="0" w:color="000000"/>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r>
      <w:tr w:rsidR="006F548E" w:rsidTr="006F548E">
        <w:trPr>
          <w:trHeight w:val="230"/>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Estimated</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Estimated</w:t>
            </w:r>
          </w:p>
        </w:tc>
      </w:tr>
      <w:tr w:rsidR="006F548E" w:rsidTr="006F548E">
        <w:trPr>
          <w:trHeight w:val="230"/>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actual</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expenses</w:t>
            </w:r>
          </w:p>
        </w:tc>
      </w:tr>
      <w:tr w:rsidR="006F548E" w:rsidTr="006F548E">
        <w:trPr>
          <w:trHeight w:val="230"/>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expenses</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FF0000"/>
                <w:sz w:val="15"/>
                <w:szCs w:val="15"/>
                <w:vertAlign w:val="superscript"/>
              </w:rPr>
            </w:pPr>
            <w:r>
              <w:rPr>
                <w:rFonts w:ascii="Arial" w:hAnsi="Arial" w:cs="Arial"/>
                <w:color w:val="FF0000"/>
                <w:sz w:val="15"/>
                <w:szCs w:val="15"/>
                <w:vertAlign w:val="superscript"/>
              </w:rPr>
              <w:t>3</w:t>
            </w: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60"/>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13" w:type="dxa"/>
            <w:tcBorders>
              <w:top w:val="nil"/>
              <w:left w:val="nil"/>
              <w:bottom w:val="single" w:sz="2" w:space="0" w:color="auto"/>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Program 1.1: Services to the Community</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Administered expenses</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Ordinary annual services (Appropriation Bill No. 1)</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4,846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7,766 </w:t>
            </w: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Expenses not requiring appropriation in the Budget year </w:t>
            </w:r>
            <w:r>
              <w:rPr>
                <w:rFonts w:ascii="Arial" w:hAnsi="Arial" w:cs="Arial"/>
                <w:color w:val="000000"/>
                <w:sz w:val="15"/>
                <w:szCs w:val="15"/>
                <w:vertAlign w:val="superscript"/>
              </w:rPr>
              <w:t>1</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53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53 </w:t>
            </w: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appropriation</w:t>
            </w:r>
            <w:r>
              <w:rPr>
                <w:rFonts w:ascii="Arial" w:hAnsi="Arial" w:cs="Arial"/>
                <w:color w:val="000000"/>
                <w:sz w:val="15"/>
                <w:szCs w:val="15"/>
                <w:vertAlign w:val="superscript"/>
              </w:rPr>
              <w:t>2</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4,095,353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4,092,919 </w:t>
            </w: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Expenses not requiring appropriation in the Budget year</w:t>
            </w:r>
            <w:r>
              <w:rPr>
                <w:rFonts w:ascii="Arial" w:hAnsi="Arial" w:cs="Arial"/>
                <w:color w:val="000000"/>
                <w:sz w:val="15"/>
                <w:szCs w:val="15"/>
                <w:vertAlign w:val="superscript"/>
              </w:rPr>
              <w:t>1</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372,044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250,960 </w:t>
            </w:r>
          </w:p>
        </w:tc>
      </w:tr>
      <w:tr w:rsidR="006F548E" w:rsidTr="006F548E">
        <w:trPr>
          <w:trHeight w:val="5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for Program 1.1</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4,472,296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FF0000"/>
                <w:sz w:val="15"/>
                <w:szCs w:val="15"/>
                <w:vertAlign w:val="superscript"/>
              </w:rPr>
            </w:pPr>
            <w:r>
              <w:rPr>
                <w:rFonts w:ascii="Arial" w:hAnsi="Arial" w:cs="Arial"/>
                <w:color w:val="FF0000"/>
                <w:sz w:val="15"/>
                <w:szCs w:val="15"/>
                <w:vertAlign w:val="superscript"/>
              </w:rPr>
              <w:t>4</w:t>
            </w:r>
          </w:p>
        </w:tc>
        <w:tc>
          <w:tcPr>
            <w:tcW w:w="1352" w:type="dxa"/>
            <w:tcBorders>
              <w:top w:val="single" w:sz="2" w:space="0" w:color="auto"/>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4,351,698 </w:t>
            </w:r>
          </w:p>
        </w:tc>
      </w:tr>
      <w:tr w:rsidR="006F548E" w:rsidTr="006F548E">
        <w:trPr>
          <w:trHeight w:val="5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30"/>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 by subfunction</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30"/>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Medical services and benefit</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588,789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6F548E" w:rsidTr="006F548E">
        <w:trPr>
          <w:trHeight w:val="230"/>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Pharmaceutical services and benefits</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162,962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Health - general administration</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714,775 </w:t>
            </w: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Assistance to people with disabilities</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189,724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158,373 </w:t>
            </w: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Social security and welfare - general administration</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3,525,922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3,470,731 </w:t>
            </w:r>
          </w:p>
        </w:tc>
      </w:tr>
      <w:tr w:rsidR="006F548E" w:rsidTr="006F548E">
        <w:trPr>
          <w:trHeight w:val="5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Program 1.2: Child Support</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Administered expenses</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Ordinary annual services (Appropriation Bill No. 1)</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1,475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1,547 </w:t>
            </w: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appropriations</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74,758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77,375 </w:t>
            </w: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Accounts</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1,078,476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1,130,636 </w:t>
            </w: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Expenses not requiring appropriation in the Budget year</w:t>
            </w:r>
            <w:r>
              <w:rPr>
                <w:rFonts w:ascii="Arial" w:hAnsi="Arial" w:cs="Arial"/>
                <w:color w:val="000000"/>
                <w:sz w:val="15"/>
                <w:szCs w:val="15"/>
                <w:vertAlign w:val="superscript"/>
              </w:rPr>
              <w:t>1</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125,377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115,652 </w:t>
            </w:r>
          </w:p>
        </w:tc>
      </w:tr>
      <w:tr w:rsidR="006F548E" w:rsidTr="006F548E">
        <w:trPr>
          <w:trHeight w:val="5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for Program 1.2</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1,280,086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FF0000"/>
                <w:sz w:val="15"/>
                <w:szCs w:val="15"/>
                <w:vertAlign w:val="superscript"/>
              </w:rPr>
            </w:pPr>
            <w:r>
              <w:rPr>
                <w:rFonts w:ascii="Arial" w:hAnsi="Arial" w:cs="Arial"/>
                <w:color w:val="FF0000"/>
                <w:sz w:val="15"/>
                <w:szCs w:val="15"/>
                <w:vertAlign w:val="superscript"/>
              </w:rPr>
              <w:t>5</w:t>
            </w:r>
          </w:p>
        </w:tc>
        <w:tc>
          <w:tcPr>
            <w:tcW w:w="1352" w:type="dxa"/>
            <w:tcBorders>
              <w:top w:val="single" w:sz="2" w:space="0" w:color="auto"/>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1,325,210 </w:t>
            </w:r>
          </w:p>
        </w:tc>
      </w:tr>
      <w:tr w:rsidR="006F548E" w:rsidTr="006F548E">
        <w:trPr>
          <w:trHeight w:val="5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Outcome 1 Totals by appropriation type</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Administered Expenses</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Ordinary annual services (Appropriation Bill No. 1)</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6,321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9,313 </w:t>
            </w: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appropriations</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74,758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77,375 </w:t>
            </w: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Special Accounts</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1,078,476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1,130,636 </w:t>
            </w: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Expenses not requiring appropriation in the Budget year</w:t>
            </w:r>
            <w:r>
              <w:rPr>
                <w:rFonts w:ascii="Arial" w:hAnsi="Arial" w:cs="Arial"/>
                <w:color w:val="000000"/>
                <w:sz w:val="15"/>
                <w:szCs w:val="15"/>
                <w:vertAlign w:val="superscript"/>
              </w:rPr>
              <w:t>1</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125,430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115,705 </w:t>
            </w: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Departmental expenses</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Departmental appropriation</w:t>
            </w:r>
            <w:r>
              <w:rPr>
                <w:rFonts w:ascii="Arial" w:hAnsi="Arial" w:cs="Arial"/>
                <w:color w:val="000000"/>
                <w:sz w:val="15"/>
                <w:szCs w:val="15"/>
                <w:vertAlign w:val="superscript"/>
              </w:rPr>
              <w:t>2</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4,095,353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4,092,919 </w:t>
            </w:r>
          </w:p>
        </w:tc>
      </w:tr>
      <w:tr w:rsidR="006F548E" w:rsidTr="006F548E">
        <w:trPr>
          <w:trHeight w:val="21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Expenses not requiring appropriation in the Budget year</w:t>
            </w:r>
            <w:r>
              <w:rPr>
                <w:rFonts w:ascii="Arial" w:hAnsi="Arial" w:cs="Arial"/>
                <w:color w:val="000000"/>
                <w:sz w:val="15"/>
                <w:szCs w:val="15"/>
                <w:vertAlign w:val="superscript"/>
              </w:rPr>
              <w:t>1</w:t>
            </w: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372,044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250,960 </w:t>
            </w:r>
          </w:p>
        </w:tc>
      </w:tr>
      <w:tr w:rsidR="006F548E" w:rsidTr="006F548E">
        <w:trPr>
          <w:trHeight w:val="56"/>
        </w:trPr>
        <w:tc>
          <w:tcPr>
            <w:tcW w:w="4700"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95"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1222"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nil"/>
              <w:left w:val="nil"/>
              <w:bottom w:val="single" w:sz="2" w:space="0" w:color="auto"/>
              <w:right w:val="nil"/>
            </w:tcBorders>
          </w:tcPr>
          <w:p w:rsidR="006F548E" w:rsidRDefault="006F548E">
            <w:pPr>
              <w:autoSpaceDE w:val="0"/>
              <w:autoSpaceDN w:val="0"/>
              <w:adjustRightInd w:val="0"/>
              <w:spacing w:after="0" w:line="240" w:lineRule="auto"/>
              <w:jc w:val="left"/>
              <w:rPr>
                <w:rFonts w:ascii="Arial" w:hAnsi="Arial" w:cs="Arial"/>
                <w:b/>
                <w:bCs/>
                <w:color w:val="FF0000"/>
                <w:sz w:val="15"/>
                <w:szCs w:val="15"/>
                <w:vertAlign w:val="superscript"/>
              </w:rPr>
            </w:pPr>
          </w:p>
        </w:tc>
        <w:tc>
          <w:tcPr>
            <w:tcW w:w="1352" w:type="dxa"/>
            <w:tcBorders>
              <w:top w:val="nil"/>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4700" w:type="dxa"/>
            <w:tcBorders>
              <w:top w:val="nil"/>
              <w:left w:val="nil"/>
              <w:bottom w:val="single" w:sz="2" w:space="0" w:color="auto"/>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expenses for Outcome 1</w:t>
            </w:r>
          </w:p>
        </w:tc>
        <w:tc>
          <w:tcPr>
            <w:tcW w:w="95" w:type="dxa"/>
            <w:tcBorders>
              <w:top w:val="nil"/>
              <w:left w:val="nil"/>
              <w:bottom w:val="single" w:sz="2" w:space="0" w:color="auto"/>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p>
        </w:tc>
        <w:tc>
          <w:tcPr>
            <w:tcW w:w="1222"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5,752,382 </w:t>
            </w:r>
          </w:p>
        </w:tc>
        <w:tc>
          <w:tcPr>
            <w:tcW w:w="113"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FF0000"/>
                <w:sz w:val="15"/>
                <w:szCs w:val="15"/>
                <w:vertAlign w:val="superscript"/>
              </w:rPr>
            </w:pPr>
            <w:r>
              <w:rPr>
                <w:rFonts w:ascii="Arial" w:hAnsi="Arial" w:cs="Arial"/>
                <w:color w:val="FF0000"/>
                <w:sz w:val="15"/>
                <w:szCs w:val="15"/>
                <w:vertAlign w:val="superscript"/>
              </w:rPr>
              <w:t>6</w:t>
            </w:r>
          </w:p>
        </w:tc>
        <w:tc>
          <w:tcPr>
            <w:tcW w:w="1352" w:type="dxa"/>
            <w:tcBorders>
              <w:top w:val="single" w:sz="2" w:space="0" w:color="auto"/>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5,676,908 </w:t>
            </w:r>
          </w:p>
        </w:tc>
      </w:tr>
      <w:tr w:rsidR="006F548E" w:rsidTr="006F548E">
        <w:trPr>
          <w:trHeight w:val="56"/>
        </w:trPr>
        <w:tc>
          <w:tcPr>
            <w:tcW w:w="4700"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9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3" w:type="dxa"/>
            <w:tcBorders>
              <w:top w:val="single" w:sz="2" w:space="0" w:color="000000"/>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vertAlign w:val="superscript"/>
              </w:rPr>
            </w:pPr>
          </w:p>
        </w:tc>
        <w:tc>
          <w:tcPr>
            <w:tcW w:w="13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4700"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95"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22"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2010-11</w:t>
            </w:r>
          </w:p>
        </w:tc>
        <w:tc>
          <w:tcPr>
            <w:tcW w:w="113"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left"/>
              <w:rPr>
                <w:rFonts w:ascii="Arial" w:hAnsi="Arial" w:cs="Arial"/>
                <w:b/>
                <w:bCs/>
                <w:color w:val="FF0000"/>
                <w:sz w:val="15"/>
                <w:szCs w:val="15"/>
                <w:vertAlign w:val="superscript"/>
              </w:rPr>
            </w:pPr>
          </w:p>
        </w:tc>
        <w:tc>
          <w:tcPr>
            <w:tcW w:w="1352" w:type="dxa"/>
            <w:tcBorders>
              <w:top w:val="single" w:sz="2" w:space="0" w:color="000000"/>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2011-12</w:t>
            </w:r>
          </w:p>
        </w:tc>
      </w:tr>
      <w:tr w:rsidR="006F548E" w:rsidTr="006F548E">
        <w:trPr>
          <w:trHeight w:val="216"/>
        </w:trPr>
        <w:tc>
          <w:tcPr>
            <w:tcW w:w="4700" w:type="dxa"/>
            <w:tcBorders>
              <w:top w:val="nil"/>
              <w:left w:val="nil"/>
              <w:bottom w:val="single" w:sz="2" w:space="0" w:color="000000"/>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Average Staffing Level (number)</w:t>
            </w:r>
          </w:p>
        </w:tc>
        <w:tc>
          <w:tcPr>
            <w:tcW w:w="95"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222"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34,839 </w:t>
            </w:r>
          </w:p>
        </w:tc>
        <w:tc>
          <w:tcPr>
            <w:tcW w:w="113"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left"/>
              <w:rPr>
                <w:rFonts w:ascii="Arial" w:hAnsi="Arial" w:cs="Arial"/>
                <w:color w:val="FF0000"/>
                <w:sz w:val="15"/>
                <w:szCs w:val="15"/>
                <w:vertAlign w:val="superscript"/>
              </w:rPr>
            </w:pPr>
            <w:r>
              <w:rPr>
                <w:rFonts w:ascii="Arial" w:hAnsi="Arial" w:cs="Arial"/>
                <w:color w:val="FF0000"/>
                <w:sz w:val="15"/>
                <w:szCs w:val="15"/>
                <w:vertAlign w:val="superscript"/>
              </w:rPr>
              <w:t>7</w:t>
            </w:r>
          </w:p>
        </w:tc>
        <w:tc>
          <w:tcPr>
            <w:tcW w:w="1352" w:type="dxa"/>
            <w:tcBorders>
              <w:top w:val="single" w:sz="2" w:space="0" w:color="000000"/>
              <w:left w:val="nil"/>
              <w:bottom w:val="single" w:sz="2" w:space="0" w:color="000000"/>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33,583 </w:t>
            </w:r>
          </w:p>
        </w:tc>
      </w:tr>
    </w:tbl>
    <w:p w:rsidR="00340FD7" w:rsidRDefault="00340FD7" w:rsidP="003A3E20">
      <w:pPr>
        <w:pStyle w:val="TableGraphic"/>
      </w:pPr>
    </w:p>
    <w:p w:rsidR="00340FD7" w:rsidRDefault="00340FD7" w:rsidP="003A3E20">
      <w:pPr>
        <w:pStyle w:val="ChartandTableFootnote"/>
      </w:pPr>
      <w:r w:rsidRPr="00C8049D">
        <w:t>1</w:t>
      </w:r>
      <w:r>
        <w:rPr>
          <w:vertAlign w:val="superscript"/>
        </w:rPr>
        <w:tab/>
      </w:r>
      <w:r w:rsidR="00005E48">
        <w:t>Departmental e</w:t>
      </w:r>
      <w:r w:rsidR="000828DF" w:rsidRPr="006D62BE">
        <w:t xml:space="preserve">xpenses not requiring </w:t>
      </w:r>
      <w:r w:rsidR="000828DF">
        <w:t>a</w:t>
      </w:r>
      <w:r w:rsidR="000828DF" w:rsidRPr="006D62BE">
        <w:t>ppropriat</w:t>
      </w:r>
      <w:r w:rsidR="000828DF">
        <w:t xml:space="preserve">ion in the </w:t>
      </w:r>
      <w:smartTag w:uri="urn:schemas-microsoft-com:office:smarttags" w:element="PersonName">
        <w:r w:rsidR="000828DF">
          <w:t>Budget</w:t>
        </w:r>
      </w:smartTag>
      <w:r w:rsidR="000828DF">
        <w:t xml:space="preserve"> year is made up of </w:t>
      </w:r>
      <w:r w:rsidR="00005E48">
        <w:t>unfunded d</w:t>
      </w:r>
      <w:r w:rsidR="000828DF">
        <w:t xml:space="preserve">epreciation </w:t>
      </w:r>
      <w:r w:rsidR="00005E48">
        <w:t>e</w:t>
      </w:r>
      <w:r w:rsidR="000828DF">
        <w:t>xpense</w:t>
      </w:r>
      <w:r w:rsidR="000828DF" w:rsidRPr="006D62BE">
        <w:t xml:space="preserve">, </w:t>
      </w:r>
      <w:r w:rsidR="00005E48">
        <w:t>a</w:t>
      </w:r>
      <w:r w:rsidR="000828DF" w:rsidRPr="006D62BE">
        <w:t>mortisation</w:t>
      </w:r>
      <w:r w:rsidR="00005E48">
        <w:t xml:space="preserve"> expense, a</w:t>
      </w:r>
      <w:r w:rsidR="000828DF">
        <w:t>udit services</w:t>
      </w:r>
      <w:r w:rsidR="00005E48">
        <w:t xml:space="preserve"> and operating </w:t>
      </w:r>
      <w:r w:rsidR="00935C11">
        <w:t>results</w:t>
      </w:r>
      <w:r w:rsidR="000828DF">
        <w:t>.</w:t>
      </w:r>
      <w:r w:rsidR="00005E48">
        <w:t xml:space="preserve"> Administered expenses </w:t>
      </w:r>
      <w:r w:rsidR="00005E48" w:rsidRPr="006D62BE">
        <w:t>not requiring</w:t>
      </w:r>
      <w:r w:rsidR="00005E48">
        <w:t xml:space="preserve"> a</w:t>
      </w:r>
      <w:r w:rsidR="00005E48" w:rsidRPr="006D62BE">
        <w:t>ppropriat</w:t>
      </w:r>
      <w:r w:rsidR="00005E48">
        <w:t xml:space="preserve">ion in the </w:t>
      </w:r>
      <w:smartTag w:uri="urn:schemas-microsoft-com:office:smarttags" w:element="PersonName">
        <w:r w:rsidR="00005E48">
          <w:t>Budget</w:t>
        </w:r>
      </w:smartTag>
      <w:r w:rsidR="00005E48">
        <w:t xml:space="preserve"> year is made up of depreciation expense</w:t>
      </w:r>
      <w:r w:rsidR="004F1D81">
        <w:t xml:space="preserve"> </w:t>
      </w:r>
      <w:r w:rsidR="00005E48">
        <w:t>and net write down of assets.</w:t>
      </w:r>
    </w:p>
    <w:p w:rsidR="00EE1375" w:rsidRDefault="00340FD7" w:rsidP="003A3E20">
      <w:pPr>
        <w:pStyle w:val="ChartandTableFootnote"/>
      </w:pPr>
      <w:bookmarkStart w:id="37" w:name="OLE_LINK3"/>
      <w:r w:rsidRPr="00C8049D">
        <w:t>2</w:t>
      </w:r>
      <w:r>
        <w:tab/>
      </w:r>
      <w:r w:rsidR="000828DF" w:rsidRPr="004E2825">
        <w:t>Departmental Appropriation combines</w:t>
      </w:r>
      <w:r w:rsidR="000828DF">
        <w:t xml:space="preserve"> expenses funded by</w:t>
      </w:r>
      <w:r w:rsidR="000828DF" w:rsidRPr="004E2825">
        <w:t xml:space="preserve"> </w:t>
      </w:r>
      <w:r w:rsidR="000828DF">
        <w:t>‘</w:t>
      </w:r>
      <w:r w:rsidR="000828DF" w:rsidRPr="004E2825">
        <w:t>Ordinary annual services (Appropriation Bill No. 1)</w:t>
      </w:r>
      <w:r w:rsidR="000828DF">
        <w:t>’</w:t>
      </w:r>
      <w:r w:rsidR="000828DF" w:rsidRPr="004E2825">
        <w:t xml:space="preserve"> and </w:t>
      </w:r>
      <w:r w:rsidR="000828DF">
        <w:t>‘</w:t>
      </w:r>
      <w:r w:rsidR="000828DF" w:rsidRPr="004E2825">
        <w:t>Revenue from independent sources (s31).</w:t>
      </w:r>
    </w:p>
    <w:p w:rsidR="00EE1375" w:rsidRPr="00282F14" w:rsidRDefault="00EE1375" w:rsidP="003A3E20">
      <w:pPr>
        <w:pStyle w:val="ChartandTableFootnote"/>
      </w:pPr>
      <w:r w:rsidRPr="00282F14">
        <w:t>3</w:t>
      </w:r>
      <w:r w:rsidRPr="00282F14">
        <w:tab/>
        <w:t xml:space="preserve">The Department of Human Services, Centrelink and Medicare Australia will be </w:t>
      </w:r>
      <w:r w:rsidR="00972B08">
        <w:t>integrated</w:t>
      </w:r>
      <w:r w:rsidRPr="00282F14">
        <w:t xml:space="preserve"> on 1 July 2011 into a single agency </w:t>
      </w:r>
      <w:r w:rsidR="0008295B">
        <w:t>subject to</w:t>
      </w:r>
      <w:r w:rsidRPr="00282F14">
        <w:t xml:space="preserve"> the passage of the </w:t>
      </w:r>
      <w:r w:rsidR="005A1122" w:rsidRPr="005735CF">
        <w:rPr>
          <w:i/>
        </w:rPr>
        <w:t>Human Services Legislation Amendment Bill 2011</w:t>
      </w:r>
      <w:r w:rsidR="005A1122">
        <w:t xml:space="preserve"> </w:t>
      </w:r>
      <w:r w:rsidRPr="00282F14">
        <w:t xml:space="preserve">currently before Parliament. Actual available appropriations for 2010-11 shows the combined amounts for the three agencies. </w:t>
      </w:r>
    </w:p>
    <w:p w:rsidR="00EE1375" w:rsidRPr="00282F14" w:rsidRDefault="00EE1375" w:rsidP="003A3E20">
      <w:pPr>
        <w:pStyle w:val="ChartandTableFootnote"/>
      </w:pPr>
      <w:r w:rsidRPr="00282F14">
        <w:t>4</w:t>
      </w:r>
      <w:r w:rsidRPr="00282F14">
        <w:tab/>
        <w:t xml:space="preserve">Total for Program 1.1 for 2010-11 is made up of: DHS </w:t>
      </w:r>
      <w:r w:rsidR="00282F14" w:rsidRPr="00282F14">
        <w:t>$</w:t>
      </w:r>
      <w:r w:rsidR="00A921F6">
        <w:t>810</w:t>
      </w:r>
      <w:r w:rsidR="00AF33E5">
        <w:t>.</w:t>
      </w:r>
      <w:r w:rsidR="00A921F6">
        <w:t>357</w:t>
      </w:r>
      <w:r w:rsidR="00AF33E5">
        <w:t>m</w:t>
      </w:r>
      <w:r w:rsidRPr="00282F14">
        <w:t xml:space="preserve">; Centrelink </w:t>
      </w:r>
      <w:r w:rsidR="00282F14" w:rsidRPr="00282F14">
        <w:t>$2,9</w:t>
      </w:r>
      <w:r w:rsidR="00A921F6">
        <w:t>1</w:t>
      </w:r>
      <w:r w:rsidR="00282F14" w:rsidRPr="00282F14">
        <w:t>0</w:t>
      </w:r>
      <w:r w:rsidR="00AF33E5">
        <w:t>.</w:t>
      </w:r>
      <w:r w:rsidR="00A921F6">
        <w:t>1</w:t>
      </w:r>
      <w:r w:rsidR="00282F14" w:rsidRPr="00282F14">
        <w:t>8</w:t>
      </w:r>
      <w:r w:rsidR="00A921F6">
        <w:t>8</w:t>
      </w:r>
      <w:r w:rsidR="00AF33E5">
        <w:t>m</w:t>
      </w:r>
      <w:r w:rsidRPr="00282F14">
        <w:t xml:space="preserve"> and Medicare Australia </w:t>
      </w:r>
      <w:r w:rsidR="00282F14" w:rsidRPr="00282F14">
        <w:t>$751</w:t>
      </w:r>
      <w:r w:rsidR="00AF33E5">
        <w:t>.</w:t>
      </w:r>
      <w:r w:rsidR="00282F14" w:rsidRPr="00282F14">
        <w:t>751</w:t>
      </w:r>
      <w:r w:rsidR="00AF33E5">
        <w:t>m</w:t>
      </w:r>
      <w:r w:rsidR="00282F14" w:rsidRPr="00282F14">
        <w:t>.</w:t>
      </w:r>
    </w:p>
    <w:p w:rsidR="00EE1375" w:rsidRPr="00282F14" w:rsidRDefault="00EE1375" w:rsidP="003A3E20">
      <w:pPr>
        <w:pStyle w:val="ChartandTableFootnote"/>
      </w:pPr>
      <w:r w:rsidRPr="00282F14">
        <w:t>5</w:t>
      </w:r>
      <w:r w:rsidRPr="00282F14">
        <w:tab/>
        <w:t xml:space="preserve">Total for Program 1.2 for 2010-11 is made up of:DHS </w:t>
      </w:r>
      <w:r w:rsidR="00282F14" w:rsidRPr="00282F14">
        <w:t>$1,280</w:t>
      </w:r>
      <w:r w:rsidR="00AF33E5">
        <w:t>.</w:t>
      </w:r>
      <w:r w:rsidR="00282F14" w:rsidRPr="00282F14">
        <w:t>086</w:t>
      </w:r>
      <w:r w:rsidR="00AF33E5">
        <w:t>m</w:t>
      </w:r>
      <w:r w:rsidRPr="00282F14">
        <w:t xml:space="preserve">. </w:t>
      </w:r>
    </w:p>
    <w:p w:rsidR="00EE1375" w:rsidRPr="00282F14" w:rsidRDefault="00EE1375" w:rsidP="003A3E20">
      <w:pPr>
        <w:pStyle w:val="ChartandTableFootnote"/>
      </w:pPr>
      <w:r w:rsidRPr="00282F14">
        <w:t>6</w:t>
      </w:r>
      <w:r w:rsidRPr="00282F14">
        <w:tab/>
        <w:t>Total Expenses for Outc</w:t>
      </w:r>
      <w:r w:rsidR="00AF33E5">
        <w:t>ome 1 for 2010-11 is made up of</w:t>
      </w:r>
      <w:r w:rsidR="000B39DF" w:rsidRPr="00282F14">
        <w:t xml:space="preserve">: DHS </w:t>
      </w:r>
      <w:r w:rsidR="00282F14" w:rsidRPr="00282F14">
        <w:t>$</w:t>
      </w:r>
      <w:r w:rsidR="00A921F6">
        <w:t>2,090</w:t>
      </w:r>
      <w:r w:rsidR="00AF33E5">
        <w:t>.</w:t>
      </w:r>
      <w:r w:rsidR="00A921F6">
        <w:t>443</w:t>
      </w:r>
      <w:r w:rsidR="00AF33E5">
        <w:t>m</w:t>
      </w:r>
      <w:r w:rsidR="000B39DF" w:rsidRPr="00282F14">
        <w:t>; Centrelink</w:t>
      </w:r>
      <w:r w:rsidR="00282F14">
        <w:t> </w:t>
      </w:r>
      <w:r w:rsidR="00AF33E5">
        <w:t>$2,</w:t>
      </w:r>
      <w:r w:rsidR="00282F14" w:rsidRPr="00282F14">
        <w:t>9</w:t>
      </w:r>
      <w:r w:rsidR="00AF33E5">
        <w:t>1</w:t>
      </w:r>
      <w:r w:rsidR="00A921F6">
        <w:t>0</w:t>
      </w:r>
      <w:r w:rsidR="00AF33E5">
        <w:t>.</w:t>
      </w:r>
      <w:r w:rsidR="00A921F6">
        <w:t>188</w:t>
      </w:r>
      <w:r w:rsidR="00AF33E5">
        <w:t>m</w:t>
      </w:r>
      <w:r w:rsidR="00282F14" w:rsidRPr="00282F14">
        <w:t xml:space="preserve"> </w:t>
      </w:r>
      <w:r w:rsidRPr="00282F14">
        <w:t>and Medicare Australia</w:t>
      </w:r>
      <w:r w:rsidR="00282F14" w:rsidRPr="00282F14">
        <w:t xml:space="preserve"> $751</w:t>
      </w:r>
      <w:r w:rsidR="00AF33E5">
        <w:t>.</w:t>
      </w:r>
      <w:r w:rsidR="00282F14" w:rsidRPr="00282F14">
        <w:t>751</w:t>
      </w:r>
      <w:r w:rsidR="00AF33E5">
        <w:t>m</w:t>
      </w:r>
      <w:r w:rsidRPr="00282F14">
        <w:t xml:space="preserve">. </w:t>
      </w:r>
    </w:p>
    <w:p w:rsidR="00340FD7" w:rsidRPr="00282F14" w:rsidRDefault="00EE1375" w:rsidP="003A3E20">
      <w:pPr>
        <w:pStyle w:val="ChartandTableFootnote"/>
      </w:pPr>
      <w:r w:rsidRPr="00282F14">
        <w:t>7</w:t>
      </w:r>
      <w:r w:rsidRPr="00282F14">
        <w:tab/>
        <w:t>A</w:t>
      </w:r>
      <w:r w:rsidR="00256BB0">
        <w:t xml:space="preserve">verage </w:t>
      </w:r>
      <w:r w:rsidRPr="00282F14">
        <w:t>S</w:t>
      </w:r>
      <w:r w:rsidR="00256BB0">
        <w:t xml:space="preserve">taffing </w:t>
      </w:r>
      <w:r w:rsidRPr="00282F14">
        <w:t>L</w:t>
      </w:r>
      <w:r w:rsidR="00256BB0">
        <w:t>evel</w:t>
      </w:r>
      <w:r w:rsidR="00A1523D">
        <w:t xml:space="preserve"> (ASL)</w:t>
      </w:r>
      <w:r w:rsidRPr="00282F14">
        <w:t xml:space="preserve"> for 2010-11 is made up of DHS </w:t>
      </w:r>
      <w:r w:rsidR="00282F14" w:rsidRPr="00282F14">
        <w:t>5,6</w:t>
      </w:r>
      <w:r w:rsidR="00A921F6">
        <w:t>25</w:t>
      </w:r>
      <w:r w:rsidRPr="00282F14">
        <w:t xml:space="preserve">; Centrelink </w:t>
      </w:r>
      <w:r w:rsidR="00282F14" w:rsidRPr="00282F14">
        <w:t>24,030</w:t>
      </w:r>
      <w:r w:rsidRPr="00282F14">
        <w:t xml:space="preserve"> and Medicare Australia </w:t>
      </w:r>
      <w:r w:rsidR="00282F14" w:rsidRPr="00282F14">
        <w:t>5,184</w:t>
      </w:r>
      <w:r w:rsidRPr="00282F14">
        <w:t>.</w:t>
      </w:r>
      <w:r w:rsidR="00A1523D">
        <w:t xml:space="preserve"> Actual ASL at 30 April 2011 was 34,013.</w:t>
      </w:r>
    </w:p>
    <w:bookmarkEnd w:id="37"/>
    <w:p w:rsidR="00340FD7" w:rsidRDefault="00340FD7" w:rsidP="003A3E20">
      <w:pPr>
        <w:pStyle w:val="Source"/>
      </w:pPr>
      <w:r w:rsidRPr="002329C3">
        <w:t>Note: Departmental appropriation splits and totals are indicative estimates and may change in the course of the budget year as government priorities change.</w:t>
      </w:r>
    </w:p>
    <w:p w:rsidR="00340FD7" w:rsidRDefault="00340FD7" w:rsidP="003A3E20">
      <w:pPr>
        <w:pStyle w:val="Heading4"/>
        <w:jc w:val="both"/>
        <w:rPr>
          <w:rFonts w:ascii="Book Antiqua" w:hAnsi="Book Antiqua"/>
          <w:b w:val="0"/>
          <w:i/>
          <w:color w:val="FF0000"/>
        </w:rPr>
      </w:pPr>
      <w:r>
        <w:br w:type="page"/>
        <w:t xml:space="preserve">Contributions to Outcome 1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596"/>
      </w:tblGrid>
      <w:tr w:rsidR="00340FD7">
        <w:tc>
          <w:tcPr>
            <w:tcW w:w="7713" w:type="dxa"/>
            <w:shd w:val="clear" w:color="auto" w:fill="E6E6E6"/>
          </w:tcPr>
          <w:p w:rsidR="00340FD7" w:rsidRDefault="009D7B00" w:rsidP="003A3E20">
            <w:pPr>
              <w:pStyle w:val="TableColumnHeadingLeft"/>
              <w:jc w:val="both"/>
            </w:pPr>
            <w:r>
              <w:t>Program 1.1</w:t>
            </w:r>
            <w:r w:rsidR="00340FD7">
              <w:t xml:space="preserve">: </w:t>
            </w:r>
            <w:r w:rsidR="00312FD8">
              <w:t>Service</w:t>
            </w:r>
            <w:r w:rsidR="00F546F8">
              <w:t>s</w:t>
            </w:r>
            <w:r w:rsidR="00312FD8">
              <w:t xml:space="preserve"> to the Community</w:t>
            </w:r>
          </w:p>
        </w:tc>
      </w:tr>
    </w:tbl>
    <w:p w:rsidR="00340FD7" w:rsidRPr="00FD5958" w:rsidRDefault="00340FD7" w:rsidP="003A3E20">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340FD7" w:rsidTr="008E4180">
        <w:tc>
          <w:tcPr>
            <w:tcW w:w="7711" w:type="dxa"/>
          </w:tcPr>
          <w:p w:rsidR="00340FD7" w:rsidRDefault="00340FD7" w:rsidP="003A3E20">
            <w:pPr>
              <w:pStyle w:val="TableColumnHeadingLeft"/>
              <w:jc w:val="both"/>
            </w:pPr>
            <w:r>
              <w:t>Program objective</w:t>
            </w:r>
            <w:r w:rsidR="00B535CB">
              <w:t>s</w:t>
            </w:r>
          </w:p>
          <w:p w:rsidR="00340FD7" w:rsidRPr="00CB685D" w:rsidRDefault="00340FD7" w:rsidP="00F06396">
            <w:pPr>
              <w:numPr>
                <w:ilvl w:val="0"/>
                <w:numId w:val="10"/>
              </w:numPr>
              <w:spacing w:after="120"/>
              <w:ind w:left="357" w:hanging="357"/>
            </w:pPr>
            <w:r w:rsidRPr="00CB685D">
              <w:t>Individuals, families and communities are supported to achieve greater self sufficiency</w:t>
            </w:r>
            <w:r w:rsidR="00B535CB">
              <w:t>;</w:t>
            </w:r>
          </w:p>
          <w:p w:rsidR="00340FD7" w:rsidRPr="00CB685D" w:rsidRDefault="00340FD7" w:rsidP="00F06396">
            <w:pPr>
              <w:numPr>
                <w:ilvl w:val="0"/>
                <w:numId w:val="10"/>
              </w:numPr>
              <w:spacing w:after="120"/>
              <w:ind w:left="357" w:hanging="357"/>
            </w:pPr>
            <w:r w:rsidRPr="00CB685D">
              <w:t>Policy development and decision-making is supported by the provision of information and service delivery policy advice</w:t>
            </w:r>
            <w:r w:rsidR="00B535CB">
              <w:t>;</w:t>
            </w:r>
          </w:p>
          <w:p w:rsidR="00340FD7" w:rsidRPr="00CB685D" w:rsidRDefault="00340FD7" w:rsidP="00F06396">
            <w:pPr>
              <w:numPr>
                <w:ilvl w:val="0"/>
                <w:numId w:val="10"/>
              </w:numPr>
              <w:spacing w:after="120"/>
              <w:ind w:left="357" w:hanging="357"/>
            </w:pPr>
            <w:r w:rsidRPr="00CB685D">
              <w:t xml:space="preserve">Efficient </w:t>
            </w:r>
            <w:r w:rsidR="00B535CB">
              <w:t>and responsive service delivery;</w:t>
            </w:r>
          </w:p>
          <w:p w:rsidR="00340FD7" w:rsidRDefault="00340FD7" w:rsidP="00F06396">
            <w:pPr>
              <w:numPr>
                <w:ilvl w:val="0"/>
                <w:numId w:val="10"/>
              </w:numPr>
              <w:spacing w:after="120"/>
              <w:ind w:left="357" w:hanging="357"/>
            </w:pPr>
            <w:r w:rsidRPr="00C171F4">
              <w:t xml:space="preserve">People have access to high quality social, health and child support services and payments </w:t>
            </w:r>
            <w:r>
              <w:t>appropriate to</w:t>
            </w:r>
            <w:r w:rsidRPr="00C171F4">
              <w:t xml:space="preserve"> their circumstances</w:t>
            </w:r>
            <w:r w:rsidR="00B535CB">
              <w:t>; and</w:t>
            </w:r>
          </w:p>
          <w:p w:rsidR="00340FD7" w:rsidRPr="00CB685D" w:rsidRDefault="00340FD7" w:rsidP="00F06396">
            <w:pPr>
              <w:numPr>
                <w:ilvl w:val="0"/>
                <w:numId w:val="10"/>
              </w:numPr>
              <w:spacing w:after="120"/>
              <w:ind w:left="357" w:hanging="357"/>
            </w:pPr>
            <w:r w:rsidRPr="00C171F4">
              <w:t>Providers and businesses are supported by a service delivery system that facilitates payment transfers</w:t>
            </w:r>
            <w:r>
              <w:t>, referrals and</w:t>
            </w:r>
            <w:r w:rsidRPr="00C171F4">
              <w:t xml:space="preserve"> other services</w:t>
            </w:r>
            <w:r>
              <w:t>.</w:t>
            </w:r>
          </w:p>
        </w:tc>
      </w:tr>
      <w:tr w:rsidR="00C84267" w:rsidTr="008E4180">
        <w:tc>
          <w:tcPr>
            <w:tcW w:w="7711" w:type="dxa"/>
          </w:tcPr>
          <w:p w:rsidR="00C84267" w:rsidRPr="00C84267" w:rsidRDefault="00C84267" w:rsidP="003A3E20">
            <w:pPr>
              <w:pStyle w:val="TableColumnHeadingLeft"/>
              <w:jc w:val="both"/>
              <w:rPr>
                <w:rFonts w:ascii="Book Antiqua" w:hAnsi="Book Antiqua"/>
                <w:b w:val="0"/>
              </w:rPr>
            </w:pPr>
            <w:r w:rsidRPr="00C84267">
              <w:rPr>
                <w:rFonts w:ascii="Book Antiqua" w:hAnsi="Book Antiqua"/>
                <w:b w:val="0"/>
              </w:rPr>
              <w:t>Linked to:</w:t>
            </w:r>
          </w:p>
          <w:p w:rsidR="00C84267" w:rsidRDefault="00CC467D" w:rsidP="00C84267">
            <w:r>
              <w:t xml:space="preserve">The Department of </w:t>
            </w:r>
            <w:r w:rsidR="00C84267">
              <w:t>Human Services delivers a range of payments and services on behalf of a number of government departments and other entities, including:</w:t>
            </w:r>
          </w:p>
          <w:p w:rsidR="00C84267" w:rsidRDefault="00C84267" w:rsidP="00F06396">
            <w:pPr>
              <w:numPr>
                <w:ilvl w:val="0"/>
                <w:numId w:val="28"/>
              </w:numPr>
              <w:spacing w:after="0"/>
              <w:ind w:left="714" w:hanging="357"/>
              <w:jc w:val="left"/>
            </w:pPr>
            <w:r>
              <w:t>Department of Education, Employment and Workplace Relations</w:t>
            </w:r>
          </w:p>
          <w:p w:rsidR="00C84267" w:rsidRDefault="00C84267" w:rsidP="00F06396">
            <w:pPr>
              <w:numPr>
                <w:ilvl w:val="0"/>
                <w:numId w:val="28"/>
              </w:numPr>
              <w:spacing w:after="0"/>
              <w:ind w:left="714" w:hanging="357"/>
              <w:jc w:val="left"/>
            </w:pPr>
            <w:r>
              <w:t>Department of Families, Housing, Community Services and Indigenous Affairs (including Family Assistance Office)</w:t>
            </w:r>
          </w:p>
          <w:p w:rsidR="00B62DBD" w:rsidRDefault="00C84267" w:rsidP="00F06396">
            <w:pPr>
              <w:numPr>
                <w:ilvl w:val="0"/>
                <w:numId w:val="28"/>
              </w:numPr>
              <w:spacing w:after="0"/>
              <w:ind w:left="714" w:hanging="357"/>
              <w:jc w:val="left"/>
            </w:pPr>
            <w:r>
              <w:t>Department of Infrastructure</w:t>
            </w:r>
            <w:r w:rsidR="00B62DBD">
              <w:t xml:space="preserve"> and</w:t>
            </w:r>
            <w:r>
              <w:t xml:space="preserve"> Transport</w:t>
            </w:r>
          </w:p>
          <w:p w:rsidR="00C84267" w:rsidRDefault="00C84267" w:rsidP="00F06396">
            <w:pPr>
              <w:numPr>
                <w:ilvl w:val="0"/>
                <w:numId w:val="28"/>
              </w:numPr>
              <w:spacing w:after="0"/>
              <w:ind w:left="714" w:hanging="357"/>
              <w:jc w:val="left"/>
            </w:pPr>
            <w:r>
              <w:t>Department of Veterans’ Affairs</w:t>
            </w:r>
          </w:p>
          <w:p w:rsidR="00C84267" w:rsidRDefault="00C84267" w:rsidP="00F06396">
            <w:pPr>
              <w:numPr>
                <w:ilvl w:val="0"/>
                <w:numId w:val="28"/>
              </w:numPr>
              <w:spacing w:after="0"/>
              <w:ind w:left="714" w:hanging="357"/>
              <w:jc w:val="left"/>
            </w:pPr>
            <w:r>
              <w:t>Department of Health and Ageing</w:t>
            </w:r>
          </w:p>
          <w:p w:rsidR="00C84267" w:rsidRDefault="00C84267" w:rsidP="00F06396">
            <w:pPr>
              <w:numPr>
                <w:ilvl w:val="0"/>
                <w:numId w:val="28"/>
              </w:numPr>
              <w:spacing w:after="0"/>
              <w:ind w:left="714" w:hanging="357"/>
              <w:jc w:val="left"/>
            </w:pPr>
            <w:r>
              <w:t>Department of Agriculture, Fisheries and Forestry</w:t>
            </w:r>
          </w:p>
          <w:p w:rsidR="00C84267" w:rsidRDefault="00C84267" w:rsidP="00F06396">
            <w:pPr>
              <w:numPr>
                <w:ilvl w:val="0"/>
                <w:numId w:val="28"/>
              </w:numPr>
              <w:spacing w:after="0"/>
              <w:ind w:left="714" w:hanging="357"/>
              <w:jc w:val="left"/>
            </w:pPr>
            <w:r>
              <w:t>Department of Foreign Affairs and Trade</w:t>
            </w:r>
          </w:p>
          <w:p w:rsidR="00C84267" w:rsidRDefault="00C84267" w:rsidP="00F06396">
            <w:pPr>
              <w:numPr>
                <w:ilvl w:val="0"/>
                <w:numId w:val="28"/>
              </w:numPr>
              <w:spacing w:after="0"/>
              <w:ind w:left="714" w:hanging="357"/>
              <w:jc w:val="left"/>
            </w:pPr>
            <w:r>
              <w:t xml:space="preserve">Department of </w:t>
            </w:r>
            <w:r w:rsidR="00B62DBD">
              <w:t xml:space="preserve">Sustainability, </w:t>
            </w:r>
            <w:r>
              <w:t xml:space="preserve">Environment, Water, </w:t>
            </w:r>
            <w:r w:rsidR="00B62DBD">
              <w:t>Population and Community</w:t>
            </w:r>
          </w:p>
          <w:p w:rsidR="00C84267" w:rsidRDefault="00C84267" w:rsidP="00F06396">
            <w:pPr>
              <w:numPr>
                <w:ilvl w:val="0"/>
                <w:numId w:val="28"/>
              </w:numPr>
              <w:spacing w:after="0"/>
              <w:ind w:left="714" w:hanging="357"/>
              <w:jc w:val="left"/>
            </w:pPr>
            <w:r>
              <w:t>Department of Broadband, Communications and Digital Economy</w:t>
            </w:r>
          </w:p>
          <w:p w:rsidR="00C84267" w:rsidRDefault="00C84267" w:rsidP="00F06396">
            <w:pPr>
              <w:numPr>
                <w:ilvl w:val="0"/>
                <w:numId w:val="28"/>
              </w:numPr>
              <w:spacing w:after="0"/>
              <w:ind w:left="714" w:hanging="357"/>
              <w:jc w:val="left"/>
            </w:pPr>
            <w:r>
              <w:t>Department of Immigration and Citizenship</w:t>
            </w:r>
          </w:p>
          <w:p w:rsidR="00C84267" w:rsidRDefault="00C84267" w:rsidP="00F06396">
            <w:pPr>
              <w:numPr>
                <w:ilvl w:val="0"/>
                <w:numId w:val="28"/>
              </w:numPr>
              <w:spacing w:after="0"/>
              <w:ind w:left="714" w:hanging="357"/>
              <w:jc w:val="left"/>
            </w:pPr>
            <w:r>
              <w:t>Department of Innovation, Industry, Science and Research</w:t>
            </w:r>
          </w:p>
          <w:p w:rsidR="00C84267" w:rsidRDefault="00C84267" w:rsidP="00F06396">
            <w:pPr>
              <w:numPr>
                <w:ilvl w:val="0"/>
                <w:numId w:val="28"/>
              </w:numPr>
              <w:spacing w:after="0"/>
              <w:ind w:left="714" w:hanging="357"/>
              <w:jc w:val="left"/>
            </w:pPr>
            <w:r>
              <w:t>Department of the Treasury</w:t>
            </w:r>
          </w:p>
          <w:p w:rsidR="00C84267" w:rsidRDefault="00C84267" w:rsidP="00F06396">
            <w:pPr>
              <w:numPr>
                <w:ilvl w:val="0"/>
                <w:numId w:val="28"/>
              </w:numPr>
              <w:spacing w:after="0"/>
              <w:ind w:left="714" w:hanging="357"/>
              <w:jc w:val="left"/>
            </w:pPr>
            <w:r>
              <w:t>Department of Climate Change and Energy Efficiency</w:t>
            </w:r>
          </w:p>
          <w:p w:rsidR="00C84267" w:rsidRDefault="00C84267" w:rsidP="00F06396">
            <w:pPr>
              <w:numPr>
                <w:ilvl w:val="0"/>
                <w:numId w:val="28"/>
              </w:numPr>
              <w:spacing w:after="0"/>
              <w:ind w:left="714" w:hanging="357"/>
              <w:jc w:val="left"/>
            </w:pPr>
            <w:r>
              <w:t>Attorney-General’s Department</w:t>
            </w:r>
          </w:p>
          <w:p w:rsidR="00C84267" w:rsidRDefault="00C84267" w:rsidP="00F06396">
            <w:pPr>
              <w:numPr>
                <w:ilvl w:val="0"/>
                <w:numId w:val="28"/>
              </w:numPr>
              <w:spacing w:after="0"/>
              <w:ind w:left="714" w:hanging="357"/>
              <w:jc w:val="left"/>
            </w:pPr>
            <w:r>
              <w:t>Australian Taxation Office</w:t>
            </w:r>
          </w:p>
          <w:p w:rsidR="00C84267" w:rsidRDefault="00C84267" w:rsidP="00F06396">
            <w:pPr>
              <w:numPr>
                <w:ilvl w:val="0"/>
                <w:numId w:val="28"/>
              </w:numPr>
              <w:spacing w:after="0"/>
              <w:ind w:left="714" w:hanging="357"/>
              <w:jc w:val="left"/>
            </w:pPr>
            <w:r>
              <w:t>Australian Electoral Commission</w:t>
            </w:r>
          </w:p>
          <w:p w:rsidR="00C84267" w:rsidRDefault="000828DF" w:rsidP="00F06396">
            <w:pPr>
              <w:numPr>
                <w:ilvl w:val="0"/>
                <w:numId w:val="28"/>
              </w:numPr>
              <w:spacing w:after="0"/>
              <w:ind w:left="714" w:hanging="357"/>
              <w:jc w:val="left"/>
            </w:pPr>
            <w:r>
              <w:t>Department of Defence</w:t>
            </w:r>
          </w:p>
          <w:p w:rsidR="00C84267" w:rsidRDefault="00C84267" w:rsidP="00F06396">
            <w:pPr>
              <w:numPr>
                <w:ilvl w:val="0"/>
                <w:numId w:val="28"/>
              </w:numPr>
              <w:spacing w:after="0"/>
              <w:ind w:left="714" w:hanging="357"/>
              <w:jc w:val="left"/>
            </w:pPr>
            <w:r w:rsidRPr="00270A00">
              <w:t>Australian Organ and Tissue Donation and Transplantation Authority</w:t>
            </w:r>
          </w:p>
          <w:p w:rsidR="00C84267" w:rsidRDefault="00C84267" w:rsidP="00F06396">
            <w:pPr>
              <w:numPr>
                <w:ilvl w:val="0"/>
                <w:numId w:val="28"/>
              </w:numPr>
              <w:spacing w:after="0"/>
              <w:ind w:left="714" w:hanging="357"/>
              <w:jc w:val="left"/>
            </w:pPr>
            <w:r>
              <w:t>Various State and Territory Governments</w:t>
            </w:r>
          </w:p>
          <w:p w:rsidR="00C84267" w:rsidRPr="00C84267" w:rsidRDefault="00C84267" w:rsidP="00F06396">
            <w:pPr>
              <w:numPr>
                <w:ilvl w:val="0"/>
                <w:numId w:val="28"/>
              </w:numPr>
              <w:spacing w:after="0"/>
              <w:ind w:left="714" w:hanging="357"/>
              <w:jc w:val="left"/>
            </w:pPr>
            <w:r>
              <w:t>Countries with which Australia has an International Social Security Agreement</w:t>
            </w:r>
          </w:p>
        </w:tc>
      </w:tr>
    </w:tbl>
    <w:p w:rsidR="00340FD7" w:rsidRPr="00581D30" w:rsidRDefault="00340FD7" w:rsidP="003A3E20">
      <w:pPr>
        <w:pStyle w:val="NoSpacing"/>
      </w:pPr>
    </w:p>
    <w:p w:rsidR="00340FD7" w:rsidRPr="00E52E19" w:rsidRDefault="00340FD7" w:rsidP="003A3E20">
      <w:pPr>
        <w:spacing w:after="0"/>
        <w:rPr>
          <w:sz w:val="10"/>
          <w:szCs w:val="10"/>
        </w:rPr>
      </w:pPr>
    </w:p>
    <w:p w:rsidR="00B32ED5" w:rsidRDefault="00B32ED5" w:rsidP="00B32ED5">
      <w:pPr>
        <w:pStyle w:val="TableHeading"/>
        <w:jc w:val="both"/>
      </w:pPr>
      <w:r>
        <w:t xml:space="preserve">Program </w:t>
      </w:r>
      <w:r w:rsidR="00B2493C">
        <w:t>1.1 Expenses</w:t>
      </w:r>
    </w:p>
    <w:tbl>
      <w:tblPr>
        <w:tblW w:w="0" w:type="auto"/>
        <w:tblInd w:w="78" w:type="dxa"/>
        <w:tblLayout w:type="fixed"/>
        <w:tblLook w:val="0000" w:firstRow="0" w:lastRow="0" w:firstColumn="0" w:lastColumn="0" w:noHBand="0" w:noVBand="0"/>
      </w:tblPr>
      <w:tblGrid>
        <w:gridCol w:w="2516"/>
        <w:gridCol w:w="999"/>
        <w:gridCol w:w="952"/>
        <w:gridCol w:w="951"/>
        <w:gridCol w:w="952"/>
        <w:gridCol w:w="951"/>
      </w:tblGrid>
      <w:tr w:rsidR="006F548E" w:rsidTr="006F548E">
        <w:trPr>
          <w:trHeight w:val="215"/>
        </w:trPr>
        <w:tc>
          <w:tcPr>
            <w:tcW w:w="2516"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b/>
                <w:bCs/>
                <w:color w:val="000000"/>
                <w:sz w:val="16"/>
                <w:szCs w:val="16"/>
              </w:rPr>
            </w:pPr>
          </w:p>
        </w:tc>
        <w:tc>
          <w:tcPr>
            <w:tcW w:w="999"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2010-11</w:t>
            </w:r>
          </w:p>
        </w:tc>
        <w:tc>
          <w:tcPr>
            <w:tcW w:w="952" w:type="dxa"/>
            <w:tcBorders>
              <w:top w:val="single" w:sz="2" w:space="0" w:color="auto"/>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51"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52"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51"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r>
      <w:tr w:rsidR="006F548E" w:rsidTr="006F548E">
        <w:trPr>
          <w:trHeight w:val="215"/>
        </w:trPr>
        <w:tc>
          <w:tcPr>
            <w:tcW w:w="251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p>
        </w:tc>
        <w:tc>
          <w:tcPr>
            <w:tcW w:w="99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6F548E" w:rsidTr="006F548E">
        <w:trPr>
          <w:trHeight w:val="215"/>
        </w:trPr>
        <w:tc>
          <w:tcPr>
            <w:tcW w:w="251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p>
        </w:tc>
        <w:tc>
          <w:tcPr>
            <w:tcW w:w="99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1</w:t>
            </w: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2</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3</w:t>
            </w:r>
          </w:p>
        </w:tc>
      </w:tr>
      <w:tr w:rsidR="006F548E" w:rsidTr="006F548E">
        <w:trPr>
          <w:trHeight w:val="215"/>
        </w:trPr>
        <w:tc>
          <w:tcPr>
            <w:tcW w:w="2516"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99"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52" w:type="dxa"/>
            <w:tcBorders>
              <w:top w:val="nil"/>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51"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52"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51"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6F548E" w:rsidTr="006F548E">
        <w:trPr>
          <w:trHeight w:val="215"/>
        </w:trPr>
        <w:tc>
          <w:tcPr>
            <w:tcW w:w="251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administered expenses:</w:t>
            </w:r>
          </w:p>
        </w:tc>
        <w:tc>
          <w:tcPr>
            <w:tcW w:w="99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29"/>
        </w:trPr>
        <w:tc>
          <w:tcPr>
            <w:tcW w:w="251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Income Management Card</w:t>
            </w:r>
          </w:p>
        </w:tc>
        <w:tc>
          <w:tcPr>
            <w:tcW w:w="99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4,846 </w:t>
            </w: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5,006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5,006 </w:t>
            </w: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5,006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5,006 </w:t>
            </w:r>
          </w:p>
        </w:tc>
      </w:tr>
      <w:tr w:rsidR="006F548E" w:rsidTr="006F548E">
        <w:trPr>
          <w:trHeight w:val="229"/>
        </w:trPr>
        <w:tc>
          <w:tcPr>
            <w:tcW w:w="251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Future Workforce</w:t>
            </w:r>
          </w:p>
        </w:tc>
        <w:tc>
          <w:tcPr>
            <w:tcW w:w="99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2,760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10,790 </w:t>
            </w: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9,821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8,853 </w:t>
            </w:r>
          </w:p>
        </w:tc>
      </w:tr>
      <w:tr w:rsidR="006F548E" w:rsidTr="006F548E">
        <w:trPr>
          <w:trHeight w:val="661"/>
        </w:trPr>
        <w:tc>
          <w:tcPr>
            <w:tcW w:w="2516" w:type="dxa"/>
            <w:gridSpan w:val="2"/>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Expenses not requiring appropriation in the Budget year</w:t>
            </w:r>
            <w:r>
              <w:rPr>
                <w:rFonts w:ascii="Arial" w:hAnsi="Arial" w:cs="Arial"/>
                <w:color w:val="000000"/>
                <w:sz w:val="16"/>
                <w:szCs w:val="16"/>
                <w:vertAlign w:val="superscript"/>
              </w:rPr>
              <w:t>1</w:t>
            </w: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53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54 </w:t>
            </w: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F548E" w:rsidTr="006F548E">
        <w:trPr>
          <w:trHeight w:val="215"/>
        </w:trPr>
        <w:tc>
          <w:tcPr>
            <w:tcW w:w="251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departmental expenses:</w:t>
            </w:r>
          </w:p>
        </w:tc>
        <w:tc>
          <w:tcPr>
            <w:tcW w:w="99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15"/>
        </w:trPr>
        <w:tc>
          <w:tcPr>
            <w:tcW w:w="251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w:t>
            </w:r>
          </w:p>
        </w:tc>
        <w:tc>
          <w:tcPr>
            <w:tcW w:w="99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15"/>
        </w:trPr>
        <w:tc>
          <w:tcPr>
            <w:tcW w:w="251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99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3,642,514 </w:t>
            </w: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3,852,906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3,617,352 </w:t>
            </w: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3,618,747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3,608,961 </w:t>
            </w:r>
          </w:p>
        </w:tc>
      </w:tr>
      <w:tr w:rsidR="006F548E" w:rsidTr="006F548E">
        <w:trPr>
          <w:trHeight w:val="474"/>
        </w:trPr>
        <w:tc>
          <w:tcPr>
            <w:tcW w:w="251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Revenue from other sources</w:t>
            </w:r>
          </w:p>
        </w:tc>
        <w:tc>
          <w:tcPr>
            <w:tcW w:w="99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452,839 </w:t>
            </w: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240,013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232,575 </w:t>
            </w: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231,575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230,939 </w:t>
            </w:r>
          </w:p>
        </w:tc>
      </w:tr>
      <w:tr w:rsidR="006F548E" w:rsidTr="006F548E">
        <w:trPr>
          <w:trHeight w:val="661"/>
        </w:trPr>
        <w:tc>
          <w:tcPr>
            <w:tcW w:w="2516" w:type="dxa"/>
            <w:gridSpan w:val="2"/>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Expenses not requiring appropriation in the Budget year</w:t>
            </w:r>
            <w:r>
              <w:rPr>
                <w:rFonts w:ascii="Arial" w:hAnsi="Arial" w:cs="Arial"/>
                <w:color w:val="000000"/>
                <w:sz w:val="16"/>
                <w:szCs w:val="16"/>
                <w:vertAlign w:val="superscript"/>
              </w:rPr>
              <w:t>1</w:t>
            </w: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250,960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241,950 </w:t>
            </w: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243,976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249,366 </w:t>
            </w:r>
          </w:p>
        </w:tc>
      </w:tr>
      <w:tr w:rsidR="006F548E" w:rsidTr="006F548E">
        <w:trPr>
          <w:trHeight w:val="215"/>
        </w:trPr>
        <w:tc>
          <w:tcPr>
            <w:tcW w:w="251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program expenses </w:t>
            </w:r>
          </w:p>
        </w:tc>
        <w:tc>
          <w:tcPr>
            <w:tcW w:w="999"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4,472,296 </w:t>
            </w:r>
          </w:p>
        </w:tc>
        <w:tc>
          <w:tcPr>
            <w:tcW w:w="952" w:type="dxa"/>
            <w:tcBorders>
              <w:top w:val="single" w:sz="2" w:space="0" w:color="auto"/>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4,351,698 </w:t>
            </w:r>
          </w:p>
        </w:tc>
        <w:tc>
          <w:tcPr>
            <w:tcW w:w="951"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4,107,727 </w:t>
            </w:r>
          </w:p>
        </w:tc>
        <w:tc>
          <w:tcPr>
            <w:tcW w:w="952"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4,109,125 </w:t>
            </w:r>
          </w:p>
        </w:tc>
        <w:tc>
          <w:tcPr>
            <w:tcW w:w="951"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4,103,125 </w:t>
            </w:r>
          </w:p>
        </w:tc>
      </w:tr>
      <w:tr w:rsidR="006F548E" w:rsidTr="006F548E">
        <w:trPr>
          <w:trHeight w:val="85"/>
        </w:trPr>
        <w:tc>
          <w:tcPr>
            <w:tcW w:w="251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9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460"/>
        </w:trPr>
        <w:tc>
          <w:tcPr>
            <w:tcW w:w="2516" w:type="dxa"/>
            <w:gridSpan w:val="3"/>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 expenses by subfunction</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88"/>
        </w:trPr>
        <w:tc>
          <w:tcPr>
            <w:tcW w:w="251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Medical services and benefit</w:t>
            </w:r>
          </w:p>
        </w:tc>
        <w:tc>
          <w:tcPr>
            <w:tcW w:w="99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588,789 </w:t>
            </w: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F548E" w:rsidTr="006F548E">
        <w:trPr>
          <w:trHeight w:val="460"/>
        </w:trPr>
        <w:tc>
          <w:tcPr>
            <w:tcW w:w="2516" w:type="dxa"/>
            <w:gridSpan w:val="2"/>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Pharmaceutical services and benefits</w:t>
            </w: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F548E" w:rsidTr="006F548E">
        <w:trPr>
          <w:trHeight w:val="243"/>
        </w:trPr>
        <w:tc>
          <w:tcPr>
            <w:tcW w:w="251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Health - general administration</w:t>
            </w:r>
          </w:p>
        </w:tc>
        <w:tc>
          <w:tcPr>
            <w:tcW w:w="99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714,775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637,850 </w:t>
            </w: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640,251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662,410 </w:t>
            </w:r>
          </w:p>
        </w:tc>
      </w:tr>
      <w:tr w:rsidR="006F548E" w:rsidTr="006F548E">
        <w:trPr>
          <w:trHeight w:val="503"/>
        </w:trPr>
        <w:tc>
          <w:tcPr>
            <w:tcW w:w="2516" w:type="dxa"/>
            <w:gridSpan w:val="2"/>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Assistance to people with disabilities</w:t>
            </w: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158,373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157,734 </w:t>
            </w: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157,709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159,059 </w:t>
            </w:r>
          </w:p>
        </w:tc>
      </w:tr>
      <w:tr w:rsidR="006F548E" w:rsidTr="006F548E">
        <w:trPr>
          <w:trHeight w:val="446"/>
        </w:trPr>
        <w:tc>
          <w:tcPr>
            <w:tcW w:w="2516" w:type="dxa"/>
            <w:gridSpan w:val="2"/>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Social security and welfare - general administration</w:t>
            </w:r>
          </w:p>
        </w:tc>
        <w:tc>
          <w:tcPr>
            <w:tcW w:w="95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3,470,731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3,296,293 </w:t>
            </w:r>
          </w:p>
        </w:tc>
        <w:tc>
          <w:tcPr>
            <w:tcW w:w="95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3,296,338 </w:t>
            </w:r>
          </w:p>
        </w:tc>
        <w:tc>
          <w:tcPr>
            <w:tcW w:w="95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3,267,797 </w:t>
            </w:r>
          </w:p>
        </w:tc>
      </w:tr>
      <w:tr w:rsidR="006F548E" w:rsidTr="006F548E">
        <w:trPr>
          <w:trHeight w:val="446"/>
        </w:trPr>
        <w:tc>
          <w:tcPr>
            <w:tcW w:w="2516" w:type="dxa"/>
            <w:gridSpan w:val="2"/>
            <w:tcBorders>
              <w:top w:val="nil"/>
              <w:left w:val="nil"/>
              <w:bottom w:val="single" w:sz="2" w:space="0" w:color="auto"/>
              <w:right w:val="nil"/>
            </w:tcBorders>
          </w:tcPr>
          <w:p w:rsidR="006F548E" w:rsidRDefault="006F548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Departmental expenses by subfunction</w:t>
            </w:r>
          </w:p>
        </w:tc>
        <w:tc>
          <w:tcPr>
            <w:tcW w:w="952" w:type="dxa"/>
            <w:tcBorders>
              <w:top w:val="single" w:sz="2" w:space="0" w:color="auto"/>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4,343,879 </w:t>
            </w:r>
          </w:p>
        </w:tc>
        <w:tc>
          <w:tcPr>
            <w:tcW w:w="951"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4,091,877 </w:t>
            </w:r>
          </w:p>
        </w:tc>
        <w:tc>
          <w:tcPr>
            <w:tcW w:w="952"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4,094,298 </w:t>
            </w:r>
          </w:p>
        </w:tc>
        <w:tc>
          <w:tcPr>
            <w:tcW w:w="951"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4,089,266 </w:t>
            </w:r>
          </w:p>
        </w:tc>
      </w:tr>
    </w:tbl>
    <w:p w:rsidR="00340FD7" w:rsidRDefault="00340FD7" w:rsidP="003A3E20">
      <w:pPr>
        <w:pStyle w:val="TableGraphic"/>
      </w:pPr>
    </w:p>
    <w:p w:rsidR="00935C11" w:rsidRDefault="00340FD7" w:rsidP="00935C11">
      <w:pPr>
        <w:pStyle w:val="ChartandTableFootnote"/>
      </w:pPr>
      <w:r w:rsidRPr="00581D30">
        <w:t>1</w:t>
      </w:r>
      <w:r>
        <w:tab/>
      </w:r>
      <w:r w:rsidR="00935C11">
        <w:t>Departmental e</w:t>
      </w:r>
      <w:r w:rsidR="00935C11" w:rsidRPr="006D62BE">
        <w:t xml:space="preserve">xpenses not requiring </w:t>
      </w:r>
      <w:r w:rsidR="00935C11">
        <w:t>a</w:t>
      </w:r>
      <w:r w:rsidR="00935C11" w:rsidRPr="006D62BE">
        <w:t>ppropriat</w:t>
      </w:r>
      <w:r w:rsidR="00935C11">
        <w:t xml:space="preserve">ion in the </w:t>
      </w:r>
      <w:smartTag w:uri="urn:schemas-microsoft-com:office:smarttags" w:element="PersonName">
        <w:r w:rsidR="00935C11">
          <w:t>Budget</w:t>
        </w:r>
      </w:smartTag>
      <w:r w:rsidR="00935C11">
        <w:t xml:space="preserve"> year is made up of unfunded depreciation expense</w:t>
      </w:r>
      <w:r w:rsidR="00935C11" w:rsidRPr="006D62BE">
        <w:t xml:space="preserve">, </w:t>
      </w:r>
      <w:r w:rsidR="00935C11">
        <w:t>a</w:t>
      </w:r>
      <w:r w:rsidR="00935C11" w:rsidRPr="006D62BE">
        <w:t>mortisation</w:t>
      </w:r>
      <w:r w:rsidR="00935C11">
        <w:t xml:space="preserve"> expense, audit services and operating results. Administered expenses </w:t>
      </w:r>
      <w:r w:rsidR="00935C11" w:rsidRPr="006D62BE">
        <w:t>not requiring</w:t>
      </w:r>
      <w:r w:rsidR="00935C11">
        <w:t xml:space="preserve"> a</w:t>
      </w:r>
      <w:r w:rsidR="00935C11" w:rsidRPr="006D62BE">
        <w:t>ppropriat</w:t>
      </w:r>
      <w:r w:rsidR="00935C11">
        <w:t xml:space="preserve">ion in the </w:t>
      </w:r>
      <w:smartTag w:uri="urn:schemas-microsoft-com:office:smarttags" w:element="PersonName">
        <w:r w:rsidR="00935C11">
          <w:t>Budget</w:t>
        </w:r>
      </w:smartTag>
      <w:r w:rsidR="00935C11">
        <w:t xml:space="preserve"> year is made up of depreciation expense</w:t>
      </w:r>
      <w:r w:rsidR="004F1D81">
        <w:t>.</w:t>
      </w:r>
    </w:p>
    <w:p w:rsidR="00340FD7" w:rsidRDefault="00340FD7" w:rsidP="00282F14">
      <w:pPr>
        <w:pStyle w:val="ChartandTableFootnote"/>
      </w:pPr>
    </w:p>
    <w:p w:rsidR="00340FD7" w:rsidRDefault="00340FD7" w:rsidP="003A3E20">
      <w:pPr>
        <w:pStyle w:val="NoSpacing"/>
      </w:pPr>
    </w:p>
    <w:p w:rsidR="00340FD7" w:rsidRPr="008B4BF2" w:rsidRDefault="00340FD7" w:rsidP="003A3E20">
      <w:pPr>
        <w:pStyle w:val="SingleParagraph"/>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340FD7" w:rsidTr="008E4180">
        <w:tc>
          <w:tcPr>
            <w:tcW w:w="7711" w:type="dxa"/>
          </w:tcPr>
          <w:p w:rsidR="00340FD7" w:rsidRDefault="00340FD7" w:rsidP="003A3E20">
            <w:pPr>
              <w:pStyle w:val="TableColumnHeadingLeft"/>
              <w:jc w:val="both"/>
            </w:pPr>
            <w:r>
              <w:t>Program 1.</w:t>
            </w:r>
            <w:r w:rsidR="009D7B00">
              <w:t>1</w:t>
            </w:r>
            <w:r>
              <w:t xml:space="preserve"> Deliverables</w:t>
            </w:r>
          </w:p>
          <w:p w:rsidR="006331B2" w:rsidRPr="00CB685D" w:rsidRDefault="006331B2" w:rsidP="006331B2">
            <w:r w:rsidRPr="00CB685D">
              <w:t xml:space="preserve">The </w:t>
            </w:r>
            <w:r w:rsidR="00617D6B">
              <w:t>Department</w:t>
            </w:r>
            <w:r w:rsidR="00617D6B" w:rsidRPr="00CB685D">
              <w:t xml:space="preserve"> </w:t>
            </w:r>
            <w:r w:rsidRPr="00CB685D">
              <w:t xml:space="preserve">supports individuals, families and communities to achieve greater self-sufficiency by providing access to social, health and child support payments and services on behalf of Government. The </w:t>
            </w:r>
            <w:r w:rsidR="00617D6B">
              <w:t>Department</w:t>
            </w:r>
            <w:r w:rsidR="00617D6B" w:rsidRPr="00CB685D">
              <w:t xml:space="preserve"> </w:t>
            </w:r>
            <w:r w:rsidRPr="00CB685D">
              <w:t xml:space="preserve">provides access through deliverables which include: </w:t>
            </w:r>
          </w:p>
          <w:p w:rsidR="006331B2" w:rsidRPr="00CB685D" w:rsidRDefault="006331B2" w:rsidP="00F06396">
            <w:pPr>
              <w:numPr>
                <w:ilvl w:val="0"/>
                <w:numId w:val="11"/>
              </w:numPr>
              <w:spacing w:after="120"/>
              <w:ind w:left="357" w:hanging="357"/>
            </w:pPr>
            <w:r w:rsidRPr="00CB685D">
              <w:t xml:space="preserve">customer service centres (including </w:t>
            </w:r>
            <w:r w:rsidR="00651844">
              <w:t>one-stop-shops</w:t>
            </w:r>
            <w:r w:rsidRPr="00CB685D">
              <w:t>) located across Australia;</w:t>
            </w:r>
          </w:p>
          <w:p w:rsidR="006331B2" w:rsidRPr="00CB685D" w:rsidRDefault="006331B2" w:rsidP="00F06396">
            <w:pPr>
              <w:numPr>
                <w:ilvl w:val="0"/>
                <w:numId w:val="11"/>
              </w:numPr>
              <w:spacing w:after="120"/>
              <w:ind w:left="357" w:hanging="357"/>
            </w:pPr>
            <w:r w:rsidRPr="00CB685D">
              <w:t>online services;</w:t>
            </w:r>
          </w:p>
          <w:p w:rsidR="006331B2" w:rsidRPr="00CB685D" w:rsidRDefault="006331B2" w:rsidP="00F06396">
            <w:pPr>
              <w:numPr>
                <w:ilvl w:val="0"/>
                <w:numId w:val="11"/>
              </w:numPr>
              <w:spacing w:after="120"/>
              <w:ind w:left="357" w:hanging="357"/>
            </w:pPr>
            <w:r w:rsidRPr="00CB685D">
              <w:t xml:space="preserve">call centres; and </w:t>
            </w:r>
          </w:p>
          <w:p w:rsidR="006331B2" w:rsidRPr="00CB685D" w:rsidRDefault="006331B2" w:rsidP="00F06396">
            <w:pPr>
              <w:numPr>
                <w:ilvl w:val="0"/>
                <w:numId w:val="11"/>
              </w:numPr>
              <w:spacing w:after="120"/>
              <w:ind w:left="357" w:hanging="357"/>
            </w:pPr>
            <w:r w:rsidRPr="00CB685D">
              <w:t>systems that support the delivery of services by providers and business.</w:t>
            </w:r>
          </w:p>
          <w:p w:rsidR="006331B2" w:rsidRDefault="006331B2" w:rsidP="006331B2"/>
          <w:p w:rsidR="006331B2" w:rsidRPr="00CB685D" w:rsidRDefault="006331B2" w:rsidP="006331B2">
            <w:r w:rsidRPr="00CB685D">
              <w:t xml:space="preserve">The </w:t>
            </w:r>
            <w:r w:rsidR="00617D6B">
              <w:t>Department</w:t>
            </w:r>
            <w:r w:rsidR="00617D6B" w:rsidRPr="00CB685D">
              <w:t xml:space="preserve"> </w:t>
            </w:r>
            <w:r w:rsidRPr="00CB685D">
              <w:t>also provides access to tailored services including:</w:t>
            </w:r>
          </w:p>
          <w:p w:rsidR="006331B2" w:rsidRPr="00CB685D" w:rsidRDefault="006331B2" w:rsidP="00F06396">
            <w:pPr>
              <w:numPr>
                <w:ilvl w:val="0"/>
                <w:numId w:val="12"/>
              </w:numPr>
              <w:spacing w:after="120"/>
              <w:ind w:left="357" w:hanging="357"/>
            </w:pPr>
            <w:r w:rsidRPr="00CB685D">
              <w:t>translated information on payments and services, interpreter services and multicultural service officers;</w:t>
            </w:r>
          </w:p>
          <w:p w:rsidR="006331B2" w:rsidRPr="00CB685D" w:rsidRDefault="006331B2" w:rsidP="00F06396">
            <w:pPr>
              <w:numPr>
                <w:ilvl w:val="0"/>
                <w:numId w:val="12"/>
              </w:numPr>
              <w:spacing w:after="120"/>
              <w:ind w:left="357" w:hanging="357"/>
            </w:pPr>
            <w:r w:rsidRPr="00CB685D">
              <w:t xml:space="preserve">access points that deliver self-help facilities; </w:t>
            </w:r>
          </w:p>
          <w:p w:rsidR="006331B2" w:rsidRPr="00CB685D" w:rsidRDefault="006331B2" w:rsidP="00F06396">
            <w:pPr>
              <w:numPr>
                <w:ilvl w:val="0"/>
                <w:numId w:val="12"/>
              </w:numPr>
              <w:spacing w:after="120"/>
              <w:ind w:left="357" w:hanging="357"/>
            </w:pPr>
            <w:r w:rsidRPr="00CB685D">
              <w:t xml:space="preserve">agents located in rural and remote communities who provide a range of products and services and remote access service centres that deliver face-to-face services; </w:t>
            </w:r>
          </w:p>
          <w:p w:rsidR="006331B2" w:rsidRPr="00CB685D" w:rsidRDefault="006331B2" w:rsidP="00F06396">
            <w:pPr>
              <w:numPr>
                <w:ilvl w:val="0"/>
                <w:numId w:val="12"/>
              </w:numPr>
              <w:spacing w:after="120"/>
              <w:ind w:left="357" w:hanging="357"/>
            </w:pPr>
            <w:r w:rsidRPr="00CB685D">
              <w:t xml:space="preserve">Australian Government Mobile Offices which provide services in rural,remote and disaster affected communities; </w:t>
            </w:r>
          </w:p>
          <w:p w:rsidR="006331B2" w:rsidRPr="00A80611" w:rsidRDefault="00B535CB" w:rsidP="00F06396">
            <w:pPr>
              <w:numPr>
                <w:ilvl w:val="0"/>
                <w:numId w:val="12"/>
              </w:numPr>
              <w:spacing w:after="120"/>
              <w:ind w:left="357" w:hanging="357"/>
            </w:pPr>
            <w:r>
              <w:t>Indigenous Service O</w:t>
            </w:r>
            <w:r w:rsidR="006331B2" w:rsidRPr="00CB685D">
              <w:t xml:space="preserve">fficers who connect Indigenous people and communities with </w:t>
            </w:r>
            <w:r w:rsidR="008A1CB1" w:rsidRPr="00A80611">
              <w:t>departmental</w:t>
            </w:r>
            <w:r w:rsidR="006331B2" w:rsidRPr="00A80611">
              <w:t xml:space="preserve"> services;</w:t>
            </w:r>
          </w:p>
          <w:p w:rsidR="006331B2" w:rsidRPr="00CB685D" w:rsidRDefault="006331B2" w:rsidP="00F06396">
            <w:pPr>
              <w:numPr>
                <w:ilvl w:val="0"/>
                <w:numId w:val="12"/>
              </w:numPr>
              <w:spacing w:after="120"/>
              <w:ind w:left="357" w:hanging="357"/>
            </w:pPr>
            <w:r w:rsidRPr="00A80611">
              <w:t xml:space="preserve">referrals to support services and the provision of specialist services through the </w:t>
            </w:r>
            <w:r w:rsidR="008A1CB1" w:rsidRPr="00A80611">
              <w:t xml:space="preserve">department’s </w:t>
            </w:r>
            <w:r w:rsidRPr="00A80611">
              <w:t>health and allied health professionals which include psychologists, social workers, occupational</w:t>
            </w:r>
            <w:r w:rsidRPr="00CB685D">
              <w:t xml:space="preserve"> therapists, registered nurses, physiotherapists, exercise physiologists, rehabilitation counsellors; and</w:t>
            </w:r>
          </w:p>
          <w:p w:rsidR="006331B2" w:rsidRPr="00CB685D" w:rsidRDefault="006331B2" w:rsidP="00F06396">
            <w:pPr>
              <w:numPr>
                <w:ilvl w:val="0"/>
                <w:numId w:val="12"/>
              </w:numPr>
              <w:spacing w:after="120"/>
              <w:ind w:left="357" w:hanging="357"/>
            </w:pPr>
            <w:r w:rsidRPr="00CB685D">
              <w:t>the delivery of expert assessment, injury management, vocational rehabilitation and employment services to assist people who have a disability, injury or health condition to get and keep a job through CRS Australia.</w:t>
            </w:r>
          </w:p>
          <w:p w:rsidR="006331B2" w:rsidRPr="00CB685D" w:rsidRDefault="006331B2" w:rsidP="006331B2">
            <w:r w:rsidRPr="00CB685D">
              <w:t xml:space="preserve">The </w:t>
            </w:r>
            <w:r w:rsidR="00617D6B">
              <w:t>Department</w:t>
            </w:r>
            <w:r w:rsidR="00617D6B" w:rsidRPr="00CB685D">
              <w:t xml:space="preserve"> </w:t>
            </w:r>
            <w:r w:rsidRPr="00CB685D">
              <w:t>is also seeking to improve services and support through:</w:t>
            </w:r>
          </w:p>
          <w:p w:rsidR="006331B2" w:rsidRPr="00CB685D" w:rsidRDefault="006331B2" w:rsidP="00F06396">
            <w:pPr>
              <w:numPr>
                <w:ilvl w:val="0"/>
                <w:numId w:val="13"/>
              </w:numPr>
              <w:spacing w:after="120"/>
              <w:ind w:left="357" w:hanging="357"/>
            </w:pPr>
            <w:r w:rsidRPr="00CB685D">
              <w:t>Local Connections to Work sites which aim to connect individuals to community services under one roof; and</w:t>
            </w:r>
          </w:p>
          <w:p w:rsidR="006331B2" w:rsidRPr="00CB685D" w:rsidRDefault="006331B2" w:rsidP="00F06396">
            <w:pPr>
              <w:numPr>
                <w:ilvl w:val="0"/>
                <w:numId w:val="13"/>
              </w:numPr>
              <w:spacing w:after="120"/>
              <w:ind w:left="357" w:hanging="357"/>
            </w:pPr>
            <w:r w:rsidRPr="00CB685D">
              <w:t>case-coordination sites that deliver specialist services for those who suffer from multiple disadvantage</w:t>
            </w:r>
            <w:r w:rsidR="008B352F">
              <w:t>s</w:t>
            </w:r>
            <w:r w:rsidRPr="00CB685D">
              <w:t>.</w:t>
            </w:r>
          </w:p>
          <w:p w:rsidR="001B3342" w:rsidRDefault="001B3342" w:rsidP="006331B2"/>
          <w:p w:rsidR="006331B2" w:rsidRPr="00CB685D" w:rsidRDefault="006331B2" w:rsidP="006331B2">
            <w:r w:rsidRPr="00CB685D">
              <w:t xml:space="preserve">The </w:t>
            </w:r>
            <w:r w:rsidR="00617D6B">
              <w:t>Department</w:t>
            </w:r>
            <w:r w:rsidR="00617D6B" w:rsidRPr="00CB685D">
              <w:t xml:space="preserve"> </w:t>
            </w:r>
            <w:r w:rsidRPr="00CB685D">
              <w:t>also supports policy development through the provision of service</w:t>
            </w:r>
            <w:r w:rsidR="00340FD7" w:rsidRPr="00CB685D">
              <w:t xml:space="preserve"> </w:t>
            </w:r>
            <w:r w:rsidRPr="00CB685D">
              <w:t>delivery policy advice and the coordination and development of specific initiatives on behalf of government.</w:t>
            </w:r>
          </w:p>
          <w:p w:rsidR="006331B2" w:rsidRPr="00CB685D" w:rsidRDefault="006331B2" w:rsidP="006331B2">
            <w:r w:rsidRPr="00CB685D">
              <w:t>The level of access to payments and services that support greater self-sufficiency is also demonstrated by:</w:t>
            </w:r>
          </w:p>
          <w:p w:rsidR="006331B2" w:rsidRPr="00CB685D" w:rsidRDefault="006331B2" w:rsidP="00F06396">
            <w:pPr>
              <w:numPr>
                <w:ilvl w:val="0"/>
                <w:numId w:val="14"/>
              </w:numPr>
              <w:spacing w:after="120"/>
              <w:ind w:left="357" w:hanging="357"/>
            </w:pPr>
            <w:r w:rsidRPr="00CB685D">
              <w:t>the total value of payments delivered on behalf of policy departments; and</w:t>
            </w:r>
          </w:p>
          <w:p w:rsidR="006331B2" w:rsidRPr="00CB685D" w:rsidRDefault="006331B2" w:rsidP="00F06396">
            <w:pPr>
              <w:numPr>
                <w:ilvl w:val="0"/>
                <w:numId w:val="14"/>
              </w:numPr>
              <w:spacing w:after="120"/>
              <w:ind w:left="357" w:hanging="357"/>
            </w:pPr>
            <w:r w:rsidRPr="00CB685D">
              <w:t>the total amount of child support transferred between parents.</w:t>
            </w:r>
          </w:p>
          <w:p w:rsidR="006331B2" w:rsidRPr="000C6688" w:rsidRDefault="006331B2" w:rsidP="006331B2">
            <w:r w:rsidRPr="000C6688">
              <w:t>The delivery of access to payments and services will be reported through the:</w:t>
            </w:r>
          </w:p>
          <w:p w:rsidR="006331B2" w:rsidRPr="000C6688" w:rsidRDefault="006331B2" w:rsidP="00F06396">
            <w:pPr>
              <w:numPr>
                <w:ilvl w:val="0"/>
                <w:numId w:val="15"/>
              </w:numPr>
              <w:spacing w:after="120"/>
              <w:ind w:left="357" w:hanging="357"/>
            </w:pPr>
            <w:r w:rsidRPr="000C6688">
              <w:t>number of Customer Service Centres;</w:t>
            </w:r>
          </w:p>
          <w:p w:rsidR="006331B2" w:rsidRPr="000C6688" w:rsidRDefault="006331B2" w:rsidP="00F06396">
            <w:pPr>
              <w:numPr>
                <w:ilvl w:val="0"/>
                <w:numId w:val="15"/>
              </w:numPr>
              <w:spacing w:after="120"/>
              <w:ind w:left="357" w:hanging="357"/>
            </w:pPr>
            <w:r w:rsidRPr="000C6688">
              <w:t>number of website visits;</w:t>
            </w:r>
          </w:p>
          <w:p w:rsidR="006331B2" w:rsidRPr="000C6688" w:rsidRDefault="006331B2" w:rsidP="00F06396">
            <w:pPr>
              <w:numPr>
                <w:ilvl w:val="0"/>
                <w:numId w:val="15"/>
              </w:numPr>
              <w:spacing w:after="120"/>
              <w:ind w:left="357" w:hanging="357"/>
            </w:pPr>
            <w:r w:rsidRPr="000C6688">
              <w:t>number of calls to call centres answered;</w:t>
            </w:r>
          </w:p>
          <w:p w:rsidR="006331B2" w:rsidRPr="000C6688" w:rsidRDefault="006331B2" w:rsidP="00F06396">
            <w:pPr>
              <w:numPr>
                <w:ilvl w:val="0"/>
                <w:numId w:val="15"/>
              </w:numPr>
              <w:spacing w:after="120"/>
              <w:ind w:left="357" w:hanging="357"/>
            </w:pPr>
            <w:r w:rsidRPr="000C6688">
              <w:t>number of languages information on payments and services are provided in;</w:t>
            </w:r>
          </w:p>
          <w:p w:rsidR="006331B2" w:rsidRPr="000C6688" w:rsidRDefault="006331B2" w:rsidP="00F06396">
            <w:pPr>
              <w:numPr>
                <w:ilvl w:val="0"/>
                <w:numId w:val="15"/>
              </w:numPr>
              <w:spacing w:after="120"/>
              <w:ind w:left="357" w:hanging="357"/>
            </w:pPr>
            <w:r w:rsidRPr="000C6688">
              <w:t>number of languages interpreter services are provided in;</w:t>
            </w:r>
          </w:p>
          <w:p w:rsidR="006331B2" w:rsidRPr="000C6688" w:rsidRDefault="006331B2" w:rsidP="00F06396">
            <w:pPr>
              <w:numPr>
                <w:ilvl w:val="0"/>
                <w:numId w:val="15"/>
              </w:numPr>
              <w:spacing w:after="120"/>
              <w:ind w:left="357" w:hanging="357"/>
            </w:pPr>
            <w:r w:rsidRPr="000C6688">
              <w:t>total amount of child support transferred between parents;</w:t>
            </w:r>
          </w:p>
          <w:p w:rsidR="006331B2" w:rsidRPr="000C6688" w:rsidRDefault="006331B2" w:rsidP="00F06396">
            <w:pPr>
              <w:numPr>
                <w:ilvl w:val="0"/>
                <w:numId w:val="15"/>
              </w:numPr>
              <w:spacing w:after="120"/>
              <w:ind w:left="357" w:hanging="357"/>
            </w:pPr>
            <w:r w:rsidRPr="000C6688">
              <w:t>number of multicultural services officers;</w:t>
            </w:r>
          </w:p>
          <w:p w:rsidR="006331B2" w:rsidRPr="000C6688" w:rsidRDefault="006331B2" w:rsidP="00F06396">
            <w:pPr>
              <w:numPr>
                <w:ilvl w:val="0"/>
                <w:numId w:val="15"/>
              </w:numPr>
              <w:spacing w:after="120"/>
              <w:ind w:left="357" w:hanging="357"/>
            </w:pPr>
            <w:r w:rsidRPr="000C6688">
              <w:t>number of access points that deliver self-help facilities;</w:t>
            </w:r>
          </w:p>
          <w:p w:rsidR="006331B2" w:rsidRPr="000C6688" w:rsidRDefault="006331B2" w:rsidP="00F06396">
            <w:pPr>
              <w:numPr>
                <w:ilvl w:val="0"/>
                <w:numId w:val="15"/>
              </w:numPr>
              <w:spacing w:after="120"/>
              <w:ind w:left="357" w:hanging="357"/>
            </w:pPr>
            <w:r w:rsidRPr="000C6688">
              <w:t>number of agents located in rural and remote c</w:t>
            </w:r>
            <w:r w:rsidR="00B62DBD">
              <w:t>ommunities that deliver face</w:t>
            </w:r>
            <w:r w:rsidR="00B62DBD">
              <w:noBreakHyphen/>
              <w:t>to</w:t>
            </w:r>
            <w:r w:rsidR="00B62DBD">
              <w:noBreakHyphen/>
            </w:r>
            <w:r w:rsidRPr="000C6688">
              <w:t>face services;</w:t>
            </w:r>
          </w:p>
          <w:p w:rsidR="006331B2" w:rsidRPr="000C6688" w:rsidRDefault="006331B2" w:rsidP="00F06396">
            <w:pPr>
              <w:numPr>
                <w:ilvl w:val="0"/>
                <w:numId w:val="15"/>
              </w:numPr>
              <w:spacing w:after="120"/>
              <w:ind w:left="357" w:hanging="357"/>
            </w:pPr>
            <w:r w:rsidRPr="000C6688">
              <w:t>number of Australian Government Mobile Offices which provide services in rural, remote and disaster affected communities;</w:t>
            </w:r>
          </w:p>
          <w:p w:rsidR="006331B2" w:rsidRPr="000C6688" w:rsidRDefault="006331B2" w:rsidP="00F06396">
            <w:pPr>
              <w:numPr>
                <w:ilvl w:val="0"/>
                <w:numId w:val="15"/>
              </w:numPr>
              <w:spacing w:after="120"/>
              <w:ind w:left="357" w:hanging="357"/>
            </w:pPr>
            <w:r w:rsidRPr="000C6688">
              <w:t>number of health and allied health professionals which include psychologists, social workers, occupational therapists, registered nurses, physiotherapists, exercise physiologists, rehabilitation counsellors;</w:t>
            </w:r>
          </w:p>
          <w:p w:rsidR="006331B2" w:rsidRPr="000C6688" w:rsidRDefault="006331B2" w:rsidP="00F06396">
            <w:pPr>
              <w:numPr>
                <w:ilvl w:val="0"/>
                <w:numId w:val="15"/>
              </w:numPr>
              <w:spacing w:after="120"/>
              <w:ind w:left="357" w:hanging="357"/>
            </w:pPr>
            <w:r w:rsidRPr="000C6688">
              <w:t>number of Local Connections to Work sites (these aim to connect individuals to community services under one roof);</w:t>
            </w:r>
          </w:p>
          <w:p w:rsidR="006331B2" w:rsidRPr="000C6688" w:rsidRDefault="006331B2" w:rsidP="00F06396">
            <w:pPr>
              <w:numPr>
                <w:ilvl w:val="0"/>
                <w:numId w:val="15"/>
              </w:numPr>
              <w:spacing w:after="120"/>
              <w:ind w:left="357" w:hanging="357"/>
            </w:pPr>
            <w:r w:rsidRPr="000C6688">
              <w:t>the number of case-coordination sites (these deliver specialist services for those who suffer from multiple disadvantage</w:t>
            </w:r>
            <w:r w:rsidR="00FD1B89">
              <w:t>s</w:t>
            </w:r>
            <w:r w:rsidRPr="000C6688">
              <w:t xml:space="preserve">); and, </w:t>
            </w:r>
          </w:p>
          <w:p w:rsidR="00340FD7" w:rsidRPr="008E4180" w:rsidRDefault="008B352F" w:rsidP="00F06396">
            <w:pPr>
              <w:numPr>
                <w:ilvl w:val="0"/>
                <w:numId w:val="15"/>
              </w:numPr>
              <w:spacing w:after="120"/>
              <w:ind w:left="357" w:hanging="357"/>
            </w:pPr>
            <w:r>
              <w:t xml:space="preserve">that </w:t>
            </w:r>
            <w:r w:rsidR="006331B2" w:rsidRPr="000C6688">
              <w:t>CRS Australia remains certified against the Disability Services Standards and other system accreditation requirements.</w:t>
            </w:r>
          </w:p>
        </w:tc>
      </w:tr>
    </w:tbl>
    <w:p w:rsidR="00340FD7" w:rsidRDefault="00340FD7" w:rsidP="003A3E20">
      <w:pPr>
        <w:pStyle w:val="SingleParagraph"/>
      </w:pPr>
    </w:p>
    <w:p w:rsidR="00340FD7" w:rsidRDefault="00340FD7" w:rsidP="003A3E20">
      <w:pPr>
        <w:pStyle w:val="TableGraphic"/>
        <w:rPr>
          <w:b/>
        </w:rPr>
      </w:pPr>
    </w:p>
    <w:p w:rsidR="00340FD7" w:rsidRDefault="00340FD7" w:rsidP="003A3E20">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340FD7" w:rsidTr="00171DEC">
        <w:trPr>
          <w:trHeight w:val="2141"/>
        </w:trPr>
        <w:tc>
          <w:tcPr>
            <w:tcW w:w="0" w:type="auto"/>
          </w:tcPr>
          <w:p w:rsidR="00985596" w:rsidRDefault="00340FD7" w:rsidP="00996001">
            <w:pPr>
              <w:pStyle w:val="TableColumnHeadingLeft"/>
            </w:pPr>
            <w:r>
              <w:rPr>
                <w:b w:val="0"/>
              </w:rPr>
              <w:br w:type="page"/>
            </w:r>
            <w:r>
              <w:rPr>
                <w:rFonts w:ascii="Book Antiqua" w:hAnsi="Book Antiqua"/>
                <w:b w:val="0"/>
              </w:rPr>
              <w:br w:type="page"/>
            </w:r>
            <w:r w:rsidR="00985596">
              <w:t xml:space="preserve">Program 1.1 Key Performance Indicators </w:t>
            </w:r>
          </w:p>
          <w:p w:rsidR="00340FD7" w:rsidRPr="008A1CB1" w:rsidRDefault="00A94A10" w:rsidP="00996001">
            <w:pPr>
              <w:pStyle w:val="Exampletextbullet"/>
              <w:numPr>
                <w:ilvl w:val="0"/>
                <w:numId w:val="0"/>
              </w:numPr>
              <w:jc w:val="left"/>
              <w:rPr>
                <w:rFonts w:cs="Arial"/>
                <w:bCs/>
                <w:i w:val="0"/>
                <w:color w:val="000000"/>
              </w:rPr>
            </w:pPr>
            <w:r>
              <w:rPr>
                <w:rFonts w:cs="Arial"/>
                <w:bCs/>
                <w:i w:val="0"/>
                <w:color w:val="000000"/>
              </w:rPr>
              <w:t>Should</w:t>
            </w:r>
            <w:r w:rsidR="00985596" w:rsidRPr="00650434">
              <w:rPr>
                <w:rFonts w:cs="Arial"/>
                <w:bCs/>
                <w:i w:val="0"/>
                <w:color w:val="000000"/>
              </w:rPr>
              <w:t xml:space="preserve"> the </w:t>
            </w:r>
            <w:r w:rsidR="005A1122">
              <w:rPr>
                <w:rFonts w:cs="Arial"/>
                <w:bCs/>
                <w:color w:val="000000"/>
              </w:rPr>
              <w:t xml:space="preserve">Human Services Legislation Amendment Bill 2011 </w:t>
            </w:r>
            <w:r>
              <w:rPr>
                <w:rFonts w:cs="Arial"/>
                <w:bCs/>
                <w:i w:val="0"/>
                <w:color w:val="000000"/>
              </w:rPr>
              <w:t>be passed and come into effect on 1 July 2011,</w:t>
            </w:r>
            <w:r w:rsidR="00985596" w:rsidRPr="00650434">
              <w:rPr>
                <w:rFonts w:cs="Arial"/>
                <w:bCs/>
                <w:i w:val="0"/>
                <w:color w:val="000000"/>
              </w:rPr>
              <w:t xml:space="preserve"> Centrelink and Medicare Australia</w:t>
            </w:r>
            <w:r w:rsidR="008A1CB1">
              <w:rPr>
                <w:rFonts w:cs="Arial"/>
                <w:bCs/>
                <w:i w:val="0"/>
                <w:color w:val="000000"/>
              </w:rPr>
              <w:t xml:space="preserve"> </w:t>
            </w:r>
            <w:r>
              <w:rPr>
                <w:rFonts w:cs="Arial"/>
                <w:bCs/>
                <w:i w:val="0"/>
                <w:color w:val="000000"/>
              </w:rPr>
              <w:t xml:space="preserve">would be integrated into </w:t>
            </w:r>
            <w:r w:rsidR="00985596" w:rsidRPr="00650434">
              <w:rPr>
                <w:rFonts w:cs="Arial"/>
                <w:bCs/>
                <w:i w:val="0"/>
                <w:color w:val="000000"/>
              </w:rPr>
              <w:t>the Department of Human Services from 1</w:t>
            </w:r>
            <w:r w:rsidR="00617D6B">
              <w:rPr>
                <w:rFonts w:cs="Arial"/>
                <w:bCs/>
                <w:i w:val="0"/>
                <w:color w:val="000000"/>
              </w:rPr>
              <w:t> </w:t>
            </w:r>
            <w:r w:rsidR="00985596" w:rsidRPr="00650434">
              <w:rPr>
                <w:rFonts w:cs="Arial"/>
                <w:bCs/>
                <w:i w:val="0"/>
                <w:color w:val="000000"/>
              </w:rPr>
              <w:t xml:space="preserve">July 2011.For the purposes of the 2011-12 Portfolio Budget Statements, the </w:t>
            </w:r>
            <w:r w:rsidR="005528B6">
              <w:rPr>
                <w:rFonts w:cs="Arial"/>
                <w:bCs/>
                <w:i w:val="0"/>
                <w:color w:val="000000"/>
              </w:rPr>
              <w:t>Department</w:t>
            </w:r>
            <w:r w:rsidR="005528B6" w:rsidRPr="00650434">
              <w:rPr>
                <w:rFonts w:cs="Arial"/>
                <w:bCs/>
                <w:i w:val="0"/>
                <w:color w:val="000000"/>
              </w:rPr>
              <w:t xml:space="preserve"> </w:t>
            </w:r>
            <w:r w:rsidR="00985596" w:rsidRPr="00650434">
              <w:rPr>
                <w:rFonts w:cs="Arial"/>
                <w:bCs/>
                <w:i w:val="0"/>
                <w:color w:val="000000"/>
              </w:rPr>
              <w:t xml:space="preserve">has moved </w:t>
            </w:r>
            <w:r w:rsidR="00985596" w:rsidRPr="00286202">
              <w:rPr>
                <w:rFonts w:cs="Arial"/>
                <w:bCs/>
                <w:i w:val="0"/>
                <w:color w:val="000000"/>
              </w:rPr>
              <w:t>fr</w:t>
            </w:r>
            <w:r w:rsidR="00985596" w:rsidRPr="00A80611">
              <w:rPr>
                <w:rFonts w:cs="Arial"/>
                <w:bCs/>
                <w:i w:val="0"/>
                <w:color w:val="000000"/>
              </w:rPr>
              <w:t xml:space="preserve">om </w:t>
            </w:r>
            <w:r w:rsidR="008A1CB1" w:rsidRPr="00A80611">
              <w:rPr>
                <w:rFonts w:cs="Arial"/>
                <w:bCs/>
                <w:i w:val="0"/>
                <w:color w:val="000000"/>
              </w:rPr>
              <w:t>specific Key Performance Indicators (KPIs) for DHS, Medicare Austr</w:t>
            </w:r>
            <w:r w:rsidR="00A80611">
              <w:rPr>
                <w:rFonts w:cs="Arial"/>
                <w:bCs/>
                <w:i w:val="0"/>
                <w:color w:val="000000"/>
              </w:rPr>
              <w:t xml:space="preserve">alia and Centrelink to </w:t>
            </w:r>
            <w:r w:rsidR="008A1CB1" w:rsidRPr="00A80611">
              <w:rPr>
                <w:rFonts w:cs="Arial"/>
                <w:bCs/>
                <w:i w:val="0"/>
                <w:color w:val="000000"/>
              </w:rPr>
              <w:t>one set of KPIs for the integrated department</w:t>
            </w:r>
            <w:r w:rsidR="00A80611">
              <w:rPr>
                <w:rFonts w:cs="Arial"/>
                <w:bCs/>
                <w:i w:val="0"/>
                <w:color w:val="000000"/>
              </w:rPr>
              <w:t>.</w:t>
            </w:r>
            <w:r w:rsidR="00985596" w:rsidRPr="00650434">
              <w:rPr>
                <w:rFonts w:cs="Arial"/>
                <w:bCs/>
                <w:i w:val="0"/>
                <w:color w:val="000000"/>
              </w:rPr>
              <w:t xml:space="preserve"> This reflects the potential passage of the </w:t>
            </w:r>
            <w:r w:rsidR="00985596" w:rsidRPr="00650434">
              <w:rPr>
                <w:rFonts w:cs="Arial"/>
                <w:bCs/>
                <w:color w:val="000000"/>
              </w:rPr>
              <w:t>Human Services Legislation Amendment Bil</w:t>
            </w:r>
            <w:r w:rsidR="00FC673C">
              <w:rPr>
                <w:rFonts w:cs="Arial"/>
                <w:bCs/>
                <w:color w:val="000000"/>
              </w:rPr>
              <w:t>l </w:t>
            </w:r>
            <w:r w:rsidR="00985596" w:rsidRPr="00650434">
              <w:rPr>
                <w:rFonts w:cs="Arial"/>
                <w:bCs/>
                <w:color w:val="000000"/>
              </w:rPr>
              <w:t>201</w:t>
            </w:r>
            <w:r w:rsidR="00FC673C">
              <w:rPr>
                <w:rFonts w:cs="Arial"/>
                <w:bCs/>
                <w:color w:val="000000"/>
              </w:rPr>
              <w:t>1</w:t>
            </w:r>
            <w:r w:rsidR="00985596" w:rsidRPr="00650434">
              <w:rPr>
                <w:rFonts w:cs="Arial"/>
                <w:bCs/>
                <w:i w:val="0"/>
                <w:color w:val="000000"/>
              </w:rPr>
              <w:t xml:space="preserve">. At a high level, the </w:t>
            </w:r>
            <w:r w:rsidR="005528B6">
              <w:rPr>
                <w:rFonts w:cs="Arial"/>
                <w:bCs/>
                <w:i w:val="0"/>
                <w:color w:val="000000"/>
              </w:rPr>
              <w:t>Department’s</w:t>
            </w:r>
            <w:r w:rsidR="005528B6" w:rsidRPr="00650434">
              <w:rPr>
                <w:rFonts w:cs="Arial"/>
                <w:bCs/>
                <w:i w:val="0"/>
                <w:color w:val="000000"/>
              </w:rPr>
              <w:t xml:space="preserve"> </w:t>
            </w:r>
            <w:r w:rsidR="00985596" w:rsidRPr="00650434">
              <w:rPr>
                <w:rFonts w:cs="Arial"/>
                <w:bCs/>
                <w:i w:val="0"/>
                <w:color w:val="000000"/>
              </w:rPr>
              <w:t xml:space="preserve">performance </w:t>
            </w:r>
            <w:r w:rsidR="008B352F">
              <w:rPr>
                <w:rFonts w:cs="Arial"/>
                <w:bCs/>
                <w:i w:val="0"/>
                <w:color w:val="000000"/>
              </w:rPr>
              <w:t>will be</w:t>
            </w:r>
            <w:r w:rsidR="00985596" w:rsidRPr="00650434">
              <w:rPr>
                <w:rFonts w:cs="Arial"/>
                <w:bCs/>
                <w:i w:val="0"/>
                <w:color w:val="000000"/>
              </w:rPr>
              <w:t xml:space="preserve"> demonstrated through:</w:t>
            </w:r>
          </w:p>
        </w:tc>
      </w:tr>
    </w:tbl>
    <w:p w:rsidR="005E3F96" w:rsidRDefault="005E3F96" w:rsidP="003D3E3B">
      <w:pPr>
        <w:pStyle w:val="TableGraphic"/>
      </w:pPr>
    </w:p>
    <w:tbl>
      <w:tblPr>
        <w:tblW w:w="0" w:type="auto"/>
        <w:tblInd w:w="78" w:type="dxa"/>
        <w:tblLayout w:type="fixed"/>
        <w:tblLook w:val="0000" w:firstRow="0" w:lastRow="0" w:firstColumn="0" w:lastColumn="0" w:noHBand="0" w:noVBand="0"/>
      </w:tblPr>
      <w:tblGrid>
        <w:gridCol w:w="2868"/>
        <w:gridCol w:w="892"/>
        <w:gridCol w:w="892"/>
        <w:gridCol w:w="909"/>
        <w:gridCol w:w="909"/>
        <w:gridCol w:w="909"/>
      </w:tblGrid>
      <w:tr w:rsidR="006F548E" w:rsidTr="006F548E">
        <w:trPr>
          <w:trHeight w:val="216"/>
        </w:trPr>
        <w:tc>
          <w:tcPr>
            <w:tcW w:w="2868" w:type="dxa"/>
            <w:tcBorders>
              <w:top w:val="single" w:sz="2" w:space="0" w:color="auto"/>
              <w:left w:val="nil"/>
              <w:bottom w:val="nil"/>
              <w:right w:val="nil"/>
            </w:tcBorders>
          </w:tcPr>
          <w:p w:rsidR="006F548E" w:rsidRDefault="006F548E">
            <w:pPr>
              <w:autoSpaceDE w:val="0"/>
              <w:autoSpaceDN w:val="0"/>
              <w:adjustRightInd w:val="0"/>
              <w:spacing w:after="0" w:line="240" w:lineRule="auto"/>
              <w:jc w:val="center"/>
              <w:rPr>
                <w:rFonts w:ascii="Arial" w:hAnsi="Arial" w:cs="Arial"/>
                <w:b/>
                <w:bCs/>
                <w:color w:val="000000"/>
                <w:sz w:val="16"/>
                <w:szCs w:val="16"/>
              </w:rPr>
            </w:pPr>
            <w:bookmarkStart w:id="38" w:name="_Toc190682315"/>
            <w:bookmarkStart w:id="39" w:name="_Toc190682532"/>
            <w:bookmarkEnd w:id="32"/>
            <w:bookmarkEnd w:id="33"/>
          </w:p>
        </w:tc>
        <w:tc>
          <w:tcPr>
            <w:tcW w:w="892"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2010-11</w:t>
            </w:r>
          </w:p>
        </w:tc>
        <w:tc>
          <w:tcPr>
            <w:tcW w:w="892" w:type="dxa"/>
            <w:tcBorders>
              <w:top w:val="single" w:sz="2" w:space="0" w:color="auto"/>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2011-12</w:t>
            </w:r>
          </w:p>
        </w:tc>
        <w:tc>
          <w:tcPr>
            <w:tcW w:w="909"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2012-13</w:t>
            </w:r>
          </w:p>
        </w:tc>
        <w:tc>
          <w:tcPr>
            <w:tcW w:w="909"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2013-14</w:t>
            </w:r>
          </w:p>
        </w:tc>
        <w:tc>
          <w:tcPr>
            <w:tcW w:w="909"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2014-15</w:t>
            </w:r>
          </w:p>
        </w:tc>
      </w:tr>
      <w:tr w:rsidR="006F548E" w:rsidTr="006F548E">
        <w:trPr>
          <w:trHeight w:val="216"/>
        </w:trPr>
        <w:tc>
          <w:tcPr>
            <w:tcW w:w="2868"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Key Performance</w:t>
            </w:r>
          </w:p>
        </w:tc>
        <w:tc>
          <w:tcPr>
            <w:tcW w:w="892"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Revised</w:t>
            </w: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tc>
      </w:tr>
      <w:tr w:rsidR="006F548E" w:rsidTr="006F548E">
        <w:trPr>
          <w:trHeight w:val="216"/>
        </w:trPr>
        <w:tc>
          <w:tcPr>
            <w:tcW w:w="2868" w:type="dxa"/>
            <w:tcBorders>
              <w:top w:val="nil"/>
              <w:left w:val="nil"/>
              <w:bottom w:val="single" w:sz="2" w:space="0" w:color="auto"/>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Indicators</w:t>
            </w:r>
          </w:p>
        </w:tc>
        <w:tc>
          <w:tcPr>
            <w:tcW w:w="892" w:type="dxa"/>
            <w:tcBorders>
              <w:top w:val="nil"/>
              <w:left w:val="nil"/>
              <w:bottom w:val="single" w:sz="2" w:space="0" w:color="auto"/>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tc>
        <w:tc>
          <w:tcPr>
            <w:tcW w:w="892" w:type="dxa"/>
            <w:tcBorders>
              <w:top w:val="nil"/>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909" w:type="dxa"/>
            <w:tcBorders>
              <w:top w:val="nil"/>
              <w:left w:val="nil"/>
              <w:bottom w:val="single" w:sz="2" w:space="0" w:color="auto"/>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1</w:t>
            </w:r>
          </w:p>
        </w:tc>
        <w:tc>
          <w:tcPr>
            <w:tcW w:w="909" w:type="dxa"/>
            <w:tcBorders>
              <w:top w:val="nil"/>
              <w:left w:val="nil"/>
              <w:bottom w:val="single" w:sz="2" w:space="0" w:color="auto"/>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2</w:t>
            </w:r>
          </w:p>
        </w:tc>
        <w:tc>
          <w:tcPr>
            <w:tcW w:w="909" w:type="dxa"/>
            <w:tcBorders>
              <w:top w:val="nil"/>
              <w:left w:val="nil"/>
              <w:bottom w:val="single" w:sz="2" w:space="0" w:color="auto"/>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3</w:t>
            </w:r>
          </w:p>
        </w:tc>
      </w:tr>
      <w:tr w:rsidR="006F548E" w:rsidTr="006F548E">
        <w:trPr>
          <w:trHeight w:val="85"/>
        </w:trPr>
        <w:tc>
          <w:tcPr>
            <w:tcW w:w="286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9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921"/>
        </w:trPr>
        <w:tc>
          <w:tcPr>
            <w:tcW w:w="2868"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Minister is satisfied with the quality, relevance and timeliness of ministerial briefing, correspondence and other departmental advice.</w:t>
            </w:r>
          </w:p>
        </w:tc>
        <w:tc>
          <w:tcPr>
            <w:tcW w:w="892"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Satisfied</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Satisfied</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Satisfied</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Satisfied</w:t>
            </w:r>
          </w:p>
        </w:tc>
      </w:tr>
      <w:tr w:rsidR="006F548E" w:rsidTr="006F548E">
        <w:trPr>
          <w:trHeight w:val="56"/>
        </w:trPr>
        <w:tc>
          <w:tcPr>
            <w:tcW w:w="286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92"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r>
      <w:tr w:rsidR="006F548E" w:rsidTr="006F548E">
        <w:trPr>
          <w:trHeight w:val="1326"/>
        </w:trPr>
        <w:tc>
          <w:tcPr>
            <w:tcW w:w="2868"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Effective working arrangements with other government departments are in place which support the department’s contribution to policy development through service delivery policy advice.</w:t>
            </w:r>
          </w:p>
        </w:tc>
        <w:tc>
          <w:tcPr>
            <w:tcW w:w="892"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Effective</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Effective</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Effective</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Effective</w:t>
            </w:r>
          </w:p>
        </w:tc>
      </w:tr>
      <w:tr w:rsidR="006F548E" w:rsidTr="006F548E">
        <w:trPr>
          <w:trHeight w:val="56"/>
        </w:trPr>
        <w:tc>
          <w:tcPr>
            <w:tcW w:w="286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92"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r>
      <w:tr w:rsidR="006F548E" w:rsidTr="006F548E">
        <w:trPr>
          <w:trHeight w:val="432"/>
        </w:trPr>
        <w:tc>
          <w:tcPr>
            <w:tcW w:w="2868"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Key initiatives delivered within timeframes and on budget.</w:t>
            </w:r>
          </w:p>
        </w:tc>
        <w:tc>
          <w:tcPr>
            <w:tcW w:w="892"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All</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All</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All</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All</w:t>
            </w:r>
          </w:p>
        </w:tc>
      </w:tr>
      <w:tr w:rsidR="006F548E" w:rsidTr="006F548E">
        <w:trPr>
          <w:trHeight w:val="56"/>
        </w:trPr>
        <w:tc>
          <w:tcPr>
            <w:tcW w:w="286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92"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r>
      <w:tr w:rsidR="006F548E" w:rsidTr="006F548E">
        <w:trPr>
          <w:trHeight w:val="432"/>
        </w:trPr>
        <w:tc>
          <w:tcPr>
            <w:tcW w:w="2868"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Achievement of payment quality standards.</w:t>
            </w:r>
          </w:p>
        </w:tc>
        <w:tc>
          <w:tcPr>
            <w:tcW w:w="892"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6F548E" w:rsidTr="006F548E">
        <w:trPr>
          <w:trHeight w:val="56"/>
        </w:trPr>
        <w:tc>
          <w:tcPr>
            <w:tcW w:w="286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92"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r>
      <w:tr w:rsidR="006F548E" w:rsidTr="006F548E">
        <w:trPr>
          <w:trHeight w:val="432"/>
        </w:trPr>
        <w:tc>
          <w:tcPr>
            <w:tcW w:w="2868"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Achievement of customer satisfaction standards.</w:t>
            </w:r>
          </w:p>
        </w:tc>
        <w:tc>
          <w:tcPr>
            <w:tcW w:w="892"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6F548E" w:rsidTr="006F548E">
        <w:trPr>
          <w:trHeight w:val="56"/>
        </w:trPr>
        <w:tc>
          <w:tcPr>
            <w:tcW w:w="286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92"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r>
      <w:tr w:rsidR="006F548E" w:rsidTr="006F548E">
        <w:trPr>
          <w:trHeight w:val="691"/>
        </w:trPr>
        <w:tc>
          <w:tcPr>
            <w:tcW w:w="2868"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Increase in the proportion of transactions completed through electronic channels.</w:t>
            </w:r>
          </w:p>
        </w:tc>
        <w:tc>
          <w:tcPr>
            <w:tcW w:w="892"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Increase</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Increase</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Increase</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Increase</w:t>
            </w:r>
          </w:p>
        </w:tc>
      </w:tr>
      <w:tr w:rsidR="006F548E" w:rsidTr="006F548E">
        <w:trPr>
          <w:trHeight w:val="56"/>
        </w:trPr>
        <w:tc>
          <w:tcPr>
            <w:tcW w:w="286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92"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r>
      <w:tr w:rsidR="006F548E" w:rsidTr="006F548E">
        <w:trPr>
          <w:trHeight w:val="1239"/>
        </w:trPr>
        <w:tc>
          <w:tcPr>
            <w:tcW w:w="2868"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Support economic and social participation of Indigenous Australians through the timely delivery of appropriate departmental payments and services.</w:t>
            </w:r>
          </w:p>
        </w:tc>
        <w:tc>
          <w:tcPr>
            <w:tcW w:w="892"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Baselining</w:t>
            </w:r>
          </w:p>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 2011-12</w:t>
            </w:r>
          </w:p>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Note: Baselining</w:t>
            </w:r>
          </w:p>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 2011-12</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Note: Baselining</w:t>
            </w:r>
          </w:p>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 2011-12</w:t>
            </w:r>
          </w:p>
        </w:tc>
        <w:tc>
          <w:tcPr>
            <w:tcW w:w="909"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Note: Baselining</w:t>
            </w:r>
          </w:p>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 2011-12</w:t>
            </w:r>
          </w:p>
        </w:tc>
      </w:tr>
      <w:tr w:rsidR="006F548E" w:rsidTr="006F548E">
        <w:trPr>
          <w:trHeight w:val="56"/>
        </w:trPr>
        <w:tc>
          <w:tcPr>
            <w:tcW w:w="286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92"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892"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90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r>
      <w:tr w:rsidR="006F548E" w:rsidTr="006F548E">
        <w:trPr>
          <w:trHeight w:val="1139"/>
        </w:trPr>
        <w:tc>
          <w:tcPr>
            <w:tcW w:w="2868" w:type="dxa"/>
            <w:tcBorders>
              <w:top w:val="nil"/>
              <w:left w:val="nil"/>
              <w:bottom w:val="single" w:sz="2" w:space="0" w:color="auto"/>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CRS Australia to maximise workforce participation rates for Government at or above the market average for job seekers that remain in employment for 13 weeks.</w:t>
            </w:r>
          </w:p>
        </w:tc>
        <w:tc>
          <w:tcPr>
            <w:tcW w:w="892" w:type="dxa"/>
            <w:tcBorders>
              <w:top w:val="nil"/>
              <w:left w:val="nil"/>
              <w:bottom w:val="single" w:sz="2" w:space="0" w:color="auto"/>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92" w:type="dxa"/>
            <w:tcBorders>
              <w:top w:val="nil"/>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909" w:type="dxa"/>
            <w:tcBorders>
              <w:top w:val="nil"/>
              <w:left w:val="nil"/>
              <w:bottom w:val="single" w:sz="2" w:space="0" w:color="auto"/>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909" w:type="dxa"/>
            <w:tcBorders>
              <w:top w:val="nil"/>
              <w:left w:val="nil"/>
              <w:bottom w:val="single" w:sz="2" w:space="0" w:color="auto"/>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909" w:type="dxa"/>
            <w:tcBorders>
              <w:top w:val="nil"/>
              <w:left w:val="nil"/>
              <w:bottom w:val="single" w:sz="2" w:space="0" w:color="auto"/>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r>
    </w:tbl>
    <w:p w:rsidR="00D26BA1" w:rsidRDefault="00D26BA1" w:rsidP="003D3E3B">
      <w:pPr>
        <w:pStyle w:val="TableGraphic"/>
      </w:pPr>
      <w:r>
        <w:rPr>
          <w:b/>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596"/>
      </w:tblGrid>
      <w:tr w:rsidR="00D26BA1" w:rsidTr="00531B44">
        <w:tc>
          <w:tcPr>
            <w:tcW w:w="7713" w:type="dxa"/>
            <w:shd w:val="clear" w:color="auto" w:fill="E6E6E6"/>
          </w:tcPr>
          <w:p w:rsidR="00D26BA1" w:rsidRDefault="00D26BA1" w:rsidP="00531B44">
            <w:pPr>
              <w:pStyle w:val="TableColumnHeadingLeft"/>
            </w:pPr>
            <w:r>
              <w:br w:type="page"/>
              <w:t>Program 1.2: Child Support</w:t>
            </w:r>
          </w:p>
        </w:tc>
      </w:tr>
    </w:tbl>
    <w:p w:rsidR="00D26BA1" w:rsidRDefault="00D26BA1" w:rsidP="00D26BA1">
      <w:pPr>
        <w:pStyle w:val="TableColumnHeadingLef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D26BA1" w:rsidTr="00F6678A">
        <w:tc>
          <w:tcPr>
            <w:tcW w:w="7711" w:type="dxa"/>
            <w:shd w:val="clear" w:color="auto" w:fill="auto"/>
          </w:tcPr>
          <w:p w:rsidR="00D26BA1" w:rsidRDefault="00D26BA1" w:rsidP="00531B44">
            <w:pPr>
              <w:pStyle w:val="TableColumnHeadingLeft"/>
            </w:pPr>
            <w:r>
              <w:t>Program</w:t>
            </w:r>
            <w:r w:rsidR="00B2493C">
              <w:t xml:space="preserve"> 1.2</w:t>
            </w:r>
            <w:r>
              <w:t xml:space="preserve"> </w:t>
            </w:r>
            <w:r w:rsidR="00B2493C">
              <w:t>O</w:t>
            </w:r>
            <w:r>
              <w:t>bjective</w:t>
            </w:r>
          </w:p>
          <w:p w:rsidR="00D26BA1" w:rsidRPr="00F6678A" w:rsidRDefault="00F5773D" w:rsidP="00F6678A">
            <w:pPr>
              <w:pStyle w:val="TableTextLeft"/>
              <w:numPr>
                <w:ilvl w:val="0"/>
                <w:numId w:val="16"/>
              </w:numPr>
              <w:rPr>
                <w:rFonts w:ascii="Book Antiqua" w:hAnsi="Book Antiqua"/>
                <w:sz w:val="20"/>
              </w:rPr>
            </w:pPr>
            <w:r w:rsidRPr="00F6678A">
              <w:rPr>
                <w:rFonts w:ascii="Book Antiqua" w:hAnsi="Book Antiqua"/>
                <w:sz w:val="20"/>
              </w:rPr>
              <w:t>The Child Support Program is designed to ensure that both parents contribute to the cost of their children, according to their capacity. The scheme is expected to transfer $3.</w:t>
            </w:r>
            <w:r w:rsidR="00B6500E" w:rsidRPr="00F6678A">
              <w:rPr>
                <w:rFonts w:ascii="Book Antiqua" w:hAnsi="Book Antiqua"/>
                <w:sz w:val="20"/>
              </w:rPr>
              <w:t>1</w:t>
            </w:r>
            <w:r w:rsidRPr="00F6678A">
              <w:rPr>
                <w:rFonts w:ascii="Book Antiqua" w:hAnsi="Book Antiqua"/>
                <w:sz w:val="20"/>
              </w:rPr>
              <w:t xml:space="preserve"> billion between parents for the benefits of approximately 1.2 million children in 201</w:t>
            </w:r>
            <w:r w:rsidR="00B6500E" w:rsidRPr="00F6678A">
              <w:rPr>
                <w:rFonts w:ascii="Book Antiqua" w:hAnsi="Book Antiqua"/>
                <w:sz w:val="20"/>
              </w:rPr>
              <w:t>1</w:t>
            </w:r>
            <w:r w:rsidRPr="00F6678A">
              <w:rPr>
                <w:rFonts w:ascii="Book Antiqua" w:hAnsi="Book Antiqua"/>
                <w:sz w:val="20"/>
              </w:rPr>
              <w:t>-1</w:t>
            </w:r>
            <w:r w:rsidR="00B6500E" w:rsidRPr="00F6678A">
              <w:rPr>
                <w:rFonts w:ascii="Book Antiqua" w:hAnsi="Book Antiqua"/>
                <w:sz w:val="20"/>
              </w:rPr>
              <w:t>2</w:t>
            </w:r>
            <w:r w:rsidRPr="00F6678A">
              <w:rPr>
                <w:rFonts w:ascii="Book Antiqua" w:hAnsi="Book Antiqua"/>
                <w:sz w:val="20"/>
              </w:rPr>
              <w:t xml:space="preserve">. </w:t>
            </w:r>
          </w:p>
        </w:tc>
      </w:tr>
    </w:tbl>
    <w:p w:rsidR="00D26BA1" w:rsidRPr="00E52E19" w:rsidRDefault="00D26BA1" w:rsidP="00D26BA1">
      <w:pPr>
        <w:spacing w:after="0"/>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D26BA1" w:rsidRPr="00F6678A" w:rsidTr="00F6678A">
        <w:tc>
          <w:tcPr>
            <w:tcW w:w="7740" w:type="dxa"/>
            <w:shd w:val="clear" w:color="auto" w:fill="auto"/>
          </w:tcPr>
          <w:p w:rsidR="00D26BA1" w:rsidRDefault="00D26BA1" w:rsidP="00F6678A">
            <w:pPr>
              <w:pStyle w:val="TableColumnHeadingLeft"/>
              <w:jc w:val="both"/>
            </w:pPr>
            <w:r>
              <w:t xml:space="preserve">Program </w:t>
            </w:r>
            <w:r w:rsidR="00B2493C">
              <w:t>1.2 E</w:t>
            </w:r>
            <w:r>
              <w:t>xpenses</w:t>
            </w:r>
          </w:p>
          <w:p w:rsidR="00D26BA1" w:rsidRPr="00F6678A" w:rsidRDefault="00F5773D" w:rsidP="00F6678A">
            <w:pPr>
              <w:pStyle w:val="TableTextLeft"/>
              <w:numPr>
                <w:ilvl w:val="0"/>
                <w:numId w:val="16"/>
              </w:numPr>
              <w:rPr>
                <w:sz w:val="20"/>
              </w:rPr>
            </w:pPr>
            <w:r w:rsidRPr="00F6678A">
              <w:rPr>
                <w:rFonts w:ascii="Book Antiqua" w:hAnsi="Book Antiqua"/>
                <w:sz w:val="20"/>
              </w:rPr>
              <w:t>Movement in program expenses across the forward years is due to increases in amounts of child support being transferred between parents.</w:t>
            </w:r>
            <w:r w:rsidRPr="00394BDE">
              <w:t xml:space="preserve"> </w:t>
            </w:r>
          </w:p>
        </w:tc>
      </w:tr>
    </w:tbl>
    <w:p w:rsidR="00BF4C02" w:rsidRDefault="00BF4C02" w:rsidP="00BF4C02">
      <w:pPr>
        <w:pStyle w:val="TableHeading"/>
        <w:jc w:val="both"/>
      </w:pPr>
      <w:r>
        <w:t>Program</w:t>
      </w:r>
      <w:r w:rsidR="00B2493C">
        <w:t xml:space="preserve"> 1.2</w:t>
      </w:r>
      <w:r>
        <w:t xml:space="preserve"> Expenses</w:t>
      </w:r>
    </w:p>
    <w:tbl>
      <w:tblPr>
        <w:tblW w:w="0" w:type="auto"/>
        <w:tblInd w:w="78" w:type="dxa"/>
        <w:tblLayout w:type="fixed"/>
        <w:tblLook w:val="0000" w:firstRow="0" w:lastRow="0" w:firstColumn="0" w:lastColumn="0" w:noHBand="0" w:noVBand="0"/>
      </w:tblPr>
      <w:tblGrid>
        <w:gridCol w:w="3227"/>
        <w:gridCol w:w="856"/>
        <w:gridCol w:w="855"/>
        <w:gridCol w:w="921"/>
        <w:gridCol w:w="920"/>
        <w:gridCol w:w="921"/>
      </w:tblGrid>
      <w:tr w:rsidR="006F548E" w:rsidTr="006F548E">
        <w:trPr>
          <w:trHeight w:val="215"/>
        </w:trPr>
        <w:tc>
          <w:tcPr>
            <w:tcW w:w="3227"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b/>
                <w:bCs/>
                <w:color w:val="000000"/>
                <w:sz w:val="16"/>
                <w:szCs w:val="16"/>
              </w:rPr>
            </w:pPr>
          </w:p>
        </w:tc>
        <w:tc>
          <w:tcPr>
            <w:tcW w:w="856"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2010-11</w:t>
            </w:r>
          </w:p>
        </w:tc>
        <w:tc>
          <w:tcPr>
            <w:tcW w:w="855" w:type="dxa"/>
            <w:tcBorders>
              <w:top w:val="single" w:sz="2" w:space="0" w:color="auto"/>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21"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20"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21"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r>
      <w:tr w:rsidR="006F548E" w:rsidTr="006F548E">
        <w:trPr>
          <w:trHeight w:val="215"/>
        </w:trPr>
        <w:tc>
          <w:tcPr>
            <w:tcW w:w="3227"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p>
        </w:tc>
        <w:tc>
          <w:tcPr>
            <w:tcW w:w="85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855"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20"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6F548E" w:rsidTr="006F548E">
        <w:trPr>
          <w:trHeight w:val="215"/>
        </w:trPr>
        <w:tc>
          <w:tcPr>
            <w:tcW w:w="3227"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p>
        </w:tc>
        <w:tc>
          <w:tcPr>
            <w:tcW w:w="85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855"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1</w:t>
            </w:r>
          </w:p>
        </w:tc>
        <w:tc>
          <w:tcPr>
            <w:tcW w:w="920"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2</w:t>
            </w: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3</w:t>
            </w:r>
          </w:p>
        </w:tc>
      </w:tr>
      <w:tr w:rsidR="006F548E" w:rsidTr="006F548E">
        <w:trPr>
          <w:trHeight w:val="215"/>
        </w:trPr>
        <w:tc>
          <w:tcPr>
            <w:tcW w:w="3227"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56"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5" w:type="dxa"/>
            <w:tcBorders>
              <w:top w:val="nil"/>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1"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0"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1"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6F548E" w:rsidTr="006F548E">
        <w:trPr>
          <w:trHeight w:val="215"/>
        </w:trPr>
        <w:tc>
          <w:tcPr>
            <w:tcW w:w="3227"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administered expenses:</w:t>
            </w:r>
          </w:p>
        </w:tc>
        <w:tc>
          <w:tcPr>
            <w:tcW w:w="85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460"/>
        </w:trPr>
        <w:tc>
          <w:tcPr>
            <w:tcW w:w="3227" w:type="dxa"/>
            <w:gridSpan w:val="2"/>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Child Support dishonoured cheques and other shortfalls</w:t>
            </w:r>
          </w:p>
        </w:tc>
        <w:tc>
          <w:tcPr>
            <w:tcW w:w="855"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1,547</w:t>
            </w: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1,596</w:t>
            </w:r>
          </w:p>
        </w:tc>
        <w:tc>
          <w:tcPr>
            <w:tcW w:w="920"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1,636</w:t>
            </w: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1,677</w:t>
            </w:r>
          </w:p>
        </w:tc>
      </w:tr>
      <w:tr w:rsidR="006F548E" w:rsidTr="006F548E">
        <w:trPr>
          <w:trHeight w:val="215"/>
        </w:trPr>
        <w:tc>
          <w:tcPr>
            <w:tcW w:w="3227"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85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503"/>
        </w:trPr>
        <w:tc>
          <w:tcPr>
            <w:tcW w:w="3227" w:type="dxa"/>
            <w:gridSpan w:val="2"/>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Child Support s77 - unremitted deductions</w:t>
            </w:r>
          </w:p>
        </w:tc>
        <w:tc>
          <w:tcPr>
            <w:tcW w:w="855"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77,325</w:t>
            </w: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79,750</w:t>
            </w:r>
          </w:p>
        </w:tc>
        <w:tc>
          <w:tcPr>
            <w:tcW w:w="920"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81,745</w:t>
            </w: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83,790</w:t>
            </w:r>
          </w:p>
        </w:tc>
      </w:tr>
      <w:tr w:rsidR="006F548E" w:rsidTr="006F548E">
        <w:trPr>
          <w:trHeight w:val="503"/>
        </w:trPr>
        <w:tc>
          <w:tcPr>
            <w:tcW w:w="3227" w:type="dxa"/>
            <w:gridSpan w:val="2"/>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Child Support s77 - unexplained remittance</w:t>
            </w:r>
          </w:p>
        </w:tc>
        <w:tc>
          <w:tcPr>
            <w:tcW w:w="855"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20"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6F548E" w:rsidTr="006F548E">
        <w:trPr>
          <w:trHeight w:val="215"/>
        </w:trPr>
        <w:tc>
          <w:tcPr>
            <w:tcW w:w="3227"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Account Expenses: </w:t>
            </w:r>
          </w:p>
        </w:tc>
        <w:tc>
          <w:tcPr>
            <w:tcW w:w="85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15"/>
        </w:trPr>
        <w:tc>
          <w:tcPr>
            <w:tcW w:w="3227"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Child Support Account</w:t>
            </w:r>
          </w:p>
        </w:tc>
        <w:tc>
          <w:tcPr>
            <w:tcW w:w="85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1,078,476</w:t>
            </w:r>
          </w:p>
        </w:tc>
        <w:tc>
          <w:tcPr>
            <w:tcW w:w="855"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1,130,636</w:t>
            </w: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1,166,822</w:t>
            </w:r>
          </w:p>
        </w:tc>
        <w:tc>
          <w:tcPr>
            <w:tcW w:w="920"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1,196,586</w:t>
            </w: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1,227,093</w:t>
            </w:r>
          </w:p>
        </w:tc>
      </w:tr>
      <w:tr w:rsidR="006F548E" w:rsidTr="006F548E">
        <w:trPr>
          <w:trHeight w:val="215"/>
        </w:trPr>
        <w:tc>
          <w:tcPr>
            <w:tcW w:w="3227"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Expenses not requiring appropriation in</w:t>
            </w:r>
          </w:p>
        </w:tc>
        <w:tc>
          <w:tcPr>
            <w:tcW w:w="85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55"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88"/>
        </w:trPr>
        <w:tc>
          <w:tcPr>
            <w:tcW w:w="3227"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the Budget year </w:t>
            </w:r>
            <w:r>
              <w:rPr>
                <w:rFonts w:ascii="Arial" w:hAnsi="Arial" w:cs="Arial"/>
                <w:color w:val="000000"/>
                <w:sz w:val="16"/>
                <w:szCs w:val="16"/>
                <w:vertAlign w:val="superscript"/>
              </w:rPr>
              <w:t>1</w:t>
            </w:r>
          </w:p>
        </w:tc>
        <w:tc>
          <w:tcPr>
            <w:tcW w:w="85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125,377</w:t>
            </w:r>
          </w:p>
        </w:tc>
        <w:tc>
          <w:tcPr>
            <w:tcW w:w="855"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115,652</w:t>
            </w: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118,529</w:t>
            </w:r>
          </w:p>
        </w:tc>
        <w:tc>
          <w:tcPr>
            <w:tcW w:w="920"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120,894</w:t>
            </w:r>
          </w:p>
        </w:tc>
        <w:tc>
          <w:tcPr>
            <w:tcW w:w="92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123,319</w:t>
            </w:r>
          </w:p>
        </w:tc>
      </w:tr>
      <w:tr w:rsidR="006F548E" w:rsidTr="006F548E">
        <w:trPr>
          <w:trHeight w:val="215"/>
        </w:trPr>
        <w:tc>
          <w:tcPr>
            <w:tcW w:w="3227" w:type="dxa"/>
            <w:tcBorders>
              <w:top w:val="nil"/>
              <w:left w:val="nil"/>
              <w:bottom w:val="single" w:sz="2" w:space="0" w:color="auto"/>
              <w:right w:val="nil"/>
            </w:tcBorders>
          </w:tcPr>
          <w:p w:rsidR="006F548E" w:rsidRDefault="006F548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program expenses </w:t>
            </w:r>
          </w:p>
        </w:tc>
        <w:tc>
          <w:tcPr>
            <w:tcW w:w="856"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1,280,086</w:t>
            </w:r>
          </w:p>
        </w:tc>
        <w:tc>
          <w:tcPr>
            <w:tcW w:w="855" w:type="dxa"/>
            <w:tcBorders>
              <w:top w:val="single" w:sz="2" w:space="0" w:color="auto"/>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1,325,210</w:t>
            </w:r>
          </w:p>
        </w:tc>
        <w:tc>
          <w:tcPr>
            <w:tcW w:w="921"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1,366,747</w:t>
            </w:r>
          </w:p>
        </w:tc>
        <w:tc>
          <w:tcPr>
            <w:tcW w:w="920"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1,400,911</w:t>
            </w:r>
          </w:p>
        </w:tc>
        <w:tc>
          <w:tcPr>
            <w:tcW w:w="921"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1,435,929</w:t>
            </w:r>
          </w:p>
        </w:tc>
      </w:tr>
    </w:tbl>
    <w:p w:rsidR="00EC23A3" w:rsidRDefault="00EC23A3" w:rsidP="00EC23A3">
      <w:pPr>
        <w:pStyle w:val="ChartandTableFootnote"/>
        <w:ind w:left="0" w:firstLine="0"/>
        <w:rPr>
          <w:rFonts w:ascii="Book Antiqua" w:hAnsi="Book Antiqua"/>
          <w:i/>
          <w:color w:val="FF0000"/>
          <w:sz w:val="20"/>
        </w:rPr>
      </w:pPr>
    </w:p>
    <w:p w:rsidR="00EC23A3" w:rsidRPr="00062284" w:rsidRDefault="00062284" w:rsidP="00F06396">
      <w:pPr>
        <w:numPr>
          <w:ilvl w:val="0"/>
          <w:numId w:val="22"/>
        </w:numPr>
        <w:tabs>
          <w:tab w:val="clear" w:pos="720"/>
          <w:tab w:val="num" w:pos="300"/>
        </w:tabs>
        <w:ind w:left="300" w:hanging="300"/>
        <w:rPr>
          <w:rFonts w:ascii="Arial" w:hAnsi="Arial" w:cs="Arial"/>
          <w:sz w:val="16"/>
          <w:szCs w:val="16"/>
        </w:rPr>
      </w:pPr>
      <w:r w:rsidRPr="00062284">
        <w:rPr>
          <w:rFonts w:ascii="Arial" w:hAnsi="Arial" w:cs="Arial"/>
          <w:sz w:val="16"/>
          <w:szCs w:val="16"/>
        </w:rPr>
        <w:t xml:space="preserve">Expenses not requiring appropriation in the </w:t>
      </w:r>
      <w:smartTag w:uri="urn:schemas-microsoft-com:office:smarttags" w:element="PersonName">
        <w:r w:rsidRPr="00062284">
          <w:rPr>
            <w:rFonts w:ascii="Arial" w:hAnsi="Arial" w:cs="Arial"/>
            <w:sz w:val="16"/>
            <w:szCs w:val="16"/>
          </w:rPr>
          <w:t>Budget</w:t>
        </w:r>
      </w:smartTag>
      <w:r w:rsidRPr="00062284">
        <w:rPr>
          <w:rFonts w:ascii="Arial" w:hAnsi="Arial" w:cs="Arial"/>
          <w:sz w:val="16"/>
          <w:szCs w:val="16"/>
        </w:rPr>
        <w:t xml:space="preserve"> year is made up of </w:t>
      </w:r>
      <w:r w:rsidR="00BF4C02">
        <w:rPr>
          <w:rFonts w:ascii="Arial" w:hAnsi="Arial" w:cs="Arial"/>
          <w:sz w:val="16"/>
          <w:szCs w:val="16"/>
        </w:rPr>
        <w:t>net write-down of assets.</w:t>
      </w:r>
      <w:r w:rsidRPr="00062284">
        <w:rPr>
          <w:rFonts w:ascii="Arial" w:hAnsi="Arial" w:cs="Arial"/>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EC23A3" w:rsidTr="00F6678A">
        <w:tc>
          <w:tcPr>
            <w:tcW w:w="7740" w:type="dxa"/>
            <w:shd w:val="clear" w:color="auto" w:fill="auto"/>
          </w:tcPr>
          <w:p w:rsidR="00EC23A3" w:rsidRPr="00752F7B" w:rsidRDefault="00EC23A3" w:rsidP="00F6678A">
            <w:pPr>
              <w:pStyle w:val="TableColumnHeadingLeft"/>
              <w:jc w:val="both"/>
            </w:pPr>
            <w:r>
              <w:br w:type="page"/>
              <w:t>Program 1.2 Deliverables</w:t>
            </w:r>
          </w:p>
          <w:p w:rsidR="00EC23A3" w:rsidRPr="00ED458F" w:rsidRDefault="00EC23A3" w:rsidP="00F6678A">
            <w:pPr>
              <w:pStyle w:val="TableTextLeft"/>
              <w:numPr>
                <w:ilvl w:val="0"/>
                <w:numId w:val="16"/>
              </w:numPr>
            </w:pPr>
            <w:r w:rsidRPr="00F6678A">
              <w:rPr>
                <w:rFonts w:ascii="Book Antiqua" w:hAnsi="Book Antiqua"/>
                <w:sz w:val="20"/>
              </w:rPr>
              <w:t xml:space="preserve">Collect and disburse child support payments. </w:t>
            </w:r>
          </w:p>
        </w:tc>
      </w:tr>
    </w:tbl>
    <w:p w:rsidR="00D26BA1" w:rsidRPr="00ED458F" w:rsidRDefault="00D26BA1" w:rsidP="00EC23A3">
      <w:pPr>
        <w:pStyle w:val="TableTextLeft"/>
        <w:spacing w:after="0"/>
        <w:jc w:val="both"/>
      </w:pPr>
    </w:p>
    <w:p w:rsidR="00B6500E" w:rsidRDefault="00650434" w:rsidP="00EC23A3">
      <w:pPr>
        <w:pStyle w:val="TableColumnHeadingLeft"/>
        <w:jc w:val="both"/>
      </w:pPr>
      <w:r>
        <w:br w:type="page"/>
      </w:r>
      <w:r w:rsidR="00EC23A3">
        <w:t>Program 1.2 Key Performance Indicators</w:t>
      </w:r>
    </w:p>
    <w:tbl>
      <w:tblPr>
        <w:tblW w:w="0" w:type="auto"/>
        <w:tblInd w:w="78" w:type="dxa"/>
        <w:tblLayout w:type="fixed"/>
        <w:tblLook w:val="0000" w:firstRow="0" w:lastRow="0" w:firstColumn="0" w:lastColumn="0" w:noHBand="0" w:noVBand="0"/>
      </w:tblPr>
      <w:tblGrid>
        <w:gridCol w:w="2596"/>
        <w:gridCol w:w="972"/>
        <w:gridCol w:w="973"/>
        <w:gridCol w:w="972"/>
        <w:gridCol w:w="972"/>
        <w:gridCol w:w="972"/>
      </w:tblGrid>
      <w:tr w:rsidR="006F548E" w:rsidTr="006F548E">
        <w:trPr>
          <w:trHeight w:val="216"/>
        </w:trPr>
        <w:tc>
          <w:tcPr>
            <w:tcW w:w="2596" w:type="dxa"/>
            <w:tcBorders>
              <w:top w:val="single" w:sz="2" w:space="0" w:color="auto"/>
              <w:left w:val="nil"/>
              <w:bottom w:val="nil"/>
              <w:right w:val="nil"/>
            </w:tcBorders>
          </w:tcPr>
          <w:p w:rsidR="006F548E" w:rsidRDefault="006F548E">
            <w:pPr>
              <w:autoSpaceDE w:val="0"/>
              <w:autoSpaceDN w:val="0"/>
              <w:adjustRightInd w:val="0"/>
              <w:spacing w:after="0" w:line="240" w:lineRule="auto"/>
              <w:jc w:val="center"/>
              <w:rPr>
                <w:rFonts w:ascii="Arial" w:hAnsi="Arial" w:cs="Arial"/>
                <w:b/>
                <w:bCs/>
                <w:color w:val="000000"/>
                <w:sz w:val="16"/>
                <w:szCs w:val="16"/>
              </w:rPr>
            </w:pPr>
          </w:p>
        </w:tc>
        <w:tc>
          <w:tcPr>
            <w:tcW w:w="972"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2010-11</w:t>
            </w:r>
          </w:p>
        </w:tc>
        <w:tc>
          <w:tcPr>
            <w:tcW w:w="973" w:type="dxa"/>
            <w:tcBorders>
              <w:top w:val="single" w:sz="2" w:space="0" w:color="auto"/>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72"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72"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72" w:type="dxa"/>
            <w:tcBorders>
              <w:top w:val="single" w:sz="2" w:space="0" w:color="auto"/>
              <w:left w:val="nil"/>
              <w:bottom w:val="nil"/>
              <w:right w:val="nil"/>
            </w:tcBorders>
            <w:shd w:val="solid" w:color="FFFFFF"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r>
      <w:tr w:rsidR="006F548E" w:rsidTr="006F548E">
        <w:trPr>
          <w:trHeight w:val="216"/>
        </w:trPr>
        <w:tc>
          <w:tcPr>
            <w:tcW w:w="259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Key Performance</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tc>
        <w:tc>
          <w:tcPr>
            <w:tcW w:w="973"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6F548E" w:rsidTr="006F548E">
        <w:trPr>
          <w:trHeight w:val="216"/>
        </w:trPr>
        <w:tc>
          <w:tcPr>
            <w:tcW w:w="2596" w:type="dxa"/>
            <w:tcBorders>
              <w:top w:val="nil"/>
              <w:left w:val="nil"/>
              <w:bottom w:val="single" w:sz="2" w:space="0" w:color="auto"/>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Indicators</w:t>
            </w:r>
          </w:p>
        </w:tc>
        <w:tc>
          <w:tcPr>
            <w:tcW w:w="972"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73" w:type="dxa"/>
            <w:tcBorders>
              <w:top w:val="nil"/>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target</w:t>
            </w:r>
          </w:p>
        </w:tc>
        <w:tc>
          <w:tcPr>
            <w:tcW w:w="972"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1</w:t>
            </w:r>
          </w:p>
        </w:tc>
        <w:tc>
          <w:tcPr>
            <w:tcW w:w="972"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2</w:t>
            </w:r>
          </w:p>
        </w:tc>
        <w:tc>
          <w:tcPr>
            <w:tcW w:w="972"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3</w:t>
            </w:r>
          </w:p>
        </w:tc>
      </w:tr>
      <w:tr w:rsidR="006F548E" w:rsidTr="006F548E">
        <w:trPr>
          <w:trHeight w:val="85"/>
        </w:trPr>
        <w:tc>
          <w:tcPr>
            <w:tcW w:w="259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432"/>
        </w:trPr>
        <w:tc>
          <w:tcPr>
            <w:tcW w:w="259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amount of child support transferred between parents.</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 billion</w:t>
            </w:r>
          </w:p>
        </w:tc>
        <w:tc>
          <w:tcPr>
            <w:tcW w:w="973"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 billion</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 billion</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 billion</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 billion</w:t>
            </w:r>
          </w:p>
        </w:tc>
      </w:tr>
      <w:tr w:rsidR="006F548E" w:rsidTr="006F548E">
        <w:trPr>
          <w:trHeight w:val="56"/>
        </w:trPr>
        <w:tc>
          <w:tcPr>
            <w:tcW w:w="259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461"/>
        </w:trPr>
        <w:tc>
          <w:tcPr>
            <w:tcW w:w="259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collection rate (CSA collect only).</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91.5%</w:t>
            </w:r>
          </w:p>
        </w:tc>
        <w:tc>
          <w:tcPr>
            <w:tcW w:w="973"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91.6%</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91.7%</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91.7%</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91.7%</w:t>
            </w:r>
          </w:p>
        </w:tc>
      </w:tr>
      <w:tr w:rsidR="006F548E" w:rsidTr="006F548E">
        <w:trPr>
          <w:trHeight w:val="56"/>
        </w:trPr>
        <w:tc>
          <w:tcPr>
            <w:tcW w:w="259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691"/>
        </w:trPr>
        <w:tc>
          <w:tcPr>
            <w:tcW w:w="259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Percentage of private collect cases to total active cases (CSA and private collect cases).</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w:t>
            </w:r>
          </w:p>
        </w:tc>
        <w:tc>
          <w:tcPr>
            <w:tcW w:w="973"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w:t>
            </w: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w:t>
            </w:r>
          </w:p>
        </w:tc>
      </w:tr>
      <w:tr w:rsidR="006F548E" w:rsidTr="006F548E">
        <w:trPr>
          <w:trHeight w:val="56"/>
        </w:trPr>
        <w:tc>
          <w:tcPr>
            <w:tcW w:w="259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647"/>
        </w:trPr>
        <w:tc>
          <w:tcPr>
            <w:tcW w:w="2596" w:type="dxa"/>
            <w:tcBorders>
              <w:top w:val="nil"/>
              <w:left w:val="nil"/>
              <w:bottom w:val="single" w:sz="2" w:space="0" w:color="auto"/>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The percentage of domestic active paying parents without debt. </w:t>
            </w:r>
          </w:p>
        </w:tc>
        <w:tc>
          <w:tcPr>
            <w:tcW w:w="972"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73.5%</w:t>
            </w:r>
          </w:p>
        </w:tc>
        <w:tc>
          <w:tcPr>
            <w:tcW w:w="973" w:type="dxa"/>
            <w:tcBorders>
              <w:top w:val="nil"/>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73.5%</w:t>
            </w:r>
          </w:p>
        </w:tc>
        <w:tc>
          <w:tcPr>
            <w:tcW w:w="972"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73.5%</w:t>
            </w:r>
          </w:p>
        </w:tc>
        <w:tc>
          <w:tcPr>
            <w:tcW w:w="972"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73.5%</w:t>
            </w:r>
          </w:p>
        </w:tc>
        <w:tc>
          <w:tcPr>
            <w:tcW w:w="972"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73.5%</w:t>
            </w:r>
          </w:p>
        </w:tc>
      </w:tr>
    </w:tbl>
    <w:p w:rsidR="00EC23A3" w:rsidRDefault="00EC23A3" w:rsidP="00EC23A3">
      <w:pPr>
        <w:pStyle w:val="TableColumnHeadingLeft"/>
        <w:jc w:val="both"/>
      </w:pPr>
    </w:p>
    <w:p w:rsidR="00340FD7" w:rsidRDefault="00340FD7" w:rsidP="003A3E20">
      <w:pPr>
        <w:pStyle w:val="Heading2"/>
        <w:jc w:val="both"/>
      </w:pPr>
      <w:r>
        <w:br w:type="page"/>
      </w:r>
      <w:bookmarkStart w:id="40" w:name="_Ref291676438"/>
      <w:r>
        <w:t>Section 3: Explanatory tables and budgeted financial statements</w:t>
      </w:r>
      <w:bookmarkEnd w:id="38"/>
      <w:bookmarkEnd w:id="39"/>
      <w:bookmarkEnd w:id="40"/>
    </w:p>
    <w:p w:rsidR="00340FD7" w:rsidRDefault="00340FD7" w:rsidP="003A3E20">
      <w:r>
        <w:t>Section 3 presents explanatory tables and budgeted financial statements which provide a comprehensive snapshot of agency finances for the 2011</w:t>
      </w:r>
      <w:r>
        <w:noBreakHyphen/>
        <w:t>12</w:t>
      </w:r>
      <w:r>
        <w:rPr>
          <w:color w:val="00B050"/>
        </w:rPr>
        <w:t xml:space="preserve"> </w:t>
      </w:r>
      <w:r>
        <w:t xml:space="preserve">budget year. It explains how budget plans are incorporated into the financial statements and provides further details of the reconciliation between appropriations and program expenses, movements in administered funds, special accounts and government </w:t>
      </w:r>
      <w:r w:rsidR="002E4A86">
        <w:t>Indigenous</w:t>
      </w:r>
      <w:r>
        <w:t xml:space="preserve"> expenditure.</w:t>
      </w:r>
    </w:p>
    <w:p w:rsidR="00340FD7" w:rsidRDefault="00340FD7" w:rsidP="003A3E20">
      <w:pPr>
        <w:pStyle w:val="Heading3"/>
        <w:jc w:val="both"/>
      </w:pPr>
      <w:bookmarkStart w:id="41" w:name="_Toc190682316"/>
      <w:bookmarkStart w:id="42" w:name="_Toc190682533"/>
      <w:bookmarkStart w:id="43" w:name="_Ref291676454"/>
      <w:r>
        <w:t>3.1</w:t>
      </w:r>
      <w:r>
        <w:tab/>
        <w:t>Explanatory tables</w:t>
      </w:r>
      <w:bookmarkEnd w:id="41"/>
      <w:bookmarkEnd w:id="42"/>
      <w:bookmarkEnd w:id="43"/>
    </w:p>
    <w:p w:rsidR="00340FD7" w:rsidRDefault="00340FD7" w:rsidP="003A3E20">
      <w:pPr>
        <w:pStyle w:val="Heading4"/>
        <w:jc w:val="both"/>
      </w:pPr>
      <w:r>
        <w:t>3.1.1</w:t>
      </w:r>
      <w:r>
        <w:tab/>
        <w:t>Movement of administered funds between years</w:t>
      </w:r>
    </w:p>
    <w:p w:rsidR="00340FD7" w:rsidRPr="00F3255F" w:rsidRDefault="008E4EF2" w:rsidP="003A3E20">
      <w:pPr>
        <w:pStyle w:val="NoSpacing"/>
      </w:pPr>
      <w:r>
        <w:t>There are no movements of administered funds between years for the Department of Human Services</w:t>
      </w:r>
      <w:r w:rsidR="006D2FCC">
        <w:t>.</w:t>
      </w:r>
    </w:p>
    <w:p w:rsidR="00340FD7" w:rsidRDefault="00F27E44" w:rsidP="003A3E20">
      <w:pPr>
        <w:pStyle w:val="Heading4"/>
        <w:jc w:val="both"/>
      </w:pPr>
      <w:r>
        <w:br w:type="page"/>
      </w:r>
      <w:r w:rsidR="00340FD7">
        <w:t>3.1.2</w:t>
      </w:r>
      <w:r w:rsidR="00340FD7">
        <w:tab/>
        <w:t>Special Accounts</w:t>
      </w:r>
    </w:p>
    <w:p w:rsidR="00340FD7" w:rsidRDefault="00340FD7" w:rsidP="003A3E20">
      <w:r>
        <w:t xml:space="preserve">Special Accounts provide a means to set aside and record amounts used for specified purposes. Special Accounts can be created by a Finance Minister’s Determination under the </w:t>
      </w:r>
      <w:r w:rsidRPr="006D2FCC">
        <w:rPr>
          <w:i/>
        </w:rPr>
        <w:t xml:space="preserve">FMA Act </w:t>
      </w:r>
      <w:r>
        <w:t>or under separate enabling legislation. Table 3.1.2 shows the expected additions (receipts) and reductions (payments) for ea</w:t>
      </w:r>
      <w:r w:rsidR="006D2FCC">
        <w:t xml:space="preserve">ch account used by the </w:t>
      </w:r>
      <w:r w:rsidR="00041D51">
        <w:t>D</w:t>
      </w:r>
      <w:r w:rsidR="006D2FCC">
        <w:t>epartment</w:t>
      </w:r>
      <w:r>
        <w:t>.</w:t>
      </w:r>
    </w:p>
    <w:p w:rsidR="00340FD7" w:rsidRDefault="00340FD7" w:rsidP="003A3E20">
      <w:pPr>
        <w:pStyle w:val="TableHeading"/>
        <w:jc w:val="both"/>
      </w:pPr>
      <w:r>
        <w:t>Table 3.1.2: Estimates of Special Account Flows and Balances</w:t>
      </w:r>
    </w:p>
    <w:tbl>
      <w:tblPr>
        <w:tblW w:w="8201" w:type="dxa"/>
        <w:tblInd w:w="78" w:type="dxa"/>
        <w:tblLayout w:type="fixed"/>
        <w:tblLook w:val="0000" w:firstRow="0" w:lastRow="0" w:firstColumn="0" w:lastColumn="0" w:noHBand="0" w:noVBand="0"/>
      </w:tblPr>
      <w:tblGrid>
        <w:gridCol w:w="1966"/>
        <w:gridCol w:w="741"/>
        <w:gridCol w:w="1032"/>
        <w:gridCol w:w="1210"/>
        <w:gridCol w:w="1159"/>
        <w:gridCol w:w="1046"/>
        <w:gridCol w:w="1047"/>
      </w:tblGrid>
      <w:tr w:rsidR="006F548E" w:rsidTr="006F548E">
        <w:trPr>
          <w:trHeight w:val="216"/>
        </w:trPr>
        <w:tc>
          <w:tcPr>
            <w:tcW w:w="1966"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741"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032"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Opening</w:t>
            </w:r>
          </w:p>
        </w:tc>
        <w:tc>
          <w:tcPr>
            <w:tcW w:w="1210" w:type="dxa"/>
            <w:tcBorders>
              <w:top w:val="single" w:sz="2" w:space="0" w:color="000000"/>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59" w:type="dxa"/>
            <w:tcBorders>
              <w:top w:val="single" w:sz="2" w:space="0" w:color="000000"/>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046" w:type="dxa"/>
            <w:tcBorders>
              <w:top w:val="single" w:sz="2" w:space="0" w:color="000000"/>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047" w:type="dxa"/>
            <w:tcBorders>
              <w:top w:val="single" w:sz="2" w:space="0" w:color="000000"/>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Closing</w:t>
            </w:r>
          </w:p>
        </w:tc>
      </w:tr>
      <w:tr w:rsidR="006F548E" w:rsidTr="006F548E">
        <w:trPr>
          <w:trHeight w:val="216"/>
        </w:trPr>
        <w:tc>
          <w:tcPr>
            <w:tcW w:w="196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balance</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Receipts</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Payments</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Adjustments</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balance</w:t>
            </w:r>
          </w:p>
        </w:tc>
      </w:tr>
      <w:tr w:rsidR="006F548E" w:rsidTr="006F548E">
        <w:trPr>
          <w:trHeight w:val="216"/>
        </w:trPr>
        <w:tc>
          <w:tcPr>
            <w:tcW w:w="196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2011-12</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2011-12</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2011-12</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2011-12</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2011-12</w:t>
            </w:r>
          </w:p>
        </w:tc>
      </w:tr>
      <w:tr w:rsidR="006F548E" w:rsidTr="006F548E">
        <w:trPr>
          <w:trHeight w:val="216"/>
        </w:trPr>
        <w:tc>
          <w:tcPr>
            <w:tcW w:w="196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2010-11</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2010-11</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2010-11</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2010-11</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2010-11</w:t>
            </w:r>
          </w:p>
        </w:tc>
      </w:tr>
      <w:tr w:rsidR="006F548E" w:rsidTr="006F548E">
        <w:trPr>
          <w:trHeight w:val="216"/>
        </w:trPr>
        <w:tc>
          <w:tcPr>
            <w:tcW w:w="196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741"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Outcome</w:t>
            </w:r>
          </w:p>
        </w:tc>
        <w:tc>
          <w:tcPr>
            <w:tcW w:w="1032"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210" w:type="dxa"/>
            <w:tcBorders>
              <w:top w:val="nil"/>
              <w:left w:val="nil"/>
              <w:bottom w:val="single" w:sz="2" w:space="0" w:color="000000"/>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159" w:type="dxa"/>
            <w:tcBorders>
              <w:top w:val="nil"/>
              <w:left w:val="nil"/>
              <w:bottom w:val="single" w:sz="2" w:space="0" w:color="000000"/>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046" w:type="dxa"/>
            <w:tcBorders>
              <w:top w:val="nil"/>
              <w:left w:val="nil"/>
              <w:bottom w:val="single" w:sz="2" w:space="0" w:color="000000"/>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047" w:type="dxa"/>
            <w:tcBorders>
              <w:top w:val="nil"/>
              <w:left w:val="nil"/>
              <w:bottom w:val="single" w:sz="2" w:space="0" w:color="000000"/>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6F548E" w:rsidTr="006F548E">
        <w:trPr>
          <w:trHeight w:val="230"/>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Child Support Account</w:t>
            </w:r>
            <w:r>
              <w:rPr>
                <w:rFonts w:ascii="Arial" w:hAnsi="Arial" w:cs="Arial"/>
                <w:color w:val="000000"/>
                <w:sz w:val="15"/>
                <w:szCs w:val="15"/>
                <w:vertAlign w:val="superscript"/>
              </w:rPr>
              <w:t xml:space="preserve">1 </w:t>
            </w:r>
            <w:r>
              <w:rPr>
                <w:rFonts w:ascii="Arial" w:hAnsi="Arial" w:cs="Arial"/>
                <w:color w:val="000000"/>
                <w:sz w:val="15"/>
                <w:szCs w:val="15"/>
              </w:rPr>
              <w:t>(A)</w:t>
            </w:r>
          </w:p>
        </w:tc>
        <w:tc>
          <w:tcPr>
            <w:tcW w:w="741" w:type="dxa"/>
            <w:tcBorders>
              <w:top w:val="single" w:sz="2" w:space="0" w:color="000000"/>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w:t>
            </w: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51,953 </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1,269,301 </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(1,269,301)</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51,953 </w:t>
            </w:r>
          </w:p>
        </w:tc>
      </w:tr>
      <w:tr w:rsidR="006F548E" w:rsidTr="006F548E">
        <w:trPr>
          <w:trHeight w:val="230"/>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51,953 </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1,226,360 </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(1,226,360)</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51,953 </w:t>
            </w:r>
          </w:p>
        </w:tc>
      </w:tr>
      <w:tr w:rsidR="006F548E" w:rsidTr="006F548E">
        <w:trPr>
          <w:trHeight w:val="58"/>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5"/>
                <w:szCs w:val="15"/>
              </w:rPr>
            </w:pP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p>
        </w:tc>
      </w:tr>
      <w:tr w:rsidR="006F548E" w:rsidTr="006F548E">
        <w:trPr>
          <w:trHeight w:val="391"/>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Recovery of Compensation for Health Care &amp; Other Services Special Account</w:t>
            </w:r>
            <w:r>
              <w:rPr>
                <w:rFonts w:ascii="Arial" w:hAnsi="Arial" w:cs="Arial"/>
                <w:color w:val="000000"/>
                <w:sz w:val="15"/>
                <w:szCs w:val="15"/>
                <w:vertAlign w:val="superscript"/>
              </w:rPr>
              <w:t xml:space="preserve">2 </w:t>
            </w:r>
            <w:r>
              <w:rPr>
                <w:rFonts w:ascii="Arial" w:hAnsi="Arial" w:cs="Arial"/>
                <w:color w:val="000000"/>
                <w:sz w:val="15"/>
                <w:szCs w:val="15"/>
              </w:rPr>
              <w:t>(A)</w:t>
            </w: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w:t>
            </w: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56,586 </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246,136 </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(245,931)</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56,791 </w:t>
            </w:r>
          </w:p>
        </w:tc>
      </w:tr>
      <w:tr w:rsidR="006F548E" w:rsidTr="006F548E">
        <w:trPr>
          <w:trHeight w:val="391"/>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56,386 </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241,073 </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(240,873)</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56,586 </w:t>
            </w:r>
          </w:p>
        </w:tc>
      </w:tr>
      <w:tr w:rsidR="006F548E" w:rsidTr="006F548E">
        <w:trPr>
          <w:trHeight w:val="58"/>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r>
      <w:tr w:rsidR="006F548E" w:rsidTr="006F548E">
        <w:trPr>
          <w:trHeight w:val="230"/>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Superannuation Clearing House</w:t>
            </w:r>
            <w:r>
              <w:rPr>
                <w:rFonts w:ascii="Arial" w:hAnsi="Arial" w:cs="Arial"/>
                <w:color w:val="000000"/>
                <w:sz w:val="15"/>
                <w:szCs w:val="15"/>
                <w:vertAlign w:val="superscript"/>
              </w:rPr>
              <w:t>3</w:t>
            </w:r>
            <w:r>
              <w:rPr>
                <w:rFonts w:ascii="Arial" w:hAnsi="Arial" w:cs="Arial"/>
                <w:color w:val="000000"/>
                <w:sz w:val="15"/>
                <w:szCs w:val="15"/>
              </w:rPr>
              <w:t xml:space="preserve"> (A)</w:t>
            </w: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w:t>
            </w: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136,713 </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(136,713)</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r>
      <w:tr w:rsidR="006F548E" w:rsidTr="006F548E">
        <w:trPr>
          <w:trHeight w:val="230"/>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 </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53,554 </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(53,554)</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w:t>
            </w:r>
          </w:p>
        </w:tc>
      </w:tr>
      <w:tr w:rsidR="006F548E" w:rsidTr="006F548E">
        <w:trPr>
          <w:trHeight w:val="58"/>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5"/>
                <w:szCs w:val="15"/>
              </w:rPr>
            </w:pP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p>
        </w:tc>
      </w:tr>
      <w:tr w:rsidR="006F548E" w:rsidTr="006F548E">
        <w:trPr>
          <w:trHeight w:val="391"/>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Other Trust Moneys - Department of Human Services Special Account</w:t>
            </w:r>
            <w:r>
              <w:rPr>
                <w:rFonts w:ascii="Arial" w:hAnsi="Arial" w:cs="Arial"/>
                <w:color w:val="000000"/>
                <w:sz w:val="15"/>
                <w:szCs w:val="15"/>
                <w:vertAlign w:val="superscript"/>
              </w:rPr>
              <w:t>4</w:t>
            </w:r>
            <w:r>
              <w:rPr>
                <w:rFonts w:ascii="Arial" w:hAnsi="Arial" w:cs="Arial"/>
                <w:color w:val="000000"/>
                <w:sz w:val="15"/>
                <w:szCs w:val="15"/>
              </w:rPr>
              <w:t xml:space="preserve"> (A)</w:t>
            </w: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w:t>
            </w: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 </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r>
      <w:tr w:rsidR="006F548E" w:rsidTr="006F548E">
        <w:trPr>
          <w:trHeight w:val="391"/>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 </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 </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 </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w:t>
            </w:r>
          </w:p>
        </w:tc>
      </w:tr>
      <w:tr w:rsidR="006F548E" w:rsidTr="006F548E">
        <w:trPr>
          <w:trHeight w:val="58"/>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r>
      <w:tr w:rsidR="006F548E" w:rsidTr="006F548E">
        <w:trPr>
          <w:trHeight w:val="305"/>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Commonwealth Service Delivery Agency Other Trust Moneys Account</w:t>
            </w:r>
            <w:r>
              <w:rPr>
                <w:rFonts w:ascii="Arial" w:hAnsi="Arial" w:cs="Arial"/>
                <w:color w:val="000000"/>
                <w:sz w:val="15"/>
                <w:szCs w:val="15"/>
                <w:vertAlign w:val="superscript"/>
              </w:rPr>
              <w:t>5</w:t>
            </w:r>
            <w:r>
              <w:rPr>
                <w:rFonts w:ascii="Arial" w:hAnsi="Arial" w:cs="Arial"/>
                <w:color w:val="000000"/>
                <w:sz w:val="15"/>
                <w:szCs w:val="15"/>
              </w:rPr>
              <w:t xml:space="preserve"> (A)</w:t>
            </w: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w:t>
            </w: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 </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r>
      <w:tr w:rsidR="006F548E" w:rsidTr="006F548E">
        <w:trPr>
          <w:trHeight w:val="305"/>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123 </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2,652 </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(2,775)</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w:t>
            </w:r>
          </w:p>
        </w:tc>
      </w:tr>
      <w:tr w:rsidR="006F548E" w:rsidTr="006F548E">
        <w:trPr>
          <w:trHeight w:val="58"/>
        </w:trPr>
        <w:tc>
          <w:tcPr>
            <w:tcW w:w="196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r>
      <w:tr w:rsidR="006F548E" w:rsidTr="006F548E">
        <w:trPr>
          <w:trHeight w:val="391"/>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Services for Other Entities and Trust Moneys - Medicare Australia Special Account</w:t>
            </w:r>
            <w:r>
              <w:rPr>
                <w:rFonts w:ascii="Arial" w:hAnsi="Arial" w:cs="Arial"/>
                <w:color w:val="000000"/>
                <w:sz w:val="15"/>
                <w:szCs w:val="15"/>
                <w:vertAlign w:val="superscript"/>
              </w:rPr>
              <w:t>6</w:t>
            </w:r>
            <w:r>
              <w:rPr>
                <w:rFonts w:ascii="Arial" w:hAnsi="Arial" w:cs="Arial"/>
                <w:color w:val="000000"/>
                <w:sz w:val="15"/>
                <w:szCs w:val="15"/>
              </w:rPr>
              <w:t xml:space="preserve"> (D)</w:t>
            </w: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w:t>
            </w:r>
          </w:p>
        </w:tc>
        <w:tc>
          <w:tcPr>
            <w:tcW w:w="1032"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 </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 </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 - </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 </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 </w:t>
            </w:r>
          </w:p>
        </w:tc>
      </w:tr>
      <w:tr w:rsidR="006F548E" w:rsidTr="006F548E">
        <w:trPr>
          <w:trHeight w:val="391"/>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99 </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1,470 </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(1,470)</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99 </w:t>
            </w:r>
          </w:p>
        </w:tc>
      </w:tr>
      <w:tr w:rsidR="006F548E" w:rsidTr="006F548E">
        <w:trPr>
          <w:trHeight w:val="58"/>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p>
        </w:tc>
      </w:tr>
      <w:tr w:rsidR="006F548E" w:rsidTr="006F548E">
        <w:trPr>
          <w:trHeight w:val="492"/>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Services for Other Entities and Trust Moneys – Department of Human Services Special Account</w:t>
            </w:r>
            <w:r>
              <w:rPr>
                <w:rFonts w:ascii="Arial" w:hAnsi="Arial" w:cs="Arial"/>
                <w:color w:val="000000"/>
                <w:sz w:val="15"/>
                <w:szCs w:val="15"/>
                <w:vertAlign w:val="superscript"/>
              </w:rPr>
              <w:t>7</w:t>
            </w:r>
            <w:r>
              <w:rPr>
                <w:rFonts w:ascii="Arial" w:hAnsi="Arial" w:cs="Arial"/>
                <w:color w:val="000000"/>
                <w:sz w:val="15"/>
                <w:szCs w:val="15"/>
              </w:rPr>
              <w:t xml:space="preserve"> (A) &amp; (D)</w:t>
            </w: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r>
              <w:rPr>
                <w:rFonts w:ascii="Arial" w:hAnsi="Arial" w:cs="Arial"/>
                <w:color w:val="000000"/>
                <w:sz w:val="15"/>
                <w:szCs w:val="15"/>
              </w:rPr>
              <w:t>1</w:t>
            </w: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4,387 </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(3,731)</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99 </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755 </w:t>
            </w:r>
          </w:p>
        </w:tc>
      </w:tr>
      <w:tr w:rsidR="006F548E" w:rsidTr="006F548E">
        <w:trPr>
          <w:trHeight w:val="492"/>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 </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 </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 </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w:t>
            </w:r>
          </w:p>
        </w:tc>
      </w:tr>
      <w:tr w:rsidR="006F548E" w:rsidTr="006F548E">
        <w:trPr>
          <w:trHeight w:val="58"/>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5"/>
                <w:szCs w:val="15"/>
              </w:rPr>
            </w:pP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p>
        </w:tc>
      </w:tr>
      <w:tr w:rsidR="006F548E" w:rsidTr="006F548E">
        <w:trPr>
          <w:trHeight w:val="216"/>
        </w:trPr>
        <w:tc>
          <w:tcPr>
            <w:tcW w:w="1966" w:type="dxa"/>
            <w:tcBorders>
              <w:top w:val="single" w:sz="2" w:space="0" w:color="auto"/>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Special Accounts </w:t>
            </w:r>
          </w:p>
        </w:tc>
        <w:tc>
          <w:tcPr>
            <w:tcW w:w="741" w:type="dxa"/>
            <w:tcBorders>
              <w:top w:val="single" w:sz="2" w:space="0" w:color="auto"/>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single" w:sz="2" w:space="0" w:color="auto"/>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10" w:type="dxa"/>
            <w:tcBorders>
              <w:top w:val="single" w:sz="2" w:space="0" w:color="auto"/>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59" w:type="dxa"/>
            <w:tcBorders>
              <w:top w:val="single" w:sz="2" w:space="0" w:color="auto"/>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046" w:type="dxa"/>
            <w:tcBorders>
              <w:top w:val="single" w:sz="2" w:space="0" w:color="auto"/>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047" w:type="dxa"/>
            <w:tcBorders>
              <w:top w:val="single" w:sz="2" w:space="0" w:color="auto"/>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2011-12 Budget estimate</w:t>
            </w: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108,539 </w:t>
            </w: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1,656,537 </w:t>
            </w: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(1,655,676)</w:t>
            </w: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99 </w:t>
            </w: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109,499 </w:t>
            </w:r>
          </w:p>
        </w:tc>
      </w:tr>
      <w:tr w:rsidR="006F548E" w:rsidTr="006F548E">
        <w:trPr>
          <w:trHeight w:val="58"/>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5"/>
                <w:szCs w:val="15"/>
              </w:rPr>
            </w:pP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1966"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Total Special Accounts</w:t>
            </w:r>
          </w:p>
        </w:tc>
        <w:tc>
          <w:tcPr>
            <w:tcW w:w="74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210"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159"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046"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c>
          <w:tcPr>
            <w:tcW w:w="1047" w:type="dxa"/>
            <w:tcBorders>
              <w:top w:val="nil"/>
              <w:left w:val="nil"/>
              <w:bottom w:val="nil"/>
              <w:right w:val="nil"/>
            </w:tcBorders>
            <w:shd w:val="solid" w:color="E6E6E6" w:fill="auto"/>
          </w:tcPr>
          <w:p w:rsidR="006F548E" w:rsidRDefault="006F548E">
            <w:pPr>
              <w:autoSpaceDE w:val="0"/>
              <w:autoSpaceDN w:val="0"/>
              <w:adjustRightInd w:val="0"/>
              <w:spacing w:after="0" w:line="240" w:lineRule="auto"/>
              <w:jc w:val="right"/>
              <w:rPr>
                <w:rFonts w:ascii="Arial" w:hAnsi="Arial" w:cs="Arial"/>
                <w:color w:val="000000"/>
                <w:sz w:val="15"/>
                <w:szCs w:val="15"/>
              </w:rPr>
            </w:pPr>
          </w:p>
        </w:tc>
      </w:tr>
      <w:tr w:rsidR="006F548E" w:rsidTr="006F548E">
        <w:trPr>
          <w:trHeight w:val="216"/>
        </w:trPr>
        <w:tc>
          <w:tcPr>
            <w:tcW w:w="1966" w:type="dxa"/>
            <w:tcBorders>
              <w:top w:val="nil"/>
              <w:left w:val="nil"/>
              <w:bottom w:val="single" w:sz="2" w:space="0" w:color="000000"/>
              <w:right w:val="nil"/>
            </w:tcBorders>
          </w:tcPr>
          <w:p w:rsidR="006F548E" w:rsidRDefault="006F548E">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2010-11 estimate actual</w:t>
            </w:r>
          </w:p>
        </w:tc>
        <w:tc>
          <w:tcPr>
            <w:tcW w:w="741" w:type="dxa"/>
            <w:tcBorders>
              <w:top w:val="nil"/>
              <w:left w:val="nil"/>
              <w:bottom w:val="single" w:sz="2" w:space="0" w:color="000000"/>
              <w:right w:val="nil"/>
            </w:tcBorders>
          </w:tcPr>
          <w:p w:rsidR="006F548E" w:rsidRDefault="006F548E">
            <w:pPr>
              <w:autoSpaceDE w:val="0"/>
              <w:autoSpaceDN w:val="0"/>
              <w:adjustRightInd w:val="0"/>
              <w:spacing w:after="0" w:line="240" w:lineRule="auto"/>
              <w:jc w:val="center"/>
              <w:rPr>
                <w:rFonts w:ascii="Arial" w:hAnsi="Arial" w:cs="Arial"/>
                <w:color w:val="000000"/>
                <w:sz w:val="15"/>
                <w:szCs w:val="15"/>
              </w:rPr>
            </w:pPr>
          </w:p>
        </w:tc>
        <w:tc>
          <w:tcPr>
            <w:tcW w:w="1032" w:type="dxa"/>
            <w:tcBorders>
              <w:top w:val="nil"/>
              <w:left w:val="nil"/>
              <w:bottom w:val="single" w:sz="2" w:space="0" w:color="auto"/>
              <w:right w:val="nil"/>
            </w:tcBorders>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108,561 </w:t>
            </w:r>
          </w:p>
        </w:tc>
        <w:tc>
          <w:tcPr>
            <w:tcW w:w="1210" w:type="dxa"/>
            <w:tcBorders>
              <w:top w:val="nil"/>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1,525,109 </w:t>
            </w:r>
          </w:p>
        </w:tc>
        <w:tc>
          <w:tcPr>
            <w:tcW w:w="1159" w:type="dxa"/>
            <w:tcBorders>
              <w:top w:val="nil"/>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(1,525,032)</w:t>
            </w:r>
          </w:p>
        </w:tc>
        <w:tc>
          <w:tcPr>
            <w:tcW w:w="1046" w:type="dxa"/>
            <w:tcBorders>
              <w:top w:val="nil"/>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 </w:t>
            </w:r>
          </w:p>
        </w:tc>
        <w:tc>
          <w:tcPr>
            <w:tcW w:w="1047" w:type="dxa"/>
            <w:tcBorders>
              <w:top w:val="nil"/>
              <w:left w:val="nil"/>
              <w:bottom w:val="single" w:sz="2" w:space="0" w:color="auto"/>
              <w:right w:val="nil"/>
            </w:tcBorders>
            <w:shd w:val="solid" w:color="E6E6E6" w:fill="auto"/>
          </w:tcPr>
          <w:p w:rsidR="006F548E" w:rsidRDefault="006F548E">
            <w:pPr>
              <w:autoSpaceDE w:val="0"/>
              <w:autoSpaceDN w:val="0"/>
              <w:adjustRightInd w:val="0"/>
              <w:spacing w:after="0" w:line="240" w:lineRule="auto"/>
              <w:jc w:val="right"/>
              <w:rPr>
                <w:rFonts w:ascii="Arial" w:hAnsi="Arial" w:cs="Arial"/>
                <w:i/>
                <w:iCs/>
                <w:color w:val="000000"/>
                <w:sz w:val="15"/>
                <w:szCs w:val="15"/>
              </w:rPr>
            </w:pPr>
            <w:r>
              <w:rPr>
                <w:rFonts w:ascii="Arial" w:hAnsi="Arial" w:cs="Arial"/>
                <w:i/>
                <w:iCs/>
                <w:color w:val="000000"/>
                <w:sz w:val="15"/>
                <w:szCs w:val="15"/>
              </w:rPr>
              <w:t xml:space="preserve">108,638 </w:t>
            </w:r>
          </w:p>
        </w:tc>
      </w:tr>
    </w:tbl>
    <w:p w:rsidR="00EE1375" w:rsidRDefault="00EE1375" w:rsidP="00923343">
      <w:pPr>
        <w:pStyle w:val="TableGraphic"/>
        <w:rPr>
          <w:noProof/>
        </w:rPr>
      </w:pPr>
    </w:p>
    <w:p w:rsidR="00995228" w:rsidRDefault="00340FD7" w:rsidP="00995228">
      <w:pPr>
        <w:pStyle w:val="TableGraphic"/>
        <w:rPr>
          <w:rFonts w:ascii="Arial" w:hAnsi="Arial"/>
          <w:sz w:val="16"/>
        </w:rPr>
      </w:pPr>
      <w:r w:rsidRPr="00923343">
        <w:rPr>
          <w:rFonts w:ascii="Arial" w:hAnsi="Arial"/>
          <w:sz w:val="16"/>
        </w:rPr>
        <w:t>(A) = Administered</w:t>
      </w:r>
    </w:p>
    <w:p w:rsidR="00340FD7" w:rsidRPr="00995228" w:rsidRDefault="00340FD7" w:rsidP="00995228">
      <w:pPr>
        <w:pStyle w:val="TableGraphic"/>
        <w:rPr>
          <w:rFonts w:ascii="Arial" w:hAnsi="Arial"/>
          <w:sz w:val="16"/>
        </w:rPr>
      </w:pPr>
      <w:r w:rsidRPr="00995228">
        <w:rPr>
          <w:rFonts w:ascii="Arial" w:hAnsi="Arial"/>
          <w:sz w:val="16"/>
        </w:rPr>
        <w:t>(D) = Departmental</w:t>
      </w:r>
    </w:p>
    <w:p w:rsidR="00601754" w:rsidRPr="00601754" w:rsidRDefault="00EE1375" w:rsidP="00F06396">
      <w:pPr>
        <w:pStyle w:val="ChartandTableFootnote"/>
        <w:numPr>
          <w:ilvl w:val="0"/>
          <w:numId w:val="18"/>
        </w:numPr>
        <w:tabs>
          <w:tab w:val="clear" w:pos="284"/>
          <w:tab w:val="clear" w:pos="720"/>
          <w:tab w:val="num" w:pos="300"/>
        </w:tabs>
        <w:ind w:left="300" w:hanging="300"/>
      </w:pPr>
      <w:r w:rsidRPr="00601754">
        <w:t>Child Support Account</w:t>
      </w:r>
      <w:r w:rsidR="002872E6">
        <w:t xml:space="preserve"> </w:t>
      </w:r>
      <w:r w:rsidRPr="00601754">
        <w:t>-</w:t>
      </w:r>
      <w:r w:rsidR="002872E6">
        <w:t xml:space="preserve"> </w:t>
      </w:r>
      <w:r w:rsidRPr="00601754">
        <w:t xml:space="preserve">s73 </w:t>
      </w:r>
      <w:r w:rsidRPr="005E2E87">
        <w:rPr>
          <w:i/>
        </w:rPr>
        <w:t xml:space="preserve">Child Support </w:t>
      </w:r>
      <w:r w:rsidR="005E2E87" w:rsidRPr="005E2E87">
        <w:rPr>
          <w:i/>
        </w:rPr>
        <w:t xml:space="preserve">(Registration and Collection) </w:t>
      </w:r>
      <w:r w:rsidRPr="005E2E87">
        <w:rPr>
          <w:i/>
        </w:rPr>
        <w:t>Act 1988</w:t>
      </w:r>
      <w:r w:rsidRPr="00601754">
        <w:t xml:space="preserve"> is operated by the Department of Human Services. The purpose of this account is to receive payments for child support debts and appropriation amounts to be paid to child support recipients. </w:t>
      </w:r>
    </w:p>
    <w:p w:rsidR="00601754" w:rsidRPr="00601754" w:rsidRDefault="00EE1375" w:rsidP="00F06396">
      <w:pPr>
        <w:pStyle w:val="ChartandTableFootnote"/>
        <w:numPr>
          <w:ilvl w:val="0"/>
          <w:numId w:val="18"/>
        </w:numPr>
        <w:tabs>
          <w:tab w:val="clear" w:pos="284"/>
          <w:tab w:val="clear" w:pos="720"/>
          <w:tab w:val="num" w:pos="300"/>
        </w:tabs>
        <w:ind w:left="300" w:hanging="300"/>
      </w:pPr>
      <w:r w:rsidRPr="00601754">
        <w:t>Recovery of Compensation for Health Care and Other Services Special Account -</w:t>
      </w:r>
      <w:r w:rsidR="002872E6">
        <w:t xml:space="preserve"> </w:t>
      </w:r>
      <w:r w:rsidRPr="00601754">
        <w:t xml:space="preserve">s20 </w:t>
      </w:r>
      <w:r w:rsidRPr="006D2FCC">
        <w:rPr>
          <w:i/>
        </w:rPr>
        <w:t xml:space="preserve">FMA Act </w:t>
      </w:r>
      <w:r w:rsidRPr="00601754">
        <w:t>Determination 2005/24</w:t>
      </w:r>
      <w:r w:rsidR="002872E6">
        <w:t xml:space="preserve"> </w:t>
      </w:r>
      <w:r w:rsidRPr="00601754">
        <w:t>-</w:t>
      </w:r>
      <w:r w:rsidR="002872E6">
        <w:t xml:space="preserve"> </w:t>
      </w:r>
      <w:r w:rsidRPr="00601754">
        <w:t>was operated by Medicare Australia in 2010-11. Funds are held pending a determination of the amount recoverable in respect of Medicare Benefits and nursing Home or Residential Care Subsidies paid. The amount recovered is returned to the Official Public Account via the Department of Health and Ageing.</w:t>
      </w:r>
      <w:r w:rsidR="00ED3945" w:rsidRPr="00601754">
        <w:t xml:space="preserve"> </w:t>
      </w:r>
    </w:p>
    <w:p w:rsidR="00601754" w:rsidRPr="00601754" w:rsidRDefault="00ED3945" w:rsidP="00F06396">
      <w:pPr>
        <w:pStyle w:val="ChartandTableFootnote"/>
        <w:numPr>
          <w:ilvl w:val="0"/>
          <w:numId w:val="18"/>
        </w:numPr>
        <w:tabs>
          <w:tab w:val="clear" w:pos="284"/>
          <w:tab w:val="clear" w:pos="720"/>
          <w:tab w:val="num" w:pos="300"/>
        </w:tabs>
        <w:ind w:left="300" w:hanging="300"/>
      </w:pPr>
      <w:r w:rsidRPr="00601754">
        <w:t>Superannuation Clearing House Special Account</w:t>
      </w:r>
      <w:r w:rsidR="0099058D">
        <w:t xml:space="preserve"> -</w:t>
      </w:r>
      <w:r w:rsidRPr="00601754">
        <w:t xml:space="preserve"> s20 </w:t>
      </w:r>
      <w:r w:rsidRPr="006D2FCC">
        <w:rPr>
          <w:i/>
        </w:rPr>
        <w:t xml:space="preserve">FMA Act </w:t>
      </w:r>
      <w:r w:rsidRPr="00601754">
        <w:t xml:space="preserve">Determination 2010/05 was operated by Medicare Australia in 2010-11. The purpose of this account is for the receipt of employer superannuation contributions by eligible employers and payment to the relevant superannuation funds. </w:t>
      </w:r>
    </w:p>
    <w:p w:rsidR="00601754" w:rsidRPr="00601754" w:rsidRDefault="00601754" w:rsidP="00F06396">
      <w:pPr>
        <w:pStyle w:val="ChartandTableFootnote"/>
        <w:numPr>
          <w:ilvl w:val="0"/>
          <w:numId w:val="18"/>
        </w:numPr>
        <w:tabs>
          <w:tab w:val="clear" w:pos="284"/>
          <w:tab w:val="clear" w:pos="720"/>
          <w:tab w:val="num" w:pos="300"/>
        </w:tabs>
        <w:ind w:left="300" w:hanging="300"/>
      </w:pPr>
      <w:r w:rsidRPr="00601754">
        <w:t>Other</w:t>
      </w:r>
      <w:r w:rsidR="00ED3945" w:rsidRPr="00601754">
        <w:t xml:space="preserve"> Trust Moneys - Department of </w:t>
      </w:r>
      <w:r>
        <w:t>Human Services Special Account,</w:t>
      </w:r>
      <w:r w:rsidR="00ED3945" w:rsidRPr="00601754">
        <w:t xml:space="preserve"> s20 </w:t>
      </w:r>
      <w:r w:rsidR="00ED3945" w:rsidRPr="006D2FCC">
        <w:rPr>
          <w:i/>
        </w:rPr>
        <w:t xml:space="preserve">FMA Act </w:t>
      </w:r>
      <w:r w:rsidR="00ED3945" w:rsidRPr="00601754">
        <w:t xml:space="preserve">Determination 2005/12 - this special account operated by the Department of Human Services is expected to be abolished from 1 </w:t>
      </w:r>
      <w:r>
        <w:t xml:space="preserve">July 2011 </w:t>
      </w:r>
      <w:r w:rsidR="005C6C68">
        <w:t>subject to the</w:t>
      </w:r>
      <w:r>
        <w:t xml:space="preserve"> passage of the</w:t>
      </w:r>
      <w:r w:rsidR="00ED3945" w:rsidRPr="00601754">
        <w:t xml:space="preserve"> </w:t>
      </w:r>
      <w:r w:rsidR="005A1122" w:rsidRPr="005735CF">
        <w:rPr>
          <w:i/>
        </w:rPr>
        <w:t xml:space="preserve">Human Services Legislation Amendment Bill 2011 </w:t>
      </w:r>
      <w:r w:rsidR="00ED3945" w:rsidRPr="00601754">
        <w:t xml:space="preserve">currently before Parliament and a consequent determination made under s20 of the </w:t>
      </w:r>
      <w:r w:rsidR="00ED3945" w:rsidRPr="006D2FCC">
        <w:rPr>
          <w:i/>
        </w:rPr>
        <w:t>FMA Act</w:t>
      </w:r>
      <w:r w:rsidR="00ED3945" w:rsidRPr="00601754">
        <w:t xml:space="preserve">. </w:t>
      </w:r>
    </w:p>
    <w:p w:rsidR="00601754" w:rsidRPr="00601754" w:rsidRDefault="00ED3945" w:rsidP="00F06396">
      <w:pPr>
        <w:pStyle w:val="ChartandTableFootnote"/>
        <w:numPr>
          <w:ilvl w:val="0"/>
          <w:numId w:val="18"/>
        </w:numPr>
        <w:tabs>
          <w:tab w:val="clear" w:pos="284"/>
          <w:tab w:val="clear" w:pos="720"/>
          <w:tab w:val="num" w:pos="300"/>
        </w:tabs>
        <w:ind w:left="300" w:hanging="300"/>
      </w:pPr>
      <w:r w:rsidRPr="00601754">
        <w:t>Commonwealth Service Delivery Ag</w:t>
      </w:r>
      <w:r w:rsidR="0099058D">
        <w:t>ency Other Trust Moneys Account</w:t>
      </w:r>
      <w:r w:rsidRPr="00601754">
        <w:t xml:space="preserve"> </w:t>
      </w:r>
      <w:r w:rsidR="0099058D">
        <w:t xml:space="preserve">- </w:t>
      </w:r>
      <w:r w:rsidRPr="00601754">
        <w:t xml:space="preserve">s20 </w:t>
      </w:r>
      <w:r w:rsidRPr="006D2FCC">
        <w:rPr>
          <w:i/>
        </w:rPr>
        <w:t>FMA Act</w:t>
      </w:r>
      <w:r w:rsidRPr="00601754">
        <w:t xml:space="preserve"> Determination 2001/4 - this special account operated by Centrelink in 2010-11 is expected to be a</w:t>
      </w:r>
      <w:r w:rsidR="00A85C2E">
        <w:t xml:space="preserve">bolished from 1 July 2011 </w:t>
      </w:r>
      <w:r w:rsidR="005667E3">
        <w:t>subject to the</w:t>
      </w:r>
      <w:r w:rsidR="00601754" w:rsidRPr="00601754">
        <w:t xml:space="preserve"> passage of the</w:t>
      </w:r>
      <w:r w:rsidRPr="00601754">
        <w:t xml:space="preserve"> </w:t>
      </w:r>
      <w:r w:rsidR="005A1122" w:rsidRPr="005735CF">
        <w:rPr>
          <w:i/>
        </w:rPr>
        <w:t xml:space="preserve">Human Services Legislation Amendment Bill 2011 </w:t>
      </w:r>
      <w:r w:rsidRPr="00601754">
        <w:t xml:space="preserve">currently before Parliament and a consequent determination made under s20 of the </w:t>
      </w:r>
      <w:r w:rsidRPr="006D2FCC">
        <w:rPr>
          <w:i/>
        </w:rPr>
        <w:t>FMA Act</w:t>
      </w:r>
      <w:r w:rsidRPr="00601754">
        <w:t xml:space="preserve">. </w:t>
      </w:r>
    </w:p>
    <w:p w:rsidR="00601754" w:rsidRPr="00601754" w:rsidRDefault="00ED3945" w:rsidP="00F06396">
      <w:pPr>
        <w:pStyle w:val="ChartandTableFootnote"/>
        <w:numPr>
          <w:ilvl w:val="0"/>
          <w:numId w:val="18"/>
        </w:numPr>
        <w:tabs>
          <w:tab w:val="clear" w:pos="284"/>
          <w:tab w:val="clear" w:pos="720"/>
          <w:tab w:val="num" w:pos="300"/>
        </w:tabs>
        <w:ind w:left="300" w:hanging="300"/>
      </w:pPr>
      <w:r w:rsidRPr="00601754">
        <w:t xml:space="preserve">Services for Other Entities and Trust Moneys - Medicare Australia Special Account, s20 </w:t>
      </w:r>
      <w:r w:rsidRPr="006D2FCC">
        <w:rPr>
          <w:i/>
        </w:rPr>
        <w:t xml:space="preserve">FMA Act </w:t>
      </w:r>
      <w:r w:rsidR="00B3032A">
        <w:t>Determination 2009</w:t>
      </w:r>
      <w:r w:rsidRPr="00601754">
        <w:t>/</w:t>
      </w:r>
      <w:r w:rsidR="00B3032A">
        <w:t>18</w:t>
      </w:r>
      <w:r w:rsidRPr="00601754">
        <w:t xml:space="preserve"> - this special account operated by Medicare Australia in 2010-11 is expected to be abolished from 1 J</w:t>
      </w:r>
      <w:r w:rsidR="00601754" w:rsidRPr="00601754">
        <w:t xml:space="preserve">uly 2011 </w:t>
      </w:r>
      <w:r w:rsidR="005667E3">
        <w:t>subject to the</w:t>
      </w:r>
      <w:r w:rsidR="00A85C2E">
        <w:t xml:space="preserve"> </w:t>
      </w:r>
      <w:r w:rsidR="00601754" w:rsidRPr="00601754">
        <w:t>passage of the</w:t>
      </w:r>
      <w:r w:rsidRPr="00601754">
        <w:t xml:space="preserve"> </w:t>
      </w:r>
      <w:r w:rsidR="005A1122" w:rsidRPr="005735CF">
        <w:rPr>
          <w:i/>
        </w:rPr>
        <w:t xml:space="preserve">Human Services Legislation Amendment Bill 2011 </w:t>
      </w:r>
      <w:r w:rsidRPr="00601754">
        <w:t xml:space="preserve">currently before Parliament and a consequent determination made under s20 of the </w:t>
      </w:r>
      <w:r w:rsidRPr="006D2FCC">
        <w:rPr>
          <w:i/>
        </w:rPr>
        <w:t>FMA Act</w:t>
      </w:r>
      <w:r w:rsidRPr="00601754">
        <w:t xml:space="preserve">. </w:t>
      </w:r>
    </w:p>
    <w:p w:rsidR="00ED3945" w:rsidRPr="00601754" w:rsidRDefault="00ED3945" w:rsidP="00F06396">
      <w:pPr>
        <w:pStyle w:val="ChartandTableFootnote"/>
        <w:numPr>
          <w:ilvl w:val="0"/>
          <w:numId w:val="18"/>
        </w:numPr>
        <w:tabs>
          <w:tab w:val="clear" w:pos="284"/>
          <w:tab w:val="clear" w:pos="720"/>
          <w:tab w:val="num" w:pos="300"/>
        </w:tabs>
        <w:ind w:left="300" w:hanging="300"/>
      </w:pPr>
      <w:r w:rsidRPr="00601754">
        <w:t>Services for O</w:t>
      </w:r>
      <w:r w:rsidR="00FE5F57">
        <w:t>ther Entities and Trust Moneys -</w:t>
      </w:r>
      <w:r w:rsidRPr="00601754">
        <w:t xml:space="preserve"> Department of Human Services Special Account</w:t>
      </w:r>
      <w:r w:rsidR="00FE5F57">
        <w:t>.</w:t>
      </w:r>
      <w:r w:rsidRPr="00601754">
        <w:t xml:space="preserve"> </w:t>
      </w:r>
      <w:r w:rsidR="00FE5F57">
        <w:t>T</w:t>
      </w:r>
      <w:r w:rsidRPr="00601754">
        <w:t>his special account is expected to commence on 1 Ju</w:t>
      </w:r>
      <w:r w:rsidR="00601754" w:rsidRPr="00601754">
        <w:t xml:space="preserve">ly 2011 </w:t>
      </w:r>
      <w:r w:rsidR="005667E3">
        <w:t>subject to the</w:t>
      </w:r>
      <w:r w:rsidR="00601754" w:rsidRPr="00601754">
        <w:t xml:space="preserve"> passage of the </w:t>
      </w:r>
      <w:r w:rsidR="005A1122" w:rsidRPr="005735CF">
        <w:rPr>
          <w:i/>
        </w:rPr>
        <w:t xml:space="preserve">Human Services Legislation Amendment Bill 2011 </w:t>
      </w:r>
      <w:r w:rsidRPr="00601754">
        <w:t xml:space="preserve">currently before Parliament and a consequent determination made under s20 of the </w:t>
      </w:r>
      <w:r w:rsidRPr="006D2FCC">
        <w:rPr>
          <w:i/>
        </w:rPr>
        <w:t>FMA Act</w:t>
      </w:r>
      <w:r w:rsidRPr="00601754">
        <w:t xml:space="preserve">. This special account will enable the Department of Human Services to hold and expend amounts on behalf of persons or entities other than the Commonwealth. The closing balances of Commonwealth Service Delivery Agency Other Trust Moneys Account (operated by Centrelink), Services for Other Entities and Trust Moneys </w:t>
      </w:r>
      <w:r w:rsidR="00FE5F57">
        <w:t>-</w:t>
      </w:r>
      <w:r w:rsidRPr="00601754">
        <w:t xml:space="preserve"> Medicare Australia Special Account (operated by Medicare Aus</w:t>
      </w:r>
      <w:r w:rsidR="00FE5F57">
        <w:t>tralia) and Other Trust Moneys -</w:t>
      </w:r>
      <w:r w:rsidRPr="00601754">
        <w:t xml:space="preserve"> Department of Human Services Special Account (operated by Department of Human Se</w:t>
      </w:r>
      <w:r w:rsidR="00601754">
        <w:t>r</w:t>
      </w:r>
      <w:r w:rsidRPr="00601754">
        <w:t>vices) are expected to be transferred to this special account from 1 July 2011.</w:t>
      </w:r>
    </w:p>
    <w:p w:rsidR="00340FD7" w:rsidRDefault="00923343" w:rsidP="00ED3945">
      <w:pPr>
        <w:pStyle w:val="Heading4"/>
        <w:jc w:val="both"/>
      </w:pPr>
      <w:r>
        <w:br w:type="page"/>
      </w:r>
      <w:r w:rsidR="00340FD7">
        <w:t>3.1.3</w:t>
      </w:r>
      <w:r w:rsidR="00340FD7">
        <w:tab/>
        <w:t>Australian Government Indigenous Expenditure</w:t>
      </w:r>
    </w:p>
    <w:p w:rsidR="00340FD7" w:rsidRDefault="00340FD7" w:rsidP="003A3E20">
      <w:pPr>
        <w:pStyle w:val="TableHeading"/>
        <w:jc w:val="both"/>
      </w:pPr>
      <w:r>
        <w:t>Table 3.1.3: Australian Government Indigenous Expenditure</w:t>
      </w:r>
      <w:r w:rsidR="00E14434">
        <w:t xml:space="preserve"> (AGIE)</w:t>
      </w:r>
    </w:p>
    <w:tbl>
      <w:tblPr>
        <w:tblW w:w="0" w:type="auto"/>
        <w:tblInd w:w="78" w:type="dxa"/>
        <w:tblLayout w:type="fixed"/>
        <w:tblLook w:val="0000" w:firstRow="0" w:lastRow="0" w:firstColumn="0" w:lastColumn="0" w:noHBand="0" w:noVBand="0"/>
      </w:tblPr>
      <w:tblGrid>
        <w:gridCol w:w="2304"/>
        <w:gridCol w:w="806"/>
        <w:gridCol w:w="646"/>
        <w:gridCol w:w="708"/>
        <w:gridCol w:w="773"/>
        <w:gridCol w:w="236"/>
        <w:gridCol w:w="789"/>
        <w:gridCol w:w="871"/>
        <w:gridCol w:w="274"/>
        <w:gridCol w:w="403"/>
      </w:tblGrid>
      <w:tr w:rsidR="006F548E" w:rsidTr="006F548E">
        <w:trPr>
          <w:trHeight w:val="216"/>
        </w:trPr>
        <w:tc>
          <w:tcPr>
            <w:tcW w:w="2304" w:type="dxa"/>
            <w:tcBorders>
              <w:top w:val="single" w:sz="2" w:space="0" w:color="auto"/>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Outcome</w:t>
            </w:r>
          </w:p>
        </w:tc>
        <w:tc>
          <w:tcPr>
            <w:tcW w:w="806" w:type="dxa"/>
            <w:gridSpan w:val="3"/>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Appropriations</w:t>
            </w:r>
          </w:p>
        </w:tc>
        <w:tc>
          <w:tcPr>
            <w:tcW w:w="773"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65" w:type="dxa"/>
            <w:tcBorders>
              <w:top w:val="single" w:sz="2" w:space="0" w:color="auto"/>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p>
        </w:tc>
        <w:tc>
          <w:tcPr>
            <w:tcW w:w="789"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Other</w:t>
            </w:r>
          </w:p>
        </w:tc>
        <w:tc>
          <w:tcPr>
            <w:tcW w:w="871" w:type="dxa"/>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Total</w:t>
            </w:r>
          </w:p>
        </w:tc>
        <w:tc>
          <w:tcPr>
            <w:tcW w:w="274" w:type="dxa"/>
            <w:gridSpan w:val="2"/>
            <w:tcBorders>
              <w:top w:val="single" w:sz="2" w:space="0" w:color="auto"/>
              <w:left w:val="nil"/>
              <w:bottom w:val="single" w:sz="2" w:space="0" w:color="auto"/>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0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Bill </w:t>
            </w:r>
          </w:p>
        </w:tc>
        <w:tc>
          <w:tcPr>
            <w:tcW w:w="64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Bill </w:t>
            </w:r>
          </w:p>
        </w:tc>
        <w:tc>
          <w:tcPr>
            <w:tcW w:w="70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Special</w:t>
            </w:r>
          </w:p>
        </w:tc>
        <w:tc>
          <w:tcPr>
            <w:tcW w:w="77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8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87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274"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40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0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No. 1</w:t>
            </w:r>
          </w:p>
        </w:tc>
        <w:tc>
          <w:tcPr>
            <w:tcW w:w="64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No. 2</w:t>
            </w:r>
          </w:p>
        </w:tc>
        <w:tc>
          <w:tcPr>
            <w:tcW w:w="70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approp</w:t>
            </w:r>
          </w:p>
        </w:tc>
        <w:tc>
          <w:tcPr>
            <w:tcW w:w="77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approp</w:t>
            </w: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8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87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274"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40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p>
        </w:tc>
        <w:tc>
          <w:tcPr>
            <w:tcW w:w="80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64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70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77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89"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w:t>
            </w:r>
          </w:p>
        </w:tc>
        <w:tc>
          <w:tcPr>
            <w:tcW w:w="871"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w:t>
            </w:r>
          </w:p>
        </w:tc>
        <w:tc>
          <w:tcPr>
            <w:tcW w:w="274"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p>
        </w:tc>
        <w:tc>
          <w:tcPr>
            <w:tcW w:w="40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14"/>
        </w:trPr>
        <w:tc>
          <w:tcPr>
            <w:tcW w:w="2304"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06"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FF0000"/>
                <w:sz w:val="16"/>
                <w:szCs w:val="16"/>
              </w:rPr>
            </w:pPr>
            <w:r>
              <w:rPr>
                <w:rFonts w:ascii="Arial" w:hAnsi="Arial" w:cs="Arial"/>
                <w:i/>
                <w:iCs/>
                <w:color w:val="FF0000"/>
                <w:sz w:val="16"/>
                <w:szCs w:val="16"/>
              </w:rPr>
              <w:t>(A)</w:t>
            </w:r>
          </w:p>
        </w:tc>
        <w:tc>
          <w:tcPr>
            <w:tcW w:w="646"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FF0000"/>
                <w:sz w:val="16"/>
                <w:szCs w:val="16"/>
              </w:rPr>
            </w:pPr>
            <w:r>
              <w:rPr>
                <w:rFonts w:ascii="Arial" w:hAnsi="Arial" w:cs="Arial"/>
                <w:i/>
                <w:iCs/>
                <w:color w:val="FF0000"/>
                <w:sz w:val="16"/>
                <w:szCs w:val="16"/>
              </w:rPr>
              <w:t>(B)</w:t>
            </w:r>
          </w:p>
        </w:tc>
        <w:tc>
          <w:tcPr>
            <w:tcW w:w="708"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FF0000"/>
                <w:sz w:val="16"/>
                <w:szCs w:val="16"/>
              </w:rPr>
            </w:pPr>
            <w:r>
              <w:rPr>
                <w:rFonts w:ascii="Arial" w:hAnsi="Arial" w:cs="Arial"/>
                <w:i/>
                <w:iCs/>
                <w:color w:val="FF0000"/>
                <w:sz w:val="16"/>
                <w:szCs w:val="16"/>
              </w:rPr>
              <w:t>(C)</w:t>
            </w:r>
          </w:p>
        </w:tc>
        <w:tc>
          <w:tcPr>
            <w:tcW w:w="773"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FF0000"/>
                <w:sz w:val="16"/>
                <w:szCs w:val="16"/>
              </w:rPr>
            </w:pPr>
            <w:r>
              <w:rPr>
                <w:rFonts w:ascii="Arial" w:hAnsi="Arial" w:cs="Arial"/>
                <w:i/>
                <w:iCs/>
                <w:color w:val="FF0000"/>
                <w:sz w:val="16"/>
                <w:szCs w:val="16"/>
              </w:rPr>
              <w:t>(D)</w:t>
            </w: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FF0000"/>
                <w:sz w:val="16"/>
                <w:szCs w:val="16"/>
              </w:rPr>
            </w:pPr>
          </w:p>
        </w:tc>
        <w:tc>
          <w:tcPr>
            <w:tcW w:w="789"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FF0000"/>
                <w:sz w:val="16"/>
                <w:szCs w:val="16"/>
              </w:rPr>
            </w:pPr>
            <w:r>
              <w:rPr>
                <w:rFonts w:ascii="Arial" w:hAnsi="Arial" w:cs="Arial"/>
                <w:i/>
                <w:iCs/>
                <w:color w:val="FF0000"/>
                <w:sz w:val="16"/>
                <w:szCs w:val="16"/>
              </w:rPr>
              <w:t>(E)</w:t>
            </w:r>
          </w:p>
        </w:tc>
        <w:tc>
          <w:tcPr>
            <w:tcW w:w="871" w:type="dxa"/>
            <w:gridSpan w:val="2"/>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FF0000"/>
                <w:sz w:val="16"/>
                <w:szCs w:val="16"/>
              </w:rPr>
            </w:pPr>
            <w:r>
              <w:rPr>
                <w:rFonts w:ascii="Arial" w:hAnsi="Arial" w:cs="Arial"/>
                <w:i/>
                <w:iCs/>
                <w:color w:val="FF0000"/>
                <w:sz w:val="16"/>
                <w:szCs w:val="16"/>
              </w:rPr>
              <w:t>(F)=(D)+(E)</w:t>
            </w:r>
          </w:p>
        </w:tc>
        <w:tc>
          <w:tcPr>
            <w:tcW w:w="403"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FF0000"/>
                <w:sz w:val="16"/>
                <w:szCs w:val="16"/>
              </w:rPr>
            </w:pPr>
            <w:r>
              <w:rPr>
                <w:rFonts w:ascii="Arial" w:hAnsi="Arial" w:cs="Arial"/>
                <w:i/>
                <w:iCs/>
                <w:color w:val="FF0000"/>
                <w:sz w:val="16"/>
                <w:szCs w:val="16"/>
              </w:rPr>
              <w:t>(G)</w:t>
            </w:r>
          </w:p>
        </w:tc>
      </w:tr>
      <w:tr w:rsidR="006F548E" w:rsidTr="006F548E">
        <w:trPr>
          <w:trHeight w:val="521"/>
        </w:trPr>
        <w:tc>
          <w:tcPr>
            <w:tcW w:w="2304" w:type="dxa"/>
            <w:gridSpan w:val="2"/>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Human Services</w:t>
            </w:r>
          </w:p>
        </w:tc>
        <w:tc>
          <w:tcPr>
            <w:tcW w:w="64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0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7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8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274"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40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80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64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0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7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8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274"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40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3120"/>
        </w:trPr>
        <w:tc>
          <w:tcPr>
            <w:tcW w:w="2304" w:type="dxa"/>
            <w:gridSpan w:val="10"/>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2011-12</w:t>
            </w:r>
          </w:p>
        </w:tc>
        <w:tc>
          <w:tcPr>
            <w:tcW w:w="80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5,006 </w:t>
            </w:r>
          </w:p>
        </w:tc>
        <w:tc>
          <w:tcPr>
            <w:tcW w:w="64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70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7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5,006 </w:t>
            </w: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8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7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5,006 </w:t>
            </w:r>
          </w:p>
        </w:tc>
        <w:tc>
          <w:tcPr>
            <w:tcW w:w="274"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403"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Administered 2010-11</w:t>
            </w:r>
          </w:p>
        </w:tc>
        <w:tc>
          <w:tcPr>
            <w:tcW w:w="80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4,846 </w:t>
            </w:r>
          </w:p>
        </w:tc>
        <w:tc>
          <w:tcPr>
            <w:tcW w:w="64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160 </w:t>
            </w:r>
          </w:p>
        </w:tc>
        <w:tc>
          <w:tcPr>
            <w:tcW w:w="70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7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5,006 </w:t>
            </w: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p>
        </w:tc>
        <w:tc>
          <w:tcPr>
            <w:tcW w:w="78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7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5,006 </w:t>
            </w:r>
          </w:p>
        </w:tc>
        <w:tc>
          <w:tcPr>
            <w:tcW w:w="274"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p>
        </w:tc>
        <w:tc>
          <w:tcPr>
            <w:tcW w:w="403"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i/>
                <w:iCs/>
                <w:color w:val="000000"/>
                <w:sz w:val="16"/>
                <w:szCs w:val="16"/>
              </w:rPr>
            </w:pPr>
            <w:r>
              <w:rPr>
                <w:rFonts w:ascii="Arial" w:hAnsi="Arial" w:cs="Arial"/>
                <w:i/>
                <w:iCs/>
                <w:color w:val="000000"/>
                <w:sz w:val="16"/>
                <w:szCs w:val="16"/>
              </w:rPr>
              <w:t>1.1</w:t>
            </w: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Departmental2011-12</w:t>
            </w:r>
          </w:p>
        </w:tc>
        <w:tc>
          <w:tcPr>
            <w:tcW w:w="80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88,082 </w:t>
            </w:r>
          </w:p>
        </w:tc>
        <w:tc>
          <w:tcPr>
            <w:tcW w:w="64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70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7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88,082 </w:t>
            </w: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8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66,319 </w:t>
            </w:r>
          </w:p>
        </w:tc>
        <w:tc>
          <w:tcPr>
            <w:tcW w:w="87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154,401 </w:t>
            </w:r>
          </w:p>
        </w:tc>
        <w:tc>
          <w:tcPr>
            <w:tcW w:w="274"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403"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Departmental 2010-11</w:t>
            </w:r>
          </w:p>
        </w:tc>
        <w:tc>
          <w:tcPr>
            <w:tcW w:w="80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89,901 </w:t>
            </w:r>
          </w:p>
        </w:tc>
        <w:tc>
          <w:tcPr>
            <w:tcW w:w="64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0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7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89,901 </w:t>
            </w: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p>
        </w:tc>
        <w:tc>
          <w:tcPr>
            <w:tcW w:w="78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69,600 </w:t>
            </w:r>
          </w:p>
        </w:tc>
        <w:tc>
          <w:tcPr>
            <w:tcW w:w="87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159,501 </w:t>
            </w:r>
          </w:p>
        </w:tc>
        <w:tc>
          <w:tcPr>
            <w:tcW w:w="274"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p>
        </w:tc>
        <w:tc>
          <w:tcPr>
            <w:tcW w:w="403" w:type="dxa"/>
            <w:tcBorders>
              <w:top w:val="nil"/>
              <w:left w:val="nil"/>
              <w:bottom w:val="nil"/>
              <w:right w:val="nil"/>
            </w:tcBorders>
          </w:tcPr>
          <w:p w:rsidR="006F548E" w:rsidRDefault="006F548E">
            <w:pPr>
              <w:autoSpaceDE w:val="0"/>
              <w:autoSpaceDN w:val="0"/>
              <w:adjustRightInd w:val="0"/>
              <w:spacing w:after="0" w:line="240" w:lineRule="auto"/>
              <w:jc w:val="center"/>
              <w:rPr>
                <w:rFonts w:ascii="Arial" w:hAnsi="Arial" w:cs="Arial"/>
                <w:i/>
                <w:iCs/>
                <w:color w:val="000000"/>
                <w:sz w:val="16"/>
                <w:szCs w:val="16"/>
              </w:rPr>
            </w:pPr>
            <w:r>
              <w:rPr>
                <w:rFonts w:ascii="Arial" w:hAnsi="Arial" w:cs="Arial"/>
                <w:i/>
                <w:iCs/>
                <w:color w:val="000000"/>
                <w:sz w:val="16"/>
                <w:szCs w:val="16"/>
              </w:rPr>
              <w:t>1.1</w:t>
            </w: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outcome2011-12</w:t>
            </w:r>
          </w:p>
        </w:tc>
        <w:tc>
          <w:tcPr>
            <w:tcW w:w="806"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93,088 </w:t>
            </w:r>
          </w:p>
        </w:tc>
        <w:tc>
          <w:tcPr>
            <w:tcW w:w="646"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708"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73"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93,088 </w:t>
            </w: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89"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66,319 </w:t>
            </w:r>
          </w:p>
        </w:tc>
        <w:tc>
          <w:tcPr>
            <w:tcW w:w="871"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159,407 </w:t>
            </w:r>
          </w:p>
        </w:tc>
        <w:tc>
          <w:tcPr>
            <w:tcW w:w="274"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p>
        </w:tc>
        <w:tc>
          <w:tcPr>
            <w:tcW w:w="403"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outcome 2010-11</w:t>
            </w:r>
          </w:p>
        </w:tc>
        <w:tc>
          <w:tcPr>
            <w:tcW w:w="806"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94,747 </w:t>
            </w:r>
          </w:p>
        </w:tc>
        <w:tc>
          <w:tcPr>
            <w:tcW w:w="646"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160 </w:t>
            </w:r>
          </w:p>
        </w:tc>
        <w:tc>
          <w:tcPr>
            <w:tcW w:w="708"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73"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94,907 </w:t>
            </w: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p>
        </w:tc>
        <w:tc>
          <w:tcPr>
            <w:tcW w:w="789"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69,600 </w:t>
            </w:r>
          </w:p>
        </w:tc>
        <w:tc>
          <w:tcPr>
            <w:tcW w:w="871"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164,507 </w:t>
            </w:r>
          </w:p>
        </w:tc>
        <w:tc>
          <w:tcPr>
            <w:tcW w:w="274"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left"/>
              <w:rPr>
                <w:rFonts w:ascii="Arial" w:hAnsi="Arial" w:cs="Arial"/>
                <w:i/>
                <w:iCs/>
                <w:color w:val="000000"/>
                <w:sz w:val="16"/>
                <w:szCs w:val="16"/>
              </w:rPr>
            </w:pPr>
          </w:p>
        </w:tc>
        <w:tc>
          <w:tcPr>
            <w:tcW w:w="403"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p>
        </w:tc>
      </w:tr>
      <w:tr w:rsidR="006F548E" w:rsidTr="006F548E">
        <w:trPr>
          <w:trHeight w:val="58"/>
        </w:trPr>
        <w:tc>
          <w:tcPr>
            <w:tcW w:w="2304"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p>
        </w:tc>
        <w:tc>
          <w:tcPr>
            <w:tcW w:w="80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64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0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7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8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274"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p>
        </w:tc>
        <w:tc>
          <w:tcPr>
            <w:tcW w:w="40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administered2011-12</w:t>
            </w:r>
          </w:p>
        </w:tc>
        <w:tc>
          <w:tcPr>
            <w:tcW w:w="806"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5,006 </w:t>
            </w:r>
          </w:p>
        </w:tc>
        <w:tc>
          <w:tcPr>
            <w:tcW w:w="646"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708"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73"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5,006 </w:t>
            </w: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89"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71"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5,006 </w:t>
            </w:r>
          </w:p>
        </w:tc>
        <w:tc>
          <w:tcPr>
            <w:tcW w:w="274" w:type="dxa"/>
            <w:tcBorders>
              <w:top w:val="nil"/>
              <w:left w:val="nil"/>
              <w:bottom w:val="single" w:sz="2" w:space="0" w:color="000000"/>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p>
        </w:tc>
        <w:tc>
          <w:tcPr>
            <w:tcW w:w="403"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administered 2010-11</w:t>
            </w:r>
          </w:p>
        </w:tc>
        <w:tc>
          <w:tcPr>
            <w:tcW w:w="806"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4,846 </w:t>
            </w:r>
          </w:p>
        </w:tc>
        <w:tc>
          <w:tcPr>
            <w:tcW w:w="646"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160 </w:t>
            </w:r>
          </w:p>
        </w:tc>
        <w:tc>
          <w:tcPr>
            <w:tcW w:w="708"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73"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5,006 </w:t>
            </w: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p>
        </w:tc>
        <w:tc>
          <w:tcPr>
            <w:tcW w:w="789"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71"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5,006 </w:t>
            </w:r>
          </w:p>
        </w:tc>
        <w:tc>
          <w:tcPr>
            <w:tcW w:w="274"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left"/>
              <w:rPr>
                <w:rFonts w:ascii="Arial" w:hAnsi="Arial" w:cs="Arial"/>
                <w:i/>
                <w:iCs/>
                <w:color w:val="000000"/>
                <w:sz w:val="16"/>
                <w:szCs w:val="16"/>
                <w:vertAlign w:val="superscript"/>
              </w:rPr>
            </w:pPr>
            <w:r>
              <w:rPr>
                <w:rFonts w:ascii="Arial" w:hAnsi="Arial" w:cs="Arial"/>
                <w:i/>
                <w:iCs/>
                <w:color w:val="000000"/>
                <w:sz w:val="16"/>
                <w:szCs w:val="16"/>
                <w:vertAlign w:val="superscript"/>
              </w:rPr>
              <w:t>1</w:t>
            </w:r>
          </w:p>
        </w:tc>
        <w:tc>
          <w:tcPr>
            <w:tcW w:w="403"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p>
        </w:tc>
      </w:tr>
      <w:tr w:rsidR="006F548E" w:rsidTr="006F548E">
        <w:trPr>
          <w:trHeight w:val="58"/>
        </w:trPr>
        <w:tc>
          <w:tcPr>
            <w:tcW w:w="2304"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06"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646"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08"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73"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89"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71"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274" w:type="dxa"/>
            <w:tcBorders>
              <w:top w:val="single" w:sz="2" w:space="0" w:color="000000"/>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p>
        </w:tc>
        <w:tc>
          <w:tcPr>
            <w:tcW w:w="403"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departmental2011-12</w:t>
            </w:r>
          </w:p>
        </w:tc>
        <w:tc>
          <w:tcPr>
            <w:tcW w:w="806"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88,082 </w:t>
            </w:r>
          </w:p>
        </w:tc>
        <w:tc>
          <w:tcPr>
            <w:tcW w:w="646"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708"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73"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88,082 </w:t>
            </w: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89"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66,319 </w:t>
            </w:r>
          </w:p>
        </w:tc>
        <w:tc>
          <w:tcPr>
            <w:tcW w:w="871"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154,401 </w:t>
            </w:r>
          </w:p>
        </w:tc>
        <w:tc>
          <w:tcPr>
            <w:tcW w:w="274" w:type="dxa"/>
            <w:tcBorders>
              <w:top w:val="nil"/>
              <w:left w:val="nil"/>
              <w:bottom w:val="single" w:sz="2" w:space="0" w:color="000000"/>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p>
        </w:tc>
        <w:tc>
          <w:tcPr>
            <w:tcW w:w="403"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departmental 2010-11</w:t>
            </w:r>
          </w:p>
        </w:tc>
        <w:tc>
          <w:tcPr>
            <w:tcW w:w="806"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89,901 </w:t>
            </w:r>
          </w:p>
        </w:tc>
        <w:tc>
          <w:tcPr>
            <w:tcW w:w="646"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08"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73"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89,901 </w:t>
            </w: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p>
        </w:tc>
        <w:tc>
          <w:tcPr>
            <w:tcW w:w="789"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69,600 </w:t>
            </w:r>
          </w:p>
        </w:tc>
        <w:tc>
          <w:tcPr>
            <w:tcW w:w="871"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159,501 </w:t>
            </w:r>
          </w:p>
        </w:tc>
        <w:tc>
          <w:tcPr>
            <w:tcW w:w="274"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left"/>
              <w:rPr>
                <w:rFonts w:ascii="Arial" w:hAnsi="Arial" w:cs="Arial"/>
                <w:i/>
                <w:iCs/>
                <w:color w:val="000000"/>
                <w:sz w:val="16"/>
                <w:szCs w:val="16"/>
                <w:vertAlign w:val="superscript"/>
              </w:rPr>
            </w:pPr>
            <w:r>
              <w:rPr>
                <w:rFonts w:ascii="Arial" w:hAnsi="Arial" w:cs="Arial"/>
                <w:i/>
                <w:iCs/>
                <w:color w:val="000000"/>
                <w:sz w:val="16"/>
                <w:szCs w:val="16"/>
                <w:vertAlign w:val="superscript"/>
              </w:rPr>
              <w:t>1</w:t>
            </w:r>
          </w:p>
        </w:tc>
        <w:tc>
          <w:tcPr>
            <w:tcW w:w="403"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p>
        </w:tc>
      </w:tr>
      <w:tr w:rsidR="006F548E" w:rsidTr="006F548E">
        <w:trPr>
          <w:trHeight w:val="58"/>
        </w:trPr>
        <w:tc>
          <w:tcPr>
            <w:tcW w:w="2304"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06"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646"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08"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73"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89"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71"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274" w:type="dxa"/>
            <w:tcBorders>
              <w:top w:val="single" w:sz="2" w:space="0" w:color="000000"/>
              <w:left w:val="nil"/>
              <w:bottom w:val="nil"/>
              <w:right w:val="nil"/>
            </w:tcBorders>
          </w:tcPr>
          <w:p w:rsidR="006F548E" w:rsidRDefault="006F548E">
            <w:pPr>
              <w:autoSpaceDE w:val="0"/>
              <w:autoSpaceDN w:val="0"/>
              <w:adjustRightInd w:val="0"/>
              <w:spacing w:after="0" w:line="240" w:lineRule="auto"/>
              <w:jc w:val="left"/>
              <w:rPr>
                <w:rFonts w:ascii="Arial" w:hAnsi="Arial" w:cs="Arial"/>
                <w:color w:val="000000"/>
                <w:sz w:val="16"/>
                <w:szCs w:val="16"/>
              </w:rPr>
            </w:pPr>
          </w:p>
        </w:tc>
        <w:tc>
          <w:tcPr>
            <w:tcW w:w="403" w:type="dxa"/>
            <w:tcBorders>
              <w:top w:val="single" w:sz="2" w:space="0" w:color="000000"/>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AGIE 2011-12</w:t>
            </w:r>
          </w:p>
        </w:tc>
        <w:tc>
          <w:tcPr>
            <w:tcW w:w="806"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93,088 </w:t>
            </w:r>
          </w:p>
        </w:tc>
        <w:tc>
          <w:tcPr>
            <w:tcW w:w="646"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708"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773"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93,088 </w:t>
            </w: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p>
        </w:tc>
        <w:tc>
          <w:tcPr>
            <w:tcW w:w="789"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66,319 </w:t>
            </w:r>
          </w:p>
        </w:tc>
        <w:tc>
          <w:tcPr>
            <w:tcW w:w="871"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159,407 </w:t>
            </w:r>
          </w:p>
        </w:tc>
        <w:tc>
          <w:tcPr>
            <w:tcW w:w="274" w:type="dxa"/>
            <w:tcBorders>
              <w:top w:val="nil"/>
              <w:left w:val="nil"/>
              <w:bottom w:val="single" w:sz="2" w:space="0" w:color="000000"/>
              <w:right w:val="nil"/>
            </w:tcBorders>
          </w:tcPr>
          <w:p w:rsidR="006F548E" w:rsidRDefault="006F548E">
            <w:pPr>
              <w:autoSpaceDE w:val="0"/>
              <w:autoSpaceDN w:val="0"/>
              <w:adjustRightInd w:val="0"/>
              <w:spacing w:after="0" w:line="240" w:lineRule="auto"/>
              <w:jc w:val="left"/>
              <w:rPr>
                <w:rFonts w:ascii="Arial" w:hAnsi="Arial" w:cs="Arial"/>
                <w:b/>
                <w:bCs/>
                <w:color w:val="000000"/>
                <w:sz w:val="16"/>
                <w:szCs w:val="16"/>
              </w:rPr>
            </w:pPr>
          </w:p>
        </w:tc>
        <w:tc>
          <w:tcPr>
            <w:tcW w:w="403"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r w:rsidR="006F548E" w:rsidTr="006F548E">
        <w:trPr>
          <w:trHeight w:val="216"/>
        </w:trPr>
        <w:tc>
          <w:tcPr>
            <w:tcW w:w="2304" w:type="dxa"/>
            <w:tcBorders>
              <w:top w:val="nil"/>
              <w:left w:val="nil"/>
              <w:bottom w:val="single" w:sz="2" w:space="0" w:color="000000"/>
              <w:right w:val="nil"/>
            </w:tcBorders>
          </w:tcPr>
          <w:p w:rsidR="006F548E" w:rsidRDefault="006F548E">
            <w:pPr>
              <w:autoSpaceDE w:val="0"/>
              <w:autoSpaceDN w:val="0"/>
              <w:adjustRightInd w:val="0"/>
              <w:spacing w:after="0" w:line="240" w:lineRule="auto"/>
              <w:jc w:val="left"/>
              <w:rPr>
                <w:rFonts w:ascii="Arial" w:hAnsi="Arial" w:cs="Arial"/>
                <w:i/>
                <w:iCs/>
                <w:color w:val="000000"/>
                <w:sz w:val="16"/>
                <w:szCs w:val="16"/>
                <w:vertAlign w:val="superscript"/>
              </w:rPr>
            </w:pPr>
            <w:r>
              <w:rPr>
                <w:rFonts w:ascii="Arial" w:hAnsi="Arial" w:cs="Arial"/>
                <w:i/>
                <w:iCs/>
                <w:color w:val="000000"/>
                <w:sz w:val="16"/>
                <w:szCs w:val="16"/>
              </w:rPr>
              <w:t>Total AGIE 2010-11</w:t>
            </w:r>
            <w:r>
              <w:rPr>
                <w:rFonts w:ascii="Arial" w:hAnsi="Arial" w:cs="Arial"/>
                <w:i/>
                <w:iCs/>
                <w:color w:val="000000"/>
                <w:sz w:val="16"/>
                <w:szCs w:val="16"/>
                <w:vertAlign w:val="superscript"/>
              </w:rPr>
              <w:t>1</w:t>
            </w:r>
          </w:p>
        </w:tc>
        <w:tc>
          <w:tcPr>
            <w:tcW w:w="806"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94,747 </w:t>
            </w:r>
          </w:p>
        </w:tc>
        <w:tc>
          <w:tcPr>
            <w:tcW w:w="646"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160 </w:t>
            </w:r>
          </w:p>
        </w:tc>
        <w:tc>
          <w:tcPr>
            <w:tcW w:w="708"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773"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94,907 </w:t>
            </w:r>
          </w:p>
        </w:tc>
        <w:tc>
          <w:tcPr>
            <w:tcW w:w="65" w:type="dxa"/>
            <w:tcBorders>
              <w:top w:val="nil"/>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p>
        </w:tc>
        <w:tc>
          <w:tcPr>
            <w:tcW w:w="789"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69,600 </w:t>
            </w:r>
          </w:p>
        </w:tc>
        <w:tc>
          <w:tcPr>
            <w:tcW w:w="871"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164,507 </w:t>
            </w:r>
          </w:p>
        </w:tc>
        <w:tc>
          <w:tcPr>
            <w:tcW w:w="274"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left"/>
              <w:rPr>
                <w:rFonts w:ascii="Arial" w:hAnsi="Arial" w:cs="Arial"/>
                <w:i/>
                <w:iCs/>
                <w:color w:val="000000"/>
                <w:sz w:val="16"/>
                <w:szCs w:val="16"/>
                <w:vertAlign w:val="superscript"/>
              </w:rPr>
            </w:pPr>
            <w:r>
              <w:rPr>
                <w:rFonts w:ascii="Arial" w:hAnsi="Arial" w:cs="Arial"/>
                <w:i/>
                <w:iCs/>
                <w:color w:val="000000"/>
                <w:sz w:val="16"/>
                <w:szCs w:val="16"/>
                <w:vertAlign w:val="superscript"/>
              </w:rPr>
              <w:t>1</w:t>
            </w:r>
          </w:p>
        </w:tc>
        <w:tc>
          <w:tcPr>
            <w:tcW w:w="403" w:type="dxa"/>
            <w:tcBorders>
              <w:top w:val="single" w:sz="2" w:space="0" w:color="000000"/>
              <w:left w:val="nil"/>
              <w:bottom w:val="single" w:sz="2" w:space="0" w:color="000000"/>
              <w:right w:val="nil"/>
            </w:tcBorders>
          </w:tcPr>
          <w:p w:rsidR="006F548E" w:rsidRDefault="006F548E">
            <w:pPr>
              <w:autoSpaceDE w:val="0"/>
              <w:autoSpaceDN w:val="0"/>
              <w:adjustRightInd w:val="0"/>
              <w:spacing w:after="0" w:line="240" w:lineRule="auto"/>
              <w:jc w:val="right"/>
              <w:rPr>
                <w:rFonts w:ascii="Arial" w:hAnsi="Arial" w:cs="Arial"/>
                <w:i/>
                <w:iCs/>
                <w:color w:val="000000"/>
                <w:sz w:val="16"/>
                <w:szCs w:val="16"/>
              </w:rPr>
            </w:pPr>
          </w:p>
        </w:tc>
      </w:tr>
      <w:tr w:rsidR="006F548E" w:rsidTr="006F548E">
        <w:trPr>
          <w:trHeight w:val="216"/>
        </w:trPr>
        <w:tc>
          <w:tcPr>
            <w:tcW w:w="2304"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0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646"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08"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7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65"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789"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274"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c>
          <w:tcPr>
            <w:tcW w:w="403" w:type="dxa"/>
            <w:tcBorders>
              <w:top w:val="nil"/>
              <w:left w:val="nil"/>
              <w:bottom w:val="nil"/>
              <w:right w:val="nil"/>
            </w:tcBorders>
          </w:tcPr>
          <w:p w:rsidR="006F548E" w:rsidRDefault="006F548E">
            <w:pPr>
              <w:autoSpaceDE w:val="0"/>
              <w:autoSpaceDN w:val="0"/>
              <w:adjustRightInd w:val="0"/>
              <w:spacing w:after="0" w:line="240" w:lineRule="auto"/>
              <w:jc w:val="right"/>
              <w:rPr>
                <w:rFonts w:ascii="Arial" w:hAnsi="Arial" w:cs="Arial"/>
                <w:color w:val="000000"/>
                <w:sz w:val="16"/>
                <w:szCs w:val="16"/>
              </w:rPr>
            </w:pPr>
          </w:p>
        </w:tc>
      </w:tr>
    </w:tbl>
    <w:p w:rsidR="00E92D72" w:rsidRPr="000E77B7" w:rsidRDefault="00E92D72" w:rsidP="00E92D72">
      <w:pPr>
        <w:pStyle w:val="Source"/>
        <w:rPr>
          <w:sz w:val="4"/>
          <w:szCs w:val="4"/>
        </w:rPr>
      </w:pPr>
    </w:p>
    <w:p w:rsidR="00120AF7" w:rsidRPr="00120AF7" w:rsidRDefault="00E92D72" w:rsidP="00F06396">
      <w:pPr>
        <w:pStyle w:val="Source"/>
        <w:numPr>
          <w:ilvl w:val="0"/>
          <w:numId w:val="23"/>
        </w:numPr>
        <w:tabs>
          <w:tab w:val="clear" w:pos="284"/>
          <w:tab w:val="clear" w:pos="720"/>
          <w:tab w:val="num" w:pos="300"/>
        </w:tabs>
        <w:ind w:left="300" w:hanging="300"/>
        <w:jc w:val="left"/>
        <w:rPr>
          <w:i/>
        </w:rPr>
      </w:pPr>
      <w:r w:rsidRPr="00D4501D">
        <w:t xml:space="preserve">The Department of Human Services, Centrelink and Medicare Australia will be </w:t>
      </w:r>
      <w:r w:rsidR="00BC5951">
        <w:t>integrated</w:t>
      </w:r>
      <w:r w:rsidRPr="00D4501D">
        <w:t xml:space="preserve"> on 1 July 2011 into a single agency </w:t>
      </w:r>
      <w:r w:rsidR="0008295B">
        <w:t>subject to</w:t>
      </w:r>
      <w:r w:rsidR="000C37C9">
        <w:t xml:space="preserve"> the passage</w:t>
      </w:r>
      <w:r w:rsidRPr="00D4501D">
        <w:t xml:space="preserve"> of the </w:t>
      </w:r>
      <w:r w:rsidR="005A1122" w:rsidRPr="005735CF">
        <w:rPr>
          <w:i/>
        </w:rPr>
        <w:t xml:space="preserve">Human Services Legislation Amendment Bill 2011 </w:t>
      </w:r>
      <w:r w:rsidRPr="00D4501D">
        <w:t>currently before Parliament. Actual available appropriations for 2010-11 shows the combined amounts for the three agencies</w:t>
      </w:r>
      <w:r w:rsidR="00120AF7">
        <w:t>:</w:t>
      </w:r>
      <w:r w:rsidR="00926455">
        <w:t xml:space="preserve"> </w:t>
      </w:r>
    </w:p>
    <w:p w:rsidR="00120AF7" w:rsidRDefault="00D93012" w:rsidP="00120AF7">
      <w:pPr>
        <w:pStyle w:val="Source"/>
        <w:numPr>
          <w:ilvl w:val="0"/>
          <w:numId w:val="24"/>
        </w:numPr>
        <w:tabs>
          <w:tab w:val="clear" w:pos="284"/>
        </w:tabs>
        <w:jc w:val="left"/>
      </w:pPr>
      <w:r>
        <w:t xml:space="preserve">Total administered 2010-11 </w:t>
      </w:r>
      <w:r w:rsidRPr="00D4501D">
        <w:t>is made up of</w:t>
      </w:r>
      <w:r w:rsidR="00120AF7">
        <w:t>: DHS $5</w:t>
      </w:r>
      <w:r w:rsidR="00AF33E5">
        <w:t>.</w:t>
      </w:r>
      <w:r w:rsidR="00120AF7">
        <w:t>006</w:t>
      </w:r>
      <w:r w:rsidR="00AF33E5">
        <w:t>m</w:t>
      </w:r>
      <w:r w:rsidR="00120AF7">
        <w:t>.</w:t>
      </w:r>
    </w:p>
    <w:p w:rsidR="00120AF7" w:rsidRDefault="00D93012" w:rsidP="00120AF7">
      <w:pPr>
        <w:pStyle w:val="Source"/>
        <w:numPr>
          <w:ilvl w:val="0"/>
          <w:numId w:val="24"/>
        </w:numPr>
        <w:tabs>
          <w:tab w:val="clear" w:pos="284"/>
        </w:tabs>
        <w:jc w:val="left"/>
        <w:rPr>
          <w:i/>
        </w:rPr>
      </w:pPr>
      <w:r>
        <w:t xml:space="preserve">Total departmental 2010-11 </w:t>
      </w:r>
      <w:r w:rsidRPr="00D4501D">
        <w:t>is made up of</w:t>
      </w:r>
      <w:r>
        <w:t>: DHS $1</w:t>
      </w:r>
      <w:r w:rsidR="00AF33E5">
        <w:t>.254m</w:t>
      </w:r>
      <w:r>
        <w:t>; Centrelink $151</w:t>
      </w:r>
      <w:r w:rsidR="00AF33E5">
        <w:t>.</w:t>
      </w:r>
      <w:r>
        <w:t>101</w:t>
      </w:r>
      <w:r w:rsidR="00AF33E5">
        <w:t>m</w:t>
      </w:r>
      <w:r>
        <w:t xml:space="preserve"> and Medicare Australia $7</w:t>
      </w:r>
      <w:r w:rsidR="00AF33E5">
        <w:t>.</w:t>
      </w:r>
      <w:r>
        <w:t>146</w:t>
      </w:r>
      <w:r w:rsidR="00AF33E5">
        <w:t>m</w:t>
      </w:r>
      <w:r w:rsidR="00120AF7">
        <w:t>.</w:t>
      </w:r>
    </w:p>
    <w:p w:rsidR="00120AF7" w:rsidRPr="00120AF7" w:rsidRDefault="00E92D72" w:rsidP="00120AF7">
      <w:pPr>
        <w:pStyle w:val="Source"/>
        <w:numPr>
          <w:ilvl w:val="0"/>
          <w:numId w:val="24"/>
        </w:numPr>
        <w:tabs>
          <w:tab w:val="clear" w:pos="284"/>
        </w:tabs>
        <w:jc w:val="left"/>
        <w:rPr>
          <w:i/>
        </w:rPr>
      </w:pPr>
      <w:r w:rsidRPr="00D4501D">
        <w:t xml:space="preserve">Total AGIE </w:t>
      </w:r>
      <w:r w:rsidR="00CB07EB">
        <w:t xml:space="preserve">for </w:t>
      </w:r>
      <w:r w:rsidRPr="00D4501D">
        <w:t>2010-11 is made up of</w:t>
      </w:r>
      <w:r w:rsidR="00AF33E5">
        <w:t xml:space="preserve">: </w:t>
      </w:r>
      <w:r w:rsidRPr="00D4501D">
        <w:t>DHS $</w:t>
      </w:r>
      <w:r w:rsidR="00D4501D" w:rsidRPr="00D4501D">
        <w:t>6</w:t>
      </w:r>
      <w:r w:rsidR="00AF33E5">
        <w:t>.</w:t>
      </w:r>
      <w:r w:rsidR="00D4501D" w:rsidRPr="00D4501D">
        <w:t>260</w:t>
      </w:r>
      <w:r w:rsidR="00AF33E5">
        <w:t>m</w:t>
      </w:r>
      <w:r w:rsidRPr="00D4501D">
        <w:t xml:space="preserve">; Centrelink </w:t>
      </w:r>
      <w:r w:rsidR="00D4501D" w:rsidRPr="00D4501D">
        <w:t>$151</w:t>
      </w:r>
      <w:r w:rsidR="00AF33E5">
        <w:t>.</w:t>
      </w:r>
      <w:r w:rsidR="00D4501D" w:rsidRPr="00D4501D">
        <w:t>101</w:t>
      </w:r>
      <w:r w:rsidR="00AF33E5">
        <w:t>m</w:t>
      </w:r>
      <w:r w:rsidR="00D4501D" w:rsidRPr="00D4501D">
        <w:t xml:space="preserve"> and</w:t>
      </w:r>
      <w:r w:rsidR="00926455">
        <w:rPr>
          <w:i/>
        </w:rPr>
        <w:t xml:space="preserve"> </w:t>
      </w:r>
      <w:r w:rsidR="00D4501D" w:rsidRPr="00D4501D">
        <w:t xml:space="preserve">Medicare </w:t>
      </w:r>
      <w:r w:rsidRPr="00D4501D">
        <w:t>Australia $</w:t>
      </w:r>
      <w:r w:rsidR="00D4501D" w:rsidRPr="00D4501D">
        <w:t>7</w:t>
      </w:r>
      <w:r w:rsidR="00AF33E5">
        <w:t>.</w:t>
      </w:r>
      <w:r w:rsidR="00D4501D" w:rsidRPr="00D4501D">
        <w:t>146</w:t>
      </w:r>
      <w:r w:rsidR="00AF33E5">
        <w:t>m</w:t>
      </w:r>
      <w:r w:rsidRPr="00D4501D">
        <w:t>.</w:t>
      </w:r>
    </w:p>
    <w:p w:rsidR="00340FD7" w:rsidRPr="00D4501D" w:rsidRDefault="00340FD7" w:rsidP="00EC379B">
      <w:pPr>
        <w:pStyle w:val="Heading3"/>
        <w:rPr>
          <w:i/>
        </w:rPr>
      </w:pPr>
      <w:r w:rsidRPr="00D4501D">
        <w:br w:type="page"/>
      </w:r>
      <w:bookmarkStart w:id="44" w:name="_Toc190682317"/>
      <w:bookmarkStart w:id="45" w:name="_Ref291676894"/>
      <w:r w:rsidRPr="00120AF7">
        <w:t>3.2</w:t>
      </w:r>
      <w:r w:rsidRPr="00120AF7">
        <w:tab/>
      </w:r>
      <w:smartTag w:uri="urn:schemas-microsoft-com:office:smarttags" w:element="PersonName">
        <w:r w:rsidRPr="00120AF7">
          <w:t>Budget</w:t>
        </w:r>
      </w:smartTag>
      <w:r w:rsidRPr="00120AF7">
        <w:t>ed financial statements</w:t>
      </w:r>
      <w:bookmarkEnd w:id="44"/>
      <w:bookmarkEnd w:id="45"/>
    </w:p>
    <w:p w:rsidR="00340FD7" w:rsidRDefault="00340FD7" w:rsidP="003A3E20">
      <w:pPr>
        <w:pStyle w:val="Heading4"/>
        <w:jc w:val="both"/>
      </w:pPr>
      <w:r>
        <w:t>3.2.1</w:t>
      </w:r>
      <w:r>
        <w:tab/>
        <w:t>Differences in agency resourcing and financial statements</w:t>
      </w:r>
    </w:p>
    <w:p w:rsidR="00C62AA0" w:rsidRDefault="00C62AA0" w:rsidP="00C62AA0">
      <w:pPr>
        <w:pStyle w:val="Exampletext"/>
        <w:rPr>
          <w:i w:val="0"/>
          <w:color w:val="auto"/>
        </w:rPr>
      </w:pPr>
      <w:r>
        <w:rPr>
          <w:i w:val="0"/>
          <w:color w:val="auto"/>
        </w:rPr>
        <w:t>The agency resource statement in Table 1.1 shows how the 201</w:t>
      </w:r>
      <w:r w:rsidR="005528B6">
        <w:rPr>
          <w:i w:val="0"/>
          <w:color w:val="auto"/>
        </w:rPr>
        <w:t>1</w:t>
      </w:r>
      <w:r>
        <w:rPr>
          <w:i w:val="0"/>
          <w:color w:val="auto"/>
        </w:rPr>
        <w:t>-1</w:t>
      </w:r>
      <w:r w:rsidR="005528B6">
        <w:rPr>
          <w:i w:val="0"/>
          <w:color w:val="auto"/>
        </w:rPr>
        <w:t>2</w:t>
      </w:r>
      <w:r>
        <w:rPr>
          <w:i w:val="0"/>
          <w:color w:val="auto"/>
        </w:rPr>
        <w:t xml:space="preserve"> </w:t>
      </w:r>
      <w:smartTag w:uri="urn:schemas-microsoft-com:office:smarttags" w:element="PersonName">
        <w:r>
          <w:rPr>
            <w:i w:val="0"/>
            <w:color w:val="auto"/>
          </w:rPr>
          <w:t>Budget</w:t>
        </w:r>
      </w:smartTag>
      <w:r>
        <w:rPr>
          <w:i w:val="0"/>
          <w:color w:val="auto"/>
        </w:rPr>
        <w:t xml:space="preserve"> appropriations translate to total resourcing for Outcome 1, including administered expenses, revenue from government (appropriation), receipts from other sources, and Special Account receipts.</w:t>
      </w:r>
    </w:p>
    <w:p w:rsidR="00C62AA0" w:rsidRPr="004D73FA" w:rsidRDefault="00C62AA0" w:rsidP="00C62AA0">
      <w:pPr>
        <w:pStyle w:val="Exampletext"/>
        <w:rPr>
          <w:i w:val="0"/>
          <w:color w:val="auto"/>
        </w:rPr>
      </w:pPr>
      <w:r>
        <w:rPr>
          <w:i w:val="0"/>
          <w:color w:val="auto"/>
        </w:rPr>
        <w:t xml:space="preserve">A brief analysis of the </w:t>
      </w:r>
      <w:r w:rsidR="005528B6">
        <w:rPr>
          <w:i w:val="0"/>
          <w:color w:val="auto"/>
        </w:rPr>
        <w:t xml:space="preserve">Department of </w:t>
      </w:r>
      <w:r>
        <w:rPr>
          <w:i w:val="0"/>
          <w:color w:val="auto"/>
        </w:rPr>
        <w:t>Human Services budgeted financial statements is provided below.</w:t>
      </w:r>
    </w:p>
    <w:p w:rsidR="00340FD7" w:rsidRDefault="00340FD7" w:rsidP="003A3E20">
      <w:pPr>
        <w:pStyle w:val="Heading4"/>
        <w:jc w:val="both"/>
      </w:pPr>
      <w:r>
        <w:t>3.2.2</w:t>
      </w:r>
      <w:r>
        <w:tab/>
        <w:t>Analysis of budgeted financial statements</w:t>
      </w:r>
    </w:p>
    <w:p w:rsidR="001A63EA" w:rsidRDefault="001A63EA" w:rsidP="001A63EA">
      <w:r>
        <w:t>The financial statements a</w:t>
      </w:r>
      <w:r w:rsidR="00EB39C1">
        <w:t>re presented to reflect integration</w:t>
      </w:r>
      <w:r>
        <w:t xml:space="preserve"> of Centrelink and Medicare Australia into the Department of Human Services as of 1 July 2011.In order to show comparable data for 2010</w:t>
      </w:r>
      <w:r>
        <w:noBreakHyphen/>
        <w:t>11, the aggregate of the three existing agencies is shown.</w:t>
      </w:r>
    </w:p>
    <w:p w:rsidR="001A63EA" w:rsidRDefault="001A63EA" w:rsidP="001A63EA">
      <w:r>
        <w:t>The estimated actual splits for 2010</w:t>
      </w:r>
      <w:r>
        <w:noBreakHyphen/>
        <w:t>11 at the sub-total level for the three agencies are disclosed in footnotes.These notes can be compared with tables published in the 2010</w:t>
      </w:r>
      <w:r>
        <w:noBreakHyphen/>
        <w:t>11 Portfolio Budget Statements and the 2010</w:t>
      </w:r>
      <w:r>
        <w:noBreakHyphen/>
        <w:t>11 Portfolio Additional Estimates Statements.</w:t>
      </w:r>
    </w:p>
    <w:p w:rsidR="00D26BA1" w:rsidRPr="001A63EA" w:rsidRDefault="00D26BA1" w:rsidP="00D26BA1">
      <w:pPr>
        <w:pStyle w:val="Exampletext"/>
        <w:rPr>
          <w:b/>
          <w:i w:val="0"/>
          <w:color w:val="auto"/>
          <w:sz w:val="22"/>
          <w:szCs w:val="22"/>
        </w:rPr>
      </w:pPr>
      <w:r w:rsidRPr="001A63EA">
        <w:rPr>
          <w:b/>
          <w:i w:val="0"/>
          <w:color w:val="auto"/>
          <w:sz w:val="22"/>
          <w:szCs w:val="22"/>
        </w:rPr>
        <w:t>Departmental financial statements</w:t>
      </w:r>
    </w:p>
    <w:p w:rsidR="00396E59" w:rsidRDefault="00396E59" w:rsidP="00396E59">
      <w:r>
        <w:t xml:space="preserve">The departmental financial statements present a relatively stable set of financial operations with trends noted below. </w:t>
      </w:r>
    </w:p>
    <w:p w:rsidR="00D26BA1" w:rsidRPr="00D26BA1" w:rsidRDefault="00D26BA1" w:rsidP="00D26BA1">
      <w:pPr>
        <w:pStyle w:val="Exampletext"/>
        <w:rPr>
          <w:b/>
          <w:i w:val="0"/>
          <w:color w:val="auto"/>
        </w:rPr>
      </w:pPr>
      <w:r w:rsidRPr="00D26BA1">
        <w:rPr>
          <w:b/>
          <w:i w:val="0"/>
          <w:color w:val="auto"/>
        </w:rPr>
        <w:t>Departmental comprehensive income statement (Table 3.2.1)</w:t>
      </w:r>
    </w:p>
    <w:p w:rsidR="00396E59" w:rsidRDefault="00396E59" w:rsidP="00396E59">
      <w:r>
        <w:t>The decline in total expenses from 2010</w:t>
      </w:r>
      <w:r>
        <w:noBreakHyphen/>
        <w:t>11 to 2011</w:t>
      </w:r>
      <w:r>
        <w:noBreakHyphen/>
        <w:t>12 ($12</w:t>
      </w:r>
      <w:r w:rsidR="00FE5F57">
        <w:t>3</w:t>
      </w:r>
      <w:r>
        <w:t>.</w:t>
      </w:r>
      <w:r w:rsidR="00FE5F57">
        <w:t>5</w:t>
      </w:r>
      <w:r>
        <w:t> million) mainly reflects the estimated operating loss attributable to the agency in 2010</w:t>
      </w:r>
      <w:r>
        <w:noBreakHyphen/>
        <w:t>11 of $129.8 million.The operating loss was approved to allow the portfolio to undertake activities in 2010</w:t>
      </w:r>
      <w:r>
        <w:noBreakHyphen/>
        <w:t xml:space="preserve">11 </w:t>
      </w:r>
      <w:r w:rsidR="00CB07EB">
        <w:t>necessary</w:t>
      </w:r>
      <w:r>
        <w:t xml:space="preserve"> for integrating the portfolio into a single department as of 1 July 2011 and to allow Centrelink to restructure its staffing resources to accommodate a lower level of funding from 2009</w:t>
      </w:r>
      <w:r>
        <w:noBreakHyphen/>
        <w:t>10.The further decline in 2012</w:t>
      </w:r>
      <w:r>
        <w:noBreakHyphen/>
        <w:t>13 ($25</w:t>
      </w:r>
      <w:r w:rsidR="00FE5F57">
        <w:t>2</w:t>
      </w:r>
      <w:r>
        <w:t>.</w:t>
      </w:r>
      <w:r w:rsidR="00FE5F57">
        <w:t>0</w:t>
      </w:r>
      <w:r>
        <w:t> million) reflects savings to be achieved under the Service Delivery Reform package of measures</w:t>
      </w:r>
      <w:r w:rsidR="00CB07EB">
        <w:t>.</w:t>
      </w:r>
    </w:p>
    <w:p w:rsidR="00396E59" w:rsidRDefault="00396E59" w:rsidP="00396E59">
      <w:r>
        <w:t>The decline in sales of goods and services revenue from 2010</w:t>
      </w:r>
      <w:r>
        <w:noBreakHyphen/>
        <w:t>11 to 2011</w:t>
      </w:r>
      <w:r>
        <w:noBreakHyphen/>
        <w:t>12 ($21</w:t>
      </w:r>
      <w:r w:rsidR="00632A59">
        <w:t>0</w:t>
      </w:r>
      <w:r>
        <w:t>.</w:t>
      </w:r>
      <w:r w:rsidR="00632A59">
        <w:t>4</w:t>
      </w:r>
      <w:r>
        <w:t> million) largely reflects the 2010</w:t>
      </w:r>
      <w:r>
        <w:noBreakHyphen/>
        <w:t>11 Budget measure for the Job Capacity Assessment activity which replaced user charges by Centrelink with direct appropriation funding and the termination of some service agreements with other agencies.</w:t>
      </w:r>
    </w:p>
    <w:p w:rsidR="00396E59" w:rsidRDefault="00396E59" w:rsidP="00396E59">
      <w:r>
        <w:t>The increase in appropriation revenue from 2010</w:t>
      </w:r>
      <w:r>
        <w:noBreakHyphen/>
        <w:t>11 to 2011</w:t>
      </w:r>
      <w:r>
        <w:noBreakHyphen/>
        <w:t>12 ($209.5 million) also reflects the above Job Capacity Assessment measure and new measures in the 2011</w:t>
      </w:r>
      <w:r>
        <w:noBreakHyphen/>
        <w:t xml:space="preserve">12 Budget including the Service Delivery Reform package and the </w:t>
      </w:r>
      <w:r w:rsidR="00E63D66">
        <w:t xml:space="preserve">Building Australia’s Future Workforce </w:t>
      </w:r>
      <w:r>
        <w:t>package.The decline in appropriation revenue after 2011</w:t>
      </w:r>
      <w:r>
        <w:noBreakHyphen/>
        <w:t>12 reflects the savings to be achieved under the Service Delivery Reform package</w:t>
      </w:r>
      <w:r w:rsidR="00B36F7C">
        <w:t>.</w:t>
      </w:r>
      <w:r>
        <w:t xml:space="preserve"> </w:t>
      </w:r>
    </w:p>
    <w:p w:rsidR="00D26BA1" w:rsidRPr="00D26BA1" w:rsidRDefault="00D26BA1" w:rsidP="00D26BA1">
      <w:pPr>
        <w:pStyle w:val="Exampletext"/>
        <w:rPr>
          <w:b/>
          <w:i w:val="0"/>
          <w:color w:val="auto"/>
        </w:rPr>
      </w:pPr>
      <w:r w:rsidRPr="00D26BA1">
        <w:rPr>
          <w:b/>
          <w:i w:val="0"/>
          <w:color w:val="auto"/>
        </w:rPr>
        <w:t>Departmental balance sheet (Table 3.2.2)</w:t>
      </w:r>
    </w:p>
    <w:p w:rsidR="00396E59" w:rsidRDefault="00396E59" w:rsidP="00396E59">
      <w:r>
        <w:t>The reduction in receivables and payables from 2010</w:t>
      </w:r>
      <w:r>
        <w:noBreakHyphen/>
        <w:t>11 to 2011</w:t>
      </w:r>
      <w:r>
        <w:noBreakHyphen/>
        <w:t xml:space="preserve">12 reflects the elimination of </w:t>
      </w:r>
      <w:r w:rsidR="00404D6A">
        <w:t xml:space="preserve">payables and receivables between the three agencies on integration. </w:t>
      </w:r>
    </w:p>
    <w:p w:rsidR="00D26BA1" w:rsidRPr="00D26BA1" w:rsidRDefault="00D26BA1" w:rsidP="00D26BA1">
      <w:pPr>
        <w:pStyle w:val="Exampletext"/>
        <w:rPr>
          <w:b/>
          <w:i w:val="0"/>
          <w:color w:val="auto"/>
        </w:rPr>
      </w:pPr>
      <w:r w:rsidRPr="00D26BA1">
        <w:rPr>
          <w:b/>
          <w:i w:val="0"/>
          <w:color w:val="auto"/>
        </w:rPr>
        <w:t xml:space="preserve">Departmental </w:t>
      </w:r>
      <w:r w:rsidR="001A63EA">
        <w:rPr>
          <w:b/>
          <w:i w:val="0"/>
          <w:color w:val="auto"/>
        </w:rPr>
        <w:t>cash flow (Table 3.2.4</w:t>
      </w:r>
      <w:r w:rsidRPr="00D26BA1">
        <w:rPr>
          <w:b/>
          <w:i w:val="0"/>
          <w:color w:val="auto"/>
        </w:rPr>
        <w:t>)</w:t>
      </w:r>
    </w:p>
    <w:p w:rsidR="001A63EA" w:rsidRDefault="001A63EA" w:rsidP="001A63EA">
      <w:r>
        <w:t>The reduction in cash received for goods and services in 2011-12 reflects the reduction in goods and services revenue noted above.</w:t>
      </w:r>
    </w:p>
    <w:p w:rsidR="00D26BA1" w:rsidRPr="001A63EA" w:rsidRDefault="00D26BA1" w:rsidP="00D26BA1">
      <w:pPr>
        <w:pStyle w:val="Exampletext"/>
        <w:rPr>
          <w:b/>
          <w:i w:val="0"/>
          <w:color w:val="auto"/>
          <w:sz w:val="22"/>
          <w:szCs w:val="22"/>
        </w:rPr>
      </w:pPr>
      <w:r w:rsidRPr="001A63EA">
        <w:rPr>
          <w:b/>
          <w:i w:val="0"/>
          <w:color w:val="auto"/>
          <w:sz w:val="22"/>
          <w:szCs w:val="22"/>
        </w:rPr>
        <w:t>Administered financial statements</w:t>
      </w:r>
    </w:p>
    <w:p w:rsidR="006F53CD" w:rsidRPr="00D26BA1" w:rsidRDefault="006F53CD" w:rsidP="006F53CD">
      <w:pPr>
        <w:pStyle w:val="Exampletext"/>
        <w:rPr>
          <w:b/>
          <w:i w:val="0"/>
          <w:color w:val="auto"/>
        </w:rPr>
      </w:pPr>
      <w:r>
        <w:rPr>
          <w:b/>
          <w:i w:val="0"/>
          <w:color w:val="auto"/>
        </w:rPr>
        <w:t>Administered</w:t>
      </w:r>
      <w:r w:rsidRPr="00D26BA1">
        <w:rPr>
          <w:b/>
          <w:i w:val="0"/>
          <w:color w:val="auto"/>
        </w:rPr>
        <w:t xml:space="preserve"> comprehensive income statement (Tabl</w:t>
      </w:r>
      <w:r>
        <w:rPr>
          <w:b/>
          <w:i w:val="0"/>
          <w:color w:val="auto"/>
        </w:rPr>
        <w:t>e 3.2.7</w:t>
      </w:r>
      <w:r w:rsidRPr="00D26BA1">
        <w:rPr>
          <w:b/>
          <w:i w:val="0"/>
          <w:color w:val="auto"/>
        </w:rPr>
        <w:t>)</w:t>
      </w:r>
    </w:p>
    <w:p w:rsidR="00396E59" w:rsidRDefault="00396E59" w:rsidP="00396E59">
      <w:r>
        <w:t>The commencement of grants in 2011</w:t>
      </w:r>
      <w:r>
        <w:noBreakHyphen/>
        <w:t>12 and building up in 2012</w:t>
      </w:r>
      <w:r>
        <w:noBreakHyphen/>
        <w:t xml:space="preserve">13 reflects the </w:t>
      </w:r>
      <w:r w:rsidR="001118DD">
        <w:t xml:space="preserve">Community </w:t>
      </w:r>
      <w:r>
        <w:t xml:space="preserve">Innovation </w:t>
      </w:r>
      <w:r w:rsidR="001118DD">
        <w:t>through Collaboration initiative</w:t>
      </w:r>
      <w:r>
        <w:t xml:space="preserve"> under the </w:t>
      </w:r>
      <w:r w:rsidR="00E63D66">
        <w:t>Building Australia’s Future Workforce</w:t>
      </w:r>
      <w:r>
        <w:t xml:space="preserve"> package. </w:t>
      </w:r>
    </w:p>
    <w:p w:rsidR="00396E59" w:rsidRPr="00D26BA1" w:rsidRDefault="006F53CD" w:rsidP="00396E59">
      <w:pPr>
        <w:pStyle w:val="Exampletext"/>
        <w:rPr>
          <w:b/>
          <w:i w:val="0"/>
          <w:color w:val="auto"/>
        </w:rPr>
      </w:pPr>
      <w:r>
        <w:rPr>
          <w:b/>
          <w:i w:val="0"/>
          <w:color w:val="auto"/>
        </w:rPr>
        <w:t>Administered</w:t>
      </w:r>
      <w:r w:rsidR="00396E59" w:rsidRPr="00D26BA1">
        <w:rPr>
          <w:b/>
          <w:i w:val="0"/>
          <w:color w:val="auto"/>
        </w:rPr>
        <w:t>balance sheet (Table 3.2.</w:t>
      </w:r>
      <w:r>
        <w:rPr>
          <w:b/>
          <w:i w:val="0"/>
          <w:color w:val="auto"/>
        </w:rPr>
        <w:t>8</w:t>
      </w:r>
      <w:r w:rsidR="00396E59" w:rsidRPr="00D26BA1">
        <w:rPr>
          <w:b/>
          <w:i w:val="0"/>
          <w:color w:val="auto"/>
        </w:rPr>
        <w:t>)</w:t>
      </w:r>
    </w:p>
    <w:p w:rsidR="00396E59" w:rsidRDefault="00396E59" w:rsidP="00396E59">
      <w:r>
        <w:t>The rise in receivables across the period relates to income maintenance and penalties receivable under the Child Support program.</w:t>
      </w:r>
    </w:p>
    <w:p w:rsidR="00340FD7" w:rsidRDefault="00340FD7" w:rsidP="003A3E20">
      <w:pPr>
        <w:pStyle w:val="Heading4"/>
        <w:jc w:val="both"/>
      </w:pPr>
      <w:r>
        <w:br w:type="page"/>
        <w:t>3.2.3</w:t>
      </w:r>
      <w:r>
        <w:tab/>
      </w:r>
      <w:smartTag w:uri="urn:schemas-microsoft-com:office:smarttags" w:element="PersonName">
        <w:r>
          <w:t>Budget</w:t>
        </w:r>
      </w:smartTag>
      <w:r>
        <w:t>ed financial statements tables</w:t>
      </w:r>
    </w:p>
    <w:p w:rsidR="00340FD7" w:rsidRDefault="00340FD7" w:rsidP="003A3E20">
      <w:pPr>
        <w:pStyle w:val="TableHeading"/>
        <w:jc w:val="both"/>
        <w:rPr>
          <w:snapToGrid w:val="0"/>
        </w:rPr>
      </w:pPr>
      <w:r w:rsidRPr="00E855E0">
        <w:t>Table 3.2.1 Comprehensive Income Statement (Showing Net Cost of Services)</w:t>
      </w:r>
      <w:r>
        <w:rPr>
          <w:snapToGrid w:val="0"/>
        </w:rPr>
        <w:br/>
        <w:t>(for the period ended 30 June)</w:t>
      </w:r>
    </w:p>
    <w:tbl>
      <w:tblPr>
        <w:tblW w:w="7944" w:type="dxa"/>
        <w:tblInd w:w="78" w:type="dxa"/>
        <w:tblLayout w:type="fixed"/>
        <w:tblLook w:val="0000" w:firstRow="0" w:lastRow="0" w:firstColumn="0" w:lastColumn="0" w:noHBand="0" w:noVBand="0"/>
      </w:tblPr>
      <w:tblGrid>
        <w:gridCol w:w="2911"/>
        <w:gridCol w:w="959"/>
        <w:gridCol w:w="236"/>
        <w:gridCol w:w="959"/>
        <w:gridCol w:w="960"/>
        <w:gridCol w:w="959"/>
        <w:gridCol w:w="960"/>
      </w:tblGrid>
      <w:tr w:rsidR="001C167B" w:rsidTr="001C167B">
        <w:trPr>
          <w:trHeight w:val="213"/>
        </w:trPr>
        <w:tc>
          <w:tcPr>
            <w:tcW w:w="2965"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3"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tc>
        <w:tc>
          <w:tcPr>
            <w:tcW w:w="112" w:type="dxa"/>
            <w:tcBorders>
              <w:top w:val="single" w:sz="2" w:space="0" w:color="auto"/>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vertAlign w:val="superscript"/>
              </w:rPr>
            </w:pPr>
          </w:p>
        </w:tc>
        <w:tc>
          <w:tcPr>
            <w:tcW w:w="973" w:type="dxa"/>
            <w:tcBorders>
              <w:top w:val="single" w:sz="2" w:space="0" w:color="auto"/>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74"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73"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74"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112"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1</w:t>
            </w: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2010-11</w:t>
            </w: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7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73"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7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2"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benefits</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2,746,999 </w:t>
            </w: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2,630,194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2,453,473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2,495,660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2,417,471 </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 expenses</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1,466,732 </w:t>
            </w: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1,452,576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1,384,337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1,343,163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1,411,488 </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 and amortisation</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246,855 </w:t>
            </w: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256,302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249,260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250,668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255,500 </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 of assets</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6,500 </w:t>
            </w: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4,517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4,517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4,517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4,517 </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Losses from asset sales</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 </w:t>
            </w: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290 </w:t>
            </w: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290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290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290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290 </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w:t>
            </w:r>
          </w:p>
        </w:tc>
        <w:tc>
          <w:tcPr>
            <w:tcW w:w="97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4,467,397 </w:t>
            </w:r>
          </w:p>
        </w:tc>
        <w:tc>
          <w:tcPr>
            <w:tcW w:w="112"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2</w:t>
            </w:r>
          </w:p>
        </w:tc>
        <w:tc>
          <w:tcPr>
            <w:tcW w:w="973" w:type="dxa"/>
            <w:tcBorders>
              <w:top w:val="single" w:sz="2" w:space="0" w:color="auto"/>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4,343,879 </w:t>
            </w:r>
          </w:p>
        </w:tc>
        <w:tc>
          <w:tcPr>
            <w:tcW w:w="97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4,091,877 </w:t>
            </w:r>
          </w:p>
        </w:tc>
        <w:tc>
          <w:tcPr>
            <w:tcW w:w="97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4,094,298 </w:t>
            </w:r>
          </w:p>
        </w:tc>
        <w:tc>
          <w:tcPr>
            <w:tcW w:w="97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4,089,266 </w:t>
            </w:r>
          </w:p>
        </w:tc>
      </w:tr>
      <w:tr w:rsidR="001C167B" w:rsidTr="001C167B">
        <w:trPr>
          <w:trHeight w:val="54"/>
        </w:trPr>
        <w:tc>
          <w:tcPr>
            <w:tcW w:w="29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LESS: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INCOME</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revenue</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r>
      <w:tr w:rsidR="001C167B" w:rsidTr="001C167B">
        <w:trPr>
          <w:trHeight w:val="497"/>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Sale of goods and rendering of services</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449,391 </w:t>
            </w: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236,723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229,450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228,777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228,141 </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Rental income</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1,508 </w:t>
            </w: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1,508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1,508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1,508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1,508 </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1,940 </w:t>
            </w: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1,782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1,617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1,290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1,290 </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w:t>
            </w:r>
          </w:p>
        </w:tc>
        <w:tc>
          <w:tcPr>
            <w:tcW w:w="97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452,839 </w:t>
            </w:r>
          </w:p>
        </w:tc>
        <w:tc>
          <w:tcPr>
            <w:tcW w:w="112"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3</w:t>
            </w:r>
          </w:p>
        </w:tc>
        <w:tc>
          <w:tcPr>
            <w:tcW w:w="973" w:type="dxa"/>
            <w:tcBorders>
              <w:top w:val="single" w:sz="2" w:space="0" w:color="auto"/>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240,013 </w:t>
            </w:r>
          </w:p>
        </w:tc>
        <w:tc>
          <w:tcPr>
            <w:tcW w:w="97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232,575 </w:t>
            </w:r>
          </w:p>
        </w:tc>
        <w:tc>
          <w:tcPr>
            <w:tcW w:w="97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231,575 </w:t>
            </w:r>
          </w:p>
        </w:tc>
        <w:tc>
          <w:tcPr>
            <w:tcW w:w="97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230,939 </w:t>
            </w:r>
          </w:p>
        </w:tc>
      </w:tr>
      <w:tr w:rsidR="001C167B" w:rsidTr="001C167B">
        <w:trPr>
          <w:trHeight w:val="54"/>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Gains</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3,408 </w:t>
            </w: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3,378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3,433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3,488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3,545 </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gains</w:t>
            </w:r>
          </w:p>
        </w:tc>
        <w:tc>
          <w:tcPr>
            <w:tcW w:w="97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3,408 </w:t>
            </w:r>
          </w:p>
        </w:tc>
        <w:tc>
          <w:tcPr>
            <w:tcW w:w="112"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4</w:t>
            </w:r>
          </w:p>
        </w:tc>
        <w:tc>
          <w:tcPr>
            <w:tcW w:w="973" w:type="dxa"/>
            <w:tcBorders>
              <w:top w:val="single" w:sz="2" w:space="0" w:color="auto"/>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3,378 </w:t>
            </w:r>
          </w:p>
        </w:tc>
        <w:tc>
          <w:tcPr>
            <w:tcW w:w="97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3,433 </w:t>
            </w:r>
          </w:p>
        </w:tc>
        <w:tc>
          <w:tcPr>
            <w:tcW w:w="97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3,488 </w:t>
            </w:r>
          </w:p>
        </w:tc>
        <w:tc>
          <w:tcPr>
            <w:tcW w:w="97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3,545 </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income</w:t>
            </w:r>
          </w:p>
        </w:tc>
        <w:tc>
          <w:tcPr>
            <w:tcW w:w="97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456,247 </w:t>
            </w:r>
          </w:p>
        </w:tc>
        <w:tc>
          <w:tcPr>
            <w:tcW w:w="112"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vertAlign w:val="superscript"/>
              </w:rPr>
            </w:pPr>
          </w:p>
        </w:tc>
        <w:tc>
          <w:tcPr>
            <w:tcW w:w="973" w:type="dxa"/>
            <w:tcBorders>
              <w:top w:val="single" w:sz="2" w:space="0" w:color="auto"/>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243,391 </w:t>
            </w:r>
          </w:p>
        </w:tc>
        <w:tc>
          <w:tcPr>
            <w:tcW w:w="97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236,008 </w:t>
            </w:r>
          </w:p>
        </w:tc>
        <w:tc>
          <w:tcPr>
            <w:tcW w:w="97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235,063 </w:t>
            </w:r>
          </w:p>
        </w:tc>
        <w:tc>
          <w:tcPr>
            <w:tcW w:w="97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234,484 </w:t>
            </w:r>
          </w:p>
        </w:tc>
      </w:tr>
      <w:tr w:rsidR="001C167B" w:rsidTr="001C167B">
        <w:trPr>
          <w:trHeight w:val="54"/>
        </w:trPr>
        <w:tc>
          <w:tcPr>
            <w:tcW w:w="29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cost of (contribution by)</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services</w:t>
            </w:r>
          </w:p>
        </w:tc>
        <w:tc>
          <w:tcPr>
            <w:tcW w:w="97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4,011,150 </w:t>
            </w:r>
          </w:p>
        </w:tc>
        <w:tc>
          <w:tcPr>
            <w:tcW w:w="112"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vertAlign w:val="superscript"/>
              </w:rPr>
            </w:pPr>
          </w:p>
        </w:tc>
        <w:tc>
          <w:tcPr>
            <w:tcW w:w="973"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4,100,488 </w:t>
            </w:r>
          </w:p>
        </w:tc>
        <w:tc>
          <w:tcPr>
            <w:tcW w:w="97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3,855,869 </w:t>
            </w:r>
          </w:p>
        </w:tc>
        <w:tc>
          <w:tcPr>
            <w:tcW w:w="97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3,859,235 </w:t>
            </w:r>
          </w:p>
        </w:tc>
        <w:tc>
          <w:tcPr>
            <w:tcW w:w="97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3,854,782 </w:t>
            </w:r>
          </w:p>
        </w:tc>
      </w:tr>
      <w:tr w:rsidR="001C167B" w:rsidTr="001C167B">
        <w:trPr>
          <w:trHeight w:val="54"/>
        </w:trPr>
        <w:tc>
          <w:tcPr>
            <w:tcW w:w="29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r>
      <w:tr w:rsidR="001C167B" w:rsidTr="001C167B">
        <w:trPr>
          <w:trHeight w:val="254"/>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Revenue from Government</w:t>
            </w:r>
            <w:r>
              <w:rPr>
                <w:rFonts w:ascii="Arial" w:hAnsi="Arial" w:cs="Arial"/>
                <w:color w:val="000000"/>
                <w:sz w:val="16"/>
                <w:szCs w:val="16"/>
                <w:vertAlign w:val="superscript"/>
              </w:rPr>
              <w:t>6</w:t>
            </w:r>
          </w:p>
        </w:tc>
        <w:tc>
          <w:tcPr>
            <w:tcW w:w="97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3,642,514 </w:t>
            </w:r>
          </w:p>
        </w:tc>
        <w:tc>
          <w:tcPr>
            <w:tcW w:w="112" w:type="dxa"/>
            <w:tcBorders>
              <w:top w:val="nil"/>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5</w:t>
            </w:r>
          </w:p>
        </w:tc>
        <w:tc>
          <w:tcPr>
            <w:tcW w:w="973"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3,852,906 </w:t>
            </w:r>
          </w:p>
        </w:tc>
        <w:tc>
          <w:tcPr>
            <w:tcW w:w="97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3,617,352 </w:t>
            </w:r>
          </w:p>
        </w:tc>
        <w:tc>
          <w:tcPr>
            <w:tcW w:w="97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3,618,747 </w:t>
            </w:r>
          </w:p>
        </w:tc>
        <w:tc>
          <w:tcPr>
            <w:tcW w:w="97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3,608,961 </w:t>
            </w:r>
          </w:p>
        </w:tc>
      </w:tr>
      <w:tr w:rsidR="001C167B" w:rsidTr="001C167B">
        <w:trPr>
          <w:trHeight w:val="54"/>
        </w:trPr>
        <w:tc>
          <w:tcPr>
            <w:tcW w:w="29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 (Deficit)</w:t>
            </w:r>
          </w:p>
        </w:tc>
        <w:tc>
          <w:tcPr>
            <w:tcW w:w="97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(368,636)</w:t>
            </w:r>
          </w:p>
        </w:tc>
        <w:tc>
          <w:tcPr>
            <w:tcW w:w="112"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vertAlign w:val="superscript"/>
              </w:rPr>
            </w:pPr>
          </w:p>
        </w:tc>
        <w:tc>
          <w:tcPr>
            <w:tcW w:w="973"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(247,582)</w:t>
            </w:r>
          </w:p>
        </w:tc>
        <w:tc>
          <w:tcPr>
            <w:tcW w:w="97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(238,517)</w:t>
            </w:r>
          </w:p>
        </w:tc>
        <w:tc>
          <w:tcPr>
            <w:tcW w:w="97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(240,488)</w:t>
            </w:r>
          </w:p>
        </w:tc>
        <w:tc>
          <w:tcPr>
            <w:tcW w:w="97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(245,821)</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 (Deficit) attributable to</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the Australian Government</w:t>
            </w:r>
          </w:p>
        </w:tc>
        <w:tc>
          <w:tcPr>
            <w:tcW w:w="97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(368,636)</w:t>
            </w:r>
          </w:p>
        </w:tc>
        <w:tc>
          <w:tcPr>
            <w:tcW w:w="112"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vertAlign w:val="superscript"/>
              </w:rPr>
            </w:pPr>
          </w:p>
        </w:tc>
        <w:tc>
          <w:tcPr>
            <w:tcW w:w="973"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(247,582)</w:t>
            </w:r>
          </w:p>
        </w:tc>
        <w:tc>
          <w:tcPr>
            <w:tcW w:w="97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(238,517)</w:t>
            </w:r>
          </w:p>
        </w:tc>
        <w:tc>
          <w:tcPr>
            <w:tcW w:w="97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(240,488)</w:t>
            </w:r>
          </w:p>
        </w:tc>
        <w:tc>
          <w:tcPr>
            <w:tcW w:w="97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(245,821)</w:t>
            </w:r>
          </w:p>
        </w:tc>
      </w:tr>
      <w:tr w:rsidR="001C167B" w:rsidTr="001C167B">
        <w:trPr>
          <w:trHeight w:val="54"/>
        </w:trPr>
        <w:tc>
          <w:tcPr>
            <w:tcW w:w="29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84"/>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tc>
        <w:tc>
          <w:tcPr>
            <w:tcW w:w="97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(368,636)</w:t>
            </w:r>
          </w:p>
        </w:tc>
        <w:tc>
          <w:tcPr>
            <w:tcW w:w="112"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vertAlign w:val="superscript"/>
              </w:rPr>
            </w:pPr>
          </w:p>
        </w:tc>
        <w:tc>
          <w:tcPr>
            <w:tcW w:w="973" w:type="dxa"/>
            <w:tcBorders>
              <w:top w:val="single" w:sz="2" w:space="0" w:color="auto"/>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(247,582)</w:t>
            </w:r>
          </w:p>
        </w:tc>
        <w:tc>
          <w:tcPr>
            <w:tcW w:w="97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(238,517)</w:t>
            </w:r>
          </w:p>
        </w:tc>
        <w:tc>
          <w:tcPr>
            <w:tcW w:w="97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(240,488)</w:t>
            </w:r>
          </w:p>
        </w:tc>
        <w:tc>
          <w:tcPr>
            <w:tcW w:w="97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(245,821)</w:t>
            </w:r>
          </w:p>
        </w:tc>
      </w:tr>
      <w:tr w:rsidR="001C167B" w:rsidTr="001C167B">
        <w:trPr>
          <w:trHeight w:val="54"/>
        </w:trPr>
        <w:tc>
          <w:tcPr>
            <w:tcW w:w="29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attributable to the Australian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r>
      <w:tr w:rsidR="001C167B" w:rsidTr="001C167B">
        <w:trPr>
          <w:trHeight w:val="284"/>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Government</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(368,636)</w:t>
            </w: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(247,582)</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(238,517)</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(240,488)</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(245,821)</w:t>
            </w: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plus non-appropriated expenses</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466"/>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 and amortisation expenses</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238,835 </w:t>
            </w: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Calibri" w:hAnsi="Calibri" w:cs="Calibri"/>
                <w:color w:val="000000"/>
                <w:sz w:val="22"/>
                <w:szCs w:val="22"/>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249,202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240,771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242,764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248,173 </w:t>
            </w:r>
          </w:p>
        </w:tc>
      </w:tr>
      <w:tr w:rsidR="001C167B" w:rsidTr="001C167B">
        <w:trPr>
          <w:trHeight w:val="14"/>
        </w:trPr>
        <w:tc>
          <w:tcPr>
            <w:tcW w:w="29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Calibri" w:hAnsi="Calibri" w:cs="Calibri"/>
                <w:color w:val="000000"/>
                <w:sz w:val="22"/>
                <w:szCs w:val="22"/>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Calibri" w:hAnsi="Calibri" w:cs="Calibri"/>
                <w:color w:val="000000"/>
                <w:sz w:val="22"/>
                <w:szCs w:val="22"/>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Calibri" w:hAnsi="Calibri" w:cs="Calibri"/>
                <w:color w:val="000000"/>
                <w:sz w:val="22"/>
                <w:szCs w:val="22"/>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Calibri" w:hAnsi="Calibri" w:cs="Calibri"/>
                <w:color w:val="000000"/>
                <w:sz w:val="22"/>
                <w:szCs w:val="22"/>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Calibri" w:hAnsi="Calibri" w:cs="Calibri"/>
                <w:color w:val="000000"/>
                <w:sz w:val="22"/>
                <w:szCs w:val="22"/>
              </w:rPr>
            </w:pP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Comprehensive Income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vertAlign w:val="superscript"/>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3"/>
        </w:trPr>
        <w:tc>
          <w:tcPr>
            <w:tcW w:w="296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(loss) Attributable to the </w:t>
            </w: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3"/>
        </w:trPr>
        <w:tc>
          <w:tcPr>
            <w:tcW w:w="2965" w:type="dxa"/>
            <w:tcBorders>
              <w:top w:val="nil"/>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agency</w:t>
            </w:r>
          </w:p>
        </w:tc>
        <w:tc>
          <w:tcPr>
            <w:tcW w:w="97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(129,801)</w:t>
            </w:r>
          </w:p>
        </w:tc>
        <w:tc>
          <w:tcPr>
            <w:tcW w:w="112"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3"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1,620 </w:t>
            </w:r>
          </w:p>
        </w:tc>
        <w:tc>
          <w:tcPr>
            <w:tcW w:w="97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2,254 </w:t>
            </w:r>
          </w:p>
        </w:tc>
        <w:tc>
          <w:tcPr>
            <w:tcW w:w="97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2,276 </w:t>
            </w:r>
          </w:p>
        </w:tc>
        <w:tc>
          <w:tcPr>
            <w:tcW w:w="97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2,352 </w:t>
            </w:r>
          </w:p>
        </w:tc>
      </w:tr>
    </w:tbl>
    <w:p w:rsidR="00ED3945" w:rsidRDefault="00340FD7" w:rsidP="003A3E20">
      <w:pPr>
        <w:pStyle w:val="Source"/>
      </w:pPr>
      <w:r w:rsidRPr="00E4582E">
        <w:t>Prepared on Australian Accounting Standards basis</w:t>
      </w:r>
      <w:r>
        <w:t>.</w:t>
      </w:r>
      <w:r w:rsidR="00ED3945" w:rsidRPr="00ED3945">
        <w:t xml:space="preserve"> </w:t>
      </w:r>
    </w:p>
    <w:p w:rsidR="00601754" w:rsidRPr="00840823" w:rsidRDefault="00840823" w:rsidP="00F06396">
      <w:pPr>
        <w:pStyle w:val="Source"/>
        <w:numPr>
          <w:ilvl w:val="0"/>
          <w:numId w:val="17"/>
        </w:numPr>
        <w:tabs>
          <w:tab w:val="clear" w:pos="284"/>
          <w:tab w:val="clear" w:pos="720"/>
          <w:tab w:val="num" w:pos="300"/>
        </w:tabs>
        <w:ind w:left="300" w:hanging="300"/>
      </w:pPr>
      <w:r w:rsidRPr="00840823">
        <w:t>Numbers provided for 2010-11</w:t>
      </w:r>
      <w:r w:rsidR="00ED3945" w:rsidRPr="00840823">
        <w:t xml:space="preserve"> show combined amounts for the Department of Human Services, Centrelink and Medicare Australia prior to </w:t>
      </w:r>
      <w:r w:rsidR="00836E5E">
        <w:t>integration</w:t>
      </w:r>
      <w:r w:rsidR="00ED3945" w:rsidRPr="00840823">
        <w:t>.</w:t>
      </w:r>
    </w:p>
    <w:p w:rsidR="00601754" w:rsidRPr="00840823" w:rsidRDefault="00ED3945" w:rsidP="00BF6ADC">
      <w:pPr>
        <w:pStyle w:val="Source"/>
        <w:numPr>
          <w:ilvl w:val="0"/>
          <w:numId w:val="17"/>
        </w:numPr>
        <w:tabs>
          <w:tab w:val="clear" w:pos="284"/>
          <w:tab w:val="clear" w:pos="720"/>
          <w:tab w:val="num" w:pos="300"/>
        </w:tabs>
        <w:ind w:left="301" w:hanging="301"/>
        <w:jc w:val="left"/>
      </w:pPr>
      <w:r w:rsidRPr="00840823">
        <w:t xml:space="preserve">Total expenses for 2010-11 is made up of: DHS </w:t>
      </w:r>
      <w:r w:rsidR="00840823" w:rsidRPr="00840823">
        <w:t>$805</w:t>
      </w:r>
      <w:r w:rsidR="00404D6A">
        <w:t>.</w:t>
      </w:r>
      <w:r w:rsidR="00840823" w:rsidRPr="00840823">
        <w:t>458</w:t>
      </w:r>
      <w:r w:rsidR="00404D6A">
        <w:t>m</w:t>
      </w:r>
      <w:r w:rsidRPr="00840823">
        <w:t xml:space="preserve">; Centrelink </w:t>
      </w:r>
      <w:r w:rsidR="00840823" w:rsidRPr="00840823">
        <w:t>$2,9</w:t>
      </w:r>
      <w:r w:rsidR="00085474">
        <w:t>10</w:t>
      </w:r>
      <w:r w:rsidR="00404D6A">
        <w:t>.</w:t>
      </w:r>
      <w:r w:rsidR="00B946AF">
        <w:t>18</w:t>
      </w:r>
      <w:r w:rsidR="00085474">
        <w:t>8</w:t>
      </w:r>
      <w:r w:rsidR="00404D6A">
        <w:t>m</w:t>
      </w:r>
      <w:r w:rsidRPr="00840823">
        <w:t xml:space="preserve"> and Medicare</w:t>
      </w:r>
      <w:r w:rsidR="00404D6A">
        <w:t> </w:t>
      </w:r>
      <w:r w:rsidRPr="00840823">
        <w:t xml:space="preserve">Australia </w:t>
      </w:r>
      <w:r w:rsidR="00840823" w:rsidRPr="00840823">
        <w:t>$751</w:t>
      </w:r>
      <w:r w:rsidR="00404D6A">
        <w:t>.</w:t>
      </w:r>
      <w:r w:rsidR="00840823" w:rsidRPr="00840823">
        <w:t>751</w:t>
      </w:r>
      <w:r w:rsidR="00404D6A">
        <w:t>m</w:t>
      </w:r>
      <w:r w:rsidRPr="00840823">
        <w:t>.</w:t>
      </w:r>
    </w:p>
    <w:p w:rsidR="00601754" w:rsidRPr="00840823" w:rsidRDefault="00B11CEF" w:rsidP="00BF6ADC">
      <w:pPr>
        <w:pStyle w:val="Source"/>
        <w:numPr>
          <w:ilvl w:val="0"/>
          <w:numId w:val="17"/>
        </w:numPr>
        <w:tabs>
          <w:tab w:val="clear" w:pos="284"/>
          <w:tab w:val="clear" w:pos="720"/>
          <w:tab w:val="num" w:pos="300"/>
        </w:tabs>
        <w:ind w:left="301" w:hanging="301"/>
        <w:jc w:val="left"/>
      </w:pPr>
      <w:r>
        <w:t xml:space="preserve">Total own-source </w:t>
      </w:r>
      <w:r w:rsidR="00ED3945" w:rsidRPr="00840823">
        <w:t>re</w:t>
      </w:r>
      <w:r w:rsidR="00404D6A">
        <w:t xml:space="preserve">venue for 2010-11 is made up of: </w:t>
      </w:r>
      <w:r w:rsidR="00ED3945" w:rsidRPr="00840823">
        <w:t xml:space="preserve">DHS </w:t>
      </w:r>
      <w:r w:rsidR="00840823" w:rsidRPr="00840823">
        <w:t>$192</w:t>
      </w:r>
      <w:r w:rsidR="00404D6A">
        <w:t>.</w:t>
      </w:r>
      <w:r w:rsidR="00840823" w:rsidRPr="00840823">
        <w:t>425</w:t>
      </w:r>
      <w:r w:rsidR="00404D6A">
        <w:t>m</w:t>
      </w:r>
      <w:r w:rsidR="00ED3945" w:rsidRPr="00840823">
        <w:t xml:space="preserve">; Centrelink </w:t>
      </w:r>
      <w:r w:rsidR="00840823" w:rsidRPr="00840823">
        <w:t>$160</w:t>
      </w:r>
      <w:r w:rsidR="00404D6A">
        <w:t>.</w:t>
      </w:r>
      <w:r w:rsidR="00840823" w:rsidRPr="00840823">
        <w:t>527</w:t>
      </w:r>
      <w:r w:rsidR="00404D6A">
        <w:t>m</w:t>
      </w:r>
      <w:r w:rsidR="00ED3945" w:rsidRPr="00840823">
        <w:t xml:space="preserve"> and Medicare</w:t>
      </w:r>
      <w:r w:rsidR="00404D6A">
        <w:t> </w:t>
      </w:r>
      <w:r w:rsidR="00ED3945" w:rsidRPr="00840823">
        <w:t xml:space="preserve">Australia </w:t>
      </w:r>
      <w:r w:rsidR="00840823" w:rsidRPr="00840823">
        <w:t>$99</w:t>
      </w:r>
      <w:r w:rsidR="00404D6A">
        <w:t>.</w:t>
      </w:r>
      <w:r w:rsidR="00840823" w:rsidRPr="00840823">
        <w:t>887</w:t>
      </w:r>
      <w:r w:rsidR="00404D6A">
        <w:t>m</w:t>
      </w:r>
      <w:r w:rsidR="00ED3945" w:rsidRPr="00840823">
        <w:t xml:space="preserve">. </w:t>
      </w:r>
    </w:p>
    <w:p w:rsidR="00601754" w:rsidRPr="00840823" w:rsidRDefault="00ED3945" w:rsidP="00BF6ADC">
      <w:pPr>
        <w:pStyle w:val="Source"/>
        <w:numPr>
          <w:ilvl w:val="0"/>
          <w:numId w:val="17"/>
        </w:numPr>
        <w:tabs>
          <w:tab w:val="clear" w:pos="284"/>
          <w:tab w:val="clear" w:pos="720"/>
          <w:tab w:val="num" w:pos="300"/>
        </w:tabs>
        <w:ind w:left="301" w:hanging="301"/>
        <w:jc w:val="left"/>
      </w:pPr>
      <w:r w:rsidRPr="00840823">
        <w:t>Total gains for 201</w:t>
      </w:r>
      <w:r w:rsidR="00404D6A">
        <w:t xml:space="preserve">0-11 is made up of: </w:t>
      </w:r>
      <w:r w:rsidR="00840823" w:rsidRPr="00840823">
        <w:t>DHS $</w:t>
      </w:r>
      <w:r w:rsidR="00404D6A">
        <w:t>0.</w:t>
      </w:r>
      <w:r w:rsidR="00840823" w:rsidRPr="00840823">
        <w:t>438</w:t>
      </w:r>
      <w:r w:rsidR="00404D6A">
        <w:t>m</w:t>
      </w:r>
      <w:r w:rsidR="00840823" w:rsidRPr="00840823">
        <w:t xml:space="preserve">; </w:t>
      </w:r>
      <w:r w:rsidRPr="00840823">
        <w:t xml:space="preserve">Centrelink </w:t>
      </w:r>
      <w:r w:rsidR="00840823" w:rsidRPr="00840823">
        <w:t>$2</w:t>
      </w:r>
      <w:r w:rsidR="00404D6A">
        <w:t>.</w:t>
      </w:r>
      <w:r w:rsidR="00840823" w:rsidRPr="00840823">
        <w:t>720</w:t>
      </w:r>
      <w:r w:rsidR="00404D6A">
        <w:t>m</w:t>
      </w:r>
      <w:r w:rsidR="00BF6ADC">
        <w:t xml:space="preserve"> and </w:t>
      </w:r>
      <w:r w:rsidR="00840823" w:rsidRPr="00840823">
        <w:t>Medicare</w:t>
      </w:r>
      <w:r w:rsidR="00404D6A">
        <w:t> </w:t>
      </w:r>
      <w:r w:rsidR="00840823" w:rsidRPr="00840823">
        <w:t>Australia</w:t>
      </w:r>
      <w:r w:rsidR="00404D6A">
        <w:t> </w:t>
      </w:r>
      <w:r w:rsidR="00840823" w:rsidRPr="00840823">
        <w:t>$</w:t>
      </w:r>
      <w:r w:rsidR="00404D6A">
        <w:t>0.</w:t>
      </w:r>
      <w:r w:rsidR="00840823" w:rsidRPr="00840823">
        <w:t>250</w:t>
      </w:r>
      <w:r w:rsidR="00404D6A">
        <w:t>m</w:t>
      </w:r>
      <w:r w:rsidRPr="00840823">
        <w:t>.</w:t>
      </w:r>
    </w:p>
    <w:p w:rsidR="009734DE" w:rsidRDefault="00ED3945" w:rsidP="00F06396">
      <w:pPr>
        <w:pStyle w:val="Source"/>
        <w:numPr>
          <w:ilvl w:val="0"/>
          <w:numId w:val="17"/>
        </w:numPr>
        <w:tabs>
          <w:tab w:val="clear" w:pos="284"/>
          <w:tab w:val="clear" w:pos="720"/>
          <w:tab w:val="num" w:pos="300"/>
        </w:tabs>
        <w:ind w:left="300" w:hanging="300"/>
      </w:pPr>
      <w:r w:rsidRPr="00840823">
        <w:t>Total revenue from Gover</w:t>
      </w:r>
      <w:r w:rsidR="00404D6A">
        <w:t>nment for 2010-11 is made up of</w:t>
      </w:r>
      <w:r w:rsidRPr="00840823">
        <w:t xml:space="preserve">:DHS </w:t>
      </w:r>
      <w:r w:rsidR="00840823" w:rsidRPr="00840823">
        <w:t>$503</w:t>
      </w:r>
      <w:r w:rsidR="00404D6A">
        <w:t>.</w:t>
      </w:r>
      <w:r w:rsidR="00840823" w:rsidRPr="00840823">
        <w:t>706</w:t>
      </w:r>
      <w:r w:rsidR="00404D6A">
        <w:t>m</w:t>
      </w:r>
      <w:r w:rsidRPr="00840823">
        <w:t xml:space="preserve">; Centrelink </w:t>
      </w:r>
      <w:r w:rsidR="00840823" w:rsidRPr="00840823">
        <w:t>$2,5</w:t>
      </w:r>
      <w:r w:rsidR="00B946AF">
        <w:t>19</w:t>
      </w:r>
      <w:r w:rsidR="00404D6A">
        <w:t>.</w:t>
      </w:r>
      <w:r w:rsidR="008E54AF">
        <w:t>6</w:t>
      </w:r>
      <w:r w:rsidR="00B946AF">
        <w:t>76</w:t>
      </w:r>
      <w:r w:rsidR="00404D6A">
        <w:t>m</w:t>
      </w:r>
      <w:r w:rsidR="00840823" w:rsidRPr="00840823">
        <w:t xml:space="preserve"> </w:t>
      </w:r>
      <w:r w:rsidRPr="00840823">
        <w:t xml:space="preserve">and Medicare Australia </w:t>
      </w:r>
      <w:r w:rsidR="00840823" w:rsidRPr="00840823">
        <w:t>$619</w:t>
      </w:r>
      <w:r w:rsidR="00404D6A">
        <w:t>.</w:t>
      </w:r>
      <w:r w:rsidR="00840823" w:rsidRPr="00840823">
        <w:t>132</w:t>
      </w:r>
      <w:r w:rsidR="00404D6A">
        <w:t>m</w:t>
      </w:r>
      <w:r w:rsidRPr="00840823">
        <w:t>.</w:t>
      </w:r>
      <w:r w:rsidR="008254DE">
        <w:t xml:space="preserve"> </w:t>
      </w:r>
    </w:p>
    <w:p w:rsidR="00340FD7" w:rsidRPr="00840823" w:rsidRDefault="009734DE" w:rsidP="00F06396">
      <w:pPr>
        <w:pStyle w:val="Source"/>
        <w:numPr>
          <w:ilvl w:val="0"/>
          <w:numId w:val="17"/>
        </w:numPr>
        <w:tabs>
          <w:tab w:val="clear" w:pos="284"/>
          <w:tab w:val="clear" w:pos="720"/>
          <w:tab w:val="num" w:pos="300"/>
        </w:tabs>
        <w:ind w:left="300" w:hanging="300"/>
      </w:pPr>
      <w:r>
        <w:t xml:space="preserve">Revenue in 2011-12 </w:t>
      </w:r>
      <w:r w:rsidR="00333B22">
        <w:t xml:space="preserve">includes </w:t>
      </w:r>
      <w:r>
        <w:t xml:space="preserve">a </w:t>
      </w:r>
      <w:r w:rsidR="00333B22">
        <w:t xml:space="preserve">provisional amount </w:t>
      </w:r>
      <w:r>
        <w:t xml:space="preserve">of $0.337m </w:t>
      </w:r>
      <w:r w:rsidR="00333B22">
        <w:t>which ha</w:t>
      </w:r>
      <w:r>
        <w:t>s</w:t>
      </w:r>
      <w:r w:rsidR="00333B22">
        <w:t xml:space="preserve"> not been </w:t>
      </w:r>
      <w:r>
        <w:t>included in the appropriation</w:t>
      </w:r>
      <w:r w:rsidR="00333B22">
        <w:t>.</w:t>
      </w:r>
    </w:p>
    <w:p w:rsidR="00340FD7" w:rsidRDefault="001773D0" w:rsidP="007E0DC9">
      <w:pPr>
        <w:pStyle w:val="TableHeading"/>
        <w:jc w:val="both"/>
      </w:pPr>
      <w:r>
        <w:br w:type="page"/>
      </w:r>
      <w:r w:rsidR="00340FD7" w:rsidRPr="00E4582E">
        <w:t xml:space="preserve">Table 3.2.2: </w:t>
      </w:r>
      <w:smartTag w:uri="urn:schemas-microsoft-com:office:smarttags" w:element="PersonName">
        <w:r w:rsidR="00340FD7" w:rsidRPr="00E4582E">
          <w:t>Budg</w:t>
        </w:r>
        <w:r w:rsidR="00340FD7">
          <w:t>et</w:t>
        </w:r>
      </w:smartTag>
      <w:r w:rsidR="00340FD7">
        <w:t>ed departmental balance sheet</w:t>
      </w:r>
      <w:r w:rsidR="00EF2546">
        <w:t xml:space="preserve"> </w:t>
      </w:r>
      <w:r w:rsidR="00340FD7" w:rsidRPr="00E4582E">
        <w:t>(as at 30 June)</w:t>
      </w:r>
    </w:p>
    <w:tbl>
      <w:tblPr>
        <w:tblW w:w="0" w:type="auto"/>
        <w:tblInd w:w="78" w:type="dxa"/>
        <w:tblLayout w:type="fixed"/>
        <w:tblLook w:val="0000" w:firstRow="0" w:lastRow="0" w:firstColumn="0" w:lastColumn="0" w:noHBand="0" w:noVBand="0"/>
      </w:tblPr>
      <w:tblGrid>
        <w:gridCol w:w="2415"/>
        <w:gridCol w:w="1190"/>
        <w:gridCol w:w="236"/>
        <w:gridCol w:w="982"/>
        <w:gridCol w:w="982"/>
        <w:gridCol w:w="982"/>
        <w:gridCol w:w="1045"/>
      </w:tblGrid>
      <w:tr w:rsidR="001C167B" w:rsidTr="001C167B">
        <w:trPr>
          <w:trHeight w:val="216"/>
        </w:trPr>
        <w:tc>
          <w:tcPr>
            <w:tcW w:w="241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9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tc>
        <w:tc>
          <w:tcPr>
            <w:tcW w:w="113"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82"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82"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104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1</w:t>
            </w: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9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2010-11</w:t>
            </w:r>
          </w:p>
        </w:tc>
        <w:tc>
          <w:tcPr>
            <w:tcW w:w="113"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8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8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1045"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90"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2"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2"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45"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34,428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34,354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34,766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35,243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35,718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856,765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788,127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775,364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748,833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793,637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29,682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29,682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29,682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29,682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29,682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119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920,875 </w:t>
            </w:r>
          </w:p>
        </w:tc>
        <w:tc>
          <w:tcPr>
            <w:tcW w:w="11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2</w:t>
            </w:r>
          </w:p>
        </w:tc>
        <w:tc>
          <w:tcPr>
            <w:tcW w:w="982"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852,163 </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839,812 </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813,758 </w:t>
            </w:r>
          </w:p>
        </w:tc>
        <w:tc>
          <w:tcPr>
            <w:tcW w:w="104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859,037 </w:t>
            </w:r>
          </w:p>
        </w:tc>
      </w:tr>
      <w:tr w:rsidR="001C167B" w:rsidTr="001C167B">
        <w:trPr>
          <w:trHeight w:val="56"/>
        </w:trPr>
        <w:tc>
          <w:tcPr>
            <w:tcW w:w="241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Land and buildings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376,510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386,038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372,569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368,561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360,072 </w:t>
            </w:r>
          </w:p>
        </w:tc>
      </w:tr>
      <w:tr w:rsidR="001C167B" w:rsidTr="001C167B">
        <w:trPr>
          <w:trHeight w:val="448"/>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 plant and equipment</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150,820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187,870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164,795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129,684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139,016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Intangibles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358,296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383,167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347,891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310,445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295,516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Heritage Cultural Assets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89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89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89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89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89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73,318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74,894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76,550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78,255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78,255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119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959,033 </w:t>
            </w:r>
          </w:p>
        </w:tc>
        <w:tc>
          <w:tcPr>
            <w:tcW w:w="11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3</w:t>
            </w:r>
          </w:p>
        </w:tc>
        <w:tc>
          <w:tcPr>
            <w:tcW w:w="982"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1,032,058 </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961,894 </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887,034 </w:t>
            </w:r>
          </w:p>
        </w:tc>
        <w:tc>
          <w:tcPr>
            <w:tcW w:w="104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872,948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Assets held for sale</w:t>
            </w:r>
          </w:p>
        </w:tc>
        <w:tc>
          <w:tcPr>
            <w:tcW w:w="119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174 </w:t>
            </w:r>
          </w:p>
        </w:tc>
        <w:tc>
          <w:tcPr>
            <w:tcW w:w="11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174 </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174 </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174 </w:t>
            </w:r>
          </w:p>
        </w:tc>
        <w:tc>
          <w:tcPr>
            <w:tcW w:w="104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174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119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1,880,082</w:t>
            </w:r>
          </w:p>
        </w:tc>
        <w:tc>
          <w:tcPr>
            <w:tcW w:w="11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2"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1,884,395</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1,801,880</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1,700,966</w:t>
            </w:r>
          </w:p>
        </w:tc>
        <w:tc>
          <w:tcPr>
            <w:tcW w:w="104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1,732,159</w:t>
            </w:r>
          </w:p>
        </w:tc>
      </w:tr>
      <w:tr w:rsidR="001C167B" w:rsidTr="001C167B">
        <w:trPr>
          <w:trHeight w:val="5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176,196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171,097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170,846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167,487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182,321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280,272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216,657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214,508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219,634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219,662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119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456,468 </w:t>
            </w:r>
          </w:p>
        </w:tc>
        <w:tc>
          <w:tcPr>
            <w:tcW w:w="11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4</w:t>
            </w:r>
          </w:p>
        </w:tc>
        <w:tc>
          <w:tcPr>
            <w:tcW w:w="982"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387,754 </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385,354 </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387,121 </w:t>
            </w:r>
          </w:p>
        </w:tc>
        <w:tc>
          <w:tcPr>
            <w:tcW w:w="104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401,983 </w:t>
            </w:r>
          </w:p>
        </w:tc>
      </w:tr>
      <w:tr w:rsidR="001C167B" w:rsidTr="001C167B">
        <w:trPr>
          <w:trHeight w:val="5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Interest bearing liabilities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Leases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3,538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3,538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3,538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3,538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3,538 </w:t>
            </w:r>
          </w:p>
        </w:tc>
      </w:tr>
      <w:tr w:rsidR="001C167B" w:rsidTr="001C167B">
        <w:trPr>
          <w:trHeight w:val="448"/>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interest bearing liabilities</w:t>
            </w:r>
          </w:p>
        </w:tc>
        <w:tc>
          <w:tcPr>
            <w:tcW w:w="119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3,538 </w:t>
            </w:r>
          </w:p>
        </w:tc>
        <w:tc>
          <w:tcPr>
            <w:tcW w:w="11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5</w:t>
            </w:r>
          </w:p>
        </w:tc>
        <w:tc>
          <w:tcPr>
            <w:tcW w:w="982"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3,538 </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3,538 </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3,538 </w:t>
            </w:r>
          </w:p>
        </w:tc>
        <w:tc>
          <w:tcPr>
            <w:tcW w:w="104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3,538 </w:t>
            </w:r>
          </w:p>
        </w:tc>
      </w:tr>
      <w:tr w:rsidR="001C167B" w:rsidTr="001C167B">
        <w:trPr>
          <w:trHeight w:val="5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provisions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735,366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750,220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753,607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770,830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797,498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57,140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52,681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47,183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42,340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38,216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119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792,506 </w:t>
            </w:r>
          </w:p>
        </w:tc>
        <w:tc>
          <w:tcPr>
            <w:tcW w:w="11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6</w:t>
            </w:r>
          </w:p>
        </w:tc>
        <w:tc>
          <w:tcPr>
            <w:tcW w:w="982"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802,901 </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800,790 </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813,170 </w:t>
            </w:r>
          </w:p>
        </w:tc>
        <w:tc>
          <w:tcPr>
            <w:tcW w:w="104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835,714 </w:t>
            </w:r>
          </w:p>
        </w:tc>
      </w:tr>
      <w:tr w:rsidR="001C167B" w:rsidTr="001C167B">
        <w:trPr>
          <w:trHeight w:val="5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1190"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1,252,512 </w:t>
            </w:r>
          </w:p>
        </w:tc>
        <w:tc>
          <w:tcPr>
            <w:tcW w:w="11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2" w:type="dxa"/>
            <w:tcBorders>
              <w:top w:val="single" w:sz="2" w:space="0" w:color="auto"/>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1,194,193 </w:t>
            </w:r>
          </w:p>
        </w:tc>
        <w:tc>
          <w:tcPr>
            <w:tcW w:w="982"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1,189,682 </w:t>
            </w:r>
          </w:p>
        </w:tc>
        <w:tc>
          <w:tcPr>
            <w:tcW w:w="982"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1,203,829 </w:t>
            </w:r>
          </w:p>
        </w:tc>
        <w:tc>
          <w:tcPr>
            <w:tcW w:w="1045"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1,241,235 </w:t>
            </w:r>
          </w:p>
        </w:tc>
      </w:tr>
      <w:tr w:rsidR="001C167B" w:rsidTr="001C167B">
        <w:trPr>
          <w:trHeight w:val="5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627,570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690,202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612,198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497,137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490,924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Parent entity interest</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809,082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951,838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1,112,349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1,237,776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1,477,384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Reserves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69,692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5,832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5,834 </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5,834 </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5,834 </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Retained surplus</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deficit)</w:t>
            </w: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(251,204)</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(267,468)</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(505,985)</w:t>
            </w: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(746,473)</w:t>
            </w: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(992,294)</w:t>
            </w:r>
          </w:p>
        </w:tc>
      </w:tr>
      <w:tr w:rsidR="001C167B" w:rsidTr="001C167B">
        <w:trPr>
          <w:trHeight w:val="21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parent entity interest</w:t>
            </w:r>
          </w:p>
        </w:tc>
        <w:tc>
          <w:tcPr>
            <w:tcW w:w="119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627,570 </w:t>
            </w:r>
          </w:p>
        </w:tc>
        <w:tc>
          <w:tcPr>
            <w:tcW w:w="11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7</w:t>
            </w:r>
          </w:p>
        </w:tc>
        <w:tc>
          <w:tcPr>
            <w:tcW w:w="982"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690,202 </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612,198 </w:t>
            </w:r>
          </w:p>
        </w:tc>
        <w:tc>
          <w:tcPr>
            <w:tcW w:w="982"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497,137 </w:t>
            </w:r>
          </w:p>
        </w:tc>
        <w:tc>
          <w:tcPr>
            <w:tcW w:w="104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490,924 </w:t>
            </w:r>
          </w:p>
        </w:tc>
      </w:tr>
      <w:tr w:rsidR="001C167B" w:rsidTr="001C167B">
        <w:trPr>
          <w:trHeight w:val="56"/>
        </w:trPr>
        <w:tc>
          <w:tcPr>
            <w:tcW w:w="241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p>
        </w:tc>
        <w:tc>
          <w:tcPr>
            <w:tcW w:w="119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4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415" w:type="dxa"/>
            <w:tcBorders>
              <w:top w:val="nil"/>
              <w:left w:val="nil"/>
              <w:bottom w:val="single" w:sz="2" w:space="0" w:color="000000"/>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Equity</w:t>
            </w:r>
          </w:p>
        </w:tc>
        <w:tc>
          <w:tcPr>
            <w:tcW w:w="1190"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627,570 </w:t>
            </w:r>
          </w:p>
        </w:tc>
        <w:tc>
          <w:tcPr>
            <w:tcW w:w="113"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2" w:type="dxa"/>
            <w:tcBorders>
              <w:top w:val="nil"/>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690,202 </w:t>
            </w:r>
          </w:p>
        </w:tc>
        <w:tc>
          <w:tcPr>
            <w:tcW w:w="982"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612,198 </w:t>
            </w:r>
          </w:p>
        </w:tc>
        <w:tc>
          <w:tcPr>
            <w:tcW w:w="982"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497,137 </w:t>
            </w:r>
          </w:p>
        </w:tc>
        <w:tc>
          <w:tcPr>
            <w:tcW w:w="1045"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490,924 </w:t>
            </w:r>
          </w:p>
        </w:tc>
      </w:tr>
    </w:tbl>
    <w:p w:rsidR="00340FD7" w:rsidRDefault="00340FD7" w:rsidP="00E60F65">
      <w:pPr>
        <w:pStyle w:val="ChartandTableFootnote"/>
        <w:tabs>
          <w:tab w:val="clear" w:pos="284"/>
          <w:tab w:val="left" w:pos="300"/>
        </w:tabs>
        <w:ind w:left="0" w:firstLine="0"/>
      </w:pPr>
      <w:r w:rsidRPr="00E4582E">
        <w:t>*</w:t>
      </w:r>
      <w:r>
        <w:tab/>
      </w:r>
      <w:r w:rsidRPr="00E4582E">
        <w:t>'</w:t>
      </w:r>
      <w:r>
        <w:t>E</w:t>
      </w:r>
      <w:r w:rsidRPr="00E4582E">
        <w:t>quity' is the residual interest in assets after deduction of liabilities.</w:t>
      </w:r>
    </w:p>
    <w:p w:rsidR="00E252E3" w:rsidRPr="002F3C42" w:rsidRDefault="00897D35" w:rsidP="00E14B42">
      <w:pPr>
        <w:pStyle w:val="Source"/>
        <w:tabs>
          <w:tab w:val="clear" w:pos="284"/>
          <w:tab w:val="left" w:pos="300"/>
        </w:tabs>
        <w:ind w:left="300" w:hanging="300"/>
      </w:pPr>
      <w:r w:rsidRPr="002F3C42">
        <w:t>1</w:t>
      </w:r>
      <w:r w:rsidRPr="002F3C42">
        <w:tab/>
        <w:t>Numbers provided for 2010-11</w:t>
      </w:r>
      <w:r w:rsidR="00E252E3" w:rsidRPr="002F3C42">
        <w:t xml:space="preserve"> show combined amounts for the Department of Human Services, Centrelink and Medicare Australia prior to </w:t>
      </w:r>
      <w:r w:rsidR="00836E5E">
        <w:t>integration</w:t>
      </w:r>
      <w:r w:rsidR="00E252E3" w:rsidRPr="002F3C42">
        <w:t>.</w:t>
      </w:r>
    </w:p>
    <w:p w:rsidR="00E252E3" w:rsidRPr="002F3C42" w:rsidRDefault="00E252E3" w:rsidP="00E14B42">
      <w:pPr>
        <w:pStyle w:val="Source"/>
        <w:ind w:left="300" w:hanging="300"/>
      </w:pPr>
      <w:r w:rsidRPr="002F3C42">
        <w:t>2</w:t>
      </w:r>
      <w:r w:rsidRPr="002F3C42">
        <w:tab/>
        <w:t>Total Financial a</w:t>
      </w:r>
      <w:r w:rsidR="00AF33E5">
        <w:t>ssets for 2010-11 is made up of</w:t>
      </w:r>
      <w:r w:rsidRPr="002F3C42">
        <w:t xml:space="preserve">: DHS </w:t>
      </w:r>
      <w:r w:rsidR="00897D35" w:rsidRPr="002F3C42">
        <w:t>$240</w:t>
      </w:r>
      <w:r w:rsidR="00AF33E5">
        <w:t>.</w:t>
      </w:r>
      <w:r w:rsidR="00897D35" w:rsidRPr="002F3C42">
        <w:t>575</w:t>
      </w:r>
      <w:r w:rsidR="00AF33E5">
        <w:t>m</w:t>
      </w:r>
      <w:r w:rsidR="00897D35" w:rsidRPr="002F3C42">
        <w:t>; Centrelink</w:t>
      </w:r>
      <w:r w:rsidRPr="002F3C42">
        <w:t xml:space="preserve"> </w:t>
      </w:r>
      <w:r w:rsidR="00897D35" w:rsidRPr="002F3C42">
        <w:t>$460</w:t>
      </w:r>
      <w:r w:rsidR="00AF33E5">
        <w:t>.</w:t>
      </w:r>
      <w:r w:rsidR="00897D35" w:rsidRPr="002F3C42">
        <w:t>0</w:t>
      </w:r>
      <w:r w:rsidR="00B946AF">
        <w:t>77</w:t>
      </w:r>
      <w:r w:rsidR="00AF33E5">
        <w:t>m</w:t>
      </w:r>
      <w:r w:rsidRPr="002F3C42">
        <w:t xml:space="preserve"> and Medicare Australia </w:t>
      </w:r>
      <w:r w:rsidR="00897D35" w:rsidRPr="002F3C42">
        <w:t>$220</w:t>
      </w:r>
      <w:r w:rsidR="00AF33E5">
        <w:t>.</w:t>
      </w:r>
      <w:r w:rsidR="00897D35" w:rsidRPr="002F3C42">
        <w:t>223</w:t>
      </w:r>
      <w:r w:rsidR="00AF33E5">
        <w:t>m</w:t>
      </w:r>
      <w:r w:rsidRPr="002F3C42">
        <w:t>.</w:t>
      </w:r>
    </w:p>
    <w:p w:rsidR="00E252E3" w:rsidRPr="002F3C42" w:rsidRDefault="00E252E3" w:rsidP="00E14B42">
      <w:pPr>
        <w:pStyle w:val="Source"/>
        <w:ind w:left="300" w:hanging="300"/>
      </w:pPr>
      <w:r w:rsidRPr="002F3C42">
        <w:t>3</w:t>
      </w:r>
      <w:r w:rsidRPr="002F3C42">
        <w:tab/>
        <w:t>Total Non-financial assets for 2010-11 is made up of: DHS</w:t>
      </w:r>
      <w:r w:rsidR="00AF33E5">
        <w:t xml:space="preserve"> </w:t>
      </w:r>
      <w:r w:rsidR="00897D35" w:rsidRPr="002F3C42">
        <w:t>$111</w:t>
      </w:r>
      <w:r w:rsidR="00AF33E5">
        <w:t>.</w:t>
      </w:r>
      <w:r w:rsidR="00897D35" w:rsidRPr="002F3C42">
        <w:t>732</w:t>
      </w:r>
      <w:r w:rsidR="00AF33E5">
        <w:t>m</w:t>
      </w:r>
      <w:r w:rsidRPr="002F3C42">
        <w:t xml:space="preserve">; Centrelink </w:t>
      </w:r>
      <w:r w:rsidR="00897D35" w:rsidRPr="002F3C42">
        <w:t>$656</w:t>
      </w:r>
      <w:r w:rsidR="00AF33E5">
        <w:t>.</w:t>
      </w:r>
      <w:r w:rsidR="00897D35" w:rsidRPr="002F3C42">
        <w:t>367</w:t>
      </w:r>
      <w:r w:rsidR="00AF33E5">
        <w:t>m</w:t>
      </w:r>
      <w:r w:rsidRPr="002F3C42">
        <w:t xml:space="preserve"> and Medicare Australia </w:t>
      </w:r>
      <w:r w:rsidR="00897D35" w:rsidRPr="002F3C42">
        <w:t>$190</w:t>
      </w:r>
      <w:r w:rsidR="00AF33E5">
        <w:t>.</w:t>
      </w:r>
      <w:r w:rsidR="00897D35" w:rsidRPr="002F3C42">
        <w:t>934</w:t>
      </w:r>
      <w:r w:rsidR="00AF33E5">
        <w:t>m</w:t>
      </w:r>
      <w:r w:rsidRPr="002F3C42">
        <w:t>.</w:t>
      </w:r>
    </w:p>
    <w:p w:rsidR="00E252E3" w:rsidRPr="002F3C42" w:rsidRDefault="00E252E3" w:rsidP="00E14B42">
      <w:pPr>
        <w:pStyle w:val="Source"/>
        <w:ind w:left="300" w:hanging="300"/>
      </w:pPr>
      <w:r w:rsidRPr="002F3C42">
        <w:t>4</w:t>
      </w:r>
      <w:r w:rsidRPr="002F3C42">
        <w:tab/>
        <w:t xml:space="preserve">Total Payables for 2010-11 is made up of: DHS </w:t>
      </w:r>
      <w:r w:rsidR="00897D35" w:rsidRPr="002F3C42">
        <w:t>$128</w:t>
      </w:r>
      <w:r w:rsidR="00AF33E5">
        <w:t>.</w:t>
      </w:r>
      <w:r w:rsidR="00897D35" w:rsidRPr="002F3C42">
        <w:t>837</w:t>
      </w:r>
      <w:r w:rsidR="00AF33E5">
        <w:t>m</w:t>
      </w:r>
      <w:r w:rsidRPr="002F3C42">
        <w:t xml:space="preserve">; Centrelink </w:t>
      </w:r>
      <w:r w:rsidR="00897D35" w:rsidRPr="002F3C42">
        <w:t>$240</w:t>
      </w:r>
      <w:r w:rsidR="00AF33E5">
        <w:t>.</w:t>
      </w:r>
      <w:r w:rsidR="00897D35" w:rsidRPr="002F3C42">
        <w:t>242</w:t>
      </w:r>
      <w:r w:rsidR="00AF33E5">
        <w:t>m</w:t>
      </w:r>
      <w:r w:rsidRPr="002F3C42">
        <w:t xml:space="preserve"> and Medicare Australia </w:t>
      </w:r>
      <w:r w:rsidR="00897D35" w:rsidRPr="002F3C42">
        <w:t>$87</w:t>
      </w:r>
      <w:r w:rsidR="00AF33E5">
        <w:t>.</w:t>
      </w:r>
      <w:r w:rsidR="00897D35" w:rsidRPr="002F3C42">
        <w:t>389</w:t>
      </w:r>
      <w:r w:rsidR="00AF33E5">
        <w:t>m</w:t>
      </w:r>
      <w:r w:rsidRPr="002F3C42">
        <w:t>.</w:t>
      </w:r>
    </w:p>
    <w:p w:rsidR="00E252E3" w:rsidRPr="002F3C42" w:rsidRDefault="00E252E3" w:rsidP="003A3E20">
      <w:pPr>
        <w:pStyle w:val="Source"/>
      </w:pPr>
      <w:r w:rsidRPr="002F3C42">
        <w:t>5</w:t>
      </w:r>
      <w:r w:rsidRPr="002F3C42">
        <w:tab/>
        <w:t xml:space="preserve">Total Interest bearing liabilities for 2010-11 is made up of: DHS </w:t>
      </w:r>
      <w:r w:rsidR="00897D35" w:rsidRPr="002F3C42">
        <w:t>$3</w:t>
      </w:r>
      <w:r w:rsidR="00AF33E5">
        <w:t>.</w:t>
      </w:r>
      <w:r w:rsidR="00897D35" w:rsidRPr="002F3C42">
        <w:t>538</w:t>
      </w:r>
      <w:r w:rsidR="00AF33E5">
        <w:t>m</w:t>
      </w:r>
      <w:r w:rsidRPr="002F3C42">
        <w:t>.</w:t>
      </w:r>
    </w:p>
    <w:p w:rsidR="00E252E3" w:rsidRPr="002F3C42" w:rsidRDefault="00E252E3" w:rsidP="00E14B42">
      <w:pPr>
        <w:pStyle w:val="Source"/>
        <w:ind w:left="300" w:hanging="300"/>
      </w:pPr>
      <w:r w:rsidRPr="002F3C42">
        <w:t>6</w:t>
      </w:r>
      <w:r w:rsidRPr="002F3C42">
        <w:tab/>
        <w:t>Total Provi</w:t>
      </w:r>
      <w:r w:rsidR="00AF33E5">
        <w:t>sions for 2010-11 is made up of</w:t>
      </w:r>
      <w:r w:rsidRPr="002F3C42">
        <w:t xml:space="preserve">: DHS </w:t>
      </w:r>
      <w:r w:rsidR="00897D35" w:rsidRPr="002F3C42">
        <w:t>$115</w:t>
      </w:r>
      <w:r w:rsidR="00AF33E5">
        <w:t>.</w:t>
      </w:r>
      <w:r w:rsidR="00897D35" w:rsidRPr="002F3C42">
        <w:t>278</w:t>
      </w:r>
      <w:r w:rsidR="00AF33E5">
        <w:t>m</w:t>
      </w:r>
      <w:r w:rsidRPr="002F3C42">
        <w:t xml:space="preserve">; Centrelink </w:t>
      </w:r>
      <w:r w:rsidR="00897D35" w:rsidRPr="002F3C42">
        <w:t>$559</w:t>
      </w:r>
      <w:r w:rsidR="00AF33E5">
        <w:t>.</w:t>
      </w:r>
      <w:r w:rsidR="00897D35" w:rsidRPr="002F3C42">
        <w:t>7</w:t>
      </w:r>
      <w:r w:rsidR="008E54AF">
        <w:t>7</w:t>
      </w:r>
      <w:r w:rsidR="00B946AF">
        <w:t>1</w:t>
      </w:r>
      <w:r w:rsidR="00AF33E5">
        <w:t>m</w:t>
      </w:r>
      <w:r w:rsidRPr="002F3C42">
        <w:t xml:space="preserve"> and Medicare Australia </w:t>
      </w:r>
      <w:r w:rsidR="00897D35" w:rsidRPr="002F3C42">
        <w:t>$</w:t>
      </w:r>
      <w:r w:rsidR="002F3C42" w:rsidRPr="002F3C42">
        <w:t>117</w:t>
      </w:r>
      <w:r w:rsidR="00AF33E5">
        <w:t>.</w:t>
      </w:r>
      <w:r w:rsidR="002F3C42" w:rsidRPr="002F3C42">
        <w:t>457</w:t>
      </w:r>
      <w:r w:rsidR="00AF33E5">
        <w:t>m</w:t>
      </w:r>
      <w:r w:rsidRPr="002F3C42">
        <w:t>.</w:t>
      </w:r>
    </w:p>
    <w:p w:rsidR="00E252E3" w:rsidRPr="002F3C42" w:rsidRDefault="00E252E3" w:rsidP="00E14B42">
      <w:pPr>
        <w:pStyle w:val="Source"/>
        <w:ind w:left="300" w:hanging="300"/>
      </w:pPr>
      <w:r w:rsidRPr="002F3C42">
        <w:t>7</w:t>
      </w:r>
      <w:r w:rsidRPr="002F3C42">
        <w:tab/>
        <w:t>Total Parent entity interest for 2010-1</w:t>
      </w:r>
      <w:r w:rsidR="007E0DC9">
        <w:t>1 is made up of</w:t>
      </w:r>
      <w:r w:rsidRPr="002F3C42">
        <w:t>: DHS</w:t>
      </w:r>
      <w:r w:rsidR="002F3C42" w:rsidRPr="002F3C42">
        <w:t xml:space="preserve"> $104</w:t>
      </w:r>
      <w:r w:rsidR="00AF33E5">
        <w:t>.</w:t>
      </w:r>
      <w:r w:rsidR="002F3C42" w:rsidRPr="002F3C42">
        <w:t>654</w:t>
      </w:r>
      <w:r w:rsidR="00AF33E5">
        <w:t>m</w:t>
      </w:r>
      <w:r w:rsidRPr="002F3C42">
        <w:t xml:space="preserve">; Centrelink </w:t>
      </w:r>
      <w:r w:rsidR="002F3C42" w:rsidRPr="002F3C42">
        <w:t>$316</w:t>
      </w:r>
      <w:r w:rsidR="00AF33E5">
        <w:t>.</w:t>
      </w:r>
      <w:r w:rsidR="002F3C42" w:rsidRPr="002F3C42">
        <w:t>605</w:t>
      </w:r>
      <w:r w:rsidR="00AF33E5">
        <w:t>m</w:t>
      </w:r>
      <w:r w:rsidRPr="002F3C42">
        <w:t xml:space="preserve"> and Medicare Australia </w:t>
      </w:r>
      <w:r w:rsidR="002F3C42" w:rsidRPr="002F3C42">
        <w:t>$206</w:t>
      </w:r>
      <w:r w:rsidR="00AF33E5">
        <w:t>.</w:t>
      </w:r>
      <w:r w:rsidR="002F3C42" w:rsidRPr="002F3C42">
        <w:t>311</w:t>
      </w:r>
      <w:r w:rsidR="00AF33E5">
        <w:t>m</w:t>
      </w:r>
      <w:r w:rsidRPr="002F3C42">
        <w:t>.</w:t>
      </w:r>
    </w:p>
    <w:p w:rsidR="00340FD7" w:rsidRDefault="00340FD7" w:rsidP="003A3E20">
      <w:pPr>
        <w:pStyle w:val="Source"/>
      </w:pPr>
      <w:r>
        <w:t>Prepared on Australian Accounting Standards basis.</w:t>
      </w:r>
    </w:p>
    <w:p w:rsidR="00340FD7" w:rsidRDefault="00340FD7" w:rsidP="003A3E20">
      <w:pPr>
        <w:pStyle w:val="NoSpacing"/>
      </w:pPr>
    </w:p>
    <w:p w:rsidR="00340FD7" w:rsidRDefault="00340FD7" w:rsidP="003A3E20">
      <w:pPr>
        <w:pStyle w:val="TableHeading"/>
        <w:jc w:val="both"/>
      </w:pPr>
      <w:r>
        <w:br w:type="page"/>
        <w:t>Table 3.2.3</w:t>
      </w:r>
      <w:r w:rsidRPr="00D30CBA">
        <w:t>: Departmental statement of changes in equity — summar</w:t>
      </w:r>
      <w:r>
        <w:t>y of movement (</w:t>
      </w:r>
      <w:smartTag w:uri="urn:schemas-microsoft-com:office:smarttags" w:element="PersonName">
        <w:r>
          <w:t>Budget</w:t>
        </w:r>
      </w:smartTag>
      <w:r>
        <w:t xml:space="preserve"> year 2011</w:t>
      </w:r>
      <w:r>
        <w:noBreakHyphen/>
        <w:t>12</w:t>
      </w:r>
      <w:r w:rsidRPr="00D30CBA">
        <w:t>)</w:t>
      </w:r>
    </w:p>
    <w:tbl>
      <w:tblPr>
        <w:tblW w:w="0" w:type="auto"/>
        <w:tblInd w:w="78" w:type="dxa"/>
        <w:tblLayout w:type="fixed"/>
        <w:tblLook w:val="0000" w:firstRow="0" w:lastRow="0" w:firstColumn="0" w:lastColumn="0" w:noHBand="0" w:noVBand="0"/>
      </w:tblPr>
      <w:tblGrid>
        <w:gridCol w:w="3150"/>
        <w:gridCol w:w="905"/>
        <w:gridCol w:w="955"/>
        <w:gridCol w:w="765"/>
        <w:gridCol w:w="955"/>
        <w:gridCol w:w="891"/>
      </w:tblGrid>
      <w:tr w:rsidR="001C167B" w:rsidTr="001C167B">
        <w:trPr>
          <w:trHeight w:val="215"/>
        </w:trPr>
        <w:tc>
          <w:tcPr>
            <w:tcW w:w="3150" w:type="dxa"/>
            <w:tcBorders>
              <w:top w:val="single" w:sz="2" w:space="0" w:color="000000"/>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p>
        </w:tc>
        <w:tc>
          <w:tcPr>
            <w:tcW w:w="90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Retained</w:t>
            </w:r>
          </w:p>
        </w:tc>
        <w:tc>
          <w:tcPr>
            <w:tcW w:w="95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Asset</w:t>
            </w:r>
          </w:p>
        </w:tc>
        <w:tc>
          <w:tcPr>
            <w:tcW w:w="76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Other</w:t>
            </w:r>
          </w:p>
        </w:tc>
        <w:tc>
          <w:tcPr>
            <w:tcW w:w="95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Contributed</w:t>
            </w:r>
          </w:p>
        </w:tc>
        <w:tc>
          <w:tcPr>
            <w:tcW w:w="891"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earnings</w:t>
            </w: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revaluation</w:t>
            </w: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reserves</w:t>
            </w: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equity/</w:t>
            </w: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equity</w:t>
            </w: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reserve</w:t>
            </w: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capital</w:t>
            </w: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5"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55"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765"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55"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91"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balance as at 1 July 2011</w:t>
            </w: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Balance carried forward from</w:t>
            </w: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previous period</w:t>
            </w: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(23,194)</w:t>
            </w: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5,832 </w:t>
            </w: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122,016 </w:t>
            </w: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104,654 </w:t>
            </w: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Adjustment for changes in</w:t>
            </w: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accounting policies</w:t>
            </w: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Adjusted opening balance</w:t>
            </w:r>
          </w:p>
        </w:tc>
        <w:tc>
          <w:tcPr>
            <w:tcW w:w="90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(23,194)</w:t>
            </w:r>
          </w:p>
        </w:tc>
        <w:tc>
          <w:tcPr>
            <w:tcW w:w="95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5,832 </w:t>
            </w:r>
          </w:p>
        </w:tc>
        <w:tc>
          <w:tcPr>
            <w:tcW w:w="76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5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122,016 </w:t>
            </w:r>
          </w:p>
        </w:tc>
        <w:tc>
          <w:tcPr>
            <w:tcW w:w="891"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104,654 </w:t>
            </w:r>
          </w:p>
        </w:tc>
      </w:tr>
      <w:tr w:rsidR="001C167B" w:rsidTr="001C167B">
        <w:trPr>
          <w:trHeight w:val="57"/>
        </w:trPr>
        <w:tc>
          <w:tcPr>
            <w:tcW w:w="315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12"/>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Surplus (deficit) for the period</w:t>
            </w: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(247,582)</w:t>
            </w: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(247,582)</w:t>
            </w:r>
          </w:p>
        </w:tc>
      </w:tr>
      <w:tr w:rsidR="001C167B" w:rsidTr="001C167B">
        <w:trPr>
          <w:trHeight w:val="57"/>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comprehensive income</w:t>
            </w:r>
          </w:p>
        </w:tc>
        <w:tc>
          <w:tcPr>
            <w:tcW w:w="90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(247,582)</w:t>
            </w:r>
          </w:p>
        </w:tc>
        <w:tc>
          <w:tcPr>
            <w:tcW w:w="95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76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5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91"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(247,582)</w:t>
            </w:r>
          </w:p>
        </w:tc>
      </w:tr>
      <w:tr w:rsidR="001C167B" w:rsidTr="001C167B">
        <w:trPr>
          <w:trHeight w:val="27"/>
        </w:trPr>
        <w:tc>
          <w:tcPr>
            <w:tcW w:w="315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Transactions with owners</w:t>
            </w: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Contributions by owners</w:t>
            </w: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 (equity injection)</w:t>
            </w: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25,213 </w:t>
            </w: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25,213 </w:t>
            </w: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 Budget (DCBs)</w:t>
            </w: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285,001 </w:t>
            </w: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285,001 </w:t>
            </w:r>
          </w:p>
        </w:tc>
      </w:tr>
      <w:tr w:rsidR="001C167B" w:rsidTr="001C167B">
        <w:trPr>
          <w:trHeight w:val="24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Restructuring</w:t>
            </w:r>
            <w:r>
              <w:rPr>
                <w:rFonts w:ascii="Arial" w:hAnsi="Arial" w:cs="Arial"/>
                <w:color w:val="000000"/>
                <w:sz w:val="16"/>
                <w:szCs w:val="16"/>
                <w:vertAlign w:val="superscript"/>
              </w:rPr>
              <w:t>1</w:t>
            </w: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3,308 </w:t>
            </w: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519,608 </w:t>
            </w: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522,916 </w:t>
            </w: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Sub-total transactions with owners</w:t>
            </w:r>
          </w:p>
        </w:tc>
        <w:tc>
          <w:tcPr>
            <w:tcW w:w="90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3,308 </w:t>
            </w:r>
          </w:p>
        </w:tc>
        <w:tc>
          <w:tcPr>
            <w:tcW w:w="95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76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55"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829,822 </w:t>
            </w:r>
          </w:p>
        </w:tc>
        <w:tc>
          <w:tcPr>
            <w:tcW w:w="891"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833,130 </w:t>
            </w:r>
          </w:p>
        </w:tc>
      </w:tr>
      <w:tr w:rsidR="001C167B" w:rsidTr="001C167B">
        <w:trPr>
          <w:trHeight w:val="57"/>
        </w:trPr>
        <w:tc>
          <w:tcPr>
            <w:tcW w:w="315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Transfers between equity</w:t>
            </w: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components</w:t>
            </w: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57"/>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p>
        </w:tc>
        <w:tc>
          <w:tcPr>
            <w:tcW w:w="90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76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Estimated closing balance</w:t>
            </w:r>
          </w:p>
        </w:tc>
        <w:tc>
          <w:tcPr>
            <w:tcW w:w="90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76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5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91"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15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30 June 2012</w:t>
            </w:r>
          </w:p>
        </w:tc>
        <w:tc>
          <w:tcPr>
            <w:tcW w:w="905"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(267,468)</w:t>
            </w:r>
          </w:p>
        </w:tc>
        <w:tc>
          <w:tcPr>
            <w:tcW w:w="955"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5,832 </w:t>
            </w:r>
          </w:p>
        </w:tc>
        <w:tc>
          <w:tcPr>
            <w:tcW w:w="765"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55"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951,838 </w:t>
            </w:r>
          </w:p>
        </w:tc>
        <w:tc>
          <w:tcPr>
            <w:tcW w:w="891"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690,202 </w:t>
            </w:r>
          </w:p>
        </w:tc>
      </w:tr>
    </w:tbl>
    <w:p w:rsidR="00135D06" w:rsidRPr="008E54AF" w:rsidRDefault="00135D06" w:rsidP="009B3D8B">
      <w:pPr>
        <w:pStyle w:val="Source"/>
        <w:tabs>
          <w:tab w:val="clear" w:pos="284"/>
          <w:tab w:val="left" w:pos="300"/>
        </w:tabs>
        <w:rPr>
          <w:rFonts w:ascii="Book Antiqua" w:hAnsi="Book Antiqua"/>
          <w:i/>
          <w:color w:val="FF0000"/>
          <w:sz w:val="4"/>
          <w:szCs w:val="4"/>
        </w:rPr>
      </w:pPr>
    </w:p>
    <w:p w:rsidR="00E14B42" w:rsidRPr="009B3D8B" w:rsidRDefault="00E14B42" w:rsidP="00F06396">
      <w:pPr>
        <w:pStyle w:val="Source"/>
        <w:numPr>
          <w:ilvl w:val="0"/>
          <w:numId w:val="25"/>
        </w:numPr>
        <w:tabs>
          <w:tab w:val="clear" w:pos="284"/>
          <w:tab w:val="left" w:pos="300"/>
        </w:tabs>
        <w:ind w:left="357" w:hanging="357"/>
      </w:pPr>
      <w:r w:rsidRPr="009B3D8B">
        <w:t>Th</w:t>
      </w:r>
      <w:r w:rsidR="00F71107">
        <w:t>e</w:t>
      </w:r>
      <w:r w:rsidR="009B3D8B" w:rsidRPr="009B3D8B">
        <w:t>s</w:t>
      </w:r>
      <w:r w:rsidR="00F71107">
        <w:t>e</w:t>
      </w:r>
      <w:r w:rsidR="009B3D8B" w:rsidRPr="009B3D8B">
        <w:t xml:space="preserve"> figure</w:t>
      </w:r>
      <w:r w:rsidR="00F71107">
        <w:t>s</w:t>
      </w:r>
      <w:r w:rsidR="009B3D8B" w:rsidRPr="009B3D8B">
        <w:t xml:space="preserve"> include </w:t>
      </w:r>
      <w:r w:rsidRPr="009B3D8B">
        <w:t xml:space="preserve">net assets from Centrelink and Medicare Australia </w:t>
      </w:r>
      <w:r w:rsidR="00D64178">
        <w:t>to</w:t>
      </w:r>
      <w:r w:rsidRPr="009B3D8B">
        <w:t xml:space="preserve"> be transferred to DHS </w:t>
      </w:r>
      <w:r w:rsidR="0008295B">
        <w:t>subject to</w:t>
      </w:r>
      <w:r w:rsidRPr="009B3D8B">
        <w:t xml:space="preserve"> the passage of the </w:t>
      </w:r>
      <w:r w:rsidR="005A1122" w:rsidRPr="005735CF">
        <w:rPr>
          <w:i/>
        </w:rPr>
        <w:t xml:space="preserve">Human Services Legislation Amendment Bill 2011 </w:t>
      </w:r>
      <w:r w:rsidRPr="009B3D8B">
        <w:t>currently before Parliament.</w:t>
      </w:r>
    </w:p>
    <w:p w:rsidR="00340FD7" w:rsidRDefault="00340FD7" w:rsidP="00E14B42">
      <w:pPr>
        <w:pStyle w:val="Source"/>
        <w:ind w:left="300" w:hanging="300"/>
      </w:pPr>
      <w:r>
        <w:t>Prepared on Australian Accounting Standards basis.</w:t>
      </w:r>
    </w:p>
    <w:p w:rsidR="00340FD7" w:rsidRDefault="00340FD7" w:rsidP="003A3E20">
      <w:pPr>
        <w:pStyle w:val="NoSpacing"/>
      </w:pPr>
    </w:p>
    <w:p w:rsidR="00340FD7" w:rsidRDefault="00340FD7" w:rsidP="00836E5E">
      <w:pPr>
        <w:pStyle w:val="TableHeading"/>
      </w:pPr>
      <w:r>
        <w:br w:type="page"/>
        <w:t xml:space="preserve">Table 3.2.4: </w:t>
      </w:r>
      <w:smartTag w:uri="urn:schemas-microsoft-com:office:smarttags" w:element="PersonName">
        <w:r w:rsidRPr="00D30CBA">
          <w:t>Budget</w:t>
        </w:r>
      </w:smartTag>
      <w:r w:rsidRPr="00D30CBA">
        <w:t>ed depar</w:t>
      </w:r>
      <w:r>
        <w:t>tmental statement of cash flows</w:t>
      </w:r>
      <w:r>
        <w:br/>
      </w:r>
      <w:r w:rsidRPr="00D30CBA">
        <w:t>(</w:t>
      </w:r>
      <w:r>
        <w:t>for the period ended</w:t>
      </w:r>
      <w:r w:rsidRPr="00D30CBA">
        <w:t xml:space="preserve"> 30 June)</w:t>
      </w:r>
    </w:p>
    <w:tbl>
      <w:tblPr>
        <w:tblW w:w="0" w:type="auto"/>
        <w:tblInd w:w="78" w:type="dxa"/>
        <w:tblLayout w:type="fixed"/>
        <w:tblLook w:val="0000" w:firstRow="0" w:lastRow="0" w:firstColumn="0" w:lastColumn="0" w:noHBand="0" w:noVBand="0"/>
      </w:tblPr>
      <w:tblGrid>
        <w:gridCol w:w="2385"/>
        <w:gridCol w:w="1099"/>
        <w:gridCol w:w="236"/>
        <w:gridCol w:w="970"/>
        <w:gridCol w:w="970"/>
        <w:gridCol w:w="970"/>
        <w:gridCol w:w="970"/>
      </w:tblGrid>
      <w:tr w:rsidR="001C167B" w:rsidTr="001C167B">
        <w:trPr>
          <w:trHeight w:val="215"/>
        </w:trPr>
        <w:tc>
          <w:tcPr>
            <w:tcW w:w="238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99"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tc>
        <w:tc>
          <w:tcPr>
            <w:tcW w:w="143"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7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7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7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14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1</w:t>
            </w: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2010-11</w:t>
            </w:r>
          </w:p>
        </w:tc>
        <w:tc>
          <w:tcPr>
            <w:tcW w:w="143"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7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7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7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099"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43"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0"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0"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0"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Goods and services</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491,707 </w:t>
            </w: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264,131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254,298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253,281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252,862 </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4,249,094 </w:t>
            </w: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4,110,787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3,879,709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3,898,689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3,817,274 </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140,385 </w:t>
            </w: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136,415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124,066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120,882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121,572 </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Other </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2,417 </w:t>
            </w: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2,288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2,129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1,769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1,290 </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1099"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4,883,603 </w:t>
            </w:r>
          </w:p>
        </w:tc>
        <w:tc>
          <w:tcPr>
            <w:tcW w:w="14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2</w:t>
            </w:r>
          </w:p>
        </w:tc>
        <w:tc>
          <w:tcPr>
            <w:tcW w:w="970"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4,513,621 </w:t>
            </w:r>
          </w:p>
        </w:tc>
        <w:tc>
          <w:tcPr>
            <w:tcW w:w="97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4,260,202 </w:t>
            </w:r>
          </w:p>
        </w:tc>
        <w:tc>
          <w:tcPr>
            <w:tcW w:w="97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4,274,621 </w:t>
            </w:r>
          </w:p>
        </w:tc>
        <w:tc>
          <w:tcPr>
            <w:tcW w:w="97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4,192,998 </w:t>
            </w:r>
          </w:p>
        </w:tc>
      </w:tr>
      <w:tr w:rsidR="001C167B" w:rsidTr="001C167B">
        <w:trPr>
          <w:trHeight w:val="57"/>
        </w:trPr>
        <w:tc>
          <w:tcPr>
            <w:tcW w:w="23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i/>
                <w:iCs/>
                <w:color w:val="000000"/>
                <w:sz w:val="16"/>
                <w:szCs w:val="16"/>
              </w:rPr>
            </w:pP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2,744,670 </w:t>
            </w: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2,614,175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2,450,297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2,472,460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2,388,724 </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1,620,977 </w:t>
            </w: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1,617,735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1,538,305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1,495,143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1,544,187 </w:t>
            </w:r>
          </w:p>
        </w:tc>
      </w:tr>
      <w:tr w:rsidR="001C167B" w:rsidTr="001C167B">
        <w:trPr>
          <w:trHeight w:val="448"/>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to the Official Public Account</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463,781 </w:t>
            </w: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259,902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255,205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253,575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253,016 </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376 </w:t>
            </w: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290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290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290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290 </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1099"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4,829,804 </w:t>
            </w:r>
          </w:p>
        </w:tc>
        <w:tc>
          <w:tcPr>
            <w:tcW w:w="14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3</w:t>
            </w:r>
          </w:p>
        </w:tc>
        <w:tc>
          <w:tcPr>
            <w:tcW w:w="970"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4,492,102 </w:t>
            </w:r>
          </w:p>
        </w:tc>
        <w:tc>
          <w:tcPr>
            <w:tcW w:w="97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4,244,097 </w:t>
            </w:r>
          </w:p>
        </w:tc>
        <w:tc>
          <w:tcPr>
            <w:tcW w:w="97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4,221,468 </w:t>
            </w:r>
          </w:p>
        </w:tc>
        <w:tc>
          <w:tcPr>
            <w:tcW w:w="97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4,186,217 </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 (used by)</w:t>
            </w:r>
          </w:p>
        </w:tc>
        <w:tc>
          <w:tcPr>
            <w:tcW w:w="1099"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auto"/>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1099"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53,799 </w:t>
            </w:r>
          </w:p>
        </w:tc>
        <w:tc>
          <w:tcPr>
            <w:tcW w:w="14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21,519 </w:t>
            </w:r>
          </w:p>
        </w:tc>
        <w:tc>
          <w:tcPr>
            <w:tcW w:w="970"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16,105 </w:t>
            </w:r>
          </w:p>
        </w:tc>
        <w:tc>
          <w:tcPr>
            <w:tcW w:w="970"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53,153 </w:t>
            </w:r>
          </w:p>
        </w:tc>
        <w:tc>
          <w:tcPr>
            <w:tcW w:w="970"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6,781 </w:t>
            </w:r>
          </w:p>
        </w:tc>
      </w:tr>
      <w:tr w:rsidR="001C167B" w:rsidTr="001C167B">
        <w:trPr>
          <w:trHeight w:val="57"/>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property, plant,</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30"/>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equipment and intangibles</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350,068 </w:t>
            </w: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332,251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181,938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178,603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245,914 </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1099"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350,068 </w:t>
            </w:r>
          </w:p>
        </w:tc>
        <w:tc>
          <w:tcPr>
            <w:tcW w:w="14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4</w:t>
            </w:r>
          </w:p>
        </w:tc>
        <w:tc>
          <w:tcPr>
            <w:tcW w:w="970"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332,251 </w:t>
            </w:r>
          </w:p>
        </w:tc>
        <w:tc>
          <w:tcPr>
            <w:tcW w:w="97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181,938 </w:t>
            </w:r>
          </w:p>
        </w:tc>
        <w:tc>
          <w:tcPr>
            <w:tcW w:w="97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178,603 </w:t>
            </w:r>
          </w:p>
        </w:tc>
        <w:tc>
          <w:tcPr>
            <w:tcW w:w="97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245,914 </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 (used by)</w:t>
            </w:r>
          </w:p>
        </w:tc>
        <w:tc>
          <w:tcPr>
            <w:tcW w:w="1099"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auto"/>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1099"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(350,068)</w:t>
            </w:r>
          </w:p>
        </w:tc>
        <w:tc>
          <w:tcPr>
            <w:tcW w:w="14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(332,251)</w:t>
            </w:r>
          </w:p>
        </w:tc>
        <w:tc>
          <w:tcPr>
            <w:tcW w:w="970"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(181,938)</w:t>
            </w:r>
          </w:p>
        </w:tc>
        <w:tc>
          <w:tcPr>
            <w:tcW w:w="970"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(178,603)</w:t>
            </w:r>
          </w:p>
        </w:tc>
        <w:tc>
          <w:tcPr>
            <w:tcW w:w="970"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(245,914)</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282,351 </w:t>
            </w: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310,658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166,245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125,927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239,608 </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1099"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282,351 </w:t>
            </w:r>
          </w:p>
        </w:tc>
        <w:tc>
          <w:tcPr>
            <w:tcW w:w="14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5</w:t>
            </w:r>
          </w:p>
        </w:tc>
        <w:tc>
          <w:tcPr>
            <w:tcW w:w="970"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310,658 </w:t>
            </w:r>
          </w:p>
        </w:tc>
        <w:tc>
          <w:tcPr>
            <w:tcW w:w="97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166,245 </w:t>
            </w:r>
          </w:p>
        </w:tc>
        <w:tc>
          <w:tcPr>
            <w:tcW w:w="97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125,927 </w:t>
            </w:r>
          </w:p>
        </w:tc>
        <w:tc>
          <w:tcPr>
            <w:tcW w:w="97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239,608 </w:t>
            </w:r>
          </w:p>
        </w:tc>
      </w:tr>
      <w:tr w:rsidR="001C167B" w:rsidTr="001C167B">
        <w:trPr>
          <w:trHeight w:val="57"/>
        </w:trPr>
        <w:tc>
          <w:tcPr>
            <w:tcW w:w="23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i/>
                <w:iCs/>
                <w:color w:val="000000"/>
                <w:sz w:val="16"/>
                <w:szCs w:val="16"/>
              </w:rPr>
            </w:pP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09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7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1099"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4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vertAlign w:val="superscript"/>
              </w:rPr>
            </w:pPr>
          </w:p>
        </w:tc>
        <w:tc>
          <w:tcPr>
            <w:tcW w:w="970"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7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7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7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 (used by)</w:t>
            </w:r>
          </w:p>
        </w:tc>
        <w:tc>
          <w:tcPr>
            <w:tcW w:w="1099"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1099"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282,351 </w:t>
            </w:r>
          </w:p>
        </w:tc>
        <w:tc>
          <w:tcPr>
            <w:tcW w:w="143"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nil"/>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310,658 </w:t>
            </w:r>
          </w:p>
        </w:tc>
        <w:tc>
          <w:tcPr>
            <w:tcW w:w="970"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166,245 </w:t>
            </w:r>
          </w:p>
        </w:tc>
        <w:tc>
          <w:tcPr>
            <w:tcW w:w="970"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125,927 </w:t>
            </w:r>
          </w:p>
        </w:tc>
        <w:tc>
          <w:tcPr>
            <w:tcW w:w="970"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239,608 </w:t>
            </w: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increase (decrease)</w:t>
            </w:r>
          </w:p>
        </w:tc>
        <w:tc>
          <w:tcPr>
            <w:tcW w:w="1099"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43"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7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 cash held</w:t>
            </w:r>
          </w:p>
        </w:tc>
        <w:tc>
          <w:tcPr>
            <w:tcW w:w="1099"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(13,918)</w:t>
            </w:r>
          </w:p>
        </w:tc>
        <w:tc>
          <w:tcPr>
            <w:tcW w:w="143"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nil"/>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(74)</w:t>
            </w:r>
          </w:p>
        </w:tc>
        <w:tc>
          <w:tcPr>
            <w:tcW w:w="970"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412 </w:t>
            </w:r>
          </w:p>
        </w:tc>
        <w:tc>
          <w:tcPr>
            <w:tcW w:w="970"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477 </w:t>
            </w:r>
          </w:p>
        </w:tc>
        <w:tc>
          <w:tcPr>
            <w:tcW w:w="970"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475 </w:t>
            </w:r>
          </w:p>
        </w:tc>
      </w:tr>
      <w:tr w:rsidR="001C167B" w:rsidTr="001C167B">
        <w:trPr>
          <w:trHeight w:val="651"/>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 the beginning of the reporting period</w:t>
            </w:r>
          </w:p>
        </w:tc>
        <w:tc>
          <w:tcPr>
            <w:tcW w:w="1099"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48,346 </w:t>
            </w:r>
          </w:p>
        </w:tc>
        <w:tc>
          <w:tcPr>
            <w:tcW w:w="14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6</w:t>
            </w:r>
          </w:p>
        </w:tc>
        <w:tc>
          <w:tcPr>
            <w:tcW w:w="970"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34,428 </w:t>
            </w:r>
          </w:p>
        </w:tc>
        <w:tc>
          <w:tcPr>
            <w:tcW w:w="97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34,354 </w:t>
            </w:r>
          </w:p>
        </w:tc>
        <w:tc>
          <w:tcPr>
            <w:tcW w:w="97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34,766 </w:t>
            </w:r>
          </w:p>
        </w:tc>
        <w:tc>
          <w:tcPr>
            <w:tcW w:w="970"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35,243 </w:t>
            </w:r>
          </w:p>
        </w:tc>
      </w:tr>
      <w:tr w:rsidR="001C167B" w:rsidTr="001C167B">
        <w:trPr>
          <w:trHeight w:val="651"/>
        </w:trPr>
        <w:tc>
          <w:tcPr>
            <w:tcW w:w="238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 the end of the reporting period</w:t>
            </w:r>
          </w:p>
        </w:tc>
        <w:tc>
          <w:tcPr>
            <w:tcW w:w="1099"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34,428 </w:t>
            </w:r>
          </w:p>
        </w:tc>
        <w:tc>
          <w:tcPr>
            <w:tcW w:w="143"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nil"/>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34,354 </w:t>
            </w:r>
          </w:p>
        </w:tc>
        <w:tc>
          <w:tcPr>
            <w:tcW w:w="970"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34,766 </w:t>
            </w:r>
          </w:p>
        </w:tc>
        <w:tc>
          <w:tcPr>
            <w:tcW w:w="970"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35,243 </w:t>
            </w:r>
          </w:p>
        </w:tc>
        <w:tc>
          <w:tcPr>
            <w:tcW w:w="970"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35,718 </w:t>
            </w:r>
          </w:p>
        </w:tc>
      </w:tr>
    </w:tbl>
    <w:p w:rsidR="00C51500" w:rsidRDefault="00C51500" w:rsidP="003A3E20">
      <w:pPr>
        <w:pStyle w:val="Source"/>
      </w:pPr>
    </w:p>
    <w:p w:rsidR="00C51500" w:rsidRDefault="003516E9" w:rsidP="00F06396">
      <w:pPr>
        <w:pStyle w:val="Source"/>
        <w:numPr>
          <w:ilvl w:val="0"/>
          <w:numId w:val="21"/>
        </w:numPr>
        <w:tabs>
          <w:tab w:val="clear" w:pos="284"/>
          <w:tab w:val="clear" w:pos="720"/>
          <w:tab w:val="num" w:pos="300"/>
        </w:tabs>
        <w:ind w:left="300" w:hanging="300"/>
      </w:pPr>
      <w:r w:rsidRPr="004B3A59">
        <w:t>Numbers provided for 2010-11 show combined amounts for the Department of Human Services, Centrelink and Medicare Austral</w:t>
      </w:r>
      <w:r w:rsidR="00146AA9" w:rsidRPr="004B3A59">
        <w:t xml:space="preserve">ia prior to </w:t>
      </w:r>
      <w:r w:rsidR="00836E5E">
        <w:t>integration</w:t>
      </w:r>
      <w:r w:rsidRPr="004B3A59">
        <w:t>.</w:t>
      </w:r>
    </w:p>
    <w:p w:rsidR="00C51500" w:rsidRDefault="003516E9" w:rsidP="00F06396">
      <w:pPr>
        <w:pStyle w:val="Source"/>
        <w:numPr>
          <w:ilvl w:val="0"/>
          <w:numId w:val="21"/>
        </w:numPr>
        <w:tabs>
          <w:tab w:val="clear" w:pos="284"/>
          <w:tab w:val="clear" w:pos="720"/>
          <w:tab w:val="num" w:pos="300"/>
        </w:tabs>
        <w:ind w:left="300" w:hanging="300"/>
      </w:pPr>
      <w:r w:rsidRPr="004B3A59">
        <w:t>Total operating cash received for 2010-11 is made up of</w:t>
      </w:r>
      <w:r w:rsidR="005720BC">
        <w:t>:</w:t>
      </w:r>
      <w:r w:rsidRPr="004B3A59">
        <w:t xml:space="preserve"> DHS </w:t>
      </w:r>
      <w:r w:rsidR="00146AA9" w:rsidRPr="004B3A59">
        <w:t>$</w:t>
      </w:r>
      <w:r w:rsidR="006B7562">
        <w:t>950.813m</w:t>
      </w:r>
      <w:r w:rsidR="005720BC">
        <w:t>,</w:t>
      </w:r>
      <w:r w:rsidRPr="004B3A59">
        <w:t xml:space="preserve"> Centrelink </w:t>
      </w:r>
      <w:r w:rsidR="00085474">
        <w:t>$</w:t>
      </w:r>
      <w:r w:rsidR="006B7562">
        <w:t>3,0</w:t>
      </w:r>
      <w:r w:rsidR="00085474">
        <w:t>2</w:t>
      </w:r>
      <w:r w:rsidR="00D97982">
        <w:t>7</w:t>
      </w:r>
      <w:r w:rsidR="005720BC">
        <w:t>.</w:t>
      </w:r>
      <w:r w:rsidR="006B7562">
        <w:t>382</w:t>
      </w:r>
      <w:r w:rsidR="005720BC">
        <w:t>m</w:t>
      </w:r>
      <w:r w:rsidR="00085474">
        <w:t xml:space="preserve"> </w:t>
      </w:r>
      <w:r w:rsidRPr="004B3A59">
        <w:t xml:space="preserve">and Medicare Australia </w:t>
      </w:r>
      <w:r w:rsidR="00146AA9" w:rsidRPr="004B3A59">
        <w:t>$</w:t>
      </w:r>
      <w:r w:rsidR="006B7562">
        <w:t>905</w:t>
      </w:r>
      <w:r w:rsidR="005720BC">
        <w:t>.</w:t>
      </w:r>
      <w:r w:rsidR="006B7562">
        <w:t>408</w:t>
      </w:r>
      <w:r w:rsidR="005720BC">
        <w:t>m</w:t>
      </w:r>
      <w:r w:rsidRPr="004B3A59">
        <w:t>.</w:t>
      </w:r>
    </w:p>
    <w:p w:rsidR="00C51500" w:rsidRDefault="003516E9" w:rsidP="00F06396">
      <w:pPr>
        <w:pStyle w:val="Source"/>
        <w:numPr>
          <w:ilvl w:val="0"/>
          <w:numId w:val="21"/>
        </w:numPr>
        <w:tabs>
          <w:tab w:val="clear" w:pos="284"/>
          <w:tab w:val="clear" w:pos="720"/>
          <w:tab w:val="num" w:pos="300"/>
        </w:tabs>
        <w:ind w:left="300" w:hanging="300"/>
      </w:pPr>
      <w:r w:rsidRPr="004B3A59">
        <w:t>Total operating cash used for 2010-11 is</w:t>
      </w:r>
      <w:r w:rsidR="00146AA9" w:rsidRPr="004B3A59">
        <w:t xml:space="preserve"> made up of</w:t>
      </w:r>
      <w:r w:rsidR="005720BC">
        <w:t xml:space="preserve">: </w:t>
      </w:r>
      <w:r w:rsidR="00146AA9" w:rsidRPr="004B3A59">
        <w:t>DHS $</w:t>
      </w:r>
      <w:r w:rsidR="00A74410">
        <w:t>942.759</w:t>
      </w:r>
      <w:r w:rsidR="005720BC">
        <w:t>m,</w:t>
      </w:r>
      <w:r w:rsidRPr="004B3A59">
        <w:t xml:space="preserve"> Centrelink </w:t>
      </w:r>
      <w:r w:rsidR="00146AA9" w:rsidRPr="004B3A59">
        <w:t>$</w:t>
      </w:r>
      <w:r w:rsidR="00A74410">
        <w:t>3,023.548</w:t>
      </w:r>
      <w:r w:rsidR="005720BC">
        <w:t>m</w:t>
      </w:r>
      <w:r w:rsidR="00982B60">
        <w:t>,</w:t>
      </w:r>
      <w:r w:rsidR="00146AA9" w:rsidRPr="004B3A59">
        <w:t xml:space="preserve"> and Medicare Australia $</w:t>
      </w:r>
      <w:r w:rsidR="00A74410">
        <w:t>863.497</w:t>
      </w:r>
      <w:r w:rsidR="005720BC">
        <w:t>m</w:t>
      </w:r>
      <w:r w:rsidRPr="004B3A59">
        <w:t>.</w:t>
      </w:r>
    </w:p>
    <w:p w:rsidR="00C51500" w:rsidRDefault="003516E9" w:rsidP="00F06396">
      <w:pPr>
        <w:pStyle w:val="Source"/>
        <w:numPr>
          <w:ilvl w:val="0"/>
          <w:numId w:val="21"/>
        </w:numPr>
        <w:tabs>
          <w:tab w:val="clear" w:pos="284"/>
          <w:tab w:val="clear" w:pos="720"/>
          <w:tab w:val="num" w:pos="300"/>
        </w:tabs>
        <w:ind w:left="300" w:hanging="300"/>
      </w:pPr>
      <w:r w:rsidRPr="004B3A59">
        <w:t>Total Investing cash used for 2010-11 is made up of</w:t>
      </w:r>
      <w:r w:rsidR="005720BC">
        <w:t>:</w:t>
      </w:r>
      <w:r w:rsidRPr="004B3A59">
        <w:t xml:space="preserve"> DHS </w:t>
      </w:r>
      <w:r w:rsidR="00146AA9" w:rsidRPr="004B3A59">
        <w:t>$39</w:t>
      </w:r>
      <w:r w:rsidR="005720BC">
        <w:t>.</w:t>
      </w:r>
      <w:r w:rsidR="00146AA9" w:rsidRPr="004B3A59">
        <w:t>942</w:t>
      </w:r>
      <w:r w:rsidR="005720BC">
        <w:t>m,</w:t>
      </w:r>
      <w:r w:rsidRPr="004B3A59">
        <w:t xml:space="preserve"> Centrelink </w:t>
      </w:r>
      <w:r w:rsidR="00146AA9" w:rsidRPr="004B3A59">
        <w:t>$227</w:t>
      </w:r>
      <w:r w:rsidR="005720BC">
        <w:t>.</w:t>
      </w:r>
      <w:r w:rsidR="00146AA9" w:rsidRPr="004B3A59">
        <w:t>403</w:t>
      </w:r>
      <w:r w:rsidR="005720BC">
        <w:t>m</w:t>
      </w:r>
      <w:r w:rsidRPr="004B3A59">
        <w:t xml:space="preserve"> and Medicare Australia </w:t>
      </w:r>
      <w:r w:rsidR="00146AA9" w:rsidRPr="004B3A59">
        <w:t>$82</w:t>
      </w:r>
      <w:r w:rsidR="005720BC">
        <w:t>.</w:t>
      </w:r>
      <w:r w:rsidR="00146AA9" w:rsidRPr="004B3A59">
        <w:t>723</w:t>
      </w:r>
      <w:r w:rsidR="005720BC">
        <w:t>m</w:t>
      </w:r>
      <w:r w:rsidRPr="004B3A59">
        <w:t>.</w:t>
      </w:r>
    </w:p>
    <w:p w:rsidR="00C51500" w:rsidRDefault="003516E9" w:rsidP="00F06396">
      <w:pPr>
        <w:pStyle w:val="Source"/>
        <w:numPr>
          <w:ilvl w:val="0"/>
          <w:numId w:val="21"/>
        </w:numPr>
        <w:tabs>
          <w:tab w:val="clear" w:pos="284"/>
          <w:tab w:val="clear" w:pos="720"/>
          <w:tab w:val="num" w:pos="300"/>
        </w:tabs>
        <w:ind w:left="300" w:hanging="300"/>
      </w:pPr>
      <w:r w:rsidRPr="004B3A59">
        <w:t>Total Financing cash received for 2010-11 is made</w:t>
      </w:r>
      <w:r w:rsidR="005720BC">
        <w:t xml:space="preserve"> up of</w:t>
      </w:r>
      <w:r w:rsidR="00146AA9" w:rsidRPr="004B3A59">
        <w:t>: DHS $33</w:t>
      </w:r>
      <w:r w:rsidR="005720BC">
        <w:t>.</w:t>
      </w:r>
      <w:r w:rsidR="00146AA9" w:rsidRPr="004B3A59">
        <w:t>636</w:t>
      </w:r>
      <w:r w:rsidR="005720BC">
        <w:t>m</w:t>
      </w:r>
      <w:r w:rsidR="00146AA9" w:rsidRPr="004B3A59">
        <w:t>, Centrelink $206</w:t>
      </w:r>
      <w:r w:rsidR="005720BC">
        <w:t>.</w:t>
      </w:r>
      <w:r w:rsidR="00146AA9" w:rsidRPr="004B3A59">
        <w:t>052</w:t>
      </w:r>
      <w:r w:rsidR="005720BC">
        <w:t>m</w:t>
      </w:r>
      <w:r w:rsidRPr="004B3A59">
        <w:t xml:space="preserve"> and Medicare Australia </w:t>
      </w:r>
      <w:r w:rsidR="00146AA9" w:rsidRPr="004B3A59">
        <w:t>$42</w:t>
      </w:r>
      <w:r w:rsidR="005720BC">
        <w:t>.</w:t>
      </w:r>
      <w:r w:rsidR="00146AA9" w:rsidRPr="004B3A59">
        <w:t>663</w:t>
      </w:r>
      <w:r w:rsidR="005720BC">
        <w:t>m</w:t>
      </w:r>
      <w:r w:rsidRPr="004B3A59">
        <w:t>.</w:t>
      </w:r>
    </w:p>
    <w:p w:rsidR="003516E9" w:rsidRPr="00C51500" w:rsidRDefault="003516E9" w:rsidP="00F06396">
      <w:pPr>
        <w:pStyle w:val="Source"/>
        <w:numPr>
          <w:ilvl w:val="0"/>
          <w:numId w:val="21"/>
        </w:numPr>
        <w:tabs>
          <w:tab w:val="clear" w:pos="284"/>
          <w:tab w:val="clear" w:pos="720"/>
          <w:tab w:val="num" w:pos="300"/>
        </w:tabs>
        <w:ind w:left="300" w:hanging="300"/>
      </w:pPr>
      <w:r w:rsidRPr="004B3A59">
        <w:t>Cash and cash equivalents at the beginning of the reporting period for 201</w:t>
      </w:r>
      <w:r w:rsidR="005720BC">
        <w:t>0-11 is made up of</w:t>
      </w:r>
      <w:r w:rsidR="004B3A59" w:rsidRPr="004B3A59">
        <w:t>: DHS $9</w:t>
      </w:r>
      <w:r w:rsidR="005720BC">
        <w:t>.</w:t>
      </w:r>
      <w:r w:rsidR="004B3A59" w:rsidRPr="004B3A59">
        <w:t>551</w:t>
      </w:r>
      <w:r w:rsidR="005720BC">
        <w:t>m</w:t>
      </w:r>
      <w:r w:rsidR="004B3A59" w:rsidRPr="004B3A59">
        <w:t>; Centrelink $31</w:t>
      </w:r>
      <w:r w:rsidR="005720BC">
        <w:t>.</w:t>
      </w:r>
      <w:r w:rsidR="004B3A59" w:rsidRPr="004B3A59">
        <w:t>087</w:t>
      </w:r>
      <w:r w:rsidR="005720BC">
        <w:t>m</w:t>
      </w:r>
      <w:r w:rsidRPr="004B3A59">
        <w:t xml:space="preserve"> and Medicare Australia </w:t>
      </w:r>
      <w:r w:rsidR="004B3A59" w:rsidRPr="004B3A59">
        <w:t>$7</w:t>
      </w:r>
      <w:r w:rsidR="005720BC">
        <w:t>.</w:t>
      </w:r>
      <w:r w:rsidR="004B3A59" w:rsidRPr="004B3A59">
        <w:t>708</w:t>
      </w:r>
      <w:r w:rsidR="005720BC">
        <w:t>m</w:t>
      </w:r>
      <w:r w:rsidRPr="004B3A59">
        <w:t>.</w:t>
      </w:r>
    </w:p>
    <w:p w:rsidR="00340FD7" w:rsidRPr="004B3A59" w:rsidRDefault="00340FD7" w:rsidP="003A3E20">
      <w:pPr>
        <w:pStyle w:val="Source"/>
      </w:pPr>
      <w:r w:rsidRPr="004B3A59">
        <w:t>Prepared on Australian Accounting Standards basis.</w:t>
      </w:r>
    </w:p>
    <w:p w:rsidR="00340FD7" w:rsidRDefault="00340FD7" w:rsidP="003A3E20">
      <w:pPr>
        <w:pStyle w:val="TableHeading"/>
        <w:jc w:val="both"/>
      </w:pPr>
      <w:r>
        <w:br w:type="page"/>
      </w:r>
      <w:r w:rsidRPr="00D30CBA">
        <w:t>Table 3.2.</w:t>
      </w:r>
      <w:r>
        <w:t>5</w:t>
      </w:r>
      <w:r w:rsidRPr="00D30CBA">
        <w:t xml:space="preserve">: </w:t>
      </w:r>
      <w:r>
        <w:t xml:space="preserve">Departmental Capital </w:t>
      </w:r>
      <w:smartTag w:uri="urn:schemas-microsoft-com:office:smarttags" w:element="PersonName">
        <w:r>
          <w:t>Budget</w:t>
        </w:r>
      </w:smartTag>
      <w:r>
        <w:t xml:space="preserve"> Statement</w:t>
      </w:r>
    </w:p>
    <w:tbl>
      <w:tblPr>
        <w:tblW w:w="0" w:type="auto"/>
        <w:tblInd w:w="78" w:type="dxa"/>
        <w:tblLayout w:type="fixed"/>
        <w:tblLook w:val="0000" w:firstRow="0" w:lastRow="0" w:firstColumn="0" w:lastColumn="0" w:noHBand="0" w:noVBand="0"/>
      </w:tblPr>
      <w:tblGrid>
        <w:gridCol w:w="3206"/>
        <w:gridCol w:w="903"/>
        <w:gridCol w:w="236"/>
        <w:gridCol w:w="885"/>
        <w:gridCol w:w="886"/>
        <w:gridCol w:w="902"/>
        <w:gridCol w:w="934"/>
      </w:tblGrid>
      <w:tr w:rsidR="001C167B" w:rsidTr="001C167B">
        <w:trPr>
          <w:trHeight w:val="216"/>
        </w:trPr>
        <w:tc>
          <w:tcPr>
            <w:tcW w:w="3206"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3"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tc>
        <w:tc>
          <w:tcPr>
            <w:tcW w:w="113"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single" w:sz="2" w:space="0" w:color="auto"/>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886"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02"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34"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2</w:t>
            </w: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3"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2010-11</w:t>
            </w:r>
          </w:p>
        </w:tc>
        <w:tc>
          <w:tcPr>
            <w:tcW w:w="113"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886"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0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3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86"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02"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APPROPRIATIONS</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Capital budget - Bill 1 (DCB)</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221,129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285,001 </w:t>
            </w: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158,499 </w:t>
            </w: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125,427 </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239,608 </w:t>
            </w: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injections - Bill 2</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77,477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25,213 </w:t>
            </w: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2,012 </w:t>
            </w: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1C167B" w:rsidTr="001C167B">
        <w:trPr>
          <w:trHeight w:val="230"/>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capital appropriations</w:t>
            </w:r>
          </w:p>
        </w:tc>
        <w:tc>
          <w:tcPr>
            <w:tcW w:w="90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298,606 </w:t>
            </w:r>
          </w:p>
        </w:tc>
        <w:tc>
          <w:tcPr>
            <w:tcW w:w="11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3</w:t>
            </w:r>
          </w:p>
        </w:tc>
        <w:tc>
          <w:tcPr>
            <w:tcW w:w="885" w:type="dxa"/>
            <w:tcBorders>
              <w:top w:val="single" w:sz="2" w:space="0" w:color="auto"/>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310,214 </w:t>
            </w:r>
          </w:p>
        </w:tc>
        <w:tc>
          <w:tcPr>
            <w:tcW w:w="886"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160,511 </w:t>
            </w:r>
          </w:p>
        </w:tc>
        <w:tc>
          <w:tcPr>
            <w:tcW w:w="902"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125,427 </w:t>
            </w:r>
          </w:p>
        </w:tc>
        <w:tc>
          <w:tcPr>
            <w:tcW w:w="93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239,608 </w:t>
            </w:r>
          </w:p>
        </w:tc>
      </w:tr>
      <w:tr w:rsidR="001C167B" w:rsidTr="001C167B">
        <w:trPr>
          <w:trHeight w:val="58"/>
        </w:trPr>
        <w:tc>
          <w:tcPr>
            <w:tcW w:w="32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new capital appropriations</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Represented by:</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non-financial assets</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289,055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310,214 </w:t>
            </w: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160,511 </w:t>
            </w: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125,427 </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239,608 </w:t>
            </w: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Items</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9,551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1C167B" w:rsidTr="001C167B">
        <w:trPr>
          <w:trHeight w:val="230"/>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Items</w:t>
            </w:r>
          </w:p>
        </w:tc>
        <w:tc>
          <w:tcPr>
            <w:tcW w:w="90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298,606 </w:t>
            </w:r>
          </w:p>
        </w:tc>
        <w:tc>
          <w:tcPr>
            <w:tcW w:w="11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4</w:t>
            </w:r>
          </w:p>
        </w:tc>
        <w:tc>
          <w:tcPr>
            <w:tcW w:w="885" w:type="dxa"/>
            <w:tcBorders>
              <w:top w:val="single" w:sz="2" w:space="0" w:color="auto"/>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310,214 </w:t>
            </w:r>
          </w:p>
        </w:tc>
        <w:tc>
          <w:tcPr>
            <w:tcW w:w="886"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160,511 </w:t>
            </w:r>
          </w:p>
        </w:tc>
        <w:tc>
          <w:tcPr>
            <w:tcW w:w="902"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125,427 </w:t>
            </w:r>
          </w:p>
        </w:tc>
        <w:tc>
          <w:tcPr>
            <w:tcW w:w="93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239,608 </w:t>
            </w:r>
          </w:p>
        </w:tc>
      </w:tr>
      <w:tr w:rsidR="001C167B" w:rsidTr="001C167B">
        <w:trPr>
          <w:trHeight w:val="58"/>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PURCHASE OF NON-FINANCIAL</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 capital appropriations</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91,793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33,157 </w:t>
            </w: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2,746 </w:t>
            </w: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1C167B" w:rsidTr="001C167B">
        <w:trPr>
          <w:trHeight w:val="27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Funded by capital appropriation - DCB</w:t>
            </w:r>
            <w:r>
              <w:rPr>
                <w:rFonts w:ascii="Arial" w:hAnsi="Arial" w:cs="Arial"/>
                <w:color w:val="000000"/>
                <w:sz w:val="16"/>
                <w:szCs w:val="16"/>
                <w:vertAlign w:val="superscript"/>
              </w:rPr>
              <w:t>1</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215,185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285,445 </w:t>
            </w: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163,499 </w:t>
            </w: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125,927 </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239,608 </w:t>
            </w:r>
          </w:p>
        </w:tc>
      </w:tr>
      <w:tr w:rsidR="001C167B" w:rsidTr="001C167B">
        <w:trPr>
          <w:trHeight w:val="216"/>
        </w:trPr>
        <w:tc>
          <w:tcPr>
            <w:tcW w:w="3206" w:type="dxa"/>
            <w:gridSpan w:val="2"/>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internally from departmental resources</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13,476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13,649 </w:t>
            </w: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15,693 </w:t>
            </w: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52,676 </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6,306 </w:t>
            </w:r>
          </w:p>
        </w:tc>
      </w:tr>
      <w:tr w:rsidR="001C167B" w:rsidTr="001C167B">
        <w:trPr>
          <w:trHeight w:val="245"/>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90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320,454 </w:t>
            </w:r>
          </w:p>
        </w:tc>
        <w:tc>
          <w:tcPr>
            <w:tcW w:w="11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5</w:t>
            </w:r>
          </w:p>
        </w:tc>
        <w:tc>
          <w:tcPr>
            <w:tcW w:w="885" w:type="dxa"/>
            <w:tcBorders>
              <w:top w:val="single" w:sz="2" w:space="0" w:color="auto"/>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332,251 </w:t>
            </w:r>
          </w:p>
        </w:tc>
        <w:tc>
          <w:tcPr>
            <w:tcW w:w="886"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181,938 </w:t>
            </w:r>
          </w:p>
        </w:tc>
        <w:tc>
          <w:tcPr>
            <w:tcW w:w="902"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178,603 </w:t>
            </w:r>
          </w:p>
        </w:tc>
        <w:tc>
          <w:tcPr>
            <w:tcW w:w="93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245,914 </w:t>
            </w:r>
          </w:p>
        </w:tc>
      </w:tr>
      <w:tr w:rsidR="001C167B" w:rsidTr="001C167B">
        <w:trPr>
          <w:trHeight w:val="58"/>
        </w:trPr>
        <w:tc>
          <w:tcPr>
            <w:tcW w:w="32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RECONCILIATION OF CASH</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USED TO ACQUIRE ASSETS</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 ASSET MOVEMENT TABLE</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Calibri" w:hAnsi="Calibri" w:cs="Calibri"/>
                <w:color w:val="000000"/>
                <w:sz w:val="22"/>
                <w:szCs w:val="22"/>
              </w:rPr>
            </w:pP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Calibri" w:hAnsi="Calibri" w:cs="Calibri"/>
                <w:color w:val="000000"/>
                <w:sz w:val="22"/>
                <w:szCs w:val="22"/>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Calibri" w:hAnsi="Calibri" w:cs="Calibri"/>
                <w:color w:val="000000"/>
                <w:sz w:val="22"/>
                <w:szCs w:val="22"/>
              </w:rPr>
            </w:pP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Calibri" w:hAnsi="Calibri" w:cs="Calibri"/>
                <w:color w:val="000000"/>
                <w:sz w:val="22"/>
                <w:szCs w:val="22"/>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Calibri" w:hAnsi="Calibri" w:cs="Calibri"/>
                <w:color w:val="000000"/>
                <w:sz w:val="22"/>
                <w:szCs w:val="22"/>
              </w:rPr>
            </w:pP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purchases</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320,454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332,251 </w:t>
            </w: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181,938 </w:t>
            </w: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178,603 </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245,914 </w:t>
            </w: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plus payables</w:t>
            </w:r>
          </w:p>
        </w:tc>
        <w:tc>
          <w:tcPr>
            <w:tcW w:w="90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29,614 </w:t>
            </w:r>
          </w:p>
        </w:tc>
        <w:tc>
          <w:tcPr>
            <w:tcW w:w="11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8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0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06"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 to</w:t>
            </w:r>
          </w:p>
        </w:tc>
        <w:tc>
          <w:tcPr>
            <w:tcW w:w="903"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113"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885" w:type="dxa"/>
            <w:tcBorders>
              <w:top w:val="single" w:sz="2" w:space="0" w:color="auto"/>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886"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02"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34"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r>
      <w:tr w:rsidR="001C167B" w:rsidTr="001C167B">
        <w:trPr>
          <w:trHeight w:val="216"/>
        </w:trPr>
        <w:tc>
          <w:tcPr>
            <w:tcW w:w="3206" w:type="dxa"/>
            <w:tcBorders>
              <w:top w:val="nil"/>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acquire assets</w:t>
            </w:r>
          </w:p>
        </w:tc>
        <w:tc>
          <w:tcPr>
            <w:tcW w:w="90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350,068 </w:t>
            </w:r>
          </w:p>
        </w:tc>
        <w:tc>
          <w:tcPr>
            <w:tcW w:w="113" w:type="dxa"/>
            <w:tcBorders>
              <w:top w:val="nil"/>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color w:val="FF0000"/>
                <w:sz w:val="16"/>
                <w:szCs w:val="16"/>
                <w:vertAlign w:val="superscript"/>
              </w:rPr>
            </w:pPr>
            <w:r>
              <w:rPr>
                <w:rFonts w:ascii="Arial" w:hAnsi="Arial" w:cs="Arial"/>
                <w:color w:val="FF0000"/>
                <w:sz w:val="16"/>
                <w:szCs w:val="16"/>
                <w:vertAlign w:val="superscript"/>
              </w:rPr>
              <w:t>6</w:t>
            </w:r>
          </w:p>
        </w:tc>
        <w:tc>
          <w:tcPr>
            <w:tcW w:w="885"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332,251 </w:t>
            </w:r>
          </w:p>
        </w:tc>
        <w:tc>
          <w:tcPr>
            <w:tcW w:w="886"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181,938 </w:t>
            </w:r>
          </w:p>
        </w:tc>
        <w:tc>
          <w:tcPr>
            <w:tcW w:w="902"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178,603 </w:t>
            </w:r>
          </w:p>
        </w:tc>
        <w:tc>
          <w:tcPr>
            <w:tcW w:w="93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245,914 </w:t>
            </w:r>
          </w:p>
        </w:tc>
      </w:tr>
    </w:tbl>
    <w:p w:rsidR="00995228" w:rsidRPr="00C00EB7" w:rsidRDefault="00995228" w:rsidP="009D5939">
      <w:pPr>
        <w:pStyle w:val="Source"/>
        <w:rPr>
          <w:sz w:val="4"/>
          <w:szCs w:val="4"/>
        </w:rPr>
      </w:pPr>
    </w:p>
    <w:p w:rsidR="00995228" w:rsidRDefault="00A50255" w:rsidP="00A50255">
      <w:pPr>
        <w:pStyle w:val="Source"/>
        <w:numPr>
          <w:ilvl w:val="0"/>
          <w:numId w:val="20"/>
        </w:numPr>
        <w:tabs>
          <w:tab w:val="clear" w:pos="284"/>
          <w:tab w:val="clear" w:pos="720"/>
          <w:tab w:val="num" w:pos="300"/>
        </w:tabs>
        <w:ind w:left="300" w:hanging="300"/>
      </w:pPr>
      <w:r w:rsidRPr="00A50255">
        <w:t>Does not inclu</w:t>
      </w:r>
      <w:r>
        <w:t xml:space="preserve">de annual finance lease costs. </w:t>
      </w:r>
      <w:r w:rsidRPr="00A50255">
        <w:t>Include purchase from current and previous</w:t>
      </w:r>
      <w:r>
        <w:t xml:space="preserve"> </w:t>
      </w:r>
      <w:r w:rsidRPr="00A50255">
        <w:t>years Departmental Capital Budgets</w:t>
      </w:r>
      <w:r>
        <w:t>.</w:t>
      </w:r>
    </w:p>
    <w:p w:rsidR="00995228" w:rsidRDefault="00451513" w:rsidP="00F06396">
      <w:pPr>
        <w:pStyle w:val="Source"/>
        <w:numPr>
          <w:ilvl w:val="0"/>
          <w:numId w:val="20"/>
        </w:numPr>
        <w:tabs>
          <w:tab w:val="clear" w:pos="284"/>
          <w:tab w:val="clear" w:pos="720"/>
          <w:tab w:val="num" w:pos="300"/>
        </w:tabs>
        <w:ind w:left="300" w:hanging="300"/>
      </w:pPr>
      <w:r w:rsidRPr="00653675">
        <w:t>Numbers provided for 2010-11 combined amounts for the Department of Human Services, Centrelink and Medicare Australi</w:t>
      </w:r>
      <w:r w:rsidR="00995228">
        <w:t xml:space="preserve">a prior to </w:t>
      </w:r>
      <w:r w:rsidR="00836E5E">
        <w:t>integration</w:t>
      </w:r>
      <w:r w:rsidR="00995228">
        <w:t xml:space="preserve"> </w:t>
      </w:r>
      <w:r w:rsidRPr="00653675">
        <w:t xml:space="preserve">on 1 July 2011. </w:t>
      </w:r>
    </w:p>
    <w:p w:rsidR="00995228" w:rsidRDefault="00451513" w:rsidP="00F06396">
      <w:pPr>
        <w:pStyle w:val="Source"/>
        <w:numPr>
          <w:ilvl w:val="0"/>
          <w:numId w:val="20"/>
        </w:numPr>
        <w:tabs>
          <w:tab w:val="clear" w:pos="284"/>
          <w:tab w:val="clear" w:pos="720"/>
          <w:tab w:val="num" w:pos="300"/>
        </w:tabs>
        <w:ind w:left="300" w:hanging="300"/>
      </w:pPr>
      <w:r w:rsidRPr="00653675">
        <w:t xml:space="preserve">Total capital appropriations for 2010-11 is made up of:DHS </w:t>
      </w:r>
      <w:r w:rsidR="005D4CEA" w:rsidRPr="00653675">
        <w:t>$39</w:t>
      </w:r>
      <w:r w:rsidR="005720BC">
        <w:t>.</w:t>
      </w:r>
      <w:r w:rsidR="005D4CEA" w:rsidRPr="00653675">
        <w:t>580</w:t>
      </w:r>
      <w:r w:rsidR="005720BC">
        <w:t>m</w:t>
      </w:r>
      <w:r w:rsidRPr="00653675">
        <w:t xml:space="preserve">; Centrelink </w:t>
      </w:r>
      <w:r w:rsidR="005D4CEA" w:rsidRPr="00653675">
        <w:t>$206</w:t>
      </w:r>
      <w:r w:rsidR="005720BC">
        <w:t>.</w:t>
      </w:r>
      <w:r w:rsidR="005D4CEA" w:rsidRPr="00653675">
        <w:t>052</w:t>
      </w:r>
      <w:r w:rsidR="005720BC">
        <w:t>m</w:t>
      </w:r>
      <w:r w:rsidRPr="00653675">
        <w:t xml:space="preserve"> and Medicare Australia </w:t>
      </w:r>
      <w:r w:rsidR="005D4CEA" w:rsidRPr="00653675">
        <w:t>$52</w:t>
      </w:r>
      <w:r w:rsidR="005720BC">
        <w:t>.</w:t>
      </w:r>
      <w:r w:rsidR="005D4CEA" w:rsidRPr="00653675">
        <w:t>974</w:t>
      </w:r>
      <w:r w:rsidR="005720BC">
        <w:t>m</w:t>
      </w:r>
      <w:r w:rsidR="005D4CEA" w:rsidRPr="00653675">
        <w:t>.</w:t>
      </w:r>
    </w:p>
    <w:p w:rsidR="00995228" w:rsidRDefault="00451513" w:rsidP="00F06396">
      <w:pPr>
        <w:pStyle w:val="Source"/>
        <w:numPr>
          <w:ilvl w:val="0"/>
          <w:numId w:val="20"/>
        </w:numPr>
        <w:tabs>
          <w:tab w:val="clear" w:pos="284"/>
          <w:tab w:val="clear" w:pos="720"/>
          <w:tab w:val="num" w:pos="300"/>
        </w:tabs>
        <w:ind w:left="300" w:hanging="300"/>
      </w:pPr>
      <w:r w:rsidRPr="00653675">
        <w:t xml:space="preserve">Total items for 2010-11 is made up of:DHS </w:t>
      </w:r>
      <w:r w:rsidR="005D4CEA" w:rsidRPr="00653675">
        <w:t>$39</w:t>
      </w:r>
      <w:r w:rsidR="005720BC">
        <w:t>.</w:t>
      </w:r>
      <w:r w:rsidR="005D4CEA" w:rsidRPr="00653675">
        <w:t>580</w:t>
      </w:r>
      <w:r w:rsidR="005720BC">
        <w:t>m</w:t>
      </w:r>
      <w:r w:rsidRPr="00653675">
        <w:t xml:space="preserve">; Centrelink </w:t>
      </w:r>
      <w:r w:rsidR="005D4CEA" w:rsidRPr="00653675">
        <w:t>$206</w:t>
      </w:r>
      <w:r w:rsidR="005720BC">
        <w:t>.</w:t>
      </w:r>
      <w:r w:rsidR="005D4CEA" w:rsidRPr="00653675">
        <w:t>052</w:t>
      </w:r>
      <w:r w:rsidR="005720BC">
        <w:t>m</w:t>
      </w:r>
      <w:r w:rsidRPr="00653675">
        <w:t xml:space="preserve"> and Medicare Australia </w:t>
      </w:r>
      <w:r w:rsidR="005D4CEA" w:rsidRPr="00653675">
        <w:t>$52</w:t>
      </w:r>
      <w:r w:rsidR="005720BC">
        <w:t>.</w:t>
      </w:r>
      <w:r w:rsidR="005D4CEA" w:rsidRPr="00653675">
        <w:t>974</w:t>
      </w:r>
      <w:r w:rsidR="005720BC">
        <w:t>m</w:t>
      </w:r>
      <w:r w:rsidRPr="00653675">
        <w:t>.</w:t>
      </w:r>
    </w:p>
    <w:p w:rsidR="00995228" w:rsidRDefault="00451513" w:rsidP="00F06396">
      <w:pPr>
        <w:pStyle w:val="Source"/>
        <w:numPr>
          <w:ilvl w:val="0"/>
          <w:numId w:val="20"/>
        </w:numPr>
        <w:tabs>
          <w:tab w:val="clear" w:pos="284"/>
          <w:tab w:val="clear" w:pos="720"/>
          <w:tab w:val="num" w:pos="300"/>
        </w:tabs>
        <w:ind w:left="300" w:hanging="300"/>
      </w:pPr>
      <w:r w:rsidRPr="00653675">
        <w:t xml:space="preserve">Total purchase of non-financial assets for 2010-11 is made up of:DHS </w:t>
      </w:r>
      <w:r w:rsidR="00653675" w:rsidRPr="00653675">
        <w:t>$41</w:t>
      </w:r>
      <w:r w:rsidR="005720BC">
        <w:t>.</w:t>
      </w:r>
      <w:r w:rsidR="00653675" w:rsidRPr="00653675">
        <w:t>230</w:t>
      </w:r>
      <w:r w:rsidR="005720BC">
        <w:t>m</w:t>
      </w:r>
      <w:r w:rsidRPr="00653675">
        <w:t xml:space="preserve">; Centrelink </w:t>
      </w:r>
      <w:r w:rsidR="00653675" w:rsidRPr="00653675">
        <w:t>$196</w:t>
      </w:r>
      <w:r w:rsidR="005720BC">
        <w:t>.</w:t>
      </w:r>
      <w:r w:rsidR="00653675" w:rsidRPr="00653675">
        <w:t>501</w:t>
      </w:r>
      <w:r w:rsidR="005720BC">
        <w:t>m</w:t>
      </w:r>
      <w:r w:rsidRPr="00653675">
        <w:t xml:space="preserve"> and Medicare Australia </w:t>
      </w:r>
      <w:r w:rsidR="00653675" w:rsidRPr="00653675">
        <w:t>$82</w:t>
      </w:r>
      <w:r w:rsidR="005720BC">
        <w:t>.</w:t>
      </w:r>
      <w:r w:rsidR="00653675" w:rsidRPr="00653675">
        <w:t>723</w:t>
      </w:r>
      <w:r w:rsidR="005720BC">
        <w:t>m</w:t>
      </w:r>
      <w:r w:rsidRPr="00653675">
        <w:t>.</w:t>
      </w:r>
    </w:p>
    <w:p w:rsidR="00451513" w:rsidRPr="00653675" w:rsidRDefault="00995228" w:rsidP="00F06396">
      <w:pPr>
        <w:pStyle w:val="Source"/>
        <w:numPr>
          <w:ilvl w:val="0"/>
          <w:numId w:val="20"/>
        </w:numPr>
        <w:tabs>
          <w:tab w:val="clear" w:pos="284"/>
          <w:tab w:val="clear" w:pos="720"/>
          <w:tab w:val="num" w:pos="300"/>
        </w:tabs>
        <w:ind w:left="300" w:hanging="300"/>
      </w:pPr>
      <w:r>
        <w:t>T</w:t>
      </w:r>
      <w:r w:rsidR="00451513" w:rsidRPr="00653675">
        <w:t xml:space="preserve">otal cash used to acquire assets for 2010-11 is made up of:DHS </w:t>
      </w:r>
      <w:r w:rsidR="00653675" w:rsidRPr="00653675">
        <w:t>$39</w:t>
      </w:r>
      <w:r w:rsidR="005720BC">
        <w:t>.</w:t>
      </w:r>
      <w:r w:rsidR="00653675" w:rsidRPr="00653675">
        <w:t>942</w:t>
      </w:r>
      <w:r w:rsidR="005720BC">
        <w:t>m</w:t>
      </w:r>
      <w:r w:rsidR="00451513" w:rsidRPr="00653675">
        <w:t xml:space="preserve">; Centrelink </w:t>
      </w:r>
      <w:r w:rsidR="00653675" w:rsidRPr="00653675">
        <w:t>$227</w:t>
      </w:r>
      <w:r w:rsidR="005720BC">
        <w:t>.</w:t>
      </w:r>
      <w:r w:rsidR="00653675" w:rsidRPr="00653675">
        <w:t>403</w:t>
      </w:r>
      <w:r w:rsidR="005720BC">
        <w:t>m</w:t>
      </w:r>
      <w:r w:rsidR="00451513" w:rsidRPr="00653675">
        <w:t xml:space="preserve"> and Medicare Australia </w:t>
      </w:r>
      <w:r w:rsidR="00653675" w:rsidRPr="00653675">
        <w:t>$82</w:t>
      </w:r>
      <w:r w:rsidR="005720BC">
        <w:t>.</w:t>
      </w:r>
      <w:r w:rsidR="00653675" w:rsidRPr="00653675">
        <w:t>723</w:t>
      </w:r>
      <w:r w:rsidR="005720BC">
        <w:t>m</w:t>
      </w:r>
      <w:r w:rsidR="00451513" w:rsidRPr="00653675">
        <w:t>.</w:t>
      </w:r>
    </w:p>
    <w:p w:rsidR="00340FD7" w:rsidRDefault="00340FD7" w:rsidP="003A3E20">
      <w:pPr>
        <w:pStyle w:val="Source"/>
      </w:pPr>
      <w:r>
        <w:t>Prepared on Australian Accounting Standards basis.</w:t>
      </w:r>
    </w:p>
    <w:p w:rsidR="00340FD7" w:rsidRDefault="00340FD7" w:rsidP="003A3E20">
      <w:pPr>
        <w:pStyle w:val="NoSpacing"/>
      </w:pPr>
    </w:p>
    <w:p w:rsidR="00340FD7" w:rsidRDefault="00340FD7" w:rsidP="003A3E20">
      <w:pPr>
        <w:pStyle w:val="ExampleText0"/>
        <w:jc w:val="both"/>
        <w:sectPr w:rsidR="00340FD7" w:rsidSect="005E3F96">
          <w:headerReference w:type="even" r:id="rId35"/>
          <w:headerReference w:type="default" r:id="rId36"/>
          <w:headerReference w:type="first" r:id="rId37"/>
          <w:pgSz w:w="11906" w:h="16838" w:code="9"/>
          <w:pgMar w:top="2466" w:right="2098" w:bottom="2336" w:left="2098" w:header="1899" w:footer="1899" w:gutter="0"/>
          <w:cols w:space="708"/>
          <w:titlePg/>
          <w:docGrid w:linePitch="360"/>
        </w:sectPr>
      </w:pPr>
    </w:p>
    <w:p w:rsidR="00340FD7" w:rsidRDefault="00340FD7" w:rsidP="003A3E20">
      <w:pPr>
        <w:pStyle w:val="TableHeading"/>
        <w:jc w:val="both"/>
      </w:pPr>
      <w:r w:rsidRPr="00D30CBA">
        <w:t>Table 3.2.</w:t>
      </w:r>
      <w:r>
        <w:t>6</w:t>
      </w:r>
      <w:r w:rsidRPr="00D30CBA">
        <w:t xml:space="preserve">: </w:t>
      </w:r>
      <w:r>
        <w:t>Statement of Asset Movements (2011</w:t>
      </w:r>
      <w:r>
        <w:noBreakHyphen/>
        <w:t>12)</w:t>
      </w:r>
    </w:p>
    <w:tbl>
      <w:tblPr>
        <w:tblW w:w="0" w:type="auto"/>
        <w:tblInd w:w="78" w:type="dxa"/>
        <w:tblLayout w:type="fixed"/>
        <w:tblLook w:val="0000" w:firstRow="0" w:lastRow="0" w:firstColumn="0" w:lastColumn="0" w:noHBand="0" w:noVBand="0"/>
      </w:tblPr>
      <w:tblGrid>
        <w:gridCol w:w="2875"/>
        <w:gridCol w:w="733"/>
        <w:gridCol w:w="974"/>
        <w:gridCol w:w="1342"/>
        <w:gridCol w:w="1006"/>
        <w:gridCol w:w="1118"/>
        <w:gridCol w:w="1086"/>
        <w:gridCol w:w="1055"/>
      </w:tblGrid>
      <w:tr w:rsidR="001C167B" w:rsidTr="001C167B">
        <w:trPr>
          <w:trHeight w:val="202"/>
        </w:trPr>
        <w:tc>
          <w:tcPr>
            <w:tcW w:w="2875"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733"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Land</w:t>
            </w:r>
          </w:p>
        </w:tc>
        <w:tc>
          <w:tcPr>
            <w:tcW w:w="974"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Buildings</w:t>
            </w:r>
          </w:p>
        </w:tc>
        <w:tc>
          <w:tcPr>
            <w:tcW w:w="1342"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Other property,</w:t>
            </w:r>
          </w:p>
        </w:tc>
        <w:tc>
          <w:tcPr>
            <w:tcW w:w="1006"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Heritage</w:t>
            </w:r>
          </w:p>
        </w:tc>
        <w:tc>
          <w:tcPr>
            <w:tcW w:w="1118"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Intangibles</w:t>
            </w:r>
          </w:p>
        </w:tc>
        <w:tc>
          <w:tcPr>
            <w:tcW w:w="1086"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Other</w:t>
            </w:r>
          </w:p>
        </w:tc>
        <w:tc>
          <w:tcPr>
            <w:tcW w:w="1055"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Total</w:t>
            </w:r>
          </w:p>
        </w:tc>
      </w:tr>
      <w:tr w:rsidR="001C167B" w:rsidTr="001C167B">
        <w:trPr>
          <w:trHeight w:val="202"/>
        </w:trPr>
        <w:tc>
          <w:tcPr>
            <w:tcW w:w="287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plant and</w:t>
            </w: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and cultural</w:t>
            </w: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r>
      <w:tr w:rsidR="001C167B" w:rsidTr="001C167B">
        <w:trPr>
          <w:trHeight w:val="202"/>
        </w:trPr>
        <w:tc>
          <w:tcPr>
            <w:tcW w:w="287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equipment</w:t>
            </w: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assets</w:t>
            </w: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02"/>
        </w:trPr>
        <w:tc>
          <w:tcPr>
            <w:tcW w:w="287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73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97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342"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006"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118"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086"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055"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1C167B" w:rsidTr="001C167B">
        <w:trPr>
          <w:trHeight w:val="229"/>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1 July 2011</w:t>
            </w: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15"/>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Gross book value </w:t>
            </w: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1,590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70,284 </w:t>
            </w: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24,726 </w:t>
            </w: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82,158 </w:t>
            </w: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178,758 </w:t>
            </w:r>
          </w:p>
        </w:tc>
      </w:tr>
      <w:tr w:rsidR="001C167B" w:rsidTr="001C167B">
        <w:trPr>
          <w:trHeight w:val="215"/>
        </w:trPr>
        <w:tc>
          <w:tcPr>
            <w:tcW w:w="2875" w:type="dxa"/>
            <w:gridSpan w:val="2"/>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Accumulated depreciation/amortisation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02"/>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and impairment</w:t>
            </w: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(16,222)</w:t>
            </w: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(7,995)</w:t>
            </w: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(50,990)</w:t>
            </w: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(75,207)</w:t>
            </w:r>
          </w:p>
        </w:tc>
      </w:tr>
      <w:tr w:rsidR="001C167B" w:rsidTr="001C167B">
        <w:trPr>
          <w:trHeight w:val="202"/>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Opening net book balance</w:t>
            </w:r>
          </w:p>
        </w:tc>
        <w:tc>
          <w:tcPr>
            <w:tcW w:w="73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1,590 </w:t>
            </w:r>
          </w:p>
        </w:tc>
        <w:tc>
          <w:tcPr>
            <w:tcW w:w="97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54,062 </w:t>
            </w:r>
          </w:p>
        </w:tc>
        <w:tc>
          <w:tcPr>
            <w:tcW w:w="1342"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16,731 </w:t>
            </w:r>
          </w:p>
        </w:tc>
        <w:tc>
          <w:tcPr>
            <w:tcW w:w="1006"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118"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31,168 </w:t>
            </w:r>
          </w:p>
        </w:tc>
        <w:tc>
          <w:tcPr>
            <w:tcW w:w="1086"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 </w:t>
            </w:r>
          </w:p>
        </w:tc>
        <w:tc>
          <w:tcPr>
            <w:tcW w:w="1055"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103,551 </w:t>
            </w:r>
          </w:p>
        </w:tc>
      </w:tr>
      <w:tr w:rsidR="001C167B" w:rsidTr="001C167B">
        <w:trPr>
          <w:trHeight w:val="57"/>
        </w:trPr>
        <w:tc>
          <w:tcPr>
            <w:tcW w:w="287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29"/>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CAPITAL ASSET ADDITIONS</w:t>
            </w: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15"/>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Estimated expenditure on</w:t>
            </w: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02"/>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new or replacement assets</w:t>
            </w: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59"/>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By purchase - appropriation equity </w:t>
            </w:r>
            <w:r>
              <w:rPr>
                <w:rFonts w:ascii="Arial" w:hAnsi="Arial" w:cs="Arial"/>
                <w:color w:val="000000"/>
                <w:sz w:val="15"/>
                <w:szCs w:val="15"/>
                <w:vertAlign w:val="superscript"/>
              </w:rPr>
              <w:t>1</w:t>
            </w: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600 </w:t>
            </w: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32,557 </w:t>
            </w: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33,157 </w:t>
            </w:r>
          </w:p>
        </w:tc>
      </w:tr>
      <w:tr w:rsidR="001C167B" w:rsidTr="001C167B">
        <w:trPr>
          <w:trHeight w:val="202"/>
        </w:trPr>
        <w:tc>
          <w:tcPr>
            <w:tcW w:w="2875" w:type="dxa"/>
            <w:gridSpan w:val="3"/>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By purchase - appropriation ordinary</w:t>
            </w:r>
          </w:p>
          <w:p w:rsidR="001C167B" w:rsidRDefault="001C167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annual services </w:t>
            </w:r>
            <w:r>
              <w:rPr>
                <w:rFonts w:ascii="Arial" w:hAnsi="Arial" w:cs="Arial"/>
                <w:color w:val="000000"/>
                <w:sz w:val="15"/>
                <w:szCs w:val="15"/>
                <w:vertAlign w:val="superscript"/>
              </w:rPr>
              <w:t>2</w:t>
            </w: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02"/>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102,267 </w:t>
            </w: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95,918 </w:t>
            </w: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87,260 </w:t>
            </w: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285,445 </w:t>
            </w:r>
          </w:p>
        </w:tc>
      </w:tr>
      <w:tr w:rsidR="001C167B" w:rsidTr="001C167B">
        <w:trPr>
          <w:trHeight w:val="27"/>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By purchase - donated funds</w:t>
            </w: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r>
      <w:tr w:rsidR="001C167B" w:rsidTr="001C167B">
        <w:trPr>
          <w:trHeight w:val="215"/>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By purchase - other</w:t>
            </w: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3,475 </w:t>
            </w: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1,773 </w:t>
            </w: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8,401 </w:t>
            </w: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13,649 </w:t>
            </w:r>
          </w:p>
        </w:tc>
      </w:tr>
      <w:tr w:rsidR="001C167B" w:rsidTr="001C167B">
        <w:trPr>
          <w:trHeight w:val="229"/>
        </w:trPr>
        <w:tc>
          <w:tcPr>
            <w:tcW w:w="2875" w:type="dxa"/>
            <w:gridSpan w:val="2"/>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From acquisition of entities or operations</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59"/>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(including restructuring)</w:t>
            </w:r>
            <w:r>
              <w:rPr>
                <w:rFonts w:ascii="Arial" w:hAnsi="Arial" w:cs="Arial"/>
                <w:color w:val="000000"/>
                <w:sz w:val="15"/>
                <w:szCs w:val="15"/>
                <w:vertAlign w:val="superscript"/>
              </w:rPr>
              <w:t>3</w:t>
            </w: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3,975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316,883 </w:t>
            </w: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134,089 </w:t>
            </w: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89 </w:t>
            </w: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327,128 </w:t>
            </w: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174 </w:t>
            </w: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782,338 </w:t>
            </w:r>
          </w:p>
        </w:tc>
      </w:tr>
      <w:tr w:rsidR="001C167B" w:rsidTr="001C167B">
        <w:trPr>
          <w:trHeight w:val="14"/>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02"/>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additions</w:t>
            </w:r>
          </w:p>
        </w:tc>
        <w:tc>
          <w:tcPr>
            <w:tcW w:w="733"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3,975 </w:t>
            </w:r>
          </w:p>
        </w:tc>
        <w:tc>
          <w:tcPr>
            <w:tcW w:w="974"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422,625 </w:t>
            </w:r>
          </w:p>
        </w:tc>
        <w:tc>
          <w:tcPr>
            <w:tcW w:w="1342"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232,380 </w:t>
            </w:r>
          </w:p>
        </w:tc>
        <w:tc>
          <w:tcPr>
            <w:tcW w:w="1006"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89 </w:t>
            </w:r>
          </w:p>
        </w:tc>
        <w:tc>
          <w:tcPr>
            <w:tcW w:w="1118"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455,346 </w:t>
            </w:r>
          </w:p>
        </w:tc>
        <w:tc>
          <w:tcPr>
            <w:tcW w:w="1086"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174 </w:t>
            </w:r>
          </w:p>
        </w:tc>
        <w:tc>
          <w:tcPr>
            <w:tcW w:w="1055"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1,114,589 </w:t>
            </w:r>
          </w:p>
        </w:tc>
      </w:tr>
      <w:tr w:rsidR="001C167B" w:rsidTr="001C167B">
        <w:trPr>
          <w:trHeight w:val="57"/>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5"/>
                <w:szCs w:val="15"/>
              </w:rPr>
            </w:pP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29"/>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Other movements</w:t>
            </w:r>
          </w:p>
        </w:tc>
        <w:tc>
          <w:tcPr>
            <w:tcW w:w="733"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974"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1342"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1006"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1118"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1086"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1055"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r>
      <w:tr w:rsidR="001C167B" w:rsidTr="001C167B">
        <w:trPr>
          <w:trHeight w:val="229"/>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Depreciation/amortisation expense</w:t>
            </w: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(95,714)</w:t>
            </w: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(60,241)</w:t>
            </w: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(100,347)</w:t>
            </w: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(256,302)</w:t>
            </w:r>
          </w:p>
        </w:tc>
      </w:tr>
      <w:tr w:rsidR="001C167B" w:rsidTr="001C167B">
        <w:trPr>
          <w:trHeight w:val="229"/>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Other</w:t>
            </w: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(500)</w:t>
            </w: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(1,000)</w:t>
            </w: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(3,000)</w:t>
            </w: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(4,500)</w:t>
            </w:r>
          </w:p>
        </w:tc>
      </w:tr>
      <w:tr w:rsidR="001C167B" w:rsidTr="001C167B">
        <w:trPr>
          <w:trHeight w:val="57"/>
        </w:trPr>
        <w:tc>
          <w:tcPr>
            <w:tcW w:w="287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29"/>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30 June 2012</w:t>
            </w: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45"/>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Gross book value</w:t>
            </w: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5,565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654,211 </w:t>
            </w: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365,085 </w:t>
            </w: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89 </w:t>
            </w: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1,009,256 </w:t>
            </w: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174 </w:t>
            </w: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2,034,380 </w:t>
            </w:r>
          </w:p>
        </w:tc>
      </w:tr>
      <w:tr w:rsidR="001C167B" w:rsidTr="001C167B">
        <w:trPr>
          <w:trHeight w:val="215"/>
        </w:trPr>
        <w:tc>
          <w:tcPr>
            <w:tcW w:w="2875" w:type="dxa"/>
            <w:gridSpan w:val="2"/>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Accumulated depreciation/amortisation</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15"/>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and impairment</w:t>
            </w:r>
          </w:p>
        </w:tc>
        <w:tc>
          <w:tcPr>
            <w:tcW w:w="7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7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(273,738)</w:t>
            </w:r>
          </w:p>
        </w:tc>
        <w:tc>
          <w:tcPr>
            <w:tcW w:w="1342"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(177,215)</w:t>
            </w:r>
          </w:p>
        </w:tc>
        <w:tc>
          <w:tcPr>
            <w:tcW w:w="100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18"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(626,089)</w:t>
            </w:r>
          </w:p>
        </w:tc>
        <w:tc>
          <w:tcPr>
            <w:tcW w:w="10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05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(1,077,042)</w:t>
            </w:r>
          </w:p>
        </w:tc>
      </w:tr>
      <w:tr w:rsidR="001C167B" w:rsidTr="001C167B">
        <w:trPr>
          <w:trHeight w:val="229"/>
        </w:trPr>
        <w:tc>
          <w:tcPr>
            <w:tcW w:w="287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Closing net book balance</w:t>
            </w:r>
          </w:p>
        </w:tc>
        <w:tc>
          <w:tcPr>
            <w:tcW w:w="733"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5,565 </w:t>
            </w:r>
          </w:p>
        </w:tc>
        <w:tc>
          <w:tcPr>
            <w:tcW w:w="97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380,473 </w:t>
            </w:r>
          </w:p>
        </w:tc>
        <w:tc>
          <w:tcPr>
            <w:tcW w:w="1342"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187,870 </w:t>
            </w:r>
          </w:p>
        </w:tc>
        <w:tc>
          <w:tcPr>
            <w:tcW w:w="1006"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89 </w:t>
            </w:r>
          </w:p>
        </w:tc>
        <w:tc>
          <w:tcPr>
            <w:tcW w:w="1118"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383,167 </w:t>
            </w:r>
          </w:p>
        </w:tc>
        <w:tc>
          <w:tcPr>
            <w:tcW w:w="1086"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174 </w:t>
            </w:r>
          </w:p>
        </w:tc>
        <w:tc>
          <w:tcPr>
            <w:tcW w:w="1055"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957,338 </w:t>
            </w:r>
          </w:p>
        </w:tc>
      </w:tr>
    </w:tbl>
    <w:p w:rsidR="00E60F65" w:rsidRDefault="00E60F65" w:rsidP="003A3E20">
      <w:pPr>
        <w:pStyle w:val="Source"/>
        <w:rPr>
          <w:rFonts w:ascii="Book Antiqua" w:hAnsi="Book Antiqua"/>
          <w:i/>
          <w:color w:val="FF0000"/>
          <w:sz w:val="20"/>
        </w:rPr>
      </w:pPr>
    </w:p>
    <w:p w:rsidR="00340FD7" w:rsidRPr="003458E0" w:rsidRDefault="00340FD7" w:rsidP="003A3E20">
      <w:pPr>
        <w:pStyle w:val="Source"/>
      </w:pPr>
      <w:r w:rsidRPr="003458E0">
        <w:t>Prepared on Australian Accounting Standards basis.</w:t>
      </w:r>
    </w:p>
    <w:p w:rsidR="00E60F65" w:rsidRDefault="00E60F65" w:rsidP="00E60F65">
      <w:pPr>
        <w:pStyle w:val="Source"/>
        <w:ind w:left="300" w:hanging="300"/>
      </w:pPr>
      <w:r>
        <w:t>1</w:t>
      </w:r>
      <w:r>
        <w:tab/>
      </w:r>
      <w:r w:rsidRPr="00E60F65">
        <w:t>"Appropriation equity" refers to e</w:t>
      </w:r>
      <w:r w:rsidR="0045491B">
        <w:t xml:space="preserve">quity injections </w:t>
      </w:r>
      <w:r w:rsidRPr="00E60F65">
        <w:t>provided through App</w:t>
      </w:r>
      <w:r w:rsidR="00E47E66">
        <w:t>ropriation Bill (No.2)</w:t>
      </w:r>
      <w:r w:rsidR="0045491B">
        <w:t>.</w:t>
      </w:r>
    </w:p>
    <w:p w:rsidR="00340FD7" w:rsidRDefault="00E60F65" w:rsidP="00451513">
      <w:pPr>
        <w:pStyle w:val="Source"/>
        <w:ind w:left="300" w:hanging="300"/>
      </w:pPr>
      <w:r>
        <w:t>2</w:t>
      </w:r>
      <w:r>
        <w:tab/>
      </w:r>
      <w:r w:rsidRPr="00E60F65">
        <w:t>"Appropriation ordinary annual services" refers to funding provided through Appropriation Bill (No.1)</w:t>
      </w:r>
      <w:r w:rsidR="0045491B">
        <w:t xml:space="preserve"> </w:t>
      </w:r>
      <w:r w:rsidR="00E47E66">
        <w:t xml:space="preserve">for </w:t>
      </w:r>
      <w:r w:rsidR="0045491B">
        <w:t>Departmental Capital Budgets.</w:t>
      </w:r>
    </w:p>
    <w:p w:rsidR="00340FD7" w:rsidRDefault="003562A9" w:rsidP="003562A9">
      <w:pPr>
        <w:pStyle w:val="Source"/>
        <w:ind w:left="300" w:hanging="300"/>
      </w:pPr>
      <w:r>
        <w:t>3</w:t>
      </w:r>
      <w:r>
        <w:tab/>
      </w:r>
      <w:r w:rsidR="00111C30">
        <w:t>“F</w:t>
      </w:r>
      <w:r>
        <w:t>rom acquisition of entities or operations</w:t>
      </w:r>
      <w:r w:rsidR="00111C30">
        <w:t xml:space="preserve"> (including restructuring)”</w:t>
      </w:r>
      <w:r>
        <w:t xml:space="preserve"> </w:t>
      </w:r>
      <w:r w:rsidR="00111C30">
        <w:t xml:space="preserve">refers to the net book value of </w:t>
      </w:r>
      <w:r>
        <w:t>Centrelink</w:t>
      </w:r>
      <w:r w:rsidR="00111C30">
        <w:t>’s</w:t>
      </w:r>
      <w:r>
        <w:t xml:space="preserve"> and Medicare Australia</w:t>
      </w:r>
      <w:r w:rsidR="00111C30">
        <w:t>’s non-financial assets to be transferred to the Department of Human Services</w:t>
      </w:r>
      <w:r w:rsidR="00E47E66">
        <w:t xml:space="preserve"> on 1 July 2011</w:t>
      </w:r>
      <w:r w:rsidR="00111C30">
        <w:t>.</w:t>
      </w:r>
    </w:p>
    <w:p w:rsidR="003562A9" w:rsidRPr="00E855E0" w:rsidRDefault="003562A9" w:rsidP="003A3E20">
      <w:pPr>
        <w:pStyle w:val="ExampleText0"/>
        <w:jc w:val="both"/>
        <w:sectPr w:rsidR="003562A9" w:rsidRPr="00E855E0" w:rsidSect="00715386">
          <w:headerReference w:type="even" r:id="rId38"/>
          <w:headerReference w:type="default" r:id="rId39"/>
          <w:footerReference w:type="even" r:id="rId40"/>
          <w:headerReference w:type="first" r:id="rId41"/>
          <w:footerReference w:type="first" r:id="rId42"/>
          <w:pgSz w:w="16838" w:h="11906" w:orient="landscape" w:code="9"/>
          <w:pgMar w:top="2098" w:right="2466" w:bottom="2098" w:left="2466" w:header="1531" w:footer="1531" w:gutter="0"/>
          <w:cols w:space="708"/>
          <w:titlePg/>
          <w:docGrid w:linePitch="360"/>
        </w:sectPr>
      </w:pPr>
    </w:p>
    <w:p w:rsidR="00340FD7" w:rsidRDefault="00340FD7" w:rsidP="003A3E20">
      <w:pPr>
        <w:pStyle w:val="TableHeading"/>
        <w:jc w:val="both"/>
      </w:pPr>
      <w:r w:rsidRPr="00D30CBA">
        <w:t>Table 3.2.</w:t>
      </w:r>
      <w:r>
        <w:t>7</w:t>
      </w:r>
      <w:r w:rsidRPr="00D30CBA">
        <w:t>: Schedule of budgeted income and expe</w:t>
      </w:r>
      <w:r>
        <w:t>nses administered on behalf of G</w:t>
      </w:r>
      <w:r w:rsidRPr="00D30CBA">
        <w:t>overnment (for the period ended 30 June)</w:t>
      </w:r>
    </w:p>
    <w:tbl>
      <w:tblPr>
        <w:tblW w:w="8124" w:type="dxa"/>
        <w:tblInd w:w="78" w:type="dxa"/>
        <w:tblLayout w:type="fixed"/>
        <w:tblLook w:val="0000" w:firstRow="0" w:lastRow="0" w:firstColumn="0" w:lastColumn="0" w:noHBand="0" w:noVBand="0"/>
      </w:tblPr>
      <w:tblGrid>
        <w:gridCol w:w="3200"/>
        <w:gridCol w:w="985"/>
        <w:gridCol w:w="985"/>
        <w:gridCol w:w="984"/>
        <w:gridCol w:w="985"/>
        <w:gridCol w:w="985"/>
      </w:tblGrid>
      <w:tr w:rsidR="001C167B" w:rsidTr="001C167B">
        <w:trPr>
          <w:trHeight w:val="215"/>
        </w:trPr>
        <w:tc>
          <w:tcPr>
            <w:tcW w:w="3200"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tc>
        <w:tc>
          <w:tcPr>
            <w:tcW w:w="985"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84"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8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8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2010-11</w:t>
            </w:r>
          </w:p>
        </w:tc>
        <w:tc>
          <w:tcPr>
            <w:tcW w:w="985" w:type="dxa"/>
            <w:tcBorders>
              <w:top w:val="single" w:sz="2" w:space="0" w:color="auto"/>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84"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85"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85"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5" w:type="dxa"/>
            <w:tcBorders>
              <w:top w:val="nil"/>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4"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5"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5"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INCOME ADMINISTERED ON</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Revenue</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Non-taxation revenue</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Fees and fines</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57,752 </w:t>
            </w: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59,774 </w:t>
            </w: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61,647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63,188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64,768 </w:t>
            </w: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5,635 </w:t>
            </w: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3,591 </w:t>
            </w: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4,876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5,648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5,874 </w:t>
            </w:r>
          </w:p>
        </w:tc>
      </w:tr>
      <w:tr w:rsidR="001C167B" w:rsidTr="001C167B">
        <w:trPr>
          <w:trHeight w:val="243"/>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 revenue</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7,978 </w:t>
            </w: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6,830 </w:t>
            </w: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7,891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8,604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8,937 </w:t>
            </w: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1,228,769 </w:t>
            </w: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1,271,771 </w:t>
            </w: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1,311,640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1,344,430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1,378,042 </w:t>
            </w: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non-taxation revenue</w:t>
            </w:r>
          </w:p>
        </w:tc>
        <w:tc>
          <w:tcPr>
            <w:tcW w:w="98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1,300,134 </w:t>
            </w:r>
          </w:p>
        </w:tc>
        <w:tc>
          <w:tcPr>
            <w:tcW w:w="985"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1,341,966 </w:t>
            </w:r>
          </w:p>
        </w:tc>
        <w:tc>
          <w:tcPr>
            <w:tcW w:w="984"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1,386,054 </w:t>
            </w:r>
          </w:p>
        </w:tc>
        <w:tc>
          <w:tcPr>
            <w:tcW w:w="98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1,421,870 </w:t>
            </w:r>
          </w:p>
        </w:tc>
        <w:tc>
          <w:tcPr>
            <w:tcW w:w="98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1,457,621 </w:t>
            </w: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revenues administered</w:t>
            </w:r>
          </w:p>
        </w:tc>
        <w:tc>
          <w:tcPr>
            <w:tcW w:w="985"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single" w:sz="2" w:space="0" w:color="auto"/>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4"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85"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1,300,134 </w:t>
            </w:r>
          </w:p>
        </w:tc>
        <w:tc>
          <w:tcPr>
            <w:tcW w:w="985"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1,341,966 </w:t>
            </w:r>
          </w:p>
        </w:tc>
        <w:tc>
          <w:tcPr>
            <w:tcW w:w="98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1,386,054 </w:t>
            </w:r>
          </w:p>
        </w:tc>
        <w:tc>
          <w:tcPr>
            <w:tcW w:w="985"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1,421,870 </w:t>
            </w:r>
          </w:p>
        </w:tc>
        <w:tc>
          <w:tcPr>
            <w:tcW w:w="985"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1,457,621 </w:t>
            </w:r>
          </w:p>
        </w:tc>
      </w:tr>
      <w:tr w:rsidR="001C167B" w:rsidTr="001C167B">
        <w:trPr>
          <w:trHeight w:val="5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income administered</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85"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1,300,134 </w:t>
            </w:r>
          </w:p>
        </w:tc>
        <w:tc>
          <w:tcPr>
            <w:tcW w:w="985"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1,341,966 </w:t>
            </w:r>
          </w:p>
        </w:tc>
        <w:tc>
          <w:tcPr>
            <w:tcW w:w="98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1,386,054 </w:t>
            </w:r>
          </w:p>
        </w:tc>
        <w:tc>
          <w:tcPr>
            <w:tcW w:w="985"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1,421,870 </w:t>
            </w:r>
          </w:p>
        </w:tc>
        <w:tc>
          <w:tcPr>
            <w:tcW w:w="985"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1,457,621 </w:t>
            </w:r>
          </w:p>
        </w:tc>
      </w:tr>
      <w:tr w:rsidR="001C167B" w:rsidTr="001C167B">
        <w:trPr>
          <w:trHeight w:val="5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 ADMINISTERED ON</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 expenses</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4,846 </w:t>
            </w: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6,766 </w:t>
            </w: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6,796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6,827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6,859 </w:t>
            </w: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Grants</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1,000 </w:t>
            </w: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9,000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8,000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7,000 </w:t>
            </w: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 and amortisation</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53 </w:t>
            </w: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53 </w:t>
            </w: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54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 of assets</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125,377 </w:t>
            </w: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115,652 </w:t>
            </w: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118,529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120,894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123,319 </w:t>
            </w: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1,154,709 </w:t>
            </w:r>
          </w:p>
        </w:tc>
        <w:tc>
          <w:tcPr>
            <w:tcW w:w="985"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1,209,558 </w:t>
            </w:r>
          </w:p>
        </w:tc>
        <w:tc>
          <w:tcPr>
            <w:tcW w:w="98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1,248,218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1,280,017 </w:t>
            </w:r>
          </w:p>
        </w:tc>
        <w:tc>
          <w:tcPr>
            <w:tcW w:w="98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1,312,610 </w:t>
            </w:r>
          </w:p>
        </w:tc>
      </w:tr>
      <w:tr w:rsidR="001C167B" w:rsidTr="001C167B">
        <w:trPr>
          <w:trHeight w:val="215"/>
        </w:trPr>
        <w:tc>
          <w:tcPr>
            <w:tcW w:w="3200"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administered</w:t>
            </w:r>
          </w:p>
        </w:tc>
        <w:tc>
          <w:tcPr>
            <w:tcW w:w="985"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single" w:sz="2" w:space="0" w:color="auto"/>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4"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5"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5"/>
        </w:trPr>
        <w:tc>
          <w:tcPr>
            <w:tcW w:w="3200" w:type="dxa"/>
            <w:tcBorders>
              <w:top w:val="nil"/>
              <w:left w:val="nil"/>
              <w:bottom w:val="single" w:sz="2" w:space="0" w:color="000000"/>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85"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1,284,985 </w:t>
            </w:r>
          </w:p>
        </w:tc>
        <w:tc>
          <w:tcPr>
            <w:tcW w:w="985"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1,333,029 </w:t>
            </w:r>
          </w:p>
        </w:tc>
        <w:tc>
          <w:tcPr>
            <w:tcW w:w="98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1,382,597 </w:t>
            </w:r>
          </w:p>
        </w:tc>
        <w:tc>
          <w:tcPr>
            <w:tcW w:w="985"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1,415,738 </w:t>
            </w:r>
          </w:p>
        </w:tc>
        <w:tc>
          <w:tcPr>
            <w:tcW w:w="985"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1,449,788 </w:t>
            </w:r>
          </w:p>
        </w:tc>
      </w:tr>
    </w:tbl>
    <w:p w:rsidR="00340FD7" w:rsidRDefault="00340FD7" w:rsidP="003A3E20">
      <w:pPr>
        <w:pStyle w:val="Source"/>
      </w:pPr>
      <w:r w:rsidRPr="00E4582E">
        <w:t>Prepared on Australian Accounting Standards basis</w:t>
      </w:r>
      <w:r>
        <w:t>.</w:t>
      </w:r>
    </w:p>
    <w:p w:rsidR="00340FD7" w:rsidRDefault="00340FD7" w:rsidP="003A3E20">
      <w:pPr>
        <w:pStyle w:val="NoSpacing"/>
      </w:pPr>
    </w:p>
    <w:p w:rsidR="00340FD7" w:rsidRDefault="00340FD7" w:rsidP="003A3E20">
      <w:pPr>
        <w:pStyle w:val="TableHeading"/>
        <w:jc w:val="both"/>
      </w:pPr>
      <w:r>
        <w:br w:type="page"/>
      </w:r>
      <w:r w:rsidRPr="00D30CBA">
        <w:t>Table 3.2.</w:t>
      </w:r>
      <w:r>
        <w:t>8</w:t>
      </w:r>
      <w:r w:rsidRPr="00D30CBA">
        <w:t>: Schedule of budgeted assets and liabilities administered o</w:t>
      </w:r>
      <w:r>
        <w:t>n behalf of G</w:t>
      </w:r>
      <w:r w:rsidRPr="00D30CBA">
        <w:t>overnment (as at 30 June)</w:t>
      </w:r>
    </w:p>
    <w:tbl>
      <w:tblPr>
        <w:tblW w:w="0" w:type="auto"/>
        <w:tblInd w:w="78" w:type="dxa"/>
        <w:tblLayout w:type="fixed"/>
        <w:tblLook w:val="0000" w:firstRow="0" w:lastRow="0" w:firstColumn="0" w:lastColumn="0" w:noHBand="0" w:noVBand="0"/>
      </w:tblPr>
      <w:tblGrid>
        <w:gridCol w:w="3024"/>
        <w:gridCol w:w="934"/>
        <w:gridCol w:w="933"/>
        <w:gridCol w:w="933"/>
        <w:gridCol w:w="933"/>
        <w:gridCol w:w="933"/>
      </w:tblGrid>
      <w:tr w:rsidR="001C167B" w:rsidTr="001C167B">
        <w:trPr>
          <w:trHeight w:val="216"/>
        </w:trPr>
        <w:tc>
          <w:tcPr>
            <w:tcW w:w="3024"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tc>
        <w:tc>
          <w:tcPr>
            <w:tcW w:w="933"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33"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33"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33"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2010-11</w:t>
            </w:r>
          </w:p>
        </w:tc>
        <w:tc>
          <w:tcPr>
            <w:tcW w:w="933" w:type="dxa"/>
            <w:tcBorders>
              <w:top w:val="single" w:sz="2" w:space="0" w:color="auto"/>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33"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33"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33"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3" w:type="dxa"/>
            <w:tcBorders>
              <w:top w:val="nil"/>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3"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3"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3"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ASSETS ADMINISTERED ON </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248 </w:t>
            </w: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248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248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248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248 </w:t>
            </w: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Receivables</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636,843 </w:t>
            </w: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655,554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676,894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699,450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722,786 </w:t>
            </w: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investments</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30,741 </w:t>
            </w: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30,741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30,741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30,741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30,741 </w:t>
            </w: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934"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667,832 </w:t>
            </w:r>
          </w:p>
        </w:tc>
        <w:tc>
          <w:tcPr>
            <w:tcW w:w="933"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686,543 </w:t>
            </w:r>
          </w:p>
        </w:tc>
        <w:tc>
          <w:tcPr>
            <w:tcW w:w="93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707,883 </w:t>
            </w:r>
          </w:p>
        </w:tc>
        <w:tc>
          <w:tcPr>
            <w:tcW w:w="93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730,439 </w:t>
            </w:r>
          </w:p>
        </w:tc>
        <w:tc>
          <w:tcPr>
            <w:tcW w:w="93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753,775 </w:t>
            </w:r>
          </w:p>
        </w:tc>
      </w:tr>
      <w:tr w:rsidR="001C167B" w:rsidTr="001C167B">
        <w:trPr>
          <w:trHeight w:val="56"/>
        </w:trPr>
        <w:tc>
          <w:tcPr>
            <w:tcW w:w="302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 plant and equipment</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107 </w:t>
            </w: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54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934"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107 </w:t>
            </w:r>
          </w:p>
        </w:tc>
        <w:tc>
          <w:tcPr>
            <w:tcW w:w="933"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54 </w:t>
            </w:r>
          </w:p>
        </w:tc>
        <w:tc>
          <w:tcPr>
            <w:tcW w:w="933"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933"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933"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r>
      <w:tr w:rsidR="001C167B" w:rsidTr="001C167B">
        <w:trPr>
          <w:trHeight w:val="56"/>
        </w:trPr>
        <w:tc>
          <w:tcPr>
            <w:tcW w:w="302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i/>
                <w:iCs/>
                <w:color w:val="000000"/>
                <w:sz w:val="16"/>
                <w:szCs w:val="16"/>
              </w:rPr>
            </w:pPr>
          </w:p>
        </w:tc>
        <w:tc>
          <w:tcPr>
            <w:tcW w:w="934"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33"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assets administered </w:t>
            </w:r>
          </w:p>
        </w:tc>
        <w:tc>
          <w:tcPr>
            <w:tcW w:w="934"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single" w:sz="2" w:space="0" w:color="auto"/>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33"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3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667,939 </w:t>
            </w:r>
          </w:p>
        </w:tc>
        <w:tc>
          <w:tcPr>
            <w:tcW w:w="933"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686,597 </w:t>
            </w:r>
          </w:p>
        </w:tc>
        <w:tc>
          <w:tcPr>
            <w:tcW w:w="93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707,883 </w:t>
            </w:r>
          </w:p>
        </w:tc>
        <w:tc>
          <w:tcPr>
            <w:tcW w:w="93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730,439 </w:t>
            </w:r>
          </w:p>
        </w:tc>
        <w:tc>
          <w:tcPr>
            <w:tcW w:w="933"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753,775 </w:t>
            </w:r>
          </w:p>
        </w:tc>
      </w:tr>
      <w:tr w:rsidR="001C167B" w:rsidTr="001C167B">
        <w:trPr>
          <w:trHeight w:val="5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LIABILITIES ADMINISTERED ON </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payable</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26,673 </w:t>
            </w: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26,673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26,673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26,673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26,673 </w:t>
            </w: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15,733 </w:t>
            </w: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15,733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15,733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15,733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15,733 </w:t>
            </w:r>
          </w:p>
        </w:tc>
      </w:tr>
      <w:tr w:rsidR="001C167B" w:rsidTr="001C167B">
        <w:trPr>
          <w:trHeight w:val="201"/>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934"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42,406 </w:t>
            </w:r>
          </w:p>
        </w:tc>
        <w:tc>
          <w:tcPr>
            <w:tcW w:w="933"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42,406 </w:t>
            </w:r>
          </w:p>
        </w:tc>
        <w:tc>
          <w:tcPr>
            <w:tcW w:w="93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42,406 </w:t>
            </w:r>
          </w:p>
        </w:tc>
        <w:tc>
          <w:tcPr>
            <w:tcW w:w="93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42,406 </w:t>
            </w:r>
          </w:p>
        </w:tc>
        <w:tc>
          <w:tcPr>
            <w:tcW w:w="93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42,406 </w:t>
            </w: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617,061 </w:t>
            </w: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636,240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656,763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678,393 </w:t>
            </w: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701,156 </w:t>
            </w: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934"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617,061 </w:t>
            </w:r>
          </w:p>
        </w:tc>
        <w:tc>
          <w:tcPr>
            <w:tcW w:w="933"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636,240 </w:t>
            </w:r>
          </w:p>
        </w:tc>
        <w:tc>
          <w:tcPr>
            <w:tcW w:w="93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656,763 </w:t>
            </w:r>
          </w:p>
        </w:tc>
        <w:tc>
          <w:tcPr>
            <w:tcW w:w="93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678,393 </w:t>
            </w:r>
          </w:p>
        </w:tc>
        <w:tc>
          <w:tcPr>
            <w:tcW w:w="93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701,156 </w:t>
            </w:r>
          </w:p>
        </w:tc>
      </w:tr>
      <w:tr w:rsidR="001C167B" w:rsidTr="001C167B">
        <w:trPr>
          <w:trHeight w:val="216"/>
        </w:trPr>
        <w:tc>
          <w:tcPr>
            <w:tcW w:w="3024"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 administered</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024" w:type="dxa"/>
            <w:tcBorders>
              <w:top w:val="nil"/>
              <w:left w:val="nil"/>
              <w:bottom w:val="single" w:sz="2" w:space="0" w:color="000000"/>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34"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659,467 </w:t>
            </w:r>
          </w:p>
        </w:tc>
        <w:tc>
          <w:tcPr>
            <w:tcW w:w="933"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678,646 </w:t>
            </w:r>
          </w:p>
        </w:tc>
        <w:tc>
          <w:tcPr>
            <w:tcW w:w="93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699,169 </w:t>
            </w:r>
          </w:p>
        </w:tc>
        <w:tc>
          <w:tcPr>
            <w:tcW w:w="93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720,799 </w:t>
            </w:r>
          </w:p>
        </w:tc>
        <w:tc>
          <w:tcPr>
            <w:tcW w:w="933"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743,562 </w:t>
            </w:r>
          </w:p>
        </w:tc>
      </w:tr>
    </w:tbl>
    <w:p w:rsidR="00340FD7" w:rsidRDefault="00340FD7" w:rsidP="003A3E20">
      <w:pPr>
        <w:pStyle w:val="Source"/>
      </w:pPr>
      <w:r w:rsidRPr="00E4582E">
        <w:t>Prepared on Australian Accounting Standards basis</w:t>
      </w:r>
      <w:r>
        <w:t>.</w:t>
      </w:r>
    </w:p>
    <w:p w:rsidR="00340FD7" w:rsidRDefault="00340FD7" w:rsidP="003A3E20">
      <w:pPr>
        <w:pStyle w:val="NoSpacing"/>
      </w:pPr>
    </w:p>
    <w:p w:rsidR="00340FD7" w:rsidRDefault="00340FD7" w:rsidP="005066FA">
      <w:pPr>
        <w:pStyle w:val="TableHeading"/>
      </w:pPr>
      <w:bookmarkStart w:id="46" w:name="OLE_LINK1"/>
      <w:bookmarkStart w:id="47" w:name="OLE_LINK2"/>
      <w:r>
        <w:br w:type="page"/>
        <w:t xml:space="preserve">Table 3.2.9: </w:t>
      </w:r>
      <w:r w:rsidRPr="00C41D55">
        <w:t>Schedule of b</w:t>
      </w:r>
      <w:r>
        <w:t>udgeted administered cash flows</w:t>
      </w:r>
      <w:r>
        <w:br/>
      </w:r>
      <w:r w:rsidRPr="00C41D55">
        <w:t>(for the period ended 30 June)</w:t>
      </w:r>
    </w:p>
    <w:bookmarkEnd w:id="46"/>
    <w:bookmarkEnd w:id="47"/>
    <w:tbl>
      <w:tblPr>
        <w:tblW w:w="0" w:type="auto"/>
        <w:tblInd w:w="78" w:type="dxa"/>
        <w:tblLayout w:type="fixed"/>
        <w:tblLook w:val="0000" w:firstRow="0" w:lastRow="0" w:firstColumn="0" w:lastColumn="0" w:noHBand="0" w:noVBand="0"/>
      </w:tblPr>
      <w:tblGrid>
        <w:gridCol w:w="2725"/>
        <w:gridCol w:w="987"/>
        <w:gridCol w:w="986"/>
        <w:gridCol w:w="987"/>
        <w:gridCol w:w="987"/>
        <w:gridCol w:w="986"/>
      </w:tblGrid>
      <w:tr w:rsidR="001C167B" w:rsidTr="001C167B">
        <w:trPr>
          <w:trHeight w:val="216"/>
        </w:trPr>
        <w:tc>
          <w:tcPr>
            <w:tcW w:w="2725"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tc>
        <w:tc>
          <w:tcPr>
            <w:tcW w:w="986"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87"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87"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86"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2010-11</w:t>
            </w:r>
          </w:p>
        </w:tc>
        <w:tc>
          <w:tcPr>
            <w:tcW w:w="986" w:type="dxa"/>
            <w:tcBorders>
              <w:top w:val="single" w:sz="2" w:space="0" w:color="auto"/>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987"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87"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86"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6" w:type="dxa"/>
            <w:tcBorders>
              <w:top w:val="nil"/>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7"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7"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6"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14,257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11,246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12,326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13,714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14,642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501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777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1,580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1,483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1,386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1,155,902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1,196,357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1,233,859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1,264,706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1,296,324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87"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1,170,660 </w:t>
            </w:r>
          </w:p>
        </w:tc>
        <w:tc>
          <w:tcPr>
            <w:tcW w:w="986"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1,208,380 </w:t>
            </w:r>
          </w:p>
        </w:tc>
        <w:tc>
          <w:tcPr>
            <w:tcW w:w="987"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1,247,765 </w:t>
            </w:r>
          </w:p>
        </w:tc>
        <w:tc>
          <w:tcPr>
            <w:tcW w:w="987"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1,279,903 </w:t>
            </w:r>
          </w:p>
        </w:tc>
        <w:tc>
          <w:tcPr>
            <w:tcW w:w="986"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1,312,352 </w:t>
            </w:r>
          </w:p>
        </w:tc>
      </w:tr>
      <w:tr w:rsidR="001C167B" w:rsidTr="001C167B">
        <w:trPr>
          <w:trHeight w:val="56"/>
        </w:trPr>
        <w:tc>
          <w:tcPr>
            <w:tcW w:w="2725"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Grant payments</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1,100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9,900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8,800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7,700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5,347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7,443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7,476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7,510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7,545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paid</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1,150,127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1,190,379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1,227,695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1,258,387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1,289,847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87"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1,155,474 </w:t>
            </w:r>
          </w:p>
        </w:tc>
        <w:tc>
          <w:tcPr>
            <w:tcW w:w="986"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1,198,922 </w:t>
            </w:r>
          </w:p>
        </w:tc>
        <w:tc>
          <w:tcPr>
            <w:tcW w:w="987"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1,245,071 </w:t>
            </w:r>
          </w:p>
        </w:tc>
        <w:tc>
          <w:tcPr>
            <w:tcW w:w="987"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1,274,697 </w:t>
            </w:r>
          </w:p>
        </w:tc>
        <w:tc>
          <w:tcPr>
            <w:tcW w:w="986"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1,305,092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(used by) </w:t>
            </w:r>
          </w:p>
        </w:tc>
        <w:tc>
          <w:tcPr>
            <w:tcW w:w="987"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87"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15,186 </w:t>
            </w:r>
          </w:p>
        </w:tc>
        <w:tc>
          <w:tcPr>
            <w:tcW w:w="986" w:type="dxa"/>
            <w:tcBorders>
              <w:top w:val="nil"/>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9,458 </w:t>
            </w:r>
          </w:p>
        </w:tc>
        <w:tc>
          <w:tcPr>
            <w:tcW w:w="987"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2,694 </w:t>
            </w:r>
          </w:p>
        </w:tc>
        <w:tc>
          <w:tcPr>
            <w:tcW w:w="987"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5,206 </w:t>
            </w:r>
          </w:p>
        </w:tc>
        <w:tc>
          <w:tcPr>
            <w:tcW w:w="986" w:type="dxa"/>
            <w:tcBorders>
              <w:top w:val="nil"/>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7,260 </w:t>
            </w:r>
          </w:p>
        </w:tc>
      </w:tr>
      <w:tr w:rsidR="001C167B" w:rsidTr="001C167B">
        <w:trPr>
          <w:trHeight w:val="5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property, plant</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and equipment</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160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87"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160 </w:t>
            </w:r>
          </w:p>
        </w:tc>
        <w:tc>
          <w:tcPr>
            <w:tcW w:w="986"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87"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87"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86"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(used by) </w:t>
            </w:r>
          </w:p>
        </w:tc>
        <w:tc>
          <w:tcPr>
            <w:tcW w:w="987"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single" w:sz="2" w:space="0" w:color="auto"/>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87"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(160)</w:t>
            </w:r>
          </w:p>
        </w:tc>
        <w:tc>
          <w:tcPr>
            <w:tcW w:w="986"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87"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87"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86"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r>
      <w:tr w:rsidR="001C167B" w:rsidTr="001C167B">
        <w:trPr>
          <w:trHeight w:val="5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5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Net increase (decrease) in</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 xml:space="preserve"> cash held</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15,026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9,458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2,694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5,206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7,260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beginning of reporting period</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248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248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248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248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248 </w:t>
            </w:r>
          </w:p>
        </w:tc>
      </w:tr>
      <w:tr w:rsidR="001C167B" w:rsidTr="001C167B">
        <w:trPr>
          <w:trHeight w:val="230"/>
        </w:trPr>
        <w:tc>
          <w:tcPr>
            <w:tcW w:w="2725" w:type="dxa"/>
            <w:gridSpan w:val="2"/>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from Official Public Account for:</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30"/>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Operating</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81,079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86,688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97,192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98,258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99,376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Non-operating</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160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1,073,894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1,111,457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1,146,299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1,174,956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1,204,330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s30A drawdowns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501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777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1,580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1,483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1,386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p>
        </w:tc>
        <w:tc>
          <w:tcPr>
            <w:tcW w:w="987"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1,155,634 </w:t>
            </w:r>
          </w:p>
        </w:tc>
        <w:tc>
          <w:tcPr>
            <w:tcW w:w="986"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1,198,922 </w:t>
            </w:r>
          </w:p>
        </w:tc>
        <w:tc>
          <w:tcPr>
            <w:tcW w:w="987"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1,245,071 </w:t>
            </w:r>
          </w:p>
        </w:tc>
        <w:tc>
          <w:tcPr>
            <w:tcW w:w="987"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1,274,697 </w:t>
            </w:r>
          </w:p>
        </w:tc>
        <w:tc>
          <w:tcPr>
            <w:tcW w:w="986"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1,305,092 </w:t>
            </w:r>
          </w:p>
        </w:tc>
      </w:tr>
      <w:tr w:rsidR="001C167B" w:rsidTr="001C167B">
        <w:trPr>
          <w:trHeight w:val="230"/>
        </w:trPr>
        <w:tc>
          <w:tcPr>
            <w:tcW w:w="2725" w:type="dxa"/>
            <w:gridSpan w:val="2"/>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to Official Public Account for:</w:t>
            </w:r>
          </w:p>
        </w:tc>
        <w:tc>
          <w:tcPr>
            <w:tcW w:w="986" w:type="dxa"/>
            <w:tcBorders>
              <w:top w:val="single" w:sz="2" w:space="0" w:color="auto"/>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76,233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78,922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81,396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83,431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85,517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revenue</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20,032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17,224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18,490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20,033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21,119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1,073,894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1,111,457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1,146,299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1,174,956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1,204,330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-s30A repayment</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501 </w:t>
            </w: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777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1,580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1,483 </w:t>
            </w: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1,386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p>
        </w:tc>
        <w:tc>
          <w:tcPr>
            <w:tcW w:w="987"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1,170,660 </w:t>
            </w:r>
          </w:p>
        </w:tc>
        <w:tc>
          <w:tcPr>
            <w:tcW w:w="986" w:type="dxa"/>
            <w:tcBorders>
              <w:top w:val="single" w:sz="2" w:space="0" w:color="000000"/>
              <w:left w:val="nil"/>
              <w:bottom w:val="single" w:sz="2" w:space="0" w:color="000000"/>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1,208,380 </w:t>
            </w:r>
          </w:p>
        </w:tc>
        <w:tc>
          <w:tcPr>
            <w:tcW w:w="987"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1,247,765 </w:t>
            </w:r>
          </w:p>
        </w:tc>
        <w:tc>
          <w:tcPr>
            <w:tcW w:w="987"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1,279,903 </w:t>
            </w:r>
          </w:p>
        </w:tc>
        <w:tc>
          <w:tcPr>
            <w:tcW w:w="986" w:type="dxa"/>
            <w:tcBorders>
              <w:top w:val="single" w:sz="2" w:space="0" w:color="000000"/>
              <w:left w:val="nil"/>
              <w:bottom w:val="single" w:sz="2" w:space="0" w:color="000000"/>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1,312,352 </w:t>
            </w:r>
          </w:p>
        </w:tc>
      </w:tr>
      <w:tr w:rsidR="001C167B" w:rsidTr="001C167B">
        <w:trPr>
          <w:trHeight w:val="216"/>
        </w:trPr>
        <w:tc>
          <w:tcPr>
            <w:tcW w:w="2725"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Cash and cash equivalents at </w:t>
            </w: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86"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2725" w:type="dxa"/>
            <w:tcBorders>
              <w:top w:val="nil"/>
              <w:left w:val="nil"/>
              <w:bottom w:val="single" w:sz="2" w:space="0" w:color="000000"/>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end of reporting period</w:t>
            </w:r>
          </w:p>
        </w:tc>
        <w:tc>
          <w:tcPr>
            <w:tcW w:w="987"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248 </w:t>
            </w:r>
          </w:p>
        </w:tc>
        <w:tc>
          <w:tcPr>
            <w:tcW w:w="986"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248 </w:t>
            </w:r>
          </w:p>
        </w:tc>
        <w:tc>
          <w:tcPr>
            <w:tcW w:w="987"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248 </w:t>
            </w:r>
          </w:p>
        </w:tc>
        <w:tc>
          <w:tcPr>
            <w:tcW w:w="987"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248 </w:t>
            </w:r>
          </w:p>
        </w:tc>
        <w:tc>
          <w:tcPr>
            <w:tcW w:w="986"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248 </w:t>
            </w:r>
          </w:p>
        </w:tc>
      </w:tr>
    </w:tbl>
    <w:p w:rsidR="00340FD7" w:rsidRDefault="00340FD7" w:rsidP="003A3E20">
      <w:pPr>
        <w:pStyle w:val="Source"/>
      </w:pPr>
      <w:r>
        <w:t>Prepared on Australian Accounting Standards basis.</w:t>
      </w:r>
    </w:p>
    <w:p w:rsidR="00340FD7" w:rsidRDefault="00340FD7" w:rsidP="003A3E20">
      <w:pPr>
        <w:pStyle w:val="NoSpacing"/>
      </w:pPr>
    </w:p>
    <w:p w:rsidR="00340FD7" w:rsidRDefault="00340FD7" w:rsidP="003A3E20">
      <w:pPr>
        <w:pStyle w:val="TableHeading"/>
        <w:jc w:val="both"/>
      </w:pPr>
      <w:r>
        <w:br w:type="page"/>
      </w:r>
      <w:r w:rsidRPr="00D30CBA">
        <w:t>Table 3.2.</w:t>
      </w:r>
      <w:r>
        <w:t>10</w:t>
      </w:r>
      <w:r w:rsidRPr="00D30CBA">
        <w:t xml:space="preserve">: </w:t>
      </w:r>
      <w:r>
        <w:t xml:space="preserve">Schedule of Administered Capital </w:t>
      </w:r>
      <w:smartTag w:uri="urn:schemas-microsoft-com:office:smarttags" w:element="PersonName">
        <w:r>
          <w:t>Budget</w:t>
        </w:r>
      </w:smartTag>
    </w:p>
    <w:tbl>
      <w:tblPr>
        <w:tblW w:w="0" w:type="auto"/>
        <w:tblInd w:w="78" w:type="dxa"/>
        <w:tblLayout w:type="fixed"/>
        <w:tblLook w:val="0000" w:firstRow="0" w:lastRow="0" w:firstColumn="0" w:lastColumn="0" w:noHBand="0" w:noVBand="0"/>
      </w:tblPr>
      <w:tblGrid>
        <w:gridCol w:w="3223"/>
        <w:gridCol w:w="919"/>
        <w:gridCol w:w="872"/>
        <w:gridCol w:w="871"/>
        <w:gridCol w:w="871"/>
        <w:gridCol w:w="934"/>
      </w:tblGrid>
      <w:tr w:rsidR="001C167B" w:rsidTr="001C167B">
        <w:trPr>
          <w:trHeight w:val="216"/>
        </w:trPr>
        <w:tc>
          <w:tcPr>
            <w:tcW w:w="3223"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tc>
        <w:tc>
          <w:tcPr>
            <w:tcW w:w="872" w:type="dxa"/>
            <w:tcBorders>
              <w:top w:val="single" w:sz="2" w:space="0" w:color="000000"/>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871"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871"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34" w:type="dxa"/>
            <w:tcBorders>
              <w:top w:val="single" w:sz="2" w:space="0" w:color="000000"/>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2010-11</w:t>
            </w:r>
          </w:p>
        </w:tc>
        <w:tc>
          <w:tcPr>
            <w:tcW w:w="872" w:type="dxa"/>
            <w:tcBorders>
              <w:top w:val="single" w:sz="2" w:space="0" w:color="auto"/>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2011-12</w:t>
            </w:r>
          </w:p>
        </w:tc>
        <w:tc>
          <w:tcPr>
            <w:tcW w:w="871"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871"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34"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72"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71"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71"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APPROPRIATIONS</w:t>
            </w: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Administered assets and </w:t>
            </w: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liabilities - Bill 2</w:t>
            </w: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160 </w:t>
            </w: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capital appropriations</w:t>
            </w:r>
          </w:p>
        </w:tc>
        <w:tc>
          <w:tcPr>
            <w:tcW w:w="919"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160 </w:t>
            </w:r>
          </w:p>
        </w:tc>
        <w:tc>
          <w:tcPr>
            <w:tcW w:w="872" w:type="dxa"/>
            <w:tcBorders>
              <w:top w:val="single" w:sz="2" w:space="0" w:color="auto"/>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71"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71"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3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r>
      <w:tr w:rsidR="001C167B" w:rsidTr="001C167B">
        <w:trPr>
          <w:trHeight w:val="58"/>
        </w:trPr>
        <w:tc>
          <w:tcPr>
            <w:tcW w:w="322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new capital appropriations</w:t>
            </w: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Represented by:</w:t>
            </w: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non-financial assets</w:t>
            </w: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160 </w:t>
            </w: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Items</w:t>
            </w:r>
          </w:p>
        </w:tc>
        <w:tc>
          <w:tcPr>
            <w:tcW w:w="919"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160 </w:t>
            </w:r>
          </w:p>
        </w:tc>
        <w:tc>
          <w:tcPr>
            <w:tcW w:w="872" w:type="dxa"/>
            <w:tcBorders>
              <w:top w:val="single" w:sz="2" w:space="0" w:color="auto"/>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71"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71"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3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r>
      <w:tr w:rsidR="001C167B" w:rsidTr="001C167B">
        <w:trPr>
          <w:trHeight w:val="58"/>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PURCHASE OF NON-FINANCIAL</w:t>
            </w: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 capital appropriations</w:t>
            </w: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160 </w:t>
            </w: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919"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160 </w:t>
            </w:r>
          </w:p>
        </w:tc>
        <w:tc>
          <w:tcPr>
            <w:tcW w:w="872" w:type="dxa"/>
            <w:tcBorders>
              <w:top w:val="single" w:sz="2" w:space="0" w:color="auto"/>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71"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71"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34" w:type="dxa"/>
            <w:tcBorders>
              <w:top w:val="single" w:sz="2" w:space="0" w:color="auto"/>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r>
      <w:tr w:rsidR="001C167B" w:rsidTr="001C167B">
        <w:trPr>
          <w:trHeight w:val="58"/>
        </w:trPr>
        <w:tc>
          <w:tcPr>
            <w:tcW w:w="3223"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RECONCILIATION OF CASH</w:t>
            </w: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USED TO ACQUIRE ASSETS</w:t>
            </w: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 ASSET MOVEMENT TABLE</w:t>
            </w: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Calibri" w:hAnsi="Calibri" w:cs="Calibri"/>
                <w:color w:val="000000"/>
                <w:sz w:val="22"/>
                <w:szCs w:val="22"/>
              </w:rPr>
            </w:pP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Calibri" w:hAnsi="Calibri" w:cs="Calibri"/>
                <w:color w:val="000000"/>
                <w:sz w:val="22"/>
                <w:szCs w:val="22"/>
              </w:rPr>
            </w:pP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Calibri" w:hAnsi="Calibri" w:cs="Calibri"/>
                <w:color w:val="000000"/>
                <w:sz w:val="22"/>
                <w:szCs w:val="22"/>
              </w:rPr>
            </w:pP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Calibri" w:hAnsi="Calibri" w:cs="Calibri"/>
                <w:color w:val="000000"/>
                <w:sz w:val="22"/>
                <w:szCs w:val="22"/>
              </w:rPr>
            </w:pP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purchases</w:t>
            </w:r>
          </w:p>
        </w:tc>
        <w:tc>
          <w:tcPr>
            <w:tcW w:w="91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160 </w:t>
            </w:r>
          </w:p>
        </w:tc>
        <w:tc>
          <w:tcPr>
            <w:tcW w:w="872" w:type="dxa"/>
            <w:tcBorders>
              <w:top w:val="nil"/>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71"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3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1C167B" w:rsidTr="001C167B">
        <w:trPr>
          <w:trHeight w:val="216"/>
        </w:trPr>
        <w:tc>
          <w:tcPr>
            <w:tcW w:w="3223"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 to</w:t>
            </w:r>
          </w:p>
        </w:tc>
        <w:tc>
          <w:tcPr>
            <w:tcW w:w="919"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872" w:type="dxa"/>
            <w:tcBorders>
              <w:top w:val="single" w:sz="2" w:space="0" w:color="auto"/>
              <w:left w:val="nil"/>
              <w:bottom w:val="nil"/>
              <w:right w:val="nil"/>
            </w:tcBorders>
            <w:shd w:val="solid" w:color="E6E6E6" w:fill="auto"/>
          </w:tcPr>
          <w:p w:rsidR="001C167B" w:rsidRDefault="001C167B">
            <w:pPr>
              <w:autoSpaceDE w:val="0"/>
              <w:autoSpaceDN w:val="0"/>
              <w:adjustRightInd w:val="0"/>
              <w:spacing w:after="0" w:line="240" w:lineRule="auto"/>
              <w:jc w:val="right"/>
              <w:rPr>
                <w:rFonts w:ascii="Arial" w:hAnsi="Arial" w:cs="Arial"/>
                <w:color w:val="000000"/>
                <w:sz w:val="16"/>
                <w:szCs w:val="16"/>
              </w:rPr>
            </w:pPr>
          </w:p>
        </w:tc>
        <w:tc>
          <w:tcPr>
            <w:tcW w:w="871"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871"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c>
          <w:tcPr>
            <w:tcW w:w="934" w:type="dxa"/>
            <w:tcBorders>
              <w:top w:val="single" w:sz="2" w:space="0" w:color="auto"/>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p>
        </w:tc>
      </w:tr>
      <w:tr w:rsidR="001C167B" w:rsidTr="001C167B">
        <w:trPr>
          <w:trHeight w:val="216"/>
        </w:trPr>
        <w:tc>
          <w:tcPr>
            <w:tcW w:w="3223" w:type="dxa"/>
            <w:tcBorders>
              <w:top w:val="nil"/>
              <w:left w:val="nil"/>
              <w:bottom w:val="single" w:sz="2" w:space="0" w:color="auto"/>
              <w:right w:val="nil"/>
            </w:tcBorders>
          </w:tcPr>
          <w:p w:rsidR="001C167B" w:rsidRDefault="001C167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acquire assets</w:t>
            </w:r>
          </w:p>
        </w:tc>
        <w:tc>
          <w:tcPr>
            <w:tcW w:w="919"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160 </w:t>
            </w:r>
          </w:p>
        </w:tc>
        <w:tc>
          <w:tcPr>
            <w:tcW w:w="872" w:type="dxa"/>
            <w:tcBorders>
              <w:top w:val="nil"/>
              <w:left w:val="nil"/>
              <w:bottom w:val="single" w:sz="2" w:space="0" w:color="auto"/>
              <w:right w:val="nil"/>
            </w:tcBorders>
            <w:shd w:val="solid" w:color="E6E6E6" w:fill="auto"/>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71"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71"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934" w:type="dxa"/>
            <w:tcBorders>
              <w:top w:val="nil"/>
              <w:left w:val="nil"/>
              <w:bottom w:val="single" w:sz="2" w:space="0" w:color="auto"/>
              <w:right w:val="nil"/>
            </w:tcBorders>
          </w:tcPr>
          <w:p w:rsidR="001C167B" w:rsidRDefault="001C167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r>
    </w:tbl>
    <w:p w:rsidR="00340FD7" w:rsidRDefault="00340FD7" w:rsidP="003A3E20">
      <w:pPr>
        <w:pStyle w:val="Source"/>
      </w:pPr>
      <w:r>
        <w:t>Prepared on Australian Accounting Standards basis.</w:t>
      </w:r>
    </w:p>
    <w:p w:rsidR="00340FD7" w:rsidRDefault="00340FD7" w:rsidP="003A3E20">
      <w:pPr>
        <w:pStyle w:val="NoSpacing"/>
      </w:pPr>
    </w:p>
    <w:p w:rsidR="00340FD7" w:rsidRDefault="00340FD7" w:rsidP="003A3E20">
      <w:pPr>
        <w:pStyle w:val="ExampleText0"/>
        <w:jc w:val="both"/>
      </w:pPr>
    </w:p>
    <w:p w:rsidR="00340FD7" w:rsidRDefault="00340FD7" w:rsidP="003A3E20">
      <w:pPr>
        <w:pStyle w:val="ExampleText0"/>
        <w:jc w:val="both"/>
        <w:sectPr w:rsidR="00340FD7" w:rsidSect="00715386">
          <w:headerReference w:type="even" r:id="rId43"/>
          <w:headerReference w:type="default" r:id="rId44"/>
          <w:headerReference w:type="first" r:id="rId45"/>
          <w:footerReference w:type="first" r:id="rId46"/>
          <w:pgSz w:w="11906" w:h="16838" w:code="9"/>
          <w:pgMar w:top="2466" w:right="2098" w:bottom="2466" w:left="2098" w:header="1899" w:footer="1899" w:gutter="0"/>
          <w:cols w:space="708"/>
          <w:titlePg/>
          <w:docGrid w:linePitch="360"/>
        </w:sectPr>
      </w:pPr>
    </w:p>
    <w:p w:rsidR="00340FD7" w:rsidRDefault="00340FD7" w:rsidP="003A3E20">
      <w:pPr>
        <w:pStyle w:val="TableHeading"/>
        <w:jc w:val="both"/>
      </w:pPr>
      <w:r>
        <w:t xml:space="preserve">Table 3.2.11: Schedule of Asset Movements — Administered </w:t>
      </w:r>
    </w:p>
    <w:tbl>
      <w:tblPr>
        <w:tblW w:w="0" w:type="auto"/>
        <w:tblInd w:w="78" w:type="dxa"/>
        <w:tblLayout w:type="fixed"/>
        <w:tblLook w:val="0000" w:firstRow="0" w:lastRow="0" w:firstColumn="0" w:lastColumn="0" w:noHBand="0" w:noVBand="0"/>
      </w:tblPr>
      <w:tblGrid>
        <w:gridCol w:w="3412"/>
        <w:gridCol w:w="929"/>
        <w:gridCol w:w="944"/>
        <w:gridCol w:w="1299"/>
        <w:gridCol w:w="1010"/>
        <w:gridCol w:w="1009"/>
        <w:gridCol w:w="1010"/>
        <w:gridCol w:w="1187"/>
        <w:gridCol w:w="1010"/>
      </w:tblGrid>
      <w:tr w:rsidR="001C167B" w:rsidTr="001C167B">
        <w:trPr>
          <w:trHeight w:val="201"/>
        </w:trPr>
        <w:tc>
          <w:tcPr>
            <w:tcW w:w="3412"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929"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Land</w:t>
            </w:r>
          </w:p>
        </w:tc>
        <w:tc>
          <w:tcPr>
            <w:tcW w:w="944"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Buildings</w:t>
            </w:r>
          </w:p>
        </w:tc>
        <w:tc>
          <w:tcPr>
            <w:tcW w:w="1299"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Other</w:t>
            </w:r>
          </w:p>
        </w:tc>
        <w:tc>
          <w:tcPr>
            <w:tcW w:w="1010"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Heritage</w:t>
            </w:r>
          </w:p>
        </w:tc>
        <w:tc>
          <w:tcPr>
            <w:tcW w:w="1009"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Investment</w:t>
            </w:r>
          </w:p>
        </w:tc>
        <w:tc>
          <w:tcPr>
            <w:tcW w:w="1010"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Intangibles</w:t>
            </w:r>
          </w:p>
        </w:tc>
        <w:tc>
          <w:tcPr>
            <w:tcW w:w="1187"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Other</w:t>
            </w:r>
          </w:p>
        </w:tc>
        <w:tc>
          <w:tcPr>
            <w:tcW w:w="1010"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Total</w:t>
            </w:r>
          </w:p>
        </w:tc>
      </w:tr>
      <w:tr w:rsidR="001C167B" w:rsidTr="001C167B">
        <w:trPr>
          <w:trHeight w:val="201"/>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property,</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and cultural</w:t>
            </w: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property</w:t>
            </w:r>
          </w:p>
        </w:tc>
        <w:tc>
          <w:tcPr>
            <w:tcW w:w="101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r>
      <w:tr w:rsidR="001C167B" w:rsidTr="001C167B">
        <w:trPr>
          <w:trHeight w:val="201"/>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plant and</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assets</w:t>
            </w: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01"/>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92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94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equipment</w:t>
            </w:r>
          </w:p>
        </w:tc>
        <w:tc>
          <w:tcPr>
            <w:tcW w:w="101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100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01"/>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c>
          <w:tcPr>
            <w:tcW w:w="929" w:type="dxa"/>
            <w:tcBorders>
              <w:top w:val="nil"/>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944" w:type="dxa"/>
            <w:tcBorders>
              <w:top w:val="nil"/>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299" w:type="dxa"/>
            <w:tcBorders>
              <w:top w:val="nil"/>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010" w:type="dxa"/>
            <w:tcBorders>
              <w:top w:val="nil"/>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009" w:type="dxa"/>
            <w:tcBorders>
              <w:top w:val="nil"/>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010" w:type="dxa"/>
            <w:tcBorders>
              <w:top w:val="nil"/>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187" w:type="dxa"/>
            <w:tcBorders>
              <w:top w:val="nil"/>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1010" w:type="dxa"/>
            <w:tcBorders>
              <w:top w:val="nil"/>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1C167B" w:rsidTr="001C167B">
        <w:trPr>
          <w:trHeight w:val="201"/>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1 July 2011</w:t>
            </w: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43"/>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Gross book value </w:t>
            </w: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160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160 </w:t>
            </w:r>
          </w:p>
        </w:tc>
      </w:tr>
      <w:tr w:rsidR="001C167B" w:rsidTr="001C167B">
        <w:trPr>
          <w:trHeight w:val="230"/>
        </w:trPr>
        <w:tc>
          <w:tcPr>
            <w:tcW w:w="3412" w:type="dxa"/>
            <w:gridSpan w:val="2"/>
            <w:tcBorders>
              <w:top w:val="nil"/>
              <w:left w:val="nil"/>
              <w:bottom w:val="nil"/>
              <w:right w:val="nil"/>
            </w:tcBorders>
            <w:shd w:val="solid" w:color="FFFFFF" w:fill="auto"/>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Accumulated depreciation/amortisation and</w:t>
            </w:r>
          </w:p>
        </w:tc>
        <w:tc>
          <w:tcPr>
            <w:tcW w:w="944"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rPr>
            </w:pP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rPr>
            </w:pPr>
          </w:p>
        </w:tc>
        <w:tc>
          <w:tcPr>
            <w:tcW w:w="1009"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rPr>
            </w:pPr>
          </w:p>
        </w:tc>
        <w:tc>
          <w:tcPr>
            <w:tcW w:w="1010"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rPr>
            </w:pPr>
          </w:p>
        </w:tc>
        <w:tc>
          <w:tcPr>
            <w:tcW w:w="1187" w:type="dxa"/>
            <w:tcBorders>
              <w:top w:val="nil"/>
              <w:left w:val="nil"/>
              <w:bottom w:val="nil"/>
              <w:right w:val="nil"/>
            </w:tcBorders>
          </w:tcPr>
          <w:p w:rsidR="001C167B" w:rsidRDefault="001C167B">
            <w:pPr>
              <w:autoSpaceDE w:val="0"/>
              <w:autoSpaceDN w:val="0"/>
              <w:adjustRightInd w:val="0"/>
              <w:spacing w:after="0" w:line="240" w:lineRule="auto"/>
              <w:jc w:val="right"/>
              <w:rPr>
                <w:rFonts w:ascii="Arial" w:hAnsi="Arial" w:cs="Arial"/>
                <w:color w:val="000000"/>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r>
      <w:tr w:rsidR="001C167B" w:rsidTr="001C167B">
        <w:trPr>
          <w:trHeight w:val="230"/>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impairment</w:t>
            </w: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(53)</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(53)</w:t>
            </w:r>
          </w:p>
        </w:tc>
      </w:tr>
      <w:tr w:rsidR="001C167B" w:rsidTr="001C167B">
        <w:trPr>
          <w:trHeight w:val="214"/>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Opening net book balance</w:t>
            </w:r>
          </w:p>
        </w:tc>
        <w:tc>
          <w:tcPr>
            <w:tcW w:w="929"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944"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299"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107 </w:t>
            </w:r>
          </w:p>
        </w:tc>
        <w:tc>
          <w:tcPr>
            <w:tcW w:w="1010"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009"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010"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187"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 </w:t>
            </w:r>
          </w:p>
        </w:tc>
        <w:tc>
          <w:tcPr>
            <w:tcW w:w="1010"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107 </w:t>
            </w:r>
          </w:p>
        </w:tc>
      </w:tr>
      <w:tr w:rsidR="001C167B" w:rsidTr="001C167B">
        <w:trPr>
          <w:trHeight w:val="57"/>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58"/>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CAPITAL ASSET ADDITIONS</w:t>
            </w: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58"/>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Estimated expenditure on</w:t>
            </w: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58"/>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new or replacement assets</w:t>
            </w: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r>
      <w:tr w:rsidR="001C167B" w:rsidTr="001C167B">
        <w:trPr>
          <w:trHeight w:val="287"/>
        </w:trPr>
        <w:tc>
          <w:tcPr>
            <w:tcW w:w="3412"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By purchase - appropriation equity </w:t>
            </w:r>
            <w:r>
              <w:rPr>
                <w:rFonts w:ascii="Arial" w:hAnsi="Arial" w:cs="Arial"/>
                <w:color w:val="000000"/>
                <w:sz w:val="15"/>
                <w:szCs w:val="15"/>
                <w:vertAlign w:val="superscript"/>
              </w:rPr>
              <w:t>1</w:t>
            </w: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r>
      <w:tr w:rsidR="001C167B" w:rsidTr="001C167B">
        <w:trPr>
          <w:trHeight w:val="230"/>
        </w:trPr>
        <w:tc>
          <w:tcPr>
            <w:tcW w:w="3412"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By purchase - appropriation ordinary</w:t>
            </w: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r>
      <w:tr w:rsidR="001C167B" w:rsidTr="001C167B">
        <w:trPr>
          <w:trHeight w:val="230"/>
        </w:trPr>
        <w:tc>
          <w:tcPr>
            <w:tcW w:w="3412"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services</w:t>
            </w: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r>
      <w:tr w:rsidR="001C167B" w:rsidTr="001C167B">
        <w:trPr>
          <w:trHeight w:val="230"/>
        </w:trPr>
        <w:tc>
          <w:tcPr>
            <w:tcW w:w="3412"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By purchase - donated funds</w:t>
            </w: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p>
        </w:tc>
      </w:tr>
      <w:tr w:rsidR="001C167B" w:rsidTr="001C167B">
        <w:trPr>
          <w:trHeight w:val="230"/>
        </w:trPr>
        <w:tc>
          <w:tcPr>
            <w:tcW w:w="3412"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By purchase - other</w:t>
            </w: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r>
      <w:tr w:rsidR="001C167B" w:rsidTr="001C167B">
        <w:trPr>
          <w:trHeight w:val="287"/>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additions</w:t>
            </w:r>
          </w:p>
        </w:tc>
        <w:tc>
          <w:tcPr>
            <w:tcW w:w="929"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44"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99"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w:t>
            </w:r>
          </w:p>
        </w:tc>
        <w:tc>
          <w:tcPr>
            <w:tcW w:w="1010"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09"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87"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r>
      <w:tr w:rsidR="001C167B" w:rsidTr="001C167B">
        <w:trPr>
          <w:trHeight w:val="29"/>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left"/>
              <w:rPr>
                <w:rFonts w:ascii="Arial" w:hAnsi="Arial" w:cs="Arial"/>
                <w:b/>
                <w:bCs/>
                <w:color w:val="000000"/>
                <w:sz w:val="15"/>
                <w:szCs w:val="15"/>
              </w:rPr>
            </w:pP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87"/>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Other movements</w:t>
            </w:r>
          </w:p>
        </w:tc>
        <w:tc>
          <w:tcPr>
            <w:tcW w:w="929"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44"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299"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9"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87"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single" w:sz="2" w:space="0" w:color="auto"/>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58"/>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Depreciation/amortisation expense</w:t>
            </w: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53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53 </w:t>
            </w:r>
          </w:p>
        </w:tc>
      </w:tr>
      <w:tr w:rsidR="001C167B" w:rsidTr="001C167B">
        <w:trPr>
          <w:trHeight w:val="57"/>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left"/>
              <w:rPr>
                <w:rFonts w:ascii="Arial" w:hAnsi="Arial" w:cs="Arial"/>
                <w:b/>
                <w:bCs/>
                <w:color w:val="000000"/>
                <w:sz w:val="15"/>
                <w:szCs w:val="15"/>
              </w:rPr>
            </w:pP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87"/>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As at 30 June 2012</w:t>
            </w: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30"/>
        </w:trPr>
        <w:tc>
          <w:tcPr>
            <w:tcW w:w="3412"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Gross book value</w:t>
            </w: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160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160 </w:t>
            </w:r>
          </w:p>
        </w:tc>
      </w:tr>
      <w:tr w:rsidR="001C167B" w:rsidTr="001C167B">
        <w:trPr>
          <w:trHeight w:val="230"/>
        </w:trPr>
        <w:tc>
          <w:tcPr>
            <w:tcW w:w="3412" w:type="dxa"/>
            <w:gridSpan w:val="2"/>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Accumulated depreciation/amortisation and</w:t>
            </w: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p>
        </w:tc>
      </w:tr>
      <w:tr w:rsidR="001C167B" w:rsidTr="001C167B">
        <w:trPr>
          <w:trHeight w:val="230"/>
        </w:trPr>
        <w:tc>
          <w:tcPr>
            <w:tcW w:w="3412" w:type="dxa"/>
            <w:tcBorders>
              <w:top w:val="nil"/>
              <w:left w:val="nil"/>
              <w:bottom w:val="nil"/>
              <w:right w:val="nil"/>
            </w:tcBorders>
          </w:tcPr>
          <w:p w:rsidR="001C167B" w:rsidRDefault="001C167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impairment</w:t>
            </w:r>
          </w:p>
        </w:tc>
        <w:tc>
          <w:tcPr>
            <w:tcW w:w="92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944"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29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(106)</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09"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187"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 - </w:t>
            </w:r>
          </w:p>
        </w:tc>
        <w:tc>
          <w:tcPr>
            <w:tcW w:w="1010" w:type="dxa"/>
            <w:tcBorders>
              <w:top w:val="nil"/>
              <w:left w:val="nil"/>
              <w:bottom w:val="nil"/>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(106)</w:t>
            </w:r>
          </w:p>
        </w:tc>
      </w:tr>
      <w:tr w:rsidR="001C167B" w:rsidTr="001C167B">
        <w:trPr>
          <w:trHeight w:val="287"/>
        </w:trPr>
        <w:tc>
          <w:tcPr>
            <w:tcW w:w="3412" w:type="dxa"/>
            <w:tcBorders>
              <w:top w:val="nil"/>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Closing net book balance</w:t>
            </w:r>
          </w:p>
        </w:tc>
        <w:tc>
          <w:tcPr>
            <w:tcW w:w="929"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944"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299"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54 </w:t>
            </w:r>
          </w:p>
        </w:tc>
        <w:tc>
          <w:tcPr>
            <w:tcW w:w="1010"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009"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010"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w:t>
            </w:r>
          </w:p>
        </w:tc>
        <w:tc>
          <w:tcPr>
            <w:tcW w:w="1187"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 </w:t>
            </w:r>
          </w:p>
        </w:tc>
        <w:tc>
          <w:tcPr>
            <w:tcW w:w="1010" w:type="dxa"/>
            <w:tcBorders>
              <w:top w:val="single" w:sz="2" w:space="0" w:color="auto"/>
              <w:left w:val="nil"/>
              <w:bottom w:val="single" w:sz="2" w:space="0" w:color="auto"/>
              <w:right w:val="nil"/>
            </w:tcBorders>
            <w:shd w:val="solid" w:color="FFFFFF" w:fill="auto"/>
          </w:tcPr>
          <w:p w:rsidR="001C167B" w:rsidRDefault="001C167B">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 54 </w:t>
            </w:r>
          </w:p>
        </w:tc>
      </w:tr>
    </w:tbl>
    <w:p w:rsidR="00340FD7" w:rsidRDefault="00340FD7" w:rsidP="003A3E20">
      <w:pPr>
        <w:pStyle w:val="Source"/>
      </w:pPr>
      <w:r w:rsidRPr="00E4582E">
        <w:t>Prepared on Australian Accounting Standards basis</w:t>
      </w:r>
      <w:r>
        <w:t>.</w:t>
      </w:r>
    </w:p>
    <w:p w:rsidR="00CB34C6" w:rsidRPr="001C3D0B" w:rsidRDefault="00CB34C6" w:rsidP="00CB34C6">
      <w:pPr>
        <w:pStyle w:val="NoSpacing"/>
        <w:ind w:left="300" w:hanging="300"/>
        <w:rPr>
          <w:rFonts w:ascii="Arial" w:hAnsi="Arial"/>
          <w:sz w:val="16"/>
        </w:rPr>
      </w:pPr>
      <w:r>
        <w:rPr>
          <w:rFonts w:ascii="Arial" w:hAnsi="Arial"/>
          <w:sz w:val="16"/>
        </w:rPr>
        <w:t>1</w:t>
      </w:r>
      <w:r>
        <w:rPr>
          <w:rFonts w:ascii="Arial" w:hAnsi="Arial"/>
          <w:sz w:val="16"/>
        </w:rPr>
        <w:tab/>
      </w:r>
      <w:r w:rsidR="001C3D0B" w:rsidRPr="001C3D0B">
        <w:rPr>
          <w:rFonts w:ascii="Arial" w:hAnsi="Arial"/>
          <w:sz w:val="16"/>
        </w:rPr>
        <w:t>"Appropriation equity" refers to equity injections or Administered Assets and Liabilities appropriations provided through Appropriation Bill (No.2) 2011-12</w:t>
      </w:r>
      <w:r w:rsidR="005066FA">
        <w:rPr>
          <w:rFonts w:ascii="Arial" w:hAnsi="Arial"/>
          <w:sz w:val="16"/>
        </w:rPr>
        <w:t>.</w:t>
      </w:r>
      <w:r w:rsidRPr="00CB34C6">
        <w:rPr>
          <w:rFonts w:ascii="Arial" w:hAnsi="Arial"/>
          <w:sz w:val="16"/>
        </w:rPr>
        <w:t xml:space="preserve"> </w:t>
      </w:r>
      <w:r>
        <w:rPr>
          <w:rFonts w:ascii="Arial" w:hAnsi="Arial"/>
          <w:sz w:val="16"/>
        </w:rPr>
        <w:tab/>
      </w:r>
      <w:r w:rsidRPr="00CB34C6">
        <w:rPr>
          <w:rFonts w:ascii="Arial" w:hAnsi="Arial"/>
          <w:sz w:val="16"/>
        </w:rPr>
        <w:t>"Appropriation ordinary annual services" refers to funding provided through Appropriation Bill (No.1) 2011-12 for depreciation / amortisation expenses</w:t>
      </w:r>
      <w:r w:rsidR="005066FA">
        <w:rPr>
          <w:rFonts w:ascii="Arial" w:hAnsi="Arial"/>
          <w:sz w:val="16"/>
        </w:rPr>
        <w:t xml:space="preserve">, </w:t>
      </w:r>
      <w:r w:rsidRPr="00CB34C6">
        <w:rPr>
          <w:rFonts w:ascii="Arial" w:hAnsi="Arial"/>
          <w:sz w:val="16"/>
        </w:rPr>
        <w:t>A</w:t>
      </w:r>
      <w:r w:rsidR="005066FA">
        <w:rPr>
          <w:rFonts w:ascii="Arial" w:hAnsi="Arial"/>
          <w:sz w:val="16"/>
        </w:rPr>
        <w:t xml:space="preserve">dministered </w:t>
      </w:r>
      <w:r w:rsidRPr="00CB34C6">
        <w:rPr>
          <w:rFonts w:ascii="Arial" w:hAnsi="Arial"/>
          <w:sz w:val="16"/>
        </w:rPr>
        <w:t>C</w:t>
      </w:r>
      <w:r w:rsidR="005066FA">
        <w:rPr>
          <w:rFonts w:ascii="Arial" w:hAnsi="Arial"/>
          <w:sz w:val="16"/>
        </w:rPr>
        <w:t xml:space="preserve">apital </w:t>
      </w:r>
      <w:r w:rsidRPr="00CB34C6">
        <w:rPr>
          <w:rFonts w:ascii="Arial" w:hAnsi="Arial"/>
          <w:sz w:val="16"/>
        </w:rPr>
        <w:t>B</w:t>
      </w:r>
      <w:r w:rsidR="005066FA">
        <w:rPr>
          <w:rFonts w:ascii="Arial" w:hAnsi="Arial"/>
          <w:sz w:val="16"/>
        </w:rPr>
        <w:t>udget</w:t>
      </w:r>
      <w:r w:rsidRPr="00CB34C6">
        <w:rPr>
          <w:rFonts w:ascii="Arial" w:hAnsi="Arial"/>
          <w:sz w:val="16"/>
        </w:rPr>
        <w:t>s or other operational expenses.</w:t>
      </w:r>
    </w:p>
    <w:p w:rsidR="00340FD7" w:rsidRPr="00B93884" w:rsidRDefault="00340FD7" w:rsidP="003A3E20">
      <w:pPr>
        <w:pStyle w:val="ExampleText0"/>
        <w:jc w:val="both"/>
        <w:sectPr w:rsidR="00340FD7" w:rsidRPr="00B93884" w:rsidSect="00715386">
          <w:headerReference w:type="even" r:id="rId47"/>
          <w:headerReference w:type="default" r:id="rId48"/>
          <w:headerReference w:type="first" r:id="rId49"/>
          <w:footerReference w:type="first" r:id="rId50"/>
          <w:pgSz w:w="16838" w:h="11906" w:orient="landscape" w:code="9"/>
          <w:pgMar w:top="2098" w:right="2466" w:bottom="2098" w:left="2466" w:header="1531" w:footer="1531" w:gutter="0"/>
          <w:cols w:space="708"/>
          <w:titlePg/>
          <w:docGrid w:linePitch="360"/>
        </w:sectPr>
      </w:pPr>
    </w:p>
    <w:p w:rsidR="00340FD7" w:rsidRDefault="00340FD7" w:rsidP="003A3E20">
      <w:pPr>
        <w:pStyle w:val="Heading4"/>
        <w:jc w:val="both"/>
      </w:pPr>
      <w:r>
        <w:t>3.2.4</w:t>
      </w:r>
      <w:r>
        <w:tab/>
        <w:t>Notes to the financial statements</w:t>
      </w:r>
    </w:p>
    <w:p w:rsidR="00D26BA1" w:rsidRDefault="00D26BA1" w:rsidP="00A306E3">
      <w:pPr>
        <w:autoSpaceDE w:val="0"/>
        <w:autoSpaceDN w:val="0"/>
        <w:adjustRightInd w:val="0"/>
        <w:spacing w:before="120" w:after="0" w:line="240" w:lineRule="auto"/>
        <w:jc w:val="left"/>
        <w:rPr>
          <w:rFonts w:ascii="Arial" w:hAnsi="Arial" w:cs="Arial"/>
          <w:b/>
          <w:bCs/>
          <w:sz w:val="22"/>
          <w:szCs w:val="22"/>
        </w:rPr>
      </w:pPr>
      <w:r>
        <w:rPr>
          <w:rFonts w:ascii="Arial" w:hAnsi="Arial" w:cs="Arial"/>
          <w:b/>
          <w:bCs/>
          <w:sz w:val="22"/>
          <w:szCs w:val="22"/>
        </w:rPr>
        <w:t>Basis of accounting</w:t>
      </w:r>
    </w:p>
    <w:p w:rsidR="00707E86" w:rsidRDefault="00707E86" w:rsidP="00707E86">
      <w:pPr>
        <w:tabs>
          <w:tab w:val="left" w:pos="1013"/>
          <w:tab w:val="left" w:pos="1140"/>
          <w:tab w:val="right" w:pos="5970"/>
          <w:tab w:val="right" w:pos="7410"/>
          <w:tab w:val="right" w:pos="8607"/>
        </w:tabs>
        <w:autoSpaceDE w:val="0"/>
        <w:autoSpaceDN w:val="0"/>
        <w:adjustRightInd w:val="0"/>
        <w:spacing w:before="60" w:after="0" w:line="240" w:lineRule="auto"/>
        <w:ind w:right="272"/>
        <w:rPr>
          <w:rFonts w:cs="Book Antiqua"/>
        </w:rPr>
      </w:pPr>
      <w:r>
        <w:rPr>
          <w:rFonts w:cs="Book Antiqua"/>
        </w:rPr>
        <w:t>The Budgeted Financial Statements have been prepared in accordance with:</w:t>
      </w:r>
    </w:p>
    <w:p w:rsidR="00707E86" w:rsidRDefault="00707E86" w:rsidP="00707E86">
      <w:pPr>
        <w:numPr>
          <w:ilvl w:val="0"/>
          <w:numId w:val="26"/>
        </w:numPr>
        <w:tabs>
          <w:tab w:val="left" w:pos="1013"/>
          <w:tab w:val="left" w:pos="1140"/>
          <w:tab w:val="right" w:pos="5970"/>
          <w:tab w:val="right" w:pos="7410"/>
          <w:tab w:val="right" w:pos="8607"/>
        </w:tabs>
        <w:autoSpaceDE w:val="0"/>
        <w:autoSpaceDN w:val="0"/>
        <w:adjustRightInd w:val="0"/>
        <w:spacing w:before="120" w:after="120" w:line="240" w:lineRule="auto"/>
        <w:ind w:left="357" w:right="272" w:hanging="357"/>
        <w:rPr>
          <w:rFonts w:cs="Book Antiqua"/>
        </w:rPr>
      </w:pPr>
      <w:r>
        <w:rPr>
          <w:rFonts w:cs="Book Antiqua"/>
        </w:rPr>
        <w:t>Finance Minister’s Orders (FMOs); and</w:t>
      </w:r>
    </w:p>
    <w:p w:rsidR="00707E86" w:rsidRDefault="00707E86" w:rsidP="00707E86">
      <w:pPr>
        <w:numPr>
          <w:ilvl w:val="0"/>
          <w:numId w:val="26"/>
        </w:numPr>
        <w:tabs>
          <w:tab w:val="left" w:pos="1013"/>
          <w:tab w:val="left" w:pos="1140"/>
          <w:tab w:val="right" w:pos="5970"/>
          <w:tab w:val="right" w:pos="7410"/>
          <w:tab w:val="right" w:pos="8607"/>
        </w:tabs>
        <w:autoSpaceDE w:val="0"/>
        <w:autoSpaceDN w:val="0"/>
        <w:adjustRightInd w:val="0"/>
        <w:spacing w:after="0" w:line="240" w:lineRule="auto"/>
        <w:ind w:left="360" w:right="270" w:hanging="360"/>
        <w:rPr>
          <w:rFonts w:cs="Book Antiqua"/>
        </w:rPr>
      </w:pPr>
      <w:r>
        <w:rPr>
          <w:rFonts w:cs="Book Antiqua"/>
        </w:rPr>
        <w:t>Australian Accounting Standards and Interpretations issued by the Australian Accounting Standards Board (AASB) that apply for the reporting period.</w:t>
      </w:r>
    </w:p>
    <w:p w:rsidR="00707E86" w:rsidRDefault="00707E86" w:rsidP="00707E86">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707E86" w:rsidRDefault="00707E86" w:rsidP="00707E86">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 xml:space="preserve">The Department’s Budgeted Financial Statements have been prepared on an accrual basis and are in accordance with historical cost convention, except for certain assets at fair value. </w:t>
      </w:r>
    </w:p>
    <w:p w:rsidR="00707E86" w:rsidRPr="00CA71EE" w:rsidRDefault="00707E86" w:rsidP="00707E86">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707E86" w:rsidRDefault="00707E86" w:rsidP="00707E86">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Unless alternative treatment is specifically required by an Accounting Standard or the FMOs, assets and liabilities are recognised in the Balance Sheet when and only when it is probable that future economic benefits will flow to the Department or a future sacrifice of economic benefits will be required and the amounts of the assets or liabilities can be reliably measured. However, assets and liabilities arising under agreements equally proportionately unperformed are not recognised unless required by an Accounting Standard.</w:t>
      </w:r>
    </w:p>
    <w:p w:rsidR="00707E86" w:rsidRDefault="00707E86" w:rsidP="00707E86">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CA71EE" w:rsidRPr="00CA71EE" w:rsidRDefault="00CA71EE" w:rsidP="00CA71EE">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CA71EE">
        <w:rPr>
          <w:rFonts w:cs="Book Antiqua"/>
        </w:rPr>
        <w:t xml:space="preserve">The </w:t>
      </w:r>
      <w:r w:rsidRPr="001A2E1D">
        <w:rPr>
          <w:rFonts w:cs="Book Antiqua"/>
          <w:i/>
        </w:rPr>
        <w:t xml:space="preserve">Human Services </w:t>
      </w:r>
      <w:r w:rsidR="001773D0">
        <w:rPr>
          <w:rFonts w:cs="Book Antiqua"/>
          <w:i/>
        </w:rPr>
        <w:t>Legislation Amendment Bill</w:t>
      </w:r>
      <w:r w:rsidRPr="001A2E1D">
        <w:rPr>
          <w:rFonts w:cs="Book Antiqua"/>
          <w:i/>
        </w:rPr>
        <w:t xml:space="preserve"> 2011</w:t>
      </w:r>
      <w:r w:rsidRPr="00CA71EE">
        <w:rPr>
          <w:rFonts w:cs="Book Antiqua"/>
        </w:rPr>
        <w:t xml:space="preserve"> legislation</w:t>
      </w:r>
      <w:r w:rsidR="00B64BB2">
        <w:rPr>
          <w:rFonts w:cs="Book Antiqua"/>
        </w:rPr>
        <w:t xml:space="preserve"> is currently before the Parliament and</w:t>
      </w:r>
      <w:r w:rsidRPr="00CA71EE">
        <w:rPr>
          <w:rFonts w:cs="Book Antiqua"/>
        </w:rPr>
        <w:t xml:space="preserve"> supports the Government’s agenda for service delivery reform and provides for </w:t>
      </w:r>
      <w:r w:rsidR="00836E5E">
        <w:rPr>
          <w:rFonts w:cs="Book Antiqua"/>
        </w:rPr>
        <w:t xml:space="preserve">the </w:t>
      </w:r>
      <w:r w:rsidRPr="00CA71EE">
        <w:rPr>
          <w:rFonts w:cs="Book Antiqua"/>
        </w:rPr>
        <w:t>integration of Medicare Australia and Centrelink into the Department of Human S</w:t>
      </w:r>
      <w:r>
        <w:rPr>
          <w:rFonts w:cs="Book Antiqua"/>
        </w:rPr>
        <w:t>ervices</w:t>
      </w:r>
      <w:r w:rsidRPr="00CA71EE">
        <w:rPr>
          <w:rFonts w:cs="Book Antiqua"/>
        </w:rPr>
        <w:t xml:space="preserve">. </w:t>
      </w:r>
    </w:p>
    <w:p w:rsidR="001773D0" w:rsidRDefault="001773D0" w:rsidP="00CA71EE">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CA71EE" w:rsidRPr="00CA71EE" w:rsidRDefault="00CA71EE" w:rsidP="00CA71EE">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sidRPr="00CA71EE">
        <w:rPr>
          <w:rFonts w:cs="Book Antiqua"/>
        </w:rPr>
        <w:t xml:space="preserve">As part of the integration process the net book value of assets and liabilities of Medicare Australia and Centelink will be transferred to and reflected in the opening balances of the Department of Human Services for 2011-12. </w:t>
      </w:r>
    </w:p>
    <w:p w:rsidR="00CA71EE" w:rsidRDefault="00CA71EE" w:rsidP="00707E86">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707E86" w:rsidRDefault="00707E86" w:rsidP="00707E86">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Unless alternative treatment is specifically required by an Accounting Standard, revenues and expenses are recognised in the Comprehensive Income Statement when and only when, the flow, consumption or loss of economic benefits has occurred and can be reliably measured.</w:t>
      </w:r>
    </w:p>
    <w:p w:rsidR="00707E86" w:rsidRDefault="00707E86" w:rsidP="00707E86">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p>
    <w:p w:rsidR="00707E86" w:rsidRDefault="00707E86" w:rsidP="00707E86">
      <w:pPr>
        <w:numPr>
          <w:ilvl w:val="12"/>
          <w:numId w:val="0"/>
        </w:numPr>
        <w:tabs>
          <w:tab w:val="left" w:pos="1013"/>
          <w:tab w:val="left" w:pos="1140"/>
          <w:tab w:val="right" w:pos="5970"/>
          <w:tab w:val="right" w:pos="7410"/>
          <w:tab w:val="right" w:pos="8607"/>
        </w:tabs>
        <w:autoSpaceDE w:val="0"/>
        <w:autoSpaceDN w:val="0"/>
        <w:adjustRightInd w:val="0"/>
        <w:spacing w:after="0" w:line="240" w:lineRule="auto"/>
        <w:ind w:right="270"/>
        <w:rPr>
          <w:rFonts w:cs="Book Antiqua"/>
        </w:rPr>
      </w:pPr>
      <w:r>
        <w:rPr>
          <w:rFonts w:cs="Book Antiqua"/>
        </w:rPr>
        <w:t>The presentation of the Comprehensive Income Statement includes the “Reconciliation of operating result attributable to the agency” note, whereby the Department’s net operating result is adjusted by unfunded depreciation and amortisation expense. This treatment is the result of the net cash arrangement that has been implemented as part of the Operation Sunlight reform agenda.</w:t>
      </w:r>
    </w:p>
    <w:p w:rsidR="00707E86" w:rsidRDefault="00707E86" w:rsidP="00707E86">
      <w:pPr>
        <w:numPr>
          <w:ilvl w:val="12"/>
          <w:numId w:val="0"/>
        </w:numPr>
        <w:autoSpaceDE w:val="0"/>
        <w:autoSpaceDN w:val="0"/>
        <w:adjustRightInd w:val="0"/>
        <w:spacing w:before="240" w:after="0" w:line="240" w:lineRule="auto"/>
        <w:jc w:val="left"/>
        <w:rPr>
          <w:rFonts w:ascii="Arial" w:hAnsi="Arial" w:cs="Arial"/>
          <w:b/>
          <w:bCs/>
          <w:sz w:val="22"/>
          <w:szCs w:val="22"/>
        </w:rPr>
      </w:pPr>
      <w:r>
        <w:rPr>
          <w:rFonts w:ascii="Arial" w:hAnsi="Arial" w:cs="Arial"/>
          <w:b/>
          <w:bCs/>
          <w:sz w:val="22"/>
          <w:szCs w:val="22"/>
        </w:rPr>
        <w:t>Departmental and Administered items</w:t>
      </w:r>
    </w:p>
    <w:p w:rsidR="00707E86" w:rsidRDefault="001773D0" w:rsidP="00707E86">
      <w:pPr>
        <w:numPr>
          <w:ilvl w:val="12"/>
          <w:numId w:val="0"/>
        </w:numPr>
        <w:autoSpaceDE w:val="0"/>
        <w:autoSpaceDN w:val="0"/>
        <w:adjustRightInd w:val="0"/>
        <w:spacing w:before="60" w:after="120"/>
        <w:rPr>
          <w:rFonts w:cs="Book Antiqua"/>
        </w:rPr>
      </w:pPr>
      <w:r>
        <w:rPr>
          <w:rFonts w:cs="Book Antiqua"/>
        </w:rPr>
        <w:t>Departmental</w:t>
      </w:r>
      <w:r w:rsidR="00707E86">
        <w:rPr>
          <w:rFonts w:cs="Book Antiqua"/>
        </w:rPr>
        <w:t xml:space="preserve"> assets, liabilities, revenues and expenses are those items controlled by the Department that are used in producing outputs, and include:</w:t>
      </w:r>
    </w:p>
    <w:p w:rsidR="00707E86" w:rsidRDefault="00707E86" w:rsidP="00707E86">
      <w:pPr>
        <w:numPr>
          <w:ilvl w:val="0"/>
          <w:numId w:val="27"/>
        </w:numPr>
        <w:autoSpaceDE w:val="0"/>
        <w:autoSpaceDN w:val="0"/>
        <w:adjustRightInd w:val="0"/>
        <w:ind w:left="283" w:hanging="283"/>
        <w:rPr>
          <w:rFonts w:cs="Book Antiqua"/>
        </w:rPr>
      </w:pPr>
      <w:r>
        <w:rPr>
          <w:rFonts w:cs="Book Antiqua"/>
        </w:rPr>
        <w:t xml:space="preserve">non financial assets used in providing goods and services; </w:t>
      </w:r>
    </w:p>
    <w:p w:rsidR="00707E86" w:rsidRDefault="00707E86" w:rsidP="00707E86">
      <w:pPr>
        <w:numPr>
          <w:ilvl w:val="0"/>
          <w:numId w:val="27"/>
        </w:numPr>
        <w:autoSpaceDE w:val="0"/>
        <w:autoSpaceDN w:val="0"/>
        <w:adjustRightInd w:val="0"/>
        <w:ind w:left="283" w:hanging="283"/>
        <w:jc w:val="left"/>
        <w:rPr>
          <w:rFonts w:cs="Book Antiqua"/>
        </w:rPr>
      </w:pPr>
      <w:r>
        <w:rPr>
          <w:rFonts w:cs="Book Antiqua"/>
        </w:rPr>
        <w:t>liabilities for employee entitlements;</w:t>
      </w:r>
    </w:p>
    <w:p w:rsidR="00707E86" w:rsidRDefault="00707E86" w:rsidP="00707E86">
      <w:pPr>
        <w:numPr>
          <w:ilvl w:val="0"/>
          <w:numId w:val="27"/>
        </w:numPr>
        <w:autoSpaceDE w:val="0"/>
        <w:autoSpaceDN w:val="0"/>
        <w:adjustRightInd w:val="0"/>
        <w:ind w:left="283" w:hanging="283"/>
        <w:jc w:val="left"/>
        <w:rPr>
          <w:rFonts w:cs="Book Antiqua"/>
        </w:rPr>
      </w:pPr>
      <w:r>
        <w:rPr>
          <w:rFonts w:cs="Book Antiqua"/>
        </w:rPr>
        <w:t>revenue from appropriations or independent sources in payment for outputs; and</w:t>
      </w:r>
    </w:p>
    <w:p w:rsidR="00707E86" w:rsidRDefault="00707E86" w:rsidP="00707E86">
      <w:pPr>
        <w:numPr>
          <w:ilvl w:val="0"/>
          <w:numId w:val="27"/>
        </w:numPr>
        <w:autoSpaceDE w:val="0"/>
        <w:autoSpaceDN w:val="0"/>
        <w:adjustRightInd w:val="0"/>
        <w:ind w:left="283" w:hanging="283"/>
        <w:jc w:val="left"/>
        <w:rPr>
          <w:rFonts w:cs="Book Antiqua"/>
        </w:rPr>
      </w:pPr>
      <w:r>
        <w:rPr>
          <w:rFonts w:cs="Book Antiqua"/>
        </w:rPr>
        <w:t>employee, supplier and depreciation expenses incurred in providing departmental outputs.</w:t>
      </w:r>
    </w:p>
    <w:p w:rsidR="00340FD7" w:rsidRPr="00707E86" w:rsidRDefault="00707E86" w:rsidP="00707E86">
      <w:pPr>
        <w:autoSpaceDE w:val="0"/>
        <w:autoSpaceDN w:val="0"/>
        <w:adjustRightInd w:val="0"/>
        <w:rPr>
          <w:rFonts w:cs="Book Antiqua"/>
        </w:rPr>
      </w:pPr>
      <w:r>
        <w:rPr>
          <w:rFonts w:cs="Book Antiqua"/>
        </w:rPr>
        <w:t xml:space="preserve">Administered items are those items controlled by the Government and managed, or oversighted, by the Department on behalf of the Government. </w:t>
      </w:r>
    </w:p>
    <w:p w:rsidR="00340FD7" w:rsidRDefault="00340FD7" w:rsidP="003A3E20">
      <w:pPr>
        <w:sectPr w:rsidR="00340FD7" w:rsidSect="00715386">
          <w:headerReference w:type="even" r:id="rId51"/>
          <w:headerReference w:type="default" r:id="rId52"/>
          <w:headerReference w:type="first" r:id="rId53"/>
          <w:footerReference w:type="first" r:id="rId54"/>
          <w:pgSz w:w="11906" w:h="16838" w:code="9"/>
          <w:pgMar w:top="2466" w:right="2098" w:bottom="2466" w:left="2098" w:header="1899" w:footer="1899" w:gutter="0"/>
          <w:cols w:space="708"/>
          <w:titlePg/>
          <w:docGrid w:linePitch="360"/>
        </w:sectPr>
      </w:pPr>
    </w:p>
    <w:p w:rsidR="00340FD7" w:rsidRDefault="00340FD7" w:rsidP="00D05FB9">
      <w:pPr>
        <w:pStyle w:val="Heading1"/>
      </w:pPr>
      <w:bookmarkStart w:id="48" w:name="_Toc190766151"/>
      <w:bookmarkStart w:id="49" w:name="_Ref291676974"/>
      <w:r>
        <w:t>Portfolio glossary</w:t>
      </w:r>
      <w:bookmarkEnd w:id="48"/>
      <w:bookmarkEnd w:id="49"/>
    </w:p>
    <w:tbl>
      <w:tblPr>
        <w:tblW w:w="5000" w:type="pct"/>
        <w:tblLook w:val="01E0" w:firstRow="1" w:lastRow="1" w:firstColumn="1" w:lastColumn="1" w:noHBand="0" w:noVBand="0"/>
      </w:tblPr>
      <w:tblGrid>
        <w:gridCol w:w="2052"/>
        <w:gridCol w:w="5658"/>
      </w:tblGrid>
      <w:tr w:rsidR="00D05FB9" w:rsidTr="007B4C1D">
        <w:tc>
          <w:tcPr>
            <w:tcW w:w="1331" w:type="pct"/>
          </w:tcPr>
          <w:p w:rsidR="00D05FB9" w:rsidRPr="001773D0" w:rsidRDefault="00D05FB9" w:rsidP="00A34EBD">
            <w:pPr>
              <w:rPr>
                <w:b/>
              </w:rPr>
            </w:pPr>
            <w:r w:rsidRPr="001773D0">
              <w:rPr>
                <w:b/>
              </w:rPr>
              <w:t>Term</w:t>
            </w:r>
          </w:p>
        </w:tc>
        <w:tc>
          <w:tcPr>
            <w:tcW w:w="3669" w:type="pct"/>
          </w:tcPr>
          <w:p w:rsidR="00D05FB9" w:rsidRPr="001773D0" w:rsidRDefault="00D05FB9" w:rsidP="00A34EBD">
            <w:pPr>
              <w:rPr>
                <w:b/>
              </w:rPr>
            </w:pPr>
            <w:r w:rsidRPr="001773D0">
              <w:rPr>
                <w:b/>
              </w:rPr>
              <w:t>Meaning</w:t>
            </w:r>
          </w:p>
        </w:tc>
      </w:tr>
      <w:tr w:rsidR="00D05FB9" w:rsidTr="007B4C1D">
        <w:tc>
          <w:tcPr>
            <w:tcW w:w="1331" w:type="pct"/>
          </w:tcPr>
          <w:p w:rsidR="00D05FB9" w:rsidRPr="00BC2F5C" w:rsidRDefault="00D05FB9" w:rsidP="00A34EBD">
            <w:r w:rsidRPr="00074662">
              <w:t>Activities</w:t>
            </w:r>
          </w:p>
        </w:tc>
        <w:tc>
          <w:tcPr>
            <w:tcW w:w="3669" w:type="pct"/>
          </w:tcPr>
          <w:p w:rsidR="00D05FB9" w:rsidRDefault="00D05FB9" w:rsidP="00A34EBD">
            <w:r w:rsidRPr="00074662">
              <w:t>The actions/functions performed by agencies to deliver government policies.</w:t>
            </w:r>
          </w:p>
        </w:tc>
      </w:tr>
      <w:tr w:rsidR="00D05FB9" w:rsidTr="001D74EC">
        <w:tc>
          <w:tcPr>
            <w:tcW w:w="1331" w:type="pct"/>
          </w:tcPr>
          <w:p w:rsidR="00D05FB9" w:rsidRDefault="001D74EC" w:rsidP="001D74EC">
            <w:pPr>
              <w:jc w:val="left"/>
            </w:pPr>
            <w:r>
              <w:t xml:space="preserve">Actual </w:t>
            </w:r>
            <w:r w:rsidR="00D05FB9">
              <w:t>Available Appropriation</w:t>
            </w:r>
          </w:p>
        </w:tc>
        <w:tc>
          <w:tcPr>
            <w:tcW w:w="3669" w:type="pct"/>
          </w:tcPr>
          <w:p w:rsidR="00D05FB9" w:rsidRDefault="00D7319C" w:rsidP="00D7319C">
            <w:r>
              <w:t xml:space="preserve">The Actual </w:t>
            </w:r>
            <w:r>
              <w:rPr>
                <w:i/>
                <w:iCs/>
              </w:rPr>
              <w:t xml:space="preserve">Available Appropriation </w:t>
            </w:r>
            <w:r>
              <w:t>indicates the total appropriations available to the agency for 2010-11 as at the 2011-12 Budget. It includes all appropriations made available to the agency in the year (+/- section 32 transfers, formal reductions, Advance to the Finance Minister and movements of funds). It is to be the same as the comparator figure included in the Appropriation Bills, and as such provides a comparison with the appropriation proposed for the budget year.</w:t>
            </w:r>
          </w:p>
        </w:tc>
      </w:tr>
      <w:tr w:rsidR="00D05FB9" w:rsidTr="007B4C1D">
        <w:tc>
          <w:tcPr>
            <w:tcW w:w="1331" w:type="pct"/>
          </w:tcPr>
          <w:p w:rsidR="00D05FB9" w:rsidRDefault="00D05FB9" w:rsidP="00A34EBD">
            <w:r w:rsidRPr="00074662">
              <w:t>Administered Item</w:t>
            </w:r>
          </w:p>
        </w:tc>
        <w:tc>
          <w:tcPr>
            <w:tcW w:w="3669" w:type="pct"/>
          </w:tcPr>
          <w:p w:rsidR="00D05FB9" w:rsidRDefault="00D05FB9" w:rsidP="00A34EBD">
            <w:r w:rsidRPr="00074662">
              <w:t>Appropriation that consists of funding managed on behalf of the Commonwealth.</w:t>
            </w:r>
            <w:r>
              <w:t xml:space="preserve"> </w:t>
            </w:r>
            <w:r w:rsidRPr="00074662">
              <w:t>This funding is not at the discretion of the agency and any unspent appropriation is returned to the C</w:t>
            </w:r>
            <w:r w:rsidR="00153CB1">
              <w:t xml:space="preserve">onsolidated </w:t>
            </w:r>
            <w:r w:rsidRPr="00074662">
              <w:t>R</w:t>
            </w:r>
            <w:r w:rsidR="00153CB1">
              <w:t xml:space="preserve">evenue </w:t>
            </w:r>
            <w:r w:rsidRPr="00074662">
              <w:t>F</w:t>
            </w:r>
            <w:r w:rsidR="00153CB1">
              <w:t>und</w:t>
            </w:r>
            <w:r w:rsidRPr="00074662">
              <w:t xml:space="preserve"> at the end of the financial year. An administered item is </w:t>
            </w:r>
            <w:r w:rsidR="00153CB1">
              <w:t>a</w:t>
            </w:r>
            <w:r w:rsidRPr="00074662">
              <w:t xml:space="preserve"> component of an administered program. It may be a measure but will not</w:t>
            </w:r>
            <w:r>
              <w:t xml:space="preserve"> </w:t>
            </w:r>
            <w:r w:rsidRPr="00074662">
              <w:t>constitute a program in its own right</w:t>
            </w:r>
            <w:r>
              <w:t>.</w:t>
            </w:r>
          </w:p>
        </w:tc>
      </w:tr>
      <w:tr w:rsidR="00D05FB9" w:rsidTr="007B4C1D">
        <w:tc>
          <w:tcPr>
            <w:tcW w:w="1331" w:type="pct"/>
          </w:tcPr>
          <w:p w:rsidR="00D05FB9" w:rsidRDefault="00D05FB9" w:rsidP="00A34EBD">
            <w:r w:rsidRPr="00074662">
              <w:t>Agency</w:t>
            </w:r>
          </w:p>
        </w:tc>
        <w:tc>
          <w:tcPr>
            <w:tcW w:w="3669" w:type="pct"/>
          </w:tcPr>
          <w:p w:rsidR="00D05FB9" w:rsidRDefault="00D05FB9" w:rsidP="00A34EBD">
            <w:r w:rsidRPr="00074662">
              <w:t>Generic term for Australian Government General Government Sector entities,</w:t>
            </w:r>
            <w:r>
              <w:t xml:space="preserve"> </w:t>
            </w:r>
            <w:r w:rsidRPr="00074662">
              <w:t xml:space="preserve">including those governed by the </w:t>
            </w:r>
            <w:r w:rsidRPr="006D2FCC">
              <w:rPr>
                <w:i/>
              </w:rPr>
              <w:t>F</w:t>
            </w:r>
            <w:r w:rsidR="00153CB1">
              <w:rPr>
                <w:i/>
              </w:rPr>
              <w:t xml:space="preserve">inancial </w:t>
            </w:r>
            <w:r w:rsidRPr="006D2FCC">
              <w:rPr>
                <w:i/>
              </w:rPr>
              <w:t>M</w:t>
            </w:r>
            <w:r w:rsidR="00153CB1">
              <w:rPr>
                <w:i/>
              </w:rPr>
              <w:t xml:space="preserve">anagement and </w:t>
            </w:r>
            <w:r w:rsidRPr="006D2FCC">
              <w:rPr>
                <w:i/>
              </w:rPr>
              <w:t>A</w:t>
            </w:r>
            <w:r w:rsidR="00153CB1">
              <w:rPr>
                <w:i/>
              </w:rPr>
              <w:t>ccountability</w:t>
            </w:r>
            <w:r w:rsidRPr="006D2FCC">
              <w:rPr>
                <w:i/>
              </w:rPr>
              <w:t xml:space="preserve"> Act</w:t>
            </w:r>
            <w:r w:rsidR="00153CB1">
              <w:rPr>
                <w:i/>
              </w:rPr>
              <w:t xml:space="preserve"> 1997</w:t>
            </w:r>
            <w:r w:rsidRPr="00074662">
              <w:t>.</w:t>
            </w:r>
          </w:p>
        </w:tc>
      </w:tr>
      <w:tr w:rsidR="00D05FB9" w:rsidTr="007B4C1D">
        <w:tc>
          <w:tcPr>
            <w:tcW w:w="1331" w:type="pct"/>
          </w:tcPr>
          <w:p w:rsidR="00D05FB9" w:rsidRDefault="00D05FB9" w:rsidP="00A34EBD">
            <w:r w:rsidRPr="00074662">
              <w:t>Appropriation</w:t>
            </w:r>
          </w:p>
        </w:tc>
        <w:tc>
          <w:tcPr>
            <w:tcW w:w="3669" w:type="pct"/>
          </w:tcPr>
          <w:p w:rsidR="00D05FB9" w:rsidRDefault="00D05FB9" w:rsidP="00A34EBD">
            <w:r w:rsidRPr="00074662">
              <w:t>An amount of public money parliament authorises for spending (i.e. funds to be</w:t>
            </w:r>
            <w:r>
              <w:t xml:space="preserve"> </w:t>
            </w:r>
            <w:r w:rsidRPr="00074662">
              <w:t>withdrawn from the Consolidated Revenue Fund). Parliament makes laws for</w:t>
            </w:r>
            <w:r>
              <w:t xml:space="preserve"> </w:t>
            </w:r>
            <w:r w:rsidRPr="00074662">
              <w:t>appropriating money under the Annual Appropriation Acts and under Special</w:t>
            </w:r>
            <w:r>
              <w:t xml:space="preserve"> </w:t>
            </w:r>
            <w:r w:rsidRPr="00074662">
              <w:t>Appropriations, with spending restricted to the purposes specified in the</w:t>
            </w:r>
            <w:r>
              <w:t xml:space="preserve"> </w:t>
            </w:r>
            <w:r w:rsidRPr="00074662">
              <w:t>Appropriation Acts.</w:t>
            </w:r>
          </w:p>
        </w:tc>
      </w:tr>
      <w:tr w:rsidR="00D05FB9" w:rsidTr="007B4C1D">
        <w:tc>
          <w:tcPr>
            <w:tcW w:w="1331" w:type="pct"/>
          </w:tcPr>
          <w:p w:rsidR="00D05FB9" w:rsidRDefault="00D05FB9" w:rsidP="00A34EBD">
            <w:pPr>
              <w:jc w:val="left"/>
            </w:pPr>
            <w:r w:rsidRPr="00074662">
              <w:t>Appropriations</w:t>
            </w:r>
            <w:r>
              <w:t xml:space="preserve"> </w:t>
            </w:r>
            <w:r w:rsidRPr="00074662">
              <w:t>and Cash Management Module (ACM)</w:t>
            </w:r>
          </w:p>
        </w:tc>
        <w:tc>
          <w:tcPr>
            <w:tcW w:w="3669" w:type="pct"/>
          </w:tcPr>
          <w:p w:rsidR="00D05FB9" w:rsidRDefault="00D05FB9" w:rsidP="00A34EBD">
            <w:r w:rsidRPr="00074662">
              <w:t xml:space="preserve">A module of the Central </w:t>
            </w:r>
            <w:smartTag w:uri="urn:schemas-microsoft-com:office:smarttags" w:element="PersonName">
              <w:r w:rsidRPr="00074662">
                <w:t>Budget</w:t>
              </w:r>
            </w:smartTag>
            <w:r w:rsidRPr="00074662">
              <w:t xml:space="preserve"> Management System from which agencies draw</w:t>
            </w:r>
            <w:r>
              <w:t xml:space="preserve"> </w:t>
            </w:r>
            <w:r w:rsidRPr="00074662">
              <w:t>down funds from the Consolidated Revenue Fund.</w:t>
            </w:r>
          </w:p>
        </w:tc>
      </w:tr>
      <w:tr w:rsidR="00D05FB9" w:rsidTr="007B4C1D">
        <w:tc>
          <w:tcPr>
            <w:tcW w:w="1331" w:type="pct"/>
          </w:tcPr>
          <w:p w:rsidR="00D05FB9" w:rsidRDefault="00D05FB9" w:rsidP="00A34EBD">
            <w:smartTag w:uri="urn:schemas-microsoft-com:office:smarttags" w:element="PersonName">
              <w:r w:rsidRPr="008B36DE">
                <w:t>Budget</w:t>
              </w:r>
            </w:smartTag>
            <w:r w:rsidRPr="008B36DE">
              <w:t xml:space="preserve"> Paper 1 (BP1)</w:t>
            </w:r>
          </w:p>
        </w:tc>
        <w:tc>
          <w:tcPr>
            <w:tcW w:w="3669" w:type="pct"/>
          </w:tcPr>
          <w:p w:rsidR="00D05FB9" w:rsidRDefault="00D05FB9" w:rsidP="00A34EBD">
            <w:smartTag w:uri="urn:schemas-microsoft-com:office:smarttags" w:element="PersonName">
              <w:r w:rsidRPr="008B36DE">
                <w:t>Budget</w:t>
              </w:r>
            </w:smartTag>
            <w:r w:rsidRPr="008B36DE">
              <w:t xml:space="preserve"> Strategy and Outlook. Provides information and analysis on whole of</w:t>
            </w:r>
            <w:r>
              <w:t xml:space="preserve"> </w:t>
            </w:r>
            <w:r w:rsidRPr="008B36DE">
              <w:t>government expenditure and revenue.</w:t>
            </w:r>
          </w:p>
        </w:tc>
      </w:tr>
      <w:tr w:rsidR="00D05FB9" w:rsidTr="007B4C1D">
        <w:tc>
          <w:tcPr>
            <w:tcW w:w="1331" w:type="pct"/>
          </w:tcPr>
          <w:p w:rsidR="00D05FB9" w:rsidRDefault="00D05FB9" w:rsidP="00A34EBD">
            <w:smartTag w:uri="urn:schemas-microsoft-com:office:smarttags" w:element="PersonName">
              <w:r w:rsidRPr="008B36DE">
                <w:t>Budget</w:t>
              </w:r>
            </w:smartTag>
            <w:r w:rsidRPr="008B36DE">
              <w:t xml:space="preserve"> Paper 2 (BP2)</w:t>
            </w:r>
          </w:p>
        </w:tc>
        <w:tc>
          <w:tcPr>
            <w:tcW w:w="3669" w:type="pct"/>
          </w:tcPr>
          <w:p w:rsidR="00D05FB9" w:rsidRDefault="00D05FB9" w:rsidP="00A34EBD">
            <w:smartTag w:uri="urn:schemas-microsoft-com:office:smarttags" w:element="PersonName">
              <w:r w:rsidRPr="008B36DE">
                <w:t>Budget</w:t>
              </w:r>
            </w:smartTag>
            <w:r w:rsidRPr="008B36DE">
              <w:t xml:space="preserve"> Measures. Provides a description of each budget measure by portfolio</w:t>
            </w:r>
            <w:r w:rsidR="00B36F7C">
              <w:t>.</w:t>
            </w:r>
          </w:p>
        </w:tc>
      </w:tr>
    </w:tbl>
    <w:p w:rsidR="007B4C1D" w:rsidRDefault="007B4C1D"/>
    <w:tbl>
      <w:tblPr>
        <w:tblW w:w="5000" w:type="pct"/>
        <w:tblLook w:val="01E0" w:firstRow="1" w:lastRow="1" w:firstColumn="1" w:lastColumn="1" w:noHBand="0" w:noVBand="0"/>
      </w:tblPr>
      <w:tblGrid>
        <w:gridCol w:w="2052"/>
        <w:gridCol w:w="5658"/>
      </w:tblGrid>
      <w:tr w:rsidR="00D05FB9" w:rsidTr="007B4C1D">
        <w:tc>
          <w:tcPr>
            <w:tcW w:w="1331" w:type="pct"/>
          </w:tcPr>
          <w:p w:rsidR="00D05FB9" w:rsidRDefault="00D05FB9" w:rsidP="00A34EBD">
            <w:smartTag w:uri="urn:schemas-microsoft-com:office:smarttags" w:element="PersonName">
              <w:r w:rsidRPr="008B36DE">
                <w:t>Budget</w:t>
              </w:r>
            </w:smartTag>
            <w:r w:rsidRPr="008B36DE">
              <w:t xml:space="preserve"> Paper 3 (BP3)</w:t>
            </w:r>
          </w:p>
        </w:tc>
        <w:tc>
          <w:tcPr>
            <w:tcW w:w="3669" w:type="pct"/>
          </w:tcPr>
          <w:p w:rsidR="00D05FB9" w:rsidRDefault="00D05FB9" w:rsidP="00A34EBD">
            <w:smartTag w:uri="urn:schemas-microsoft-com:office:smarttags" w:element="place">
              <w:smartTag w:uri="urn:schemas-microsoft-com:office:smarttags" w:element="country-region">
                <w:r w:rsidRPr="008B36DE">
                  <w:t>Australia</w:t>
                </w:r>
              </w:smartTag>
            </w:smartTag>
            <w:r w:rsidRPr="008B36DE">
              <w:t>’s Federal Relations. Provides information and analysis on Federal funding provided to the States and Territories.</w:t>
            </w:r>
          </w:p>
        </w:tc>
      </w:tr>
      <w:tr w:rsidR="00D05FB9" w:rsidTr="007B4C1D">
        <w:tc>
          <w:tcPr>
            <w:tcW w:w="1331" w:type="pct"/>
          </w:tcPr>
          <w:p w:rsidR="00D05FB9" w:rsidRDefault="00D05FB9" w:rsidP="00A34EBD">
            <w:smartTag w:uri="urn:schemas-microsoft-com:office:smarttags" w:element="PersonName">
              <w:r w:rsidRPr="008B36DE">
                <w:t>Budget</w:t>
              </w:r>
            </w:smartTag>
            <w:r w:rsidRPr="008B36DE">
              <w:t xml:space="preserve"> Paper 4 (BP4)</w:t>
            </w:r>
          </w:p>
        </w:tc>
        <w:tc>
          <w:tcPr>
            <w:tcW w:w="3669" w:type="pct"/>
          </w:tcPr>
          <w:p w:rsidR="00D05FB9" w:rsidRDefault="00D05FB9" w:rsidP="00A34EBD">
            <w:r w:rsidRPr="008B36DE">
              <w:t>Agency Resourcing. Details total resourcing available to agencies.</w:t>
            </w:r>
          </w:p>
        </w:tc>
      </w:tr>
      <w:tr w:rsidR="00D05FB9" w:rsidTr="007B4C1D">
        <w:tc>
          <w:tcPr>
            <w:tcW w:w="1331" w:type="pct"/>
          </w:tcPr>
          <w:p w:rsidR="00D05FB9" w:rsidRDefault="00D05FB9" w:rsidP="00A34EBD">
            <w:pPr>
              <w:jc w:val="left"/>
            </w:pPr>
            <w:r w:rsidRPr="008B36DE">
              <w:t xml:space="preserve">Central </w:t>
            </w:r>
            <w:smartTag w:uri="urn:schemas-microsoft-com:office:smarttags" w:element="PersonName">
              <w:r w:rsidRPr="008B36DE">
                <w:t>Budget</w:t>
              </w:r>
            </w:smartTag>
            <w:r w:rsidRPr="008B36DE">
              <w:t xml:space="preserve"> Management System (CBMS)</w:t>
            </w:r>
          </w:p>
        </w:tc>
        <w:tc>
          <w:tcPr>
            <w:tcW w:w="3669" w:type="pct"/>
          </w:tcPr>
          <w:p w:rsidR="00D05FB9" w:rsidRDefault="00D05FB9" w:rsidP="00A34EBD">
            <w:r w:rsidRPr="008B36DE">
              <w:t>CBMS is the Australian Government’s central budget and financial management</w:t>
            </w:r>
            <w:r>
              <w:t xml:space="preserve"> </w:t>
            </w:r>
            <w:r w:rsidRPr="008B36DE">
              <w:t>information system administered by the Department of Finance and Deregulation. It contains the Commonwealth program list and produces the Annual Appropriation Bills.</w:t>
            </w:r>
          </w:p>
        </w:tc>
      </w:tr>
      <w:tr w:rsidR="00D05FB9" w:rsidTr="007B4C1D">
        <w:tc>
          <w:tcPr>
            <w:tcW w:w="1331" w:type="pct"/>
          </w:tcPr>
          <w:p w:rsidR="00D05FB9" w:rsidRDefault="00D05FB9" w:rsidP="00A34EBD">
            <w:r w:rsidRPr="008B36DE">
              <w:t>Clear Read Principle</w:t>
            </w:r>
          </w:p>
        </w:tc>
        <w:tc>
          <w:tcPr>
            <w:tcW w:w="3669" w:type="pct"/>
          </w:tcPr>
          <w:p w:rsidR="00D05FB9" w:rsidRDefault="00D05FB9" w:rsidP="00A34EBD">
            <w:r w:rsidRPr="008B36DE">
              <w:t>Under the Outcomes arrangements there is an essential clear link between the</w:t>
            </w:r>
            <w:r>
              <w:t xml:space="preserve"> </w:t>
            </w:r>
            <w:r w:rsidRPr="008B36DE">
              <w:t>Appropriation Bills, the PB Statements, the Portfolio Additional Estimates</w:t>
            </w:r>
            <w:r>
              <w:t xml:space="preserve"> </w:t>
            </w:r>
            <w:r w:rsidRPr="008B36DE">
              <w:t>Statements (PAES), and annual reports of agencies. Information should be</w:t>
            </w:r>
            <w:r>
              <w:t xml:space="preserve"> </w:t>
            </w:r>
            <w:r w:rsidRPr="008B36DE">
              <w:t>consistent across these and other budget documents, and where possible,</w:t>
            </w:r>
            <w:r>
              <w:t xml:space="preserve"> </w:t>
            </w:r>
            <w:r w:rsidRPr="008B36DE">
              <w:t>duplication of reporting within the PB Statements should be avoided. This is called the “clear read” between the different documents.</w:t>
            </w:r>
            <w:r>
              <w:t xml:space="preserve"> </w:t>
            </w:r>
            <w:r w:rsidRPr="008B36DE">
              <w:t>Under this Principle the planned performance in PB Statements is to be provided on the same basis as actual performance in the annual reports covering the same period, to permit a clear read across planning and actual performance reporting documents. Agencies should take this into account in designing their performance reporting arrangements.</w:t>
            </w:r>
          </w:p>
        </w:tc>
      </w:tr>
      <w:tr w:rsidR="00D05FB9" w:rsidTr="007B4C1D">
        <w:tc>
          <w:tcPr>
            <w:tcW w:w="1331" w:type="pct"/>
          </w:tcPr>
          <w:p w:rsidR="00D05FB9" w:rsidRDefault="00D05FB9" w:rsidP="00A34EBD">
            <w:pPr>
              <w:jc w:val="left"/>
            </w:pPr>
            <w:r w:rsidRPr="008B36DE">
              <w:t>Consolidated Revenue Fund (CRF)</w:t>
            </w:r>
          </w:p>
        </w:tc>
        <w:tc>
          <w:tcPr>
            <w:tcW w:w="3669" w:type="pct"/>
          </w:tcPr>
          <w:p w:rsidR="00D05FB9" w:rsidRDefault="00D05FB9" w:rsidP="00A34EBD">
            <w:r w:rsidRPr="008B36DE">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w:t>
            </w:r>
            <w:r w:rsidR="00153CB1">
              <w:t>s</w:t>
            </w:r>
            <w:r w:rsidRPr="008B36DE">
              <w:t xml:space="preserve"> of the Australian Government.</w:t>
            </w:r>
          </w:p>
        </w:tc>
      </w:tr>
      <w:tr w:rsidR="00D05FB9" w:rsidTr="007B4C1D">
        <w:tc>
          <w:tcPr>
            <w:tcW w:w="1331" w:type="pct"/>
          </w:tcPr>
          <w:p w:rsidR="00D05FB9" w:rsidRDefault="00D05FB9" w:rsidP="00A34EBD">
            <w:r w:rsidRPr="008B36DE">
              <w:t>Departmental Item</w:t>
            </w:r>
          </w:p>
        </w:tc>
        <w:tc>
          <w:tcPr>
            <w:tcW w:w="3669" w:type="pct"/>
          </w:tcPr>
          <w:p w:rsidR="00D05FB9" w:rsidRDefault="00D05FB9" w:rsidP="00A34EBD">
            <w:r w:rsidRPr="008B36DE">
              <w:t>Resources (assets, liabilities, revenues and expenses) that agency Chief Executive Officers control directly. This includes outsourced activities funded and controlled by the agency. Examples of departmental items include agency running costs, accrued employee entitlements and net appropriations. A departmental item is a component of a departmental program.</w:t>
            </w:r>
          </w:p>
        </w:tc>
      </w:tr>
    </w:tbl>
    <w:p w:rsidR="007B4C1D" w:rsidRDefault="007B4C1D"/>
    <w:p w:rsidR="007B4C1D" w:rsidRDefault="007B4C1D"/>
    <w:p w:rsidR="007B4C1D" w:rsidRDefault="007B4C1D"/>
    <w:tbl>
      <w:tblPr>
        <w:tblW w:w="5000" w:type="pct"/>
        <w:tblLook w:val="01E0" w:firstRow="1" w:lastRow="1" w:firstColumn="1" w:lastColumn="1" w:noHBand="0" w:noVBand="0"/>
      </w:tblPr>
      <w:tblGrid>
        <w:gridCol w:w="2052"/>
        <w:gridCol w:w="5658"/>
      </w:tblGrid>
      <w:tr w:rsidR="00D05FB9" w:rsidTr="001D74EC">
        <w:tc>
          <w:tcPr>
            <w:tcW w:w="1331" w:type="pct"/>
          </w:tcPr>
          <w:p w:rsidR="00D05FB9" w:rsidRDefault="00D05FB9" w:rsidP="001D74EC">
            <w:pPr>
              <w:jc w:val="left"/>
            </w:pPr>
            <w:r w:rsidRPr="008B36DE">
              <w:t>Estimated Actual Expenses</w:t>
            </w:r>
          </w:p>
        </w:tc>
        <w:tc>
          <w:tcPr>
            <w:tcW w:w="3669" w:type="pct"/>
          </w:tcPr>
          <w:p w:rsidR="00D05FB9" w:rsidRDefault="00D05FB9" w:rsidP="00A34EBD">
            <w:r w:rsidRPr="008B36DE">
              <w:t xml:space="preserve">Details of the current year’s estimated final figures as included in the </w:t>
            </w:r>
            <w:smartTag w:uri="urn:schemas-microsoft-com:office:smarttags" w:element="PersonName">
              <w:r w:rsidRPr="008B36DE">
                <w:t>Budget</w:t>
              </w:r>
            </w:smartTag>
            <w:r>
              <w:t xml:space="preserve"> </w:t>
            </w:r>
            <w:r w:rsidRPr="008B36DE">
              <w:t xml:space="preserve">documentation. As the </w:t>
            </w:r>
            <w:smartTag w:uri="urn:schemas-microsoft-com:office:smarttags" w:element="PersonName">
              <w:r w:rsidRPr="008B36DE">
                <w:t>Budget</w:t>
              </w:r>
            </w:smartTag>
            <w:r w:rsidRPr="008B36DE">
              <w:t xml:space="preserve"> is released in May each year, but the financial year does not close off until 30</w:t>
            </w:r>
            <w:r w:rsidR="00153CB1">
              <w:t> J</w:t>
            </w:r>
            <w:r w:rsidRPr="008B36DE">
              <w:t>une, the current year numbers that are used for</w:t>
            </w:r>
            <w:r>
              <w:t xml:space="preserve"> </w:t>
            </w:r>
            <w:r w:rsidRPr="008B36DE">
              <w:t xml:space="preserve">comparison with </w:t>
            </w:r>
            <w:smartTag w:uri="urn:schemas-microsoft-com:office:smarttags" w:element="PersonName">
              <w:r w:rsidRPr="008B36DE">
                <w:t>Budget</w:t>
              </w:r>
            </w:smartTag>
            <w:r w:rsidRPr="008B36DE">
              <w:t xml:space="preserve"> amounts can only be estimates.</w:t>
            </w:r>
          </w:p>
        </w:tc>
      </w:tr>
      <w:tr w:rsidR="00D05FB9" w:rsidTr="007B4C1D">
        <w:tc>
          <w:tcPr>
            <w:tcW w:w="1331" w:type="pct"/>
          </w:tcPr>
          <w:p w:rsidR="00D05FB9" w:rsidRDefault="00D05FB9" w:rsidP="00A34EBD">
            <w:pPr>
              <w:jc w:val="left"/>
            </w:pPr>
            <w:r w:rsidRPr="008B36DE">
              <w:t xml:space="preserve">Expenses not requiring appropriation in the </w:t>
            </w:r>
            <w:smartTag w:uri="urn:schemas-microsoft-com:office:smarttags" w:element="PersonName">
              <w:r w:rsidRPr="008B36DE">
                <w:t>Budget</w:t>
              </w:r>
            </w:smartTag>
            <w:r w:rsidRPr="008B36DE">
              <w:t xml:space="preserve"> year</w:t>
            </w:r>
          </w:p>
        </w:tc>
        <w:tc>
          <w:tcPr>
            <w:tcW w:w="3669" w:type="pct"/>
          </w:tcPr>
          <w:p w:rsidR="00D05FB9" w:rsidRDefault="00D05FB9" w:rsidP="00A34EBD">
            <w:r w:rsidRPr="008B36DE">
              <w:t>Expenses not involving a cash flow impact are not included within the calculation of an appropriation. An example of such an event is goods or services received free of charge that are then expensed: e.g. ANAO audit services — the ANAO does not charge for audit services however the expense must be recognised. Similarly, bad debts are recognised as an expense but are not recognised for the purpose of calculating appropriation amounts to be sought from Parliament.</w:t>
            </w:r>
          </w:p>
        </w:tc>
      </w:tr>
      <w:tr w:rsidR="00D05FB9" w:rsidRPr="007D62E6" w:rsidTr="001D74EC">
        <w:tc>
          <w:tcPr>
            <w:tcW w:w="1331" w:type="pct"/>
          </w:tcPr>
          <w:p w:rsidR="00D7319C" w:rsidRPr="008B36DE" w:rsidRDefault="00D7319C" w:rsidP="001D74EC">
            <w:pPr>
              <w:jc w:val="left"/>
            </w:pPr>
            <w:r>
              <w:t>Financial Management and Accountability Act 1997 (</w:t>
            </w:r>
            <w:r w:rsidRPr="006D2FCC">
              <w:rPr>
                <w:i/>
              </w:rPr>
              <w:t>FMA Act</w:t>
            </w:r>
            <w:r>
              <w:t>)</w:t>
            </w:r>
          </w:p>
        </w:tc>
        <w:tc>
          <w:tcPr>
            <w:tcW w:w="3669" w:type="pct"/>
          </w:tcPr>
          <w:p w:rsidR="00D05FB9" w:rsidRPr="007D62E6" w:rsidRDefault="00D7319C" w:rsidP="00D7319C">
            <w:r w:rsidRPr="00D7319C">
              <w:t xml:space="preserve">The </w:t>
            </w:r>
            <w:r w:rsidRPr="006D2FCC">
              <w:rPr>
                <w:i/>
              </w:rPr>
              <w:t>FMA Act</w:t>
            </w:r>
            <w:r w:rsidRPr="00D7319C">
              <w:t xml:space="preserve"> sets out the financial management, accountability and audit obligations of agencies (including Departments) that are financially part of the Commonwealth (and form part of the General Government Sector). A list of </w:t>
            </w:r>
            <w:r w:rsidRPr="006D2FCC">
              <w:rPr>
                <w:i/>
              </w:rPr>
              <w:t xml:space="preserve">FMA Act </w:t>
            </w:r>
            <w:r>
              <w:t xml:space="preserve">agencies can be found at: </w:t>
            </w:r>
            <w:r w:rsidRPr="00D7319C">
              <w:rPr>
                <w:u w:val="single"/>
              </w:rPr>
              <w:t>finance.gov.au/financial-framework/fma-legislation/docs/FMA-Agencies-List.pdf</w:t>
            </w:r>
          </w:p>
        </w:tc>
      </w:tr>
      <w:tr w:rsidR="00D05FB9" w:rsidTr="001D74EC">
        <w:tc>
          <w:tcPr>
            <w:tcW w:w="1331" w:type="pct"/>
          </w:tcPr>
          <w:p w:rsidR="00D05FB9" w:rsidRDefault="00D05FB9" w:rsidP="001D74EC">
            <w:pPr>
              <w:jc w:val="left"/>
            </w:pPr>
            <w:r w:rsidRPr="008B36DE">
              <w:t>Forward Estimates Period</w:t>
            </w:r>
          </w:p>
        </w:tc>
        <w:tc>
          <w:tcPr>
            <w:tcW w:w="3669" w:type="pct"/>
          </w:tcPr>
          <w:p w:rsidR="00D05FB9" w:rsidRDefault="00D7319C" w:rsidP="00D7319C">
            <w:r>
              <w:t>The three years following the budget year. For example if 2011</w:t>
            </w:r>
            <w:r w:rsidR="001A2E1D">
              <w:noBreakHyphen/>
            </w:r>
            <w:r>
              <w:t>12 is the budget year, 2012-13 is forward year 1, 2013-14 is forward year 2 and 2014-15 is forward year 3. This period does not include the current or budget year.</w:t>
            </w:r>
          </w:p>
        </w:tc>
      </w:tr>
      <w:tr w:rsidR="00D05FB9" w:rsidTr="007B4C1D">
        <w:trPr>
          <w:trHeight w:val="906"/>
        </w:trPr>
        <w:tc>
          <w:tcPr>
            <w:tcW w:w="1331" w:type="pct"/>
          </w:tcPr>
          <w:p w:rsidR="00D05FB9" w:rsidRDefault="00D05FB9" w:rsidP="00A34EBD">
            <w:pPr>
              <w:jc w:val="left"/>
            </w:pPr>
            <w:r w:rsidRPr="008B36DE">
              <w:t>General Government Sector (GGS)</w:t>
            </w:r>
          </w:p>
        </w:tc>
        <w:tc>
          <w:tcPr>
            <w:tcW w:w="3669" w:type="pct"/>
          </w:tcPr>
          <w:p w:rsidR="00D05FB9" w:rsidRDefault="00D05FB9" w:rsidP="00A34EBD">
            <w:r w:rsidRPr="008B36DE">
              <w:t>A Government Finance Statistics’ classification of all entities that are controlled and largely funded by the Commonwealth Government. The GGS provides public</w:t>
            </w:r>
            <w:r>
              <w:t xml:space="preserve"> </w:t>
            </w:r>
            <w:r w:rsidRPr="008B36DE">
              <w:t>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w:t>
            </w:r>
          </w:p>
        </w:tc>
      </w:tr>
      <w:tr w:rsidR="00D05FB9" w:rsidTr="007B4C1D">
        <w:tc>
          <w:tcPr>
            <w:tcW w:w="1331" w:type="pct"/>
          </w:tcPr>
          <w:p w:rsidR="00D05FB9" w:rsidRDefault="00D05FB9" w:rsidP="00A34EBD">
            <w:r w:rsidRPr="008B36DE">
              <w:t>Intended Result</w:t>
            </w:r>
          </w:p>
        </w:tc>
        <w:tc>
          <w:tcPr>
            <w:tcW w:w="3669" w:type="pct"/>
          </w:tcPr>
          <w:p w:rsidR="00D05FB9" w:rsidRDefault="00D05FB9" w:rsidP="00A34EBD">
            <w:r w:rsidRPr="008B36DE">
              <w:t>Intended result is a key part of an outcome statement and describes the goal or</w:t>
            </w:r>
            <w:r>
              <w:t xml:space="preserve"> </w:t>
            </w:r>
            <w:r w:rsidRPr="008B36DE">
              <w:t>objective of an agency. The intended result is typically distilled from the Government’s economic, social, health or environmental policy goals.</w:t>
            </w:r>
          </w:p>
        </w:tc>
      </w:tr>
    </w:tbl>
    <w:p w:rsidR="007B4C1D" w:rsidRDefault="007B4C1D"/>
    <w:p w:rsidR="007B4C1D" w:rsidRDefault="007B4C1D"/>
    <w:tbl>
      <w:tblPr>
        <w:tblW w:w="0" w:type="auto"/>
        <w:tblLook w:val="01E0" w:firstRow="1" w:lastRow="1" w:firstColumn="1" w:lastColumn="1" w:noHBand="0" w:noVBand="0"/>
      </w:tblPr>
      <w:tblGrid>
        <w:gridCol w:w="1963"/>
        <w:gridCol w:w="5747"/>
      </w:tblGrid>
      <w:tr w:rsidR="00D05FB9" w:rsidTr="007B4C1D">
        <w:tc>
          <w:tcPr>
            <w:tcW w:w="0" w:type="auto"/>
          </w:tcPr>
          <w:p w:rsidR="00D05FB9" w:rsidRDefault="00D05FB9" w:rsidP="00A34EBD">
            <w:r w:rsidRPr="008B36DE">
              <w:t>Measure</w:t>
            </w:r>
          </w:p>
        </w:tc>
        <w:tc>
          <w:tcPr>
            <w:tcW w:w="0" w:type="auto"/>
          </w:tcPr>
          <w:p w:rsidR="00D05FB9" w:rsidRDefault="00D05FB9" w:rsidP="00A34EBD">
            <w:r w:rsidRPr="008B36DE">
              <w:t>A new policy or savings decision of the government with financial impacts on the</w:t>
            </w:r>
            <w:r>
              <w:t xml:space="preserve"> </w:t>
            </w:r>
            <w:r w:rsidRPr="008B36DE">
              <w:t xml:space="preserve">government's: underlying cash balance; fiscal balance; operating balance; headline cash balance; net debt or net worth. Such proposals are normally made in the context of the annual </w:t>
            </w:r>
            <w:smartTag w:uri="urn:schemas-microsoft-com:office:smarttags" w:element="PersonName">
              <w:r w:rsidRPr="008B36DE">
                <w:t>Budget</w:t>
              </w:r>
            </w:smartTag>
            <w:r w:rsidRPr="008B36DE">
              <w:t xml:space="preserve">, and are typically published in </w:t>
            </w:r>
            <w:smartTag w:uri="urn:schemas-microsoft-com:office:smarttags" w:element="PersonName">
              <w:r w:rsidRPr="008B36DE">
                <w:t>Budget</w:t>
              </w:r>
            </w:smartTag>
            <w:r w:rsidRPr="008B36DE">
              <w:t xml:space="preserve"> Paper No. 2, in the Mid-Year Economic and Fiscal Outlook (MYEFO) and in the Pre-election Economic and Fiscal Outlook (PEFO).</w:t>
            </w:r>
          </w:p>
        </w:tc>
      </w:tr>
      <w:tr w:rsidR="00D05FB9" w:rsidTr="001D74EC">
        <w:tc>
          <w:tcPr>
            <w:tcW w:w="0" w:type="auto"/>
          </w:tcPr>
          <w:p w:rsidR="00D05FB9" w:rsidRDefault="00D05FB9" w:rsidP="001D74EC">
            <w:pPr>
              <w:jc w:val="left"/>
            </w:pPr>
            <w:r w:rsidRPr="008B36DE">
              <w:t>Official Public Account (OPA)</w:t>
            </w:r>
          </w:p>
        </w:tc>
        <w:tc>
          <w:tcPr>
            <w:tcW w:w="0" w:type="auto"/>
          </w:tcPr>
          <w:p w:rsidR="00D05FB9" w:rsidRDefault="00D05FB9" w:rsidP="00A34EBD">
            <w:r w:rsidRPr="008B36DE">
              <w:t xml:space="preserve">The OPA is the government’s central bank account held within the Reserve Bank of </w:t>
            </w:r>
            <w:smartTag w:uri="urn:schemas-microsoft-com:office:smarttags" w:element="place">
              <w:smartTag w:uri="urn:schemas-microsoft-com:office:smarttags" w:element="country-region">
                <w:r w:rsidRPr="008B36DE">
                  <w:t>Australia</w:t>
                </w:r>
              </w:smartTag>
            </w:smartTag>
            <w:r w:rsidRPr="008B36DE">
              <w:t>. The OPA reflects the operations of the Consolidated Revenue Fund.</w:t>
            </w:r>
          </w:p>
        </w:tc>
      </w:tr>
      <w:tr w:rsidR="00D05FB9" w:rsidTr="007B4C1D">
        <w:tc>
          <w:tcPr>
            <w:tcW w:w="0" w:type="auto"/>
          </w:tcPr>
          <w:p w:rsidR="00D05FB9" w:rsidRDefault="00D05FB9" w:rsidP="00A34EBD">
            <w:r w:rsidRPr="008B36DE">
              <w:t>Outcome</w:t>
            </w:r>
          </w:p>
        </w:tc>
        <w:tc>
          <w:tcPr>
            <w:tcW w:w="0" w:type="auto"/>
          </w:tcPr>
          <w:p w:rsidR="00D05FB9" w:rsidRDefault="00D05FB9" w:rsidP="00A34EBD">
            <w:r w:rsidRPr="008B36DE">
              <w:t>An outcome is the intended result, consequence or impact of Government actions on the Australian community.</w:t>
            </w:r>
          </w:p>
        </w:tc>
      </w:tr>
      <w:tr w:rsidR="00D05FB9" w:rsidTr="007B4C1D">
        <w:trPr>
          <w:trHeight w:val="2547"/>
        </w:trPr>
        <w:tc>
          <w:tcPr>
            <w:tcW w:w="0" w:type="auto"/>
          </w:tcPr>
          <w:p w:rsidR="00D05FB9" w:rsidRDefault="00D05FB9" w:rsidP="00A34EBD">
            <w:r w:rsidRPr="008B36DE">
              <w:t>Outcome Statement</w:t>
            </w:r>
          </w:p>
        </w:tc>
        <w:tc>
          <w:tcPr>
            <w:tcW w:w="0" w:type="auto"/>
          </w:tcPr>
          <w:p w:rsidR="00D05FB9" w:rsidRDefault="00D05FB9" w:rsidP="00A34EBD">
            <w:r w:rsidRPr="008B36DE">
              <w:t>An outcome statement articulates the intended results, activities and target group of an Australian Government agency. An outcome statement serves three main purposes within the financial framework:</w:t>
            </w:r>
            <w:r>
              <w:t xml:space="preserve"> </w:t>
            </w:r>
            <w:r w:rsidRPr="008B36DE">
              <w:t>1. to explain and control the purposes for which annual appropriations are</w:t>
            </w:r>
            <w:r>
              <w:t xml:space="preserve"> </w:t>
            </w:r>
            <w:r w:rsidRPr="008B36DE">
              <w:t>approved by the Parliament for use by agencies;</w:t>
            </w:r>
            <w:r>
              <w:t xml:space="preserve"> </w:t>
            </w:r>
            <w:r w:rsidRPr="008B36DE">
              <w:t>2. to provide a basis for annual budgeting, including (financial) reporting against</w:t>
            </w:r>
            <w:r>
              <w:t xml:space="preserve"> </w:t>
            </w:r>
            <w:r w:rsidRPr="008B36DE">
              <w:t>the use of appropriated funds; and</w:t>
            </w:r>
            <w:r>
              <w:t xml:space="preserve"> </w:t>
            </w:r>
            <w:r w:rsidRPr="008B36DE">
              <w:t>3. to measure and assess agency and program (non-financial) performance in</w:t>
            </w:r>
            <w:r>
              <w:t xml:space="preserve"> </w:t>
            </w:r>
            <w:r w:rsidRPr="008B36DE">
              <w:t>contributing to Government policy objectives.</w:t>
            </w:r>
          </w:p>
        </w:tc>
      </w:tr>
      <w:tr w:rsidR="00D05FB9" w:rsidTr="007B4C1D">
        <w:trPr>
          <w:trHeight w:val="1266"/>
        </w:trPr>
        <w:tc>
          <w:tcPr>
            <w:tcW w:w="0" w:type="auto"/>
          </w:tcPr>
          <w:p w:rsidR="00D05FB9" w:rsidRDefault="00D05FB9" w:rsidP="00A34EBD">
            <w:r w:rsidRPr="008B36DE">
              <w:t>Output</w:t>
            </w:r>
          </w:p>
        </w:tc>
        <w:tc>
          <w:tcPr>
            <w:tcW w:w="0" w:type="auto"/>
          </w:tcPr>
          <w:p w:rsidR="00D05FB9" w:rsidRDefault="00D05FB9" w:rsidP="00A34EBD">
            <w:r w:rsidRPr="008B36DE">
              <w:t>The goods and services produced by agencies on behalf of government for external organisations or individuals. Outputs include goods and services produced for other areas of government external to the agency.</w:t>
            </w:r>
          </w:p>
        </w:tc>
      </w:tr>
      <w:tr w:rsidR="00D05FB9" w:rsidTr="001D74EC">
        <w:tc>
          <w:tcPr>
            <w:tcW w:w="0" w:type="auto"/>
          </w:tcPr>
          <w:p w:rsidR="00D05FB9" w:rsidRDefault="00D05FB9" w:rsidP="001D74EC">
            <w:pPr>
              <w:jc w:val="left"/>
            </w:pPr>
            <w:r w:rsidRPr="008B36DE">
              <w:t xml:space="preserve">Portfolio </w:t>
            </w:r>
            <w:smartTag w:uri="urn:schemas-microsoft-com:office:smarttags" w:element="PersonName">
              <w:r w:rsidRPr="008B36DE">
                <w:t>Budget</w:t>
              </w:r>
            </w:smartTag>
            <w:r w:rsidRPr="008B36DE">
              <w:t xml:space="preserve"> Statements (PB</w:t>
            </w:r>
            <w:r>
              <w:t> </w:t>
            </w:r>
            <w:r w:rsidRPr="008B36DE">
              <w:t>Statements)</w:t>
            </w:r>
          </w:p>
        </w:tc>
        <w:tc>
          <w:tcPr>
            <w:tcW w:w="0" w:type="auto"/>
          </w:tcPr>
          <w:p w:rsidR="00D05FB9" w:rsidRDefault="00D05FB9" w:rsidP="00A34EBD">
            <w:smartTag w:uri="urn:schemas-microsoft-com:office:smarttags" w:element="PersonName">
              <w:r w:rsidRPr="008B36DE">
                <w:t>Budget</w:t>
              </w:r>
            </w:smartTag>
            <w:r w:rsidRPr="008B36DE">
              <w:t xml:space="preserve"> related paper detailing budget initiatives and explanations of appropriations specified by outcome and program by each agency within a portfolio.</w:t>
            </w:r>
          </w:p>
        </w:tc>
      </w:tr>
      <w:tr w:rsidR="00D05FB9" w:rsidTr="007B4C1D">
        <w:trPr>
          <w:trHeight w:val="1011"/>
        </w:trPr>
        <w:tc>
          <w:tcPr>
            <w:tcW w:w="0" w:type="auto"/>
          </w:tcPr>
          <w:p w:rsidR="00D05FB9" w:rsidRDefault="00D05FB9" w:rsidP="00A34EBD">
            <w:r w:rsidRPr="008B36DE">
              <w:t>Program</w:t>
            </w:r>
          </w:p>
        </w:tc>
        <w:tc>
          <w:tcPr>
            <w:tcW w:w="0" w:type="auto"/>
          </w:tcPr>
          <w:p w:rsidR="00D05FB9" w:rsidRDefault="00D05FB9" w:rsidP="00A34EBD">
            <w:r w:rsidRPr="008B36DE">
              <w:t>Activity that delivers benefits, services or transfer payments to individuals, industry and/or the community as a whole, with the aim of achieving the intended result specified in an outcome statement.</w:t>
            </w:r>
          </w:p>
        </w:tc>
      </w:tr>
      <w:tr w:rsidR="00D05FB9" w:rsidRPr="008B36DE" w:rsidTr="007B4C1D">
        <w:tc>
          <w:tcPr>
            <w:tcW w:w="0" w:type="auto"/>
          </w:tcPr>
          <w:p w:rsidR="00D05FB9" w:rsidRPr="008B36DE" w:rsidRDefault="00D05FB9" w:rsidP="00A34EBD">
            <w:r w:rsidRPr="008B36DE">
              <w:t>Program Support</w:t>
            </w:r>
          </w:p>
        </w:tc>
        <w:tc>
          <w:tcPr>
            <w:tcW w:w="0" w:type="auto"/>
          </w:tcPr>
          <w:p w:rsidR="00D05FB9" w:rsidRPr="008B36DE" w:rsidRDefault="00D05FB9" w:rsidP="00A34EBD">
            <w:r w:rsidRPr="008B36DE">
              <w:t>The agency running costs allocated to a program. This is funded as part of the</w:t>
            </w:r>
            <w:r>
              <w:t xml:space="preserve"> </w:t>
            </w:r>
            <w:r w:rsidRPr="008B36DE">
              <w:t>agency’s departmental appropriations.</w:t>
            </w:r>
          </w:p>
        </w:tc>
      </w:tr>
      <w:tr w:rsidR="00D05FB9" w:rsidRPr="008B36DE" w:rsidTr="007B4C1D">
        <w:tc>
          <w:tcPr>
            <w:tcW w:w="0" w:type="auto"/>
          </w:tcPr>
          <w:p w:rsidR="00D05FB9" w:rsidRPr="008B36DE" w:rsidRDefault="00D05FB9" w:rsidP="00A34EBD">
            <w:r>
              <w:t>s31</w:t>
            </w:r>
          </w:p>
        </w:tc>
        <w:tc>
          <w:tcPr>
            <w:tcW w:w="0" w:type="auto"/>
          </w:tcPr>
          <w:p w:rsidR="00D05FB9" w:rsidRPr="008B36DE" w:rsidRDefault="00D05FB9" w:rsidP="00A34EBD">
            <w:r>
              <w:t xml:space="preserve">Section 31 of the </w:t>
            </w:r>
            <w:r w:rsidRPr="001A2E1D">
              <w:rPr>
                <w:i/>
              </w:rPr>
              <w:t>FMA Act</w:t>
            </w:r>
            <w:r>
              <w:t>.</w:t>
            </w:r>
          </w:p>
        </w:tc>
      </w:tr>
      <w:tr w:rsidR="00D05FB9" w:rsidRPr="008B36DE" w:rsidTr="007B4C1D">
        <w:tc>
          <w:tcPr>
            <w:tcW w:w="0" w:type="auto"/>
          </w:tcPr>
          <w:p w:rsidR="00D05FB9" w:rsidRPr="008B36DE" w:rsidRDefault="00D05FB9" w:rsidP="00A34EBD">
            <w:r w:rsidRPr="008B36DE">
              <w:t>Target Group</w:t>
            </w:r>
          </w:p>
        </w:tc>
        <w:tc>
          <w:tcPr>
            <w:tcW w:w="0" w:type="auto"/>
          </w:tcPr>
          <w:p w:rsidR="00D05FB9" w:rsidRPr="008B36DE" w:rsidRDefault="00D05FB9" w:rsidP="00A34EBD">
            <w:r w:rsidRPr="008B36DE">
              <w:t>A specific group being targeted for assistance by government policy.</w:t>
            </w:r>
          </w:p>
        </w:tc>
      </w:tr>
      <w:tr w:rsidR="00D05FB9" w:rsidRPr="008B36DE" w:rsidTr="007B4C1D">
        <w:tc>
          <w:tcPr>
            <w:tcW w:w="0" w:type="auto"/>
          </w:tcPr>
          <w:p w:rsidR="00D05FB9" w:rsidRPr="008B36DE" w:rsidRDefault="00D05FB9" w:rsidP="00A34EBD">
            <w:r w:rsidRPr="008B36DE">
              <w:t>Transfer</w:t>
            </w:r>
          </w:p>
        </w:tc>
        <w:tc>
          <w:tcPr>
            <w:tcW w:w="0" w:type="auto"/>
          </w:tcPr>
          <w:p w:rsidR="00D05FB9" w:rsidRPr="008B36DE" w:rsidRDefault="00D05FB9" w:rsidP="00A34EBD">
            <w:r w:rsidRPr="008B36DE">
              <w:t>Cash paid to recipients of the applicable program. This includes welfare payments and tax rebates.</w:t>
            </w:r>
          </w:p>
        </w:tc>
      </w:tr>
    </w:tbl>
    <w:p w:rsidR="00340FD7" w:rsidRPr="000C3B86" w:rsidRDefault="00340FD7" w:rsidP="00D7319C"/>
    <w:sectPr w:rsidR="00340FD7" w:rsidRPr="000C3B86" w:rsidSect="00715386">
      <w:headerReference w:type="even" r:id="rId55"/>
      <w:headerReference w:type="default" r:id="rId56"/>
      <w:headerReference w:type="first" r:id="rId57"/>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02A" w:rsidRDefault="007A102A" w:rsidP="00C07DEC">
      <w:r>
        <w:separator/>
      </w:r>
    </w:p>
  </w:endnote>
  <w:endnote w:type="continuationSeparator" w:id="0">
    <w:p w:rsidR="007A102A" w:rsidRDefault="007A102A"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Frutiger LT 57 Cn">
    <w:altName w:val="Frutiger LT 57 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Footer"/>
    </w:pPr>
    <w:r>
      <w:rPr>
        <w:rStyle w:val="PageNumber"/>
      </w:rPr>
      <w:fldChar w:fldCharType="begin"/>
    </w:r>
    <w:r>
      <w:rPr>
        <w:rStyle w:val="PageNumber"/>
      </w:rPr>
      <w:instrText xml:space="preserve"> PAGE </w:instrText>
    </w:r>
    <w:r>
      <w:rPr>
        <w:rStyle w:val="PageNumber"/>
      </w:rPr>
      <w:fldChar w:fldCharType="separate"/>
    </w:r>
    <w:r w:rsidR="00734A54">
      <w:rPr>
        <w:rStyle w:val="PageNumber"/>
        <w:noProof/>
      </w:rPr>
      <w:t>44</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Pr="001808A4" w:rsidRDefault="007A102A" w:rsidP="001808A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Pr="001808A4" w:rsidRDefault="007A102A" w:rsidP="001808A4">
    <w:pPr>
      <w:pStyle w:val="Footer"/>
    </w:pPr>
    <w:r>
      <w:rPr>
        <w:rStyle w:val="PageNumber"/>
      </w:rPr>
      <w:fldChar w:fldCharType="begin"/>
    </w:r>
    <w:r>
      <w:rPr>
        <w:rStyle w:val="PageNumber"/>
      </w:rPr>
      <w:instrText xml:space="preserve"> PAGE </w:instrText>
    </w:r>
    <w:r>
      <w:rPr>
        <w:rStyle w:val="PageNumber"/>
      </w:rPr>
      <w:fldChar w:fldCharType="separate"/>
    </w:r>
    <w:r w:rsidR="00734A54">
      <w:rPr>
        <w:rStyle w:val="PageNumber"/>
        <w:noProof/>
      </w:rPr>
      <w:t>56</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rsidP="006D758C">
    <w:pPr>
      <w:pStyle w:val="Footer"/>
    </w:pPr>
    <w:r>
      <w:rPr>
        <w:rStyle w:val="PageNumber"/>
      </w:rPr>
      <w:fldChar w:fldCharType="begin"/>
    </w:r>
    <w:r>
      <w:rPr>
        <w:rStyle w:val="PageNumber"/>
      </w:rPr>
      <w:instrText xml:space="preserve"> PAGE </w:instrText>
    </w:r>
    <w:r>
      <w:rPr>
        <w:rStyle w:val="PageNumber"/>
      </w:rPr>
      <w:fldChar w:fldCharType="separate"/>
    </w:r>
    <w:r w:rsidR="00734A54">
      <w:rPr>
        <w:rStyle w:val="PageNumber"/>
        <w:noProof/>
      </w:rPr>
      <w:t>60</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Pr="001808A4" w:rsidRDefault="007A102A" w:rsidP="001808A4">
    <w:pPr>
      <w:pStyle w:val="Footer"/>
    </w:pPr>
    <w:r>
      <w:rPr>
        <w:rStyle w:val="PageNumber"/>
      </w:rPr>
      <w:fldChar w:fldCharType="begin"/>
    </w:r>
    <w:r>
      <w:rPr>
        <w:rStyle w:val="PageNumber"/>
      </w:rPr>
      <w:instrText xml:space="preserve"> PAGE </w:instrText>
    </w:r>
    <w:r>
      <w:rPr>
        <w:rStyle w:val="PageNumber"/>
      </w:rPr>
      <w:fldChar w:fldCharType="separate"/>
    </w:r>
    <w:r w:rsidR="00734A54">
      <w:rPr>
        <w:rStyle w:val="PageNumber"/>
        <w:noProof/>
      </w:rPr>
      <w:t>65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Footer"/>
    </w:pPr>
    <w:r>
      <w:rPr>
        <w:rStyle w:val="PageNumber"/>
      </w:rPr>
      <w:fldChar w:fldCharType="begin"/>
    </w:r>
    <w:r>
      <w:rPr>
        <w:rStyle w:val="PageNumber"/>
      </w:rPr>
      <w:instrText xml:space="preserve"> PAGE </w:instrText>
    </w:r>
    <w:r>
      <w:rPr>
        <w:rStyle w:val="PageNumber"/>
      </w:rPr>
      <w:fldChar w:fldCharType="separate"/>
    </w:r>
    <w:r w:rsidR="00734A54">
      <w:rPr>
        <w:rStyle w:val="PageNumber"/>
        <w:noProof/>
      </w:rPr>
      <w:t>45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81" w:rsidRDefault="002C22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Pr="004342F8" w:rsidRDefault="007A102A" w:rsidP="004342F8">
    <w:pPr>
      <w:pStyle w:val="Footer"/>
    </w:pPr>
    <w:r>
      <w:rPr>
        <w:rStyle w:val="PageNumber"/>
      </w:rPr>
      <w:fldChar w:fldCharType="begin"/>
    </w:r>
    <w:r>
      <w:rPr>
        <w:rStyle w:val="PageNumber"/>
      </w:rPr>
      <w:instrText xml:space="preserve"> PAGE </w:instrText>
    </w:r>
    <w:r>
      <w:rPr>
        <w:rStyle w:val="PageNumber"/>
      </w:rPr>
      <w:fldChar w:fldCharType="separate"/>
    </w:r>
    <w:r w:rsidR="00734A54">
      <w:rPr>
        <w:rStyle w:val="PageNumber"/>
        <w:noProof/>
      </w:rPr>
      <w:t>iv</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Pr="004342F8" w:rsidRDefault="007A102A" w:rsidP="004342F8">
    <w:pPr>
      <w:pStyle w:val="Footer"/>
    </w:pPr>
    <w:r>
      <w:rPr>
        <w:rStyle w:val="PageNumber"/>
      </w:rPr>
      <w:fldChar w:fldCharType="begin"/>
    </w:r>
    <w:r>
      <w:rPr>
        <w:rStyle w:val="PageNumber"/>
      </w:rPr>
      <w:instrText xml:space="preserve"> PAGE </w:instrText>
    </w:r>
    <w:r>
      <w:rPr>
        <w:rStyle w:val="PageNumber"/>
      </w:rPr>
      <w:fldChar w:fldCharType="separate"/>
    </w:r>
    <w:r w:rsidR="00734A54">
      <w:rPr>
        <w:rStyle w:val="PageNumber"/>
        <w:noProof/>
      </w:rPr>
      <w:t>vi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Pr="001808A4" w:rsidRDefault="007A102A" w:rsidP="001808A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Pr="001808A4" w:rsidRDefault="007A102A" w:rsidP="001808A4">
    <w:pPr>
      <w:pStyle w:val="Footer"/>
    </w:pPr>
    <w:r>
      <w:rPr>
        <w:rStyle w:val="PageNumber"/>
      </w:rPr>
      <w:fldChar w:fldCharType="begin"/>
    </w:r>
    <w:r>
      <w:rPr>
        <w:rStyle w:val="PageNumber"/>
      </w:rPr>
      <w:instrText xml:space="preserve"> PAGE </w:instrText>
    </w:r>
    <w:r>
      <w:rPr>
        <w:rStyle w:val="PageNumber"/>
      </w:rPr>
      <w:fldChar w:fldCharType="separate"/>
    </w:r>
    <w:r w:rsidR="00734A54">
      <w:rPr>
        <w:rStyle w:val="PageNumber"/>
        <w:noProof/>
      </w:rPr>
      <w:t>9</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Pr="001808A4" w:rsidRDefault="007A102A" w:rsidP="001808A4">
    <w:pPr>
      <w:pStyle w:val="Footer"/>
    </w:pPr>
    <w:r>
      <w:fldChar w:fldCharType="begin"/>
    </w:r>
    <w:r>
      <w:instrText xml:space="preserve"> PAGE   \* MERGEFORMAT </w:instrText>
    </w:r>
    <w:r>
      <w:fldChar w:fldCharType="separate"/>
    </w:r>
    <w:r w:rsidR="00734A54">
      <w:rPr>
        <w:noProof/>
      </w:rPr>
      <w:t>14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Footer"/>
    </w:pPr>
    <w:r>
      <w:rPr>
        <w:rStyle w:val="PageNumber"/>
      </w:rPr>
      <w:fldChar w:fldCharType="begin"/>
    </w:r>
    <w:r>
      <w:rPr>
        <w:rStyle w:val="PageNumber"/>
      </w:rPr>
      <w:instrText xml:space="preserve"> PAGE </w:instrText>
    </w:r>
    <w:r>
      <w:rPr>
        <w:rStyle w:val="PageNumber"/>
      </w:rPr>
      <w:fldChar w:fldCharType="separate"/>
    </w:r>
    <w:r w:rsidR="00734A54">
      <w:rPr>
        <w:rStyle w:val="PageNumber"/>
        <w:noProof/>
      </w:rPr>
      <w:t>68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02A" w:rsidRDefault="007A102A" w:rsidP="00C07DEC">
      <w:r>
        <w:separator/>
      </w:r>
    </w:p>
  </w:footnote>
  <w:footnote w:type="continuationSeparator" w:id="0">
    <w:p w:rsidR="007A102A" w:rsidRDefault="007A102A"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rsidP="00361259">
    <w:pPr>
      <w:pStyle w:val="HeaderEven"/>
    </w:pPr>
    <w:r>
      <w:fldChar w:fldCharType="begin"/>
    </w:r>
    <w:r>
      <w:instrText xml:space="preserve"> macrobutton nomacro [Click and type header]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rsidP="00361259">
    <w:pPr>
      <w:pStyle w:val="HeaderEven"/>
    </w:pPr>
    <w:r>
      <w:t>Portfolio Overview</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rsidP="00361259">
    <w:pPr>
      <w:pStyle w:val="HeaderOdd"/>
    </w:pPr>
    <w:r>
      <w:t>Portfolio Overview</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rsidP="00361259">
    <w:pPr>
      <w:pStyle w:val="HeaderEven"/>
    </w:pPr>
    <w:r>
      <w:t xml:space="preserve">DHS </w:t>
    </w:r>
    <w:smartTag w:uri="urn:schemas-microsoft-com:office:smarttags" w:element="PersonName">
      <w:r>
        <w:t>Budget</w:t>
      </w:r>
    </w:smartTag>
    <w:r>
      <w:t xml:space="preserve"> Statements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rsidP="00B00B01">
    <w:pPr>
      <w:pStyle w:val="HeaderEven"/>
      <w:jc w:val="right"/>
    </w:pPr>
    <w:r>
      <w:t xml:space="preserve">DHS </w:t>
    </w:r>
    <w:smartTag w:uri="urn:schemas-microsoft-com:office:smarttags" w:element="PersonName">
      <w:r>
        <w:t>Budget</w:t>
      </w:r>
    </w:smartTag>
    <w:r>
      <w:t xml:space="preserve">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81" w:rsidRDefault="002C228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rsidP="00B00B01">
    <w:pPr>
      <w:pStyle w:val="HeaderOdd"/>
      <w:jc w:val="left"/>
    </w:pPr>
    <w:r>
      <w:t xml:space="preserve">Department abbreviation </w:t>
    </w:r>
    <w:smartTag w:uri="urn:schemas-microsoft-com:office:smarttags" w:element="PersonName">
      <w:r>
        <w:t>Budget</w:t>
      </w:r>
    </w:smartTag>
    <w:r>
      <w:t xml:space="preserve"> Statements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Footer"/>
      <w:framePr w:wrap="around" w:hAnchor="page" w:x="1889" w:yAlign="center" w:anchorLock="1"/>
      <w:textDirection w:val="tbRl"/>
      <w:rPr>
        <w:rStyle w:val="PageNumber"/>
      </w:rPr>
    </w:pPr>
    <w:r>
      <w:rPr>
        <w:rStyle w:val="PageNumber"/>
      </w:rPr>
      <w:fldChar w:fldCharType="begin"/>
    </w:r>
    <w:r>
      <w:rPr>
        <w:rStyle w:val="PageNumber"/>
      </w:rPr>
      <w:instrText xml:space="preserve"> KEYWORDS  \* MERGEFORMAT </w:instrTex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sidR="00734A54">
      <w:rPr>
        <w:rStyle w:val="PageNumber"/>
        <w:noProof/>
      </w:rPr>
      <w:t>54</w:t>
    </w:r>
    <w:r>
      <w:rPr>
        <w:rStyle w:val="PageNumber"/>
      </w:rPr>
      <w:fldChar w:fldCharType="end"/>
    </w:r>
  </w:p>
  <w:p w:rsidR="007A102A" w:rsidRPr="00080F4F" w:rsidRDefault="007A102A" w:rsidP="0026279C">
    <w:pPr>
      <w:framePr w:w="289" w:h="7681" w:hRule="exact" w:wrap="around" w:vAnchor="page" w:hAnchor="page" w:x="14626" w:y="2143" w:anchorLock="1"/>
      <w:spacing w:line="276" w:lineRule="auto"/>
      <w:jc w:val="left"/>
      <w:textDirection w:val="tbRl"/>
      <w:rPr>
        <w:rStyle w:val="FramedHeader"/>
      </w:rPr>
    </w:pPr>
    <w:r>
      <w:rPr>
        <w:rStyle w:val="FramedHeader"/>
      </w:rPr>
      <w:t xml:space="preserve">DHS </w:t>
    </w:r>
    <w:r w:rsidRPr="00080F4F">
      <w:rPr>
        <w:rStyle w:val="FramedHeader"/>
      </w:rPr>
      <w:t xml:space="preserve"> Budget Statements</w:t>
    </w:r>
    <w:r>
      <w:rPr>
        <w:rStyle w:val="FramedHeader"/>
      </w:rPr>
      <w:t xml:space="preserve"> </w:t>
    </w:r>
  </w:p>
  <w:p w:rsidR="007A102A" w:rsidRDefault="007A102A">
    <w:pPr>
      <w:pStyle w:val="Footer"/>
      <w:framePr w:wrap="around" w:hAnchor="page" w:x="1889" w:yAlign="center" w:anchorLock="1"/>
      <w:textDirection w:val="tbRl"/>
      <w:rPr>
        <w:rStyle w:val="PageNumber"/>
      </w:rPr>
    </w:pPr>
    <w:r>
      <w:rPr>
        <w:rStyle w:val="PageNumber"/>
      </w:rPr>
      <w:fldChar w:fldCharType="begin"/>
    </w:r>
    <w:r>
      <w:rPr>
        <w:rStyle w:val="PageNumber"/>
      </w:rPr>
      <w:instrText xml:space="preserve"> KEYWORDS  \* MERGEFORMAT </w:instrTex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sidR="00734A54">
      <w:rPr>
        <w:rStyle w:val="PageNumber"/>
        <w:noProof/>
      </w:rPr>
      <w:t>54</w:t>
    </w:r>
    <w:r>
      <w:rPr>
        <w:rStyle w:val="PageNumber"/>
      </w:rPr>
      <w:fldChar w:fldCharType="end"/>
    </w:r>
  </w:p>
  <w:p w:rsidR="007A102A" w:rsidRDefault="007A102A" w:rsidP="00982444">
    <w:pPr>
      <w:pStyle w:val="HeaderOdd"/>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rsidP="0026279C">
    <w:pPr>
      <w:pStyle w:val="HeaderEven"/>
    </w:pPr>
    <w:r>
      <w:t xml:space="preserve">DHS </w:t>
    </w:r>
    <w:smartTag w:uri="urn:schemas-microsoft-com:office:smarttags" w:element="PersonName">
      <w:r>
        <w:t>Budget</w:t>
      </w:r>
    </w:smartTag>
    <w:r>
      <w:t xml:space="preserve"> Statements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rsidP="0026279C">
    <w:pPr>
      <w:pStyle w:val="HeaderOdd"/>
    </w:pPr>
    <w:r>
      <w:t xml:space="preserve">DHS </w:t>
    </w:r>
    <w:smartTag w:uri="urn:schemas-microsoft-com:office:smarttags" w:element="PersonName">
      <w:r>
        <w:t>Budget</w:t>
      </w:r>
    </w:smartTag>
    <w:r>
      <w:t xml:space="preserve"> Statements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Pr="00B93884" w:rsidRDefault="007A102A" w:rsidP="00C40442">
    <w:pPr>
      <w:pStyle w:val="HeaderOdd"/>
      <w:jc w:val="left"/>
    </w:pPr>
    <w:r>
      <w:t xml:space="preserve">DHS </w:t>
    </w:r>
    <w:smartTag w:uri="urn:schemas-microsoft-com:office:smarttags" w:element="PersonName">
      <w:r>
        <w:t>Budget</w:t>
      </w:r>
    </w:smartTag>
    <w:r>
      <w:t xml:space="preserve"> Statements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Footer"/>
      <w:framePr w:wrap="around" w:hAnchor="page" w:x="1889" w:yAlign="center" w:anchorLock="1"/>
      <w:textDirection w:val="tbRl"/>
      <w:rPr>
        <w:rStyle w:val="PageNumber"/>
      </w:rPr>
    </w:pPr>
    <w:r>
      <w:rPr>
        <w:rStyle w:val="PageNumber"/>
      </w:rPr>
      <w:fldChar w:fldCharType="begin"/>
    </w:r>
    <w:r>
      <w:rPr>
        <w:rStyle w:val="PageNumber"/>
      </w:rPr>
      <w:instrText xml:space="preserve"> KEYWORDS  \* MERGEFORMAT </w:instrText>
    </w:r>
    <w:r>
      <w:rPr>
        <w:rStyle w:val="PageNumber"/>
      </w:rPr>
      <w:fldChar w:fldCharType="end"/>
    </w:r>
    <w:r>
      <w:rPr>
        <w:rStyle w:val="PageNumber"/>
      </w:rPr>
      <w:fldChar w:fldCharType="begin"/>
    </w:r>
    <w:r>
      <w:rPr>
        <w:rStyle w:val="PageNumber"/>
      </w:rPr>
      <w:instrText xml:space="preserve">PAGE  </w:instrText>
    </w:r>
    <w:r>
      <w:rPr>
        <w:rStyle w:val="PageNumber"/>
      </w:rPr>
      <w:fldChar w:fldCharType="separate"/>
    </w:r>
    <w:r w:rsidR="00734A54">
      <w:rPr>
        <w:rStyle w:val="PageNumber"/>
        <w:noProof/>
      </w:rPr>
      <w:t>60</w:t>
    </w:r>
    <w:r>
      <w:rPr>
        <w:rStyle w:val="PageNumber"/>
      </w:rPr>
      <w:fldChar w:fldCharType="end"/>
    </w:r>
  </w:p>
  <w:p w:rsidR="007A102A" w:rsidRDefault="007A102A" w:rsidP="006D758C">
    <w:pPr>
      <w:pStyle w:val="HeaderEven"/>
      <w:jc w:val="right"/>
    </w:pPr>
    <w:r>
      <w:t xml:space="preserve">DHS </w:t>
    </w:r>
    <w:smartTag w:uri="urn:schemas-microsoft-com:office:smarttags" w:element="PersonName">
      <w:r>
        <w:t>Budget</w:t>
      </w:r>
    </w:smartTag>
    <w:r>
      <w:t xml:space="preserve"> Statements</w:t>
    </w:r>
  </w:p>
  <w:p w:rsidR="007A102A" w:rsidRPr="007E0749" w:rsidRDefault="007A102A" w:rsidP="007E07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81" w:rsidRDefault="002C2281">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rsidP="00812854">
    <w:pPr>
      <w:pStyle w:val="HeaderOdd"/>
      <w:jc w:val="left"/>
    </w:pPr>
    <w:r>
      <w:t xml:space="preserve">DHS </w:t>
    </w:r>
    <w:smartTag w:uri="urn:schemas-microsoft-com:office:smarttags" w:element="PersonName">
      <w:r>
        <w:t>Budget</w:t>
      </w:r>
    </w:smartTag>
    <w:r>
      <w:t xml:space="preserve"> Statements</w:t>
    </w:r>
  </w:p>
  <w:p w:rsidR="007A102A" w:rsidRDefault="007A102A">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Pr="007F6391" w:rsidRDefault="007A102A" w:rsidP="00812854">
    <w:pPr>
      <w:pStyle w:val="HeaderEven"/>
      <w:jc w:val="right"/>
    </w:pPr>
    <w:r>
      <w:t xml:space="preserve">DHS </w:t>
    </w:r>
    <w:smartTag w:uri="urn:schemas-microsoft-com:office:smarttags" w:element="PersonName">
      <w:r>
        <w:t>Budget</w:t>
      </w:r>
    </w:smartTag>
    <w:r>
      <w:t xml:space="preserve"> Statements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rsidP="00361259">
    <w:pPr>
      <w:pStyle w:val="HeaderEven"/>
    </w:pPr>
    <w:r>
      <w:t>Glossary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rsidP="00361259">
    <w:pPr>
      <w:pStyle w:val="HeaderOdd"/>
    </w:pPr>
    <w:r>
      <w:t>Glossary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rsidP="00161DAC">
    <w:pPr>
      <w:pStyle w:val="HeaderOdd"/>
    </w:pPr>
    <w:r>
      <w:t>Glossary</w:t>
    </w:r>
  </w:p>
  <w:p w:rsidR="007A102A" w:rsidRPr="002A7FC8" w:rsidRDefault="007A102A" w:rsidP="002A7F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Pr="00846CB2" w:rsidRDefault="007A102A" w:rsidP="00846C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rsidP="00B753B2">
    <w:pPr>
      <w:pStyle w:val="Header"/>
      <w:jc w:val="center"/>
      <w:rPr>
        <w:b/>
        <w:i w:val="0"/>
        <w:noProof/>
        <w:sz w:val="24"/>
        <w:szCs w:val="24"/>
      </w:rPr>
    </w:pPr>
    <w:r>
      <w:rPr>
        <w:noProof/>
      </w:rPr>
      <w:drawing>
        <wp:inline distT="0" distB="0" distL="0" distR="0">
          <wp:extent cx="847725" cy="666750"/>
          <wp:effectExtent l="0" t="0" r="9525" b="0"/>
          <wp:docPr id="37" name="Picture 2"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66750"/>
                  </a:xfrm>
                  <a:prstGeom prst="rect">
                    <a:avLst/>
                  </a:prstGeom>
                  <a:noFill/>
                  <a:ln>
                    <a:noFill/>
                  </a:ln>
                </pic:spPr>
              </pic:pic>
            </a:graphicData>
          </a:graphic>
        </wp:inline>
      </w:drawing>
    </w:r>
    <w:r w:rsidRPr="00B753B2">
      <w:rPr>
        <w:b/>
        <w:i w:val="0"/>
        <w:noProof/>
        <w:sz w:val="24"/>
        <w:szCs w:val="24"/>
      </w:rPr>
      <w:t xml:space="preserve"> </w:t>
    </w:r>
  </w:p>
  <w:p w:rsidR="007A102A" w:rsidRDefault="007A102A" w:rsidP="00B753B2">
    <w:pPr>
      <w:pStyle w:val="Header"/>
      <w:jc w:val="center"/>
      <w:rPr>
        <w:b/>
        <w:i w:val="0"/>
        <w:noProof/>
        <w:sz w:val="24"/>
        <w:szCs w:val="24"/>
      </w:rPr>
    </w:pPr>
    <w:r w:rsidRPr="005B55CB">
      <w:rPr>
        <w:b/>
        <w:i w:val="0"/>
        <w:noProof/>
        <w:sz w:val="24"/>
        <w:szCs w:val="24"/>
      </w:rPr>
      <w:t>The Hon Tanya Plibersek MP</w:t>
    </w:r>
  </w:p>
  <w:p w:rsidR="007A102A" w:rsidRDefault="007A102A" w:rsidP="00B753B2">
    <w:pPr>
      <w:pStyle w:val="Header"/>
      <w:jc w:val="center"/>
      <w:rPr>
        <w:b/>
        <w:i w:val="0"/>
        <w:noProof/>
        <w:sz w:val="24"/>
        <w:szCs w:val="24"/>
      </w:rPr>
    </w:pPr>
    <w:r>
      <w:rPr>
        <w:b/>
        <w:i w:val="0"/>
        <w:noProof/>
        <w:sz w:val="24"/>
        <w:szCs w:val="24"/>
      </w:rPr>
      <w:t>Minister for Human Services</w:t>
    </w:r>
  </w:p>
  <w:p w:rsidR="007A102A" w:rsidRPr="005B55CB" w:rsidRDefault="007A102A" w:rsidP="00B753B2">
    <w:pPr>
      <w:pStyle w:val="Header"/>
      <w:jc w:val="center"/>
      <w:rPr>
        <w:b/>
        <w:i w:val="0"/>
        <w:sz w:val="24"/>
        <w:szCs w:val="24"/>
      </w:rPr>
    </w:pPr>
    <w:r>
      <w:rPr>
        <w:b/>
        <w:i w:val="0"/>
        <w:noProof/>
        <w:sz w:val="24"/>
        <w:szCs w:val="24"/>
      </w:rPr>
      <w:t>Minister for Social Inclusion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02A" w:rsidRDefault="007A10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0F09A6C"/>
    <w:lvl w:ilvl="0">
      <w:numFmt w:val="bullet"/>
      <w:lvlText w:val="*"/>
      <w:lvlJc w:val="left"/>
    </w:lvl>
  </w:abstractNum>
  <w:abstractNum w:abstractNumId="1">
    <w:nsid w:val="03B60E9B"/>
    <w:multiLevelType w:val="hybridMultilevel"/>
    <w:tmpl w:val="170A27A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0D0BEE"/>
    <w:multiLevelType w:val="hybridMultilevel"/>
    <w:tmpl w:val="653AB848"/>
    <w:lvl w:ilvl="0" w:tplc="CB40E02A">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E44601"/>
    <w:multiLevelType w:val="hybridMultilevel"/>
    <w:tmpl w:val="BABE7E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b w:val="0"/>
        <w:i w:val="0"/>
      </w:rPr>
    </w:lvl>
    <w:lvl w:ilvl="1">
      <w:start w:val="1"/>
      <w:numFmt w:val="bullet"/>
      <w:pStyle w:val="Dash"/>
      <w:lvlText w:val="–"/>
      <w:lvlJc w:val="left"/>
      <w:pPr>
        <w:tabs>
          <w:tab w:val="num" w:pos="567"/>
        </w:tabs>
        <w:ind w:left="567" w:hanging="284"/>
      </w:pPr>
      <w:rPr>
        <w:rFonts w:ascii="Times New Roman" w:hAnsi="Times New Roman"/>
        <w:b w:val="0"/>
        <w:i w:val="0"/>
      </w:rPr>
    </w:lvl>
    <w:lvl w:ilvl="2">
      <w:start w:val="1"/>
      <w:numFmt w:val="bullet"/>
      <w:pStyle w:val="DoubleDo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5">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b w:val="0"/>
        <w:i w:val="0"/>
      </w:rPr>
    </w:lvl>
  </w:abstractNum>
  <w:abstractNum w:abstractNumId="6">
    <w:nsid w:val="18482933"/>
    <w:multiLevelType w:val="hybridMultilevel"/>
    <w:tmpl w:val="9522C4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3E0036"/>
    <w:multiLevelType w:val="hybridMultilevel"/>
    <w:tmpl w:val="6A5242D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F844794"/>
    <w:multiLevelType w:val="hybridMultilevel"/>
    <w:tmpl w:val="E89C26A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0064394"/>
    <w:multiLevelType w:val="hybridMultilevel"/>
    <w:tmpl w:val="913042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17E1FA7"/>
    <w:multiLevelType w:val="hybridMultilevel"/>
    <w:tmpl w:val="E3F6FED0"/>
    <w:lvl w:ilvl="0" w:tplc="D1C87610">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A234986"/>
    <w:multiLevelType w:val="hybridMultilevel"/>
    <w:tmpl w:val="7854CA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rFonts w:cs="Times New Roman"/>
        <w:b w:val="0"/>
        <w:i w:val="0"/>
        <w:color w:val="000000"/>
      </w:rPr>
    </w:lvl>
    <w:lvl w:ilvl="3">
      <w:start w:val="1"/>
      <w:numFmt w:val="decimal"/>
      <w:lvlText w:val="%4"/>
      <w:lvlJc w:val="left"/>
      <w:pPr>
        <w:tabs>
          <w:tab w:val="num" w:pos="2268"/>
        </w:tabs>
        <w:ind w:left="2268" w:hanging="567"/>
      </w:pPr>
      <w:rPr>
        <w:rFonts w:cs="Times New Roman"/>
        <w:b w:val="0"/>
        <w:i w:val="0"/>
        <w:color w:val="000000"/>
      </w:rPr>
    </w:lvl>
    <w:lvl w:ilvl="4">
      <w:start w:val="1"/>
      <w:numFmt w:val="decimal"/>
      <w:lvlText w:val="%5"/>
      <w:lvlJc w:val="left"/>
      <w:pPr>
        <w:tabs>
          <w:tab w:val="num" w:pos="2835"/>
        </w:tabs>
        <w:ind w:left="2835" w:hanging="567"/>
      </w:pPr>
      <w:rPr>
        <w:rFonts w:cs="Times New Roman"/>
        <w:b w:val="0"/>
        <w:i w:val="0"/>
        <w:color w:val="000000"/>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13">
    <w:nsid w:val="31A252A9"/>
    <w:multiLevelType w:val="hybridMultilevel"/>
    <w:tmpl w:val="C8F607D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3EF0A9E"/>
    <w:multiLevelType w:val="hybridMultilevel"/>
    <w:tmpl w:val="4EDCD824"/>
    <w:lvl w:ilvl="0" w:tplc="341803A0">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6D95848"/>
    <w:multiLevelType w:val="hybridMultilevel"/>
    <w:tmpl w:val="F0A0D2AE"/>
    <w:lvl w:ilvl="0" w:tplc="58F667D0">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AC2529A"/>
    <w:multiLevelType w:val="hybridMultilevel"/>
    <w:tmpl w:val="33FA6FB6"/>
    <w:lvl w:ilvl="0" w:tplc="0C090001">
      <w:start w:val="1"/>
      <w:numFmt w:val="bullet"/>
      <w:lvlText w:val=""/>
      <w:lvlJc w:val="left"/>
      <w:pPr>
        <w:tabs>
          <w:tab w:val="num" w:pos="720"/>
        </w:tabs>
        <w:ind w:left="720" w:hanging="360"/>
      </w:pPr>
      <w:rPr>
        <w:rFonts w:ascii="Symbol" w:hAnsi="Symbol" w:hint="default"/>
      </w:rPr>
    </w:lvl>
    <w:lvl w:ilvl="1" w:tplc="E88012EC">
      <w:start w:val="1"/>
      <w:numFmt w:val="bullet"/>
      <w:lvlRestart w:val="0"/>
      <w:lvlText w:val="•"/>
      <w:lvlJc w:val="left"/>
      <w:pPr>
        <w:tabs>
          <w:tab w:val="num" w:pos="1364"/>
        </w:tabs>
        <w:ind w:left="1364" w:hanging="284"/>
      </w:pPr>
      <w:rPr>
        <w:rFonts w:hint="default"/>
        <w:b w:val="0"/>
        <w:i w:val="0"/>
        <w:color w:val="FF000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8">
    <w:nsid w:val="3D0763AD"/>
    <w:multiLevelType w:val="hybridMultilevel"/>
    <w:tmpl w:val="6E7015E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32B78F6"/>
    <w:multiLevelType w:val="hybridMultilevel"/>
    <w:tmpl w:val="A49691D0"/>
    <w:lvl w:ilvl="0" w:tplc="51302726">
      <w:start w:val="1"/>
      <w:numFmt w:val="decimal"/>
      <w:lvlText w:val="%1."/>
      <w:lvlJc w:val="left"/>
      <w:pPr>
        <w:tabs>
          <w:tab w:val="num" w:pos="360"/>
        </w:tabs>
        <w:ind w:left="360" w:hanging="360"/>
      </w:pPr>
      <w:rPr>
        <w:rFonts w:ascii="Arial" w:hAnsi="Arial"/>
        <w:b w:val="0"/>
        <w:sz w:val="16"/>
      </w:rPr>
    </w:lvl>
    <w:lvl w:ilvl="1" w:tplc="58F667D0">
      <w:start w:val="1"/>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rFonts w:cs="Times New Roman"/>
        <w:b w:val="0"/>
        <w:i w:val="0"/>
        <w:color w:val="000000"/>
      </w:rPr>
    </w:lvl>
  </w:abstractNum>
  <w:abstractNum w:abstractNumId="21">
    <w:nsid w:val="4FF36D98"/>
    <w:multiLevelType w:val="hybridMultilevel"/>
    <w:tmpl w:val="1A207D1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23">
    <w:nsid w:val="5F9E6F65"/>
    <w:multiLevelType w:val="hybridMultilevel"/>
    <w:tmpl w:val="79F08CD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4056039"/>
    <w:multiLevelType w:val="hybridMultilevel"/>
    <w:tmpl w:val="5630CA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67A15757"/>
    <w:multiLevelType w:val="hybridMultilevel"/>
    <w:tmpl w:val="FA7285B8"/>
    <w:lvl w:ilvl="0" w:tplc="58F667D0">
      <w:start w:val="1"/>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67C65B0F"/>
    <w:multiLevelType w:val="hybridMultilevel"/>
    <w:tmpl w:val="501CC39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rFonts w:cs="Times New Roman"/>
        <w:b w:val="0"/>
        <w:i w:val="0"/>
        <w:color w:val="000000"/>
      </w:rPr>
    </w:lvl>
    <w:lvl w:ilvl="2">
      <w:start w:val="1"/>
      <w:numFmt w:val="decimal"/>
      <w:lvlText w:val="%3"/>
      <w:lvlJc w:val="left"/>
      <w:pPr>
        <w:tabs>
          <w:tab w:val="num" w:pos="1701"/>
        </w:tabs>
        <w:ind w:left="1701" w:hanging="567"/>
      </w:pPr>
      <w:rPr>
        <w:rFonts w:cs="Times New Roman"/>
        <w:b w:val="0"/>
        <w:i w:val="0"/>
        <w:color w:val="000000"/>
      </w:rPr>
    </w:lvl>
    <w:lvl w:ilvl="3">
      <w:start w:val="1"/>
      <w:numFmt w:val="decimal"/>
      <w:lvlText w:val="%4"/>
      <w:lvlJc w:val="left"/>
      <w:pPr>
        <w:tabs>
          <w:tab w:val="num" w:pos="2268"/>
        </w:tabs>
        <w:ind w:left="2268" w:hanging="567"/>
      </w:pPr>
      <w:rPr>
        <w:rFonts w:cs="Times New Roman"/>
        <w:b w:val="0"/>
        <w:i w:val="0"/>
        <w:color w:val="000000"/>
      </w:rPr>
    </w:lvl>
    <w:lvl w:ilvl="4">
      <w:start w:val="1"/>
      <w:numFmt w:val="decimal"/>
      <w:lvlText w:val="%5"/>
      <w:lvlJc w:val="left"/>
      <w:pPr>
        <w:tabs>
          <w:tab w:val="num" w:pos="2835"/>
        </w:tabs>
        <w:ind w:left="2835" w:hanging="567"/>
      </w:pPr>
      <w:rPr>
        <w:rFonts w:cs="Times New Roman"/>
        <w:b w:val="0"/>
        <w:i w:val="0"/>
        <w:color w:val="000000"/>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28">
    <w:nsid w:val="6A837571"/>
    <w:multiLevelType w:val="hybridMultilevel"/>
    <w:tmpl w:val="B5783DEE"/>
    <w:lvl w:ilvl="0" w:tplc="D1C87610">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cs="Times New Roman"/>
        <w:b w:val="0"/>
        <w:i w:val="0"/>
        <w:color w:val="FF0000"/>
      </w:rPr>
    </w:lvl>
    <w:lvl w:ilvl="1">
      <w:start w:val="1"/>
      <w:numFmt w:val="decimal"/>
      <w:pStyle w:val="Exampletextdash"/>
      <w:lvlText w:val="–"/>
      <w:lvlJc w:val="left"/>
      <w:pPr>
        <w:tabs>
          <w:tab w:val="num" w:pos="567"/>
        </w:tabs>
        <w:ind w:left="567" w:hanging="283"/>
      </w:pPr>
      <w:rPr>
        <w:rFonts w:ascii="9999999" w:hAnsi="9999999" w:cs="Times New Roman"/>
        <w:b w:val="0"/>
        <w:i w:val="0"/>
        <w:color w:val="FF0000"/>
      </w:rPr>
    </w:lvl>
    <w:lvl w:ilvl="2">
      <w:start w:val="1"/>
      <w:numFmt w:val="decimal"/>
      <w:lvlText w:val="%3"/>
      <w:lvlJc w:val="left"/>
      <w:pPr>
        <w:tabs>
          <w:tab w:val="num" w:pos="1701"/>
        </w:tabs>
        <w:ind w:left="1701" w:hanging="567"/>
      </w:pPr>
      <w:rPr>
        <w:rFonts w:cs="Times New Roman"/>
        <w:b w:val="0"/>
        <w:i w:val="0"/>
        <w:color w:val="000000"/>
      </w:rPr>
    </w:lvl>
    <w:lvl w:ilvl="3">
      <w:start w:val="1"/>
      <w:numFmt w:val="decimal"/>
      <w:lvlText w:val="%4"/>
      <w:lvlJc w:val="left"/>
      <w:pPr>
        <w:tabs>
          <w:tab w:val="num" w:pos="2268"/>
        </w:tabs>
        <w:ind w:left="2268" w:hanging="567"/>
      </w:pPr>
      <w:rPr>
        <w:rFonts w:cs="Times New Roman"/>
        <w:b w:val="0"/>
        <w:i w:val="0"/>
        <w:color w:val="000000"/>
      </w:rPr>
    </w:lvl>
    <w:lvl w:ilvl="4">
      <w:start w:val="1"/>
      <w:numFmt w:val="decimal"/>
      <w:lvlText w:val="%5"/>
      <w:lvlJc w:val="left"/>
      <w:pPr>
        <w:tabs>
          <w:tab w:val="num" w:pos="2835"/>
        </w:tabs>
        <w:ind w:left="2835" w:hanging="567"/>
      </w:pPr>
      <w:rPr>
        <w:rFonts w:cs="Times New Roman"/>
        <w:b w:val="0"/>
        <w:i w:val="0"/>
        <w:color w:val="000000"/>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30">
    <w:nsid w:val="78DC6AFB"/>
    <w:multiLevelType w:val="hybridMultilevel"/>
    <w:tmpl w:val="4ECC54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7C2A2DB7"/>
    <w:multiLevelType w:val="hybridMultilevel"/>
    <w:tmpl w:val="1A463288"/>
    <w:lvl w:ilvl="0" w:tplc="F746EA8E">
      <w:start w:val="1"/>
      <w:numFmt w:val="decimal"/>
      <w:lvlText w:val="%1."/>
      <w:lvlJc w:val="left"/>
      <w:pPr>
        <w:tabs>
          <w:tab w:val="num" w:pos="720"/>
        </w:tabs>
        <w:ind w:left="720" w:hanging="360"/>
      </w:pPr>
      <w:rPr>
        <w:rFonts w:hint="default"/>
        <w:b w:val="0"/>
        <w:i w:val="0"/>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0"/>
  </w:num>
  <w:num w:numId="2">
    <w:abstractNumId w:val="4"/>
  </w:num>
  <w:num w:numId="3">
    <w:abstractNumId w:val="27"/>
  </w:num>
  <w:num w:numId="4">
    <w:abstractNumId w:val="17"/>
    <w:lvlOverride w:ilvl="0">
      <w:startOverride w:val="1"/>
    </w:lvlOverride>
  </w:num>
  <w:num w:numId="5">
    <w:abstractNumId w:val="29"/>
  </w:num>
  <w:num w:numId="6">
    <w:abstractNumId w:val="12"/>
  </w:num>
  <w:num w:numId="7">
    <w:abstractNumId w:val="22"/>
  </w:num>
  <w:num w:numId="8">
    <w:abstractNumId w:val="8"/>
  </w:num>
  <w:num w:numId="9">
    <w:abstractNumId w:val="11"/>
  </w:num>
  <w:num w:numId="10">
    <w:abstractNumId w:val="9"/>
  </w:num>
  <w:num w:numId="11">
    <w:abstractNumId w:val="18"/>
  </w:num>
  <w:num w:numId="12">
    <w:abstractNumId w:val="23"/>
  </w:num>
  <w:num w:numId="13">
    <w:abstractNumId w:val="3"/>
  </w:num>
  <w:num w:numId="14">
    <w:abstractNumId w:val="1"/>
  </w:num>
  <w:num w:numId="15">
    <w:abstractNumId w:val="26"/>
  </w:num>
  <w:num w:numId="16">
    <w:abstractNumId w:val="16"/>
  </w:num>
  <w:num w:numId="17">
    <w:abstractNumId w:val="7"/>
  </w:num>
  <w:num w:numId="18">
    <w:abstractNumId w:val="14"/>
  </w:num>
  <w:num w:numId="19">
    <w:abstractNumId w:val="19"/>
  </w:num>
  <w:num w:numId="20">
    <w:abstractNumId w:val="30"/>
  </w:num>
  <w:num w:numId="21">
    <w:abstractNumId w:val="24"/>
  </w:num>
  <w:num w:numId="22">
    <w:abstractNumId w:val="21"/>
  </w:num>
  <w:num w:numId="23">
    <w:abstractNumId w:val="31"/>
  </w:num>
  <w:num w:numId="24">
    <w:abstractNumId w:val="2"/>
  </w:num>
  <w:num w:numId="25">
    <w:abstractNumId w:val="13"/>
  </w:num>
  <w:num w:numId="26">
    <w:abstractNumId w:val="0"/>
    <w:lvlOverride w:ilvl="0">
      <w:lvl w:ilvl="0">
        <w:numFmt w:val="bullet"/>
        <w:lvlText w:val=""/>
        <w:legacy w:legacy="1" w:legacySpace="0" w:legacyIndent="360"/>
        <w:lvlJc w:val="left"/>
        <w:rPr>
          <w:rFonts w:ascii="Symbol" w:hAnsi="Symbol" w:hint="default"/>
        </w:rPr>
      </w:lvl>
    </w:lvlOverride>
  </w:num>
  <w:num w:numId="27">
    <w:abstractNumId w:val="0"/>
    <w:lvlOverride w:ilvl="0">
      <w:lvl w:ilvl="0">
        <w:numFmt w:val="bullet"/>
        <w:lvlText w:val=""/>
        <w:legacy w:legacy="1" w:legacySpace="0" w:legacyIndent="283"/>
        <w:lvlJc w:val="left"/>
        <w:rPr>
          <w:rFonts w:ascii="Symbol" w:hAnsi="Symbol" w:hint="default"/>
        </w:rPr>
      </w:lvl>
    </w:lvlOverride>
  </w:num>
  <w:num w:numId="28">
    <w:abstractNumId w:val="6"/>
  </w:num>
  <w:num w:numId="29">
    <w:abstractNumId w:val="25"/>
  </w:num>
  <w:num w:numId="30">
    <w:abstractNumId w:val="15"/>
  </w:num>
  <w:num w:numId="31">
    <w:abstractNumId w:val="28"/>
  </w:num>
  <w:num w:numId="32">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52D"/>
    <w:rsid w:val="00001063"/>
    <w:rsid w:val="00003AC4"/>
    <w:rsid w:val="00005E48"/>
    <w:rsid w:val="00006206"/>
    <w:rsid w:val="00011E6E"/>
    <w:rsid w:val="000128E0"/>
    <w:rsid w:val="00013D25"/>
    <w:rsid w:val="0001438C"/>
    <w:rsid w:val="0001591A"/>
    <w:rsid w:val="00016D95"/>
    <w:rsid w:val="00021DA6"/>
    <w:rsid w:val="000220B0"/>
    <w:rsid w:val="000232EB"/>
    <w:rsid w:val="00027F65"/>
    <w:rsid w:val="000300D7"/>
    <w:rsid w:val="00036095"/>
    <w:rsid w:val="000369AC"/>
    <w:rsid w:val="0003724F"/>
    <w:rsid w:val="00041D51"/>
    <w:rsid w:val="000420F2"/>
    <w:rsid w:val="00042440"/>
    <w:rsid w:val="00042FDD"/>
    <w:rsid w:val="00044E93"/>
    <w:rsid w:val="00045667"/>
    <w:rsid w:val="0005091E"/>
    <w:rsid w:val="0005132E"/>
    <w:rsid w:val="0005331F"/>
    <w:rsid w:val="00054A04"/>
    <w:rsid w:val="00054CC3"/>
    <w:rsid w:val="0005600E"/>
    <w:rsid w:val="00056260"/>
    <w:rsid w:val="0005722F"/>
    <w:rsid w:val="00060890"/>
    <w:rsid w:val="00062284"/>
    <w:rsid w:val="00063C44"/>
    <w:rsid w:val="00065053"/>
    <w:rsid w:val="000654EC"/>
    <w:rsid w:val="000655E4"/>
    <w:rsid w:val="000656AD"/>
    <w:rsid w:val="00065C71"/>
    <w:rsid w:val="00067B6F"/>
    <w:rsid w:val="00067E04"/>
    <w:rsid w:val="00067E1D"/>
    <w:rsid w:val="0007064C"/>
    <w:rsid w:val="000725C0"/>
    <w:rsid w:val="000732A4"/>
    <w:rsid w:val="00074CE6"/>
    <w:rsid w:val="00074FDB"/>
    <w:rsid w:val="00077277"/>
    <w:rsid w:val="0007743A"/>
    <w:rsid w:val="00080069"/>
    <w:rsid w:val="00080F4F"/>
    <w:rsid w:val="00081366"/>
    <w:rsid w:val="00082804"/>
    <w:rsid w:val="000828DF"/>
    <w:rsid w:val="0008295B"/>
    <w:rsid w:val="0008449F"/>
    <w:rsid w:val="00085474"/>
    <w:rsid w:val="000901A1"/>
    <w:rsid w:val="00090E11"/>
    <w:rsid w:val="000924A7"/>
    <w:rsid w:val="00093718"/>
    <w:rsid w:val="00094097"/>
    <w:rsid w:val="00094B28"/>
    <w:rsid w:val="00095453"/>
    <w:rsid w:val="00096104"/>
    <w:rsid w:val="00097063"/>
    <w:rsid w:val="000A1A89"/>
    <w:rsid w:val="000A345B"/>
    <w:rsid w:val="000A372A"/>
    <w:rsid w:val="000A395D"/>
    <w:rsid w:val="000A4621"/>
    <w:rsid w:val="000A56A5"/>
    <w:rsid w:val="000A5C86"/>
    <w:rsid w:val="000A6897"/>
    <w:rsid w:val="000A6DBE"/>
    <w:rsid w:val="000A78AC"/>
    <w:rsid w:val="000B1FC4"/>
    <w:rsid w:val="000B2404"/>
    <w:rsid w:val="000B36D8"/>
    <w:rsid w:val="000B39DF"/>
    <w:rsid w:val="000B3B7D"/>
    <w:rsid w:val="000C021C"/>
    <w:rsid w:val="000C19EF"/>
    <w:rsid w:val="000C37C9"/>
    <w:rsid w:val="000C3B86"/>
    <w:rsid w:val="000C4A24"/>
    <w:rsid w:val="000C5207"/>
    <w:rsid w:val="000C6FB8"/>
    <w:rsid w:val="000C7D72"/>
    <w:rsid w:val="000D0D66"/>
    <w:rsid w:val="000D13E5"/>
    <w:rsid w:val="000D1DBB"/>
    <w:rsid w:val="000D430C"/>
    <w:rsid w:val="000D43DE"/>
    <w:rsid w:val="000D4D72"/>
    <w:rsid w:val="000D50B2"/>
    <w:rsid w:val="000D7280"/>
    <w:rsid w:val="000D735A"/>
    <w:rsid w:val="000E0A85"/>
    <w:rsid w:val="000E1AB6"/>
    <w:rsid w:val="000E3E51"/>
    <w:rsid w:val="000E3EC5"/>
    <w:rsid w:val="000E4DC9"/>
    <w:rsid w:val="000E5CC4"/>
    <w:rsid w:val="000E6280"/>
    <w:rsid w:val="000E68E3"/>
    <w:rsid w:val="000E6ABD"/>
    <w:rsid w:val="000E6DDB"/>
    <w:rsid w:val="000E74A6"/>
    <w:rsid w:val="000E77B7"/>
    <w:rsid w:val="000F03B1"/>
    <w:rsid w:val="000F08AE"/>
    <w:rsid w:val="000F2D33"/>
    <w:rsid w:val="000F43F4"/>
    <w:rsid w:val="000F440E"/>
    <w:rsid w:val="000F73B7"/>
    <w:rsid w:val="000F7E7B"/>
    <w:rsid w:val="001002F8"/>
    <w:rsid w:val="001028CC"/>
    <w:rsid w:val="00102FA3"/>
    <w:rsid w:val="00103CAA"/>
    <w:rsid w:val="001045F9"/>
    <w:rsid w:val="0010472B"/>
    <w:rsid w:val="0010657F"/>
    <w:rsid w:val="001118DD"/>
    <w:rsid w:val="00111C30"/>
    <w:rsid w:val="001133E0"/>
    <w:rsid w:val="001158AC"/>
    <w:rsid w:val="00115C07"/>
    <w:rsid w:val="001163D6"/>
    <w:rsid w:val="00116BBB"/>
    <w:rsid w:val="0011726A"/>
    <w:rsid w:val="001174B8"/>
    <w:rsid w:val="00117BBD"/>
    <w:rsid w:val="00120AF7"/>
    <w:rsid w:val="00121EB0"/>
    <w:rsid w:val="001232BC"/>
    <w:rsid w:val="001236BA"/>
    <w:rsid w:val="00123925"/>
    <w:rsid w:val="00124C55"/>
    <w:rsid w:val="00126641"/>
    <w:rsid w:val="00127135"/>
    <w:rsid w:val="00127E71"/>
    <w:rsid w:val="00133D3A"/>
    <w:rsid w:val="00135505"/>
    <w:rsid w:val="00135D06"/>
    <w:rsid w:val="001367B5"/>
    <w:rsid w:val="00143DAC"/>
    <w:rsid w:val="00143E88"/>
    <w:rsid w:val="00145159"/>
    <w:rsid w:val="001455D8"/>
    <w:rsid w:val="00146AA9"/>
    <w:rsid w:val="00151129"/>
    <w:rsid w:val="001513E8"/>
    <w:rsid w:val="00151ABB"/>
    <w:rsid w:val="00153393"/>
    <w:rsid w:val="00153CB1"/>
    <w:rsid w:val="00154176"/>
    <w:rsid w:val="0015428D"/>
    <w:rsid w:val="00154447"/>
    <w:rsid w:val="00154F5B"/>
    <w:rsid w:val="00156651"/>
    <w:rsid w:val="00156CEB"/>
    <w:rsid w:val="00161DAC"/>
    <w:rsid w:val="00162B55"/>
    <w:rsid w:val="00162D8B"/>
    <w:rsid w:val="001638E9"/>
    <w:rsid w:val="00165FC1"/>
    <w:rsid w:val="001714C6"/>
    <w:rsid w:val="00171A85"/>
    <w:rsid w:val="00171DEC"/>
    <w:rsid w:val="00174565"/>
    <w:rsid w:val="00175BB3"/>
    <w:rsid w:val="001773D0"/>
    <w:rsid w:val="001808A4"/>
    <w:rsid w:val="001832F0"/>
    <w:rsid w:val="00183A16"/>
    <w:rsid w:val="00191C86"/>
    <w:rsid w:val="001923C8"/>
    <w:rsid w:val="001A0106"/>
    <w:rsid w:val="001A02CB"/>
    <w:rsid w:val="001A11DB"/>
    <w:rsid w:val="001A1A8B"/>
    <w:rsid w:val="001A2E1D"/>
    <w:rsid w:val="001A6256"/>
    <w:rsid w:val="001A63EA"/>
    <w:rsid w:val="001A789B"/>
    <w:rsid w:val="001B0C75"/>
    <w:rsid w:val="001B0D40"/>
    <w:rsid w:val="001B3342"/>
    <w:rsid w:val="001B44C2"/>
    <w:rsid w:val="001B5446"/>
    <w:rsid w:val="001B659F"/>
    <w:rsid w:val="001B70B3"/>
    <w:rsid w:val="001B7655"/>
    <w:rsid w:val="001C1166"/>
    <w:rsid w:val="001C167B"/>
    <w:rsid w:val="001C1EF3"/>
    <w:rsid w:val="001C3D0B"/>
    <w:rsid w:val="001C7B78"/>
    <w:rsid w:val="001C7FA9"/>
    <w:rsid w:val="001D11DE"/>
    <w:rsid w:val="001D1DDB"/>
    <w:rsid w:val="001D53EA"/>
    <w:rsid w:val="001D597A"/>
    <w:rsid w:val="001D6F7C"/>
    <w:rsid w:val="001D74EC"/>
    <w:rsid w:val="001E06A3"/>
    <w:rsid w:val="001E12A5"/>
    <w:rsid w:val="001E3A18"/>
    <w:rsid w:val="001E66F4"/>
    <w:rsid w:val="001E6755"/>
    <w:rsid w:val="001E717D"/>
    <w:rsid w:val="001E7D86"/>
    <w:rsid w:val="001F0B91"/>
    <w:rsid w:val="001F377B"/>
    <w:rsid w:val="001F3CF9"/>
    <w:rsid w:val="001F493E"/>
    <w:rsid w:val="001F55E5"/>
    <w:rsid w:val="001F5CB9"/>
    <w:rsid w:val="002001B7"/>
    <w:rsid w:val="00200DC3"/>
    <w:rsid w:val="00203395"/>
    <w:rsid w:val="002048D9"/>
    <w:rsid w:val="002050B0"/>
    <w:rsid w:val="00205870"/>
    <w:rsid w:val="00205D80"/>
    <w:rsid w:val="0021093F"/>
    <w:rsid w:val="00211E02"/>
    <w:rsid w:val="00212381"/>
    <w:rsid w:val="002133CA"/>
    <w:rsid w:val="0021502D"/>
    <w:rsid w:val="00215783"/>
    <w:rsid w:val="00215885"/>
    <w:rsid w:val="0021644B"/>
    <w:rsid w:val="00217CA0"/>
    <w:rsid w:val="002202EB"/>
    <w:rsid w:val="00220FCF"/>
    <w:rsid w:val="00221705"/>
    <w:rsid w:val="00222ED9"/>
    <w:rsid w:val="0022385C"/>
    <w:rsid w:val="002247EA"/>
    <w:rsid w:val="00230273"/>
    <w:rsid w:val="002329C3"/>
    <w:rsid w:val="002332AE"/>
    <w:rsid w:val="002333C2"/>
    <w:rsid w:val="00234040"/>
    <w:rsid w:val="002343D2"/>
    <w:rsid w:val="00234DDD"/>
    <w:rsid w:val="00235DF5"/>
    <w:rsid w:val="00241086"/>
    <w:rsid w:val="0024343B"/>
    <w:rsid w:val="00244D22"/>
    <w:rsid w:val="00244E40"/>
    <w:rsid w:val="00245A28"/>
    <w:rsid w:val="00246C09"/>
    <w:rsid w:val="00246FE6"/>
    <w:rsid w:val="00250A15"/>
    <w:rsid w:val="00250D6C"/>
    <w:rsid w:val="00252C4C"/>
    <w:rsid w:val="0025304F"/>
    <w:rsid w:val="00254794"/>
    <w:rsid w:val="0025598F"/>
    <w:rsid w:val="00256095"/>
    <w:rsid w:val="0025618C"/>
    <w:rsid w:val="00256BB0"/>
    <w:rsid w:val="00257FF4"/>
    <w:rsid w:val="00260156"/>
    <w:rsid w:val="002608CE"/>
    <w:rsid w:val="0026279C"/>
    <w:rsid w:val="00262CD3"/>
    <w:rsid w:val="00263F31"/>
    <w:rsid w:val="00265289"/>
    <w:rsid w:val="00266613"/>
    <w:rsid w:val="00266FE9"/>
    <w:rsid w:val="0027614D"/>
    <w:rsid w:val="00276F99"/>
    <w:rsid w:val="00280051"/>
    <w:rsid w:val="00281CF6"/>
    <w:rsid w:val="00282F14"/>
    <w:rsid w:val="0028359B"/>
    <w:rsid w:val="00283701"/>
    <w:rsid w:val="002838F1"/>
    <w:rsid w:val="002852A4"/>
    <w:rsid w:val="0028532B"/>
    <w:rsid w:val="002857FE"/>
    <w:rsid w:val="00286202"/>
    <w:rsid w:val="0028685E"/>
    <w:rsid w:val="002872E6"/>
    <w:rsid w:val="00292D6A"/>
    <w:rsid w:val="0029312A"/>
    <w:rsid w:val="00293B2D"/>
    <w:rsid w:val="002960B7"/>
    <w:rsid w:val="00297824"/>
    <w:rsid w:val="00297BD2"/>
    <w:rsid w:val="002A153F"/>
    <w:rsid w:val="002A5C2D"/>
    <w:rsid w:val="002A61E5"/>
    <w:rsid w:val="002A7FC8"/>
    <w:rsid w:val="002B0328"/>
    <w:rsid w:val="002B0A81"/>
    <w:rsid w:val="002B1CE7"/>
    <w:rsid w:val="002B2A46"/>
    <w:rsid w:val="002B2F0F"/>
    <w:rsid w:val="002B5F6A"/>
    <w:rsid w:val="002B779E"/>
    <w:rsid w:val="002B7951"/>
    <w:rsid w:val="002B7D78"/>
    <w:rsid w:val="002C0134"/>
    <w:rsid w:val="002C0552"/>
    <w:rsid w:val="002C1480"/>
    <w:rsid w:val="002C2281"/>
    <w:rsid w:val="002C280B"/>
    <w:rsid w:val="002C2DB0"/>
    <w:rsid w:val="002C6E89"/>
    <w:rsid w:val="002C75B0"/>
    <w:rsid w:val="002C7703"/>
    <w:rsid w:val="002C7A63"/>
    <w:rsid w:val="002D0153"/>
    <w:rsid w:val="002D2222"/>
    <w:rsid w:val="002D403A"/>
    <w:rsid w:val="002D4262"/>
    <w:rsid w:val="002E1064"/>
    <w:rsid w:val="002E1E87"/>
    <w:rsid w:val="002E323F"/>
    <w:rsid w:val="002E4A86"/>
    <w:rsid w:val="002E64CC"/>
    <w:rsid w:val="002E744E"/>
    <w:rsid w:val="002F3C42"/>
    <w:rsid w:val="002F6001"/>
    <w:rsid w:val="002F6454"/>
    <w:rsid w:val="00300013"/>
    <w:rsid w:val="003006F8"/>
    <w:rsid w:val="00300BF2"/>
    <w:rsid w:val="003027C1"/>
    <w:rsid w:val="003032ED"/>
    <w:rsid w:val="0030480B"/>
    <w:rsid w:val="00305718"/>
    <w:rsid w:val="00305F1A"/>
    <w:rsid w:val="0030660C"/>
    <w:rsid w:val="00306B0A"/>
    <w:rsid w:val="003077B8"/>
    <w:rsid w:val="003111F8"/>
    <w:rsid w:val="0031204A"/>
    <w:rsid w:val="0031272B"/>
    <w:rsid w:val="00312FD8"/>
    <w:rsid w:val="003175C8"/>
    <w:rsid w:val="00317FDF"/>
    <w:rsid w:val="0032038C"/>
    <w:rsid w:val="003214A0"/>
    <w:rsid w:val="00325C5E"/>
    <w:rsid w:val="00331C5F"/>
    <w:rsid w:val="00332E54"/>
    <w:rsid w:val="00333014"/>
    <w:rsid w:val="00333074"/>
    <w:rsid w:val="00333B22"/>
    <w:rsid w:val="0033425D"/>
    <w:rsid w:val="00337F82"/>
    <w:rsid w:val="00340FD7"/>
    <w:rsid w:val="003435D6"/>
    <w:rsid w:val="003458E0"/>
    <w:rsid w:val="00345CCD"/>
    <w:rsid w:val="003463F7"/>
    <w:rsid w:val="003471FA"/>
    <w:rsid w:val="003511CE"/>
    <w:rsid w:val="003516E9"/>
    <w:rsid w:val="00352BE0"/>
    <w:rsid w:val="0035333E"/>
    <w:rsid w:val="00354268"/>
    <w:rsid w:val="0035489A"/>
    <w:rsid w:val="003562A9"/>
    <w:rsid w:val="00357BAC"/>
    <w:rsid w:val="00357DAE"/>
    <w:rsid w:val="00361259"/>
    <w:rsid w:val="00361429"/>
    <w:rsid w:val="00361895"/>
    <w:rsid w:val="00363432"/>
    <w:rsid w:val="003703F2"/>
    <w:rsid w:val="003705BF"/>
    <w:rsid w:val="00370935"/>
    <w:rsid w:val="0037158D"/>
    <w:rsid w:val="00374946"/>
    <w:rsid w:val="00374E77"/>
    <w:rsid w:val="00382234"/>
    <w:rsid w:val="0038672F"/>
    <w:rsid w:val="00386F24"/>
    <w:rsid w:val="0039053D"/>
    <w:rsid w:val="00393904"/>
    <w:rsid w:val="0039449C"/>
    <w:rsid w:val="00396E59"/>
    <w:rsid w:val="003A0290"/>
    <w:rsid w:val="003A0D77"/>
    <w:rsid w:val="003A3E20"/>
    <w:rsid w:val="003A6154"/>
    <w:rsid w:val="003B0D03"/>
    <w:rsid w:val="003B162A"/>
    <w:rsid w:val="003B2C1F"/>
    <w:rsid w:val="003B6BAE"/>
    <w:rsid w:val="003B71EE"/>
    <w:rsid w:val="003B7542"/>
    <w:rsid w:val="003B7621"/>
    <w:rsid w:val="003B788E"/>
    <w:rsid w:val="003C1EB4"/>
    <w:rsid w:val="003C298F"/>
    <w:rsid w:val="003C396E"/>
    <w:rsid w:val="003C603C"/>
    <w:rsid w:val="003C753F"/>
    <w:rsid w:val="003D1E47"/>
    <w:rsid w:val="003D3667"/>
    <w:rsid w:val="003D3C14"/>
    <w:rsid w:val="003D3E3B"/>
    <w:rsid w:val="003D4557"/>
    <w:rsid w:val="003D543D"/>
    <w:rsid w:val="003D59FD"/>
    <w:rsid w:val="003D73F6"/>
    <w:rsid w:val="003D79B6"/>
    <w:rsid w:val="003D79F2"/>
    <w:rsid w:val="003E10B8"/>
    <w:rsid w:val="003E122D"/>
    <w:rsid w:val="003E13F5"/>
    <w:rsid w:val="003E3624"/>
    <w:rsid w:val="003E44FF"/>
    <w:rsid w:val="003E4E15"/>
    <w:rsid w:val="003E5AE8"/>
    <w:rsid w:val="003F039D"/>
    <w:rsid w:val="003F07EE"/>
    <w:rsid w:val="003F1DFA"/>
    <w:rsid w:val="003F29F2"/>
    <w:rsid w:val="003F3300"/>
    <w:rsid w:val="003F3B22"/>
    <w:rsid w:val="003F47DF"/>
    <w:rsid w:val="003F78BD"/>
    <w:rsid w:val="003F7BC3"/>
    <w:rsid w:val="0040134D"/>
    <w:rsid w:val="00403730"/>
    <w:rsid w:val="00404D6A"/>
    <w:rsid w:val="00405E90"/>
    <w:rsid w:val="0040657D"/>
    <w:rsid w:val="004065CE"/>
    <w:rsid w:val="004065DF"/>
    <w:rsid w:val="004102B4"/>
    <w:rsid w:val="004105DD"/>
    <w:rsid w:val="00410DCE"/>
    <w:rsid w:val="00413105"/>
    <w:rsid w:val="0041429D"/>
    <w:rsid w:val="00415B28"/>
    <w:rsid w:val="0041765C"/>
    <w:rsid w:val="004205C7"/>
    <w:rsid w:val="00420837"/>
    <w:rsid w:val="00421EEC"/>
    <w:rsid w:val="00422933"/>
    <w:rsid w:val="00422E8E"/>
    <w:rsid w:val="004248B4"/>
    <w:rsid w:val="00424A86"/>
    <w:rsid w:val="00424C66"/>
    <w:rsid w:val="00431BF1"/>
    <w:rsid w:val="004342F8"/>
    <w:rsid w:val="0044083A"/>
    <w:rsid w:val="0044408A"/>
    <w:rsid w:val="00446AA3"/>
    <w:rsid w:val="0045065F"/>
    <w:rsid w:val="00451501"/>
    <w:rsid w:val="00451513"/>
    <w:rsid w:val="0045269D"/>
    <w:rsid w:val="004528D0"/>
    <w:rsid w:val="00454368"/>
    <w:rsid w:val="0045491B"/>
    <w:rsid w:val="004562E5"/>
    <w:rsid w:val="00457BC3"/>
    <w:rsid w:val="0046034D"/>
    <w:rsid w:val="0046390C"/>
    <w:rsid w:val="004639E3"/>
    <w:rsid w:val="00467BDD"/>
    <w:rsid w:val="00470E25"/>
    <w:rsid w:val="004717F6"/>
    <w:rsid w:val="00471E36"/>
    <w:rsid w:val="00472969"/>
    <w:rsid w:val="00473B68"/>
    <w:rsid w:val="004806C5"/>
    <w:rsid w:val="00480F34"/>
    <w:rsid w:val="004814D7"/>
    <w:rsid w:val="004815F8"/>
    <w:rsid w:val="00481E32"/>
    <w:rsid w:val="004831ED"/>
    <w:rsid w:val="004836A7"/>
    <w:rsid w:val="00484921"/>
    <w:rsid w:val="00484B57"/>
    <w:rsid w:val="00486614"/>
    <w:rsid w:val="004874C2"/>
    <w:rsid w:val="00487E11"/>
    <w:rsid w:val="00487FB8"/>
    <w:rsid w:val="00490D8B"/>
    <w:rsid w:val="00490DF6"/>
    <w:rsid w:val="00491FB2"/>
    <w:rsid w:val="00495C39"/>
    <w:rsid w:val="004A28C5"/>
    <w:rsid w:val="004A43E6"/>
    <w:rsid w:val="004A501B"/>
    <w:rsid w:val="004A660C"/>
    <w:rsid w:val="004A76FE"/>
    <w:rsid w:val="004B0B19"/>
    <w:rsid w:val="004B27D1"/>
    <w:rsid w:val="004B37A7"/>
    <w:rsid w:val="004B3A59"/>
    <w:rsid w:val="004B4426"/>
    <w:rsid w:val="004B5F2A"/>
    <w:rsid w:val="004C2A17"/>
    <w:rsid w:val="004D23A9"/>
    <w:rsid w:val="004D29F5"/>
    <w:rsid w:val="004D3A2C"/>
    <w:rsid w:val="004D6F87"/>
    <w:rsid w:val="004D76C2"/>
    <w:rsid w:val="004E043F"/>
    <w:rsid w:val="004E1276"/>
    <w:rsid w:val="004E1CBC"/>
    <w:rsid w:val="004E230F"/>
    <w:rsid w:val="004E2825"/>
    <w:rsid w:val="004E35E6"/>
    <w:rsid w:val="004E4C65"/>
    <w:rsid w:val="004E62E4"/>
    <w:rsid w:val="004F0F5B"/>
    <w:rsid w:val="004F1D81"/>
    <w:rsid w:val="004F22B8"/>
    <w:rsid w:val="004F2437"/>
    <w:rsid w:val="004F433A"/>
    <w:rsid w:val="004F526B"/>
    <w:rsid w:val="004F6201"/>
    <w:rsid w:val="004F634F"/>
    <w:rsid w:val="0050113C"/>
    <w:rsid w:val="0050141B"/>
    <w:rsid w:val="005021AD"/>
    <w:rsid w:val="00502638"/>
    <w:rsid w:val="005048E3"/>
    <w:rsid w:val="00505A77"/>
    <w:rsid w:val="00505CB3"/>
    <w:rsid w:val="005066FA"/>
    <w:rsid w:val="00506EB0"/>
    <w:rsid w:val="00507F61"/>
    <w:rsid w:val="005136CD"/>
    <w:rsid w:val="00513FCF"/>
    <w:rsid w:val="005155AE"/>
    <w:rsid w:val="00516DC0"/>
    <w:rsid w:val="005178C9"/>
    <w:rsid w:val="005215AB"/>
    <w:rsid w:val="00521860"/>
    <w:rsid w:val="005222CC"/>
    <w:rsid w:val="00525AB1"/>
    <w:rsid w:val="005277F5"/>
    <w:rsid w:val="005310C1"/>
    <w:rsid w:val="00531B44"/>
    <w:rsid w:val="00531BE4"/>
    <w:rsid w:val="00532994"/>
    <w:rsid w:val="005329BE"/>
    <w:rsid w:val="00533515"/>
    <w:rsid w:val="00533734"/>
    <w:rsid w:val="00534966"/>
    <w:rsid w:val="00534AC0"/>
    <w:rsid w:val="00535557"/>
    <w:rsid w:val="0053606A"/>
    <w:rsid w:val="005369C0"/>
    <w:rsid w:val="00541254"/>
    <w:rsid w:val="00542BA5"/>
    <w:rsid w:val="00545841"/>
    <w:rsid w:val="00547EB8"/>
    <w:rsid w:val="005526C6"/>
    <w:rsid w:val="005528B6"/>
    <w:rsid w:val="00552FC2"/>
    <w:rsid w:val="00553DA2"/>
    <w:rsid w:val="00553EC3"/>
    <w:rsid w:val="00557A85"/>
    <w:rsid w:val="005606B5"/>
    <w:rsid w:val="0056174F"/>
    <w:rsid w:val="005667E3"/>
    <w:rsid w:val="005720BC"/>
    <w:rsid w:val="005735CF"/>
    <w:rsid w:val="00573A78"/>
    <w:rsid w:val="00574729"/>
    <w:rsid w:val="00574906"/>
    <w:rsid w:val="00574E9E"/>
    <w:rsid w:val="005752BC"/>
    <w:rsid w:val="00576137"/>
    <w:rsid w:val="00576885"/>
    <w:rsid w:val="00577977"/>
    <w:rsid w:val="00577B52"/>
    <w:rsid w:val="00580503"/>
    <w:rsid w:val="00581D30"/>
    <w:rsid w:val="00584245"/>
    <w:rsid w:val="00584D80"/>
    <w:rsid w:val="00586BB5"/>
    <w:rsid w:val="00586EC0"/>
    <w:rsid w:val="00587E8D"/>
    <w:rsid w:val="00590B75"/>
    <w:rsid w:val="00590DAA"/>
    <w:rsid w:val="00592349"/>
    <w:rsid w:val="005932CC"/>
    <w:rsid w:val="00596F3F"/>
    <w:rsid w:val="005973D1"/>
    <w:rsid w:val="00597EEF"/>
    <w:rsid w:val="005A1122"/>
    <w:rsid w:val="005A1731"/>
    <w:rsid w:val="005A1C4E"/>
    <w:rsid w:val="005A4A1A"/>
    <w:rsid w:val="005A54B5"/>
    <w:rsid w:val="005A587B"/>
    <w:rsid w:val="005A61D3"/>
    <w:rsid w:val="005A6F4B"/>
    <w:rsid w:val="005A7E70"/>
    <w:rsid w:val="005B2E2E"/>
    <w:rsid w:val="005B3F4A"/>
    <w:rsid w:val="005B6DAA"/>
    <w:rsid w:val="005B7314"/>
    <w:rsid w:val="005B79DD"/>
    <w:rsid w:val="005B7D8B"/>
    <w:rsid w:val="005C03F6"/>
    <w:rsid w:val="005C0475"/>
    <w:rsid w:val="005C1569"/>
    <w:rsid w:val="005C3AF4"/>
    <w:rsid w:val="005C4604"/>
    <w:rsid w:val="005C6C68"/>
    <w:rsid w:val="005C6E74"/>
    <w:rsid w:val="005C71B9"/>
    <w:rsid w:val="005C781C"/>
    <w:rsid w:val="005D17E4"/>
    <w:rsid w:val="005D1AEC"/>
    <w:rsid w:val="005D3BC0"/>
    <w:rsid w:val="005D4CEA"/>
    <w:rsid w:val="005D7746"/>
    <w:rsid w:val="005D77BB"/>
    <w:rsid w:val="005D7A35"/>
    <w:rsid w:val="005E034F"/>
    <w:rsid w:val="005E0D81"/>
    <w:rsid w:val="005E1528"/>
    <w:rsid w:val="005E2E87"/>
    <w:rsid w:val="005E3F96"/>
    <w:rsid w:val="005E3FFD"/>
    <w:rsid w:val="005E442F"/>
    <w:rsid w:val="005E61D8"/>
    <w:rsid w:val="005E78B0"/>
    <w:rsid w:val="005E7E2C"/>
    <w:rsid w:val="005F0FE8"/>
    <w:rsid w:val="005F29A2"/>
    <w:rsid w:val="005F29CD"/>
    <w:rsid w:val="005F3175"/>
    <w:rsid w:val="005F3436"/>
    <w:rsid w:val="005F642B"/>
    <w:rsid w:val="00600CFA"/>
    <w:rsid w:val="00601754"/>
    <w:rsid w:val="006026E1"/>
    <w:rsid w:val="00602A3A"/>
    <w:rsid w:val="00603A90"/>
    <w:rsid w:val="006065BF"/>
    <w:rsid w:val="006103D0"/>
    <w:rsid w:val="00610A3A"/>
    <w:rsid w:val="00611FF6"/>
    <w:rsid w:val="0061364A"/>
    <w:rsid w:val="0061402C"/>
    <w:rsid w:val="00614D43"/>
    <w:rsid w:val="0061542B"/>
    <w:rsid w:val="0061675B"/>
    <w:rsid w:val="00616977"/>
    <w:rsid w:val="00617D6B"/>
    <w:rsid w:val="0062052B"/>
    <w:rsid w:val="00621A86"/>
    <w:rsid w:val="00623401"/>
    <w:rsid w:val="00623D2F"/>
    <w:rsid w:val="00624514"/>
    <w:rsid w:val="00625C40"/>
    <w:rsid w:val="00626704"/>
    <w:rsid w:val="00627E7C"/>
    <w:rsid w:val="00631369"/>
    <w:rsid w:val="0063262D"/>
    <w:rsid w:val="00632A59"/>
    <w:rsid w:val="006331B2"/>
    <w:rsid w:val="006333D8"/>
    <w:rsid w:val="006354C4"/>
    <w:rsid w:val="006368A3"/>
    <w:rsid w:val="00637BBD"/>
    <w:rsid w:val="00640D17"/>
    <w:rsid w:val="006434BB"/>
    <w:rsid w:val="006474C0"/>
    <w:rsid w:val="00650434"/>
    <w:rsid w:val="00651844"/>
    <w:rsid w:val="006520F2"/>
    <w:rsid w:val="00652B9B"/>
    <w:rsid w:val="00653675"/>
    <w:rsid w:val="00653DD9"/>
    <w:rsid w:val="006545C3"/>
    <w:rsid w:val="00654E6A"/>
    <w:rsid w:val="006571E4"/>
    <w:rsid w:val="006575F3"/>
    <w:rsid w:val="00660254"/>
    <w:rsid w:val="0066352E"/>
    <w:rsid w:val="006642BD"/>
    <w:rsid w:val="00664E08"/>
    <w:rsid w:val="00665AAF"/>
    <w:rsid w:val="00667289"/>
    <w:rsid w:val="0066774D"/>
    <w:rsid w:val="00667D7F"/>
    <w:rsid w:val="00667F42"/>
    <w:rsid w:val="00670333"/>
    <w:rsid w:val="00671284"/>
    <w:rsid w:val="006731DE"/>
    <w:rsid w:val="00674BCA"/>
    <w:rsid w:val="00675C4B"/>
    <w:rsid w:val="00676E5B"/>
    <w:rsid w:val="00677D6B"/>
    <w:rsid w:val="00680795"/>
    <w:rsid w:val="00680E3F"/>
    <w:rsid w:val="00682713"/>
    <w:rsid w:val="00683579"/>
    <w:rsid w:val="00684A96"/>
    <w:rsid w:val="0068507A"/>
    <w:rsid w:val="006854CE"/>
    <w:rsid w:val="00685F8C"/>
    <w:rsid w:val="0068790B"/>
    <w:rsid w:val="0069058C"/>
    <w:rsid w:val="006941DD"/>
    <w:rsid w:val="0069466B"/>
    <w:rsid w:val="006949C4"/>
    <w:rsid w:val="006957D3"/>
    <w:rsid w:val="00695C1D"/>
    <w:rsid w:val="006A17D3"/>
    <w:rsid w:val="006A5866"/>
    <w:rsid w:val="006A6214"/>
    <w:rsid w:val="006B0F54"/>
    <w:rsid w:val="006B1294"/>
    <w:rsid w:val="006B1A4E"/>
    <w:rsid w:val="006B2BC0"/>
    <w:rsid w:val="006B3CCB"/>
    <w:rsid w:val="006B415B"/>
    <w:rsid w:val="006B4C95"/>
    <w:rsid w:val="006B4CBA"/>
    <w:rsid w:val="006B6620"/>
    <w:rsid w:val="006B6F55"/>
    <w:rsid w:val="006B7562"/>
    <w:rsid w:val="006C4A0F"/>
    <w:rsid w:val="006C4E45"/>
    <w:rsid w:val="006C5EE1"/>
    <w:rsid w:val="006C604C"/>
    <w:rsid w:val="006C61B1"/>
    <w:rsid w:val="006C623F"/>
    <w:rsid w:val="006C62DF"/>
    <w:rsid w:val="006C6D86"/>
    <w:rsid w:val="006C7E7D"/>
    <w:rsid w:val="006D02E4"/>
    <w:rsid w:val="006D0669"/>
    <w:rsid w:val="006D2013"/>
    <w:rsid w:val="006D2FCC"/>
    <w:rsid w:val="006D3771"/>
    <w:rsid w:val="006D423E"/>
    <w:rsid w:val="006D440A"/>
    <w:rsid w:val="006D4633"/>
    <w:rsid w:val="006D62BE"/>
    <w:rsid w:val="006D63C1"/>
    <w:rsid w:val="006D6EF6"/>
    <w:rsid w:val="006D758C"/>
    <w:rsid w:val="006D7B71"/>
    <w:rsid w:val="006E0006"/>
    <w:rsid w:val="006E336C"/>
    <w:rsid w:val="006E3B9E"/>
    <w:rsid w:val="006E4A27"/>
    <w:rsid w:val="006E4C8A"/>
    <w:rsid w:val="006E5536"/>
    <w:rsid w:val="006E5828"/>
    <w:rsid w:val="006E5972"/>
    <w:rsid w:val="006E6035"/>
    <w:rsid w:val="006E6377"/>
    <w:rsid w:val="006E6852"/>
    <w:rsid w:val="006E784F"/>
    <w:rsid w:val="006F0B4F"/>
    <w:rsid w:val="006F2DF3"/>
    <w:rsid w:val="006F3C6F"/>
    <w:rsid w:val="006F41C6"/>
    <w:rsid w:val="006F53CD"/>
    <w:rsid w:val="006F548E"/>
    <w:rsid w:val="006F5DD9"/>
    <w:rsid w:val="006F6FA2"/>
    <w:rsid w:val="006F768E"/>
    <w:rsid w:val="007001D0"/>
    <w:rsid w:val="00701498"/>
    <w:rsid w:val="00701E70"/>
    <w:rsid w:val="00704F47"/>
    <w:rsid w:val="0070608B"/>
    <w:rsid w:val="00706BCD"/>
    <w:rsid w:val="00706DE7"/>
    <w:rsid w:val="007072C2"/>
    <w:rsid w:val="0070746B"/>
    <w:rsid w:val="007075CA"/>
    <w:rsid w:val="00707E86"/>
    <w:rsid w:val="0071151E"/>
    <w:rsid w:val="00711D68"/>
    <w:rsid w:val="0071482B"/>
    <w:rsid w:val="00714C8F"/>
    <w:rsid w:val="00715386"/>
    <w:rsid w:val="00715A32"/>
    <w:rsid w:val="00716F57"/>
    <w:rsid w:val="00721409"/>
    <w:rsid w:val="00721B4F"/>
    <w:rsid w:val="007221A2"/>
    <w:rsid w:val="00722935"/>
    <w:rsid w:val="00722F5A"/>
    <w:rsid w:val="00723DE2"/>
    <w:rsid w:val="00724AB2"/>
    <w:rsid w:val="007264C9"/>
    <w:rsid w:val="00727815"/>
    <w:rsid w:val="00730E31"/>
    <w:rsid w:val="00731227"/>
    <w:rsid w:val="00733629"/>
    <w:rsid w:val="00734A54"/>
    <w:rsid w:val="00734E06"/>
    <w:rsid w:val="00736E9D"/>
    <w:rsid w:val="00740EF1"/>
    <w:rsid w:val="00741ECE"/>
    <w:rsid w:val="007423AD"/>
    <w:rsid w:val="007436A4"/>
    <w:rsid w:val="007441BF"/>
    <w:rsid w:val="00744CF7"/>
    <w:rsid w:val="00744DBD"/>
    <w:rsid w:val="007561F0"/>
    <w:rsid w:val="0075747C"/>
    <w:rsid w:val="0075754A"/>
    <w:rsid w:val="00757C25"/>
    <w:rsid w:val="0076083D"/>
    <w:rsid w:val="00761765"/>
    <w:rsid w:val="00761DC2"/>
    <w:rsid w:val="00762B1E"/>
    <w:rsid w:val="0076521A"/>
    <w:rsid w:val="00766434"/>
    <w:rsid w:val="00767668"/>
    <w:rsid w:val="00767682"/>
    <w:rsid w:val="00770B28"/>
    <w:rsid w:val="00770E10"/>
    <w:rsid w:val="00772107"/>
    <w:rsid w:val="00775146"/>
    <w:rsid w:val="00776097"/>
    <w:rsid w:val="007766A5"/>
    <w:rsid w:val="0078016D"/>
    <w:rsid w:val="007842C5"/>
    <w:rsid w:val="00790E9B"/>
    <w:rsid w:val="00791880"/>
    <w:rsid w:val="00791F9A"/>
    <w:rsid w:val="007927C6"/>
    <w:rsid w:val="00792D56"/>
    <w:rsid w:val="0079348E"/>
    <w:rsid w:val="0079405B"/>
    <w:rsid w:val="007A05F4"/>
    <w:rsid w:val="007A0BB9"/>
    <w:rsid w:val="007A102A"/>
    <w:rsid w:val="007A4023"/>
    <w:rsid w:val="007A5A94"/>
    <w:rsid w:val="007B10CB"/>
    <w:rsid w:val="007B347F"/>
    <w:rsid w:val="007B3906"/>
    <w:rsid w:val="007B4251"/>
    <w:rsid w:val="007B4B71"/>
    <w:rsid w:val="007B4C1D"/>
    <w:rsid w:val="007B5E23"/>
    <w:rsid w:val="007C2270"/>
    <w:rsid w:val="007C27D4"/>
    <w:rsid w:val="007C570A"/>
    <w:rsid w:val="007C796F"/>
    <w:rsid w:val="007D1D99"/>
    <w:rsid w:val="007D5434"/>
    <w:rsid w:val="007D5994"/>
    <w:rsid w:val="007D763D"/>
    <w:rsid w:val="007E00B1"/>
    <w:rsid w:val="007E0749"/>
    <w:rsid w:val="007E0DC9"/>
    <w:rsid w:val="007E334F"/>
    <w:rsid w:val="007E59A9"/>
    <w:rsid w:val="007E5D39"/>
    <w:rsid w:val="007E66C8"/>
    <w:rsid w:val="007E67BD"/>
    <w:rsid w:val="007E6B7A"/>
    <w:rsid w:val="007F06E1"/>
    <w:rsid w:val="007F517F"/>
    <w:rsid w:val="007F5C15"/>
    <w:rsid w:val="007F6391"/>
    <w:rsid w:val="007F6FB8"/>
    <w:rsid w:val="008001FE"/>
    <w:rsid w:val="00801491"/>
    <w:rsid w:val="00803099"/>
    <w:rsid w:val="00805C03"/>
    <w:rsid w:val="00810809"/>
    <w:rsid w:val="00812741"/>
    <w:rsid w:val="00812854"/>
    <w:rsid w:val="008128E3"/>
    <w:rsid w:val="0081342F"/>
    <w:rsid w:val="00815871"/>
    <w:rsid w:val="0081587C"/>
    <w:rsid w:val="00817BCE"/>
    <w:rsid w:val="008209A9"/>
    <w:rsid w:val="00821789"/>
    <w:rsid w:val="008254DE"/>
    <w:rsid w:val="00826C07"/>
    <w:rsid w:val="00830017"/>
    <w:rsid w:val="00830DC9"/>
    <w:rsid w:val="0083178E"/>
    <w:rsid w:val="00833A6A"/>
    <w:rsid w:val="00833E2F"/>
    <w:rsid w:val="008344AC"/>
    <w:rsid w:val="00835EA6"/>
    <w:rsid w:val="008368F3"/>
    <w:rsid w:val="00836E5E"/>
    <w:rsid w:val="008400A8"/>
    <w:rsid w:val="008405F5"/>
    <w:rsid w:val="00840823"/>
    <w:rsid w:val="008449FF"/>
    <w:rsid w:val="00845F33"/>
    <w:rsid w:val="00845F3D"/>
    <w:rsid w:val="0084601D"/>
    <w:rsid w:val="00846446"/>
    <w:rsid w:val="00846C73"/>
    <w:rsid w:val="00846CB2"/>
    <w:rsid w:val="00847BA1"/>
    <w:rsid w:val="0085161D"/>
    <w:rsid w:val="00852FC3"/>
    <w:rsid w:val="00855597"/>
    <w:rsid w:val="00855780"/>
    <w:rsid w:val="00856178"/>
    <w:rsid w:val="00856408"/>
    <w:rsid w:val="0085677A"/>
    <w:rsid w:val="008602D2"/>
    <w:rsid w:val="00861AB4"/>
    <w:rsid w:val="00862545"/>
    <w:rsid w:val="0086300B"/>
    <w:rsid w:val="00865628"/>
    <w:rsid w:val="00865A76"/>
    <w:rsid w:val="0086730B"/>
    <w:rsid w:val="008679E6"/>
    <w:rsid w:val="00867A0F"/>
    <w:rsid w:val="0087165B"/>
    <w:rsid w:val="00871811"/>
    <w:rsid w:val="008719B7"/>
    <w:rsid w:val="00872E1F"/>
    <w:rsid w:val="00873942"/>
    <w:rsid w:val="00873DAA"/>
    <w:rsid w:val="0087518C"/>
    <w:rsid w:val="00875303"/>
    <w:rsid w:val="008768E1"/>
    <w:rsid w:val="00881CBB"/>
    <w:rsid w:val="008833F7"/>
    <w:rsid w:val="0088456F"/>
    <w:rsid w:val="00885DA2"/>
    <w:rsid w:val="00885FE8"/>
    <w:rsid w:val="00886342"/>
    <w:rsid w:val="008875DE"/>
    <w:rsid w:val="0089079D"/>
    <w:rsid w:val="0089092F"/>
    <w:rsid w:val="008945AA"/>
    <w:rsid w:val="00895027"/>
    <w:rsid w:val="00897D35"/>
    <w:rsid w:val="008A0E85"/>
    <w:rsid w:val="008A18DA"/>
    <w:rsid w:val="008A1CB1"/>
    <w:rsid w:val="008A1DDE"/>
    <w:rsid w:val="008A371D"/>
    <w:rsid w:val="008A4E33"/>
    <w:rsid w:val="008A5443"/>
    <w:rsid w:val="008A5C23"/>
    <w:rsid w:val="008A5F01"/>
    <w:rsid w:val="008A5F96"/>
    <w:rsid w:val="008A6B50"/>
    <w:rsid w:val="008A6B66"/>
    <w:rsid w:val="008B0707"/>
    <w:rsid w:val="008B0969"/>
    <w:rsid w:val="008B0BA4"/>
    <w:rsid w:val="008B11D0"/>
    <w:rsid w:val="008B352F"/>
    <w:rsid w:val="008B4464"/>
    <w:rsid w:val="008B4BF2"/>
    <w:rsid w:val="008B5AFD"/>
    <w:rsid w:val="008B7A4E"/>
    <w:rsid w:val="008C0600"/>
    <w:rsid w:val="008C1506"/>
    <w:rsid w:val="008C2D30"/>
    <w:rsid w:val="008C3793"/>
    <w:rsid w:val="008C408E"/>
    <w:rsid w:val="008C4198"/>
    <w:rsid w:val="008C4D51"/>
    <w:rsid w:val="008D0AE4"/>
    <w:rsid w:val="008D2F52"/>
    <w:rsid w:val="008D74C3"/>
    <w:rsid w:val="008D7DFC"/>
    <w:rsid w:val="008E33EA"/>
    <w:rsid w:val="008E4180"/>
    <w:rsid w:val="008E4EF2"/>
    <w:rsid w:val="008E5296"/>
    <w:rsid w:val="008E54AF"/>
    <w:rsid w:val="008F0EA9"/>
    <w:rsid w:val="008F1932"/>
    <w:rsid w:val="008F1B1E"/>
    <w:rsid w:val="008F3E54"/>
    <w:rsid w:val="008F4110"/>
    <w:rsid w:val="008F411D"/>
    <w:rsid w:val="008F4D31"/>
    <w:rsid w:val="008F5FF0"/>
    <w:rsid w:val="008F63BC"/>
    <w:rsid w:val="008F7F78"/>
    <w:rsid w:val="00900316"/>
    <w:rsid w:val="0090394F"/>
    <w:rsid w:val="00907B9D"/>
    <w:rsid w:val="00910CFA"/>
    <w:rsid w:val="00911AEA"/>
    <w:rsid w:val="009125D2"/>
    <w:rsid w:val="00914833"/>
    <w:rsid w:val="00915E3F"/>
    <w:rsid w:val="00920FEE"/>
    <w:rsid w:val="0092273F"/>
    <w:rsid w:val="00922F68"/>
    <w:rsid w:val="00923343"/>
    <w:rsid w:val="009238F1"/>
    <w:rsid w:val="00926455"/>
    <w:rsid w:val="00934B3C"/>
    <w:rsid w:val="00934F10"/>
    <w:rsid w:val="00935C11"/>
    <w:rsid w:val="00935E14"/>
    <w:rsid w:val="0093667F"/>
    <w:rsid w:val="009418B7"/>
    <w:rsid w:val="00942454"/>
    <w:rsid w:val="00950287"/>
    <w:rsid w:val="00951BD3"/>
    <w:rsid w:val="00954447"/>
    <w:rsid w:val="00957310"/>
    <w:rsid w:val="0095750D"/>
    <w:rsid w:val="00962B8F"/>
    <w:rsid w:val="00964464"/>
    <w:rsid w:val="00965665"/>
    <w:rsid w:val="00966D4F"/>
    <w:rsid w:val="0097202E"/>
    <w:rsid w:val="00972B08"/>
    <w:rsid w:val="00972E0B"/>
    <w:rsid w:val="009734DE"/>
    <w:rsid w:val="00974A7C"/>
    <w:rsid w:val="009766FE"/>
    <w:rsid w:val="00976824"/>
    <w:rsid w:val="009769B2"/>
    <w:rsid w:val="00977C5B"/>
    <w:rsid w:val="00977D1D"/>
    <w:rsid w:val="0098024E"/>
    <w:rsid w:val="00980439"/>
    <w:rsid w:val="00981174"/>
    <w:rsid w:val="00982444"/>
    <w:rsid w:val="00982B60"/>
    <w:rsid w:val="00982D92"/>
    <w:rsid w:val="009834A0"/>
    <w:rsid w:val="0098445F"/>
    <w:rsid w:val="00985596"/>
    <w:rsid w:val="0098713A"/>
    <w:rsid w:val="0099058D"/>
    <w:rsid w:val="00991610"/>
    <w:rsid w:val="0099496C"/>
    <w:rsid w:val="00995228"/>
    <w:rsid w:val="00996001"/>
    <w:rsid w:val="00996569"/>
    <w:rsid w:val="009A057B"/>
    <w:rsid w:val="009A06F0"/>
    <w:rsid w:val="009A14DE"/>
    <w:rsid w:val="009A703B"/>
    <w:rsid w:val="009A7BC2"/>
    <w:rsid w:val="009B05C4"/>
    <w:rsid w:val="009B1897"/>
    <w:rsid w:val="009B1BB7"/>
    <w:rsid w:val="009B2AD8"/>
    <w:rsid w:val="009B35A5"/>
    <w:rsid w:val="009B3D8B"/>
    <w:rsid w:val="009B4974"/>
    <w:rsid w:val="009B7884"/>
    <w:rsid w:val="009C0992"/>
    <w:rsid w:val="009C0C48"/>
    <w:rsid w:val="009C1729"/>
    <w:rsid w:val="009C1830"/>
    <w:rsid w:val="009C2C09"/>
    <w:rsid w:val="009C2E5A"/>
    <w:rsid w:val="009C6214"/>
    <w:rsid w:val="009C7B18"/>
    <w:rsid w:val="009C7D55"/>
    <w:rsid w:val="009C7F52"/>
    <w:rsid w:val="009D07F2"/>
    <w:rsid w:val="009D1156"/>
    <w:rsid w:val="009D134E"/>
    <w:rsid w:val="009D1406"/>
    <w:rsid w:val="009D1884"/>
    <w:rsid w:val="009D3665"/>
    <w:rsid w:val="009D3C84"/>
    <w:rsid w:val="009D5825"/>
    <w:rsid w:val="009D5939"/>
    <w:rsid w:val="009D6969"/>
    <w:rsid w:val="009D69F9"/>
    <w:rsid w:val="009D7A58"/>
    <w:rsid w:val="009D7B00"/>
    <w:rsid w:val="009E0CED"/>
    <w:rsid w:val="009E387C"/>
    <w:rsid w:val="009E4043"/>
    <w:rsid w:val="009E43C1"/>
    <w:rsid w:val="009F049C"/>
    <w:rsid w:val="009F2158"/>
    <w:rsid w:val="009F3BA0"/>
    <w:rsid w:val="009F3F5D"/>
    <w:rsid w:val="009F4AA7"/>
    <w:rsid w:val="009F4CB9"/>
    <w:rsid w:val="009F53DE"/>
    <w:rsid w:val="00A00695"/>
    <w:rsid w:val="00A00847"/>
    <w:rsid w:val="00A01C02"/>
    <w:rsid w:val="00A03793"/>
    <w:rsid w:val="00A05113"/>
    <w:rsid w:val="00A054DC"/>
    <w:rsid w:val="00A0560C"/>
    <w:rsid w:val="00A069AE"/>
    <w:rsid w:val="00A07790"/>
    <w:rsid w:val="00A10389"/>
    <w:rsid w:val="00A108C9"/>
    <w:rsid w:val="00A11321"/>
    <w:rsid w:val="00A1133E"/>
    <w:rsid w:val="00A11888"/>
    <w:rsid w:val="00A11E62"/>
    <w:rsid w:val="00A11E8F"/>
    <w:rsid w:val="00A12369"/>
    <w:rsid w:val="00A14357"/>
    <w:rsid w:val="00A14446"/>
    <w:rsid w:val="00A1523D"/>
    <w:rsid w:val="00A1524F"/>
    <w:rsid w:val="00A15E63"/>
    <w:rsid w:val="00A16838"/>
    <w:rsid w:val="00A1691C"/>
    <w:rsid w:val="00A17672"/>
    <w:rsid w:val="00A21118"/>
    <w:rsid w:val="00A23BC2"/>
    <w:rsid w:val="00A25FDF"/>
    <w:rsid w:val="00A279AC"/>
    <w:rsid w:val="00A306E3"/>
    <w:rsid w:val="00A30C5D"/>
    <w:rsid w:val="00A310F1"/>
    <w:rsid w:val="00A34EBD"/>
    <w:rsid w:val="00A35FAA"/>
    <w:rsid w:val="00A40163"/>
    <w:rsid w:val="00A409BC"/>
    <w:rsid w:val="00A4257B"/>
    <w:rsid w:val="00A42F6D"/>
    <w:rsid w:val="00A446BC"/>
    <w:rsid w:val="00A46D6B"/>
    <w:rsid w:val="00A47A14"/>
    <w:rsid w:val="00A50060"/>
    <w:rsid w:val="00A50255"/>
    <w:rsid w:val="00A51337"/>
    <w:rsid w:val="00A5346C"/>
    <w:rsid w:val="00A540A5"/>
    <w:rsid w:val="00A54248"/>
    <w:rsid w:val="00A55B6F"/>
    <w:rsid w:val="00A57CCA"/>
    <w:rsid w:val="00A6388E"/>
    <w:rsid w:val="00A64429"/>
    <w:rsid w:val="00A64643"/>
    <w:rsid w:val="00A64C7E"/>
    <w:rsid w:val="00A660AA"/>
    <w:rsid w:val="00A670F7"/>
    <w:rsid w:val="00A709AD"/>
    <w:rsid w:val="00A70B22"/>
    <w:rsid w:val="00A733CB"/>
    <w:rsid w:val="00A74410"/>
    <w:rsid w:val="00A74B1B"/>
    <w:rsid w:val="00A751AD"/>
    <w:rsid w:val="00A75656"/>
    <w:rsid w:val="00A7601E"/>
    <w:rsid w:val="00A80611"/>
    <w:rsid w:val="00A80C87"/>
    <w:rsid w:val="00A83484"/>
    <w:rsid w:val="00A84503"/>
    <w:rsid w:val="00A85C2E"/>
    <w:rsid w:val="00A86996"/>
    <w:rsid w:val="00A921F6"/>
    <w:rsid w:val="00A92D25"/>
    <w:rsid w:val="00A93508"/>
    <w:rsid w:val="00A94689"/>
    <w:rsid w:val="00A94A10"/>
    <w:rsid w:val="00A94DDB"/>
    <w:rsid w:val="00A94E97"/>
    <w:rsid w:val="00AA065B"/>
    <w:rsid w:val="00AA27AA"/>
    <w:rsid w:val="00AA2DF3"/>
    <w:rsid w:val="00AA50BC"/>
    <w:rsid w:val="00AB08F9"/>
    <w:rsid w:val="00AB09F4"/>
    <w:rsid w:val="00AB0F72"/>
    <w:rsid w:val="00AB24E7"/>
    <w:rsid w:val="00AB2F17"/>
    <w:rsid w:val="00AB3237"/>
    <w:rsid w:val="00AB68A9"/>
    <w:rsid w:val="00AB75AE"/>
    <w:rsid w:val="00AB76EC"/>
    <w:rsid w:val="00AB77B2"/>
    <w:rsid w:val="00AB7933"/>
    <w:rsid w:val="00AC3E1F"/>
    <w:rsid w:val="00AC4BA4"/>
    <w:rsid w:val="00AC4DDF"/>
    <w:rsid w:val="00AD0C25"/>
    <w:rsid w:val="00AD10CF"/>
    <w:rsid w:val="00AD2486"/>
    <w:rsid w:val="00AD34D5"/>
    <w:rsid w:val="00AD35EA"/>
    <w:rsid w:val="00AD3BC7"/>
    <w:rsid w:val="00AD562E"/>
    <w:rsid w:val="00AD5B1B"/>
    <w:rsid w:val="00AE01F4"/>
    <w:rsid w:val="00AE0708"/>
    <w:rsid w:val="00AE122B"/>
    <w:rsid w:val="00AE2459"/>
    <w:rsid w:val="00AE3D23"/>
    <w:rsid w:val="00AE3E45"/>
    <w:rsid w:val="00AE3EEA"/>
    <w:rsid w:val="00AE4CF8"/>
    <w:rsid w:val="00AE4EC8"/>
    <w:rsid w:val="00AE5D9F"/>
    <w:rsid w:val="00AE6C16"/>
    <w:rsid w:val="00AF0C7E"/>
    <w:rsid w:val="00AF0EB2"/>
    <w:rsid w:val="00AF1E42"/>
    <w:rsid w:val="00AF1F80"/>
    <w:rsid w:val="00AF2001"/>
    <w:rsid w:val="00AF247B"/>
    <w:rsid w:val="00AF2791"/>
    <w:rsid w:val="00AF2B86"/>
    <w:rsid w:val="00AF33E5"/>
    <w:rsid w:val="00AF418D"/>
    <w:rsid w:val="00AF4304"/>
    <w:rsid w:val="00AF70EE"/>
    <w:rsid w:val="00AF7618"/>
    <w:rsid w:val="00B0016C"/>
    <w:rsid w:val="00B00B01"/>
    <w:rsid w:val="00B014B6"/>
    <w:rsid w:val="00B02968"/>
    <w:rsid w:val="00B04550"/>
    <w:rsid w:val="00B04964"/>
    <w:rsid w:val="00B05490"/>
    <w:rsid w:val="00B10F95"/>
    <w:rsid w:val="00B11CEF"/>
    <w:rsid w:val="00B12331"/>
    <w:rsid w:val="00B137D2"/>
    <w:rsid w:val="00B13C75"/>
    <w:rsid w:val="00B13DB1"/>
    <w:rsid w:val="00B159B3"/>
    <w:rsid w:val="00B15B71"/>
    <w:rsid w:val="00B20672"/>
    <w:rsid w:val="00B21EB4"/>
    <w:rsid w:val="00B24529"/>
    <w:rsid w:val="00B2493C"/>
    <w:rsid w:val="00B27025"/>
    <w:rsid w:val="00B2722B"/>
    <w:rsid w:val="00B27820"/>
    <w:rsid w:val="00B3032A"/>
    <w:rsid w:val="00B32A3E"/>
    <w:rsid w:val="00B32ED5"/>
    <w:rsid w:val="00B33F4D"/>
    <w:rsid w:val="00B36F7C"/>
    <w:rsid w:val="00B37148"/>
    <w:rsid w:val="00B371EA"/>
    <w:rsid w:val="00B40457"/>
    <w:rsid w:val="00B42B56"/>
    <w:rsid w:val="00B42BC9"/>
    <w:rsid w:val="00B43338"/>
    <w:rsid w:val="00B44C9E"/>
    <w:rsid w:val="00B460B5"/>
    <w:rsid w:val="00B4751A"/>
    <w:rsid w:val="00B47F4C"/>
    <w:rsid w:val="00B51526"/>
    <w:rsid w:val="00B535CB"/>
    <w:rsid w:val="00B54368"/>
    <w:rsid w:val="00B575FF"/>
    <w:rsid w:val="00B62144"/>
    <w:rsid w:val="00B62DBD"/>
    <w:rsid w:val="00B64BB2"/>
    <w:rsid w:val="00B64BFD"/>
    <w:rsid w:val="00B64DE4"/>
    <w:rsid w:val="00B6500E"/>
    <w:rsid w:val="00B70142"/>
    <w:rsid w:val="00B71222"/>
    <w:rsid w:val="00B7347C"/>
    <w:rsid w:val="00B7358B"/>
    <w:rsid w:val="00B7388C"/>
    <w:rsid w:val="00B753B2"/>
    <w:rsid w:val="00B7619F"/>
    <w:rsid w:val="00B77F7B"/>
    <w:rsid w:val="00B830A1"/>
    <w:rsid w:val="00B83905"/>
    <w:rsid w:val="00B83CA0"/>
    <w:rsid w:val="00B84243"/>
    <w:rsid w:val="00B85C34"/>
    <w:rsid w:val="00B86671"/>
    <w:rsid w:val="00B86E19"/>
    <w:rsid w:val="00B876C0"/>
    <w:rsid w:val="00B879E3"/>
    <w:rsid w:val="00B90BBD"/>
    <w:rsid w:val="00B90C27"/>
    <w:rsid w:val="00B93884"/>
    <w:rsid w:val="00B946AF"/>
    <w:rsid w:val="00B94A65"/>
    <w:rsid w:val="00B94ADF"/>
    <w:rsid w:val="00B94FB4"/>
    <w:rsid w:val="00B96684"/>
    <w:rsid w:val="00B9676C"/>
    <w:rsid w:val="00BA0966"/>
    <w:rsid w:val="00BA1C63"/>
    <w:rsid w:val="00BA2177"/>
    <w:rsid w:val="00BA28F5"/>
    <w:rsid w:val="00BA3372"/>
    <w:rsid w:val="00BA379F"/>
    <w:rsid w:val="00BA5F51"/>
    <w:rsid w:val="00BA6777"/>
    <w:rsid w:val="00BA7354"/>
    <w:rsid w:val="00BB0BD5"/>
    <w:rsid w:val="00BB22D1"/>
    <w:rsid w:val="00BB26C4"/>
    <w:rsid w:val="00BB2972"/>
    <w:rsid w:val="00BB3AB5"/>
    <w:rsid w:val="00BB3BFD"/>
    <w:rsid w:val="00BB3DA8"/>
    <w:rsid w:val="00BB4934"/>
    <w:rsid w:val="00BB498B"/>
    <w:rsid w:val="00BB643C"/>
    <w:rsid w:val="00BB6D23"/>
    <w:rsid w:val="00BB721D"/>
    <w:rsid w:val="00BB7455"/>
    <w:rsid w:val="00BB7CD5"/>
    <w:rsid w:val="00BC2C65"/>
    <w:rsid w:val="00BC3CAB"/>
    <w:rsid w:val="00BC42CE"/>
    <w:rsid w:val="00BC5951"/>
    <w:rsid w:val="00BC6702"/>
    <w:rsid w:val="00BC79F6"/>
    <w:rsid w:val="00BD004B"/>
    <w:rsid w:val="00BD327E"/>
    <w:rsid w:val="00BD4FD2"/>
    <w:rsid w:val="00BE42A2"/>
    <w:rsid w:val="00BE473D"/>
    <w:rsid w:val="00BE50EC"/>
    <w:rsid w:val="00BE555B"/>
    <w:rsid w:val="00BE556C"/>
    <w:rsid w:val="00BE603E"/>
    <w:rsid w:val="00BE70B3"/>
    <w:rsid w:val="00BE7D58"/>
    <w:rsid w:val="00BF0270"/>
    <w:rsid w:val="00BF0E14"/>
    <w:rsid w:val="00BF164E"/>
    <w:rsid w:val="00BF1980"/>
    <w:rsid w:val="00BF23C3"/>
    <w:rsid w:val="00BF4C02"/>
    <w:rsid w:val="00BF6ADC"/>
    <w:rsid w:val="00BF6D42"/>
    <w:rsid w:val="00BF7ED9"/>
    <w:rsid w:val="00C00AA5"/>
    <w:rsid w:val="00C00EB7"/>
    <w:rsid w:val="00C05AA6"/>
    <w:rsid w:val="00C06A9C"/>
    <w:rsid w:val="00C07DEC"/>
    <w:rsid w:val="00C1005F"/>
    <w:rsid w:val="00C107D2"/>
    <w:rsid w:val="00C10804"/>
    <w:rsid w:val="00C114C7"/>
    <w:rsid w:val="00C11E3A"/>
    <w:rsid w:val="00C11F05"/>
    <w:rsid w:val="00C11F2F"/>
    <w:rsid w:val="00C12CD2"/>
    <w:rsid w:val="00C12D0A"/>
    <w:rsid w:val="00C15DEF"/>
    <w:rsid w:val="00C171F4"/>
    <w:rsid w:val="00C20E76"/>
    <w:rsid w:val="00C22C14"/>
    <w:rsid w:val="00C23647"/>
    <w:rsid w:val="00C2476F"/>
    <w:rsid w:val="00C2641F"/>
    <w:rsid w:val="00C265A5"/>
    <w:rsid w:val="00C274FF"/>
    <w:rsid w:val="00C31A29"/>
    <w:rsid w:val="00C3239B"/>
    <w:rsid w:val="00C3324A"/>
    <w:rsid w:val="00C34390"/>
    <w:rsid w:val="00C34C59"/>
    <w:rsid w:val="00C34EFE"/>
    <w:rsid w:val="00C359BA"/>
    <w:rsid w:val="00C36775"/>
    <w:rsid w:val="00C3680B"/>
    <w:rsid w:val="00C379CD"/>
    <w:rsid w:val="00C37F6F"/>
    <w:rsid w:val="00C40442"/>
    <w:rsid w:val="00C41D55"/>
    <w:rsid w:val="00C431A3"/>
    <w:rsid w:val="00C43B2C"/>
    <w:rsid w:val="00C448EE"/>
    <w:rsid w:val="00C4496F"/>
    <w:rsid w:val="00C44BE3"/>
    <w:rsid w:val="00C44C1D"/>
    <w:rsid w:val="00C45AD3"/>
    <w:rsid w:val="00C51500"/>
    <w:rsid w:val="00C53235"/>
    <w:rsid w:val="00C53B8E"/>
    <w:rsid w:val="00C55846"/>
    <w:rsid w:val="00C6137D"/>
    <w:rsid w:val="00C628EE"/>
    <w:rsid w:val="00C62AA0"/>
    <w:rsid w:val="00C6305B"/>
    <w:rsid w:val="00C63C1F"/>
    <w:rsid w:val="00C63ED7"/>
    <w:rsid w:val="00C64743"/>
    <w:rsid w:val="00C70705"/>
    <w:rsid w:val="00C74126"/>
    <w:rsid w:val="00C74C39"/>
    <w:rsid w:val="00C74DA9"/>
    <w:rsid w:val="00C75068"/>
    <w:rsid w:val="00C7638D"/>
    <w:rsid w:val="00C776F0"/>
    <w:rsid w:val="00C8049D"/>
    <w:rsid w:val="00C84267"/>
    <w:rsid w:val="00C85E77"/>
    <w:rsid w:val="00C8748F"/>
    <w:rsid w:val="00C9032B"/>
    <w:rsid w:val="00C918D6"/>
    <w:rsid w:val="00C91CF4"/>
    <w:rsid w:val="00C92123"/>
    <w:rsid w:val="00C937D8"/>
    <w:rsid w:val="00C95596"/>
    <w:rsid w:val="00C95B85"/>
    <w:rsid w:val="00C97F24"/>
    <w:rsid w:val="00CA02A3"/>
    <w:rsid w:val="00CA0B5E"/>
    <w:rsid w:val="00CA3214"/>
    <w:rsid w:val="00CA450E"/>
    <w:rsid w:val="00CA4819"/>
    <w:rsid w:val="00CA600B"/>
    <w:rsid w:val="00CA71EE"/>
    <w:rsid w:val="00CA7FF8"/>
    <w:rsid w:val="00CB07EB"/>
    <w:rsid w:val="00CB157B"/>
    <w:rsid w:val="00CB34C6"/>
    <w:rsid w:val="00CB685D"/>
    <w:rsid w:val="00CB75EF"/>
    <w:rsid w:val="00CC0486"/>
    <w:rsid w:val="00CC0B67"/>
    <w:rsid w:val="00CC467D"/>
    <w:rsid w:val="00CC4867"/>
    <w:rsid w:val="00CC5AB0"/>
    <w:rsid w:val="00CC7ED8"/>
    <w:rsid w:val="00CC7F08"/>
    <w:rsid w:val="00CD1BF3"/>
    <w:rsid w:val="00CD3382"/>
    <w:rsid w:val="00CD4A77"/>
    <w:rsid w:val="00CE0085"/>
    <w:rsid w:val="00CE14E3"/>
    <w:rsid w:val="00CE3F53"/>
    <w:rsid w:val="00CE4134"/>
    <w:rsid w:val="00CE5B83"/>
    <w:rsid w:val="00CE7506"/>
    <w:rsid w:val="00CF2C6F"/>
    <w:rsid w:val="00CF4131"/>
    <w:rsid w:val="00CF5085"/>
    <w:rsid w:val="00CF5C30"/>
    <w:rsid w:val="00D0086A"/>
    <w:rsid w:val="00D056A9"/>
    <w:rsid w:val="00D05719"/>
    <w:rsid w:val="00D05FB9"/>
    <w:rsid w:val="00D07841"/>
    <w:rsid w:val="00D079B7"/>
    <w:rsid w:val="00D07A8D"/>
    <w:rsid w:val="00D1024D"/>
    <w:rsid w:val="00D120BF"/>
    <w:rsid w:val="00D13769"/>
    <w:rsid w:val="00D143EC"/>
    <w:rsid w:val="00D16368"/>
    <w:rsid w:val="00D16498"/>
    <w:rsid w:val="00D1741D"/>
    <w:rsid w:val="00D17D15"/>
    <w:rsid w:val="00D17E55"/>
    <w:rsid w:val="00D2067E"/>
    <w:rsid w:val="00D2179B"/>
    <w:rsid w:val="00D2266A"/>
    <w:rsid w:val="00D22699"/>
    <w:rsid w:val="00D2337C"/>
    <w:rsid w:val="00D24FF4"/>
    <w:rsid w:val="00D25070"/>
    <w:rsid w:val="00D26BA1"/>
    <w:rsid w:val="00D30CBA"/>
    <w:rsid w:val="00D3279F"/>
    <w:rsid w:val="00D346F4"/>
    <w:rsid w:val="00D36333"/>
    <w:rsid w:val="00D37A4A"/>
    <w:rsid w:val="00D37C36"/>
    <w:rsid w:val="00D411DE"/>
    <w:rsid w:val="00D428B3"/>
    <w:rsid w:val="00D42B2D"/>
    <w:rsid w:val="00D42E0F"/>
    <w:rsid w:val="00D43AFB"/>
    <w:rsid w:val="00D44D21"/>
    <w:rsid w:val="00D44FE7"/>
    <w:rsid w:val="00D4501D"/>
    <w:rsid w:val="00D45719"/>
    <w:rsid w:val="00D46A7B"/>
    <w:rsid w:val="00D478AD"/>
    <w:rsid w:val="00D50C9B"/>
    <w:rsid w:val="00D51D27"/>
    <w:rsid w:val="00D549BF"/>
    <w:rsid w:val="00D551E1"/>
    <w:rsid w:val="00D5708A"/>
    <w:rsid w:val="00D576B5"/>
    <w:rsid w:val="00D57849"/>
    <w:rsid w:val="00D60439"/>
    <w:rsid w:val="00D617F1"/>
    <w:rsid w:val="00D6199A"/>
    <w:rsid w:val="00D62A97"/>
    <w:rsid w:val="00D64178"/>
    <w:rsid w:val="00D6661E"/>
    <w:rsid w:val="00D70A17"/>
    <w:rsid w:val="00D70EB2"/>
    <w:rsid w:val="00D71047"/>
    <w:rsid w:val="00D715EF"/>
    <w:rsid w:val="00D7275F"/>
    <w:rsid w:val="00D7319C"/>
    <w:rsid w:val="00D75924"/>
    <w:rsid w:val="00D75DD0"/>
    <w:rsid w:val="00D7602E"/>
    <w:rsid w:val="00D76996"/>
    <w:rsid w:val="00D76FB7"/>
    <w:rsid w:val="00D800FB"/>
    <w:rsid w:val="00D83B82"/>
    <w:rsid w:val="00D85D3F"/>
    <w:rsid w:val="00D867CF"/>
    <w:rsid w:val="00D87479"/>
    <w:rsid w:val="00D8776F"/>
    <w:rsid w:val="00D906F2"/>
    <w:rsid w:val="00D92B42"/>
    <w:rsid w:val="00D93012"/>
    <w:rsid w:val="00D95463"/>
    <w:rsid w:val="00D961F2"/>
    <w:rsid w:val="00D97359"/>
    <w:rsid w:val="00D97687"/>
    <w:rsid w:val="00D9775E"/>
    <w:rsid w:val="00D97982"/>
    <w:rsid w:val="00DA19F3"/>
    <w:rsid w:val="00DA1A11"/>
    <w:rsid w:val="00DA1BEF"/>
    <w:rsid w:val="00DA28A8"/>
    <w:rsid w:val="00DA3143"/>
    <w:rsid w:val="00DA349B"/>
    <w:rsid w:val="00DA4EAE"/>
    <w:rsid w:val="00DA508F"/>
    <w:rsid w:val="00DA6854"/>
    <w:rsid w:val="00DA6D4F"/>
    <w:rsid w:val="00DA6FB4"/>
    <w:rsid w:val="00DB10A8"/>
    <w:rsid w:val="00DB212E"/>
    <w:rsid w:val="00DB4C98"/>
    <w:rsid w:val="00DB584E"/>
    <w:rsid w:val="00DB5F0A"/>
    <w:rsid w:val="00DB69D9"/>
    <w:rsid w:val="00DC0A1F"/>
    <w:rsid w:val="00DC32EC"/>
    <w:rsid w:val="00DC4057"/>
    <w:rsid w:val="00DC4099"/>
    <w:rsid w:val="00DC4151"/>
    <w:rsid w:val="00DD0BA0"/>
    <w:rsid w:val="00DD5BEC"/>
    <w:rsid w:val="00DD7B40"/>
    <w:rsid w:val="00DE0167"/>
    <w:rsid w:val="00DE1987"/>
    <w:rsid w:val="00DE36CF"/>
    <w:rsid w:val="00DE42BA"/>
    <w:rsid w:val="00DE449D"/>
    <w:rsid w:val="00DE50C2"/>
    <w:rsid w:val="00DE566F"/>
    <w:rsid w:val="00DE5DF9"/>
    <w:rsid w:val="00DE5E0C"/>
    <w:rsid w:val="00DE6EC3"/>
    <w:rsid w:val="00DF0958"/>
    <w:rsid w:val="00DF1ADC"/>
    <w:rsid w:val="00DF2249"/>
    <w:rsid w:val="00DF2C11"/>
    <w:rsid w:val="00DF363A"/>
    <w:rsid w:val="00DF4173"/>
    <w:rsid w:val="00DF5AE0"/>
    <w:rsid w:val="00DF61C8"/>
    <w:rsid w:val="00DF6323"/>
    <w:rsid w:val="00DF6B26"/>
    <w:rsid w:val="00DF744E"/>
    <w:rsid w:val="00E00258"/>
    <w:rsid w:val="00E01B7C"/>
    <w:rsid w:val="00E02A2A"/>
    <w:rsid w:val="00E058FA"/>
    <w:rsid w:val="00E05967"/>
    <w:rsid w:val="00E10D3F"/>
    <w:rsid w:val="00E14434"/>
    <w:rsid w:val="00E14B42"/>
    <w:rsid w:val="00E1675C"/>
    <w:rsid w:val="00E16BE1"/>
    <w:rsid w:val="00E17DAB"/>
    <w:rsid w:val="00E20628"/>
    <w:rsid w:val="00E2103B"/>
    <w:rsid w:val="00E22547"/>
    <w:rsid w:val="00E22A07"/>
    <w:rsid w:val="00E2505B"/>
    <w:rsid w:val="00E252E3"/>
    <w:rsid w:val="00E26003"/>
    <w:rsid w:val="00E26E65"/>
    <w:rsid w:val="00E273FF"/>
    <w:rsid w:val="00E27411"/>
    <w:rsid w:val="00E42411"/>
    <w:rsid w:val="00E426DC"/>
    <w:rsid w:val="00E42C8A"/>
    <w:rsid w:val="00E43965"/>
    <w:rsid w:val="00E43E3B"/>
    <w:rsid w:val="00E4582E"/>
    <w:rsid w:val="00E46611"/>
    <w:rsid w:val="00E47286"/>
    <w:rsid w:val="00E473B3"/>
    <w:rsid w:val="00E47E66"/>
    <w:rsid w:val="00E52E19"/>
    <w:rsid w:val="00E540AD"/>
    <w:rsid w:val="00E54185"/>
    <w:rsid w:val="00E54C84"/>
    <w:rsid w:val="00E556DD"/>
    <w:rsid w:val="00E55ABA"/>
    <w:rsid w:val="00E576E1"/>
    <w:rsid w:val="00E60F65"/>
    <w:rsid w:val="00E62782"/>
    <w:rsid w:val="00E62B36"/>
    <w:rsid w:val="00E62DF5"/>
    <w:rsid w:val="00E63D66"/>
    <w:rsid w:val="00E66F36"/>
    <w:rsid w:val="00E71420"/>
    <w:rsid w:val="00E726A2"/>
    <w:rsid w:val="00E731D7"/>
    <w:rsid w:val="00E74ACE"/>
    <w:rsid w:val="00E74AFC"/>
    <w:rsid w:val="00E77C06"/>
    <w:rsid w:val="00E835D7"/>
    <w:rsid w:val="00E855E0"/>
    <w:rsid w:val="00E860B7"/>
    <w:rsid w:val="00E86905"/>
    <w:rsid w:val="00E8780D"/>
    <w:rsid w:val="00E91505"/>
    <w:rsid w:val="00E92685"/>
    <w:rsid w:val="00E92D72"/>
    <w:rsid w:val="00E955BF"/>
    <w:rsid w:val="00E95DB8"/>
    <w:rsid w:val="00E95E3B"/>
    <w:rsid w:val="00E97527"/>
    <w:rsid w:val="00E975D0"/>
    <w:rsid w:val="00EA624F"/>
    <w:rsid w:val="00EA6556"/>
    <w:rsid w:val="00EB08CE"/>
    <w:rsid w:val="00EB0B45"/>
    <w:rsid w:val="00EB298F"/>
    <w:rsid w:val="00EB39C1"/>
    <w:rsid w:val="00EB4C26"/>
    <w:rsid w:val="00EB53F2"/>
    <w:rsid w:val="00EB5E18"/>
    <w:rsid w:val="00EB6C04"/>
    <w:rsid w:val="00EB7803"/>
    <w:rsid w:val="00EC0295"/>
    <w:rsid w:val="00EC0454"/>
    <w:rsid w:val="00EC16B5"/>
    <w:rsid w:val="00EC19FA"/>
    <w:rsid w:val="00EC23A3"/>
    <w:rsid w:val="00EC2655"/>
    <w:rsid w:val="00EC379B"/>
    <w:rsid w:val="00EC5F86"/>
    <w:rsid w:val="00ED0940"/>
    <w:rsid w:val="00ED25CE"/>
    <w:rsid w:val="00ED2EFD"/>
    <w:rsid w:val="00ED3945"/>
    <w:rsid w:val="00ED3A55"/>
    <w:rsid w:val="00ED76DA"/>
    <w:rsid w:val="00EE0ACF"/>
    <w:rsid w:val="00EE1375"/>
    <w:rsid w:val="00EE1CFC"/>
    <w:rsid w:val="00EE4AF0"/>
    <w:rsid w:val="00EE67C5"/>
    <w:rsid w:val="00EF2546"/>
    <w:rsid w:val="00EF4031"/>
    <w:rsid w:val="00EF4588"/>
    <w:rsid w:val="00F000E0"/>
    <w:rsid w:val="00F03F65"/>
    <w:rsid w:val="00F0462F"/>
    <w:rsid w:val="00F06396"/>
    <w:rsid w:val="00F1076B"/>
    <w:rsid w:val="00F11D20"/>
    <w:rsid w:val="00F13E0D"/>
    <w:rsid w:val="00F17EB7"/>
    <w:rsid w:val="00F2048A"/>
    <w:rsid w:val="00F20B6E"/>
    <w:rsid w:val="00F22872"/>
    <w:rsid w:val="00F229A3"/>
    <w:rsid w:val="00F248EC"/>
    <w:rsid w:val="00F24BCF"/>
    <w:rsid w:val="00F26FBA"/>
    <w:rsid w:val="00F275AB"/>
    <w:rsid w:val="00F27E44"/>
    <w:rsid w:val="00F3255F"/>
    <w:rsid w:val="00F33376"/>
    <w:rsid w:val="00F34056"/>
    <w:rsid w:val="00F3510E"/>
    <w:rsid w:val="00F373DC"/>
    <w:rsid w:val="00F37EF3"/>
    <w:rsid w:val="00F40782"/>
    <w:rsid w:val="00F40E1D"/>
    <w:rsid w:val="00F416B8"/>
    <w:rsid w:val="00F422EF"/>
    <w:rsid w:val="00F42F29"/>
    <w:rsid w:val="00F45FB8"/>
    <w:rsid w:val="00F47B25"/>
    <w:rsid w:val="00F5014E"/>
    <w:rsid w:val="00F517C3"/>
    <w:rsid w:val="00F5235B"/>
    <w:rsid w:val="00F52AC2"/>
    <w:rsid w:val="00F53211"/>
    <w:rsid w:val="00F546F8"/>
    <w:rsid w:val="00F54947"/>
    <w:rsid w:val="00F54F7B"/>
    <w:rsid w:val="00F54FB8"/>
    <w:rsid w:val="00F558AE"/>
    <w:rsid w:val="00F560DC"/>
    <w:rsid w:val="00F56916"/>
    <w:rsid w:val="00F56AD0"/>
    <w:rsid w:val="00F56CB1"/>
    <w:rsid w:val="00F57610"/>
    <w:rsid w:val="00F5773D"/>
    <w:rsid w:val="00F62D8E"/>
    <w:rsid w:val="00F63F85"/>
    <w:rsid w:val="00F64FA8"/>
    <w:rsid w:val="00F6678A"/>
    <w:rsid w:val="00F67C23"/>
    <w:rsid w:val="00F67E0F"/>
    <w:rsid w:val="00F71107"/>
    <w:rsid w:val="00F724C5"/>
    <w:rsid w:val="00F72D23"/>
    <w:rsid w:val="00F7383F"/>
    <w:rsid w:val="00F741C6"/>
    <w:rsid w:val="00F74994"/>
    <w:rsid w:val="00F75495"/>
    <w:rsid w:val="00F765EB"/>
    <w:rsid w:val="00F80231"/>
    <w:rsid w:val="00F8673B"/>
    <w:rsid w:val="00F86E75"/>
    <w:rsid w:val="00F908F8"/>
    <w:rsid w:val="00F91C3F"/>
    <w:rsid w:val="00F92442"/>
    <w:rsid w:val="00F926C8"/>
    <w:rsid w:val="00F950C2"/>
    <w:rsid w:val="00F978A5"/>
    <w:rsid w:val="00F97D2D"/>
    <w:rsid w:val="00FA05A4"/>
    <w:rsid w:val="00FA48EB"/>
    <w:rsid w:val="00FA6391"/>
    <w:rsid w:val="00FA7135"/>
    <w:rsid w:val="00FA784C"/>
    <w:rsid w:val="00FB06E1"/>
    <w:rsid w:val="00FB25D1"/>
    <w:rsid w:val="00FB471A"/>
    <w:rsid w:val="00FB489C"/>
    <w:rsid w:val="00FB5539"/>
    <w:rsid w:val="00FB6912"/>
    <w:rsid w:val="00FC3CD4"/>
    <w:rsid w:val="00FC4DE9"/>
    <w:rsid w:val="00FC57F0"/>
    <w:rsid w:val="00FC673C"/>
    <w:rsid w:val="00FC7601"/>
    <w:rsid w:val="00FD1B89"/>
    <w:rsid w:val="00FD3D3E"/>
    <w:rsid w:val="00FD3E6E"/>
    <w:rsid w:val="00FD5051"/>
    <w:rsid w:val="00FD5958"/>
    <w:rsid w:val="00FD59F5"/>
    <w:rsid w:val="00FD756D"/>
    <w:rsid w:val="00FE059A"/>
    <w:rsid w:val="00FE0781"/>
    <w:rsid w:val="00FE1D8E"/>
    <w:rsid w:val="00FE54AE"/>
    <w:rsid w:val="00FE5E95"/>
    <w:rsid w:val="00FE5F57"/>
    <w:rsid w:val="00FE703E"/>
    <w:rsid w:val="00FE761A"/>
    <w:rsid w:val="00FF16FF"/>
    <w:rsid w:val="00FF2339"/>
    <w:rsid w:val="00FF26B9"/>
    <w:rsid w:val="00FF33AA"/>
    <w:rsid w:val="00FF371D"/>
    <w:rsid w:val="00FF371F"/>
    <w:rsid w:val="00FF637D"/>
    <w:rsid w:val="00FF64CF"/>
    <w:rsid w:val="00FF65AF"/>
    <w:rsid w:val="00FF6A67"/>
    <w:rsid w:val="00FF6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contacts" w:name="Sn"/>
  <w:smartTagType w:namespaceuri="urn:schemas:contacts" w:name="titl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790"/>
    <w:pPr>
      <w:spacing w:after="240" w:line="260" w:lineRule="exact"/>
      <w:jc w:val="both"/>
    </w:pPr>
    <w:rPr>
      <w:rFonts w:ascii="Book Antiqua" w:hAnsi="Book Antiqua"/>
    </w:rPr>
  </w:style>
  <w:style w:type="paragraph" w:styleId="Heading1">
    <w:name w:val="heading 1"/>
    <w:basedOn w:val="HeadingBase"/>
    <w:next w:val="Normal"/>
    <w:link w:val="Heading1Char"/>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qFormat/>
    <w:rsid w:val="00EC5F86"/>
    <w:pPr>
      <w:spacing w:after="100"/>
      <w:outlineLvl w:val="6"/>
    </w:pPr>
    <w:rPr>
      <w:sz w:val="18"/>
      <w:szCs w:val="24"/>
    </w:rPr>
  </w:style>
  <w:style w:type="paragraph" w:styleId="Heading8">
    <w:name w:val="heading 8"/>
    <w:basedOn w:val="HeadingBase"/>
    <w:next w:val="Normal"/>
    <w:link w:val="Heading8Char"/>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B7542"/>
    <w:rPr>
      <w:rFonts w:ascii="Cambria" w:hAnsi="Cambria" w:cs="Times New Roman"/>
      <w:b/>
      <w:bCs/>
      <w:kern w:val="32"/>
      <w:sz w:val="32"/>
      <w:szCs w:val="32"/>
    </w:rPr>
  </w:style>
  <w:style w:type="character" w:customStyle="1" w:styleId="Heading2Char">
    <w:name w:val="Heading 2 Char"/>
    <w:link w:val="Heading2"/>
    <w:semiHidden/>
    <w:locked/>
    <w:rsid w:val="003B7542"/>
    <w:rPr>
      <w:rFonts w:ascii="Cambria" w:hAnsi="Cambria" w:cs="Times New Roman"/>
      <w:b/>
      <w:bCs/>
      <w:i/>
      <w:iCs/>
      <w:sz w:val="28"/>
      <w:szCs w:val="28"/>
    </w:rPr>
  </w:style>
  <w:style w:type="character" w:customStyle="1" w:styleId="Heading3Char">
    <w:name w:val="Heading 3 Char"/>
    <w:link w:val="Heading3"/>
    <w:locked/>
    <w:rsid w:val="00C7638D"/>
    <w:rPr>
      <w:rFonts w:ascii="Arial" w:hAnsi="Arial" w:cs="Times New Roman"/>
      <w:b/>
      <w:smallCaps/>
      <w:sz w:val="26"/>
      <w:lang w:val="en-AU" w:eastAsia="en-AU" w:bidi="ar-SA"/>
    </w:rPr>
  </w:style>
  <w:style w:type="character" w:customStyle="1" w:styleId="Heading4Char">
    <w:name w:val="Heading 4 Char"/>
    <w:link w:val="Heading4"/>
    <w:semiHidden/>
    <w:locked/>
    <w:rsid w:val="003B7542"/>
    <w:rPr>
      <w:rFonts w:ascii="Calibri" w:hAnsi="Calibri" w:cs="Times New Roman"/>
      <w:b/>
      <w:bCs/>
      <w:sz w:val="28"/>
      <w:szCs w:val="28"/>
    </w:rPr>
  </w:style>
  <w:style w:type="character" w:customStyle="1" w:styleId="Heading5Char">
    <w:name w:val="Heading 5 Char"/>
    <w:link w:val="Heading5"/>
    <w:semiHidden/>
    <w:locked/>
    <w:rsid w:val="003B7542"/>
    <w:rPr>
      <w:rFonts w:ascii="Calibri" w:hAnsi="Calibri" w:cs="Times New Roman"/>
      <w:b/>
      <w:bCs/>
      <w:i/>
      <w:iCs/>
      <w:sz w:val="26"/>
      <w:szCs w:val="26"/>
    </w:rPr>
  </w:style>
  <w:style w:type="character" w:customStyle="1" w:styleId="Heading6Char">
    <w:name w:val="Heading 6 Char"/>
    <w:link w:val="Heading6"/>
    <w:semiHidden/>
    <w:locked/>
    <w:rsid w:val="003B7542"/>
    <w:rPr>
      <w:rFonts w:ascii="Calibri" w:hAnsi="Calibri" w:cs="Times New Roman"/>
      <w:b/>
      <w:bCs/>
    </w:rPr>
  </w:style>
  <w:style w:type="character" w:customStyle="1" w:styleId="Heading7Char">
    <w:name w:val="Heading 7 Char"/>
    <w:link w:val="Heading7"/>
    <w:semiHidden/>
    <w:locked/>
    <w:rsid w:val="003B7542"/>
    <w:rPr>
      <w:rFonts w:ascii="Calibri" w:hAnsi="Calibri" w:cs="Times New Roman"/>
      <w:sz w:val="24"/>
      <w:szCs w:val="24"/>
    </w:rPr>
  </w:style>
  <w:style w:type="character" w:customStyle="1" w:styleId="Heading8Char">
    <w:name w:val="Heading 8 Char"/>
    <w:link w:val="Heading8"/>
    <w:semiHidden/>
    <w:locked/>
    <w:rsid w:val="003B7542"/>
    <w:rPr>
      <w:rFonts w:ascii="Calibri" w:hAnsi="Calibri" w:cs="Times New Roman"/>
      <w:i/>
      <w:iCs/>
      <w:sz w:val="24"/>
      <w:szCs w:val="24"/>
    </w:rPr>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cs="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link w:val="TitleChar"/>
    <w:qFormat/>
    <w:rsid w:val="004B0B19"/>
    <w:pPr>
      <w:spacing w:after="0" w:line="240" w:lineRule="auto"/>
      <w:jc w:val="center"/>
      <w:outlineLvl w:val="0"/>
    </w:pPr>
    <w:rPr>
      <w:rFonts w:ascii="Arial" w:hAnsi="Arial" w:cs="Arial"/>
      <w:b/>
      <w:bCs/>
      <w:caps/>
      <w:kern w:val="28"/>
      <w:sz w:val="52"/>
      <w:szCs w:val="32"/>
    </w:rPr>
  </w:style>
  <w:style w:type="character" w:customStyle="1" w:styleId="TitleChar">
    <w:name w:val="Title Char"/>
    <w:link w:val="Title"/>
    <w:locked/>
    <w:rsid w:val="003B7542"/>
    <w:rPr>
      <w:rFonts w:ascii="Cambria" w:hAnsi="Cambria" w:cs="Times New Roman"/>
      <w:b/>
      <w:bCs/>
      <w:kern w:val="28"/>
      <w:sz w:val="3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EC5F86"/>
    <w:rPr>
      <w:caps/>
    </w:rPr>
  </w:style>
  <w:style w:type="paragraph" w:customStyle="1" w:styleId="TPHeading3">
    <w:name w:val="TP Heading 3"/>
    <w:basedOn w:val="HeadingBase"/>
    <w:rsid w:val="00EC5F86"/>
    <w:rPr>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rsid w:val="00EC5F86"/>
    <w:pPr>
      <w:tabs>
        <w:tab w:val="center" w:pos="4153"/>
        <w:tab w:val="right" w:pos="8306"/>
      </w:tabs>
    </w:pPr>
  </w:style>
  <w:style w:type="character" w:customStyle="1" w:styleId="HeaderChar">
    <w:name w:val="Header Char"/>
    <w:link w:val="Header"/>
    <w:semiHidden/>
    <w:locked/>
    <w:rsid w:val="003B7542"/>
    <w:rPr>
      <w:rFonts w:ascii="Book Antiqua" w:hAnsi="Book Antiqua" w:cs="Times New Roman"/>
      <w:sz w:val="20"/>
      <w:szCs w:val="20"/>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style>
  <w:style w:type="character" w:customStyle="1" w:styleId="FooterChar">
    <w:name w:val="Footer Char"/>
    <w:link w:val="Footer"/>
    <w:locked/>
    <w:rsid w:val="003B7542"/>
    <w:rPr>
      <w:rFonts w:ascii="Book Antiqua" w:hAnsi="Book Antiqua" w:cs="Times New Roman"/>
      <w:sz w:val="20"/>
      <w:szCs w:val="20"/>
    </w:rPr>
  </w:style>
  <w:style w:type="paragraph" w:styleId="BalloonText">
    <w:name w:val="Balloon Text"/>
    <w:basedOn w:val="Normal"/>
    <w:link w:val="BalloonTextChar"/>
    <w:semiHidden/>
    <w:rsid w:val="00EC5F86"/>
    <w:rPr>
      <w:rFonts w:ascii="Tahoma" w:hAnsi="Tahoma" w:cs="Tahoma"/>
      <w:sz w:val="16"/>
      <w:szCs w:val="16"/>
    </w:rPr>
  </w:style>
  <w:style w:type="character" w:customStyle="1" w:styleId="BalloonTextChar">
    <w:name w:val="Balloon Text Char"/>
    <w:link w:val="BalloonText"/>
    <w:semiHidden/>
    <w:locked/>
    <w:rsid w:val="003B7542"/>
    <w:rPr>
      <w:rFonts w:cs="Times New Roman"/>
      <w:sz w:val="2"/>
    </w:rPr>
  </w:style>
  <w:style w:type="paragraph" w:styleId="Caption">
    <w:name w:val="caption"/>
    <w:basedOn w:val="Normal"/>
    <w:next w:val="Normal"/>
    <w:qFormat/>
    <w:rsid w:val="00EC5F86"/>
    <w:rPr>
      <w:b/>
      <w:bCs/>
    </w:rPr>
  </w:style>
  <w:style w:type="character" w:styleId="CommentReference">
    <w:name w:val="annotation reference"/>
    <w:semiHidden/>
    <w:rsid w:val="00EC5F86"/>
    <w:rPr>
      <w:rFonts w:cs="Times New Roman"/>
      <w:sz w:val="16"/>
      <w:szCs w:val="16"/>
    </w:rPr>
  </w:style>
  <w:style w:type="paragraph" w:styleId="CommentText">
    <w:name w:val="annotation text"/>
    <w:basedOn w:val="Normal"/>
    <w:link w:val="CommentTextChar"/>
    <w:semiHidden/>
    <w:rsid w:val="00EC5F86"/>
  </w:style>
  <w:style w:type="character" w:customStyle="1" w:styleId="CommentTextChar">
    <w:name w:val="Comment Text Char"/>
    <w:link w:val="CommentText"/>
    <w:semiHidden/>
    <w:locked/>
    <w:rsid w:val="001B0C75"/>
    <w:rPr>
      <w:rFonts w:ascii="Book Antiqua" w:hAnsi="Book Antiqua" w:cs="Times New Roman"/>
    </w:rPr>
  </w:style>
  <w:style w:type="paragraph" w:styleId="CommentSubject">
    <w:name w:val="annotation subject"/>
    <w:basedOn w:val="CommentText"/>
    <w:next w:val="CommentText"/>
    <w:link w:val="CommentSubjectChar"/>
    <w:semiHidden/>
    <w:rsid w:val="00EC5F86"/>
    <w:rPr>
      <w:b/>
      <w:bCs/>
    </w:rPr>
  </w:style>
  <w:style w:type="character" w:customStyle="1" w:styleId="CommentSubjectChar">
    <w:name w:val="Comment Subject Char"/>
    <w:link w:val="CommentSubject"/>
    <w:semiHidden/>
    <w:locked/>
    <w:rsid w:val="003B7542"/>
    <w:rPr>
      <w:rFonts w:ascii="Book Antiqua" w:hAnsi="Book Antiqua" w:cs="Times New Roman"/>
      <w:b/>
      <w:bCs/>
      <w:sz w:val="20"/>
      <w:szCs w:val="20"/>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customStyle="1" w:styleId="DocumentMapChar">
    <w:name w:val="Document Map Char"/>
    <w:link w:val="DocumentMap"/>
    <w:semiHidden/>
    <w:locked/>
    <w:rsid w:val="003B7542"/>
    <w:rPr>
      <w:rFonts w:cs="Times New Roman"/>
      <w:sz w:val="2"/>
    </w:rPr>
  </w:style>
  <w:style w:type="character" w:styleId="EndnoteReference">
    <w:name w:val="endnote reference"/>
    <w:semiHidden/>
    <w:rsid w:val="00EC5F86"/>
    <w:rPr>
      <w:rFonts w:cs="Times New Roman"/>
      <w:vertAlign w:val="superscript"/>
    </w:rPr>
  </w:style>
  <w:style w:type="paragraph" w:styleId="EndnoteText">
    <w:name w:val="endnote text"/>
    <w:basedOn w:val="Normal"/>
    <w:link w:val="EndnoteTextChar"/>
    <w:semiHidden/>
    <w:rsid w:val="00EC5F86"/>
  </w:style>
  <w:style w:type="character" w:customStyle="1" w:styleId="EndnoteTextChar">
    <w:name w:val="Endnote Text Char"/>
    <w:link w:val="EndnoteText"/>
    <w:semiHidden/>
    <w:locked/>
    <w:rsid w:val="003B7542"/>
    <w:rPr>
      <w:rFonts w:ascii="Book Antiqua" w:hAnsi="Book Antiqua" w:cs="Times New Roman"/>
      <w:sz w:val="20"/>
      <w:szCs w:val="20"/>
    </w:rPr>
  </w:style>
  <w:style w:type="character" w:styleId="FootnoteReference">
    <w:name w:val="footnote reference"/>
    <w:rsid w:val="00EC5F86"/>
    <w:rPr>
      <w:rFonts w:cs="Times New Roman"/>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character" w:customStyle="1" w:styleId="FootnoteTextChar">
    <w:name w:val="Footnote Text Char"/>
    <w:link w:val="FootnoteText"/>
    <w:semiHidden/>
    <w:locked/>
    <w:rsid w:val="003B7542"/>
    <w:rPr>
      <w:rFonts w:ascii="Book Antiqua" w:hAnsi="Book Antiqua" w:cs="Times New Roman"/>
      <w:sz w:val="20"/>
      <w:szCs w:val="20"/>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character" w:customStyle="1" w:styleId="MacroTextChar">
    <w:name w:val="Macro Text Char"/>
    <w:link w:val="MacroText"/>
    <w:semiHidden/>
    <w:locked/>
    <w:rsid w:val="003B7542"/>
    <w:rPr>
      <w:rFonts w:ascii="Courier New" w:hAnsi="Courier New" w:cs="Courier New"/>
      <w:lang w:val="en-AU" w:eastAsia="en-AU" w:bidi="ar-SA"/>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cs="Times New Roman"/>
      <w:i/>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locked/>
    <w:rsid w:val="00D50C9B"/>
    <w:rPr>
      <w:rFonts w:ascii="Book Antiqua" w:hAnsi="Book Antiqua" w:cs="Times New Roman"/>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rsid w:val="00AA27AA"/>
    <w:rPr>
      <w:rFonts w:cs="Times New Roman"/>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link w:val="TableTextBulletChar"/>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locked/>
    <w:rsid w:val="00574E9E"/>
    <w:rPr>
      <w:rFonts w:ascii="Arial" w:hAnsi="Arial" w:cs="Times New Roman"/>
      <w:sz w:val="24"/>
      <w:lang w:val="en-AU" w:eastAsia="en-AU" w:bidi="ar-SA"/>
    </w:rPr>
  </w:style>
  <w:style w:type="character" w:customStyle="1" w:styleId="TableHeadingChar">
    <w:name w:val="Table Heading Char"/>
    <w:link w:val="TableHeading"/>
    <w:locked/>
    <w:rsid w:val="00574E9E"/>
    <w:rPr>
      <w:rFonts w:ascii="Arial" w:hAnsi="Arial" w:cs="Times New Roman"/>
      <w:b/>
      <w:sz w:val="24"/>
      <w:lang w:val="en-AU" w:eastAsia="en-AU" w:bidi="ar-SA"/>
    </w:rPr>
  </w:style>
  <w:style w:type="character" w:customStyle="1" w:styleId="TableTextBaseChar">
    <w:name w:val="Table Text Base Char"/>
    <w:link w:val="TableTextBase"/>
    <w:locked/>
    <w:rsid w:val="00637BBD"/>
    <w:rPr>
      <w:rFonts w:ascii="Arial" w:hAnsi="Arial" w:cs="Times New Roman"/>
      <w:sz w:val="18"/>
      <w:lang w:val="en-AU" w:eastAsia="en-AU" w:bidi="ar-SA"/>
    </w:rPr>
  </w:style>
  <w:style w:type="character" w:customStyle="1" w:styleId="TableTextLeftChar">
    <w:name w:val="Table Text Left Char"/>
    <w:basedOn w:val="TableTextBaseChar"/>
    <w:link w:val="TableTextLeft"/>
    <w:locked/>
    <w:rsid w:val="00637BBD"/>
    <w:rPr>
      <w:rFonts w:ascii="Arial" w:hAnsi="Arial" w:cs="Times New Roman"/>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locked/>
    <w:rsid w:val="005606B5"/>
    <w:rPr>
      <w:rFonts w:ascii="Arial" w:hAnsi="Arial" w:cs="Times New Roman"/>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locked/>
    <w:rsid w:val="00FD5958"/>
    <w:rPr>
      <w:rFonts w:ascii="Book Antiqua" w:hAnsi="Book Antiqua"/>
      <w:lang w:val="en-AU" w:eastAsia="en-AU" w:bidi="ar-S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paragraph" w:customStyle="1" w:styleId="ExampleText0">
    <w:name w:val="Example Text"/>
    <w:basedOn w:val="Normal"/>
    <w:rsid w:val="00C11F05"/>
    <w:pPr>
      <w:jc w:val="left"/>
    </w:pPr>
    <w:rPr>
      <w:i/>
      <w:color w:val="FF0000"/>
    </w:rPr>
  </w:style>
  <w:style w:type="paragraph" w:styleId="NoSpacing">
    <w:name w:val="No Spacing"/>
    <w:qFormat/>
    <w:rsid w:val="00451501"/>
    <w:pPr>
      <w:jc w:val="both"/>
    </w:pPr>
    <w:rPr>
      <w:rFonts w:ascii="Book Antiqua" w:hAnsi="Book Antiqua"/>
    </w:rPr>
  </w:style>
  <w:style w:type="paragraph" w:customStyle="1" w:styleId="Pa6">
    <w:name w:val="Pa6"/>
    <w:basedOn w:val="Normal"/>
    <w:next w:val="Normal"/>
    <w:rsid w:val="00D42E0F"/>
    <w:pPr>
      <w:autoSpaceDE w:val="0"/>
      <w:autoSpaceDN w:val="0"/>
      <w:adjustRightInd w:val="0"/>
      <w:spacing w:after="0" w:line="361" w:lineRule="atLeast"/>
      <w:jc w:val="left"/>
    </w:pPr>
    <w:rPr>
      <w:rFonts w:ascii="Frutiger LT 57 Cn" w:hAnsi="Frutiger LT 57 Cn"/>
      <w:sz w:val="24"/>
      <w:szCs w:val="24"/>
    </w:rPr>
  </w:style>
  <w:style w:type="paragraph" w:customStyle="1" w:styleId="Default">
    <w:name w:val="Default"/>
    <w:rsid w:val="00CB685D"/>
    <w:pPr>
      <w:autoSpaceDE w:val="0"/>
      <w:autoSpaceDN w:val="0"/>
      <w:adjustRightInd w:val="0"/>
    </w:pPr>
    <w:rPr>
      <w:rFonts w:ascii="Book Antiqua" w:hAnsi="Book Antiqua" w:cs="Book Antiqua"/>
      <w:color w:val="000000"/>
      <w:sz w:val="24"/>
      <w:szCs w:val="24"/>
    </w:rPr>
  </w:style>
  <w:style w:type="character" w:customStyle="1" w:styleId="TableTextBulletChar">
    <w:name w:val="Table Text Bullet Char"/>
    <w:link w:val="TableTextBullet"/>
    <w:locked/>
    <w:rsid w:val="00CB685D"/>
    <w:rPr>
      <w:rFonts w:ascii="Arial" w:hAnsi="Arial"/>
      <w:sz w:val="18"/>
      <w:lang w:val="en-AU" w:eastAsia="en-AU" w:bidi="ar-SA"/>
    </w:rPr>
  </w:style>
  <w:style w:type="paragraph" w:customStyle="1" w:styleId="DefaultText">
    <w:name w:val="Default Text"/>
    <w:basedOn w:val="Normal"/>
    <w:rsid w:val="00A306E3"/>
    <w:pPr>
      <w:tabs>
        <w:tab w:val="left" w:pos="585"/>
        <w:tab w:val="left" w:pos="1140"/>
        <w:tab w:val="right" w:pos="5970"/>
        <w:tab w:val="right" w:pos="7410"/>
        <w:tab w:val="right" w:pos="8607"/>
      </w:tabs>
      <w:spacing w:after="0" w:line="240" w:lineRule="auto"/>
      <w:ind w:left="680"/>
      <w:jc w:val="left"/>
    </w:pPr>
    <w:rPr>
      <w:rFonts w:ascii="Times New Roman" w:hAnsi="Times New Roman"/>
      <w:sz w:val="24"/>
      <w:lang w:eastAsia="en-US"/>
    </w:rPr>
  </w:style>
  <w:style w:type="paragraph" w:styleId="NormalWeb">
    <w:name w:val="Normal (Web)"/>
    <w:basedOn w:val="Normal"/>
    <w:locked/>
    <w:rsid w:val="00CA71EE"/>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696306">
      <w:bodyDiv w:val="1"/>
      <w:marLeft w:val="0"/>
      <w:marRight w:val="0"/>
      <w:marTop w:val="0"/>
      <w:marBottom w:val="0"/>
      <w:divBdr>
        <w:top w:val="none" w:sz="0" w:space="0" w:color="auto"/>
        <w:left w:val="none" w:sz="0" w:space="0" w:color="auto"/>
        <w:bottom w:val="none" w:sz="0" w:space="0" w:color="auto"/>
        <w:right w:val="none" w:sz="0" w:space="0" w:color="auto"/>
      </w:divBdr>
    </w:div>
    <w:div w:id="207839966">
      <w:bodyDiv w:val="1"/>
      <w:marLeft w:val="0"/>
      <w:marRight w:val="0"/>
      <w:marTop w:val="0"/>
      <w:marBottom w:val="0"/>
      <w:divBdr>
        <w:top w:val="none" w:sz="0" w:space="0" w:color="auto"/>
        <w:left w:val="none" w:sz="0" w:space="0" w:color="auto"/>
        <w:bottom w:val="none" w:sz="0" w:space="0" w:color="auto"/>
        <w:right w:val="none" w:sz="0" w:space="0" w:color="auto"/>
      </w:divBdr>
      <w:divsChild>
        <w:div w:id="503322339">
          <w:marLeft w:val="0"/>
          <w:marRight w:val="0"/>
          <w:marTop w:val="0"/>
          <w:marBottom w:val="0"/>
          <w:divBdr>
            <w:top w:val="none" w:sz="0" w:space="0" w:color="auto"/>
            <w:left w:val="none" w:sz="0" w:space="0" w:color="auto"/>
            <w:bottom w:val="none" w:sz="0" w:space="0" w:color="auto"/>
            <w:right w:val="none" w:sz="0" w:space="0" w:color="auto"/>
          </w:divBdr>
        </w:div>
      </w:divsChild>
    </w:div>
    <w:div w:id="232004970">
      <w:bodyDiv w:val="1"/>
      <w:marLeft w:val="0"/>
      <w:marRight w:val="0"/>
      <w:marTop w:val="0"/>
      <w:marBottom w:val="0"/>
      <w:divBdr>
        <w:top w:val="none" w:sz="0" w:space="0" w:color="auto"/>
        <w:left w:val="none" w:sz="0" w:space="0" w:color="auto"/>
        <w:bottom w:val="none" w:sz="0" w:space="0" w:color="auto"/>
        <w:right w:val="none" w:sz="0" w:space="0" w:color="auto"/>
      </w:divBdr>
    </w:div>
    <w:div w:id="934703988">
      <w:bodyDiv w:val="1"/>
      <w:marLeft w:val="0"/>
      <w:marRight w:val="0"/>
      <w:marTop w:val="0"/>
      <w:marBottom w:val="0"/>
      <w:divBdr>
        <w:top w:val="none" w:sz="0" w:space="0" w:color="auto"/>
        <w:left w:val="none" w:sz="0" w:space="0" w:color="auto"/>
        <w:bottom w:val="none" w:sz="0" w:space="0" w:color="auto"/>
        <w:right w:val="none" w:sz="0" w:space="0" w:color="auto"/>
      </w:divBdr>
    </w:div>
    <w:div w:id="966735585">
      <w:bodyDiv w:val="1"/>
      <w:marLeft w:val="0"/>
      <w:marRight w:val="0"/>
      <w:marTop w:val="0"/>
      <w:marBottom w:val="0"/>
      <w:divBdr>
        <w:top w:val="none" w:sz="0" w:space="0" w:color="auto"/>
        <w:left w:val="none" w:sz="0" w:space="0" w:color="auto"/>
        <w:bottom w:val="none" w:sz="0" w:space="0" w:color="auto"/>
        <w:right w:val="none" w:sz="0" w:space="0" w:color="auto"/>
      </w:divBdr>
    </w:div>
    <w:div w:id="1315112111">
      <w:bodyDiv w:val="1"/>
      <w:marLeft w:val="0"/>
      <w:marRight w:val="0"/>
      <w:marTop w:val="0"/>
      <w:marBottom w:val="0"/>
      <w:divBdr>
        <w:top w:val="none" w:sz="0" w:space="0" w:color="auto"/>
        <w:left w:val="none" w:sz="0" w:space="0" w:color="auto"/>
        <w:bottom w:val="none" w:sz="0" w:space="0" w:color="auto"/>
        <w:right w:val="none" w:sz="0" w:space="0" w:color="auto"/>
      </w:divBdr>
    </w:div>
    <w:div w:id="1330015913">
      <w:bodyDiv w:val="1"/>
      <w:marLeft w:val="0"/>
      <w:marRight w:val="0"/>
      <w:marTop w:val="0"/>
      <w:marBottom w:val="0"/>
      <w:divBdr>
        <w:top w:val="none" w:sz="0" w:space="0" w:color="auto"/>
        <w:left w:val="none" w:sz="0" w:space="0" w:color="auto"/>
        <w:bottom w:val="none" w:sz="0" w:space="0" w:color="auto"/>
        <w:right w:val="none" w:sz="0" w:space="0" w:color="auto"/>
      </w:divBdr>
    </w:div>
    <w:div w:id="1631520579">
      <w:bodyDiv w:val="1"/>
      <w:marLeft w:val="0"/>
      <w:marRight w:val="0"/>
      <w:marTop w:val="0"/>
      <w:marBottom w:val="0"/>
      <w:divBdr>
        <w:top w:val="none" w:sz="0" w:space="0" w:color="auto"/>
        <w:left w:val="none" w:sz="0" w:space="0" w:color="auto"/>
        <w:bottom w:val="none" w:sz="0" w:space="0" w:color="auto"/>
        <w:right w:val="none" w:sz="0" w:space="0" w:color="auto"/>
      </w:divBdr>
    </w:div>
    <w:div w:id="18727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2.xml"/><Relationship Id="rId21" Type="http://schemas.openxmlformats.org/officeDocument/2006/relationships/header" Target="header9.xml"/><Relationship Id="rId34" Type="http://schemas.openxmlformats.org/officeDocument/2006/relationships/image" Target="media/image4.emf"/><Relationship Id="rId42" Type="http://schemas.openxmlformats.org/officeDocument/2006/relationships/footer" Target="footer10.xml"/><Relationship Id="rId47" Type="http://schemas.openxmlformats.org/officeDocument/2006/relationships/header" Target="header27.xml"/><Relationship Id="rId50" Type="http://schemas.openxmlformats.org/officeDocument/2006/relationships/footer" Target="footer12.xml"/><Relationship Id="rId55" Type="http://schemas.openxmlformats.org/officeDocument/2006/relationships/header" Target="header33.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footer" Target="footer8.xml"/><Relationship Id="rId38" Type="http://schemas.openxmlformats.org/officeDocument/2006/relationships/header" Target="header21.xml"/><Relationship Id="rId46" Type="http://schemas.openxmlformats.org/officeDocument/2006/relationships/footer" Target="footer11.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eader" Target="header15.xml"/><Relationship Id="rId41" Type="http://schemas.openxmlformats.org/officeDocument/2006/relationships/header" Target="header23.xml"/><Relationship Id="rId54"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20.xml"/><Relationship Id="rId40" Type="http://schemas.openxmlformats.org/officeDocument/2006/relationships/footer" Target="footer9.xml"/><Relationship Id="rId45" Type="http://schemas.openxmlformats.org/officeDocument/2006/relationships/header" Target="header26.xml"/><Relationship Id="rId53" Type="http://schemas.openxmlformats.org/officeDocument/2006/relationships/header" Target="header3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footer" Target="footer6.xml"/><Relationship Id="rId36" Type="http://schemas.openxmlformats.org/officeDocument/2006/relationships/header" Target="header19.xml"/><Relationship Id="rId49" Type="http://schemas.openxmlformats.org/officeDocument/2006/relationships/header" Target="header29.xml"/><Relationship Id="rId57" Type="http://schemas.openxmlformats.org/officeDocument/2006/relationships/header" Target="header35.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7.xml"/><Relationship Id="rId44" Type="http://schemas.openxmlformats.org/officeDocument/2006/relationships/header" Target="header25.xml"/><Relationship Id="rId52" Type="http://schemas.openxmlformats.org/officeDocument/2006/relationships/header" Target="header3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header" Target="header28.xml"/><Relationship Id="rId56" Type="http://schemas.openxmlformats.org/officeDocument/2006/relationships/header" Target="header34.xml"/><Relationship Id="rId8" Type="http://schemas.openxmlformats.org/officeDocument/2006/relationships/header" Target="header1.xml"/><Relationship Id="rId51" Type="http://schemas.openxmlformats.org/officeDocument/2006/relationships/header" Target="header30.xml"/><Relationship Id="rId3" Type="http://schemas.openxmlformats.org/officeDocument/2006/relationships/settings" Target="settings.xml"/></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14026</Words>
  <Characters>90722</Characters>
  <Application>Microsoft Office Word</Application>
  <DocSecurity>0</DocSecurity>
  <Lines>756</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2011 12</dc:title>
  <dc:subject/>
  <dc:creator/>
  <cp:keywords/>
  <dc:description/>
  <cp:lastModifiedBy/>
  <cp:revision>1</cp:revision>
  <dcterms:created xsi:type="dcterms:W3CDTF">2014-12-17T00:16:00Z</dcterms:created>
  <dcterms:modified xsi:type="dcterms:W3CDTF">2014-12-22T04:25:00Z</dcterms:modified>
</cp:coreProperties>
</file>