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42" w:rsidRDefault="00260042" w:rsidP="00BC1153">
      <w:pPr>
        <w:pStyle w:val="Heading1"/>
      </w:pPr>
      <w:r>
        <w:t>Services Australia 2020–21 Annual Report</w:t>
      </w:r>
    </w:p>
    <w:p w:rsidR="00260042" w:rsidRPr="00260042" w:rsidRDefault="00260042" w:rsidP="00C81689">
      <w:pPr>
        <w:pStyle w:val="Heading2"/>
        <w:rPr>
          <w:lang w:val="en-GB" w:eastAsia="en-AU"/>
        </w:rPr>
      </w:pPr>
      <w:r w:rsidRPr="00260042">
        <w:rPr>
          <w:lang w:val="en-GB" w:eastAsia="en-AU"/>
        </w:rPr>
        <w:t>Letter of transmittal</w:t>
      </w:r>
    </w:p>
    <w:p w:rsidR="00260042" w:rsidRDefault="00260042" w:rsidP="00C81689">
      <w:pPr>
        <w:pStyle w:val="Heading2"/>
      </w:pPr>
      <w:r>
        <w:t>About this report</w:t>
      </w:r>
    </w:p>
    <w:p w:rsidR="00260042" w:rsidRDefault="00260042" w:rsidP="006C55F6">
      <w:pPr>
        <w:pStyle w:val="BodyText"/>
      </w:pPr>
      <w:r>
        <w:t>The Services Australia 2020–21 Annual Report is a transparent account to the Parliament of Australia and the public of the activities undertaken by</w:t>
      </w:r>
      <w:r w:rsidR="004E3486">
        <w:t xml:space="preserve"> </w:t>
      </w:r>
      <w:r w:rsidR="00FB6F08">
        <w:t>page</w:t>
      </w:r>
      <w:r>
        <w:t xml:space="preserve"> the agency throughout the financial year. </w:t>
      </w:r>
    </w:p>
    <w:p w:rsidR="00260042" w:rsidRDefault="00260042" w:rsidP="00260042">
      <w:pPr>
        <w:pStyle w:val="BodyText"/>
      </w:pPr>
      <w:r>
        <w:t xml:space="preserve">We report against our planned performance expectations outlined in the Department of Social Services, Portfolio Budget Statements 2020–21, Budget Related Paper No. 1.12. </w:t>
      </w:r>
    </w:p>
    <w:p w:rsidR="00260042" w:rsidRDefault="00260042" w:rsidP="00260042">
      <w:pPr>
        <w:pStyle w:val="BodyText"/>
      </w:pPr>
      <w:r>
        <w:t xml:space="preserve">This report provides financial and performance information about the work of our agency from 1 July 2020 to 30 June 2021. It was prepared in accordance with legislative and parliamentary reporting requirements. </w:t>
      </w:r>
    </w:p>
    <w:p w:rsidR="00260042" w:rsidRDefault="00260042" w:rsidP="00C81689">
      <w:pPr>
        <w:pStyle w:val="Heading2"/>
      </w:pPr>
      <w:r>
        <w:t>Guide to this report</w:t>
      </w:r>
    </w:p>
    <w:p w:rsidR="006C55F6" w:rsidRDefault="006C55F6" w:rsidP="002E64CE">
      <w:pPr>
        <w:pStyle w:val="Heading3"/>
      </w:pPr>
      <w:r>
        <w:t>Part 1</w:t>
      </w:r>
    </w:p>
    <w:p w:rsidR="00BD19F0" w:rsidRDefault="00BD19F0" w:rsidP="00BD19F0">
      <w:pPr>
        <w:pStyle w:val="BodyText"/>
      </w:pPr>
      <w:r>
        <w:t>Provides an overview of the agency’s role and responsibilities, information about the Minister and the agency’s executive and management structure.</w:t>
      </w:r>
    </w:p>
    <w:p w:rsidR="006C55F6" w:rsidRDefault="006C55F6" w:rsidP="002E64CE">
      <w:pPr>
        <w:pStyle w:val="Heading3"/>
      </w:pPr>
      <w:r>
        <w:t>Part 2</w:t>
      </w:r>
    </w:p>
    <w:p w:rsidR="00BD19F0" w:rsidRDefault="00BD19F0" w:rsidP="00BD19F0">
      <w:pPr>
        <w:pStyle w:val="BodyText"/>
      </w:pPr>
      <w:r>
        <w:t>Details our service delivery modernisation agenda (2020–25) and provides an overview of key transformation reforms that have improved customer experiences in 2020–21.</w:t>
      </w:r>
    </w:p>
    <w:p w:rsidR="006C55F6" w:rsidRDefault="006C55F6" w:rsidP="002E64CE">
      <w:pPr>
        <w:pStyle w:val="Heading3"/>
      </w:pPr>
      <w:r>
        <w:t>Part 3</w:t>
      </w:r>
    </w:p>
    <w:p w:rsidR="00BD19F0" w:rsidRDefault="00BD19F0" w:rsidP="00BD19F0">
      <w:pPr>
        <w:pStyle w:val="BodyText"/>
      </w:pPr>
      <w:r>
        <w:t xml:space="preserve">Reviews the delivery of essential benefits and services to meet unprecedented demand </w:t>
      </w:r>
      <w:proofErr w:type="gramStart"/>
      <w:r>
        <w:t>as a result</w:t>
      </w:r>
      <w:proofErr w:type="gramEnd"/>
      <w:r>
        <w:t xml:space="preserve"> of the COVID-19 pandemic and responses to other emergencies.</w:t>
      </w:r>
    </w:p>
    <w:p w:rsidR="006C55F6" w:rsidRDefault="006C55F6" w:rsidP="002E64CE">
      <w:pPr>
        <w:pStyle w:val="Heading3"/>
      </w:pPr>
      <w:r>
        <w:t>Part 4</w:t>
      </w:r>
    </w:p>
    <w:p w:rsidR="00BD19F0" w:rsidRDefault="00BD19F0" w:rsidP="00BD19F0">
      <w:pPr>
        <w:pStyle w:val="BodyText"/>
      </w:pPr>
      <w:r>
        <w:t>Details payments and services delivered to customers under the three programs of Social Security and Welfare, Health and Child Support.</w:t>
      </w:r>
    </w:p>
    <w:p w:rsidR="006C55F6" w:rsidRDefault="006C55F6" w:rsidP="002E64CE">
      <w:pPr>
        <w:pStyle w:val="Heading3"/>
      </w:pPr>
      <w:r>
        <w:t>Part 5</w:t>
      </w:r>
    </w:p>
    <w:p w:rsidR="00BD19F0" w:rsidRDefault="00BD19F0" w:rsidP="00BD19F0">
      <w:pPr>
        <w:pStyle w:val="BodyText"/>
      </w:pPr>
      <w:r>
        <w:t>Provides detailed information on the other targeted services and support the agency delivers on behalf of government.</w:t>
      </w:r>
    </w:p>
    <w:p w:rsidR="006C55F6" w:rsidRDefault="006C55F6" w:rsidP="002E64CE">
      <w:pPr>
        <w:pStyle w:val="Heading3"/>
      </w:pPr>
      <w:r>
        <w:t>Part 6</w:t>
      </w:r>
    </w:p>
    <w:p w:rsidR="00BD19F0" w:rsidRDefault="00BD19F0" w:rsidP="00BD19F0">
      <w:pPr>
        <w:pStyle w:val="BodyText"/>
      </w:pPr>
      <w:r>
        <w:t>Provides an overview of Services Australia’s collaboration efforts, shared services and partnerships in delivering government services.</w:t>
      </w:r>
    </w:p>
    <w:p w:rsidR="006C55F6" w:rsidRDefault="006C55F6" w:rsidP="009B789E">
      <w:pPr>
        <w:pStyle w:val="Heading3"/>
      </w:pPr>
      <w:r>
        <w:lastRenderedPageBreak/>
        <w:t>Part 7</w:t>
      </w:r>
    </w:p>
    <w:p w:rsidR="00BD19F0" w:rsidRDefault="00BD19F0" w:rsidP="00BD19F0">
      <w:pPr>
        <w:pStyle w:val="BodyText"/>
      </w:pPr>
      <w:r>
        <w:t xml:space="preserve">Contains the agency’s Annual Performance </w:t>
      </w:r>
      <w:proofErr w:type="gramStart"/>
      <w:r>
        <w:t>Statement which</w:t>
      </w:r>
      <w:proofErr w:type="gramEnd"/>
      <w:r>
        <w:t xml:space="preserve"> reports the agency’s actual non-financial performance against planned performance set out in the Portfolio Budget Statement 2020–21.</w:t>
      </w:r>
    </w:p>
    <w:p w:rsidR="006C55F6" w:rsidRDefault="006C55F6" w:rsidP="009B789E">
      <w:pPr>
        <w:pStyle w:val="Heading3"/>
      </w:pPr>
      <w:r>
        <w:t>Part 8</w:t>
      </w:r>
    </w:p>
    <w:p w:rsidR="00BD19F0" w:rsidRDefault="00BD19F0" w:rsidP="00BD19F0">
      <w:pPr>
        <w:pStyle w:val="BodyText"/>
      </w:pPr>
      <w:r>
        <w:t>Details our management and accountability processes including fraud control and compliance, identity management, debt management including appeals and reviews, enterprise governance, external scrutiny, procurement including the use of consultants, and other mandatory reporting information.</w:t>
      </w:r>
    </w:p>
    <w:p w:rsidR="006C55F6" w:rsidRDefault="006C55F6" w:rsidP="002E64CE">
      <w:pPr>
        <w:pStyle w:val="Heading3"/>
      </w:pPr>
      <w:r>
        <w:t>Part 9</w:t>
      </w:r>
    </w:p>
    <w:p w:rsidR="00BD19F0" w:rsidRDefault="00BD19F0" w:rsidP="00BD19F0">
      <w:pPr>
        <w:pStyle w:val="BodyText"/>
      </w:pPr>
      <w:r>
        <w:t>Provides an overview of Services Australia’s organisational culture and broad workforce strategies.</w:t>
      </w:r>
    </w:p>
    <w:p w:rsidR="006C55F6" w:rsidRDefault="006C55F6" w:rsidP="002E64CE">
      <w:pPr>
        <w:pStyle w:val="Heading3"/>
      </w:pPr>
      <w:r>
        <w:t>Part 10</w:t>
      </w:r>
    </w:p>
    <w:p w:rsidR="00BD19F0" w:rsidRPr="00BD19F0" w:rsidRDefault="00BD19F0" w:rsidP="00BD19F0">
      <w:pPr>
        <w:pStyle w:val="BodyText"/>
      </w:pPr>
      <w:r w:rsidRPr="00BD19F0">
        <w:t xml:space="preserve">Sets out the agency’s financial performance information. </w:t>
      </w:r>
    </w:p>
    <w:p w:rsidR="006C55F6" w:rsidRDefault="006C55F6" w:rsidP="002E64CE">
      <w:pPr>
        <w:pStyle w:val="Heading3"/>
      </w:pPr>
      <w:r>
        <w:t>Part 11</w:t>
      </w:r>
    </w:p>
    <w:p w:rsidR="00BD19F0" w:rsidRPr="006C55F6" w:rsidRDefault="00BD19F0" w:rsidP="00BD19F0">
      <w:pPr>
        <w:pStyle w:val="BodyText"/>
      </w:pPr>
      <w:r>
        <w:t xml:space="preserve">Includes appendices and reference information including staffing statistics and other information </w:t>
      </w:r>
      <w:proofErr w:type="gramStart"/>
      <w:r>
        <w:t>required to be reported</w:t>
      </w:r>
      <w:proofErr w:type="gramEnd"/>
      <w:r>
        <w:t xml:space="preserve"> in the agency’s annual report by legislation.</w:t>
      </w:r>
    </w:p>
    <w:p w:rsidR="00260042" w:rsidRDefault="00260042" w:rsidP="00C81689">
      <w:pPr>
        <w:pStyle w:val="Heading2"/>
      </w:pPr>
      <w:r>
        <w:t>Chief Executive Officer’s review</w:t>
      </w:r>
    </w:p>
    <w:p w:rsidR="00260042" w:rsidRPr="00BD19F0" w:rsidRDefault="00260042" w:rsidP="00BD19F0">
      <w:pPr>
        <w:pStyle w:val="BodyText"/>
      </w:pPr>
      <w:r w:rsidRPr="00BD19F0">
        <w:t xml:space="preserve">2020–21 has been a significant year in our history of supporting the people of Australia. It has been a year in which we exceeded service delivery records, helped Australians through the COVID-19 pandemic, floods, fires, storms and a cyclone, and still made great progress on our goal to become a world-leading </w:t>
      </w:r>
      <w:proofErr w:type="gramStart"/>
      <w:r w:rsidRPr="00BD19F0">
        <w:t>government service delivery organisation</w:t>
      </w:r>
      <w:proofErr w:type="gramEnd"/>
      <w:r w:rsidRPr="00BD19F0">
        <w:t xml:space="preserve"> by 2025. </w:t>
      </w:r>
    </w:p>
    <w:p w:rsidR="00260042" w:rsidRPr="00BD19F0" w:rsidRDefault="00260042" w:rsidP="00BD19F0">
      <w:pPr>
        <w:pStyle w:val="BodyText"/>
      </w:pPr>
      <w:r w:rsidRPr="00BD19F0">
        <w:t xml:space="preserve">Throughout this challenging </w:t>
      </w:r>
      <w:proofErr w:type="gramStart"/>
      <w:r w:rsidRPr="00BD19F0">
        <w:t>year</w:t>
      </w:r>
      <w:proofErr w:type="gramEnd"/>
      <w:r w:rsidRPr="00BD19F0">
        <w:t xml:space="preserve"> we have matured and continue to be driven by our vision to ‘make government services simple, helpful, respectful and transparent so that people can get on with their lives’.</w:t>
      </w:r>
    </w:p>
    <w:p w:rsidR="00260042" w:rsidRPr="00BD19F0" w:rsidRDefault="00260042" w:rsidP="00BD19F0">
      <w:pPr>
        <w:pStyle w:val="BodyText"/>
      </w:pPr>
      <w:r w:rsidRPr="00BD19F0">
        <w:t>To achieve this, Services Australia committed to refocus and accelerate, by continuing to build our service delivery capability, technological foundations and organisational health.</w:t>
      </w:r>
    </w:p>
    <w:p w:rsidR="00260042" w:rsidRPr="00BD19F0" w:rsidRDefault="00260042" w:rsidP="00BD19F0">
      <w:pPr>
        <w:pStyle w:val="BodyText"/>
      </w:pPr>
      <w:r w:rsidRPr="00BD19F0">
        <w:t xml:space="preserve">The responsiveness, innovation and collaboration we demonstrated across our business over the past 12 months has delivered tangible and practical changes, empowering citizens to engage with us in new ways. </w:t>
      </w:r>
    </w:p>
    <w:p w:rsidR="00260042" w:rsidRDefault="00260042" w:rsidP="00C81689">
      <w:pPr>
        <w:pStyle w:val="Heading2"/>
      </w:pPr>
      <w:r>
        <w:lastRenderedPageBreak/>
        <w:t>Meeting our responsibilities: financial and performance outcomes</w:t>
      </w:r>
    </w:p>
    <w:p w:rsidR="00260042" w:rsidRPr="00BD19F0" w:rsidRDefault="00260042" w:rsidP="00BD19F0">
      <w:pPr>
        <w:pStyle w:val="BodyText"/>
      </w:pPr>
      <w:r w:rsidRPr="00BD19F0">
        <w:t xml:space="preserve">In </w:t>
      </w:r>
      <w:proofErr w:type="gramStart"/>
      <w:r w:rsidRPr="00BD19F0">
        <w:t>2020–21</w:t>
      </w:r>
      <w:proofErr w:type="gramEnd"/>
      <w:r w:rsidRPr="00BD19F0">
        <w:t xml:space="preserve"> Services Australia administered $230.1 billion in payments, the majority on behalf of the Department of Social Services, the Department of Health and the Department of Education, Skills and Employment. </w:t>
      </w:r>
    </w:p>
    <w:p w:rsidR="00260042" w:rsidRPr="00BD19F0" w:rsidRDefault="00260042" w:rsidP="00BD19F0">
      <w:pPr>
        <w:pStyle w:val="BodyText"/>
      </w:pPr>
      <w:r w:rsidRPr="00BD19F0">
        <w:t>The Government provided the agency with $5.6 billion in departmental operating and capital funding to administer these payments and provide other customer services.</w:t>
      </w:r>
    </w:p>
    <w:p w:rsidR="00260042" w:rsidRPr="00BD19F0" w:rsidRDefault="00260042" w:rsidP="00BD19F0">
      <w:pPr>
        <w:pStyle w:val="BodyText"/>
      </w:pPr>
      <w:proofErr w:type="gramStart"/>
      <w:r w:rsidRPr="00BD19F0">
        <w:t>I’m</w:t>
      </w:r>
      <w:proofErr w:type="gramEnd"/>
      <w:r w:rsidRPr="00BD19F0">
        <w:t xml:space="preserve"> pleased to say we met 26 of our 27 performance measure targets, meaning better services for Australians.</w:t>
      </w:r>
    </w:p>
    <w:p w:rsidR="00260042" w:rsidRPr="00BD19F0" w:rsidRDefault="00260042" w:rsidP="00BD19F0">
      <w:pPr>
        <w:pStyle w:val="BodyText"/>
      </w:pPr>
      <w:r w:rsidRPr="00BD19F0">
        <w:t>This focus on what Australians need, as well as our speed and capacity building have been critical for our response to emergencies and the COVID-19 pandemic.</w:t>
      </w:r>
    </w:p>
    <w:p w:rsidR="00260042" w:rsidRDefault="00260042" w:rsidP="00C81689">
      <w:pPr>
        <w:pStyle w:val="Heading2"/>
      </w:pPr>
      <w:r>
        <w:t>COVID-19 and emergencies</w:t>
      </w:r>
    </w:p>
    <w:p w:rsidR="00260042" w:rsidRDefault="00260042" w:rsidP="00BD19F0">
      <w:pPr>
        <w:pStyle w:val="BodyText"/>
      </w:pPr>
      <w:r>
        <w:t xml:space="preserve">As the impact of COVID-19 continues to </w:t>
      </w:r>
      <w:proofErr w:type="gramStart"/>
      <w:r>
        <w:t>be felt</w:t>
      </w:r>
      <w:proofErr w:type="gramEnd"/>
      <w:r>
        <w:t xml:space="preserve"> across the nation, we have an important role in Australia’s economic stability, delivering essential financial support for people affected by the pandemic. During this financial year, this included $6.1 billion in Economic Support Payments and $14.9 billion in Coronavirus Supplement Payments. This was on top of $5.3 billion and $5.7 billion in 2019–20.</w:t>
      </w:r>
    </w:p>
    <w:p w:rsidR="00260042" w:rsidRDefault="00260042" w:rsidP="00BD19F0">
      <w:pPr>
        <w:pStyle w:val="BodyText"/>
      </w:pPr>
      <w:r>
        <w:t xml:space="preserve">Our support was practical as well as financial. Services Australia </w:t>
      </w:r>
      <w:proofErr w:type="gramStart"/>
      <w:r>
        <w:t>partnered</w:t>
      </w:r>
      <w:proofErr w:type="gramEnd"/>
      <w:r>
        <w:t xml:space="preserve"> with the Department of Health to expand the Australian Immunisation Register to meet increased demand and to enable people to easily view their COVID-19 vaccination record. Customers now have direct access to their Immunisation History Statements and COVID-19 Digital Certificates from their </w:t>
      </w:r>
      <w:proofErr w:type="spellStart"/>
      <w:r>
        <w:t>myGov</w:t>
      </w:r>
      <w:proofErr w:type="spellEnd"/>
      <w:r>
        <w:t xml:space="preserve"> account.</w:t>
      </w:r>
    </w:p>
    <w:p w:rsidR="00260042" w:rsidRDefault="00260042" w:rsidP="00BD19F0">
      <w:pPr>
        <w:pStyle w:val="BodyText"/>
      </w:pPr>
      <w:r>
        <w:t xml:space="preserve">A major part of our work during the year was to deliver on-the-ground services and quick payments to Australians during emergencies. We were able to mobilise quickly to emergencies like the New South Wales Floods in March. As soon as it was safe, our Mobile Service Teams and Mobile Service Centres </w:t>
      </w:r>
      <w:proofErr w:type="gramStart"/>
      <w:r>
        <w:t>were deployed</w:t>
      </w:r>
      <w:proofErr w:type="gramEnd"/>
      <w:r>
        <w:t xml:space="preserve"> to multiple locations in Northern NSW. </w:t>
      </w:r>
    </w:p>
    <w:p w:rsidR="00260042" w:rsidRDefault="00260042" w:rsidP="00BD19F0">
      <w:pPr>
        <w:pStyle w:val="BodyText"/>
      </w:pPr>
      <w:r>
        <w:t>Along with this in-person support, in 2020–21 we managed the largest demand for telephony and claims processing work in our history, simultaneously supporting our usual demand peaks, COVID-19 payments and Australian Government Disaster Relief Payments.</w:t>
      </w:r>
    </w:p>
    <w:p w:rsidR="00260042" w:rsidRDefault="00260042" w:rsidP="00C81689">
      <w:pPr>
        <w:pStyle w:val="Heading2"/>
      </w:pPr>
      <w:r>
        <w:t>Our transformation journey</w:t>
      </w:r>
    </w:p>
    <w:p w:rsidR="00260042" w:rsidRPr="00BD19F0" w:rsidRDefault="00260042" w:rsidP="00BD19F0">
      <w:pPr>
        <w:pStyle w:val="BodyText"/>
      </w:pPr>
      <w:r w:rsidRPr="00BD19F0">
        <w:t>While COVID-19 and emergency responses have sped up necessary transformation processes, developing modern payment systems, reusable technological architecture and new ways of assisting our customers is fundamental to our transformation journey.</w:t>
      </w:r>
    </w:p>
    <w:p w:rsidR="00260042" w:rsidRPr="00BD19F0" w:rsidRDefault="00260042" w:rsidP="00BD19F0">
      <w:pPr>
        <w:pStyle w:val="BodyText"/>
      </w:pPr>
      <w:r w:rsidRPr="00BD19F0">
        <w:t>For instance, we continued to build the technology that powers our payments and to modernise corporate systems such as the Single Staff Interface. The interface removes the need for staff to change between systems, making claims quicker to process and reducing errors.</w:t>
      </w:r>
    </w:p>
    <w:p w:rsidR="00260042" w:rsidRPr="00BD19F0" w:rsidRDefault="00260042" w:rsidP="00BD19F0">
      <w:pPr>
        <w:pStyle w:val="BodyText"/>
      </w:pPr>
      <w:r w:rsidRPr="00BD19F0">
        <w:t xml:space="preserve">During the year, we authenticated over 12 million calls using voice biometrics, reducing </w:t>
      </w:r>
      <w:proofErr w:type="gramStart"/>
      <w:r w:rsidRPr="00BD19F0">
        <w:t>identity check wait times</w:t>
      </w:r>
      <w:proofErr w:type="gramEnd"/>
      <w:r w:rsidRPr="00BD19F0">
        <w:t xml:space="preserve"> for customers. This freed up staff to spend more time to support and help our customers.</w:t>
      </w:r>
    </w:p>
    <w:p w:rsidR="00260042" w:rsidRPr="00BD19F0" w:rsidRDefault="00260042" w:rsidP="00BD19F0">
      <w:pPr>
        <w:pStyle w:val="BodyText"/>
      </w:pPr>
      <w:r w:rsidRPr="00BD19F0">
        <w:lastRenderedPageBreak/>
        <w:t>We trialled a ‘virtual’ service centre, which allowed customers to engage with us by video chat for some services.</w:t>
      </w:r>
    </w:p>
    <w:p w:rsidR="00260042" w:rsidRPr="00BD19F0" w:rsidRDefault="00260042" w:rsidP="00BD19F0">
      <w:pPr>
        <w:pStyle w:val="BodyText"/>
      </w:pPr>
      <w:r w:rsidRPr="00BD19F0">
        <w:t xml:space="preserve">In November 2020, a new, consolidated aged care provider portal </w:t>
      </w:r>
      <w:proofErr w:type="gramStart"/>
      <w:r w:rsidRPr="00BD19F0">
        <w:t>was implemented</w:t>
      </w:r>
      <w:proofErr w:type="gramEnd"/>
      <w:r w:rsidRPr="00BD19F0">
        <w:t>, making it easier for aged care providers to claim payments, and manage and update their details online. The portal won an Australian Government Digital Award for an outstanding digital product or service.</w:t>
      </w:r>
    </w:p>
    <w:p w:rsidR="00260042" w:rsidRDefault="00260042" w:rsidP="00C81689">
      <w:pPr>
        <w:pStyle w:val="Heading2"/>
      </w:pPr>
      <w:r>
        <w:t>Our customers and our people</w:t>
      </w:r>
    </w:p>
    <w:p w:rsidR="00260042" w:rsidRPr="00BD19F0" w:rsidRDefault="00260042" w:rsidP="00BD19F0">
      <w:pPr>
        <w:pStyle w:val="BodyText"/>
      </w:pPr>
      <w:r w:rsidRPr="00BD19F0">
        <w:t xml:space="preserve">Underpinned by a laser focus on our customers, our service transformation has seen us simplify processes and apply digital enablement to some claims. </w:t>
      </w:r>
    </w:p>
    <w:p w:rsidR="00260042" w:rsidRPr="00BD19F0" w:rsidRDefault="00260042" w:rsidP="00BD19F0">
      <w:pPr>
        <w:pStyle w:val="BodyText"/>
      </w:pPr>
      <w:r w:rsidRPr="00BD19F0">
        <w:t xml:space="preserve">For example, in partnership with the Australian Taxation Office we introduced new technologies to facilitate Single Touch Payroll near real-time data exchange capabilities. This made it easier for employers to report payroll information. </w:t>
      </w:r>
    </w:p>
    <w:p w:rsidR="00260042" w:rsidRPr="00BD19F0" w:rsidRDefault="00260042" w:rsidP="00BD19F0">
      <w:pPr>
        <w:pStyle w:val="BodyText"/>
      </w:pPr>
      <w:r w:rsidRPr="00BD19F0">
        <w:t xml:space="preserve">We also reduced processing time with digitally enabled processing for a range of claim types with repetitive, rules-based tasks. In 2020–21, more than 200,000 Social Security and Welfare claims were </w:t>
      </w:r>
      <w:proofErr w:type="gramStart"/>
      <w:r w:rsidRPr="00BD19F0">
        <w:t>straight-through</w:t>
      </w:r>
      <w:proofErr w:type="gramEnd"/>
      <w:r w:rsidRPr="00BD19F0">
        <w:t xml:space="preserve"> processed, with some claims granted in minutes. </w:t>
      </w:r>
    </w:p>
    <w:p w:rsidR="00260042" w:rsidRPr="00BD19F0" w:rsidRDefault="00260042" w:rsidP="00BD19F0">
      <w:pPr>
        <w:pStyle w:val="BodyText"/>
      </w:pPr>
      <w:r w:rsidRPr="00BD19F0">
        <w:t xml:space="preserve">Our service improvements </w:t>
      </w:r>
      <w:proofErr w:type="gramStart"/>
      <w:r w:rsidRPr="00BD19F0">
        <w:t>are not just focused</w:t>
      </w:r>
      <w:proofErr w:type="gramEnd"/>
      <w:r w:rsidRPr="00BD19F0">
        <w:t xml:space="preserve"> on digital solutions. Since August 2020, we have reviewed more than 300,000 customer </w:t>
      </w:r>
      <w:proofErr w:type="gramStart"/>
      <w:r w:rsidRPr="00BD19F0">
        <w:t>surveys which</w:t>
      </w:r>
      <w:proofErr w:type="gramEnd"/>
      <w:r w:rsidRPr="00BD19F0">
        <w:t xml:space="preserve"> are helping us to improve customer experiences. </w:t>
      </w:r>
    </w:p>
    <w:p w:rsidR="00260042" w:rsidRPr="00BD19F0" w:rsidRDefault="00260042" w:rsidP="00BD19F0">
      <w:pPr>
        <w:pStyle w:val="BodyText"/>
      </w:pPr>
      <w:proofErr w:type="gramStart"/>
      <w:r w:rsidRPr="00BD19F0">
        <w:t>We’re</w:t>
      </w:r>
      <w:proofErr w:type="gramEnd"/>
      <w:r w:rsidRPr="00BD19F0">
        <w:t xml:space="preserve"> improving and modernising our face-to-face services and operations as well. Between 1 December 2020 and 30 June 2021, </w:t>
      </w:r>
      <w:proofErr w:type="gramStart"/>
      <w:r w:rsidRPr="00BD19F0">
        <w:t>we’ve</w:t>
      </w:r>
      <w:proofErr w:type="gramEnd"/>
      <w:r w:rsidRPr="00BD19F0">
        <w:t xml:space="preserve"> updated 6 service centres with a fresh and welcoming design, resulting in positive feedback from our customers. We also embedded new service experiences for customers, including </w:t>
      </w:r>
      <w:proofErr w:type="spellStart"/>
      <w:r w:rsidRPr="00BD19F0">
        <w:t>self check-in</w:t>
      </w:r>
      <w:proofErr w:type="spellEnd"/>
      <w:r w:rsidRPr="00BD19F0">
        <w:t xml:space="preserve">, transparent wait times and the ability to use video chat with on-site or personal devices. </w:t>
      </w:r>
    </w:p>
    <w:p w:rsidR="00260042" w:rsidRPr="00BD19F0" w:rsidRDefault="00260042" w:rsidP="00BD19F0">
      <w:pPr>
        <w:pStyle w:val="BodyText"/>
      </w:pPr>
      <w:r w:rsidRPr="00BD19F0">
        <w:t xml:space="preserve">Our focus on customers is fundamental to our way of doing business, but we also continue to invest in our most important asset – our staff. The customer-centric cultural change underway </w:t>
      </w:r>
      <w:proofErr w:type="gramStart"/>
      <w:r w:rsidRPr="00BD19F0">
        <w:t>is being delivered</w:t>
      </w:r>
      <w:proofErr w:type="gramEnd"/>
      <w:r w:rsidRPr="00BD19F0">
        <w:t xml:space="preserve"> through our Empowering Excellence program, which gives staff the tools to find better ways of working and adopt high performance habits. </w:t>
      </w:r>
    </w:p>
    <w:p w:rsidR="00260042" w:rsidRPr="00BD19F0" w:rsidRDefault="00260042" w:rsidP="00BD19F0">
      <w:pPr>
        <w:pStyle w:val="BodyText"/>
      </w:pPr>
      <w:proofErr w:type="gramStart"/>
      <w:r w:rsidRPr="00BD19F0">
        <w:t>We’ve</w:t>
      </w:r>
      <w:proofErr w:type="gramEnd"/>
      <w:r w:rsidRPr="00BD19F0">
        <w:t xml:space="preserve"> also developed a Service Delivery Workforce Model to support the development of recruitment, training and career sustainment strategies for our frontline workforce. This includes initiatives such as centralised recruitment, career paths, integrated curriculum, talent management and workforce mobility, and will provide a consistent approach to attracting and engaging people with the skills, attributes and motivation for our service delivery workforce.</w:t>
      </w:r>
    </w:p>
    <w:p w:rsidR="00260042" w:rsidRDefault="00260042" w:rsidP="00C81689">
      <w:pPr>
        <w:pStyle w:val="Heading2"/>
      </w:pPr>
      <w:r>
        <w:t xml:space="preserve">Acknowledgements </w:t>
      </w:r>
    </w:p>
    <w:p w:rsidR="00260042" w:rsidRPr="00BD19F0" w:rsidRDefault="00260042" w:rsidP="00BD19F0">
      <w:pPr>
        <w:pStyle w:val="BodyText"/>
      </w:pPr>
      <w:r w:rsidRPr="00BD19F0">
        <w:t xml:space="preserve">Our Services Australia staff continue to show extraordinary resilience and commitment to helpful service </w:t>
      </w:r>
      <w:proofErr w:type="gramStart"/>
      <w:r w:rsidRPr="00BD19F0">
        <w:t>each and every</w:t>
      </w:r>
      <w:proofErr w:type="gramEnd"/>
      <w:r w:rsidRPr="00BD19F0">
        <w:t xml:space="preserve"> day. </w:t>
      </w:r>
    </w:p>
    <w:p w:rsidR="00260042" w:rsidRPr="00BD19F0" w:rsidRDefault="00260042" w:rsidP="00BD19F0">
      <w:pPr>
        <w:pStyle w:val="BodyText"/>
      </w:pPr>
      <w:r w:rsidRPr="00BD19F0">
        <w:t xml:space="preserve">Thank you in particular to all the staff who stepped up, some multiple times, as part of our emergency responses – whether working over weekends or into evenings, answering calls or processing claims, or helping to respond to social media enquiries. Your contributions make all the difference and I am very grateful. </w:t>
      </w:r>
    </w:p>
    <w:p w:rsidR="00260042" w:rsidRPr="00BD19F0" w:rsidRDefault="00260042" w:rsidP="00BD19F0">
      <w:pPr>
        <w:pStyle w:val="BodyText"/>
      </w:pPr>
      <w:r w:rsidRPr="00BD19F0">
        <w:lastRenderedPageBreak/>
        <w:t xml:space="preserve">The scale and intensity of our service delivery effort requires robust and efficient systems and processes. </w:t>
      </w:r>
      <w:proofErr w:type="gramStart"/>
      <w:r w:rsidRPr="00BD19F0">
        <w:t>So</w:t>
      </w:r>
      <w:proofErr w:type="gramEnd"/>
      <w:r w:rsidRPr="00BD19F0">
        <w:t xml:space="preserve"> a big thank you also goes to staff who work behind the scenes to keep our enabling services up and running.</w:t>
      </w:r>
    </w:p>
    <w:p w:rsidR="00260042" w:rsidRPr="00BD19F0" w:rsidRDefault="00260042" w:rsidP="00BD19F0">
      <w:pPr>
        <w:pStyle w:val="BodyText"/>
      </w:pPr>
      <w:r w:rsidRPr="00BD19F0">
        <w:t xml:space="preserve">I also want to acknowledge my executive team for their outstanding dedication and hard work, especially in times of crisis and for their leadership in transforming service delivery. Their ‘can do’ attitude is exemplary. </w:t>
      </w:r>
    </w:p>
    <w:p w:rsidR="00260042" w:rsidRDefault="00260042" w:rsidP="00260042">
      <w:pPr>
        <w:pStyle w:val="BodyText"/>
      </w:pPr>
      <w:r w:rsidRPr="00BD19F0">
        <w:t>I am pleased to present the agency’s annual report for 2020–21.</w:t>
      </w:r>
    </w:p>
    <w:p w:rsidR="00260042" w:rsidRDefault="00260042" w:rsidP="00BD19F0">
      <w:pPr>
        <w:pStyle w:val="BodyText"/>
      </w:pPr>
      <w:r>
        <w:t>Rebecca Skinner PSM</w:t>
      </w:r>
    </w:p>
    <w:p w:rsidR="00260042" w:rsidRDefault="00260042" w:rsidP="00BD19F0">
      <w:pPr>
        <w:pStyle w:val="BodyText"/>
      </w:pPr>
      <w:r>
        <w:t>Chief Executive Officer</w:t>
      </w:r>
    </w:p>
    <w:p w:rsidR="00260042" w:rsidRDefault="00260042" w:rsidP="00BC1153">
      <w:pPr>
        <w:pStyle w:val="Heading1"/>
      </w:pPr>
      <w:r>
        <w:t>About the agency – roles and functions</w:t>
      </w:r>
    </w:p>
    <w:p w:rsidR="00260042" w:rsidRDefault="00260042" w:rsidP="00C81689">
      <w:pPr>
        <w:pStyle w:val="Heading2"/>
      </w:pPr>
      <w:r>
        <w:t xml:space="preserve">1.1 About the </w:t>
      </w:r>
      <w:r w:rsidRPr="00BD19F0">
        <w:t>agency</w:t>
      </w:r>
      <w:r>
        <w:t xml:space="preserve"> </w:t>
      </w:r>
    </w:p>
    <w:p w:rsidR="00260042" w:rsidRDefault="00260042" w:rsidP="00BD19F0">
      <w:pPr>
        <w:pStyle w:val="BodyText"/>
      </w:pPr>
      <w:r>
        <w:t xml:space="preserve">Services Australia’s </w:t>
      </w:r>
      <w:r>
        <w:rPr>
          <w:rStyle w:val="Bold"/>
        </w:rPr>
        <w:t>purpose</w:t>
      </w:r>
      <w:r>
        <w:t xml:space="preserve"> is ‘to support Australians by efficiently delivering high-quality, accessible services and payments on behalf of government’. </w:t>
      </w:r>
    </w:p>
    <w:p w:rsidR="00260042" w:rsidRDefault="00260042" w:rsidP="00260042">
      <w:pPr>
        <w:pStyle w:val="BodyText"/>
      </w:pPr>
      <w:r>
        <w:t xml:space="preserve">Services Australia’s </w:t>
      </w:r>
      <w:r>
        <w:rPr>
          <w:rStyle w:val="Bold"/>
        </w:rPr>
        <w:t>vision</w:t>
      </w:r>
      <w:r>
        <w:t xml:space="preserve"> is ‘to make government services simple so people can get on with their lives’.</w:t>
      </w:r>
    </w:p>
    <w:p w:rsidR="00260042" w:rsidRDefault="00260042" w:rsidP="00260042">
      <w:pPr>
        <w:pStyle w:val="BodyText"/>
      </w:pPr>
      <w:r>
        <w:t xml:space="preserve">To achieve this vision Services Australia is continuing to undertake a major transformation and modernisation program. This is building the capacity and structures for sustained change to deliver streamlined customer services seamlessly and efficiently. </w:t>
      </w:r>
    </w:p>
    <w:p w:rsidR="00260042" w:rsidRDefault="00260042" w:rsidP="002E64CE">
      <w:pPr>
        <w:pStyle w:val="Heading3"/>
      </w:pPr>
      <w:r>
        <w:t>Ministers during 2020–21</w:t>
      </w:r>
    </w:p>
    <w:p w:rsidR="00260042" w:rsidRDefault="00260042" w:rsidP="00260042">
      <w:pPr>
        <w:pStyle w:val="BodyText"/>
      </w:pPr>
      <w:r>
        <w:t>On 30 March 2021, Senator the Hon. Linda Reynolds CSC was sworn in as the Minister for the National Disability Insurance Scheme and the Minister for Government Services. The Hon. Stuart Robert MP was the Minister for the National Disability Insurance Scheme and the Minister for Government Services from 29 May 2019 to 30 March 2021.</w:t>
      </w:r>
    </w:p>
    <w:p w:rsidR="00260042" w:rsidRDefault="00260042" w:rsidP="002E64CE">
      <w:pPr>
        <w:pStyle w:val="Heading3"/>
      </w:pPr>
      <w:r>
        <w:t>Role and function</w:t>
      </w:r>
    </w:p>
    <w:p w:rsidR="00260042" w:rsidRDefault="00260042" w:rsidP="00260042">
      <w:pPr>
        <w:pStyle w:val="BodyText"/>
      </w:pPr>
      <w:r>
        <w:t xml:space="preserve">Services Australia designs, develops, delivers, coordinates and monitors government services and payments relating to social security, child support, students, families, aged care and health programs. We provide advice to government on the delivery of these services and payments, and collaborate with other agencies, providers and businesses to provide convenient, accessible and efficient services to individuals, families and communities. </w:t>
      </w:r>
    </w:p>
    <w:p w:rsidR="00260042" w:rsidRDefault="00260042" w:rsidP="002E64CE">
      <w:pPr>
        <w:pStyle w:val="Heading3"/>
      </w:pPr>
      <w:r>
        <w:t>Portfolio structure</w:t>
      </w:r>
    </w:p>
    <w:p w:rsidR="00260042" w:rsidRDefault="00260042" w:rsidP="00260042">
      <w:pPr>
        <w:pStyle w:val="BodyText"/>
      </w:pPr>
      <w:r>
        <w:t xml:space="preserve">Services Australia </w:t>
      </w:r>
      <w:proofErr w:type="gramStart"/>
      <w:r>
        <w:t>was established</w:t>
      </w:r>
      <w:proofErr w:type="gramEnd"/>
      <w:r>
        <w:t xml:space="preserve"> as a new executive agency, within the Social Services portfolio under the Administrative Arrangements Order issued on 5 December 2019, with effect from 1 February 2020.</w:t>
      </w:r>
    </w:p>
    <w:p w:rsidR="00260042" w:rsidRDefault="00260042" w:rsidP="00C81689">
      <w:pPr>
        <w:pStyle w:val="Heading2"/>
      </w:pPr>
      <w:r>
        <w:lastRenderedPageBreak/>
        <w:t>1.2 Agency executive and management structure</w:t>
      </w:r>
    </w:p>
    <w:p w:rsidR="00260042" w:rsidRDefault="00260042" w:rsidP="00260042">
      <w:pPr>
        <w:pStyle w:val="BodyText"/>
        <w:rPr>
          <w:b/>
          <w:bCs/>
        </w:rPr>
      </w:pPr>
      <w:r>
        <w:t>Figure 1 outlines the organisational structure for Services Australia at 30 June 2021. It shows the reporting lines from General Managers (GMs) to Deputy CEOs (</w:t>
      </w:r>
      <w:proofErr w:type="gramStart"/>
      <w:r>
        <w:t>DCEOs),</w:t>
      </w:r>
      <w:proofErr w:type="gramEnd"/>
      <w:r>
        <w:t xml:space="preserve"> and from DCEOs to the Chief Executive Officer (CEO).</w:t>
      </w:r>
    </w:p>
    <w:p w:rsidR="00260042" w:rsidRPr="008930A3" w:rsidRDefault="00260042" w:rsidP="008930A3">
      <w:pPr>
        <w:pStyle w:val="BodyText"/>
        <w:rPr>
          <w:b/>
        </w:rPr>
      </w:pPr>
      <w:r w:rsidRPr="008930A3">
        <w:rPr>
          <w:b/>
        </w:rPr>
        <w:t>Figure 1: Organisational structure at 30 June 2021</w:t>
      </w:r>
    </w:p>
    <w:p w:rsidR="00260042" w:rsidRDefault="00260042" w:rsidP="002E64CE">
      <w:pPr>
        <w:pStyle w:val="Heading3"/>
      </w:pPr>
      <w:r>
        <w:t>The Executive</w:t>
      </w:r>
    </w:p>
    <w:p w:rsidR="00260042" w:rsidRDefault="00260042" w:rsidP="00260042">
      <w:pPr>
        <w:pStyle w:val="BodyText"/>
      </w:pPr>
      <w:r>
        <w:rPr>
          <w:rStyle w:val="Bold"/>
        </w:rPr>
        <w:t>Chief Executive Officer</w:t>
      </w:r>
      <w:r>
        <w:t xml:space="preserve"> – Responsible for supporting the Minister for Government Services in the delivery of portfolio responsibilities and the development of strategic policy advice. The CEO provides strategic oversight, leadership and management of Services Australia, ensuring collaborative implementation and delivery of government policy and programs and a whole-of-government approach to service delivery. The CEO also manages key stakeholder relationships and contributes to the stewardship of the Australian Public Service.</w:t>
      </w:r>
    </w:p>
    <w:p w:rsidR="00260042" w:rsidRDefault="00260042" w:rsidP="00260042">
      <w:pPr>
        <w:pStyle w:val="BodyText"/>
      </w:pPr>
      <w:r>
        <w:rPr>
          <w:rStyle w:val="Bold"/>
        </w:rPr>
        <w:t>Deputy Chief Executive Officer, Strategy and Performance</w:t>
      </w:r>
      <w:r>
        <w:t xml:space="preserve"> – Responsible for operating the strategic centre for the agency by setting the strategic direction and enterprise transformation agenda. The DCEO is also responsible for monitoring and reporting on progress of the agency’s strategy and performance.</w:t>
      </w:r>
    </w:p>
    <w:p w:rsidR="00260042" w:rsidRDefault="00260042" w:rsidP="00260042">
      <w:pPr>
        <w:pStyle w:val="BodyText"/>
      </w:pPr>
      <w:r>
        <w:rPr>
          <w:rStyle w:val="Bold"/>
        </w:rPr>
        <w:t>Deputy Chief Executive Officer, Transformation Projects</w:t>
      </w:r>
      <w:r>
        <w:t xml:space="preserve"> – Responsible for major transformation programs, including Welfare Payment Infrastructure Transformation, Health Delivery Modernisation, Veteran Centric Reform, Residential Aged Care Funding Reform, the Telecommunications Services Programme, Government Enterprise Resource Planning (</w:t>
      </w:r>
      <w:proofErr w:type="spellStart"/>
      <w:r>
        <w:t>GovERP</w:t>
      </w:r>
      <w:proofErr w:type="spellEnd"/>
      <w:r>
        <w:t xml:space="preserve">) and Enhanced </w:t>
      </w:r>
      <w:proofErr w:type="spellStart"/>
      <w:r>
        <w:t>myGov</w:t>
      </w:r>
      <w:proofErr w:type="spellEnd"/>
      <w:r>
        <w:t xml:space="preserve">, and digital identity. These programs represent a significant investment in core capabilities to transform the social security and welfare, health, aged care, veterans, and </w:t>
      </w:r>
      <w:proofErr w:type="spellStart"/>
      <w:r>
        <w:t>myGov</w:t>
      </w:r>
      <w:proofErr w:type="spellEnd"/>
      <w:r>
        <w:t xml:space="preserve"> service offers to Australians.</w:t>
      </w:r>
    </w:p>
    <w:p w:rsidR="00260042" w:rsidRDefault="00260042" w:rsidP="00260042">
      <w:pPr>
        <w:pStyle w:val="BodyText"/>
      </w:pPr>
      <w:r>
        <w:rPr>
          <w:rStyle w:val="Bold"/>
        </w:rPr>
        <w:t>Deputy Chief Executive Officer, Customer Service Design</w:t>
      </w:r>
      <w:r>
        <w:t xml:space="preserve"> – Responsible for the design and overall program management of the services delivered by Services Australia, including social welfare, health and aged care services. The DCEO leads delivery of a customer-focused approach to designing user experiences, and is responsible for relationships with partner agencies across the Australian Government.</w:t>
      </w:r>
    </w:p>
    <w:p w:rsidR="00260042" w:rsidRDefault="00260042" w:rsidP="00260042">
      <w:pPr>
        <w:pStyle w:val="BodyText"/>
      </w:pPr>
      <w:r>
        <w:rPr>
          <w:rStyle w:val="Bold"/>
        </w:rPr>
        <w:t>Deputy Chief Executive Officer, Customer Service Delivery</w:t>
      </w:r>
      <w:r>
        <w:t xml:space="preserve"> – Responsible for the agency’s face-to-face, telephony, processing and digital services which provide access to a range of government programs including Child Support, Centrelink, the Medicare Benefits Schedule, the Pharmaceutical Benefits Scheme and other health and aged care programs. The DCEO is also responsible for 24/7 monitoring of operations, coordinating the agency’s responses to </w:t>
      </w:r>
      <w:proofErr w:type="gramStart"/>
      <w:r>
        <w:t>emergencies,</w:t>
      </w:r>
      <w:proofErr w:type="gramEnd"/>
      <w:r>
        <w:t xml:space="preserve"> and for developing and delivering the agency’s remote, Indigenous and multicultural services. </w:t>
      </w:r>
    </w:p>
    <w:p w:rsidR="00260042" w:rsidRDefault="00260042" w:rsidP="00260042">
      <w:pPr>
        <w:pStyle w:val="BodyText"/>
      </w:pPr>
      <w:r>
        <w:rPr>
          <w:rStyle w:val="Bold"/>
        </w:rPr>
        <w:t>Deputy Chief Executive Officer, Payments and Integrity</w:t>
      </w:r>
      <w:r>
        <w:t xml:space="preserve"> – Responsible for administering the agency’s fraud, non-compliance and payment integrity programs, including management of debt recovery and appeals processes. These measures aim to protect the integrity of government outlays for health and welfare services.</w:t>
      </w:r>
    </w:p>
    <w:p w:rsidR="00260042" w:rsidRDefault="00260042" w:rsidP="00260042">
      <w:pPr>
        <w:pStyle w:val="BodyText"/>
      </w:pPr>
      <w:r>
        <w:rPr>
          <w:rStyle w:val="Bold"/>
        </w:rPr>
        <w:t>Chief Operating Officer, Corporate Enabling</w:t>
      </w:r>
      <w:r>
        <w:t xml:space="preserve"> – Responsible for the agency’s corporate functions including finance, human resources, audit, legal, property, procurement and services provided to other agencies and departments through shared services.</w:t>
      </w:r>
    </w:p>
    <w:p w:rsidR="00260042" w:rsidRDefault="00260042" w:rsidP="00260042">
      <w:pPr>
        <w:pStyle w:val="BodyText"/>
      </w:pPr>
      <w:r>
        <w:rPr>
          <w:rStyle w:val="Bold"/>
        </w:rPr>
        <w:lastRenderedPageBreak/>
        <w:t>Chief Information Officer, Technology Services</w:t>
      </w:r>
      <w:r>
        <w:t xml:space="preserve"> – Responsible for developing and delivering the agency’s information and communications technology (ICT) capability. This includes ensuring the reliability of the agency’s ICT systems, </w:t>
      </w:r>
      <w:proofErr w:type="gramStart"/>
      <w:r>
        <w:t>partnering</w:t>
      </w:r>
      <w:proofErr w:type="gramEnd"/>
      <w:r>
        <w:t xml:space="preserve"> with technology providers and shared services to develop fit-for-purpose technology to support the agency’s future direction, and contributing to the Australian Government’s broader digital agenda. The Chief Information Officer works closely with the DCEO Transformation Projects to deliver the agency’s transformation strategy.</w:t>
      </w:r>
    </w:p>
    <w:p w:rsidR="00260042" w:rsidRDefault="00260042" w:rsidP="002E64CE">
      <w:pPr>
        <w:pStyle w:val="Heading3"/>
      </w:pPr>
      <w:r>
        <w:t xml:space="preserve">Remuneration for senior executives </w:t>
      </w:r>
    </w:p>
    <w:p w:rsidR="00260042" w:rsidRDefault="00260042" w:rsidP="00260042">
      <w:pPr>
        <w:pStyle w:val="BodyText"/>
        <w:spacing w:after="57"/>
      </w:pPr>
      <w:r>
        <w:t>The CEO establishes salary ranges for Senior Executive Service (SES) staff based on:</w:t>
      </w:r>
    </w:p>
    <w:p w:rsidR="00260042" w:rsidRDefault="00260042" w:rsidP="008930A3">
      <w:pPr>
        <w:pStyle w:val="ListBullet"/>
      </w:pPr>
      <w:r>
        <w:t xml:space="preserve">the Australian Government Workplace Bargaining Policy 2018 </w:t>
      </w:r>
    </w:p>
    <w:p w:rsidR="00260042" w:rsidRDefault="00260042" w:rsidP="008930A3">
      <w:pPr>
        <w:pStyle w:val="ListBullet"/>
      </w:pPr>
      <w:r>
        <w:t xml:space="preserve">the annual Australian Public Service SES Remuneration Survey </w:t>
      </w:r>
    </w:p>
    <w:p w:rsidR="00260042" w:rsidRDefault="00260042" w:rsidP="008930A3">
      <w:pPr>
        <w:pStyle w:val="ListBullet"/>
      </w:pPr>
      <w:r>
        <w:t xml:space="preserve">the performance of the agency </w:t>
      </w:r>
    </w:p>
    <w:p w:rsidR="00260042" w:rsidRDefault="00260042" w:rsidP="008930A3">
      <w:pPr>
        <w:pStyle w:val="ListBullet"/>
      </w:pPr>
      <w:proofErr w:type="gramStart"/>
      <w:r>
        <w:t>value</w:t>
      </w:r>
      <w:proofErr w:type="gramEnd"/>
      <w:r>
        <w:t xml:space="preserve"> for money. </w:t>
      </w:r>
    </w:p>
    <w:p w:rsidR="00260042" w:rsidRDefault="00260042" w:rsidP="00260042">
      <w:pPr>
        <w:pStyle w:val="BodyText"/>
      </w:pPr>
      <w:r>
        <w:t>The CEO reviews salaries for individual SES staff each year after the end of the annual performance cycle. As well as individual performance, the CEO takes into account factors such as organisational performance, comparable remuneration data, and the size and complexity of the role.</w:t>
      </w:r>
    </w:p>
    <w:p w:rsidR="00260042" w:rsidRPr="008474A9" w:rsidRDefault="009B789E" w:rsidP="008474A9">
      <w:pPr>
        <w:pStyle w:val="BodyText"/>
        <w:rPr>
          <w:b/>
        </w:rPr>
      </w:pPr>
      <w:r>
        <w:rPr>
          <w:b/>
        </w:rPr>
        <w:t xml:space="preserve">Table 1 </w:t>
      </w:r>
      <w:r w:rsidR="00260042" w:rsidRPr="008474A9">
        <w:rPr>
          <w:b/>
        </w:rPr>
        <w:t xml:space="preserve">Salary ranges for SES classifications effective at 30 June 2021 </w:t>
      </w:r>
    </w:p>
    <w:tbl>
      <w:tblPr>
        <w:tblStyle w:val="TableGrid"/>
        <w:tblW w:w="5000" w:type="pct"/>
        <w:tblLook w:val="0000" w:firstRow="0" w:lastRow="0" w:firstColumn="0" w:lastColumn="0" w:noHBand="0" w:noVBand="0"/>
        <w:tblCaption w:val=" Salary ranges for SES classifications effective at 30 June 2021 "/>
      </w:tblPr>
      <w:tblGrid>
        <w:gridCol w:w="4329"/>
        <w:gridCol w:w="6461"/>
      </w:tblGrid>
      <w:tr w:rsidR="00260042" w:rsidTr="003824D8">
        <w:trPr>
          <w:trHeight w:val="60"/>
          <w:tblHeader/>
        </w:trPr>
        <w:tc>
          <w:tcPr>
            <w:tcW w:w="2006" w:type="pct"/>
          </w:tcPr>
          <w:p w:rsidR="00260042" w:rsidRPr="008474A9" w:rsidRDefault="00260042" w:rsidP="008474A9">
            <w:pPr>
              <w:pStyle w:val="BodyText"/>
              <w:rPr>
                <w:b/>
              </w:rPr>
            </w:pPr>
            <w:r w:rsidRPr="008474A9">
              <w:rPr>
                <w:b/>
              </w:rPr>
              <w:t>Classification</w:t>
            </w:r>
          </w:p>
        </w:tc>
        <w:tc>
          <w:tcPr>
            <w:tcW w:w="2994" w:type="pct"/>
          </w:tcPr>
          <w:p w:rsidR="00260042" w:rsidRPr="008474A9" w:rsidRDefault="00260042" w:rsidP="008474A9">
            <w:pPr>
              <w:pStyle w:val="BodyText"/>
              <w:jc w:val="right"/>
              <w:rPr>
                <w:b/>
              </w:rPr>
            </w:pPr>
            <w:r w:rsidRPr="008474A9">
              <w:rPr>
                <w:b/>
              </w:rPr>
              <w:t>Salary range</w:t>
            </w:r>
            <w:r w:rsidRPr="008474A9">
              <w:rPr>
                <w:b/>
                <w:vertAlign w:val="superscript"/>
              </w:rPr>
              <w:t>(a)</w:t>
            </w:r>
            <w:r w:rsidRPr="008474A9">
              <w:rPr>
                <w:b/>
              </w:rPr>
              <w:t xml:space="preserve"> </w:t>
            </w:r>
          </w:p>
        </w:tc>
      </w:tr>
      <w:tr w:rsidR="00260042" w:rsidTr="008474A9">
        <w:trPr>
          <w:trHeight w:val="60"/>
        </w:trPr>
        <w:tc>
          <w:tcPr>
            <w:tcW w:w="2006" w:type="pct"/>
          </w:tcPr>
          <w:p w:rsidR="00260042" w:rsidRDefault="00260042" w:rsidP="008474A9">
            <w:pPr>
              <w:pStyle w:val="BodyText"/>
            </w:pPr>
            <w:r>
              <w:t>SES Band 3</w:t>
            </w:r>
          </w:p>
        </w:tc>
        <w:tc>
          <w:tcPr>
            <w:tcW w:w="2994" w:type="pct"/>
          </w:tcPr>
          <w:p w:rsidR="00260042" w:rsidRDefault="00260042" w:rsidP="008474A9">
            <w:pPr>
              <w:pStyle w:val="BodyText"/>
              <w:jc w:val="right"/>
            </w:pPr>
            <w:r>
              <w:t>$320,700 to $379,820</w:t>
            </w:r>
          </w:p>
        </w:tc>
      </w:tr>
      <w:tr w:rsidR="00260042" w:rsidTr="008474A9">
        <w:trPr>
          <w:trHeight w:val="60"/>
        </w:trPr>
        <w:tc>
          <w:tcPr>
            <w:tcW w:w="2006" w:type="pct"/>
          </w:tcPr>
          <w:p w:rsidR="00260042" w:rsidRDefault="00260042" w:rsidP="008474A9">
            <w:pPr>
              <w:pStyle w:val="BodyText"/>
            </w:pPr>
            <w:r>
              <w:t>SES Band 2</w:t>
            </w:r>
          </w:p>
        </w:tc>
        <w:tc>
          <w:tcPr>
            <w:tcW w:w="2994" w:type="pct"/>
          </w:tcPr>
          <w:p w:rsidR="00260042" w:rsidRDefault="00260042" w:rsidP="008474A9">
            <w:pPr>
              <w:pStyle w:val="BodyText"/>
              <w:jc w:val="right"/>
            </w:pPr>
            <w:r>
              <w:t>$227,600 to $280,500</w:t>
            </w:r>
          </w:p>
        </w:tc>
      </w:tr>
      <w:tr w:rsidR="00260042" w:rsidTr="008474A9">
        <w:trPr>
          <w:trHeight w:val="60"/>
        </w:trPr>
        <w:tc>
          <w:tcPr>
            <w:tcW w:w="2006" w:type="pct"/>
          </w:tcPr>
          <w:p w:rsidR="00260042" w:rsidRDefault="00260042" w:rsidP="008474A9">
            <w:pPr>
              <w:pStyle w:val="BodyText"/>
            </w:pPr>
            <w:r>
              <w:t>SES Band 1</w:t>
            </w:r>
          </w:p>
        </w:tc>
        <w:tc>
          <w:tcPr>
            <w:tcW w:w="2994" w:type="pct"/>
          </w:tcPr>
          <w:p w:rsidR="00260042" w:rsidRDefault="00260042" w:rsidP="008474A9">
            <w:pPr>
              <w:pStyle w:val="BodyText"/>
              <w:jc w:val="right"/>
            </w:pPr>
            <w:r>
              <w:t>$170,500 to $219,700</w:t>
            </w:r>
          </w:p>
        </w:tc>
      </w:tr>
    </w:tbl>
    <w:p w:rsidR="00260042" w:rsidRDefault="00260042" w:rsidP="00EA5510">
      <w:pPr>
        <w:pStyle w:val="BodyText"/>
      </w:pPr>
      <w:r>
        <w:t>(a)</w:t>
      </w:r>
      <w:r>
        <w:tab/>
        <w:t>The salary ranges in the table cover base salary rates only. They do not include motor vehicles allowance, reportable fringe benefits or other allowances. The CEO may approve salary rates outside of these ranges.</w:t>
      </w:r>
    </w:p>
    <w:p w:rsidR="00260042" w:rsidRDefault="00260042" w:rsidP="00260042">
      <w:pPr>
        <w:pStyle w:val="BodyText"/>
      </w:pPr>
      <w:r>
        <w:t>See</w:t>
      </w:r>
      <w:r>
        <w:rPr>
          <w:rStyle w:val="Italic"/>
        </w:rPr>
        <w:t xml:space="preserve"> Appendix B staffing statistics</w:t>
      </w:r>
      <w:r>
        <w:t xml:space="preserve"> for remuneration for key management personnel and other highly paid staff.</w:t>
      </w:r>
    </w:p>
    <w:p w:rsidR="00260042" w:rsidRDefault="008474A9" w:rsidP="00BC1153">
      <w:pPr>
        <w:pStyle w:val="Heading1"/>
      </w:pPr>
      <w:r>
        <w:t xml:space="preserve">2 </w:t>
      </w:r>
      <w:r w:rsidR="00260042">
        <w:t>Service delivery modernisation</w:t>
      </w:r>
    </w:p>
    <w:p w:rsidR="00260042" w:rsidRDefault="00260042" w:rsidP="00C81689">
      <w:pPr>
        <w:pStyle w:val="Heading2"/>
      </w:pPr>
      <w:r>
        <w:t>2.1 Introduction</w:t>
      </w:r>
    </w:p>
    <w:p w:rsidR="00260042" w:rsidRDefault="00260042" w:rsidP="008474A9">
      <w:pPr>
        <w:pStyle w:val="BodyText"/>
      </w:pPr>
      <w:r>
        <w:t xml:space="preserve">Services Australia is modernising and transforming the way we deliver our services. We are making changes across our businesses, and collaborating with policy agencies, the community and third parties. </w:t>
      </w:r>
    </w:p>
    <w:p w:rsidR="00260042" w:rsidRDefault="00260042" w:rsidP="00260042">
      <w:pPr>
        <w:pStyle w:val="BodyText"/>
      </w:pPr>
      <w:r>
        <w:t>Through our service delivery modernisation, Services Australia is at the forefront of providing services digitally. In 2020–21, 82% of all transactions were digital (of more than 452 million transactions).</w:t>
      </w:r>
    </w:p>
    <w:p w:rsidR="00260042" w:rsidRDefault="00260042" w:rsidP="00260042">
      <w:pPr>
        <w:pStyle w:val="BodyText"/>
      </w:pPr>
      <w:r>
        <w:lastRenderedPageBreak/>
        <w:t xml:space="preserve">Throughout 2020–21, we made it easier for people to access government services by improving our capabilities so customers can prove their identity, make a claim online and </w:t>
      </w:r>
      <w:proofErr w:type="gramStart"/>
      <w:r>
        <w:t>be paid in</w:t>
      </w:r>
      <w:proofErr w:type="gramEnd"/>
      <w:r>
        <w:t xml:space="preserve"> near real-time. </w:t>
      </w:r>
    </w:p>
    <w:p w:rsidR="00260042" w:rsidRDefault="00260042" w:rsidP="00260042">
      <w:pPr>
        <w:pStyle w:val="BodyText"/>
        <w:spacing w:after="57"/>
      </w:pPr>
      <w:r>
        <w:t xml:space="preserve">Through better use of our </w:t>
      </w:r>
      <w:proofErr w:type="gramStart"/>
      <w:r>
        <w:t>data</w:t>
      </w:r>
      <w:proofErr w:type="gramEnd"/>
      <w:r>
        <w:t xml:space="preserve"> we are helping shape and guide future service delivery approaches. Advances in connected data and data analytics are also contributing to improvements in customer services, integrity and decision making including:</w:t>
      </w:r>
    </w:p>
    <w:p w:rsidR="00260042" w:rsidRDefault="00260042" w:rsidP="008930A3">
      <w:pPr>
        <w:pStyle w:val="ListBullet"/>
      </w:pPr>
      <w:r>
        <w:t xml:space="preserve">simplifying online claims to transform the experience, for job seekers, older Australians, carers and people with disability to support greater self-service and streamlining the processes for customers to do business with government (see </w:t>
      </w:r>
      <w:r>
        <w:rPr>
          <w:rStyle w:val="Italic"/>
        </w:rPr>
        <w:t>Welfare Payment Infrastructure Transformation Programme</w:t>
      </w:r>
      <w:r>
        <w:t xml:space="preserve"> on page </w:t>
      </w:r>
      <w:r w:rsidR="00FB6F08">
        <w:t>16</w:t>
      </w:r>
      <w:r>
        <w:rPr>
          <w:rStyle w:val="Italic"/>
        </w:rPr>
        <w:t xml:space="preserve"> and COVID-19 pandemic</w:t>
      </w:r>
      <w:r>
        <w:t xml:space="preserve"> on page 24)</w:t>
      </w:r>
    </w:p>
    <w:p w:rsidR="00260042" w:rsidRDefault="00260042" w:rsidP="008930A3">
      <w:pPr>
        <w:pStyle w:val="ListBullet"/>
      </w:pPr>
      <w:r>
        <w:t xml:space="preserve">transferring the processing functionality for some income support claims to a single staff interface, making it easier for staff to contribute to a simple, helpful, respectful and transparent experience for customers (see </w:t>
      </w:r>
      <w:r>
        <w:rPr>
          <w:rStyle w:val="Italic"/>
        </w:rPr>
        <w:t>Welfare Payment Infrastructure Transformation Programme</w:t>
      </w:r>
      <w:r>
        <w:t xml:space="preserve"> on page </w:t>
      </w:r>
      <w:r w:rsidR="00FB6F08">
        <w:t>16</w:t>
      </w:r>
      <w:r>
        <w:t>)</w:t>
      </w:r>
    </w:p>
    <w:p w:rsidR="00260042" w:rsidRDefault="00260042" w:rsidP="008930A3">
      <w:pPr>
        <w:pStyle w:val="ListBullet"/>
      </w:pPr>
      <w:r>
        <w:t xml:space="preserve">making it easier for health care professionals and aged care providers to interact with government through digital services (see </w:t>
      </w:r>
      <w:r>
        <w:rPr>
          <w:rStyle w:val="Italic"/>
        </w:rPr>
        <w:t>Health Delivery Modernisation</w:t>
      </w:r>
      <w:r>
        <w:t xml:space="preserve"> on page </w:t>
      </w:r>
      <w:r w:rsidR="00FB6F08">
        <w:t>19</w:t>
      </w:r>
    </w:p>
    <w:p w:rsidR="00260042" w:rsidRDefault="00260042" w:rsidP="008930A3">
      <w:pPr>
        <w:pStyle w:val="ListBullet"/>
      </w:pPr>
      <w:r>
        <w:t xml:space="preserve">refining systems for health care providers to interact with government (see </w:t>
      </w:r>
      <w:r>
        <w:rPr>
          <w:rStyle w:val="Italic"/>
        </w:rPr>
        <w:t>Improving services to the aged care sector</w:t>
      </w:r>
      <w:r>
        <w:t xml:space="preserve"> on page 53)</w:t>
      </w:r>
    </w:p>
    <w:p w:rsidR="00260042" w:rsidRDefault="00260042" w:rsidP="008930A3">
      <w:pPr>
        <w:pStyle w:val="ListBullet"/>
      </w:pPr>
      <w:r>
        <w:t xml:space="preserve">improving the experience of veterans, making it easier for them to access services by streamlining and enhancing telephony and online claiming (see </w:t>
      </w:r>
      <w:r>
        <w:rPr>
          <w:rStyle w:val="Italic"/>
        </w:rPr>
        <w:t>Veteran Centric Reform</w:t>
      </w:r>
      <w:r>
        <w:t xml:space="preserve"> on page </w:t>
      </w:r>
      <w:r w:rsidR="00FB6F08">
        <w:t>20</w:t>
      </w:r>
      <w:r>
        <w:t>)</w:t>
      </w:r>
    </w:p>
    <w:p w:rsidR="00260042" w:rsidRDefault="00260042" w:rsidP="008930A3">
      <w:pPr>
        <w:pStyle w:val="ListBullet"/>
      </w:pPr>
      <w:r>
        <w:t xml:space="preserve">improving the use of data to provide better services </w:t>
      </w:r>
    </w:p>
    <w:p w:rsidR="00260042" w:rsidRDefault="00260042" w:rsidP="008930A3">
      <w:pPr>
        <w:pStyle w:val="ListBullet"/>
      </w:pPr>
      <w:r>
        <w:t xml:space="preserve">making it easier for customers to use interactive voice response (IVR), by offering them options, such as not waiting for a service officer to request a </w:t>
      </w:r>
      <w:proofErr w:type="spellStart"/>
      <w:r>
        <w:t>myGov</w:t>
      </w:r>
      <w:proofErr w:type="spellEnd"/>
      <w:r>
        <w:t xml:space="preserve"> linking code and saving them time when accessing and using online services</w:t>
      </w:r>
    </w:p>
    <w:p w:rsidR="00260042" w:rsidRDefault="00260042" w:rsidP="008930A3">
      <w:pPr>
        <w:pStyle w:val="ListBullet"/>
      </w:pPr>
      <w:r>
        <w:t xml:space="preserve">leveraging digital identity capability to allow customers to log into </w:t>
      </w:r>
      <w:proofErr w:type="spellStart"/>
      <w:r>
        <w:t>myGov</w:t>
      </w:r>
      <w:proofErr w:type="spellEnd"/>
      <w:r>
        <w:t xml:space="preserve"> using their digital identity (see</w:t>
      </w:r>
      <w:r>
        <w:rPr>
          <w:rStyle w:val="Italic"/>
        </w:rPr>
        <w:t xml:space="preserve"> Identity management </w:t>
      </w:r>
      <w:r>
        <w:t xml:space="preserve">on page 151) </w:t>
      </w:r>
    </w:p>
    <w:p w:rsidR="00260042" w:rsidRDefault="00260042" w:rsidP="00EA5510">
      <w:pPr>
        <w:pStyle w:val="ListBullet"/>
      </w:pPr>
      <w:r>
        <w:t>optimising our face-to-face servicing by:</w:t>
      </w:r>
    </w:p>
    <w:p w:rsidR="00260042" w:rsidRDefault="00260042" w:rsidP="004E3486">
      <w:pPr>
        <w:pStyle w:val="ListBullet"/>
      </w:pPr>
      <w:r>
        <w:t>offering customers the option to book an appointment with us ahead of attending a service centre</w:t>
      </w:r>
    </w:p>
    <w:p w:rsidR="00260042" w:rsidRDefault="00260042" w:rsidP="004E3486">
      <w:pPr>
        <w:pStyle w:val="ListBullet"/>
      </w:pPr>
      <w:r>
        <w:t xml:space="preserve">introducing a real-time customer feedback system to focus our service improvement activities </w:t>
      </w:r>
    </w:p>
    <w:p w:rsidR="00260042" w:rsidRDefault="00260042" w:rsidP="004E3486">
      <w:pPr>
        <w:pStyle w:val="ListBullet"/>
      </w:pPr>
      <w:proofErr w:type="gramStart"/>
      <w:r>
        <w:t>introducing</w:t>
      </w:r>
      <w:proofErr w:type="gramEnd"/>
      <w:r>
        <w:t xml:space="preserve"> digital coaching appointments where customers learn how to access our digital services on their own device.</w:t>
      </w:r>
    </w:p>
    <w:p w:rsidR="00260042" w:rsidRDefault="00260042" w:rsidP="00C81689">
      <w:pPr>
        <w:pStyle w:val="Heading2"/>
      </w:pPr>
      <w:r>
        <w:t>2.2 Agency modernisation principles</w:t>
      </w:r>
    </w:p>
    <w:p w:rsidR="00260042" w:rsidRDefault="00260042" w:rsidP="00260042">
      <w:pPr>
        <w:pStyle w:val="BodyText"/>
      </w:pPr>
      <w:r>
        <w:t xml:space="preserve">The agency </w:t>
      </w:r>
      <w:proofErr w:type="gramStart"/>
      <w:r>
        <w:t>is focused</w:t>
      </w:r>
      <w:proofErr w:type="gramEnd"/>
      <w:r>
        <w:t xml:space="preserve"> on improving customer experiences and delivering services that are simple, helpful, respectful and transparent. Recognising that customers have preferences about how they access services, Services Australia is transforming its service offer across each of its major service delivery channels – digital, face-to-face and telephony. </w:t>
      </w:r>
    </w:p>
    <w:p w:rsidR="00260042" w:rsidRDefault="00260042" w:rsidP="00260042">
      <w:pPr>
        <w:pStyle w:val="BodyText"/>
      </w:pPr>
      <w:r>
        <w:t xml:space="preserve">The </w:t>
      </w:r>
      <w:proofErr w:type="gramStart"/>
      <w:r>
        <w:t>4</w:t>
      </w:r>
      <w:proofErr w:type="gramEnd"/>
      <w:r>
        <w:t xml:space="preserve"> principles that guide our modernisation of the customer experience are: </w:t>
      </w:r>
    </w:p>
    <w:p w:rsidR="003824D8" w:rsidRDefault="003824D8" w:rsidP="003824D8">
      <w:pPr>
        <w:pStyle w:val="BodyText"/>
      </w:pPr>
      <w:r w:rsidRPr="003824D8">
        <w:rPr>
          <w:b/>
        </w:rPr>
        <w:t>Simple</w:t>
      </w:r>
    </w:p>
    <w:p w:rsidR="003824D8" w:rsidRDefault="003824D8" w:rsidP="003824D8">
      <w:pPr>
        <w:pStyle w:val="ListBullet"/>
      </w:pPr>
      <w:r>
        <w:t>Pathways and processes that reduce steps</w:t>
      </w:r>
    </w:p>
    <w:p w:rsidR="003824D8" w:rsidRDefault="003824D8" w:rsidP="003824D8">
      <w:pPr>
        <w:pStyle w:val="ListBullet"/>
      </w:pPr>
      <w:r>
        <w:t>Easy access to the services and support customers need</w:t>
      </w:r>
    </w:p>
    <w:p w:rsidR="003824D8" w:rsidRDefault="003824D8" w:rsidP="003824D8">
      <w:pPr>
        <w:pStyle w:val="ListBullet"/>
      </w:pPr>
      <w:r>
        <w:lastRenderedPageBreak/>
        <w:t>Tell us personal details once, and information tailored to a customer’s situation</w:t>
      </w:r>
    </w:p>
    <w:p w:rsidR="003824D8" w:rsidRDefault="003824D8" w:rsidP="003824D8">
      <w:pPr>
        <w:pStyle w:val="BodyText"/>
        <w:rPr>
          <w:b/>
        </w:rPr>
      </w:pPr>
      <w:r w:rsidRPr="003824D8">
        <w:rPr>
          <w:b/>
        </w:rPr>
        <w:t>Helpful</w:t>
      </w:r>
    </w:p>
    <w:p w:rsidR="003824D8" w:rsidRDefault="003824D8" w:rsidP="003824D8">
      <w:pPr>
        <w:pStyle w:val="ListBullet"/>
      </w:pPr>
      <w:proofErr w:type="spellStart"/>
      <w:r>
        <w:t>Infomed</w:t>
      </w:r>
      <w:proofErr w:type="spellEnd"/>
      <w:r>
        <w:t xml:space="preserve"> staff who provide proactive, personalised services</w:t>
      </w:r>
    </w:p>
    <w:p w:rsidR="003824D8" w:rsidRDefault="003824D8" w:rsidP="003824D8">
      <w:pPr>
        <w:pStyle w:val="ListBullet"/>
      </w:pPr>
      <w:r>
        <w:t>Help with information and what to do next</w:t>
      </w:r>
    </w:p>
    <w:p w:rsidR="003824D8" w:rsidRDefault="003824D8" w:rsidP="003824D8">
      <w:pPr>
        <w:pStyle w:val="ListBullet"/>
        <w:rPr>
          <w:b/>
        </w:rPr>
      </w:pPr>
      <w:r>
        <w:t>Advice on options based on a customer’s situation</w:t>
      </w:r>
    </w:p>
    <w:p w:rsidR="003824D8" w:rsidRDefault="003824D8" w:rsidP="003824D8">
      <w:pPr>
        <w:pStyle w:val="BodyText"/>
        <w:rPr>
          <w:b/>
          <w:bCs/>
        </w:rPr>
      </w:pPr>
      <w:r>
        <w:rPr>
          <w:b/>
          <w:bCs/>
        </w:rPr>
        <w:t>Respectful</w:t>
      </w:r>
    </w:p>
    <w:p w:rsidR="003824D8" w:rsidRDefault="003824D8" w:rsidP="003824D8">
      <w:pPr>
        <w:pStyle w:val="ListBullet"/>
      </w:pPr>
      <w:r>
        <w:t>Supportive staff who listen to and understand customers’ needs</w:t>
      </w:r>
    </w:p>
    <w:p w:rsidR="003824D8" w:rsidRDefault="003824D8" w:rsidP="003824D8">
      <w:pPr>
        <w:pStyle w:val="ListBullet"/>
      </w:pPr>
      <w:r>
        <w:t>Servicing options that respect customers’ time and situation</w:t>
      </w:r>
    </w:p>
    <w:p w:rsidR="003824D8" w:rsidRDefault="003824D8" w:rsidP="003824D8">
      <w:pPr>
        <w:pStyle w:val="ListBullet"/>
        <w:rPr>
          <w:b/>
        </w:rPr>
      </w:pPr>
      <w:r>
        <w:t>Creating a welcoming environment</w:t>
      </w:r>
    </w:p>
    <w:p w:rsidR="003824D8" w:rsidRDefault="003824D8" w:rsidP="003824D8">
      <w:pPr>
        <w:pStyle w:val="BodyText"/>
        <w:rPr>
          <w:b/>
          <w:bCs/>
        </w:rPr>
      </w:pPr>
      <w:r>
        <w:rPr>
          <w:b/>
          <w:bCs/>
        </w:rPr>
        <w:t>Transparent</w:t>
      </w:r>
    </w:p>
    <w:p w:rsidR="003824D8" w:rsidRDefault="003824D8" w:rsidP="003824D8">
      <w:pPr>
        <w:pStyle w:val="ListBullet"/>
      </w:pPr>
      <w:r>
        <w:t>Help to understand the process and what to do next</w:t>
      </w:r>
    </w:p>
    <w:p w:rsidR="003824D8" w:rsidRDefault="003824D8" w:rsidP="003824D8">
      <w:pPr>
        <w:pStyle w:val="ListBullet"/>
      </w:pPr>
      <w:r>
        <w:t>Information about how data is used</w:t>
      </w:r>
    </w:p>
    <w:p w:rsidR="003824D8" w:rsidRDefault="003824D8" w:rsidP="003824D8">
      <w:pPr>
        <w:pStyle w:val="ListBullet"/>
      </w:pPr>
      <w:r>
        <w:t>Clarity about the reason for decisions</w:t>
      </w:r>
    </w:p>
    <w:p w:rsidR="00260042" w:rsidRDefault="00260042" w:rsidP="002E64CE">
      <w:pPr>
        <w:pStyle w:val="Heading3"/>
      </w:pPr>
      <w:r>
        <w:t>Digital services</w:t>
      </w:r>
    </w:p>
    <w:p w:rsidR="00260042" w:rsidRDefault="00260042" w:rsidP="00260042">
      <w:pPr>
        <w:pStyle w:val="BodyText"/>
      </w:pPr>
      <w:r>
        <w:t>In 2020–21, the agency continued to expand its digital service offer to deliver on our vision of making government services simple so people can get on with their lives.</w:t>
      </w:r>
    </w:p>
    <w:p w:rsidR="00260042" w:rsidRDefault="00260042" w:rsidP="00260042">
      <w:pPr>
        <w:pStyle w:val="BodyText"/>
        <w:spacing w:after="57"/>
      </w:pPr>
      <w:r>
        <w:t xml:space="preserve">With a focus on the agency’s four principles — simple, helpful, respectful and transparent – the </w:t>
      </w:r>
      <w:r>
        <w:rPr>
          <w:rStyle w:val="Italic"/>
        </w:rPr>
        <w:t>2020–2025 Technology Strategy</w:t>
      </w:r>
      <w:r>
        <w:t>, released in 2020–21, outlines five technology pillars that underpin our digital service delivery:</w:t>
      </w:r>
    </w:p>
    <w:p w:rsidR="00260042" w:rsidRDefault="00260042" w:rsidP="008930A3">
      <w:pPr>
        <w:pStyle w:val="ListBullet"/>
      </w:pPr>
      <w:r>
        <w:rPr>
          <w:rStyle w:val="Bold"/>
        </w:rPr>
        <w:t xml:space="preserve">Adaptive platforms </w:t>
      </w:r>
      <w:r>
        <w:t>– ensuring our platforms and architectures are frictionless, flexible and fit-for-purpose</w:t>
      </w:r>
    </w:p>
    <w:p w:rsidR="00260042" w:rsidRDefault="00260042" w:rsidP="008930A3">
      <w:pPr>
        <w:pStyle w:val="ListBullet"/>
      </w:pPr>
      <w:r>
        <w:rPr>
          <w:rStyle w:val="Bold"/>
        </w:rPr>
        <w:t xml:space="preserve">Data informed </w:t>
      </w:r>
      <w:r>
        <w:t>– making use of data to inform our key technology and business decisions</w:t>
      </w:r>
    </w:p>
    <w:p w:rsidR="00260042" w:rsidRDefault="00260042" w:rsidP="008930A3">
      <w:pPr>
        <w:pStyle w:val="ListBullet"/>
      </w:pPr>
      <w:r>
        <w:rPr>
          <w:rStyle w:val="Bold"/>
        </w:rPr>
        <w:t xml:space="preserve">Always learning </w:t>
      </w:r>
      <w:r>
        <w:t>– having the best people, in the right roles, operating at their full potential</w:t>
      </w:r>
    </w:p>
    <w:p w:rsidR="00260042" w:rsidRDefault="00260042" w:rsidP="008930A3">
      <w:pPr>
        <w:pStyle w:val="ListBullet"/>
      </w:pPr>
      <w:r>
        <w:rPr>
          <w:rStyle w:val="Bold"/>
        </w:rPr>
        <w:t xml:space="preserve">Commercially minded </w:t>
      </w:r>
      <w:r>
        <w:t>– delivering services with commercial rigour, discipline and management</w:t>
      </w:r>
    </w:p>
    <w:p w:rsidR="00260042" w:rsidRDefault="00260042" w:rsidP="00EA5510">
      <w:pPr>
        <w:pStyle w:val="ListBullet"/>
      </w:pPr>
      <w:r>
        <w:rPr>
          <w:rStyle w:val="Bold"/>
        </w:rPr>
        <w:t xml:space="preserve">Working together </w:t>
      </w:r>
      <w:r>
        <w:t>– consistent ways of working across branches to operate as a single technology team.</w:t>
      </w:r>
    </w:p>
    <w:p w:rsidR="00260042" w:rsidRDefault="00260042" w:rsidP="00260042">
      <w:pPr>
        <w:pStyle w:val="BodyText"/>
      </w:pPr>
      <w:r>
        <w:t xml:space="preserve">Work continued towards a single staff interface, which will make it easier for our service delivery staff to assist Centrelink customers by replacing multiple legacy systems and eliminating some manual processes. </w:t>
      </w:r>
    </w:p>
    <w:p w:rsidR="00260042" w:rsidRDefault="00260042" w:rsidP="00260042">
      <w:pPr>
        <w:pStyle w:val="BodyText"/>
      </w:pPr>
      <w:r>
        <w:t>As the COVID-19 pandemic continued throughout 2020–21, the increased demand for online, ‘contactless’ support remained high and is expected to continue into the long term. In line with this, we continued to enable many more online transactions to be completed.</w:t>
      </w:r>
    </w:p>
    <w:p w:rsidR="00260042" w:rsidRDefault="00260042" w:rsidP="00260042">
      <w:pPr>
        <w:pStyle w:val="BodyText"/>
      </w:pPr>
      <w:r>
        <w:t>A focus on easier and more secure ways for customers to verify and authenticate their identity meant more customers could access services remotely during COVID-19 lockdowns.</w:t>
      </w:r>
    </w:p>
    <w:p w:rsidR="00260042" w:rsidRDefault="00260042" w:rsidP="00260042">
      <w:pPr>
        <w:pStyle w:val="BodyText"/>
      </w:pPr>
      <w:r>
        <w:lastRenderedPageBreak/>
        <w:t>For social security and welfare, the benefits of IVR technology, in combination with voice biometrics authentication, allowed the agency to gather information from customers and provide information through targeted, tailored and personalised messaging so they would not have to wait and speak with a service officer.</w:t>
      </w:r>
    </w:p>
    <w:p w:rsidR="00260042" w:rsidRDefault="00260042" w:rsidP="00260042">
      <w:pPr>
        <w:pStyle w:val="BodyText"/>
      </w:pPr>
      <w:r>
        <w:t xml:space="preserve">Through </w:t>
      </w:r>
      <w:proofErr w:type="gramStart"/>
      <w:r>
        <w:t>automation</w:t>
      </w:r>
      <w:proofErr w:type="gramEnd"/>
      <w:r>
        <w:t xml:space="preserve"> we have streamlined and simplified processes and achieved faster processing of Centrelink claims. This has delivered an improved customer experience, which has reduced manual and repetitive tasks for our frontline staff and increased capacity for interactions with customers who have complex cases.</w:t>
      </w:r>
    </w:p>
    <w:p w:rsidR="00260042" w:rsidRDefault="00260042" w:rsidP="002E64CE">
      <w:pPr>
        <w:pStyle w:val="Heading3"/>
      </w:pPr>
      <w:r>
        <w:t>Service centres</w:t>
      </w:r>
    </w:p>
    <w:p w:rsidR="00260042" w:rsidRDefault="00260042" w:rsidP="00260042">
      <w:pPr>
        <w:pStyle w:val="BodyText"/>
      </w:pPr>
      <w:r>
        <w:t xml:space="preserve">At 30 June 2021, the agency delivered Centrelink and Medicare services from 320 service centres as well as visiting services across the country. </w:t>
      </w:r>
      <w:proofErr w:type="gramStart"/>
      <w:r>
        <w:t>Over two-thirds of service centres offer the full range of face-to-face Centrelink and Medicare services, and supported digital services, from a single physical location.</w:t>
      </w:r>
      <w:proofErr w:type="gramEnd"/>
      <w:r>
        <w:t xml:space="preserve"> </w:t>
      </w:r>
    </w:p>
    <w:p w:rsidR="00260042" w:rsidRDefault="00260042" w:rsidP="00260042">
      <w:pPr>
        <w:pStyle w:val="BodyText"/>
      </w:pPr>
      <w:r>
        <w:t xml:space="preserve">Through the service delivery transformation </w:t>
      </w:r>
      <w:proofErr w:type="gramStart"/>
      <w:r>
        <w:t>program</w:t>
      </w:r>
      <w:proofErr w:type="gramEnd"/>
      <w:r>
        <w:t xml:space="preserve"> we are making it easier and more convenient for customers to transact their business with government. The agency introduced appointment-based servicing for Centrelink transactions in June 2021, which reduced wait times in service centres and allowed customers to better plan their day.</w:t>
      </w:r>
    </w:p>
    <w:p w:rsidR="00260042" w:rsidRDefault="00260042" w:rsidP="00260042">
      <w:pPr>
        <w:pStyle w:val="BodyText"/>
        <w:spacing w:after="57"/>
      </w:pPr>
      <w:r>
        <w:t xml:space="preserve">Six contemporary service centres successfully trialled new service concepts, which will be incorporated into future service centre fit-outs (see </w:t>
      </w:r>
      <w:r>
        <w:rPr>
          <w:rStyle w:val="Italic"/>
        </w:rPr>
        <w:t>A new way of operating in our service centres</w:t>
      </w:r>
      <w:r>
        <w:t xml:space="preserve"> on page </w:t>
      </w:r>
      <w:r w:rsidR="00FB6F08">
        <w:t>14</w:t>
      </w:r>
      <w:r>
        <w:t>). The concepts include:</w:t>
      </w:r>
    </w:p>
    <w:p w:rsidR="00260042" w:rsidRDefault="00260042" w:rsidP="008930A3">
      <w:pPr>
        <w:pStyle w:val="ListBullet"/>
      </w:pPr>
      <w:r>
        <w:t>a new navigator role to welcome and direct customers to the best service channel for them</w:t>
      </w:r>
    </w:p>
    <w:p w:rsidR="00260042" w:rsidRDefault="00260042" w:rsidP="008930A3">
      <w:pPr>
        <w:pStyle w:val="ListBullet"/>
      </w:pPr>
      <w:r>
        <w:t>customer self-check in</w:t>
      </w:r>
    </w:p>
    <w:p w:rsidR="00260042" w:rsidRDefault="00260042" w:rsidP="008930A3">
      <w:pPr>
        <w:pStyle w:val="ListBullet"/>
      </w:pPr>
      <w:r>
        <w:t xml:space="preserve">transparent wait times </w:t>
      </w:r>
    </w:p>
    <w:p w:rsidR="00260042" w:rsidRDefault="00260042" w:rsidP="008930A3">
      <w:pPr>
        <w:pStyle w:val="ListBullet"/>
      </w:pPr>
      <w:r>
        <w:t>an express desk to triage customer enquiries</w:t>
      </w:r>
    </w:p>
    <w:p w:rsidR="00260042" w:rsidRDefault="00260042" w:rsidP="008930A3">
      <w:pPr>
        <w:pStyle w:val="ListBullet"/>
      </w:pPr>
      <w:r>
        <w:t>a new, more welcoming environment</w:t>
      </w:r>
    </w:p>
    <w:p w:rsidR="00260042" w:rsidRDefault="00260042" w:rsidP="00EA5510">
      <w:pPr>
        <w:pStyle w:val="ListBullet"/>
      </w:pPr>
      <w:proofErr w:type="gramStart"/>
      <w:r>
        <w:t>digital</w:t>
      </w:r>
      <w:proofErr w:type="gramEnd"/>
      <w:r>
        <w:t xml:space="preserve"> coaching sessions.</w:t>
      </w:r>
    </w:p>
    <w:p w:rsidR="00260042" w:rsidRDefault="00260042" w:rsidP="00260042">
      <w:pPr>
        <w:pStyle w:val="BodyText"/>
      </w:pPr>
      <w:r>
        <w:t xml:space="preserve">In November 2020, the agency set up a small virtual service centre to pilot customer identity verification using video chat. This enables customers to speak to us using their own device where and when it suits them, avoiding the need to visit a service centre. At 30 June 2021, more than 5,000 video chat appointments </w:t>
      </w:r>
      <w:proofErr w:type="gramStart"/>
      <w:r>
        <w:t>had been completed</w:t>
      </w:r>
      <w:proofErr w:type="gramEnd"/>
      <w:r>
        <w:t xml:space="preserve">. </w:t>
      </w:r>
    </w:p>
    <w:p w:rsidR="00260042" w:rsidRDefault="00260042" w:rsidP="00260042">
      <w:pPr>
        <w:pStyle w:val="BodyText"/>
      </w:pPr>
      <w:r>
        <w:t>In April 2021, we successfully completed the rollout of Empowering Excellence Face-to-Face Ways of Working, which strengthened our staff’s customer conversation skills and incorporated the introduction of customer closed loop feedback. Since August 2020, we have received in excess of 307,000 customer surveys helping us to improve the customer experience in real-time.</w:t>
      </w:r>
    </w:p>
    <w:p w:rsidR="00260042" w:rsidRDefault="00260042" w:rsidP="00260042">
      <w:pPr>
        <w:pStyle w:val="BodyText"/>
      </w:pPr>
      <w:r>
        <w:t xml:space="preserve">Collectively these service delivery improvements are transforming the customer experience, making services more accessible to people who need our assistance. They also give us more capacity to provide targeted assistance to customers who require </w:t>
      </w:r>
      <w:proofErr w:type="gramStart"/>
      <w:r>
        <w:t>more intensive support</w:t>
      </w:r>
      <w:proofErr w:type="gramEnd"/>
      <w:r>
        <w:t>.</w:t>
      </w:r>
    </w:p>
    <w:p w:rsidR="003824D8" w:rsidRPr="003824D8" w:rsidRDefault="003824D8" w:rsidP="002E64CE">
      <w:pPr>
        <w:pStyle w:val="Heading3"/>
      </w:pPr>
      <w:r w:rsidRPr="003824D8">
        <w:lastRenderedPageBreak/>
        <w:t>A new way of operating in our service centres</w:t>
      </w:r>
    </w:p>
    <w:p w:rsidR="003824D8" w:rsidRPr="003824D8" w:rsidRDefault="003824D8" w:rsidP="003824D8">
      <w:pPr>
        <w:pStyle w:val="BodyText"/>
        <w:rPr>
          <w:color w:val="002060"/>
        </w:rPr>
      </w:pPr>
      <w:r w:rsidRPr="003824D8">
        <w:rPr>
          <w:color w:val="002060"/>
        </w:rPr>
        <w:t xml:space="preserve">When staff and customers describe our new-look service centres, common responses include ‘extraordinary’, ‘exciting’ and ‘amazing’. </w:t>
      </w:r>
    </w:p>
    <w:p w:rsidR="003824D8" w:rsidRPr="003824D8" w:rsidRDefault="003824D8" w:rsidP="003824D8">
      <w:pPr>
        <w:pStyle w:val="BodyText"/>
        <w:rPr>
          <w:color w:val="002060"/>
        </w:rPr>
      </w:pPr>
      <w:r w:rsidRPr="003824D8">
        <w:rPr>
          <w:color w:val="002060"/>
        </w:rPr>
        <w:t xml:space="preserve">Initially used to test new service concepts, the concept centres have paved the way for new standards in our service centre fit-outs. Feedback from customers has been glowing. They say it </w:t>
      </w:r>
      <w:proofErr w:type="gramStart"/>
      <w:r w:rsidRPr="003824D8">
        <w:rPr>
          <w:color w:val="002060"/>
        </w:rPr>
        <w:t>doesn’t</w:t>
      </w:r>
      <w:proofErr w:type="gramEnd"/>
      <w:r w:rsidRPr="003824D8">
        <w:rPr>
          <w:color w:val="002060"/>
        </w:rPr>
        <w:t xml:space="preserve"> look like an old-style government office – it makes them feel more comfortable, calm and optimistic in their interactions with us.</w:t>
      </w:r>
    </w:p>
    <w:p w:rsidR="003824D8" w:rsidRPr="003824D8" w:rsidRDefault="003824D8" w:rsidP="003824D8">
      <w:pPr>
        <w:pStyle w:val="BodyText"/>
        <w:rPr>
          <w:color w:val="002060"/>
        </w:rPr>
      </w:pPr>
      <w:r w:rsidRPr="003824D8">
        <w:rPr>
          <w:color w:val="002060"/>
        </w:rPr>
        <w:t>The customer feedback at the new Woy Woy service centre on the Central Coast of NSW reflects this:</w:t>
      </w:r>
    </w:p>
    <w:p w:rsidR="003824D8" w:rsidRPr="003824D8" w:rsidRDefault="003824D8" w:rsidP="003824D8">
      <w:pPr>
        <w:pStyle w:val="ListBullet"/>
        <w:rPr>
          <w:color w:val="002060"/>
        </w:rPr>
      </w:pPr>
      <w:r w:rsidRPr="003824D8">
        <w:rPr>
          <w:color w:val="002060"/>
        </w:rPr>
        <w:t>98.8% said they were satisfied or extremely satisfied with the service</w:t>
      </w:r>
    </w:p>
    <w:p w:rsidR="003824D8" w:rsidRPr="003824D8" w:rsidRDefault="003824D8" w:rsidP="003824D8">
      <w:pPr>
        <w:pStyle w:val="ListBullet"/>
        <w:rPr>
          <w:color w:val="002060"/>
        </w:rPr>
      </w:pPr>
      <w:r w:rsidRPr="003824D8">
        <w:rPr>
          <w:color w:val="002060"/>
        </w:rPr>
        <w:t xml:space="preserve">82.7% had their request fully resolved </w:t>
      </w:r>
    </w:p>
    <w:p w:rsidR="003824D8" w:rsidRPr="003824D8" w:rsidRDefault="003824D8" w:rsidP="003824D8">
      <w:pPr>
        <w:pStyle w:val="ListBullet"/>
        <w:rPr>
          <w:color w:val="002060"/>
        </w:rPr>
      </w:pPr>
      <w:r w:rsidRPr="003824D8">
        <w:rPr>
          <w:color w:val="002060"/>
        </w:rPr>
        <w:t>99.3% of customers whose business was not fully resolved were clear on the next steps.</w:t>
      </w:r>
    </w:p>
    <w:p w:rsidR="003824D8" w:rsidRPr="003824D8" w:rsidRDefault="003824D8" w:rsidP="003824D8">
      <w:pPr>
        <w:pStyle w:val="BodyText"/>
        <w:rPr>
          <w:color w:val="002060"/>
        </w:rPr>
      </w:pPr>
      <w:r w:rsidRPr="003824D8">
        <w:rPr>
          <w:color w:val="002060"/>
        </w:rPr>
        <w:t xml:space="preserve">The new face-to-face experience starts from the moment customers arrive at one of our contemporary service centres. Our staff provide a friendly, helpful face to greet customers and assist with helping them find their way through the new environment. </w:t>
      </w:r>
    </w:p>
    <w:p w:rsidR="003824D8" w:rsidRPr="003824D8" w:rsidRDefault="003824D8" w:rsidP="003824D8">
      <w:pPr>
        <w:pStyle w:val="BodyText"/>
        <w:rPr>
          <w:color w:val="002060"/>
        </w:rPr>
      </w:pPr>
      <w:r w:rsidRPr="003824D8">
        <w:rPr>
          <w:color w:val="002060"/>
        </w:rPr>
        <w:t xml:space="preserve">Centrelink customers who book an appointment before arriving experience a streamlined check-in and access to services. Customers without appointments </w:t>
      </w:r>
      <w:proofErr w:type="gramStart"/>
      <w:r w:rsidRPr="003824D8">
        <w:rPr>
          <w:color w:val="002060"/>
        </w:rPr>
        <w:t>are offered</w:t>
      </w:r>
      <w:proofErr w:type="gramEnd"/>
      <w:r w:rsidRPr="003824D8">
        <w:rPr>
          <w:color w:val="002060"/>
        </w:rPr>
        <w:t xml:space="preserve"> services on the day to resolve any immediate needs, including a range of digital support options and connection to specialists when required. We can also connect customers to specialists through video chat using the customer’s own device at a location that best suits them.</w:t>
      </w:r>
    </w:p>
    <w:p w:rsidR="003824D8" w:rsidRPr="003824D8" w:rsidRDefault="003824D8" w:rsidP="003824D8">
      <w:pPr>
        <w:pStyle w:val="BodyText"/>
        <w:rPr>
          <w:color w:val="002060"/>
        </w:rPr>
      </w:pPr>
      <w:r w:rsidRPr="003824D8">
        <w:rPr>
          <w:color w:val="002060"/>
        </w:rPr>
        <w:t xml:space="preserve">To make services simple so people can get on with their lives we are expanding our digital support options. Customers can choose to use the tablet devices at the quick access bar to complete quick transactions online, access our self-service terminals, or bring in their own device. Our staff are available to connect customers to digital and online services. Digital coaching appointments are also available for customers who would like a dedicated time to learn how to use self-service options. </w:t>
      </w:r>
    </w:p>
    <w:p w:rsidR="00260042" w:rsidRPr="003824D8" w:rsidRDefault="003824D8" w:rsidP="003824D8">
      <w:pPr>
        <w:pStyle w:val="BodyText"/>
        <w:rPr>
          <w:color w:val="002060"/>
          <w:sz w:val="20"/>
          <w:szCs w:val="20"/>
        </w:rPr>
      </w:pPr>
      <w:r w:rsidRPr="003824D8">
        <w:rPr>
          <w:color w:val="002060"/>
        </w:rPr>
        <w:t>This new way of operating is helping to create a consistent, customer-centred face-to-face service that focuses on assessing the full needs of the customer and guiding them to the right service and channels for their needs.</w:t>
      </w:r>
    </w:p>
    <w:p w:rsidR="00260042" w:rsidRDefault="00260042" w:rsidP="002E64CE">
      <w:pPr>
        <w:pStyle w:val="Heading3"/>
      </w:pPr>
      <w:r>
        <w:t xml:space="preserve">Telephony </w:t>
      </w:r>
    </w:p>
    <w:p w:rsidR="00260042" w:rsidRDefault="00260042" w:rsidP="00260042">
      <w:pPr>
        <w:pStyle w:val="BodyText"/>
        <w:keepNext/>
      </w:pPr>
      <w:r>
        <w:t xml:space="preserve">Customers can contact Services Australia through its phone services delivered through our smart centres, which form an Australia-wide network. The agency has specific phone services for multilingual, international, rural and remote and child support customers, health providers for Medicare, the Pharmaceutical Benefits Scheme, aged care and a range of other health programs. </w:t>
      </w:r>
    </w:p>
    <w:p w:rsidR="00260042" w:rsidRDefault="00260042" w:rsidP="00260042">
      <w:pPr>
        <w:pStyle w:val="BodyText"/>
      </w:pPr>
      <w:r>
        <w:t xml:space="preserve">Some smart centres deliver Centrelink, Medicare and Child Support phone and claims processing services. Whenever possible, smart centre staff resolve enquiries at the first point of contact. They also make sure that customers know about, and can use, self-service options, including Express Plus mobile apps and online services. Many customers prefer to use these as a convenient alternative to phone services. </w:t>
      </w:r>
    </w:p>
    <w:p w:rsidR="00260042" w:rsidRDefault="00260042" w:rsidP="002E64CE">
      <w:pPr>
        <w:pStyle w:val="Heading3"/>
      </w:pPr>
      <w:r>
        <w:lastRenderedPageBreak/>
        <w:t>Voice biometrics</w:t>
      </w:r>
    </w:p>
    <w:p w:rsidR="00260042" w:rsidRDefault="00260042" w:rsidP="00260042">
      <w:pPr>
        <w:pStyle w:val="BodyText"/>
      </w:pPr>
      <w:r>
        <w:t xml:space="preserve">Voice biometrics enables and supports other related initiatives including telephony rationalisation. </w:t>
      </w:r>
    </w:p>
    <w:p w:rsidR="00260042" w:rsidRDefault="00260042" w:rsidP="00260042">
      <w:pPr>
        <w:pStyle w:val="BodyText"/>
      </w:pPr>
      <w:r>
        <w:t xml:space="preserve">Voice biometrics provides digital authentication and an intelligent pathway into the digital channel for customers. Voice biometrics authentication combined with IVR technology allows the agency to provide information to customers through targeted, tailored and personalised messaging, enabling them to conduct their business without the need to speak with a service officer. If they then need to speak to a staff </w:t>
      </w:r>
      <w:proofErr w:type="gramStart"/>
      <w:r>
        <w:t>member</w:t>
      </w:r>
      <w:proofErr w:type="gramEnd"/>
      <w:r>
        <w:t xml:space="preserve"> the information obtained through voice biometrics allows their call to be effectively routed.</w:t>
      </w:r>
    </w:p>
    <w:p w:rsidR="00260042" w:rsidRDefault="00260042" w:rsidP="00260042">
      <w:pPr>
        <w:pStyle w:val="BodyText"/>
      </w:pPr>
      <w:r>
        <w:t xml:space="preserve">Over 50% of </w:t>
      </w:r>
      <w:proofErr w:type="gramStart"/>
      <w:r>
        <w:t>Centrelink</w:t>
      </w:r>
      <w:proofErr w:type="gramEnd"/>
      <w:r>
        <w:t xml:space="preserve"> call traffic has voiceprint enrolment available. Voiceprint authentication is also enabled on the debt recovery, emergency and online services support lines.</w:t>
      </w:r>
    </w:p>
    <w:p w:rsidR="00260042" w:rsidRDefault="00260042" w:rsidP="00260042">
      <w:pPr>
        <w:pStyle w:val="BodyText"/>
        <w:spacing w:after="57"/>
      </w:pPr>
      <w:r>
        <w:t>During 2020–21:</w:t>
      </w:r>
    </w:p>
    <w:p w:rsidR="00260042" w:rsidRDefault="00260042" w:rsidP="008930A3">
      <w:pPr>
        <w:pStyle w:val="ListBullet"/>
      </w:pPr>
      <w:r>
        <w:t>voice biometrics enabled the authentication of over 45,000 calls per working day (across all lines) and authenticated more than 36% of all calls to Centrelink main business lines</w:t>
      </w:r>
    </w:p>
    <w:p w:rsidR="00260042" w:rsidRDefault="00260042" w:rsidP="008930A3">
      <w:pPr>
        <w:pStyle w:val="ListBullet"/>
      </w:pPr>
      <w:r>
        <w:t xml:space="preserve">diverted more than 500,000 customers from needing to talk to a service officer </w:t>
      </w:r>
    </w:p>
    <w:p w:rsidR="00260042" w:rsidRDefault="00260042" w:rsidP="008930A3">
      <w:pPr>
        <w:pStyle w:val="ListBullet"/>
      </w:pPr>
      <w:r>
        <w:t>voiceprint enrolment was expanded to all Centrelink customer cohorts in early 2021</w:t>
      </w:r>
    </w:p>
    <w:p w:rsidR="00260042" w:rsidRDefault="00260042" w:rsidP="00EA5510">
      <w:pPr>
        <w:pStyle w:val="ListBullet"/>
      </w:pPr>
      <w:proofErr w:type="gramStart"/>
      <w:r>
        <w:t>almost</w:t>
      </w:r>
      <w:proofErr w:type="gramEnd"/>
      <w:r>
        <w:t xml:space="preserve"> 90% of Centrelink call traffic had voiceprint authentication available.</w:t>
      </w:r>
    </w:p>
    <w:p w:rsidR="003824D8" w:rsidRPr="002E64CE" w:rsidRDefault="003824D8" w:rsidP="002E64CE">
      <w:pPr>
        <w:pStyle w:val="Heading3"/>
      </w:pPr>
      <w:r w:rsidRPr="002E64CE">
        <w:t>Using speech analytics to improve COVID-19 vaccine reporting</w:t>
      </w:r>
    </w:p>
    <w:p w:rsidR="003824D8" w:rsidRPr="003824D8" w:rsidRDefault="003824D8" w:rsidP="003824D8">
      <w:pPr>
        <w:pStyle w:val="BodyText"/>
        <w:rPr>
          <w:color w:val="002060"/>
        </w:rPr>
      </w:pPr>
      <w:r w:rsidRPr="003824D8">
        <w:rPr>
          <w:color w:val="002060"/>
        </w:rPr>
        <w:t>The agency undertakes speech analytics through analysing call recordings of its interactions with customers. This helps to gain insight into customer demand drivers and inform strategies to both reduce demand and enhance the customer experience.</w:t>
      </w:r>
    </w:p>
    <w:p w:rsidR="003824D8" w:rsidRPr="003824D8" w:rsidRDefault="003824D8" w:rsidP="003824D8">
      <w:pPr>
        <w:pStyle w:val="BodyText"/>
        <w:rPr>
          <w:color w:val="002060"/>
        </w:rPr>
      </w:pPr>
      <w:r w:rsidRPr="003824D8">
        <w:rPr>
          <w:color w:val="002060"/>
        </w:rPr>
        <w:t xml:space="preserve">In February 2021, Services Australia began monitoring speech analytics with Medicare customers, health providers and Centrelink telephony lines for key terms and phrases related to COVID-19 vaccines and accessing evidence of COVID-19 vaccinations. Between March 2021 and 30 June </w:t>
      </w:r>
      <w:proofErr w:type="gramStart"/>
      <w:r w:rsidRPr="003824D8">
        <w:rPr>
          <w:color w:val="002060"/>
        </w:rPr>
        <w:t>2021</w:t>
      </w:r>
      <w:proofErr w:type="gramEnd"/>
      <w:r w:rsidRPr="003824D8">
        <w:rPr>
          <w:color w:val="002060"/>
        </w:rPr>
        <w:t xml:space="preserve"> almost 45,000 COVID-19 vaccination-related calls were identified. </w:t>
      </w:r>
    </w:p>
    <w:p w:rsidR="00260042" w:rsidRPr="003824D8" w:rsidRDefault="003824D8" w:rsidP="003824D8">
      <w:pPr>
        <w:pStyle w:val="BodyText"/>
        <w:rPr>
          <w:color w:val="002060"/>
        </w:rPr>
      </w:pPr>
      <w:r w:rsidRPr="003824D8">
        <w:rPr>
          <w:color w:val="002060"/>
        </w:rPr>
        <w:t xml:space="preserve">Speech analytics provided valuable insights into concerns experienced by customers when linking their Medicare account to </w:t>
      </w:r>
      <w:proofErr w:type="spellStart"/>
      <w:r w:rsidRPr="003824D8">
        <w:rPr>
          <w:color w:val="002060"/>
        </w:rPr>
        <w:t>myGov</w:t>
      </w:r>
      <w:proofErr w:type="spellEnd"/>
      <w:r w:rsidRPr="003824D8">
        <w:rPr>
          <w:color w:val="002060"/>
        </w:rPr>
        <w:t xml:space="preserve"> and the reasons customers and providers contacted the agency about COVID-19 vaccines. This informed the agency’s communication approach to support service delivery staff and develop education resources for vaccination providers.</w:t>
      </w:r>
    </w:p>
    <w:p w:rsidR="00260042" w:rsidRDefault="00260042" w:rsidP="00C81689">
      <w:pPr>
        <w:pStyle w:val="Heading2"/>
      </w:pPr>
      <w:r>
        <w:t>2.3 Welfare Payment Infrastructure Transformation Programme</w:t>
      </w:r>
    </w:p>
    <w:p w:rsidR="00260042" w:rsidRDefault="00260042" w:rsidP="00260042">
      <w:pPr>
        <w:pStyle w:val="BodyText"/>
      </w:pPr>
      <w:r>
        <w:t>The 7-year Welfare Payment Infrastructure Transformation (WPIT) Programme is an important long-term investment addressing challenges facing Australia’s welfare service delivery. The programme is transforming the way we do business and improving our systems, to deliver services that are simple and helpful.</w:t>
      </w:r>
    </w:p>
    <w:p w:rsidR="00260042" w:rsidRDefault="00260042" w:rsidP="00260042">
      <w:pPr>
        <w:pStyle w:val="BodyText"/>
      </w:pPr>
      <w:r>
        <w:t xml:space="preserve">In its sixth year, the programme focused on streamlining processes for customers and staff by improving digital services, increasing automation, making better use of data, and developing technology that is reusable across government. </w:t>
      </w:r>
    </w:p>
    <w:p w:rsidR="00260042" w:rsidRDefault="00260042" w:rsidP="00260042">
      <w:pPr>
        <w:pStyle w:val="BodyText"/>
        <w:spacing w:after="57"/>
      </w:pPr>
      <w:r>
        <w:lastRenderedPageBreak/>
        <w:t>The programme has delivered a significant amount of change to make processes more simple, helpful, respectful and transparent for customers, staff and third parties, including:</w:t>
      </w:r>
    </w:p>
    <w:p w:rsidR="00260042" w:rsidRDefault="00260042" w:rsidP="008930A3">
      <w:pPr>
        <w:pStyle w:val="ListBullet"/>
      </w:pPr>
      <w:proofErr w:type="gramStart"/>
      <w:r>
        <w:t>delivering</w:t>
      </w:r>
      <w:proofErr w:type="gramEnd"/>
      <w:r>
        <w:t xml:space="preserve"> over 80% of all Centrelink payments to Australians through a new payment delivery capability. This capability was further extended for whole-of-government reuse</w:t>
      </w:r>
    </w:p>
    <w:p w:rsidR="00260042" w:rsidRDefault="00260042" w:rsidP="008930A3">
      <w:pPr>
        <w:pStyle w:val="ListBullet"/>
      </w:pPr>
      <w:r>
        <w:t>accomplishing a major first step in building the ‘engine’ that will calculate both financial and non-financial entitlements for all Centrelink payments</w:t>
      </w:r>
    </w:p>
    <w:p w:rsidR="00260042" w:rsidRDefault="00260042" w:rsidP="008930A3">
      <w:pPr>
        <w:pStyle w:val="ListBullet"/>
      </w:pPr>
      <w:r>
        <w:t>improving automation to further enable streamlined and simplified processes, and faster processing of Centrelink claims</w:t>
      </w:r>
    </w:p>
    <w:p w:rsidR="00260042" w:rsidRDefault="00260042" w:rsidP="008930A3">
      <w:pPr>
        <w:pStyle w:val="ListBullet"/>
      </w:pPr>
      <w:r>
        <w:t>making great progress with a single staff interface, transforming workflows and processes to make them faster and more intuitive</w:t>
      </w:r>
    </w:p>
    <w:p w:rsidR="00260042" w:rsidRDefault="00260042" w:rsidP="00EA5510">
      <w:pPr>
        <w:pStyle w:val="ListBullet"/>
      </w:pPr>
      <w:proofErr w:type="gramStart"/>
      <w:r>
        <w:t>delivering</w:t>
      </w:r>
      <w:proofErr w:type="gramEnd"/>
      <w:r>
        <w:t xml:space="preserve"> a near real-time student data exchange for all tertiary and vocational students. This means providers report to government once rather than multiple times, and online student claims are pre-populated.</w:t>
      </w:r>
    </w:p>
    <w:p w:rsidR="00260042" w:rsidRDefault="00260042" w:rsidP="00C81689">
      <w:pPr>
        <w:pStyle w:val="Heading2"/>
      </w:pPr>
      <w:r>
        <w:t>2.4 Single Touch Payroll</w:t>
      </w:r>
    </w:p>
    <w:p w:rsidR="00260042" w:rsidRDefault="00260042" w:rsidP="00260042">
      <w:pPr>
        <w:pStyle w:val="BodyText"/>
      </w:pPr>
      <w:r>
        <w:t>Employers can now report payroll information to the Australian Government through single touch payroll (STP). We use this information to improve our services and make it easier for customers and employers in providing information about employment income.</w:t>
      </w:r>
    </w:p>
    <w:p w:rsidR="00260042" w:rsidRDefault="00260042" w:rsidP="00260042">
      <w:pPr>
        <w:pStyle w:val="BodyText"/>
      </w:pPr>
      <w:r>
        <w:t xml:space="preserve">We use payroll information reported through STP to help with employment income reporting and other contact we have with customers. As it </w:t>
      </w:r>
      <w:proofErr w:type="gramStart"/>
      <w:r>
        <w:t>is reported</w:t>
      </w:r>
      <w:proofErr w:type="gramEnd"/>
      <w:r>
        <w:t xml:space="preserve"> each time employees are paid, it gives us regular and accurate information to work with.</w:t>
      </w:r>
    </w:p>
    <w:p w:rsidR="00260042" w:rsidRDefault="00260042" w:rsidP="00260042">
      <w:pPr>
        <w:pStyle w:val="BodyText"/>
        <w:spacing w:after="57"/>
      </w:pPr>
      <w:r>
        <w:t>Over time, customers will benefit from us using STP data to improve our services:</w:t>
      </w:r>
    </w:p>
    <w:p w:rsidR="00260042" w:rsidRDefault="00260042" w:rsidP="008930A3">
      <w:pPr>
        <w:pStyle w:val="ListBullet"/>
      </w:pPr>
      <w:r>
        <w:t>it will save them time filling out claims and reports – we will prefill details we already know</w:t>
      </w:r>
    </w:p>
    <w:p w:rsidR="00260042" w:rsidRDefault="00260042" w:rsidP="008930A3">
      <w:pPr>
        <w:pStyle w:val="ListBullet"/>
      </w:pPr>
      <w:r>
        <w:t>it will reduce how often we contact customers and their employers – STP data will give us some information that we currently need to confirm by phone or online</w:t>
      </w:r>
    </w:p>
    <w:p w:rsidR="00260042" w:rsidRDefault="00260042" w:rsidP="00EA5510">
      <w:pPr>
        <w:pStyle w:val="ListBullet"/>
      </w:pPr>
      <w:proofErr w:type="gramStart"/>
      <w:r>
        <w:t>streamlined</w:t>
      </w:r>
      <w:proofErr w:type="gramEnd"/>
      <w:r>
        <w:t xml:space="preserve"> claiming – customers will not need to supply as many documents with their claims.</w:t>
      </w:r>
    </w:p>
    <w:p w:rsidR="00260042" w:rsidRDefault="00260042" w:rsidP="00260042">
      <w:pPr>
        <w:pStyle w:val="BodyText"/>
      </w:pPr>
      <w:r>
        <w:t>Our work includes a focus on collaborating with customers and stakeholders on the co-design of future use cases using STP data.</w:t>
      </w:r>
    </w:p>
    <w:p w:rsidR="00260042" w:rsidRDefault="00260042" w:rsidP="00260042">
      <w:pPr>
        <w:pStyle w:val="BodyText"/>
        <w:spacing w:after="57"/>
      </w:pPr>
      <w:r>
        <w:t xml:space="preserve">The improvements </w:t>
      </w:r>
      <w:proofErr w:type="gramStart"/>
      <w:r>
        <w:t>we’ve</w:t>
      </w:r>
      <w:proofErr w:type="gramEnd"/>
      <w:r>
        <w:t xml:space="preserve"> made are:</w:t>
      </w:r>
    </w:p>
    <w:p w:rsidR="00260042" w:rsidRDefault="00260042" w:rsidP="008930A3">
      <w:pPr>
        <w:pStyle w:val="ListBullet"/>
      </w:pPr>
      <w:r>
        <w:rPr>
          <w:rStyle w:val="Bold"/>
        </w:rPr>
        <w:t>introduced new technologies</w:t>
      </w:r>
      <w:r>
        <w:t xml:space="preserve"> that facilitate near real-time data payroll exchange capabilities between the Australian Taxation Office (ATO) and Services Australia</w:t>
      </w:r>
    </w:p>
    <w:p w:rsidR="00260042" w:rsidRDefault="00260042" w:rsidP="008930A3">
      <w:pPr>
        <w:pStyle w:val="ListBullet"/>
      </w:pPr>
      <w:r>
        <w:rPr>
          <w:rStyle w:val="Bold"/>
        </w:rPr>
        <w:t>pre-filling employer details</w:t>
      </w:r>
      <w:r>
        <w:t xml:space="preserve"> — If customers get an income support payment from us they will see improvements in their Centrelink online account and the Express Plus Centrelink mobile app</w:t>
      </w:r>
    </w:p>
    <w:p w:rsidR="00260042" w:rsidRDefault="00260042" w:rsidP="008930A3">
      <w:pPr>
        <w:pStyle w:val="ListBullet"/>
      </w:pPr>
      <w:proofErr w:type="gramStart"/>
      <w:r>
        <w:rPr>
          <w:rStyle w:val="Bold"/>
        </w:rPr>
        <w:t>enhancing</w:t>
      </w:r>
      <w:proofErr w:type="gramEnd"/>
      <w:r>
        <w:rPr>
          <w:rStyle w:val="Bold"/>
        </w:rPr>
        <w:t xml:space="preserve"> child support processes</w:t>
      </w:r>
      <w:r>
        <w:t xml:space="preserve"> — we use STP data to make sure we have the right details to contact employers. This means we can:</w:t>
      </w:r>
    </w:p>
    <w:p w:rsidR="00260042" w:rsidRDefault="00260042" w:rsidP="00260042">
      <w:pPr>
        <w:pStyle w:val="Bullet2"/>
      </w:pPr>
      <w:proofErr w:type="gramStart"/>
      <w:r>
        <w:t>establish</w:t>
      </w:r>
      <w:proofErr w:type="gramEnd"/>
      <w:r>
        <w:t xml:space="preserve"> child support payments from an employee’s pay more efficiently when it is appropriate to do so</w:t>
      </w:r>
    </w:p>
    <w:p w:rsidR="00260042" w:rsidRDefault="00260042" w:rsidP="00260042">
      <w:pPr>
        <w:pStyle w:val="Bullet2"/>
      </w:pPr>
      <w:proofErr w:type="gramStart"/>
      <w:r>
        <w:t>reduce</w:t>
      </w:r>
      <w:proofErr w:type="gramEnd"/>
      <w:r>
        <w:t xml:space="preserve"> the reporting burden for employers so they only have to give data to government once</w:t>
      </w:r>
    </w:p>
    <w:p w:rsidR="00260042" w:rsidRDefault="00260042" w:rsidP="008930A3">
      <w:pPr>
        <w:pStyle w:val="ListBullet"/>
      </w:pPr>
      <w:r>
        <w:rPr>
          <w:rStyle w:val="Bold"/>
        </w:rPr>
        <w:t>improving Family Tax Benefit (FTB) processes</w:t>
      </w:r>
      <w:r>
        <w:t xml:space="preserve"> — we contacted some FTB customers who needed to balance their payments at the end of the financial year to explain all of the following:</w:t>
      </w:r>
    </w:p>
    <w:p w:rsidR="00260042" w:rsidRDefault="00260042" w:rsidP="00260042">
      <w:pPr>
        <w:pStyle w:val="Bullet2"/>
      </w:pPr>
      <w:proofErr w:type="gramStart"/>
      <w:r>
        <w:t>our</w:t>
      </w:r>
      <w:proofErr w:type="gramEnd"/>
      <w:r>
        <w:t xml:space="preserve"> new STP data sharing arrangements</w:t>
      </w:r>
    </w:p>
    <w:p w:rsidR="00260042" w:rsidRDefault="00260042" w:rsidP="00260042">
      <w:pPr>
        <w:pStyle w:val="Bullet2"/>
      </w:pPr>
      <w:proofErr w:type="gramStart"/>
      <w:r>
        <w:lastRenderedPageBreak/>
        <w:t>what</w:t>
      </w:r>
      <w:proofErr w:type="gramEnd"/>
      <w:r>
        <w:t xml:space="preserve"> to do at tax time</w:t>
      </w:r>
    </w:p>
    <w:p w:rsidR="00260042" w:rsidRDefault="00260042" w:rsidP="00260042">
      <w:pPr>
        <w:pStyle w:val="Bullet2"/>
        <w:spacing w:after="113"/>
      </w:pPr>
      <w:proofErr w:type="gramStart"/>
      <w:r>
        <w:t>why</w:t>
      </w:r>
      <w:proofErr w:type="gramEnd"/>
      <w:r>
        <w:t xml:space="preserve"> they should lodge a tax return</w:t>
      </w:r>
    </w:p>
    <w:p w:rsidR="00260042" w:rsidRDefault="00260042" w:rsidP="00EA5510">
      <w:pPr>
        <w:pStyle w:val="ListBullet"/>
      </w:pPr>
      <w:proofErr w:type="gramStart"/>
      <w:r>
        <w:rPr>
          <w:rStyle w:val="Bold"/>
        </w:rPr>
        <w:t>recovering</w:t>
      </w:r>
      <w:proofErr w:type="gramEnd"/>
      <w:r>
        <w:rPr>
          <w:rStyle w:val="Bold"/>
        </w:rPr>
        <w:t xml:space="preserve"> debt</w:t>
      </w:r>
      <w:r>
        <w:t xml:space="preserve"> — we use STP data to improve the customer experience if they have a debt to pay. STP data allows us to understand customers’ recent employment and income history.</w:t>
      </w:r>
    </w:p>
    <w:p w:rsidR="003824D8" w:rsidRPr="003F431F" w:rsidRDefault="003824D8" w:rsidP="002E64CE">
      <w:pPr>
        <w:pStyle w:val="Heading3"/>
      </w:pPr>
      <w:r w:rsidRPr="003F431F">
        <w:t>Making things simpler</w:t>
      </w:r>
    </w:p>
    <w:p w:rsidR="003824D8" w:rsidRPr="003824D8" w:rsidRDefault="003824D8" w:rsidP="003824D8">
      <w:pPr>
        <w:pStyle w:val="BodyText"/>
        <w:rPr>
          <w:color w:val="002060"/>
        </w:rPr>
      </w:pPr>
      <w:r w:rsidRPr="003824D8">
        <w:rPr>
          <w:color w:val="002060"/>
        </w:rPr>
        <w:t>In the uncertainty of the COVID-19 pandemic, the lives of many Australians have become more complicated, particularly when it comes to their work and finances. The agency is helping customers, by making employment income reporting as simple as possible.</w:t>
      </w:r>
    </w:p>
    <w:p w:rsidR="003824D8" w:rsidRPr="003824D8" w:rsidRDefault="003824D8" w:rsidP="003824D8">
      <w:pPr>
        <w:pStyle w:val="BodyText"/>
        <w:rPr>
          <w:color w:val="002060"/>
        </w:rPr>
      </w:pPr>
      <w:r w:rsidRPr="003824D8">
        <w:rPr>
          <w:color w:val="002060"/>
        </w:rPr>
        <w:t>With the introduction of STP, employers can now report payroll information directly to the ATO, which shares this information with us in near real-time.</w:t>
      </w:r>
    </w:p>
    <w:p w:rsidR="003824D8" w:rsidRPr="003824D8" w:rsidRDefault="003824D8" w:rsidP="003824D8">
      <w:pPr>
        <w:pStyle w:val="BodyText"/>
        <w:rPr>
          <w:color w:val="002060"/>
        </w:rPr>
      </w:pPr>
      <w:r w:rsidRPr="003824D8">
        <w:rPr>
          <w:color w:val="002060"/>
        </w:rPr>
        <w:t xml:space="preserve">Having access to payroll information reported through STP means there is less need for us to contact employers to confirm employee payroll details. </w:t>
      </w:r>
    </w:p>
    <w:p w:rsidR="003824D8" w:rsidRPr="003824D8" w:rsidRDefault="003824D8" w:rsidP="003824D8">
      <w:pPr>
        <w:pStyle w:val="BodyText"/>
        <w:rPr>
          <w:color w:val="002060"/>
        </w:rPr>
      </w:pPr>
      <w:r w:rsidRPr="003824D8">
        <w:rPr>
          <w:color w:val="002060"/>
        </w:rPr>
        <w:t xml:space="preserve">Customers have their employer details prefilled </w:t>
      </w:r>
      <w:proofErr w:type="gramStart"/>
      <w:r w:rsidRPr="003824D8">
        <w:rPr>
          <w:color w:val="002060"/>
        </w:rPr>
        <w:t>online,</w:t>
      </w:r>
      <w:proofErr w:type="gramEnd"/>
      <w:r w:rsidRPr="003824D8">
        <w:rPr>
          <w:color w:val="002060"/>
        </w:rPr>
        <w:t xml:space="preserve"> significantly reducing the time it takes for them to report their employment income accurately.</w:t>
      </w:r>
    </w:p>
    <w:p w:rsidR="003824D8" w:rsidRPr="003824D8" w:rsidRDefault="003824D8" w:rsidP="003824D8">
      <w:pPr>
        <w:pStyle w:val="BodyText"/>
        <w:rPr>
          <w:color w:val="002060"/>
        </w:rPr>
      </w:pPr>
      <w:r w:rsidRPr="003824D8">
        <w:rPr>
          <w:color w:val="002060"/>
        </w:rPr>
        <w:t xml:space="preserve">We also use STP data to make sure we have the right details to contact employers. For example, we can establish child support payments from an employee’s pay more efficiently. </w:t>
      </w:r>
    </w:p>
    <w:p w:rsidR="00260042" w:rsidRPr="003824D8" w:rsidRDefault="003824D8" w:rsidP="003824D8">
      <w:pPr>
        <w:pStyle w:val="BodyText"/>
        <w:rPr>
          <w:color w:val="002060"/>
        </w:rPr>
      </w:pPr>
      <w:proofErr w:type="gramStart"/>
      <w:r w:rsidRPr="003824D8">
        <w:rPr>
          <w:color w:val="002060"/>
        </w:rPr>
        <w:t>For Australians, it is a small change that will make a big difference – making things simpler and respecting people’s time.</w:t>
      </w:r>
      <w:proofErr w:type="gramEnd"/>
    </w:p>
    <w:p w:rsidR="00260042" w:rsidRDefault="00260042" w:rsidP="00C81689">
      <w:pPr>
        <w:pStyle w:val="Heading2"/>
      </w:pPr>
      <w:r>
        <w:t>2.5 Changing the Social Security Income Assessment Model</w:t>
      </w:r>
    </w:p>
    <w:p w:rsidR="00260042" w:rsidRDefault="00260042" w:rsidP="00260042">
      <w:pPr>
        <w:pStyle w:val="BodyText"/>
      </w:pPr>
      <w:r>
        <w:t xml:space="preserve">Changing the Social Security Income Assessment Model (CAM) </w:t>
      </w:r>
      <w:proofErr w:type="gramStart"/>
      <w:r>
        <w:t>was announced</w:t>
      </w:r>
      <w:proofErr w:type="gramEnd"/>
      <w:r>
        <w:t xml:space="preserve"> in the 2019–20 Budget. The changes allow customers to report their gross employment income paid shown on their payslip, rather than calculating what they expect to earn. </w:t>
      </w:r>
    </w:p>
    <w:p w:rsidR="00260042" w:rsidRDefault="00260042" w:rsidP="00260042">
      <w:pPr>
        <w:pStyle w:val="BodyText"/>
        <w:keepNext/>
        <w:spacing w:after="57"/>
      </w:pPr>
      <w:r>
        <w:t xml:space="preserve">Implementation of the CAM changes on 7 December 2020 resulted in: </w:t>
      </w:r>
    </w:p>
    <w:p w:rsidR="00260042" w:rsidRDefault="00260042" w:rsidP="008930A3">
      <w:pPr>
        <w:pStyle w:val="ListBullet"/>
      </w:pPr>
      <w:r>
        <w:t xml:space="preserve">simplified reporting for an average 170,000 customers who report each day </w:t>
      </w:r>
    </w:p>
    <w:p w:rsidR="00260042" w:rsidRDefault="00260042" w:rsidP="008930A3">
      <w:pPr>
        <w:pStyle w:val="ListBullet"/>
      </w:pPr>
      <w:r>
        <w:t>771,043 customers being supported through a one-off calculation during the transition period to move from the earned to paid model</w:t>
      </w:r>
    </w:p>
    <w:p w:rsidR="00260042" w:rsidRDefault="00260042" w:rsidP="00EA5510">
      <w:pPr>
        <w:pStyle w:val="ListBullet"/>
      </w:pPr>
      <w:proofErr w:type="gramStart"/>
      <w:r>
        <w:t>approximately</w:t>
      </w:r>
      <w:proofErr w:type="gramEnd"/>
      <w:r>
        <w:t xml:space="preserve"> 880,000 income support customers successfully reported and transitioned to the new model during the first week of implementation.</w:t>
      </w:r>
    </w:p>
    <w:p w:rsidR="00260042" w:rsidRDefault="00260042" w:rsidP="00260042">
      <w:pPr>
        <w:pStyle w:val="BodyText"/>
      </w:pPr>
      <w:r>
        <w:t xml:space="preserve">Services Australia created and delivered messages translated into 14 languages, as well as targeted messaging via Indigenous radio across over 200 community stations. </w:t>
      </w:r>
    </w:p>
    <w:p w:rsidR="00260042" w:rsidRDefault="00260042" w:rsidP="00260042">
      <w:pPr>
        <w:pStyle w:val="BodyText"/>
      </w:pPr>
      <w:r>
        <w:t xml:space="preserve">We also worked with the National Aboriginal Community Controlled Health Organisation to develop and deliver information via its </w:t>
      </w:r>
      <w:proofErr w:type="gramStart"/>
      <w:r>
        <w:t>website which</w:t>
      </w:r>
      <w:proofErr w:type="gramEnd"/>
      <w:r>
        <w:t xml:space="preserve"> reaches 140+ organisations in Aboriginal and Torres Strait Islander communities, and a communication to more than 5,700 health organisation subscribers.</w:t>
      </w:r>
    </w:p>
    <w:p w:rsidR="00260042" w:rsidRDefault="00260042" w:rsidP="00C81689">
      <w:pPr>
        <w:pStyle w:val="Heading2"/>
      </w:pPr>
      <w:r>
        <w:lastRenderedPageBreak/>
        <w:t xml:space="preserve">2.6 Health Delivery Modernisation </w:t>
      </w:r>
    </w:p>
    <w:p w:rsidR="00260042" w:rsidRDefault="00260042" w:rsidP="00260042">
      <w:pPr>
        <w:pStyle w:val="BodyText"/>
      </w:pPr>
      <w:r>
        <w:t xml:space="preserve">Under the Health Delivery Modernisation Program, the agency is continuing work to stabilise and modernise the health payments system that underpins Medicare, the Pharmaceutical Benefits Scheme and other health-related programs. </w:t>
      </w:r>
    </w:p>
    <w:p w:rsidR="00260042" w:rsidRDefault="00260042" w:rsidP="00260042">
      <w:pPr>
        <w:pStyle w:val="BodyText"/>
        <w:spacing w:after="57"/>
      </w:pPr>
      <w:r>
        <w:t>The program is undertaking critical ICT investment to ensure the continuity and security of health payments, services and data for all Australians, health care professionals and businesses, while also delivering regular digital user experience improvements to make it simpler and easier to interact with us and reduce regulatory burden. User improvements delivered in 2020–21 included:</w:t>
      </w:r>
    </w:p>
    <w:p w:rsidR="00260042" w:rsidRDefault="00260042" w:rsidP="008930A3">
      <w:pPr>
        <w:pStyle w:val="ListBullet"/>
      </w:pPr>
      <w:r>
        <w:t>the first new event-based digital service for Medicare customers, referred to as ‘becoming independent’, which allows young people, students and people leaving home to move onto their own Medicare card without the need to visit a service centre or complete a paper form</w:t>
      </w:r>
    </w:p>
    <w:p w:rsidR="00260042" w:rsidRDefault="00260042" w:rsidP="008930A3">
      <w:pPr>
        <w:pStyle w:val="ListBullet"/>
      </w:pPr>
      <w:r>
        <w:t>the ability for customers to confirm their family structure online, to ensure they are correctly assessed against the family Medicare Safety Net</w:t>
      </w:r>
    </w:p>
    <w:p w:rsidR="00260042" w:rsidRDefault="00260042" w:rsidP="00EA5510">
      <w:pPr>
        <w:pStyle w:val="ListBullet"/>
      </w:pPr>
      <w:proofErr w:type="gramStart"/>
      <w:r>
        <w:t>new</w:t>
      </w:r>
      <w:proofErr w:type="gramEnd"/>
      <w:r>
        <w:t xml:space="preserve"> web services for hospitals and health care professionals, to support digital claiming with the agency. </w:t>
      </w:r>
    </w:p>
    <w:p w:rsidR="00260042" w:rsidRDefault="00260042" w:rsidP="00C81689">
      <w:pPr>
        <w:pStyle w:val="Heading2"/>
      </w:pPr>
      <w:r>
        <w:t>2.7 Veteran Centric Reform</w:t>
      </w:r>
    </w:p>
    <w:p w:rsidR="00260042" w:rsidRDefault="00260042" w:rsidP="00260042">
      <w:pPr>
        <w:pStyle w:val="BodyText"/>
      </w:pPr>
      <w:r>
        <w:t>The Veteran Centric Reform — Putting Veterans and Their Families First Program (VCR–PVFF) is a comprehensive multi-year transformation of the Department of Veterans’ Affairs (DVA) with a strong emphasis on veterans and their families. The measure supports DVA’s transformation to improve the wellbeing of veterans and their families through a focus on early access to services, preventative health approaches, and care for veterans with complex circumstances.</w:t>
      </w:r>
    </w:p>
    <w:p w:rsidR="00260042" w:rsidRDefault="00260042" w:rsidP="00260042">
      <w:pPr>
        <w:pStyle w:val="BodyText"/>
      </w:pPr>
      <w:r>
        <w:t xml:space="preserve">Services Australia is </w:t>
      </w:r>
      <w:proofErr w:type="gramStart"/>
      <w:r>
        <w:t>partnering</w:t>
      </w:r>
      <w:proofErr w:type="gramEnd"/>
      <w:r>
        <w:t xml:space="preserve"> with DVA to transform veteran services, and is modernising underpinning ICT systems to meet current and future needs of the veteran community. The VCR–PVFF Program is re-using whole-of-government capabilities </w:t>
      </w:r>
      <w:proofErr w:type="gramStart"/>
      <w:r>
        <w:t>being implemented</w:t>
      </w:r>
      <w:proofErr w:type="gramEnd"/>
      <w:r>
        <w:t xml:space="preserve"> through the WPIT Programme as they become available to transform DVA services and systems.</w:t>
      </w:r>
    </w:p>
    <w:p w:rsidR="00260042" w:rsidRDefault="00260042" w:rsidP="00260042">
      <w:pPr>
        <w:pStyle w:val="BodyText"/>
        <w:spacing w:after="57"/>
      </w:pPr>
      <w:r>
        <w:t xml:space="preserve">Throughout 2020–21, Services Australia continued to support the VCR–PVFF Program by working collaboratively with DVA to build on previous years’ work to: </w:t>
      </w:r>
    </w:p>
    <w:p w:rsidR="00260042" w:rsidRDefault="00260042" w:rsidP="008930A3">
      <w:pPr>
        <w:pStyle w:val="ListBullet"/>
      </w:pPr>
      <w:r>
        <w:t>modernise DVA income support digital and staff processing capabilities for approximately 142,000 veterans and their families</w:t>
      </w:r>
    </w:p>
    <w:p w:rsidR="00260042" w:rsidRDefault="00260042" w:rsidP="008930A3">
      <w:pPr>
        <w:pStyle w:val="ListBullet"/>
      </w:pPr>
      <w:r>
        <w:t xml:space="preserve">develop a digital outbound correspondence strategy for DVA using the </w:t>
      </w:r>
      <w:proofErr w:type="spellStart"/>
      <w:r>
        <w:t>myGov</w:t>
      </w:r>
      <w:proofErr w:type="spellEnd"/>
      <w:r>
        <w:t xml:space="preserve"> inbox capability </w:t>
      </w:r>
    </w:p>
    <w:p w:rsidR="00260042" w:rsidRDefault="00260042" w:rsidP="008930A3">
      <w:pPr>
        <w:pStyle w:val="ListBullet"/>
      </w:pPr>
      <w:r>
        <w:t>deliver internal process automation to support DVA internal efficiencies</w:t>
      </w:r>
    </w:p>
    <w:p w:rsidR="00260042" w:rsidRDefault="00260042" w:rsidP="008930A3">
      <w:pPr>
        <w:pStyle w:val="ListBullet"/>
      </w:pPr>
      <w:r>
        <w:t>support continued implementation of the 1800VETERAN phone number</w:t>
      </w:r>
    </w:p>
    <w:p w:rsidR="00260042" w:rsidRDefault="00260042" w:rsidP="00EA5510">
      <w:pPr>
        <w:pStyle w:val="ListBullet"/>
      </w:pPr>
      <w:proofErr w:type="gramStart"/>
      <w:r>
        <w:t>continue</w:t>
      </w:r>
      <w:proofErr w:type="gramEnd"/>
      <w:r>
        <w:t xml:space="preserve"> to provide veterans and their families in regional Australia with greater access to services through service delivery pilots, which resulted in a DVA standardised service offer to be rolled out across Services Australia service centres, including mobile service centres, in 2021–22 .</w:t>
      </w:r>
    </w:p>
    <w:p w:rsidR="00260042" w:rsidRDefault="00260042" w:rsidP="00260042">
      <w:pPr>
        <w:pStyle w:val="BodyText"/>
        <w:spacing w:after="57"/>
      </w:pPr>
      <w:r>
        <w:t>Collaboration between DVA and Services Australia resulted in a successful system release on 21 November 2020, which included:</w:t>
      </w:r>
    </w:p>
    <w:p w:rsidR="00260042" w:rsidRDefault="00260042" w:rsidP="008930A3">
      <w:pPr>
        <w:pStyle w:val="ListBullet"/>
      </w:pPr>
      <w:r>
        <w:t>providing staff access to a faster, more reliable system for income support claims and processing</w:t>
      </w:r>
    </w:p>
    <w:p w:rsidR="00260042" w:rsidRDefault="00260042" w:rsidP="008930A3">
      <w:pPr>
        <w:pStyle w:val="ListBullet"/>
      </w:pPr>
      <w:r>
        <w:lastRenderedPageBreak/>
        <w:t xml:space="preserve">extra functionality within the online system </w:t>
      </w:r>
      <w:proofErr w:type="spellStart"/>
      <w:r>
        <w:t>MyService</w:t>
      </w:r>
      <w:proofErr w:type="spellEnd"/>
      <w:r>
        <w:t xml:space="preserve">, for customers to lodge claims and update changes to their circumstances </w:t>
      </w:r>
    </w:p>
    <w:p w:rsidR="00260042" w:rsidRDefault="00260042" w:rsidP="00EA5510">
      <w:pPr>
        <w:pStyle w:val="ListBullet"/>
      </w:pPr>
      <w:proofErr w:type="gramStart"/>
      <w:r>
        <w:t>simplifying</w:t>
      </w:r>
      <w:proofErr w:type="gramEnd"/>
      <w:r>
        <w:t xml:space="preserve"> and automating 37 customer letters about decisions and changes, making them easier for veterans to understand and decreasing the manual work of staff.</w:t>
      </w:r>
    </w:p>
    <w:p w:rsidR="00260042" w:rsidRDefault="00260042" w:rsidP="00260042">
      <w:pPr>
        <w:pStyle w:val="BodyText"/>
      </w:pPr>
      <w:r>
        <w:t xml:space="preserve">Throughout the transformation journey, veterans and their families will remain at the centre of the changes. Services Australia will continue to work collaboratively with DVA as a strategic partner to support DVA’s transformation implementation. </w:t>
      </w:r>
    </w:p>
    <w:p w:rsidR="003F431F" w:rsidRPr="003F431F" w:rsidRDefault="003F431F" w:rsidP="002E64CE">
      <w:pPr>
        <w:pStyle w:val="Heading3"/>
      </w:pPr>
      <w:r w:rsidRPr="003F431F">
        <w:t>Putting veterans and their families first</w:t>
      </w:r>
    </w:p>
    <w:p w:rsidR="003F431F" w:rsidRPr="003F431F" w:rsidRDefault="003F431F" w:rsidP="003F431F">
      <w:pPr>
        <w:pStyle w:val="BodyText"/>
        <w:rPr>
          <w:color w:val="002060"/>
        </w:rPr>
      </w:pPr>
      <w:r w:rsidRPr="003F431F">
        <w:rPr>
          <w:color w:val="002060"/>
        </w:rPr>
        <w:t xml:space="preserve">Helping people is a core part of our vision – and </w:t>
      </w:r>
      <w:proofErr w:type="gramStart"/>
      <w:r w:rsidRPr="003F431F">
        <w:rPr>
          <w:color w:val="002060"/>
        </w:rPr>
        <w:t>it is one that extends beyond the bounds of our organisation</w:t>
      </w:r>
      <w:proofErr w:type="gramEnd"/>
      <w:r w:rsidRPr="003F431F">
        <w:rPr>
          <w:color w:val="002060"/>
        </w:rPr>
        <w:t>. The agency also supports the wellbeing of veterans through our service delivery partnership with DVA.</w:t>
      </w:r>
    </w:p>
    <w:p w:rsidR="003F431F" w:rsidRPr="003F431F" w:rsidRDefault="003F431F" w:rsidP="003F431F">
      <w:pPr>
        <w:pStyle w:val="BodyText"/>
        <w:rPr>
          <w:color w:val="002060"/>
        </w:rPr>
      </w:pPr>
      <w:r w:rsidRPr="003F431F">
        <w:rPr>
          <w:color w:val="002060"/>
        </w:rPr>
        <w:t xml:space="preserve">Since 2018, we have </w:t>
      </w:r>
      <w:proofErr w:type="gramStart"/>
      <w:r w:rsidRPr="003F431F">
        <w:rPr>
          <w:color w:val="002060"/>
        </w:rPr>
        <w:t>partnered</w:t>
      </w:r>
      <w:proofErr w:type="gramEnd"/>
      <w:r w:rsidRPr="003F431F">
        <w:rPr>
          <w:color w:val="002060"/>
        </w:rPr>
        <w:t xml:space="preserve"> with DVA to help reform and improve services for veterans and their families. This partnership focuses on working together to transform DVA’s service delivery, to simplify services, and ensure veterans have access to effective health care.</w:t>
      </w:r>
    </w:p>
    <w:p w:rsidR="003F431F" w:rsidRPr="003F431F" w:rsidRDefault="003F431F" w:rsidP="003F431F">
      <w:pPr>
        <w:pStyle w:val="BodyText"/>
        <w:rPr>
          <w:color w:val="002060"/>
        </w:rPr>
      </w:pPr>
      <w:r w:rsidRPr="003F431F">
        <w:rPr>
          <w:color w:val="002060"/>
        </w:rPr>
        <w:t>In November 2020, we introduced our Process Direct solution to DVA, which provides staff with a better system for delivering veterans’ services. Because staff can now access streamlined information and processes, veterans and their families receive quicker outcomes and updates on their income support claims.</w:t>
      </w:r>
    </w:p>
    <w:p w:rsidR="00260042" w:rsidRPr="003F431F" w:rsidRDefault="003F431F" w:rsidP="003F431F">
      <w:pPr>
        <w:pStyle w:val="BodyText"/>
        <w:rPr>
          <w:color w:val="002060"/>
        </w:rPr>
      </w:pPr>
      <w:r w:rsidRPr="003F431F">
        <w:rPr>
          <w:color w:val="002060"/>
        </w:rPr>
        <w:t>The ongoing transformation work with DVA will continue to improve the experience veterans and their families have when interacting with government by delivering proactive, faster, easier-to-access and digitally-enabled services.</w:t>
      </w:r>
    </w:p>
    <w:p w:rsidR="00260042" w:rsidRDefault="00260042" w:rsidP="00C81689">
      <w:pPr>
        <w:pStyle w:val="Heading2"/>
      </w:pPr>
      <w:r>
        <w:t xml:space="preserve">2.8 Enhanced </w:t>
      </w:r>
      <w:proofErr w:type="spellStart"/>
      <w:r>
        <w:t>myGov</w:t>
      </w:r>
      <w:proofErr w:type="spellEnd"/>
      <w:r>
        <w:t xml:space="preserve"> </w:t>
      </w:r>
    </w:p>
    <w:p w:rsidR="00260042" w:rsidRDefault="00260042" w:rsidP="00260042">
      <w:pPr>
        <w:pStyle w:val="BodyText"/>
      </w:pPr>
      <w:proofErr w:type="spellStart"/>
      <w:proofErr w:type="gramStart"/>
      <w:r>
        <w:t>myGov</w:t>
      </w:r>
      <w:proofErr w:type="spellEnd"/>
      <w:proofErr w:type="gramEnd"/>
      <w:r>
        <w:t xml:space="preserve"> provides a single point of entry to select government services and a digital inbox.</w:t>
      </w:r>
    </w:p>
    <w:p w:rsidR="00260042" w:rsidRDefault="00260042" w:rsidP="00260042">
      <w:pPr>
        <w:pStyle w:val="BodyText"/>
      </w:pPr>
      <w:r>
        <w:t xml:space="preserve">In July 2020, in collaboration with the Digital Transformation Agency (DTA), Services Australia launched the enhanced </w:t>
      </w:r>
      <w:proofErr w:type="spellStart"/>
      <w:r>
        <w:t>myGov</w:t>
      </w:r>
      <w:proofErr w:type="spellEnd"/>
      <w:r>
        <w:t xml:space="preserve"> Beta, which trialled a new way to provide information and government services through a live Beta, accessible through the current </w:t>
      </w:r>
      <w:proofErr w:type="spellStart"/>
      <w:proofErr w:type="gramStart"/>
      <w:r>
        <w:t>myGov</w:t>
      </w:r>
      <w:proofErr w:type="spellEnd"/>
      <w:r>
        <w:t xml:space="preserve"> landing</w:t>
      </w:r>
      <w:proofErr w:type="gramEnd"/>
      <w:r>
        <w:t xml:space="preserve"> page.</w:t>
      </w:r>
    </w:p>
    <w:p w:rsidR="00260042" w:rsidRDefault="00260042" w:rsidP="00260042">
      <w:pPr>
        <w:pStyle w:val="BodyText"/>
      </w:pPr>
      <w:proofErr w:type="spellStart"/>
      <w:proofErr w:type="gramStart"/>
      <w:r>
        <w:t>myGov</w:t>
      </w:r>
      <w:proofErr w:type="spellEnd"/>
      <w:proofErr w:type="gramEnd"/>
      <w:r>
        <w:t xml:space="preserve"> Beta was designed to provide an integrated content site for government services, meaning customers can find information relevant to them without knowing how government is structured or what each department or agency is responsible for.</w:t>
      </w:r>
    </w:p>
    <w:p w:rsidR="00260042" w:rsidRDefault="00260042" w:rsidP="00260042">
      <w:pPr>
        <w:pStyle w:val="BodyText"/>
      </w:pPr>
      <w:proofErr w:type="spellStart"/>
      <w:proofErr w:type="gramStart"/>
      <w:r>
        <w:t>myGov</w:t>
      </w:r>
      <w:proofErr w:type="spellEnd"/>
      <w:proofErr w:type="gramEnd"/>
      <w:r>
        <w:t xml:space="preserve"> Beta is a search engine for government, giving customers the ability to search for information based on statements such as ‘I have lost my job’. The site provides relevant information based on the customer’s search. Once a customer decides what services they need, the site directs them to the claim process, without the need to go to another website. </w:t>
      </w:r>
    </w:p>
    <w:p w:rsidR="00260042" w:rsidRDefault="00260042" w:rsidP="00260042">
      <w:pPr>
        <w:pStyle w:val="BodyText"/>
      </w:pPr>
      <w:proofErr w:type="spellStart"/>
      <w:proofErr w:type="gramStart"/>
      <w:r>
        <w:t>myGov</w:t>
      </w:r>
      <w:proofErr w:type="spellEnd"/>
      <w:proofErr w:type="gramEnd"/>
      <w:r>
        <w:t xml:space="preserve"> Beta was tested on the ‘returning to work’ life event, with the site, if needed, directing customers to claim </w:t>
      </w:r>
      <w:proofErr w:type="spellStart"/>
      <w:r>
        <w:t>JobSeeker</w:t>
      </w:r>
      <w:proofErr w:type="spellEnd"/>
      <w:r>
        <w:t xml:space="preserve"> Payment.</w:t>
      </w:r>
    </w:p>
    <w:p w:rsidR="00E018DC" w:rsidRDefault="00260042" w:rsidP="00260042">
      <w:pPr>
        <w:pStyle w:val="BodyText"/>
      </w:pPr>
      <w:r>
        <w:t xml:space="preserve">The Australian Government has announced a $200.1 million investment to overhaul </w:t>
      </w:r>
      <w:proofErr w:type="spellStart"/>
      <w:r>
        <w:t>myGov</w:t>
      </w:r>
      <w:proofErr w:type="spellEnd"/>
      <w:r>
        <w:t xml:space="preserve"> as part of the Digital Economy Strategy. This work will build on the </w:t>
      </w:r>
      <w:proofErr w:type="spellStart"/>
      <w:r>
        <w:t>myGov</w:t>
      </w:r>
      <w:proofErr w:type="spellEnd"/>
      <w:r>
        <w:t xml:space="preserve"> Beta site and will significantly improve customer experiences by offering a single front door to government that includes a wide range of whole-of-government capabilities.</w:t>
      </w:r>
    </w:p>
    <w:p w:rsidR="00260042" w:rsidRDefault="003F431F" w:rsidP="00BC1153">
      <w:pPr>
        <w:pStyle w:val="Heading1"/>
      </w:pPr>
      <w:r>
        <w:lastRenderedPageBreak/>
        <w:t xml:space="preserve">3 </w:t>
      </w:r>
      <w:r w:rsidR="00260042">
        <w:t>Support during the COVID-19 pandemic and managing emergencies</w:t>
      </w:r>
    </w:p>
    <w:p w:rsidR="00260042" w:rsidRDefault="00260042" w:rsidP="00C81689">
      <w:pPr>
        <w:pStyle w:val="Heading2"/>
      </w:pPr>
      <w:r>
        <w:t>3.1 Introduction</w:t>
      </w:r>
    </w:p>
    <w:p w:rsidR="00260042" w:rsidRDefault="00260042" w:rsidP="008474A9">
      <w:pPr>
        <w:pStyle w:val="BodyText"/>
      </w:pPr>
      <w:r>
        <w:t xml:space="preserve">In 2020–21, Services Australia was at the forefront in successfully delivering support to millions of Australians. The COVID-19 pandemic triggered an enormous surge in demand for government services. During the year, there was also unprecedented demand for assistance following bushfires, floods, storms and cyclones. </w:t>
      </w:r>
    </w:p>
    <w:p w:rsidR="00260042" w:rsidRDefault="00260042" w:rsidP="00260042">
      <w:pPr>
        <w:pStyle w:val="BodyText"/>
      </w:pPr>
      <w:r>
        <w:t xml:space="preserve">We delivered targeted COVID-19-specific support payments and grants to </w:t>
      </w:r>
      <w:proofErr w:type="gramStart"/>
      <w:r>
        <w:t>customers and businesses</w:t>
      </w:r>
      <w:proofErr w:type="gramEnd"/>
      <w:r>
        <w:t xml:space="preserve"> and a record number of grants for disaster recovery payments. This financial support also had a direct effect in stimulating Australia’s economy during difficult times.</w:t>
      </w:r>
    </w:p>
    <w:p w:rsidR="00260042" w:rsidRDefault="00260042" w:rsidP="00C81689">
      <w:pPr>
        <w:pStyle w:val="Heading2"/>
      </w:pPr>
      <w:r>
        <w:t>3.2 COVID-19 pandemic</w:t>
      </w:r>
    </w:p>
    <w:p w:rsidR="00260042" w:rsidRDefault="00260042" w:rsidP="00260042">
      <w:pPr>
        <w:pStyle w:val="BodyText"/>
      </w:pPr>
      <w:r>
        <w:t>During the initial response to the COVID-19 pandemic, the agency mobilised thousands of extra staff, increased ICT capability to meet the surge in demand, and worked closely with policy agencies to deliver support and services to people as quickly as possible.</w:t>
      </w:r>
    </w:p>
    <w:p w:rsidR="00260042" w:rsidRDefault="00260042" w:rsidP="002E64CE">
      <w:pPr>
        <w:pStyle w:val="Heading3"/>
      </w:pPr>
      <w:r>
        <w:t>Delivering financial relief</w:t>
      </w:r>
    </w:p>
    <w:p w:rsidR="00260042" w:rsidRDefault="00260042" w:rsidP="00260042">
      <w:pPr>
        <w:pStyle w:val="BodyText"/>
        <w:spacing w:after="57"/>
      </w:pPr>
      <w:r>
        <w:t>During 2020–21, the agency:</w:t>
      </w:r>
    </w:p>
    <w:p w:rsidR="00260042" w:rsidRDefault="00260042" w:rsidP="008930A3">
      <w:pPr>
        <w:pStyle w:val="ListBullet"/>
      </w:pPr>
      <w:r>
        <w:t>paid $21.0 billion in Economic Support and Coronavirus Supplement payments which supported eligible Australians, including:</w:t>
      </w:r>
    </w:p>
    <w:p w:rsidR="00260042" w:rsidRDefault="00260042" w:rsidP="005C30D7">
      <w:pPr>
        <w:pStyle w:val="ListBullet2"/>
      </w:pPr>
      <w:r>
        <w:t xml:space="preserve">over $14.9 billion in assistance through the temporary Coronavirus Supplement (see </w:t>
      </w:r>
      <w:proofErr w:type="spellStart"/>
      <w:r>
        <w:rPr>
          <w:rStyle w:val="Italic"/>
        </w:rPr>
        <w:t>JobSeeker</w:t>
      </w:r>
      <w:proofErr w:type="spellEnd"/>
      <w:r>
        <w:rPr>
          <w:rStyle w:val="Italic"/>
        </w:rPr>
        <w:t xml:space="preserve"> Payment </w:t>
      </w:r>
      <w:r>
        <w:t>on page 41)</w:t>
      </w:r>
    </w:p>
    <w:p w:rsidR="00260042" w:rsidRDefault="00260042" w:rsidP="005C30D7">
      <w:pPr>
        <w:pStyle w:val="ListBullet2"/>
      </w:pPr>
      <w:r>
        <w:t xml:space="preserve">$6.1 billion in Economic Support Payments – the first and second rounds paid at the rate of $750 per eligible customer and the third and final rounds paid at the rate of $250 per eligible customer </w:t>
      </w:r>
    </w:p>
    <w:p w:rsidR="00260042" w:rsidRDefault="00260042" w:rsidP="008930A3">
      <w:pPr>
        <w:pStyle w:val="ListBullet"/>
      </w:pPr>
      <w:r>
        <w:t xml:space="preserve">paid $127.5 million through the Consumer Travel Support Program (see </w:t>
      </w:r>
      <w:r>
        <w:rPr>
          <w:rStyle w:val="Italic"/>
        </w:rPr>
        <w:t>COVID-19 Consumer Travel Support Program</w:t>
      </w:r>
      <w:r>
        <w:t xml:space="preserve"> on page </w:t>
      </w:r>
      <w:r w:rsidR="00FB6F08">
        <w:t>29</w:t>
      </w:r>
      <w:r>
        <w:t>)</w:t>
      </w:r>
    </w:p>
    <w:p w:rsidR="00260042" w:rsidRDefault="00260042" w:rsidP="008930A3">
      <w:pPr>
        <w:pStyle w:val="ListBullet"/>
      </w:pPr>
      <w:r>
        <w:t xml:space="preserve">paid over $30.6 million in Pandemic Leave Disaster Payments to over 20,000 people (see </w:t>
      </w:r>
      <w:r>
        <w:rPr>
          <w:rStyle w:val="Italic"/>
        </w:rPr>
        <w:t>Pandemic Leave Disaster Payment</w:t>
      </w:r>
      <w:r>
        <w:t xml:space="preserve"> on page </w:t>
      </w:r>
      <w:r w:rsidR="00FB6F08">
        <w:t>29</w:t>
      </w:r>
    </w:p>
    <w:p w:rsidR="00260042" w:rsidRDefault="00260042" w:rsidP="008930A3">
      <w:pPr>
        <w:pStyle w:val="ListBullet"/>
      </w:pPr>
      <w:r>
        <w:t xml:space="preserve">finalised nearly 900,000 combined </w:t>
      </w:r>
      <w:proofErr w:type="spellStart"/>
      <w:r>
        <w:t>JobSeeker</w:t>
      </w:r>
      <w:proofErr w:type="spellEnd"/>
      <w:r>
        <w:t xml:space="preserve"> claims </w:t>
      </w:r>
    </w:p>
    <w:p w:rsidR="00260042" w:rsidRDefault="00260042" w:rsidP="00EA5510">
      <w:pPr>
        <w:pStyle w:val="ListBullet"/>
      </w:pPr>
      <w:proofErr w:type="gramStart"/>
      <w:r>
        <w:t>added</w:t>
      </w:r>
      <w:proofErr w:type="gramEnd"/>
      <w:r>
        <w:t xml:space="preserve"> more than 300 items to the Medicare Benefit Schedule and paid over $3.2 billion for these items (see </w:t>
      </w:r>
      <w:r>
        <w:rPr>
          <w:rStyle w:val="Italic"/>
        </w:rPr>
        <w:t xml:space="preserve">Access to Medicare benefits </w:t>
      </w:r>
      <w:r>
        <w:t xml:space="preserve">on page 46). </w:t>
      </w:r>
    </w:p>
    <w:p w:rsidR="005C30D7" w:rsidRPr="005C30D7" w:rsidRDefault="005C30D7" w:rsidP="002E64CE">
      <w:pPr>
        <w:pStyle w:val="Heading3"/>
      </w:pPr>
      <w:r w:rsidRPr="005C30D7">
        <w:t>COVID-19 lockdown payments delivered quickly</w:t>
      </w:r>
    </w:p>
    <w:p w:rsidR="005C30D7" w:rsidRPr="005C30D7" w:rsidRDefault="005C30D7" w:rsidP="005C30D7">
      <w:pPr>
        <w:pStyle w:val="BodyText"/>
        <w:rPr>
          <w:color w:val="002060"/>
        </w:rPr>
      </w:pPr>
      <w:r w:rsidRPr="005C30D7">
        <w:rPr>
          <w:color w:val="002060"/>
        </w:rPr>
        <w:t xml:space="preserve">On 3 June 2021, a week into lockdown in Victoria, the Prime Minister announced the new COVID-19 Disaster Payment for workers who had lost hours and income because they could not go to work. </w:t>
      </w:r>
    </w:p>
    <w:p w:rsidR="005C30D7" w:rsidRPr="005C30D7" w:rsidRDefault="005C30D7" w:rsidP="005C30D7">
      <w:pPr>
        <w:pStyle w:val="BodyText"/>
        <w:rPr>
          <w:color w:val="002060"/>
        </w:rPr>
      </w:pPr>
      <w:proofErr w:type="gramStart"/>
      <w:r w:rsidRPr="005C30D7">
        <w:rPr>
          <w:color w:val="002060"/>
        </w:rPr>
        <w:lastRenderedPageBreak/>
        <w:t>Within days, the agency had set up the new payment and was ready for people to start lodging a claim.</w:t>
      </w:r>
      <w:proofErr w:type="gramEnd"/>
      <w:r w:rsidRPr="005C30D7">
        <w:rPr>
          <w:color w:val="002060"/>
        </w:rPr>
        <w:t xml:space="preserve"> Additional staff </w:t>
      </w:r>
      <w:proofErr w:type="gramStart"/>
      <w:r w:rsidRPr="005C30D7">
        <w:rPr>
          <w:color w:val="002060"/>
        </w:rPr>
        <w:t>were deployed</w:t>
      </w:r>
      <w:proofErr w:type="gramEnd"/>
      <w:r w:rsidRPr="005C30D7">
        <w:rPr>
          <w:color w:val="002060"/>
        </w:rPr>
        <w:t xml:space="preserve"> to process claims and take calls and in most cases, customers were paid within one business day of the claim being granted.</w:t>
      </w:r>
    </w:p>
    <w:p w:rsidR="005C30D7" w:rsidRPr="005C30D7" w:rsidRDefault="005C30D7" w:rsidP="005C30D7">
      <w:pPr>
        <w:pStyle w:val="BodyText"/>
        <w:rPr>
          <w:color w:val="002060"/>
        </w:rPr>
      </w:pPr>
      <w:r w:rsidRPr="005C30D7">
        <w:rPr>
          <w:color w:val="002060"/>
        </w:rPr>
        <w:t>Within 3 weeks of introducing the payment, the agency delivered over $26.5 million in COVID-19 Disaster Payments to 57,000 impacted workers.</w:t>
      </w:r>
    </w:p>
    <w:p w:rsidR="00260042" w:rsidRPr="005C30D7" w:rsidRDefault="005C30D7" w:rsidP="005C30D7">
      <w:pPr>
        <w:pStyle w:val="BodyText"/>
        <w:rPr>
          <w:color w:val="002060"/>
        </w:rPr>
      </w:pPr>
      <w:r w:rsidRPr="005C30D7">
        <w:rPr>
          <w:color w:val="002060"/>
        </w:rPr>
        <w:t>This rapid assistance helped many Victorian people in their fourth lockdown and the payments remain a key part of the Government’s assistance for Australian workers affected by COVID-19 restrictions.</w:t>
      </w:r>
    </w:p>
    <w:p w:rsidR="00260042" w:rsidRDefault="00260042" w:rsidP="00C81689">
      <w:pPr>
        <w:pStyle w:val="Heading2"/>
      </w:pPr>
      <w:r>
        <w:t>Supporting the COVID-19 vaccination rollout</w:t>
      </w:r>
    </w:p>
    <w:p w:rsidR="00260042" w:rsidRDefault="00260042" w:rsidP="00260042">
      <w:pPr>
        <w:pStyle w:val="BodyText"/>
      </w:pPr>
      <w:r>
        <w:t xml:space="preserve">Services Australia’s Medicare systems and the Australian Immunisation Register (AIR) underpin the COVID 19 vaccine rollout to millions of Australians. During the year, the agency played a critical role in ensuring that health care providers could record COVID-19 vaccinations on the AIR, and that individuals can access their proof of vaccination at a time and in a </w:t>
      </w:r>
      <w:proofErr w:type="gramStart"/>
      <w:r>
        <w:t>format</w:t>
      </w:r>
      <w:proofErr w:type="gramEnd"/>
      <w:r>
        <w:t xml:space="preserve"> that suits them. </w:t>
      </w:r>
    </w:p>
    <w:p w:rsidR="00260042" w:rsidRDefault="00260042" w:rsidP="00260042">
      <w:pPr>
        <w:pStyle w:val="BodyText"/>
        <w:spacing w:after="57"/>
      </w:pPr>
      <w:r>
        <w:t>In preparation for the COVID-19 vaccine rollout, Services Australia enhanced the AIR, including:</w:t>
      </w:r>
    </w:p>
    <w:p w:rsidR="00260042" w:rsidRDefault="00260042" w:rsidP="008930A3">
      <w:pPr>
        <w:pStyle w:val="ListBullet"/>
      </w:pPr>
      <w:r>
        <w:t>providing the ability to capture COVID-19 vaccines given</w:t>
      </w:r>
    </w:p>
    <w:p w:rsidR="00260042" w:rsidRDefault="00260042" w:rsidP="008930A3">
      <w:pPr>
        <w:pStyle w:val="ListBullet"/>
      </w:pPr>
      <w:r>
        <w:t xml:space="preserve">increasing system capacity so more providers can record vaccinations they have given and more customers can access their information on the register </w:t>
      </w:r>
    </w:p>
    <w:p w:rsidR="00260042" w:rsidRDefault="00260042" w:rsidP="008930A3">
      <w:pPr>
        <w:pStyle w:val="ListBullet"/>
      </w:pPr>
      <w:r>
        <w:t>updating immunisation history statements to show all COVID-19 vaccine doses and emphasise COVID-19 vaccination status</w:t>
      </w:r>
    </w:p>
    <w:p w:rsidR="00260042" w:rsidRDefault="00260042" w:rsidP="008930A3">
      <w:pPr>
        <w:pStyle w:val="ListBullet"/>
      </w:pPr>
      <w:r>
        <w:t xml:space="preserve">introducing a COVID-19 digital certificate which makes it simple and easy for people to show their COVID-19 vaccination status </w:t>
      </w:r>
    </w:p>
    <w:p w:rsidR="00260042" w:rsidRDefault="00260042" w:rsidP="00EA5510">
      <w:pPr>
        <w:pStyle w:val="ListBullet"/>
      </w:pPr>
      <w:proofErr w:type="gramStart"/>
      <w:r>
        <w:t>streamlining</w:t>
      </w:r>
      <w:proofErr w:type="gramEnd"/>
      <w:r>
        <w:t xml:space="preserve"> the application process for non-Medicare eligible individuals to apply for an Individual Healthcare Identifier (see </w:t>
      </w:r>
      <w:r>
        <w:rPr>
          <w:rStyle w:val="Italic"/>
        </w:rPr>
        <w:t>Supporting people not eligible for Medicare who access proof of COVID-19 vaccination</w:t>
      </w:r>
      <w:r>
        <w:t xml:space="preserve"> on page 60). </w:t>
      </w:r>
    </w:p>
    <w:p w:rsidR="005C30D7" w:rsidRPr="005C30D7" w:rsidRDefault="005C30D7" w:rsidP="002E64CE">
      <w:pPr>
        <w:pStyle w:val="Heading3"/>
      </w:pPr>
      <w:r w:rsidRPr="005C30D7">
        <w:t>Vaccination rollout</w:t>
      </w:r>
    </w:p>
    <w:p w:rsidR="005C30D7" w:rsidRPr="005C30D7" w:rsidRDefault="005C30D7" w:rsidP="005C30D7">
      <w:pPr>
        <w:pStyle w:val="BodyText"/>
        <w:rPr>
          <w:color w:val="002060"/>
        </w:rPr>
      </w:pPr>
      <w:r w:rsidRPr="005C30D7">
        <w:rPr>
          <w:color w:val="002060"/>
        </w:rPr>
        <w:t xml:space="preserve">As COVID-19 vaccinations began across Australia, the agency’s Medicare systems and AIR have been integral in maintaining records of the vaccination rollout. </w:t>
      </w:r>
    </w:p>
    <w:p w:rsidR="005C30D7" w:rsidRPr="005C30D7" w:rsidRDefault="005C30D7" w:rsidP="005C30D7">
      <w:pPr>
        <w:pStyle w:val="BodyText"/>
        <w:rPr>
          <w:color w:val="002060"/>
        </w:rPr>
      </w:pPr>
      <w:r w:rsidRPr="005C30D7">
        <w:rPr>
          <w:color w:val="002060"/>
        </w:rPr>
        <w:t xml:space="preserve">The AIR is a national register that records all vaccines given to people in Australia, and supports the Australian Government’s management of vaccination details and rates across the country. </w:t>
      </w:r>
    </w:p>
    <w:p w:rsidR="005C30D7" w:rsidRPr="005C30D7" w:rsidRDefault="005C30D7" w:rsidP="005C30D7">
      <w:pPr>
        <w:pStyle w:val="BodyText"/>
        <w:rPr>
          <w:color w:val="002060"/>
        </w:rPr>
      </w:pPr>
      <w:r w:rsidRPr="005C30D7">
        <w:rPr>
          <w:color w:val="002060"/>
        </w:rPr>
        <w:t xml:space="preserve">Using </w:t>
      </w:r>
      <w:proofErr w:type="spellStart"/>
      <w:r w:rsidRPr="005C30D7">
        <w:rPr>
          <w:color w:val="002060"/>
        </w:rPr>
        <w:t>myGov</w:t>
      </w:r>
      <w:proofErr w:type="spellEnd"/>
      <w:r w:rsidRPr="005C30D7">
        <w:rPr>
          <w:color w:val="002060"/>
        </w:rPr>
        <w:t xml:space="preserve"> or the Express </w:t>
      </w:r>
      <w:proofErr w:type="gramStart"/>
      <w:r w:rsidRPr="005C30D7">
        <w:rPr>
          <w:color w:val="002060"/>
        </w:rPr>
        <w:t>Plus</w:t>
      </w:r>
      <w:proofErr w:type="gramEnd"/>
      <w:r w:rsidRPr="005C30D7">
        <w:rPr>
          <w:color w:val="002060"/>
        </w:rPr>
        <w:t xml:space="preserve"> Medicare mobile app, people can get a history of all their vaccinations, and also a digital COVID-19 vaccine ‘certificate’. </w:t>
      </w:r>
    </w:p>
    <w:p w:rsidR="005C30D7" w:rsidRPr="005C30D7" w:rsidRDefault="005C30D7" w:rsidP="005C30D7">
      <w:pPr>
        <w:pStyle w:val="BodyText"/>
        <w:rPr>
          <w:color w:val="002060"/>
        </w:rPr>
      </w:pPr>
      <w:r w:rsidRPr="005C30D7">
        <w:rPr>
          <w:color w:val="002060"/>
        </w:rPr>
        <w:t xml:space="preserve">Certificates </w:t>
      </w:r>
      <w:proofErr w:type="gramStart"/>
      <w:r w:rsidRPr="005C30D7">
        <w:rPr>
          <w:color w:val="002060"/>
        </w:rPr>
        <w:t>can only be accessed</w:t>
      </w:r>
      <w:proofErr w:type="gramEnd"/>
      <w:r w:rsidRPr="005C30D7">
        <w:rPr>
          <w:color w:val="002060"/>
        </w:rPr>
        <w:t xml:space="preserve"> once people are fully vaccinated. They </w:t>
      </w:r>
      <w:proofErr w:type="gramStart"/>
      <w:r w:rsidRPr="005C30D7">
        <w:rPr>
          <w:color w:val="002060"/>
        </w:rPr>
        <w:t>can be transferred</w:t>
      </w:r>
      <w:proofErr w:type="gramEnd"/>
      <w:r w:rsidRPr="005C30D7">
        <w:rPr>
          <w:color w:val="002060"/>
        </w:rPr>
        <w:t xml:space="preserve"> to an Apple or Google wallet.</w:t>
      </w:r>
    </w:p>
    <w:p w:rsidR="00260042" w:rsidRPr="005C30D7" w:rsidRDefault="005C30D7" w:rsidP="005C30D7">
      <w:pPr>
        <w:pStyle w:val="BodyText"/>
        <w:rPr>
          <w:color w:val="002060"/>
        </w:rPr>
      </w:pPr>
      <w:r w:rsidRPr="005C30D7">
        <w:rPr>
          <w:color w:val="002060"/>
        </w:rPr>
        <w:t>This easy access to proof of vaccination is likely to be crucial when the time comes for lockdowns and restrictions to ease and people want to begin returning to their normal lives.</w:t>
      </w:r>
    </w:p>
    <w:p w:rsidR="00260042" w:rsidRPr="002E64CE" w:rsidRDefault="00260042" w:rsidP="002E64CE">
      <w:pPr>
        <w:pStyle w:val="Heading3"/>
      </w:pPr>
      <w:r w:rsidRPr="002E64CE">
        <w:lastRenderedPageBreak/>
        <w:t>Supporting vaccination hubs</w:t>
      </w:r>
    </w:p>
    <w:p w:rsidR="00260042" w:rsidRDefault="00260042" w:rsidP="00260042">
      <w:pPr>
        <w:pStyle w:val="BodyText"/>
      </w:pPr>
      <w:r>
        <w:t xml:space="preserve">Services Australia consulted with state and territory health agencies and made staff available to provide on-the-ground support to both customers and health providers at vaccination hubs. </w:t>
      </w:r>
    </w:p>
    <w:p w:rsidR="00260042" w:rsidRDefault="00260042" w:rsidP="00260042">
      <w:pPr>
        <w:pStyle w:val="BodyText"/>
      </w:pPr>
      <w:r>
        <w:t xml:space="preserve">In 2020–21, Services Australia trained 216 staff to provide hub support and 51 staff were mobilised to support 12 hubs across Australia. </w:t>
      </w:r>
    </w:p>
    <w:p w:rsidR="005C30D7" w:rsidRPr="002E64CE" w:rsidRDefault="005C30D7" w:rsidP="002E64CE">
      <w:pPr>
        <w:pStyle w:val="Heading3"/>
      </w:pPr>
      <w:r w:rsidRPr="002E64CE">
        <w:t>Extending services to vaccination hubs</w:t>
      </w:r>
    </w:p>
    <w:p w:rsidR="005C30D7" w:rsidRPr="005C30D7" w:rsidRDefault="005C30D7" w:rsidP="005C30D7">
      <w:pPr>
        <w:pStyle w:val="BodyText"/>
        <w:rPr>
          <w:color w:val="002060"/>
        </w:rPr>
      </w:pPr>
      <w:r w:rsidRPr="005C30D7">
        <w:rPr>
          <w:color w:val="002060"/>
        </w:rPr>
        <w:t xml:space="preserve">When the COVID-19 vaccine rollout began, Services Australia designed a new vaccination hub outreach </w:t>
      </w:r>
      <w:proofErr w:type="gramStart"/>
      <w:r w:rsidRPr="005C30D7">
        <w:rPr>
          <w:color w:val="002060"/>
        </w:rPr>
        <w:t>service which</w:t>
      </w:r>
      <w:proofErr w:type="gramEnd"/>
      <w:r w:rsidRPr="005C30D7">
        <w:rPr>
          <w:color w:val="002060"/>
        </w:rPr>
        <w:t xml:space="preserve"> was offered to state and territory jurisdictions to support customers and health providers with vaccination reporting from vaccination hubs. This extended service meant trained staff </w:t>
      </w:r>
      <w:proofErr w:type="gramStart"/>
      <w:r w:rsidRPr="005C30D7">
        <w:rPr>
          <w:color w:val="002060"/>
        </w:rPr>
        <w:t>were deployed</w:t>
      </w:r>
      <w:proofErr w:type="gramEnd"/>
      <w:r w:rsidRPr="005C30D7">
        <w:rPr>
          <w:color w:val="002060"/>
        </w:rPr>
        <w:t xml:space="preserve"> to provide onsite support to customers and health providers. </w:t>
      </w:r>
    </w:p>
    <w:p w:rsidR="005C30D7" w:rsidRPr="005C30D7" w:rsidRDefault="005C30D7" w:rsidP="005C30D7">
      <w:pPr>
        <w:pStyle w:val="BodyText"/>
        <w:rPr>
          <w:color w:val="002060"/>
        </w:rPr>
      </w:pPr>
      <w:r w:rsidRPr="005C30D7">
        <w:rPr>
          <w:color w:val="002060"/>
        </w:rPr>
        <w:t>Since March 2021, Services Australia staff have provided valuable assistance to customers across a range of services including:</w:t>
      </w:r>
    </w:p>
    <w:p w:rsidR="005C30D7" w:rsidRPr="005C30D7" w:rsidRDefault="005C30D7" w:rsidP="005C30D7">
      <w:pPr>
        <w:pStyle w:val="ListBullet"/>
        <w:rPr>
          <w:color w:val="002060"/>
        </w:rPr>
      </w:pPr>
      <w:r w:rsidRPr="005C30D7">
        <w:rPr>
          <w:color w:val="002060"/>
        </w:rPr>
        <w:t>assisting customers to update their Medicare records</w:t>
      </w:r>
    </w:p>
    <w:p w:rsidR="005C30D7" w:rsidRPr="005C30D7" w:rsidRDefault="005C30D7" w:rsidP="005C30D7">
      <w:pPr>
        <w:pStyle w:val="ListBullet"/>
        <w:rPr>
          <w:color w:val="002060"/>
        </w:rPr>
      </w:pPr>
      <w:r w:rsidRPr="005C30D7">
        <w:rPr>
          <w:color w:val="002060"/>
        </w:rPr>
        <w:t>directing individuals from culturally and linguistically diverse backgrounds to appropriate channels to access the agency’s multilingual translation and support services</w:t>
      </w:r>
    </w:p>
    <w:p w:rsidR="005C30D7" w:rsidRPr="005C30D7" w:rsidRDefault="005C30D7" w:rsidP="005C30D7">
      <w:pPr>
        <w:pStyle w:val="ListBullet"/>
        <w:rPr>
          <w:color w:val="002060"/>
        </w:rPr>
      </w:pPr>
      <w:r w:rsidRPr="005C30D7">
        <w:rPr>
          <w:color w:val="002060"/>
        </w:rPr>
        <w:t>assisting non-Medicare eligible individuals to obtain an Individual Health Identifier</w:t>
      </w:r>
    </w:p>
    <w:p w:rsidR="005C30D7" w:rsidRPr="005C30D7" w:rsidRDefault="005C30D7" w:rsidP="005C30D7">
      <w:pPr>
        <w:pStyle w:val="ListBullet"/>
        <w:rPr>
          <w:color w:val="002060"/>
        </w:rPr>
      </w:pPr>
      <w:proofErr w:type="gramStart"/>
      <w:r w:rsidRPr="005C30D7">
        <w:rPr>
          <w:color w:val="002060"/>
        </w:rPr>
        <w:t>helping</w:t>
      </w:r>
      <w:proofErr w:type="gramEnd"/>
      <w:r w:rsidRPr="005C30D7">
        <w:rPr>
          <w:color w:val="002060"/>
        </w:rPr>
        <w:t xml:space="preserve"> customers use online services to obtain evidence of vaccination. </w:t>
      </w:r>
    </w:p>
    <w:p w:rsidR="005C30D7" w:rsidRPr="005C30D7" w:rsidRDefault="005C30D7" w:rsidP="005C30D7">
      <w:pPr>
        <w:pStyle w:val="BodyText"/>
        <w:rPr>
          <w:color w:val="002060"/>
        </w:rPr>
      </w:pPr>
      <w:r w:rsidRPr="005C30D7">
        <w:rPr>
          <w:color w:val="002060"/>
        </w:rPr>
        <w:t>Agency staff have also supported the vaccination providers to upload vaccination forms into the AIR.</w:t>
      </w:r>
    </w:p>
    <w:p w:rsidR="00260042" w:rsidRPr="005C30D7" w:rsidRDefault="005C30D7" w:rsidP="005C30D7">
      <w:pPr>
        <w:pStyle w:val="BodyText"/>
        <w:rPr>
          <w:color w:val="002060"/>
        </w:rPr>
      </w:pPr>
      <w:r w:rsidRPr="005C30D7">
        <w:rPr>
          <w:color w:val="002060"/>
        </w:rPr>
        <w:t>Services Australia has received positive feedback about the support provided by agency staff, and demand has steadily grown because of the value of this service.</w:t>
      </w:r>
    </w:p>
    <w:p w:rsidR="00260042" w:rsidRPr="002E64CE" w:rsidRDefault="00260042" w:rsidP="002E64CE">
      <w:pPr>
        <w:pStyle w:val="Heading3"/>
      </w:pPr>
      <w:r w:rsidRPr="002E64CE">
        <w:t>Extra help to support our customers</w:t>
      </w:r>
    </w:p>
    <w:p w:rsidR="00260042" w:rsidRDefault="00260042" w:rsidP="00260042">
      <w:pPr>
        <w:pStyle w:val="BodyText"/>
        <w:spacing w:after="57"/>
      </w:pPr>
      <w:r>
        <w:t>The agency provided additional help for customers through the COVID-19 pandemic, by:</w:t>
      </w:r>
    </w:p>
    <w:p w:rsidR="00260042" w:rsidRDefault="00260042" w:rsidP="008930A3">
      <w:pPr>
        <w:pStyle w:val="ListBullet"/>
      </w:pPr>
      <w:r>
        <w:t>making a number of changes to Medicare services, the Medicare Benefits Schedule (MBS) and the Pharmaceutical Benefits Scheme (PBS), for example:</w:t>
      </w:r>
    </w:p>
    <w:p w:rsidR="00260042" w:rsidRDefault="00260042" w:rsidP="005C30D7">
      <w:pPr>
        <w:pStyle w:val="ListBullet2"/>
      </w:pPr>
      <w:r>
        <w:t xml:space="preserve">extending temporary telehealth services to the MBS </w:t>
      </w:r>
    </w:p>
    <w:p w:rsidR="00260042" w:rsidRDefault="00260042" w:rsidP="005C30D7">
      <w:pPr>
        <w:pStyle w:val="ListBullet2"/>
      </w:pPr>
      <w:r>
        <w:t>giving people access to up to 10 additional mental health treatment sessions during the coronavirus response</w:t>
      </w:r>
    </w:p>
    <w:p w:rsidR="00260042" w:rsidRDefault="00260042" w:rsidP="005C30D7">
      <w:pPr>
        <w:pStyle w:val="ListBullet2"/>
      </w:pPr>
      <w:r>
        <w:t xml:space="preserve">extending access to MBS mental health and multidisciplinary care items </w:t>
      </w:r>
    </w:p>
    <w:p w:rsidR="00260042" w:rsidRDefault="00260042" w:rsidP="005C30D7">
      <w:pPr>
        <w:pStyle w:val="ListBullet2"/>
      </w:pPr>
      <w:r>
        <w:t>allowing digital lodgement of Medicare enrolments and supporting documents</w:t>
      </w:r>
    </w:p>
    <w:p w:rsidR="00260042" w:rsidRDefault="00260042" w:rsidP="005C30D7">
      <w:pPr>
        <w:pStyle w:val="ListBullet2"/>
      </w:pPr>
      <w:r>
        <w:t>allowing some exemptions to specific requirements relating to authority required PBS listings</w:t>
      </w:r>
    </w:p>
    <w:p w:rsidR="00260042" w:rsidRDefault="00260042" w:rsidP="005C30D7">
      <w:pPr>
        <w:pStyle w:val="ListBullet2"/>
      </w:pPr>
      <w:r>
        <w:t>implementing Continued Dispensing for Emergency Measures to ensure patients who cannot get a prescription have immediate access to eligible medicines</w:t>
      </w:r>
    </w:p>
    <w:p w:rsidR="00260042" w:rsidRDefault="00260042" w:rsidP="008930A3">
      <w:pPr>
        <w:pStyle w:val="ListBullet"/>
      </w:pPr>
      <w:r>
        <w:t xml:space="preserve">adding a new emergency leave provision for older Australians in residential care, along with payment system updates to support changes to Extended Hospital Leave legislation (see </w:t>
      </w:r>
      <w:r>
        <w:rPr>
          <w:rStyle w:val="Italic"/>
        </w:rPr>
        <w:t>Aged care programs</w:t>
      </w:r>
      <w:r>
        <w:t xml:space="preserve"> on page 52)</w:t>
      </w:r>
    </w:p>
    <w:p w:rsidR="00260042" w:rsidRDefault="00260042" w:rsidP="008930A3">
      <w:pPr>
        <w:pStyle w:val="ListBullet"/>
      </w:pPr>
      <w:r>
        <w:lastRenderedPageBreak/>
        <w:t xml:space="preserve">offering extra support and information for people experiencing family and domestic violence (see </w:t>
      </w:r>
      <w:r>
        <w:rPr>
          <w:rStyle w:val="Italic"/>
        </w:rPr>
        <w:t>Protecting victims of domestic violence</w:t>
      </w:r>
      <w:r>
        <w:t xml:space="preserve"> on page 67)</w:t>
      </w:r>
    </w:p>
    <w:p w:rsidR="00260042" w:rsidRDefault="00260042" w:rsidP="008930A3">
      <w:pPr>
        <w:pStyle w:val="ListBullet"/>
      </w:pPr>
      <w:r>
        <w:t xml:space="preserve">temporarily changing our identity verification arrangements from requiring facial identity checks at a service centre to checks using voice biometrics and the Express Plus Centrelink mobile app (see </w:t>
      </w:r>
      <w:r>
        <w:rPr>
          <w:rStyle w:val="Italic"/>
        </w:rPr>
        <w:t>Identity management</w:t>
      </w:r>
      <w:r>
        <w:t xml:space="preserve"> on page 151)</w:t>
      </w:r>
    </w:p>
    <w:p w:rsidR="00260042" w:rsidRDefault="00260042" w:rsidP="008930A3">
      <w:pPr>
        <w:pStyle w:val="ListBullet"/>
      </w:pPr>
      <w:r>
        <w:t xml:space="preserve">putting a range of compliance activities on hold, which included pausing debt collection (see </w:t>
      </w:r>
      <w:r>
        <w:rPr>
          <w:rStyle w:val="Italic"/>
        </w:rPr>
        <w:t>Compliance Program</w:t>
      </w:r>
      <w:r>
        <w:t xml:space="preserve"> on page 153 and </w:t>
      </w:r>
      <w:r>
        <w:rPr>
          <w:rStyle w:val="Italic"/>
        </w:rPr>
        <w:t>Debt management</w:t>
      </w:r>
      <w:r>
        <w:t xml:space="preserve"> on page 154)</w:t>
      </w:r>
    </w:p>
    <w:p w:rsidR="00260042" w:rsidRDefault="00260042" w:rsidP="008930A3">
      <w:pPr>
        <w:pStyle w:val="ListBullet"/>
      </w:pPr>
      <w:r>
        <w:t xml:space="preserve">introducing measures to ensure the safety and wellbeing of our staff (see </w:t>
      </w:r>
      <w:r>
        <w:rPr>
          <w:rStyle w:val="Italic"/>
        </w:rPr>
        <w:t>COVID-19 pandemic responses within Services Australia</w:t>
      </w:r>
      <w:r>
        <w:t xml:space="preserve"> on page 171)</w:t>
      </w:r>
    </w:p>
    <w:p w:rsidR="00260042" w:rsidRDefault="00260042" w:rsidP="00EA5510">
      <w:pPr>
        <w:pStyle w:val="ListBullet"/>
      </w:pPr>
      <w:proofErr w:type="gramStart"/>
      <w:r>
        <w:t>supporting</w:t>
      </w:r>
      <w:proofErr w:type="gramEnd"/>
      <w:r>
        <w:t xml:space="preserve"> people in culturally and linguistically diverse (CALD) communities, which included providing translated information about COVID-19 vaccinations and COVID-related government payments and services. For more information, see </w:t>
      </w:r>
      <w:r>
        <w:rPr>
          <w:rStyle w:val="Italic"/>
        </w:rPr>
        <w:t>Multicultural Service Officers</w:t>
      </w:r>
      <w:r>
        <w:t xml:space="preserve"> on page 72 and </w:t>
      </w:r>
      <w:proofErr w:type="gramStart"/>
      <w:r>
        <w:rPr>
          <w:rStyle w:val="Italic"/>
        </w:rPr>
        <w:t>Giving</w:t>
      </w:r>
      <w:proofErr w:type="gramEnd"/>
      <w:r>
        <w:rPr>
          <w:rStyle w:val="Italic"/>
        </w:rPr>
        <w:t xml:space="preserve"> people support in their own language</w:t>
      </w:r>
      <w:r>
        <w:t xml:space="preserve"> on page 73.</w:t>
      </w:r>
    </w:p>
    <w:p w:rsidR="00260042" w:rsidRDefault="00260042" w:rsidP="002E64CE">
      <w:pPr>
        <w:pStyle w:val="Heading3"/>
      </w:pPr>
      <w:r>
        <w:t>Pandemic Leave Disaster Payment and COVID-19 Disaster Payment</w:t>
      </w:r>
    </w:p>
    <w:p w:rsidR="00260042" w:rsidRDefault="00260042" w:rsidP="00260042">
      <w:pPr>
        <w:pStyle w:val="BodyText"/>
      </w:pPr>
      <w:r>
        <w:t xml:space="preserve">As part of Services Australia’s response to the COVID-19 pandemic, the agency commenced paying COVID-19 Disaster Payment (CDP) in June 2021 and Pandemic Leave Disaster Payment (PLDP) grants in August 2020. </w:t>
      </w:r>
    </w:p>
    <w:p w:rsidR="00260042" w:rsidRDefault="00260042" w:rsidP="005C30D7">
      <w:pPr>
        <w:pStyle w:val="Heading4"/>
        <w:rPr>
          <w:rStyle w:val="Bold"/>
        </w:rPr>
      </w:pPr>
      <w:r>
        <w:rPr>
          <w:rStyle w:val="Bold"/>
        </w:rPr>
        <w:t>COVID-19 Disaster Payment</w:t>
      </w:r>
    </w:p>
    <w:p w:rsidR="00260042" w:rsidRDefault="00260042" w:rsidP="00260042">
      <w:pPr>
        <w:pStyle w:val="BodyText"/>
      </w:pPr>
      <w:r>
        <w:t xml:space="preserve">In June 2021, the COVID-19 Disaster Payment </w:t>
      </w:r>
      <w:proofErr w:type="gramStart"/>
      <w:r>
        <w:t>was activated</w:t>
      </w:r>
      <w:proofErr w:type="gramEnd"/>
      <w:r>
        <w:t xml:space="preserve"> to assist people who are unable to work due to state or territory public health orders for restricted movement/lockdown in a Commonwealth-declared COVID-19 hotspot. The agency commenced administering the payment, on behalf of the Department of Home Affairs, on 8 June 2021. The policy for the payment is now the responsibility of the National Recovery and Resilience Agency. </w:t>
      </w:r>
    </w:p>
    <w:p w:rsidR="00260042" w:rsidRDefault="00260042" w:rsidP="00260042">
      <w:pPr>
        <w:pStyle w:val="BodyText"/>
      </w:pPr>
      <w:r>
        <w:t xml:space="preserve">The payment is for Australian residents and eligible working visa holders in areas that </w:t>
      </w:r>
      <w:proofErr w:type="gramStart"/>
      <w:r>
        <w:t>are impacted</w:t>
      </w:r>
      <w:proofErr w:type="gramEnd"/>
      <w:r>
        <w:t xml:space="preserve"> by public health orders for restricted movement/lockdown. The payment provides a lump sum based on the number of work hours lost </w:t>
      </w:r>
      <w:proofErr w:type="gramStart"/>
      <w:r>
        <w:t>as a result</w:t>
      </w:r>
      <w:proofErr w:type="gramEnd"/>
      <w:r>
        <w:t xml:space="preserve"> of the restricted movement/lockdown. </w:t>
      </w:r>
    </w:p>
    <w:p w:rsidR="00260042" w:rsidRDefault="00260042" w:rsidP="00260042">
      <w:pPr>
        <w:pStyle w:val="BodyText"/>
        <w:keepLines/>
      </w:pPr>
      <w:r>
        <w:t xml:space="preserve">For each relevant period of lockdown, the payment rate is $450 for those who have lost less than 20 hours; and $750 for those who have lost 20 hours or more. The payment </w:t>
      </w:r>
      <w:proofErr w:type="gramStart"/>
      <w:r>
        <w:t>is made</w:t>
      </w:r>
      <w:proofErr w:type="gramEnd"/>
      <w:r>
        <w:t xml:space="preserve"> after each 7-day relevant period and is not taxable. </w:t>
      </w:r>
    </w:p>
    <w:p w:rsidR="00260042" w:rsidRDefault="00260042" w:rsidP="00260042">
      <w:pPr>
        <w:pStyle w:val="BodyText"/>
        <w:keepLines/>
      </w:pPr>
      <w:r>
        <w:t>At 30 June 2021, the agency has processed over 66,000 COVID-19 Disaster Payment claims and paid over 55,000 claims.</w:t>
      </w:r>
    </w:p>
    <w:p w:rsidR="00260042" w:rsidRDefault="00260042" w:rsidP="005C30D7">
      <w:pPr>
        <w:pStyle w:val="Heading4"/>
        <w:rPr>
          <w:rStyle w:val="Bold"/>
        </w:rPr>
      </w:pPr>
      <w:r>
        <w:rPr>
          <w:rStyle w:val="Bold"/>
        </w:rPr>
        <w:t>Pandemic Leave Disaster Payment</w:t>
      </w:r>
    </w:p>
    <w:p w:rsidR="00260042" w:rsidRDefault="00260042" w:rsidP="00260042">
      <w:pPr>
        <w:pStyle w:val="BodyText"/>
      </w:pPr>
      <w:r>
        <w:t>As part of Services Australia’s response to the COVID-19 pandemic, PLDP grants started in August 2020.</w:t>
      </w:r>
    </w:p>
    <w:p w:rsidR="00260042" w:rsidRDefault="00260042" w:rsidP="00260042">
      <w:pPr>
        <w:pStyle w:val="BodyText"/>
        <w:spacing w:after="57"/>
      </w:pPr>
      <w:r>
        <w:t xml:space="preserve">At 30 June 2021, the agency had: </w:t>
      </w:r>
    </w:p>
    <w:p w:rsidR="00260042" w:rsidRDefault="00260042" w:rsidP="008930A3">
      <w:pPr>
        <w:pStyle w:val="ListBullet"/>
      </w:pPr>
      <w:r>
        <w:t xml:space="preserve">processed over 23,000 claims </w:t>
      </w:r>
    </w:p>
    <w:p w:rsidR="00260042" w:rsidRDefault="00260042" w:rsidP="008930A3">
      <w:pPr>
        <w:pStyle w:val="ListBullet"/>
      </w:pPr>
      <w:r>
        <w:tab/>
        <w:t>paid over 20,000 claims</w:t>
      </w:r>
    </w:p>
    <w:p w:rsidR="00260042" w:rsidRDefault="00260042" w:rsidP="00EA5510">
      <w:pPr>
        <w:pStyle w:val="ListBullet"/>
      </w:pPr>
      <w:r>
        <w:tab/>
      </w:r>
      <w:proofErr w:type="gramStart"/>
      <w:r>
        <w:t>paid</w:t>
      </w:r>
      <w:proofErr w:type="gramEnd"/>
      <w:r>
        <w:t xml:space="preserve"> over $30.6 million. </w:t>
      </w:r>
    </w:p>
    <w:p w:rsidR="00260042" w:rsidRDefault="00260042" w:rsidP="002E64CE">
      <w:pPr>
        <w:pStyle w:val="Heading3"/>
      </w:pPr>
      <w:r>
        <w:lastRenderedPageBreak/>
        <w:t xml:space="preserve">COVID-19 Consumer Travel Support Program </w:t>
      </w:r>
    </w:p>
    <w:p w:rsidR="00260042" w:rsidRDefault="00260042" w:rsidP="00260042">
      <w:pPr>
        <w:pStyle w:val="BodyText"/>
      </w:pPr>
      <w:r>
        <w:t>Delivered on behalf of the Australian Trade and Investment Commission (</w:t>
      </w:r>
      <w:proofErr w:type="spellStart"/>
      <w:r>
        <w:t>AusTrade</w:t>
      </w:r>
      <w:proofErr w:type="spellEnd"/>
      <w:r>
        <w:t xml:space="preserve">), COVID-19 Consumer Travel Support Program Round One grants provided up to $100,000 to eligible travel agents and </w:t>
      </w:r>
      <w:proofErr w:type="gramStart"/>
      <w:r>
        <w:t>tour arrangement service providers</w:t>
      </w:r>
      <w:proofErr w:type="gramEnd"/>
      <w:r>
        <w:t xml:space="preserve"> to support them in dealing with the economic impact of the COVID-19 pandemic.</w:t>
      </w:r>
    </w:p>
    <w:p w:rsidR="00260042" w:rsidRDefault="00260042" w:rsidP="00260042">
      <w:pPr>
        <w:pStyle w:val="BodyText"/>
      </w:pPr>
      <w:r>
        <w:t xml:space="preserve">The COVID-19 Consumer Travel Support Program Round Two provided up to a further $100,000 to eligible travel agents and tour arrangement service providers who were eligible for, and received a payment, under Round </w:t>
      </w:r>
      <w:proofErr w:type="gramStart"/>
      <w:r>
        <w:t>One</w:t>
      </w:r>
      <w:proofErr w:type="gramEnd"/>
      <w:r>
        <w:t xml:space="preserve"> of the COVID-19 Consumer Travel Support Program.</w:t>
      </w:r>
    </w:p>
    <w:p w:rsidR="00260042" w:rsidRDefault="00260042" w:rsidP="00260042">
      <w:pPr>
        <w:pStyle w:val="BodyText"/>
        <w:spacing w:after="57"/>
      </w:pPr>
      <w:r>
        <w:t xml:space="preserve">At 30 June 2021, the agency had: </w:t>
      </w:r>
    </w:p>
    <w:p w:rsidR="00260042" w:rsidRDefault="00260042" w:rsidP="008930A3">
      <w:pPr>
        <w:pStyle w:val="ListBullet"/>
      </w:pPr>
      <w:r>
        <w:t>granted 3,725 claims and paid over $102.8 million in Round One</w:t>
      </w:r>
    </w:p>
    <w:p w:rsidR="00260042" w:rsidRDefault="00260042" w:rsidP="008930A3">
      <w:pPr>
        <w:pStyle w:val="ListBullet"/>
      </w:pPr>
      <w:proofErr w:type="gramStart"/>
      <w:r>
        <w:t>granted</w:t>
      </w:r>
      <w:proofErr w:type="gramEnd"/>
      <w:r>
        <w:t xml:space="preserve"> 1,185 claims and paid over $24.7 million in Round Two.</w:t>
      </w:r>
    </w:p>
    <w:p w:rsidR="00260042" w:rsidRDefault="00260042" w:rsidP="00C81689">
      <w:pPr>
        <w:pStyle w:val="Heading2"/>
      </w:pPr>
      <w:r>
        <w:t>3.3 Payments and support following emergency events</w:t>
      </w:r>
    </w:p>
    <w:p w:rsidR="00260042" w:rsidRDefault="00260042" w:rsidP="00260042">
      <w:pPr>
        <w:pStyle w:val="BodyText"/>
        <w:spacing w:after="57"/>
      </w:pPr>
      <w:r>
        <w:t>Services Australia administers the following disaster recovery and rapid response payments on behalf of the Department of Home Affairs:</w:t>
      </w:r>
    </w:p>
    <w:p w:rsidR="00260042" w:rsidRDefault="00260042" w:rsidP="008930A3">
      <w:pPr>
        <w:pStyle w:val="ListBullet"/>
      </w:pPr>
      <w:r>
        <w:t xml:space="preserve">Australian Government Disaster Recovery Payment (AGDRP) </w:t>
      </w:r>
    </w:p>
    <w:p w:rsidR="00260042" w:rsidRDefault="00260042" w:rsidP="008930A3">
      <w:pPr>
        <w:pStyle w:val="ListBullet"/>
      </w:pPr>
      <w:r>
        <w:t xml:space="preserve">Disaster Recovery Allowance (DRA) </w:t>
      </w:r>
    </w:p>
    <w:p w:rsidR="00260042" w:rsidRDefault="00260042" w:rsidP="008930A3">
      <w:pPr>
        <w:pStyle w:val="ListBullet"/>
      </w:pPr>
      <w:r>
        <w:t xml:space="preserve">ex gratia payments equivalent to AGDRP or DRA to New Zealand residents </w:t>
      </w:r>
    </w:p>
    <w:p w:rsidR="00260042" w:rsidRDefault="00260042" w:rsidP="008930A3">
      <w:pPr>
        <w:pStyle w:val="ListBullet"/>
      </w:pPr>
      <w:r>
        <w:t xml:space="preserve">Additional Payment for Children (specific to 2019–20 bushfires only) </w:t>
      </w:r>
    </w:p>
    <w:p w:rsidR="00260042" w:rsidRDefault="00260042" w:rsidP="008930A3">
      <w:pPr>
        <w:pStyle w:val="ListBullet"/>
      </w:pPr>
      <w:r>
        <w:t xml:space="preserve">Australian Victim of Terrorism Overseas Payment </w:t>
      </w:r>
    </w:p>
    <w:p w:rsidR="00260042" w:rsidRDefault="00260042" w:rsidP="008930A3">
      <w:pPr>
        <w:pStyle w:val="ListBullet"/>
      </w:pPr>
      <w:r>
        <w:t>Pandemic Leave Disaster Payment (PLDP)</w:t>
      </w:r>
    </w:p>
    <w:p w:rsidR="00260042" w:rsidRDefault="00260042" w:rsidP="00EA5510">
      <w:pPr>
        <w:pStyle w:val="ListBullet"/>
      </w:pPr>
      <w:r>
        <w:t xml:space="preserve">COVID-19 Disaster Payment. </w:t>
      </w:r>
    </w:p>
    <w:p w:rsidR="00260042" w:rsidRDefault="00260042" w:rsidP="00260042">
      <w:pPr>
        <w:pStyle w:val="BodyText"/>
      </w:pPr>
      <w:r>
        <w:t>The agency also administers the MH17 Family Support Package on behalf of the Department of Foreign Affairs and Trade.</w:t>
      </w:r>
    </w:p>
    <w:p w:rsidR="00260042" w:rsidRDefault="00260042" w:rsidP="00260042">
      <w:pPr>
        <w:pStyle w:val="BodyText"/>
        <w:spacing w:after="57"/>
      </w:pPr>
      <w:r>
        <w:t xml:space="preserve">Disaster recovery payments and other forms of assistance </w:t>
      </w:r>
      <w:proofErr w:type="gramStart"/>
      <w:r>
        <w:t>are provided</w:t>
      </w:r>
      <w:proofErr w:type="gramEnd"/>
      <w:r>
        <w:t xml:space="preserve"> to support customers during emergencies. Other services that the agency can provide during an emergency include:</w:t>
      </w:r>
    </w:p>
    <w:p w:rsidR="00260042" w:rsidRDefault="00260042" w:rsidP="008930A3">
      <w:pPr>
        <w:pStyle w:val="ListBullet"/>
      </w:pPr>
      <w:r>
        <w:t>assisting individuals to test their eligibility for an income support payment or service</w:t>
      </w:r>
    </w:p>
    <w:p w:rsidR="00260042" w:rsidRDefault="00260042" w:rsidP="008930A3">
      <w:pPr>
        <w:pStyle w:val="ListBullet"/>
      </w:pPr>
      <w:r>
        <w:t xml:space="preserve">assessing and paying Medicare benefits </w:t>
      </w:r>
    </w:p>
    <w:p w:rsidR="00260042" w:rsidRDefault="00260042" w:rsidP="008930A3">
      <w:pPr>
        <w:pStyle w:val="ListBullet"/>
      </w:pPr>
      <w:r>
        <w:t xml:space="preserve">supporting Medicare providers </w:t>
      </w:r>
    </w:p>
    <w:p w:rsidR="00260042" w:rsidRDefault="00260042" w:rsidP="008930A3">
      <w:pPr>
        <w:pStyle w:val="ListBullet"/>
      </w:pPr>
      <w:r>
        <w:t xml:space="preserve">tailoring collection and assessment services to affected child support customers </w:t>
      </w:r>
    </w:p>
    <w:p w:rsidR="00260042" w:rsidRDefault="00260042" w:rsidP="008930A3">
      <w:pPr>
        <w:pStyle w:val="ListBullet"/>
      </w:pPr>
      <w:r>
        <w:t xml:space="preserve">providing social work services </w:t>
      </w:r>
    </w:p>
    <w:p w:rsidR="00260042" w:rsidRDefault="00260042" w:rsidP="008930A3">
      <w:pPr>
        <w:pStyle w:val="ListBullet"/>
      </w:pPr>
      <w:r>
        <w:t>offering a range of payment methods to support customers in crisis, including through the New Payments Platform that delivers payments in near real-time for customers who bank with organisations participating in the program</w:t>
      </w:r>
    </w:p>
    <w:p w:rsidR="00260042" w:rsidRDefault="00260042" w:rsidP="008930A3">
      <w:pPr>
        <w:pStyle w:val="ListBullet"/>
      </w:pPr>
      <w:r>
        <w:t>exempting or changing participation and reporting requirements for people in disaster areas</w:t>
      </w:r>
    </w:p>
    <w:p w:rsidR="00260042" w:rsidRDefault="00260042" w:rsidP="00EA5510">
      <w:pPr>
        <w:pStyle w:val="ListBullet"/>
      </w:pPr>
      <w:proofErr w:type="gramStart"/>
      <w:r>
        <w:t>pausing</w:t>
      </w:r>
      <w:proofErr w:type="gramEnd"/>
      <w:r>
        <w:t xml:space="preserve"> debt recovery.</w:t>
      </w:r>
    </w:p>
    <w:p w:rsidR="00260042" w:rsidRDefault="00260042" w:rsidP="00260042">
      <w:pPr>
        <w:pStyle w:val="BodyText"/>
        <w:spacing w:after="57"/>
      </w:pPr>
      <w:r>
        <w:lastRenderedPageBreak/>
        <w:t xml:space="preserve">Services Australia also participates in state, territory and local recovery committees. If requested by relevant state or territory governments, the agency delivers services from established relief or recovery centres. In response to an emergency, we can deploy: </w:t>
      </w:r>
    </w:p>
    <w:p w:rsidR="00260042" w:rsidRDefault="00260042" w:rsidP="008930A3">
      <w:pPr>
        <w:pStyle w:val="ListBullet"/>
      </w:pPr>
      <w:r>
        <w:t xml:space="preserve">staff to take emergency calls and process claims for emergency payments including through the Emergency Reserve (see page </w:t>
      </w:r>
      <w:r w:rsidR="004E3486">
        <w:t>34</w:t>
      </w:r>
      <w:r>
        <w:t xml:space="preserve">) </w:t>
      </w:r>
    </w:p>
    <w:p w:rsidR="00260042" w:rsidRDefault="00260042" w:rsidP="008930A3">
      <w:pPr>
        <w:pStyle w:val="ListBullet"/>
      </w:pPr>
      <w:r>
        <w:t>social workers to Australian and overseas locations to help Australians in emergency-affected areas or when they return from offshore disasters</w:t>
      </w:r>
    </w:p>
    <w:p w:rsidR="00260042" w:rsidRDefault="00260042" w:rsidP="008930A3">
      <w:pPr>
        <w:pStyle w:val="ListBullet"/>
      </w:pPr>
      <w:r>
        <w:t xml:space="preserve">mobile computing support </w:t>
      </w:r>
    </w:p>
    <w:p w:rsidR="00260042" w:rsidRDefault="00260042" w:rsidP="00EA5510">
      <w:pPr>
        <w:pStyle w:val="ListBullet"/>
      </w:pPr>
      <w:r>
        <w:t>Australian Government mobile service centres and mobile servicing teams to affected areas.</w:t>
      </w:r>
    </w:p>
    <w:p w:rsidR="005C30D7" w:rsidRPr="005C30D7" w:rsidRDefault="005C30D7" w:rsidP="002E64CE">
      <w:pPr>
        <w:pStyle w:val="Heading3"/>
      </w:pPr>
      <w:r w:rsidRPr="005C30D7">
        <w:t>Helping people in disaster-affected communities</w:t>
      </w:r>
    </w:p>
    <w:p w:rsidR="005C30D7" w:rsidRPr="005C30D7" w:rsidRDefault="005C30D7" w:rsidP="005C30D7">
      <w:pPr>
        <w:pStyle w:val="BodyText"/>
        <w:rPr>
          <w:color w:val="002060"/>
        </w:rPr>
      </w:pPr>
      <w:r w:rsidRPr="005C30D7">
        <w:rPr>
          <w:color w:val="002060"/>
        </w:rPr>
        <w:t xml:space="preserve">As a nation, we have a long history of withstanding natural disasters – fires, floods, droughts, storms and cyclones. Our staff are equally resilient and </w:t>
      </w:r>
      <w:proofErr w:type="gramStart"/>
      <w:r w:rsidRPr="005C30D7">
        <w:rPr>
          <w:color w:val="002060"/>
        </w:rPr>
        <w:t>well-practised</w:t>
      </w:r>
      <w:proofErr w:type="gramEnd"/>
      <w:r w:rsidRPr="005C30D7">
        <w:rPr>
          <w:color w:val="002060"/>
        </w:rPr>
        <w:t xml:space="preserve"> at delivering quick, effective and caring support.</w:t>
      </w:r>
    </w:p>
    <w:p w:rsidR="005C30D7" w:rsidRPr="005C30D7" w:rsidRDefault="005C30D7" w:rsidP="005C30D7">
      <w:pPr>
        <w:pStyle w:val="BodyText"/>
        <w:rPr>
          <w:color w:val="002060"/>
        </w:rPr>
      </w:pPr>
      <w:r w:rsidRPr="005C30D7">
        <w:rPr>
          <w:color w:val="002060"/>
        </w:rPr>
        <w:t xml:space="preserve">With the reality of a year-round disaster season, the agency stands ready to assist the community during an emergency, delivering both disaster and rapid response payments to communities in need. </w:t>
      </w:r>
    </w:p>
    <w:p w:rsidR="005C30D7" w:rsidRPr="005C30D7" w:rsidRDefault="005C30D7" w:rsidP="005C30D7">
      <w:pPr>
        <w:pStyle w:val="BodyText"/>
        <w:rPr>
          <w:color w:val="002060"/>
        </w:rPr>
      </w:pPr>
      <w:r w:rsidRPr="005C30D7">
        <w:rPr>
          <w:color w:val="002060"/>
        </w:rPr>
        <w:t xml:space="preserve">During 2020–21, the agency delivered payments to support people affected by the Western Australian bushfires, Tropical Cyclone </w:t>
      </w:r>
      <w:proofErr w:type="spellStart"/>
      <w:r w:rsidRPr="005C30D7">
        <w:rPr>
          <w:color w:val="002060"/>
        </w:rPr>
        <w:t>Seroja</w:t>
      </w:r>
      <w:proofErr w:type="spellEnd"/>
      <w:r w:rsidRPr="005C30D7">
        <w:rPr>
          <w:color w:val="002060"/>
        </w:rPr>
        <w:t>, and the New South Wales and Victorian storms and floods. It also delivered the PLDP and the CDP, and continued to deliver payments for the Black Summer bushfires that started in August 2019.</w:t>
      </w:r>
    </w:p>
    <w:p w:rsidR="005C30D7" w:rsidRPr="005C30D7" w:rsidRDefault="005C30D7" w:rsidP="005C30D7">
      <w:pPr>
        <w:pStyle w:val="BodyText"/>
        <w:rPr>
          <w:color w:val="002060"/>
        </w:rPr>
      </w:pPr>
      <w:r w:rsidRPr="005C30D7">
        <w:rPr>
          <w:color w:val="002060"/>
        </w:rPr>
        <w:t>During 2020–21, our mobile service centres and mobile servicing teams visited 76 communities and supported over 6,700 people directly impacted by disasters. This support included connecting people with social work services, counselling and other government and community services.</w:t>
      </w:r>
    </w:p>
    <w:p w:rsidR="00260042" w:rsidRPr="005C30D7" w:rsidRDefault="005C30D7" w:rsidP="005C30D7">
      <w:pPr>
        <w:pStyle w:val="BodyText"/>
        <w:rPr>
          <w:color w:val="002060"/>
        </w:rPr>
      </w:pPr>
      <w:r w:rsidRPr="005C30D7">
        <w:rPr>
          <w:color w:val="002060"/>
        </w:rPr>
        <w:t>Services Australia also answered 880,500 calls to the Australian Government Emergency Information Line, and delivered over $400 million in AGDRPs, all providing vital support to people when they needed it most.</w:t>
      </w:r>
    </w:p>
    <w:p w:rsidR="00260042" w:rsidRDefault="00260042" w:rsidP="002E64CE">
      <w:pPr>
        <w:pStyle w:val="Heading3"/>
      </w:pPr>
      <w:r>
        <w:t>Major emergency events in 2020–21</w:t>
      </w:r>
    </w:p>
    <w:p w:rsidR="00260042" w:rsidRDefault="00260042" w:rsidP="00260042">
      <w:pPr>
        <w:pStyle w:val="BodyText"/>
        <w:spacing w:after="57"/>
      </w:pPr>
      <w:r>
        <w:t xml:space="preserve">In 2020–21, Services Australia managed emergency events across several states and territories. Australian Government disaster assistance payments were activated for </w:t>
      </w:r>
      <w:proofErr w:type="gramStart"/>
      <w:r>
        <w:t>5</w:t>
      </w:r>
      <w:proofErr w:type="gramEnd"/>
      <w:r>
        <w:t xml:space="preserve"> major disasters:</w:t>
      </w:r>
    </w:p>
    <w:p w:rsidR="00260042" w:rsidRDefault="00260042" w:rsidP="008930A3">
      <w:pPr>
        <w:pStyle w:val="ListBullet"/>
      </w:pPr>
      <w:r>
        <w:t>Western Australian bushfires, February 2021</w:t>
      </w:r>
    </w:p>
    <w:p w:rsidR="00260042" w:rsidRDefault="00260042" w:rsidP="008930A3">
      <w:pPr>
        <w:pStyle w:val="ListBullet"/>
      </w:pPr>
      <w:r>
        <w:t>North Coast floods, February 2021</w:t>
      </w:r>
    </w:p>
    <w:p w:rsidR="00260042" w:rsidRDefault="00260042" w:rsidP="008930A3">
      <w:pPr>
        <w:pStyle w:val="ListBullet"/>
      </w:pPr>
      <w:r>
        <w:t>New South Wales floods, March 2021</w:t>
      </w:r>
    </w:p>
    <w:p w:rsidR="00260042" w:rsidRDefault="00260042" w:rsidP="008930A3">
      <w:pPr>
        <w:pStyle w:val="ListBullet"/>
      </w:pPr>
      <w:r>
        <w:t xml:space="preserve">Tropical Cyclone </w:t>
      </w:r>
      <w:proofErr w:type="spellStart"/>
      <w:r>
        <w:t>Seroja</w:t>
      </w:r>
      <w:proofErr w:type="spellEnd"/>
      <w:r>
        <w:t>, April 2021</w:t>
      </w:r>
    </w:p>
    <w:p w:rsidR="00260042" w:rsidRDefault="00260042" w:rsidP="00EA5510">
      <w:pPr>
        <w:pStyle w:val="ListBullet"/>
      </w:pPr>
      <w:r>
        <w:t xml:space="preserve">Victorian storms and floods, June 2021. </w:t>
      </w:r>
    </w:p>
    <w:p w:rsidR="00260042" w:rsidRDefault="00260042" w:rsidP="00260042">
      <w:pPr>
        <w:pStyle w:val="BodyText"/>
      </w:pPr>
      <w:r>
        <w:t xml:space="preserve">The New South Wales floods in March 2021 resulted in 64 of the 128 New South Wales Local Government Areas </w:t>
      </w:r>
      <w:proofErr w:type="gramStart"/>
      <w:r>
        <w:t>being declared</w:t>
      </w:r>
      <w:proofErr w:type="gramEnd"/>
      <w:r>
        <w:t xml:space="preserve"> a major disaster for the purposes of the AGDRP, DRA, and recovery payments to New Zealand visa holders.</w:t>
      </w:r>
    </w:p>
    <w:p w:rsidR="00260042" w:rsidRDefault="00260042" w:rsidP="00260042">
      <w:pPr>
        <w:pStyle w:val="BodyText"/>
      </w:pPr>
      <w:r>
        <w:lastRenderedPageBreak/>
        <w:t xml:space="preserve">The agency also continued to deliver payments to Australians affected by the Black Summer bushfires. The first payment for these bushfires </w:t>
      </w:r>
      <w:proofErr w:type="gramStart"/>
      <w:r>
        <w:t>was activated</w:t>
      </w:r>
      <w:proofErr w:type="gramEnd"/>
      <w:r>
        <w:t xml:space="preserve"> in September 2019, with payments spanning approximately 17 months to the final event closing in August 2021. During 2020–21, the claiming period remained open for the following major disasters:</w:t>
      </w:r>
    </w:p>
    <w:p w:rsidR="00260042" w:rsidRDefault="00260042" w:rsidP="008930A3">
      <w:pPr>
        <w:pStyle w:val="ListBullet"/>
      </w:pPr>
      <w:r>
        <w:t>New South Wales bushfires, September 2019</w:t>
      </w:r>
    </w:p>
    <w:p w:rsidR="00260042" w:rsidRDefault="00260042" w:rsidP="008930A3">
      <w:pPr>
        <w:pStyle w:val="ListBullet"/>
      </w:pPr>
      <w:r>
        <w:t>Queensland bushfires, September 2019</w:t>
      </w:r>
    </w:p>
    <w:p w:rsidR="00260042" w:rsidRDefault="00260042" w:rsidP="008930A3">
      <w:pPr>
        <w:pStyle w:val="ListBullet"/>
      </w:pPr>
      <w:r>
        <w:t>Eastern Queensland bushfires, November 2019</w:t>
      </w:r>
    </w:p>
    <w:p w:rsidR="00260042" w:rsidRDefault="00260042" w:rsidP="008930A3">
      <w:pPr>
        <w:pStyle w:val="ListBullet"/>
      </w:pPr>
      <w:r>
        <w:t>South Australian bushfires, November 2019</w:t>
      </w:r>
    </w:p>
    <w:p w:rsidR="00260042" w:rsidRDefault="00260042" w:rsidP="008930A3">
      <w:pPr>
        <w:pStyle w:val="ListBullet"/>
      </w:pPr>
      <w:r>
        <w:t>Australian Capital Territory bushfires, December 2019</w:t>
      </w:r>
    </w:p>
    <w:p w:rsidR="00260042" w:rsidRDefault="00260042" w:rsidP="008930A3">
      <w:pPr>
        <w:pStyle w:val="ListBullet"/>
      </w:pPr>
      <w:r>
        <w:t>Tasmanian bushfires, December 2019</w:t>
      </w:r>
    </w:p>
    <w:p w:rsidR="00260042" w:rsidRDefault="00260042" w:rsidP="00EA5510">
      <w:pPr>
        <w:pStyle w:val="ListBullet"/>
      </w:pPr>
      <w:r>
        <w:t xml:space="preserve">Victorian bushfires, December 2019. </w:t>
      </w:r>
    </w:p>
    <w:p w:rsidR="00260042" w:rsidRDefault="00260042" w:rsidP="00260042">
      <w:pPr>
        <w:pStyle w:val="BodyText"/>
      </w:pPr>
      <w:r>
        <w:t xml:space="preserve">The agency’s response to major disasters included providing the AGDRP on behalf of the Department of Home Affairs. </w:t>
      </w:r>
    </w:p>
    <w:p w:rsidR="00260042" w:rsidRDefault="00260042" w:rsidP="00260042">
      <w:pPr>
        <w:pStyle w:val="BodyText"/>
        <w:spacing w:after="57"/>
      </w:pPr>
      <w:r>
        <w:t xml:space="preserve">At 30 June 2021, the agency had: </w:t>
      </w:r>
    </w:p>
    <w:p w:rsidR="00260042" w:rsidRDefault="00260042" w:rsidP="008930A3">
      <w:pPr>
        <w:pStyle w:val="ListBullet"/>
      </w:pPr>
      <w:r>
        <w:t xml:space="preserve">completed nearly 400,000 claims </w:t>
      </w:r>
    </w:p>
    <w:p w:rsidR="00260042" w:rsidRDefault="00260042" w:rsidP="008930A3">
      <w:pPr>
        <w:pStyle w:val="ListBullet"/>
      </w:pPr>
      <w:r>
        <w:t>paid more than 360,000 claims</w:t>
      </w:r>
    </w:p>
    <w:p w:rsidR="00260042" w:rsidRDefault="00260042" w:rsidP="00EA5510">
      <w:pPr>
        <w:pStyle w:val="ListBullet"/>
      </w:pPr>
      <w:proofErr w:type="gramStart"/>
      <w:r>
        <w:t>paid</w:t>
      </w:r>
      <w:proofErr w:type="gramEnd"/>
      <w:r>
        <w:t xml:space="preserve"> over $400 million. </w:t>
      </w:r>
    </w:p>
    <w:p w:rsidR="00260042" w:rsidRDefault="00260042" w:rsidP="00260042">
      <w:pPr>
        <w:pStyle w:val="BodyText"/>
      </w:pPr>
      <w:r>
        <w:t xml:space="preserve">New Zealand Disaster Recovery Payment (NZ DRP) for New Zealand Non-Protected Special Category Visa Holders </w:t>
      </w:r>
      <w:proofErr w:type="gramStart"/>
      <w:r>
        <w:t>was activated</w:t>
      </w:r>
      <w:proofErr w:type="gramEnd"/>
      <w:r>
        <w:t xml:space="preserve"> for individuals affected by the events listed on page </w:t>
      </w:r>
      <w:r w:rsidR="004E3486">
        <w:t>31</w:t>
      </w:r>
    </w:p>
    <w:p w:rsidR="00260042" w:rsidRDefault="00260042" w:rsidP="00260042">
      <w:pPr>
        <w:pStyle w:val="BodyText"/>
        <w:spacing w:after="57"/>
      </w:pPr>
      <w:r>
        <w:t>At 30 June 2021, the agency had:</w:t>
      </w:r>
    </w:p>
    <w:p w:rsidR="00260042" w:rsidRDefault="00260042" w:rsidP="008930A3">
      <w:pPr>
        <w:pStyle w:val="ListBullet"/>
      </w:pPr>
      <w:r>
        <w:t xml:space="preserve">completed more than 2,000 claims </w:t>
      </w:r>
    </w:p>
    <w:p w:rsidR="00260042" w:rsidRDefault="00260042" w:rsidP="008930A3">
      <w:pPr>
        <w:pStyle w:val="ListBullet"/>
      </w:pPr>
      <w:r>
        <w:t xml:space="preserve">paid more than 1,800 claims </w:t>
      </w:r>
    </w:p>
    <w:p w:rsidR="00260042" w:rsidRDefault="00260042" w:rsidP="00EA5510">
      <w:pPr>
        <w:pStyle w:val="ListBullet"/>
      </w:pPr>
      <w:proofErr w:type="gramStart"/>
      <w:r>
        <w:t>paid</w:t>
      </w:r>
      <w:proofErr w:type="gramEnd"/>
      <w:r>
        <w:t xml:space="preserve"> over $2.4 million. </w:t>
      </w:r>
    </w:p>
    <w:p w:rsidR="00260042" w:rsidRDefault="00260042" w:rsidP="00260042">
      <w:pPr>
        <w:pStyle w:val="BodyText"/>
      </w:pPr>
      <w:r>
        <w:t xml:space="preserve">In </w:t>
      </w:r>
      <w:proofErr w:type="gramStart"/>
      <w:r>
        <w:t>2020-21</w:t>
      </w:r>
      <w:proofErr w:type="gramEnd"/>
      <w:r>
        <w:t xml:space="preserve"> the agency’s response to major disasters included payment of DRA on behalf of the Department of Home Affairs. Activated for the events listed on page </w:t>
      </w:r>
      <w:r w:rsidR="004E3486">
        <w:t>31</w:t>
      </w:r>
      <w:r>
        <w:t xml:space="preserve">, this payment supports eligible individuals, who experience a loss of income as a direct result of a disaster. </w:t>
      </w:r>
    </w:p>
    <w:p w:rsidR="00260042" w:rsidRDefault="00260042" w:rsidP="00260042">
      <w:pPr>
        <w:pStyle w:val="BodyText"/>
        <w:spacing w:after="57"/>
      </w:pPr>
      <w:r>
        <w:t xml:space="preserve">At 30 June 2021, the agency had: </w:t>
      </w:r>
    </w:p>
    <w:p w:rsidR="00260042" w:rsidRDefault="00260042" w:rsidP="008930A3">
      <w:pPr>
        <w:pStyle w:val="ListBullet"/>
      </w:pPr>
      <w:r>
        <w:t xml:space="preserve">completed nearly 2,000 claims </w:t>
      </w:r>
    </w:p>
    <w:p w:rsidR="00260042" w:rsidRDefault="00260042" w:rsidP="008930A3">
      <w:pPr>
        <w:pStyle w:val="ListBullet"/>
      </w:pPr>
      <w:r>
        <w:t xml:space="preserve">paid nearly 1,400 claims </w:t>
      </w:r>
    </w:p>
    <w:p w:rsidR="00260042" w:rsidRDefault="00260042" w:rsidP="00EA5510">
      <w:pPr>
        <w:pStyle w:val="ListBullet"/>
      </w:pPr>
      <w:proofErr w:type="gramStart"/>
      <w:r>
        <w:t>paid</w:t>
      </w:r>
      <w:proofErr w:type="gramEnd"/>
      <w:r>
        <w:t xml:space="preserve"> over $5.3 million. </w:t>
      </w:r>
    </w:p>
    <w:p w:rsidR="00260042" w:rsidRDefault="00260042" w:rsidP="00260042">
      <w:pPr>
        <w:pStyle w:val="BodyText"/>
      </w:pPr>
      <w:r>
        <w:t xml:space="preserve">New Zealand DRA (NZ DRA) for New Zealand Non-Protected Special Category Visa Holders </w:t>
      </w:r>
      <w:proofErr w:type="gramStart"/>
      <w:r>
        <w:t>was activated</w:t>
      </w:r>
      <w:proofErr w:type="gramEnd"/>
      <w:r>
        <w:t xml:space="preserve"> for individuals affected by the events listed on page </w:t>
      </w:r>
      <w:r w:rsidR="004E3486">
        <w:t>31</w:t>
      </w:r>
      <w:r>
        <w:t>.</w:t>
      </w:r>
    </w:p>
    <w:p w:rsidR="00260042" w:rsidRDefault="00260042" w:rsidP="00260042">
      <w:pPr>
        <w:pStyle w:val="BodyText"/>
        <w:spacing w:after="57"/>
      </w:pPr>
      <w:r>
        <w:t xml:space="preserve">At 30 June 2021, the agency had: </w:t>
      </w:r>
    </w:p>
    <w:p w:rsidR="00260042" w:rsidRDefault="00260042" w:rsidP="008930A3">
      <w:pPr>
        <w:pStyle w:val="ListBullet"/>
      </w:pPr>
      <w:r>
        <w:t xml:space="preserve">completed 71 claims </w:t>
      </w:r>
    </w:p>
    <w:p w:rsidR="00260042" w:rsidRDefault="00260042" w:rsidP="008930A3">
      <w:pPr>
        <w:pStyle w:val="ListBullet"/>
      </w:pPr>
      <w:proofErr w:type="gramStart"/>
      <w:r>
        <w:t>paid</w:t>
      </w:r>
      <w:proofErr w:type="gramEnd"/>
      <w:r>
        <w:t xml:space="preserve"> 59 claims.</w:t>
      </w:r>
    </w:p>
    <w:p w:rsidR="00260042" w:rsidRDefault="00260042" w:rsidP="002E64CE">
      <w:pPr>
        <w:pStyle w:val="Heading3"/>
      </w:pPr>
      <w:r>
        <w:lastRenderedPageBreak/>
        <w:t xml:space="preserve">MH17 Family Support Package </w:t>
      </w:r>
    </w:p>
    <w:p w:rsidR="00260042" w:rsidRDefault="00260042" w:rsidP="00260042">
      <w:pPr>
        <w:pStyle w:val="BodyText"/>
      </w:pPr>
      <w:r>
        <w:t>During 2020–21, the agency also delivered the MH17 Family Support Package on behalf of the Department of Foreign Affairs and Trade. This supports families of Australian MH17 victims to attend legal proceedings in the Netherlands. Due to the impacts of COVID-19 on international travel, the processing of claims for funding under the Family Support Package were put on hold and no payments were made in the 2020-2021 financial year.</w:t>
      </w:r>
    </w:p>
    <w:p w:rsidR="00260042" w:rsidRDefault="00260042" w:rsidP="002E64CE">
      <w:pPr>
        <w:pStyle w:val="Heading3"/>
      </w:pPr>
      <w:r>
        <w:t>Australian Victim of Terrorism Overseas Payment</w:t>
      </w:r>
    </w:p>
    <w:p w:rsidR="00260042" w:rsidRDefault="00260042" w:rsidP="00260042">
      <w:pPr>
        <w:pStyle w:val="BodyText"/>
      </w:pPr>
      <w:r>
        <w:t xml:space="preserve">This assistance is a one-off payment paid on behalf of the Department of Home Affairs to Australians who were harmed (primary victims) or close family members of a person who died (secondary victims) as a direct result of a declared overseas terrorist act. During the year, the Australian Victim of Terrorism Overseas hotline answered 641 calls. </w:t>
      </w:r>
    </w:p>
    <w:p w:rsidR="00260042" w:rsidRDefault="00260042" w:rsidP="00260042">
      <w:pPr>
        <w:pStyle w:val="BodyText"/>
      </w:pPr>
      <w:r>
        <w:t xml:space="preserve">In 2020–21, 6 claims </w:t>
      </w:r>
      <w:proofErr w:type="gramStart"/>
      <w:r>
        <w:t>were paid</w:t>
      </w:r>
      <w:proofErr w:type="gramEnd"/>
      <w:r>
        <w:t>, totalling $450,000.</w:t>
      </w:r>
    </w:p>
    <w:p w:rsidR="00260042" w:rsidRDefault="00260042" w:rsidP="002E64CE">
      <w:pPr>
        <w:pStyle w:val="Heading3"/>
      </w:pPr>
      <w:r>
        <w:t xml:space="preserve">Disaster Health Care Assistance Scheme </w:t>
      </w:r>
    </w:p>
    <w:p w:rsidR="00260042" w:rsidRDefault="00260042" w:rsidP="00260042">
      <w:pPr>
        <w:pStyle w:val="BodyText"/>
        <w:spacing w:after="57"/>
      </w:pPr>
      <w:r>
        <w:t>The Disaster Health Care Assistance Scheme helps with reasonable health-related out-of-pocket costs for individuals who have suffered an injury as a direct result of specific international acts of terrorism and natural disaster events. The declared events are:</w:t>
      </w:r>
    </w:p>
    <w:p w:rsidR="00260042" w:rsidRDefault="00260042" w:rsidP="008930A3">
      <w:pPr>
        <w:pStyle w:val="ListBullet"/>
      </w:pPr>
      <w:proofErr w:type="spellStart"/>
      <w:r>
        <w:t>Balimed</w:t>
      </w:r>
      <w:proofErr w:type="spellEnd"/>
      <w:r>
        <w:t xml:space="preserve"> – bombing in Bali, Indonesia, on 12 October 2002 </w:t>
      </w:r>
    </w:p>
    <w:p w:rsidR="00260042" w:rsidRDefault="00260042" w:rsidP="008930A3">
      <w:pPr>
        <w:pStyle w:val="ListBullet"/>
      </w:pPr>
      <w:r>
        <w:t xml:space="preserve">Tsunami – Indian Ocean tsunami on 26 December 2004 </w:t>
      </w:r>
    </w:p>
    <w:p w:rsidR="00260042" w:rsidRDefault="00260042" w:rsidP="008930A3">
      <w:pPr>
        <w:pStyle w:val="ListBullet"/>
      </w:pPr>
      <w:r>
        <w:t xml:space="preserve">London – bombing in London, United Kingdom, on 7 July 2005 </w:t>
      </w:r>
    </w:p>
    <w:p w:rsidR="00260042" w:rsidRDefault="00260042" w:rsidP="008930A3">
      <w:pPr>
        <w:pStyle w:val="ListBullet"/>
      </w:pPr>
      <w:r>
        <w:t xml:space="preserve">Bali 2005 – bombing in Bali, Indonesia, on 1 October 2005 </w:t>
      </w:r>
    </w:p>
    <w:p w:rsidR="00260042" w:rsidRDefault="00260042" w:rsidP="00EA5510">
      <w:pPr>
        <w:pStyle w:val="ListBullet"/>
      </w:pPr>
      <w:r>
        <w:t xml:space="preserve">Dahab Egypt – bombing in Dahab, Egypt, on 24 April 2006. </w:t>
      </w:r>
    </w:p>
    <w:p w:rsidR="00260042" w:rsidRDefault="00260042" w:rsidP="002E64CE">
      <w:pPr>
        <w:pStyle w:val="Heading3"/>
      </w:pPr>
      <w:r>
        <w:t>National Emergency Call Centre Surge Capability</w:t>
      </w:r>
    </w:p>
    <w:p w:rsidR="00260042" w:rsidRDefault="00260042" w:rsidP="00260042">
      <w:pPr>
        <w:pStyle w:val="BodyText"/>
      </w:pPr>
      <w:r>
        <w:t xml:space="preserve">Services Australia can provide support through the National Emergency Call Centre Surge Capability, which allows state and territory government agencies to divert excess calls made to their emergency (non-000) lines to the agency on a cost recovery basis. </w:t>
      </w:r>
    </w:p>
    <w:p w:rsidR="00260042" w:rsidRDefault="00260042" w:rsidP="00260042">
      <w:pPr>
        <w:pStyle w:val="BodyText"/>
        <w:spacing w:after="57"/>
      </w:pPr>
      <w:r>
        <w:t xml:space="preserve">In 2020–21, the agency </w:t>
      </w:r>
      <w:proofErr w:type="gramStart"/>
      <w:r>
        <w:t>was asked</w:t>
      </w:r>
      <w:proofErr w:type="gramEnd"/>
      <w:r>
        <w:t xml:space="preserve"> to activate this capability on 2 occasions to support: </w:t>
      </w:r>
    </w:p>
    <w:p w:rsidR="00260042" w:rsidRDefault="00260042" w:rsidP="008930A3">
      <w:pPr>
        <w:pStyle w:val="ListBullet"/>
      </w:pPr>
      <w:r>
        <w:t>the Victorian COVID-19 aged care response, answering 715 calls</w:t>
      </w:r>
    </w:p>
    <w:p w:rsidR="00260042" w:rsidRDefault="00260042" w:rsidP="00EA5510">
      <w:pPr>
        <w:pStyle w:val="ListBullet"/>
      </w:pPr>
      <w:proofErr w:type="gramStart"/>
      <w:r>
        <w:t>the</w:t>
      </w:r>
      <w:proofErr w:type="gramEnd"/>
      <w:r>
        <w:t xml:space="preserve"> Department of Foreign Affairs and Trade to assist Australians stranded overseas due to COVID-19 travel restrictions, making 42,032 calls.</w:t>
      </w:r>
    </w:p>
    <w:p w:rsidR="00260042" w:rsidRDefault="00260042" w:rsidP="002E64CE">
      <w:pPr>
        <w:pStyle w:val="Heading3"/>
      </w:pPr>
      <w:r>
        <w:t xml:space="preserve">National Security Hotline </w:t>
      </w:r>
    </w:p>
    <w:p w:rsidR="00260042" w:rsidRDefault="00260042" w:rsidP="00260042">
      <w:pPr>
        <w:pStyle w:val="BodyText"/>
      </w:pPr>
      <w:r>
        <w:t xml:space="preserve">The National Security Hotline is the single point of contact for people to report possible signs of terrorism or to request information. Services Australia provides surge assistance for the National Security Hotline on request from the Department of Home Affairs. In 2020–21, the agency </w:t>
      </w:r>
      <w:proofErr w:type="gramStart"/>
      <w:r>
        <w:t>was not asked</w:t>
      </w:r>
      <w:proofErr w:type="gramEnd"/>
      <w:r>
        <w:t xml:space="preserve"> to assist with the hotline.</w:t>
      </w:r>
    </w:p>
    <w:p w:rsidR="00260042" w:rsidRDefault="00260042" w:rsidP="002E64CE">
      <w:pPr>
        <w:pStyle w:val="Heading3"/>
      </w:pPr>
      <w:r>
        <w:lastRenderedPageBreak/>
        <w:t>Emergency Reserve</w:t>
      </w:r>
    </w:p>
    <w:p w:rsidR="00260042" w:rsidRDefault="00260042" w:rsidP="00260042">
      <w:pPr>
        <w:pStyle w:val="BodyText"/>
        <w:spacing w:after="57"/>
      </w:pPr>
      <w:r>
        <w:t xml:space="preserve">Services Australia maintains a register of staff willing to assist in recovery efforts known as the Emergency Reserve. The agency can call on Emergency Reserve staff at short notice to help respond quickly to emergencies. There are over 1,600 staff registered for the Emergency Reserve. Staff have a range of skills that </w:t>
      </w:r>
      <w:proofErr w:type="gramStart"/>
      <w:r>
        <w:t>are used</w:t>
      </w:r>
      <w:proofErr w:type="gramEnd"/>
      <w:r>
        <w:t xml:space="preserve"> in various roles, including: </w:t>
      </w:r>
    </w:p>
    <w:p w:rsidR="00260042" w:rsidRDefault="00260042" w:rsidP="008930A3">
      <w:pPr>
        <w:pStyle w:val="ListBullet"/>
      </w:pPr>
      <w:r>
        <w:t>assisting people affected by emergencies at field locations</w:t>
      </w:r>
    </w:p>
    <w:p w:rsidR="00260042" w:rsidRDefault="00260042" w:rsidP="008930A3">
      <w:pPr>
        <w:pStyle w:val="ListBullet"/>
      </w:pPr>
      <w:r>
        <w:t xml:space="preserve">supporting affected service centres </w:t>
      </w:r>
    </w:p>
    <w:p w:rsidR="00260042" w:rsidRDefault="00260042" w:rsidP="00EA5510">
      <w:pPr>
        <w:pStyle w:val="ListBullet"/>
      </w:pPr>
      <w:proofErr w:type="gramStart"/>
      <w:r>
        <w:t>backfilling</w:t>
      </w:r>
      <w:proofErr w:type="gramEnd"/>
      <w:r>
        <w:t xml:space="preserve"> business-as-usual roles to fill gaps where staff were deployed to provide emergency support. </w:t>
      </w:r>
    </w:p>
    <w:p w:rsidR="00260042" w:rsidRDefault="00260042" w:rsidP="00260042">
      <w:pPr>
        <w:pStyle w:val="BodyText"/>
      </w:pPr>
      <w:r>
        <w:t xml:space="preserve">The agency has also established a new reserve concept called the Internal Surge Team, which involves staff from across the agency quickly redeploying to a range of core business functions when the agency experiences a surge in demand. In 2020–21, the Internal Surge Team deployed on 4 occasions, with over 3,750 staff playing a significant role in the agency’s response to the New South Wales floods in March 2021, Tropical Cyclone </w:t>
      </w:r>
      <w:proofErr w:type="spellStart"/>
      <w:r>
        <w:t>Seroja</w:t>
      </w:r>
      <w:proofErr w:type="spellEnd"/>
      <w:r>
        <w:t xml:space="preserve"> in April 2021 and delivery of COVID-19 Disaster Payments in response to lockdowns in various states and territories. </w:t>
      </w:r>
    </w:p>
    <w:p w:rsidR="00260042" w:rsidRDefault="00260042" w:rsidP="00260042">
      <w:pPr>
        <w:pStyle w:val="BodyText"/>
      </w:pPr>
      <w:r>
        <w:t>The agency also draws on the Australian Public Service Surge Reserve initiative to second staff from other government agencies to address increased demand such as in the aftermath of the New South Wales floods in March 2021. In 2020–21, the Surge Reserve deployed on 2 occasions, with over 685 staff playing a significant role in the agency’s response to natural disasters and COVID-19-related responses.</w:t>
      </w:r>
    </w:p>
    <w:p w:rsidR="00260042" w:rsidRDefault="00260042" w:rsidP="002E64CE">
      <w:pPr>
        <w:pStyle w:val="Heading3"/>
      </w:pPr>
      <w:r>
        <w:t>Delivering payments and services to our customers</w:t>
      </w:r>
    </w:p>
    <w:p w:rsidR="00260042" w:rsidRDefault="00260042" w:rsidP="00C81689">
      <w:pPr>
        <w:pStyle w:val="Heading2"/>
      </w:pPr>
      <w:r>
        <w:t>4.1 Social security and welfare</w:t>
      </w:r>
    </w:p>
    <w:p w:rsidR="00260042" w:rsidRDefault="00260042" w:rsidP="008474A9">
      <w:pPr>
        <w:pStyle w:val="BodyText"/>
      </w:pPr>
      <w:r>
        <w:t xml:space="preserve">As the Government’s main service delivery agency, Services Australia is responsible for designing, developing and delivering government services and payments. The agency provides advice to Government on service delivery and collaborates with other agencies, providers and businesses to ensure convenient, accessible and efficient services for individuals, families and communities. </w:t>
      </w:r>
    </w:p>
    <w:p w:rsidR="00260042" w:rsidRDefault="00260042" w:rsidP="00260042">
      <w:pPr>
        <w:pStyle w:val="BodyText"/>
      </w:pPr>
      <w:r>
        <w:t xml:space="preserve">Table </w:t>
      </w:r>
      <w:proofErr w:type="gramStart"/>
      <w:r>
        <w:t>2</w:t>
      </w:r>
      <w:proofErr w:type="gramEnd"/>
      <w:r>
        <w:t xml:space="preserve"> shows that Services Australia processed more than 5.2 million claims for social security and welfare during 2020–21. Of these, around 3.7 million claims </w:t>
      </w:r>
      <w:proofErr w:type="gramStart"/>
      <w:r>
        <w:t>were granted</w:t>
      </w:r>
      <w:proofErr w:type="gramEnd"/>
      <w:r>
        <w:t xml:space="preserve"> and just over 1.5 million were rejected. </w:t>
      </w:r>
    </w:p>
    <w:p w:rsidR="00260042" w:rsidRPr="00EA5510" w:rsidRDefault="009B789E" w:rsidP="00EA5510">
      <w:pPr>
        <w:pStyle w:val="BodyText"/>
        <w:rPr>
          <w:b/>
        </w:rPr>
      </w:pPr>
      <w:r>
        <w:rPr>
          <w:b/>
        </w:rPr>
        <w:t xml:space="preserve">Table </w:t>
      </w:r>
      <w:r>
        <w:rPr>
          <w:b/>
        </w:rPr>
        <w:t>2</w:t>
      </w:r>
      <w:r w:rsidR="00260042" w:rsidRPr="00EA5510">
        <w:rPr>
          <w:b/>
        </w:rPr>
        <w:t xml:space="preserve"> Claims finalised in 2020–21</w:t>
      </w:r>
    </w:p>
    <w:tbl>
      <w:tblPr>
        <w:tblStyle w:val="TableGrid"/>
        <w:tblW w:w="5000" w:type="pct"/>
        <w:tblLook w:val="0000" w:firstRow="0" w:lastRow="0" w:firstColumn="0" w:lastColumn="0" w:noHBand="0" w:noVBand="0"/>
        <w:tblCaption w:val="Claims finalised in 2020–21"/>
      </w:tblPr>
      <w:tblGrid>
        <w:gridCol w:w="5345"/>
        <w:gridCol w:w="1815"/>
        <w:gridCol w:w="1815"/>
        <w:gridCol w:w="1815"/>
      </w:tblGrid>
      <w:tr w:rsidR="00260042" w:rsidTr="0020616A">
        <w:trPr>
          <w:trHeight w:val="320"/>
          <w:tblHeader/>
        </w:trPr>
        <w:tc>
          <w:tcPr>
            <w:tcW w:w="2477" w:type="pct"/>
          </w:tcPr>
          <w:p w:rsidR="00260042" w:rsidRPr="0020616A" w:rsidRDefault="00260042" w:rsidP="0020616A">
            <w:pPr>
              <w:pStyle w:val="BodyText"/>
              <w:rPr>
                <w:b/>
              </w:rPr>
            </w:pPr>
            <w:r w:rsidRPr="0020616A">
              <w:rPr>
                <w:b/>
              </w:rPr>
              <w:t>Payment type</w:t>
            </w:r>
          </w:p>
        </w:tc>
        <w:tc>
          <w:tcPr>
            <w:tcW w:w="841" w:type="pct"/>
          </w:tcPr>
          <w:p w:rsidR="00260042" w:rsidRPr="0020616A" w:rsidRDefault="00260042" w:rsidP="0020616A">
            <w:pPr>
              <w:pStyle w:val="BodyText"/>
              <w:jc w:val="right"/>
              <w:rPr>
                <w:b/>
              </w:rPr>
            </w:pPr>
            <w:r w:rsidRPr="0020616A">
              <w:rPr>
                <w:b/>
              </w:rPr>
              <w:t>Claims</w:t>
            </w:r>
          </w:p>
        </w:tc>
        <w:tc>
          <w:tcPr>
            <w:tcW w:w="841" w:type="pct"/>
          </w:tcPr>
          <w:p w:rsidR="00260042" w:rsidRPr="0020616A" w:rsidRDefault="00260042" w:rsidP="0020616A">
            <w:pPr>
              <w:pStyle w:val="BodyText"/>
              <w:jc w:val="right"/>
              <w:rPr>
                <w:b/>
              </w:rPr>
            </w:pPr>
            <w:r w:rsidRPr="0020616A">
              <w:rPr>
                <w:b/>
              </w:rPr>
              <w:t>Granted</w:t>
            </w:r>
          </w:p>
        </w:tc>
        <w:tc>
          <w:tcPr>
            <w:tcW w:w="841" w:type="pct"/>
          </w:tcPr>
          <w:p w:rsidR="00260042" w:rsidRPr="0020616A" w:rsidRDefault="00260042" w:rsidP="0020616A">
            <w:pPr>
              <w:pStyle w:val="BodyText"/>
              <w:jc w:val="right"/>
              <w:rPr>
                <w:b/>
              </w:rPr>
            </w:pPr>
            <w:r w:rsidRPr="0020616A">
              <w:rPr>
                <w:b/>
              </w:rPr>
              <w:t>Rejected</w:t>
            </w:r>
          </w:p>
        </w:tc>
      </w:tr>
      <w:tr w:rsidR="00260042" w:rsidTr="0020616A">
        <w:trPr>
          <w:trHeight w:val="376"/>
        </w:trPr>
        <w:tc>
          <w:tcPr>
            <w:tcW w:w="2477" w:type="pct"/>
          </w:tcPr>
          <w:p w:rsidR="00260042" w:rsidRDefault="00260042" w:rsidP="0020616A">
            <w:pPr>
              <w:pStyle w:val="BodyText"/>
            </w:pPr>
            <w:r>
              <w:t>ABSTUDY</w:t>
            </w:r>
          </w:p>
        </w:tc>
        <w:tc>
          <w:tcPr>
            <w:tcW w:w="841" w:type="pct"/>
          </w:tcPr>
          <w:p w:rsidR="00260042" w:rsidRDefault="00260042" w:rsidP="0020616A">
            <w:pPr>
              <w:pStyle w:val="BodyText"/>
              <w:jc w:val="right"/>
            </w:pPr>
            <w:r>
              <w:t>28,500</w:t>
            </w:r>
          </w:p>
        </w:tc>
        <w:tc>
          <w:tcPr>
            <w:tcW w:w="841" w:type="pct"/>
          </w:tcPr>
          <w:p w:rsidR="00260042" w:rsidRDefault="00260042" w:rsidP="0020616A">
            <w:pPr>
              <w:pStyle w:val="BodyText"/>
              <w:jc w:val="right"/>
            </w:pPr>
            <w:r>
              <w:t>23,500</w:t>
            </w:r>
          </w:p>
        </w:tc>
        <w:tc>
          <w:tcPr>
            <w:tcW w:w="841" w:type="pct"/>
          </w:tcPr>
          <w:p w:rsidR="00260042" w:rsidRDefault="00260042" w:rsidP="0020616A">
            <w:pPr>
              <w:pStyle w:val="BodyText"/>
              <w:jc w:val="right"/>
            </w:pPr>
            <w:r>
              <w:t>5,000</w:t>
            </w:r>
          </w:p>
        </w:tc>
      </w:tr>
      <w:tr w:rsidR="00260042" w:rsidTr="0020616A">
        <w:trPr>
          <w:trHeight w:val="376"/>
        </w:trPr>
        <w:tc>
          <w:tcPr>
            <w:tcW w:w="2477" w:type="pct"/>
          </w:tcPr>
          <w:p w:rsidR="00260042" w:rsidRDefault="00260042" w:rsidP="0020616A">
            <w:pPr>
              <w:pStyle w:val="BodyText"/>
            </w:pPr>
            <w:r>
              <w:t>Additional Child Care Subsidy</w:t>
            </w:r>
          </w:p>
        </w:tc>
        <w:tc>
          <w:tcPr>
            <w:tcW w:w="841" w:type="pct"/>
          </w:tcPr>
          <w:p w:rsidR="00260042" w:rsidRDefault="00260042" w:rsidP="0020616A">
            <w:pPr>
              <w:pStyle w:val="BodyText"/>
              <w:jc w:val="right"/>
            </w:pPr>
            <w:r>
              <w:t>145,500</w:t>
            </w:r>
          </w:p>
        </w:tc>
        <w:tc>
          <w:tcPr>
            <w:tcW w:w="841" w:type="pct"/>
          </w:tcPr>
          <w:p w:rsidR="00260042" w:rsidRDefault="00260042" w:rsidP="0020616A">
            <w:pPr>
              <w:pStyle w:val="BodyText"/>
              <w:jc w:val="right"/>
            </w:pPr>
            <w:r>
              <w:t>121,500</w:t>
            </w:r>
          </w:p>
        </w:tc>
        <w:tc>
          <w:tcPr>
            <w:tcW w:w="841" w:type="pct"/>
          </w:tcPr>
          <w:p w:rsidR="00260042" w:rsidRDefault="00260042" w:rsidP="0020616A">
            <w:pPr>
              <w:pStyle w:val="BodyText"/>
              <w:jc w:val="right"/>
            </w:pPr>
            <w:r>
              <w:t>24,000</w:t>
            </w:r>
          </w:p>
        </w:tc>
      </w:tr>
      <w:tr w:rsidR="00260042" w:rsidTr="0020616A">
        <w:trPr>
          <w:trHeight w:val="376"/>
        </w:trPr>
        <w:tc>
          <w:tcPr>
            <w:tcW w:w="2477" w:type="pct"/>
          </w:tcPr>
          <w:p w:rsidR="00260042" w:rsidRDefault="00260042" w:rsidP="0020616A">
            <w:pPr>
              <w:pStyle w:val="BodyText"/>
            </w:pPr>
            <w:r>
              <w:t>Age Pension</w:t>
            </w:r>
          </w:p>
        </w:tc>
        <w:tc>
          <w:tcPr>
            <w:tcW w:w="841" w:type="pct"/>
          </w:tcPr>
          <w:p w:rsidR="00260042" w:rsidRDefault="00260042" w:rsidP="0020616A">
            <w:pPr>
              <w:pStyle w:val="BodyText"/>
              <w:jc w:val="right"/>
            </w:pPr>
            <w:r>
              <w:t>188,500</w:t>
            </w:r>
          </w:p>
        </w:tc>
        <w:tc>
          <w:tcPr>
            <w:tcW w:w="841" w:type="pct"/>
          </w:tcPr>
          <w:p w:rsidR="00260042" w:rsidRDefault="00260042" w:rsidP="0020616A">
            <w:pPr>
              <w:pStyle w:val="BodyText"/>
              <w:jc w:val="right"/>
            </w:pPr>
            <w:r>
              <w:t>155,000</w:t>
            </w:r>
          </w:p>
        </w:tc>
        <w:tc>
          <w:tcPr>
            <w:tcW w:w="841" w:type="pct"/>
          </w:tcPr>
          <w:p w:rsidR="00260042" w:rsidRDefault="00260042" w:rsidP="0020616A">
            <w:pPr>
              <w:pStyle w:val="BodyText"/>
              <w:jc w:val="right"/>
            </w:pPr>
            <w:r>
              <w:t>33,500</w:t>
            </w:r>
          </w:p>
        </w:tc>
      </w:tr>
      <w:tr w:rsidR="00260042" w:rsidTr="0020616A">
        <w:trPr>
          <w:trHeight w:val="376"/>
        </w:trPr>
        <w:tc>
          <w:tcPr>
            <w:tcW w:w="2477" w:type="pct"/>
          </w:tcPr>
          <w:p w:rsidR="00260042" w:rsidRDefault="00260042" w:rsidP="0020616A">
            <w:pPr>
              <w:pStyle w:val="BodyText"/>
            </w:pPr>
            <w:r>
              <w:lastRenderedPageBreak/>
              <w:t>Assistance for Isolated Children</w:t>
            </w:r>
          </w:p>
        </w:tc>
        <w:tc>
          <w:tcPr>
            <w:tcW w:w="841" w:type="pct"/>
          </w:tcPr>
          <w:p w:rsidR="00260042" w:rsidRDefault="00260042" w:rsidP="0020616A">
            <w:pPr>
              <w:pStyle w:val="BodyText"/>
              <w:jc w:val="right"/>
            </w:pPr>
            <w:r>
              <w:t>6,400</w:t>
            </w:r>
          </w:p>
        </w:tc>
        <w:tc>
          <w:tcPr>
            <w:tcW w:w="841" w:type="pct"/>
          </w:tcPr>
          <w:p w:rsidR="00260042" w:rsidRDefault="00260042" w:rsidP="0020616A">
            <w:pPr>
              <w:pStyle w:val="BodyText"/>
              <w:jc w:val="right"/>
            </w:pPr>
            <w:r>
              <w:t>4,700</w:t>
            </w:r>
          </w:p>
        </w:tc>
        <w:tc>
          <w:tcPr>
            <w:tcW w:w="841" w:type="pct"/>
          </w:tcPr>
          <w:p w:rsidR="00260042" w:rsidRDefault="00260042" w:rsidP="0020616A">
            <w:pPr>
              <w:pStyle w:val="BodyText"/>
              <w:jc w:val="right"/>
            </w:pPr>
            <w:r>
              <w:t>1,700</w:t>
            </w:r>
          </w:p>
        </w:tc>
      </w:tr>
      <w:tr w:rsidR="00260042" w:rsidTr="0020616A">
        <w:trPr>
          <w:trHeight w:val="376"/>
        </w:trPr>
        <w:tc>
          <w:tcPr>
            <w:tcW w:w="2477" w:type="pct"/>
          </w:tcPr>
          <w:p w:rsidR="00260042" w:rsidRDefault="00260042" w:rsidP="0020616A">
            <w:pPr>
              <w:pStyle w:val="BodyText"/>
            </w:pPr>
            <w:r>
              <w:t>Carer Payment and Carer Allowance</w:t>
            </w:r>
          </w:p>
        </w:tc>
        <w:tc>
          <w:tcPr>
            <w:tcW w:w="841" w:type="pct"/>
          </w:tcPr>
          <w:p w:rsidR="00260042" w:rsidRDefault="00260042" w:rsidP="0020616A">
            <w:pPr>
              <w:pStyle w:val="BodyText"/>
              <w:jc w:val="right"/>
            </w:pPr>
            <w:r>
              <w:t>199,000</w:t>
            </w:r>
          </w:p>
        </w:tc>
        <w:tc>
          <w:tcPr>
            <w:tcW w:w="841" w:type="pct"/>
          </w:tcPr>
          <w:p w:rsidR="00260042" w:rsidRDefault="00260042" w:rsidP="0020616A">
            <w:pPr>
              <w:pStyle w:val="BodyText"/>
              <w:jc w:val="right"/>
            </w:pPr>
            <w:r>
              <w:t>131,000</w:t>
            </w:r>
          </w:p>
        </w:tc>
        <w:tc>
          <w:tcPr>
            <w:tcW w:w="841" w:type="pct"/>
          </w:tcPr>
          <w:p w:rsidR="00260042" w:rsidRDefault="00260042" w:rsidP="0020616A">
            <w:pPr>
              <w:pStyle w:val="BodyText"/>
              <w:jc w:val="right"/>
            </w:pPr>
            <w:r>
              <w:t>68,000</w:t>
            </w:r>
          </w:p>
        </w:tc>
      </w:tr>
      <w:tr w:rsidR="00260042" w:rsidTr="0020616A">
        <w:trPr>
          <w:trHeight w:val="376"/>
        </w:trPr>
        <w:tc>
          <w:tcPr>
            <w:tcW w:w="2477" w:type="pct"/>
          </w:tcPr>
          <w:p w:rsidR="00260042" w:rsidRDefault="00260042" w:rsidP="0020616A">
            <w:pPr>
              <w:pStyle w:val="BodyText"/>
            </w:pPr>
            <w:r>
              <w:t>Child Care Subsidy</w:t>
            </w:r>
          </w:p>
        </w:tc>
        <w:tc>
          <w:tcPr>
            <w:tcW w:w="841" w:type="pct"/>
          </w:tcPr>
          <w:p w:rsidR="00260042" w:rsidRDefault="00260042" w:rsidP="0020616A">
            <w:pPr>
              <w:pStyle w:val="BodyText"/>
              <w:jc w:val="right"/>
            </w:pPr>
            <w:r>
              <w:t>401,500</w:t>
            </w:r>
          </w:p>
        </w:tc>
        <w:tc>
          <w:tcPr>
            <w:tcW w:w="841" w:type="pct"/>
          </w:tcPr>
          <w:p w:rsidR="00260042" w:rsidRDefault="00260042" w:rsidP="0020616A">
            <w:pPr>
              <w:pStyle w:val="BodyText"/>
              <w:jc w:val="right"/>
            </w:pPr>
            <w:r>
              <w:t>385,500</w:t>
            </w:r>
          </w:p>
        </w:tc>
        <w:tc>
          <w:tcPr>
            <w:tcW w:w="841" w:type="pct"/>
          </w:tcPr>
          <w:p w:rsidR="00260042" w:rsidRDefault="00260042" w:rsidP="0020616A">
            <w:pPr>
              <w:pStyle w:val="BodyText"/>
              <w:jc w:val="right"/>
            </w:pPr>
            <w:r>
              <w:t>16,000</w:t>
            </w:r>
          </w:p>
        </w:tc>
      </w:tr>
      <w:tr w:rsidR="00260042" w:rsidTr="0020616A">
        <w:trPr>
          <w:trHeight w:val="376"/>
        </w:trPr>
        <w:tc>
          <w:tcPr>
            <w:tcW w:w="2477" w:type="pct"/>
          </w:tcPr>
          <w:p w:rsidR="00260042" w:rsidRDefault="00260042" w:rsidP="0020616A">
            <w:pPr>
              <w:pStyle w:val="BodyText"/>
            </w:pPr>
            <w:r>
              <w:t>Crisis Payment</w:t>
            </w:r>
          </w:p>
        </w:tc>
        <w:tc>
          <w:tcPr>
            <w:tcW w:w="841" w:type="pct"/>
          </w:tcPr>
          <w:p w:rsidR="00260042" w:rsidRDefault="00260042" w:rsidP="0020616A">
            <w:pPr>
              <w:pStyle w:val="BodyText"/>
              <w:jc w:val="right"/>
            </w:pPr>
            <w:r>
              <w:t>1,645,500</w:t>
            </w:r>
          </w:p>
        </w:tc>
        <w:tc>
          <w:tcPr>
            <w:tcW w:w="841" w:type="pct"/>
          </w:tcPr>
          <w:p w:rsidR="00260042" w:rsidRDefault="00260042" w:rsidP="0020616A">
            <w:pPr>
              <w:pStyle w:val="BodyText"/>
              <w:jc w:val="right"/>
            </w:pPr>
            <w:r>
              <w:t>986,500</w:t>
            </w:r>
          </w:p>
        </w:tc>
        <w:tc>
          <w:tcPr>
            <w:tcW w:w="841" w:type="pct"/>
          </w:tcPr>
          <w:p w:rsidR="00260042" w:rsidRDefault="00260042" w:rsidP="0020616A">
            <w:pPr>
              <w:pStyle w:val="BodyText"/>
              <w:jc w:val="right"/>
            </w:pPr>
            <w:r>
              <w:t>659,000</w:t>
            </w:r>
          </w:p>
        </w:tc>
      </w:tr>
      <w:tr w:rsidR="00260042" w:rsidTr="0020616A">
        <w:trPr>
          <w:trHeight w:val="376"/>
        </w:trPr>
        <w:tc>
          <w:tcPr>
            <w:tcW w:w="2477" w:type="pct"/>
          </w:tcPr>
          <w:p w:rsidR="00260042" w:rsidRDefault="00260042" w:rsidP="0020616A">
            <w:pPr>
              <w:pStyle w:val="BodyText"/>
            </w:pPr>
            <w:r>
              <w:t>Dad and Partner Pay</w:t>
            </w:r>
          </w:p>
        </w:tc>
        <w:tc>
          <w:tcPr>
            <w:tcW w:w="841" w:type="pct"/>
          </w:tcPr>
          <w:p w:rsidR="00260042" w:rsidRDefault="00260042" w:rsidP="0020616A">
            <w:pPr>
              <w:pStyle w:val="BodyText"/>
              <w:jc w:val="right"/>
            </w:pPr>
            <w:r>
              <w:t>110,000</w:t>
            </w:r>
          </w:p>
        </w:tc>
        <w:tc>
          <w:tcPr>
            <w:tcW w:w="841" w:type="pct"/>
          </w:tcPr>
          <w:p w:rsidR="00260042" w:rsidRDefault="00260042" w:rsidP="0020616A">
            <w:pPr>
              <w:pStyle w:val="BodyText"/>
              <w:jc w:val="right"/>
            </w:pPr>
            <w:r>
              <w:t>97,000</w:t>
            </w:r>
          </w:p>
        </w:tc>
        <w:tc>
          <w:tcPr>
            <w:tcW w:w="841" w:type="pct"/>
          </w:tcPr>
          <w:p w:rsidR="00260042" w:rsidRDefault="00260042" w:rsidP="0020616A">
            <w:pPr>
              <w:pStyle w:val="BodyText"/>
              <w:jc w:val="right"/>
            </w:pPr>
            <w:r>
              <w:t>13,000</w:t>
            </w:r>
          </w:p>
        </w:tc>
      </w:tr>
      <w:tr w:rsidR="00260042" w:rsidTr="0020616A">
        <w:trPr>
          <w:trHeight w:val="376"/>
        </w:trPr>
        <w:tc>
          <w:tcPr>
            <w:tcW w:w="2477" w:type="pct"/>
          </w:tcPr>
          <w:p w:rsidR="00260042" w:rsidRDefault="00260042" w:rsidP="0020616A">
            <w:pPr>
              <w:pStyle w:val="BodyText"/>
            </w:pPr>
            <w:r>
              <w:t>Disability Support Pension</w:t>
            </w:r>
          </w:p>
        </w:tc>
        <w:tc>
          <w:tcPr>
            <w:tcW w:w="841" w:type="pct"/>
          </w:tcPr>
          <w:p w:rsidR="00260042" w:rsidRDefault="00260042" w:rsidP="0020616A">
            <w:pPr>
              <w:pStyle w:val="BodyText"/>
              <w:jc w:val="right"/>
            </w:pPr>
            <w:r>
              <w:t>96,000</w:t>
            </w:r>
          </w:p>
        </w:tc>
        <w:tc>
          <w:tcPr>
            <w:tcW w:w="841" w:type="pct"/>
          </w:tcPr>
          <w:p w:rsidR="00260042" w:rsidRDefault="00260042" w:rsidP="0020616A">
            <w:pPr>
              <w:pStyle w:val="BodyText"/>
              <w:jc w:val="right"/>
            </w:pPr>
            <w:r>
              <w:t>39,000</w:t>
            </w:r>
          </w:p>
        </w:tc>
        <w:tc>
          <w:tcPr>
            <w:tcW w:w="841" w:type="pct"/>
          </w:tcPr>
          <w:p w:rsidR="00260042" w:rsidRDefault="00260042" w:rsidP="0020616A">
            <w:pPr>
              <w:pStyle w:val="BodyText"/>
              <w:jc w:val="right"/>
            </w:pPr>
            <w:r>
              <w:t>57,000</w:t>
            </w:r>
          </w:p>
        </w:tc>
      </w:tr>
      <w:tr w:rsidR="00260042" w:rsidTr="0020616A">
        <w:trPr>
          <w:trHeight w:val="376"/>
        </w:trPr>
        <w:tc>
          <w:tcPr>
            <w:tcW w:w="2477" w:type="pct"/>
          </w:tcPr>
          <w:p w:rsidR="00260042" w:rsidRDefault="00260042" w:rsidP="0020616A">
            <w:pPr>
              <w:pStyle w:val="BodyText"/>
            </w:pPr>
            <w:r>
              <w:t>Double Orphan Pension</w:t>
            </w:r>
          </w:p>
        </w:tc>
        <w:tc>
          <w:tcPr>
            <w:tcW w:w="841" w:type="pct"/>
          </w:tcPr>
          <w:p w:rsidR="00260042" w:rsidRDefault="00260042" w:rsidP="0020616A">
            <w:pPr>
              <w:pStyle w:val="BodyText"/>
              <w:jc w:val="right"/>
            </w:pPr>
            <w:r>
              <w:t>140</w:t>
            </w:r>
          </w:p>
        </w:tc>
        <w:tc>
          <w:tcPr>
            <w:tcW w:w="841" w:type="pct"/>
          </w:tcPr>
          <w:p w:rsidR="00260042" w:rsidRDefault="00260042" w:rsidP="0020616A">
            <w:pPr>
              <w:pStyle w:val="BodyText"/>
              <w:jc w:val="right"/>
            </w:pPr>
            <w:r>
              <w:t>100</w:t>
            </w:r>
          </w:p>
        </w:tc>
        <w:tc>
          <w:tcPr>
            <w:tcW w:w="841" w:type="pct"/>
          </w:tcPr>
          <w:p w:rsidR="00260042" w:rsidRDefault="00260042" w:rsidP="0020616A">
            <w:pPr>
              <w:pStyle w:val="BodyText"/>
              <w:jc w:val="right"/>
            </w:pPr>
            <w:r>
              <w:t>40</w:t>
            </w:r>
          </w:p>
        </w:tc>
      </w:tr>
      <w:tr w:rsidR="00260042" w:rsidTr="0020616A">
        <w:trPr>
          <w:trHeight w:val="376"/>
        </w:trPr>
        <w:tc>
          <w:tcPr>
            <w:tcW w:w="2477" w:type="pct"/>
          </w:tcPr>
          <w:p w:rsidR="00260042" w:rsidRDefault="00260042" w:rsidP="0020616A">
            <w:pPr>
              <w:pStyle w:val="BodyText"/>
            </w:pPr>
            <w:r>
              <w:t>Family Tax Benefit</w:t>
            </w:r>
          </w:p>
        </w:tc>
        <w:tc>
          <w:tcPr>
            <w:tcW w:w="841" w:type="pct"/>
          </w:tcPr>
          <w:p w:rsidR="00260042" w:rsidRDefault="00260042" w:rsidP="0020616A">
            <w:pPr>
              <w:pStyle w:val="BodyText"/>
              <w:jc w:val="right"/>
            </w:pPr>
            <w:r>
              <w:t>486,000</w:t>
            </w:r>
          </w:p>
        </w:tc>
        <w:tc>
          <w:tcPr>
            <w:tcW w:w="841" w:type="pct"/>
          </w:tcPr>
          <w:p w:rsidR="00260042" w:rsidRDefault="00260042" w:rsidP="0020616A">
            <w:pPr>
              <w:pStyle w:val="BodyText"/>
              <w:jc w:val="right"/>
            </w:pPr>
            <w:r>
              <w:t>315,000</w:t>
            </w:r>
          </w:p>
        </w:tc>
        <w:tc>
          <w:tcPr>
            <w:tcW w:w="841" w:type="pct"/>
          </w:tcPr>
          <w:p w:rsidR="00260042" w:rsidRDefault="00260042" w:rsidP="0020616A">
            <w:pPr>
              <w:pStyle w:val="BodyText"/>
              <w:jc w:val="right"/>
            </w:pPr>
            <w:r>
              <w:t>171,000</w:t>
            </w:r>
          </w:p>
        </w:tc>
      </w:tr>
      <w:tr w:rsidR="00260042" w:rsidTr="0020616A">
        <w:trPr>
          <w:trHeight w:val="376"/>
        </w:trPr>
        <w:tc>
          <w:tcPr>
            <w:tcW w:w="2477" w:type="pct"/>
          </w:tcPr>
          <w:p w:rsidR="00260042" w:rsidRDefault="00260042" w:rsidP="0020616A">
            <w:pPr>
              <w:pStyle w:val="BodyText"/>
            </w:pPr>
            <w:proofErr w:type="spellStart"/>
            <w:r>
              <w:t>JobSeeker</w:t>
            </w:r>
            <w:proofErr w:type="spellEnd"/>
            <w:r>
              <w:t xml:space="preserve"> Payment</w:t>
            </w:r>
          </w:p>
        </w:tc>
        <w:tc>
          <w:tcPr>
            <w:tcW w:w="841" w:type="pct"/>
          </w:tcPr>
          <w:p w:rsidR="00260042" w:rsidRDefault="00260042" w:rsidP="0020616A">
            <w:pPr>
              <w:pStyle w:val="BodyText"/>
              <w:jc w:val="right"/>
            </w:pPr>
            <w:r>
              <w:t>764,000</w:t>
            </w:r>
          </w:p>
        </w:tc>
        <w:tc>
          <w:tcPr>
            <w:tcW w:w="841" w:type="pct"/>
          </w:tcPr>
          <w:p w:rsidR="00260042" w:rsidRDefault="00260042" w:rsidP="0020616A">
            <w:pPr>
              <w:pStyle w:val="BodyText"/>
              <w:jc w:val="right"/>
            </w:pPr>
            <w:r>
              <w:t>578,000</w:t>
            </w:r>
          </w:p>
        </w:tc>
        <w:tc>
          <w:tcPr>
            <w:tcW w:w="841" w:type="pct"/>
          </w:tcPr>
          <w:p w:rsidR="00260042" w:rsidRDefault="00260042" w:rsidP="0020616A">
            <w:pPr>
              <w:pStyle w:val="BodyText"/>
              <w:jc w:val="right"/>
            </w:pPr>
            <w:r>
              <w:t>186,000</w:t>
            </w:r>
          </w:p>
        </w:tc>
      </w:tr>
      <w:tr w:rsidR="00260042" w:rsidTr="0020616A">
        <w:trPr>
          <w:trHeight w:val="376"/>
        </w:trPr>
        <w:tc>
          <w:tcPr>
            <w:tcW w:w="2477" w:type="pct"/>
          </w:tcPr>
          <w:p w:rsidR="00260042" w:rsidRDefault="00260042" w:rsidP="0020616A">
            <w:pPr>
              <w:pStyle w:val="BodyText"/>
            </w:pPr>
            <w:r>
              <w:t>Low Income Card</w:t>
            </w:r>
          </w:p>
        </w:tc>
        <w:tc>
          <w:tcPr>
            <w:tcW w:w="841" w:type="pct"/>
          </w:tcPr>
          <w:p w:rsidR="00260042" w:rsidRDefault="00260042" w:rsidP="0020616A">
            <w:pPr>
              <w:pStyle w:val="BodyText"/>
              <w:jc w:val="right"/>
            </w:pPr>
            <w:r>
              <w:t>125,500</w:t>
            </w:r>
          </w:p>
        </w:tc>
        <w:tc>
          <w:tcPr>
            <w:tcW w:w="841" w:type="pct"/>
          </w:tcPr>
          <w:p w:rsidR="00260042" w:rsidRDefault="00260042" w:rsidP="0020616A">
            <w:pPr>
              <w:pStyle w:val="BodyText"/>
              <w:jc w:val="right"/>
            </w:pPr>
            <w:r>
              <w:t>73,500</w:t>
            </w:r>
          </w:p>
        </w:tc>
        <w:tc>
          <w:tcPr>
            <w:tcW w:w="841" w:type="pct"/>
          </w:tcPr>
          <w:p w:rsidR="00260042" w:rsidRDefault="00260042" w:rsidP="0020616A">
            <w:pPr>
              <w:pStyle w:val="BodyText"/>
              <w:jc w:val="right"/>
            </w:pPr>
            <w:r>
              <w:t>52,000</w:t>
            </w:r>
          </w:p>
        </w:tc>
      </w:tr>
      <w:tr w:rsidR="00260042" w:rsidTr="0020616A">
        <w:trPr>
          <w:trHeight w:val="376"/>
        </w:trPr>
        <w:tc>
          <w:tcPr>
            <w:tcW w:w="2477" w:type="pct"/>
          </w:tcPr>
          <w:p w:rsidR="00260042" w:rsidRDefault="00260042" w:rsidP="0020616A">
            <w:pPr>
              <w:pStyle w:val="BodyText"/>
            </w:pPr>
            <w:r>
              <w:t>Mobility Allowance</w:t>
            </w:r>
          </w:p>
        </w:tc>
        <w:tc>
          <w:tcPr>
            <w:tcW w:w="841" w:type="pct"/>
          </w:tcPr>
          <w:p w:rsidR="00260042" w:rsidRDefault="00260042" w:rsidP="0020616A">
            <w:pPr>
              <w:pStyle w:val="BodyText"/>
              <w:jc w:val="right"/>
            </w:pPr>
            <w:r>
              <w:t>6,400</w:t>
            </w:r>
          </w:p>
        </w:tc>
        <w:tc>
          <w:tcPr>
            <w:tcW w:w="841" w:type="pct"/>
          </w:tcPr>
          <w:p w:rsidR="00260042" w:rsidRDefault="00260042" w:rsidP="0020616A">
            <w:pPr>
              <w:pStyle w:val="BodyText"/>
              <w:jc w:val="right"/>
            </w:pPr>
            <w:r>
              <w:t>1,200</w:t>
            </w:r>
          </w:p>
        </w:tc>
        <w:tc>
          <w:tcPr>
            <w:tcW w:w="841" w:type="pct"/>
          </w:tcPr>
          <w:p w:rsidR="00260042" w:rsidRDefault="00260042" w:rsidP="0020616A">
            <w:pPr>
              <w:pStyle w:val="BodyText"/>
              <w:jc w:val="right"/>
            </w:pPr>
            <w:r>
              <w:t>5,200</w:t>
            </w:r>
          </w:p>
        </w:tc>
      </w:tr>
      <w:tr w:rsidR="00260042" w:rsidTr="0020616A">
        <w:trPr>
          <w:trHeight w:val="376"/>
        </w:trPr>
        <w:tc>
          <w:tcPr>
            <w:tcW w:w="2477" w:type="pct"/>
          </w:tcPr>
          <w:p w:rsidR="00260042" w:rsidRDefault="00260042" w:rsidP="0020616A">
            <w:pPr>
              <w:pStyle w:val="BodyText"/>
            </w:pPr>
            <w:r>
              <w:t>Paid Parental Leave</w:t>
            </w:r>
          </w:p>
        </w:tc>
        <w:tc>
          <w:tcPr>
            <w:tcW w:w="841" w:type="pct"/>
          </w:tcPr>
          <w:p w:rsidR="00260042" w:rsidRDefault="00260042" w:rsidP="0020616A">
            <w:pPr>
              <w:pStyle w:val="BodyText"/>
              <w:jc w:val="right"/>
            </w:pPr>
            <w:r>
              <w:t>319,000</w:t>
            </w:r>
          </w:p>
        </w:tc>
        <w:tc>
          <w:tcPr>
            <w:tcW w:w="841" w:type="pct"/>
          </w:tcPr>
          <w:p w:rsidR="00260042" w:rsidRDefault="00260042" w:rsidP="0020616A">
            <w:pPr>
              <w:pStyle w:val="BodyText"/>
              <w:jc w:val="right"/>
            </w:pPr>
            <w:r>
              <w:t>291,000</w:t>
            </w:r>
          </w:p>
        </w:tc>
        <w:tc>
          <w:tcPr>
            <w:tcW w:w="841" w:type="pct"/>
          </w:tcPr>
          <w:p w:rsidR="00260042" w:rsidRDefault="00260042" w:rsidP="0020616A">
            <w:pPr>
              <w:pStyle w:val="BodyText"/>
              <w:jc w:val="right"/>
            </w:pPr>
            <w:r>
              <w:t>28,000</w:t>
            </w:r>
          </w:p>
        </w:tc>
      </w:tr>
      <w:tr w:rsidR="00260042" w:rsidTr="0020616A">
        <w:trPr>
          <w:trHeight w:val="376"/>
        </w:trPr>
        <w:tc>
          <w:tcPr>
            <w:tcW w:w="2477" w:type="pct"/>
          </w:tcPr>
          <w:p w:rsidR="00260042" w:rsidRDefault="00260042" w:rsidP="0020616A">
            <w:pPr>
              <w:pStyle w:val="BodyText"/>
            </w:pPr>
            <w:r>
              <w:t>Parenting Payment</w:t>
            </w:r>
          </w:p>
        </w:tc>
        <w:tc>
          <w:tcPr>
            <w:tcW w:w="841" w:type="pct"/>
          </w:tcPr>
          <w:p w:rsidR="00260042" w:rsidRDefault="00260042" w:rsidP="0020616A">
            <w:pPr>
              <w:pStyle w:val="BodyText"/>
              <w:jc w:val="right"/>
            </w:pPr>
            <w:r>
              <w:t>146,500</w:t>
            </w:r>
          </w:p>
        </w:tc>
        <w:tc>
          <w:tcPr>
            <w:tcW w:w="841" w:type="pct"/>
          </w:tcPr>
          <w:p w:rsidR="00260042" w:rsidRDefault="00260042" w:rsidP="0020616A">
            <w:pPr>
              <w:pStyle w:val="BodyText"/>
              <w:jc w:val="right"/>
            </w:pPr>
            <w:r>
              <w:t>89,000</w:t>
            </w:r>
          </w:p>
        </w:tc>
        <w:tc>
          <w:tcPr>
            <w:tcW w:w="841" w:type="pct"/>
          </w:tcPr>
          <w:p w:rsidR="00260042" w:rsidRDefault="00260042" w:rsidP="0020616A">
            <w:pPr>
              <w:pStyle w:val="BodyText"/>
              <w:jc w:val="right"/>
            </w:pPr>
            <w:r>
              <w:t>57,500</w:t>
            </w:r>
          </w:p>
        </w:tc>
      </w:tr>
      <w:tr w:rsidR="00260042" w:rsidTr="0020616A">
        <w:trPr>
          <w:trHeight w:val="376"/>
        </w:trPr>
        <w:tc>
          <w:tcPr>
            <w:tcW w:w="2477" w:type="pct"/>
          </w:tcPr>
          <w:p w:rsidR="00260042" w:rsidRDefault="00260042" w:rsidP="0020616A">
            <w:pPr>
              <w:pStyle w:val="BodyText"/>
            </w:pPr>
            <w:r>
              <w:t>Pensioner Education Supplement</w:t>
            </w:r>
          </w:p>
        </w:tc>
        <w:tc>
          <w:tcPr>
            <w:tcW w:w="841" w:type="pct"/>
          </w:tcPr>
          <w:p w:rsidR="00260042" w:rsidRDefault="00260042" w:rsidP="0020616A">
            <w:pPr>
              <w:pStyle w:val="BodyText"/>
              <w:jc w:val="right"/>
            </w:pPr>
            <w:r>
              <w:t>34,000</w:t>
            </w:r>
          </w:p>
        </w:tc>
        <w:tc>
          <w:tcPr>
            <w:tcW w:w="841" w:type="pct"/>
          </w:tcPr>
          <w:p w:rsidR="00260042" w:rsidRDefault="00260042" w:rsidP="0020616A">
            <w:pPr>
              <w:pStyle w:val="BodyText"/>
              <w:jc w:val="right"/>
            </w:pPr>
            <w:r>
              <w:t>25,000</w:t>
            </w:r>
          </w:p>
        </w:tc>
        <w:tc>
          <w:tcPr>
            <w:tcW w:w="841" w:type="pct"/>
          </w:tcPr>
          <w:p w:rsidR="00260042" w:rsidRDefault="00260042" w:rsidP="0020616A">
            <w:pPr>
              <w:pStyle w:val="BodyText"/>
              <w:jc w:val="right"/>
            </w:pPr>
            <w:r>
              <w:t>9,000</w:t>
            </w:r>
          </w:p>
        </w:tc>
      </w:tr>
      <w:tr w:rsidR="00260042" w:rsidTr="0020616A">
        <w:trPr>
          <w:trHeight w:val="376"/>
        </w:trPr>
        <w:tc>
          <w:tcPr>
            <w:tcW w:w="2477" w:type="pct"/>
          </w:tcPr>
          <w:p w:rsidR="00260042" w:rsidRDefault="00260042" w:rsidP="0020616A">
            <w:pPr>
              <w:pStyle w:val="BodyText"/>
            </w:pPr>
            <w:r>
              <w:t>Seniors Health Card</w:t>
            </w:r>
          </w:p>
        </w:tc>
        <w:tc>
          <w:tcPr>
            <w:tcW w:w="841" w:type="pct"/>
          </w:tcPr>
          <w:p w:rsidR="00260042" w:rsidRDefault="00260042" w:rsidP="0020616A">
            <w:pPr>
              <w:pStyle w:val="BodyText"/>
              <w:jc w:val="right"/>
            </w:pPr>
            <w:r>
              <w:t>78,000</w:t>
            </w:r>
          </w:p>
        </w:tc>
        <w:tc>
          <w:tcPr>
            <w:tcW w:w="841" w:type="pct"/>
          </w:tcPr>
          <w:p w:rsidR="00260042" w:rsidRDefault="00260042" w:rsidP="0020616A">
            <w:pPr>
              <w:pStyle w:val="BodyText"/>
              <w:jc w:val="right"/>
            </w:pPr>
            <w:r>
              <w:t>65,000</w:t>
            </w:r>
          </w:p>
        </w:tc>
        <w:tc>
          <w:tcPr>
            <w:tcW w:w="841" w:type="pct"/>
          </w:tcPr>
          <w:p w:rsidR="00260042" w:rsidRDefault="00260042" w:rsidP="0020616A">
            <w:pPr>
              <w:pStyle w:val="BodyText"/>
              <w:jc w:val="right"/>
            </w:pPr>
            <w:r>
              <w:t>13,000</w:t>
            </w:r>
          </w:p>
        </w:tc>
      </w:tr>
      <w:tr w:rsidR="00260042" w:rsidTr="0020616A">
        <w:trPr>
          <w:trHeight w:val="376"/>
        </w:trPr>
        <w:tc>
          <w:tcPr>
            <w:tcW w:w="2477" w:type="pct"/>
          </w:tcPr>
          <w:p w:rsidR="00260042" w:rsidRDefault="00260042" w:rsidP="0020616A">
            <w:pPr>
              <w:pStyle w:val="BodyText"/>
            </w:pPr>
            <w:r>
              <w:t>Special Benefit</w:t>
            </w:r>
          </w:p>
        </w:tc>
        <w:tc>
          <w:tcPr>
            <w:tcW w:w="841" w:type="pct"/>
          </w:tcPr>
          <w:p w:rsidR="00260042" w:rsidRDefault="00260042" w:rsidP="0020616A">
            <w:pPr>
              <w:pStyle w:val="BodyText"/>
              <w:jc w:val="right"/>
            </w:pPr>
            <w:r>
              <w:t>21,000</w:t>
            </w:r>
          </w:p>
        </w:tc>
        <w:tc>
          <w:tcPr>
            <w:tcW w:w="841" w:type="pct"/>
          </w:tcPr>
          <w:p w:rsidR="00260042" w:rsidRDefault="00260042" w:rsidP="0020616A">
            <w:pPr>
              <w:pStyle w:val="BodyText"/>
              <w:jc w:val="right"/>
            </w:pPr>
            <w:r>
              <w:t>5,000</w:t>
            </w:r>
          </w:p>
        </w:tc>
        <w:tc>
          <w:tcPr>
            <w:tcW w:w="841" w:type="pct"/>
          </w:tcPr>
          <w:p w:rsidR="00260042" w:rsidRDefault="00260042" w:rsidP="0020616A">
            <w:pPr>
              <w:pStyle w:val="BodyText"/>
              <w:jc w:val="right"/>
            </w:pPr>
            <w:r>
              <w:t>16,000</w:t>
            </w:r>
          </w:p>
        </w:tc>
      </w:tr>
      <w:tr w:rsidR="00260042" w:rsidTr="0020616A">
        <w:trPr>
          <w:trHeight w:val="376"/>
        </w:trPr>
        <w:tc>
          <w:tcPr>
            <w:tcW w:w="2477" w:type="pct"/>
          </w:tcPr>
          <w:p w:rsidR="00260042" w:rsidRDefault="00260042" w:rsidP="0020616A">
            <w:pPr>
              <w:pStyle w:val="BodyText"/>
            </w:pPr>
            <w:r>
              <w:t>Stillborn Baby Payment</w:t>
            </w:r>
          </w:p>
        </w:tc>
        <w:tc>
          <w:tcPr>
            <w:tcW w:w="841" w:type="pct"/>
          </w:tcPr>
          <w:p w:rsidR="00260042" w:rsidRDefault="00260042" w:rsidP="0020616A">
            <w:pPr>
              <w:pStyle w:val="BodyText"/>
              <w:jc w:val="right"/>
            </w:pPr>
            <w:r>
              <w:t>1,600</w:t>
            </w:r>
          </w:p>
        </w:tc>
        <w:tc>
          <w:tcPr>
            <w:tcW w:w="841" w:type="pct"/>
          </w:tcPr>
          <w:p w:rsidR="00260042" w:rsidRDefault="00260042" w:rsidP="0020616A">
            <w:pPr>
              <w:pStyle w:val="BodyText"/>
              <w:jc w:val="right"/>
            </w:pPr>
            <w:r>
              <w:t>900</w:t>
            </w:r>
          </w:p>
        </w:tc>
        <w:tc>
          <w:tcPr>
            <w:tcW w:w="841" w:type="pct"/>
          </w:tcPr>
          <w:p w:rsidR="00260042" w:rsidRDefault="00260042" w:rsidP="0020616A">
            <w:pPr>
              <w:pStyle w:val="BodyText"/>
              <w:jc w:val="right"/>
            </w:pPr>
            <w:r>
              <w:t>700</w:t>
            </w:r>
          </w:p>
        </w:tc>
      </w:tr>
      <w:tr w:rsidR="00260042" w:rsidTr="0020616A">
        <w:trPr>
          <w:trHeight w:val="376"/>
        </w:trPr>
        <w:tc>
          <w:tcPr>
            <w:tcW w:w="2477" w:type="pct"/>
          </w:tcPr>
          <w:p w:rsidR="00260042" w:rsidRDefault="00260042" w:rsidP="0020616A">
            <w:pPr>
              <w:pStyle w:val="BodyText"/>
            </w:pPr>
            <w:r>
              <w:t>Youth Allowance (</w:t>
            </w:r>
            <w:proofErr w:type="spellStart"/>
            <w:r>
              <w:t>JobSeeker</w:t>
            </w:r>
            <w:proofErr w:type="spellEnd"/>
            <w:r>
              <w:t>)</w:t>
            </w:r>
          </w:p>
        </w:tc>
        <w:tc>
          <w:tcPr>
            <w:tcW w:w="841" w:type="pct"/>
          </w:tcPr>
          <w:p w:rsidR="00260042" w:rsidRDefault="00260042" w:rsidP="0020616A">
            <w:pPr>
              <w:pStyle w:val="BodyText"/>
              <w:jc w:val="right"/>
            </w:pPr>
            <w:r>
              <w:t>135,000</w:t>
            </w:r>
          </w:p>
        </w:tc>
        <w:tc>
          <w:tcPr>
            <w:tcW w:w="841" w:type="pct"/>
          </w:tcPr>
          <w:p w:rsidR="00260042" w:rsidRDefault="00260042" w:rsidP="0020616A">
            <w:pPr>
              <w:pStyle w:val="BodyText"/>
              <w:jc w:val="right"/>
            </w:pPr>
            <w:r>
              <w:t>83,000</w:t>
            </w:r>
          </w:p>
        </w:tc>
        <w:tc>
          <w:tcPr>
            <w:tcW w:w="841" w:type="pct"/>
          </w:tcPr>
          <w:p w:rsidR="00260042" w:rsidRDefault="00260042" w:rsidP="0020616A">
            <w:pPr>
              <w:pStyle w:val="BodyText"/>
              <w:jc w:val="right"/>
            </w:pPr>
            <w:r>
              <w:t>52,000</w:t>
            </w:r>
          </w:p>
        </w:tc>
      </w:tr>
      <w:tr w:rsidR="00260042" w:rsidTr="0020616A">
        <w:trPr>
          <w:trHeight w:val="376"/>
        </w:trPr>
        <w:tc>
          <w:tcPr>
            <w:tcW w:w="2477" w:type="pct"/>
          </w:tcPr>
          <w:p w:rsidR="00260042" w:rsidRDefault="00260042" w:rsidP="0020616A">
            <w:pPr>
              <w:pStyle w:val="BodyText"/>
            </w:pPr>
            <w:r>
              <w:t xml:space="preserve">Youth Allowance Student and </w:t>
            </w:r>
            <w:proofErr w:type="spellStart"/>
            <w:r>
              <w:t>Austudy</w:t>
            </w:r>
            <w:proofErr w:type="spellEnd"/>
          </w:p>
        </w:tc>
        <w:tc>
          <w:tcPr>
            <w:tcW w:w="841" w:type="pct"/>
          </w:tcPr>
          <w:p w:rsidR="00260042" w:rsidRDefault="00260042" w:rsidP="0020616A">
            <w:pPr>
              <w:pStyle w:val="BodyText"/>
              <w:jc w:val="right"/>
            </w:pPr>
            <w:r>
              <w:t>281,000</w:t>
            </w:r>
          </w:p>
        </w:tc>
        <w:tc>
          <w:tcPr>
            <w:tcW w:w="841" w:type="pct"/>
          </w:tcPr>
          <w:p w:rsidR="00260042" w:rsidRDefault="00260042" w:rsidP="0020616A">
            <w:pPr>
              <w:pStyle w:val="BodyText"/>
              <w:jc w:val="right"/>
            </w:pPr>
            <w:r>
              <w:t>183,000</w:t>
            </w:r>
          </w:p>
        </w:tc>
        <w:tc>
          <w:tcPr>
            <w:tcW w:w="841" w:type="pct"/>
          </w:tcPr>
          <w:p w:rsidR="00260042" w:rsidRDefault="00260042" w:rsidP="0020616A">
            <w:pPr>
              <w:pStyle w:val="BodyText"/>
              <w:jc w:val="right"/>
            </w:pPr>
            <w:r>
              <w:t>98,000</w:t>
            </w:r>
          </w:p>
        </w:tc>
      </w:tr>
      <w:tr w:rsidR="00260042" w:rsidTr="0020616A">
        <w:trPr>
          <w:trHeight w:val="376"/>
        </w:trPr>
        <w:tc>
          <w:tcPr>
            <w:tcW w:w="2477" w:type="pct"/>
          </w:tcPr>
          <w:p w:rsidR="00260042" w:rsidRDefault="00260042" w:rsidP="0020616A">
            <w:pPr>
              <w:pStyle w:val="BodyText"/>
            </w:pPr>
            <w:r>
              <w:rPr>
                <w:rStyle w:val="Bold"/>
              </w:rPr>
              <w:t>Total</w:t>
            </w:r>
          </w:p>
        </w:tc>
        <w:tc>
          <w:tcPr>
            <w:tcW w:w="841" w:type="pct"/>
          </w:tcPr>
          <w:p w:rsidR="00260042" w:rsidRDefault="00260042" w:rsidP="0020616A">
            <w:pPr>
              <w:pStyle w:val="BodyText"/>
              <w:jc w:val="right"/>
            </w:pPr>
            <w:r>
              <w:rPr>
                <w:rStyle w:val="Bold"/>
              </w:rPr>
              <w:t>5,219,040</w:t>
            </w:r>
          </w:p>
        </w:tc>
        <w:tc>
          <w:tcPr>
            <w:tcW w:w="841" w:type="pct"/>
          </w:tcPr>
          <w:p w:rsidR="00260042" w:rsidRDefault="00260042" w:rsidP="0020616A">
            <w:pPr>
              <w:pStyle w:val="BodyText"/>
              <w:jc w:val="right"/>
            </w:pPr>
            <w:r>
              <w:rPr>
                <w:rStyle w:val="Bold"/>
              </w:rPr>
              <w:t>3,653,400</w:t>
            </w:r>
          </w:p>
        </w:tc>
        <w:tc>
          <w:tcPr>
            <w:tcW w:w="841" w:type="pct"/>
          </w:tcPr>
          <w:p w:rsidR="00260042" w:rsidRDefault="00260042" w:rsidP="0020616A">
            <w:pPr>
              <w:pStyle w:val="BodyText"/>
              <w:jc w:val="right"/>
            </w:pPr>
            <w:r>
              <w:rPr>
                <w:rStyle w:val="Bold"/>
              </w:rPr>
              <w:t>1,565,640</w:t>
            </w:r>
          </w:p>
        </w:tc>
      </w:tr>
    </w:tbl>
    <w:p w:rsidR="00260042" w:rsidRDefault="00260042" w:rsidP="00EA5510">
      <w:pPr>
        <w:pStyle w:val="BodyText"/>
      </w:pPr>
      <w:r>
        <w:rPr>
          <w:rStyle w:val="Bold"/>
        </w:rPr>
        <w:t>Note:</w:t>
      </w:r>
      <w:r>
        <w:t xml:space="preserve"> Rounding </w:t>
      </w:r>
      <w:proofErr w:type="gramStart"/>
      <w:r>
        <w:t>has been applied</w:t>
      </w:r>
      <w:proofErr w:type="gramEnd"/>
      <w:r>
        <w:t>.</w:t>
      </w:r>
    </w:p>
    <w:p w:rsidR="00260042" w:rsidRDefault="00260042" w:rsidP="00260042">
      <w:pPr>
        <w:pStyle w:val="BodyText"/>
      </w:pPr>
      <w:r>
        <w:lastRenderedPageBreak/>
        <w:t xml:space="preserve">For more information about social security and welfare payments and support, see our website at </w:t>
      </w:r>
      <w:r>
        <w:rPr>
          <w:rStyle w:val="Bold"/>
        </w:rPr>
        <w:t xml:space="preserve">servicesaustralia.gov.au </w:t>
      </w:r>
    </w:p>
    <w:p w:rsidR="00260042" w:rsidRDefault="00260042" w:rsidP="002E64CE">
      <w:pPr>
        <w:pStyle w:val="Heading3"/>
      </w:pPr>
      <w:r>
        <w:t>Older Australians</w:t>
      </w:r>
    </w:p>
    <w:p w:rsidR="00260042" w:rsidRDefault="00260042" w:rsidP="00260042">
      <w:pPr>
        <w:pStyle w:val="BodyText"/>
      </w:pPr>
      <w:r>
        <w:t xml:space="preserve">Age Pension is an income support payment for eligible older Australians. It also gives customers a Pension Concession Card and access to a range of concessions. </w:t>
      </w:r>
    </w:p>
    <w:p w:rsidR="00260042" w:rsidRDefault="00260042" w:rsidP="00260042">
      <w:pPr>
        <w:pStyle w:val="BodyText"/>
        <w:spacing w:after="57"/>
      </w:pPr>
      <w:r>
        <w:t xml:space="preserve">Age Pension is income and assets tested. Age Pension customers’ entitlements </w:t>
      </w:r>
      <w:proofErr w:type="gramStart"/>
      <w:r>
        <w:t>are assessed</w:t>
      </w:r>
      <w:proofErr w:type="gramEnd"/>
      <w:r>
        <w:t xml:space="preserve"> under the Social Security Income and Assets Tests. In 2020–21:</w:t>
      </w:r>
    </w:p>
    <w:p w:rsidR="00260042" w:rsidRDefault="00260042" w:rsidP="008930A3">
      <w:pPr>
        <w:pStyle w:val="ListBullet"/>
      </w:pPr>
      <w:r>
        <w:t>there were approximately 2.59 million Age Pension customers</w:t>
      </w:r>
    </w:p>
    <w:p w:rsidR="00260042" w:rsidRDefault="00260042" w:rsidP="008930A3">
      <w:pPr>
        <w:pStyle w:val="ListBullet"/>
      </w:pPr>
      <w:r>
        <w:t>61.8% of age pensioners received the full-rate pension and 33.2% received a part-rate pension based on their income and assets</w:t>
      </w:r>
    </w:p>
    <w:p w:rsidR="00260042" w:rsidRDefault="00260042" w:rsidP="00EA5510">
      <w:pPr>
        <w:pStyle w:val="ListBullet"/>
      </w:pPr>
      <w:r>
        <w:t>Services Australia paid over $52.9 billion in Age Pension payments.</w:t>
      </w:r>
    </w:p>
    <w:p w:rsidR="00260042" w:rsidRDefault="00260042" w:rsidP="002E64CE">
      <w:pPr>
        <w:pStyle w:val="Heading3"/>
      </w:pPr>
      <w:r>
        <w:t>Carers</w:t>
      </w:r>
    </w:p>
    <w:p w:rsidR="00260042" w:rsidRDefault="00260042" w:rsidP="0020616A">
      <w:pPr>
        <w:pStyle w:val="Heading4"/>
      </w:pPr>
      <w:r>
        <w:t xml:space="preserve">Carer Payment </w:t>
      </w:r>
    </w:p>
    <w:p w:rsidR="00260042" w:rsidRDefault="00260042" w:rsidP="00260042">
      <w:pPr>
        <w:pStyle w:val="BodyText"/>
        <w:spacing w:after="57"/>
      </w:pPr>
      <w:r>
        <w:t xml:space="preserve">Carer Payment is an income support payment for carers who are unable to work in substantial paid employment because they are providing significant care for another person who has high care needs. To be eligible for Carer Payment, a carer must be providing constant care </w:t>
      </w:r>
      <w:proofErr w:type="gramStart"/>
      <w:r>
        <w:t>for</w:t>
      </w:r>
      <w:proofErr w:type="gramEnd"/>
      <w:r>
        <w:t>:</w:t>
      </w:r>
    </w:p>
    <w:p w:rsidR="00260042" w:rsidRDefault="00260042" w:rsidP="008930A3">
      <w:pPr>
        <w:pStyle w:val="ListBullet"/>
      </w:pPr>
      <w:r>
        <w:t xml:space="preserve">an adult or child with disability or severe medical condition, or </w:t>
      </w:r>
    </w:p>
    <w:p w:rsidR="00260042" w:rsidRDefault="00260042" w:rsidP="00EA5510">
      <w:pPr>
        <w:pStyle w:val="ListBullet"/>
      </w:pPr>
      <w:proofErr w:type="gramStart"/>
      <w:r>
        <w:t>an</w:t>
      </w:r>
      <w:proofErr w:type="gramEnd"/>
      <w:r>
        <w:t xml:space="preserve"> adult who is frail aged. </w:t>
      </w:r>
    </w:p>
    <w:p w:rsidR="00260042" w:rsidRDefault="00260042" w:rsidP="00260042">
      <w:pPr>
        <w:pStyle w:val="BodyText"/>
      </w:pPr>
      <w:r>
        <w:t xml:space="preserve">In 2020–21, over 48,000 claims for Carer Payment </w:t>
      </w:r>
      <w:proofErr w:type="gramStart"/>
      <w:r>
        <w:t>were granted</w:t>
      </w:r>
      <w:proofErr w:type="gramEnd"/>
      <w:r>
        <w:t>.</w:t>
      </w:r>
    </w:p>
    <w:p w:rsidR="00260042" w:rsidRDefault="00260042" w:rsidP="0020616A">
      <w:pPr>
        <w:pStyle w:val="Heading4"/>
      </w:pPr>
      <w:r>
        <w:t xml:space="preserve">Carer Allowance </w:t>
      </w:r>
    </w:p>
    <w:p w:rsidR="00260042" w:rsidRDefault="00260042" w:rsidP="00260042">
      <w:pPr>
        <w:pStyle w:val="BodyText"/>
        <w:spacing w:after="57"/>
      </w:pPr>
      <w:r>
        <w:t xml:space="preserve">Carer Allowance is an income supplement for people who provide additional daily care and attention </w:t>
      </w:r>
      <w:proofErr w:type="gramStart"/>
      <w:r>
        <w:t>for</w:t>
      </w:r>
      <w:proofErr w:type="gramEnd"/>
      <w:r>
        <w:t>:</w:t>
      </w:r>
    </w:p>
    <w:p w:rsidR="00260042" w:rsidRDefault="00260042" w:rsidP="008930A3">
      <w:pPr>
        <w:pStyle w:val="ListBullet"/>
      </w:pPr>
      <w:r>
        <w:t xml:space="preserve">an adult or child with disability or severe medical condition, or </w:t>
      </w:r>
    </w:p>
    <w:p w:rsidR="00260042" w:rsidRDefault="00260042" w:rsidP="00EA5510">
      <w:pPr>
        <w:pStyle w:val="ListBullet"/>
      </w:pPr>
      <w:proofErr w:type="gramStart"/>
      <w:r>
        <w:t>an</w:t>
      </w:r>
      <w:proofErr w:type="gramEnd"/>
      <w:r>
        <w:t xml:space="preserve"> adult who is frail aged. </w:t>
      </w:r>
    </w:p>
    <w:p w:rsidR="00260042" w:rsidRDefault="00260042" w:rsidP="00260042">
      <w:pPr>
        <w:pStyle w:val="BodyText"/>
      </w:pPr>
      <w:r>
        <w:t xml:space="preserve">Carer Allowance is income tested but is not taxable or assets tested. In 2020–21, nearly 83,000 claims for Carer Allowance </w:t>
      </w:r>
      <w:proofErr w:type="gramStart"/>
      <w:r>
        <w:t>were granted</w:t>
      </w:r>
      <w:proofErr w:type="gramEnd"/>
      <w:r>
        <w:t>.</w:t>
      </w:r>
    </w:p>
    <w:p w:rsidR="00260042" w:rsidRDefault="00260042" w:rsidP="002E64CE">
      <w:pPr>
        <w:pStyle w:val="Heading3"/>
      </w:pPr>
      <w:r>
        <w:t>People with disability</w:t>
      </w:r>
    </w:p>
    <w:p w:rsidR="00260042" w:rsidRDefault="00260042" w:rsidP="0020616A">
      <w:pPr>
        <w:pStyle w:val="Heading4"/>
      </w:pPr>
      <w:r>
        <w:t>Disability Support Pension</w:t>
      </w:r>
    </w:p>
    <w:p w:rsidR="00260042" w:rsidRDefault="00260042" w:rsidP="00260042">
      <w:pPr>
        <w:pStyle w:val="BodyText"/>
      </w:pPr>
      <w:r>
        <w:t xml:space="preserve">Disability Support Pension (DSP) is an income support payment for people with a permanent physical, intellectual or psychiatric condition that prevents them from working. </w:t>
      </w:r>
    </w:p>
    <w:p w:rsidR="00260042" w:rsidRDefault="00260042" w:rsidP="00260042">
      <w:pPr>
        <w:pStyle w:val="BodyText"/>
        <w:spacing w:after="57"/>
      </w:pPr>
      <w:r>
        <w:t xml:space="preserve">In July 2020, the agency released a paper claim form specifically for people with a terminal illness who were claiming the DSP. The new </w:t>
      </w:r>
      <w:r>
        <w:rPr>
          <w:rStyle w:val="Italic"/>
        </w:rPr>
        <w:t>Claim for Disability Support Pension for a terminal illness (SA494)</w:t>
      </w:r>
      <w:r>
        <w:t xml:space="preserve"> form:</w:t>
      </w:r>
    </w:p>
    <w:p w:rsidR="00260042" w:rsidRDefault="00260042" w:rsidP="008930A3">
      <w:pPr>
        <w:pStyle w:val="ListBullet"/>
      </w:pPr>
      <w:r>
        <w:t>is simpler and reduces the number of questions from the standard DSP paper claim form</w:t>
      </w:r>
    </w:p>
    <w:p w:rsidR="00260042" w:rsidRDefault="00260042" w:rsidP="008930A3">
      <w:pPr>
        <w:pStyle w:val="ListBullet"/>
      </w:pPr>
      <w:r>
        <w:lastRenderedPageBreak/>
        <w:t>supports customers who may not have access to online claiming or who cannot attend a service centre due to the severity of their condition or treatment</w:t>
      </w:r>
    </w:p>
    <w:p w:rsidR="00260042" w:rsidRDefault="00260042" w:rsidP="00EA5510">
      <w:pPr>
        <w:pStyle w:val="ListBullet"/>
      </w:pPr>
      <w:proofErr w:type="gramStart"/>
      <w:r>
        <w:t>ensures</w:t>
      </w:r>
      <w:proofErr w:type="gramEnd"/>
      <w:r>
        <w:t xml:space="preserve"> these claims can be identified and actioned as a priority.</w:t>
      </w:r>
    </w:p>
    <w:p w:rsidR="00260042" w:rsidRDefault="00260042" w:rsidP="00260042">
      <w:pPr>
        <w:pStyle w:val="BodyText"/>
      </w:pPr>
      <w:r>
        <w:t xml:space="preserve">The agency also released a one-page medical report form in September 2020 to help doctors quickly and easily confirm a claimant has a terminal illness, if the claimant does not have medical evidence showing the diagnosis and prognosis of their condition. </w:t>
      </w:r>
    </w:p>
    <w:p w:rsidR="00260042" w:rsidRDefault="00260042" w:rsidP="0020616A">
      <w:pPr>
        <w:pStyle w:val="Heading4"/>
      </w:pPr>
      <w:r>
        <w:t>Mobility Allowance</w:t>
      </w:r>
    </w:p>
    <w:p w:rsidR="00260042" w:rsidRDefault="00260042" w:rsidP="00260042">
      <w:pPr>
        <w:pStyle w:val="BodyText"/>
      </w:pPr>
      <w:r>
        <w:t>Mobility Allowance is a payment that assists with travel costs for work, study or looking for work for people with disability, illness or injury that prevents them using public transport.</w:t>
      </w:r>
    </w:p>
    <w:p w:rsidR="00260042" w:rsidRDefault="00260042" w:rsidP="002E64CE">
      <w:pPr>
        <w:pStyle w:val="Heading3"/>
      </w:pPr>
      <w:r>
        <w:t>Families</w:t>
      </w:r>
    </w:p>
    <w:p w:rsidR="00260042" w:rsidRDefault="00260042" w:rsidP="00260042">
      <w:pPr>
        <w:pStyle w:val="BodyText"/>
      </w:pPr>
      <w:r>
        <w:t xml:space="preserve">Services Australia administers a range of payments and support to help families meet the costs of raising children. We also help parents planning to return to work and education, and grandparents and non-parent carers needing information. </w:t>
      </w:r>
    </w:p>
    <w:p w:rsidR="00260042" w:rsidRDefault="00260042" w:rsidP="0020616A">
      <w:pPr>
        <w:pStyle w:val="Heading4"/>
      </w:pPr>
      <w:r>
        <w:t>Parenting Payment</w:t>
      </w:r>
    </w:p>
    <w:p w:rsidR="00260042" w:rsidRDefault="00260042" w:rsidP="00260042">
      <w:pPr>
        <w:pStyle w:val="BodyText"/>
        <w:keepLines/>
      </w:pPr>
      <w:r>
        <w:t xml:space="preserve">Parenting Payment assists families with the costs of raising children. There are </w:t>
      </w:r>
      <w:proofErr w:type="gramStart"/>
      <w:r>
        <w:t>2</w:t>
      </w:r>
      <w:proofErr w:type="gramEnd"/>
      <w:r>
        <w:t xml:space="preserve"> payment rates: Parenting Payment Single, which is for single parents; and Parenting Payment Partnered, which is for partnered parents. Both payments are income tested and the amount paid </w:t>
      </w:r>
      <w:proofErr w:type="gramStart"/>
      <w:r>
        <w:t>is based</w:t>
      </w:r>
      <w:proofErr w:type="gramEnd"/>
      <w:r>
        <w:t xml:space="preserve"> on individual circumstances. </w:t>
      </w:r>
    </w:p>
    <w:p w:rsidR="00260042" w:rsidRDefault="00260042" w:rsidP="0020616A">
      <w:pPr>
        <w:pStyle w:val="Heading4"/>
      </w:pPr>
      <w:r>
        <w:t xml:space="preserve">Family Tax Benefit </w:t>
      </w:r>
    </w:p>
    <w:p w:rsidR="00260042" w:rsidRDefault="00260042" w:rsidP="00260042">
      <w:pPr>
        <w:pStyle w:val="BodyText"/>
      </w:pPr>
      <w:r>
        <w:t xml:space="preserve">FTB assists families with the day-to-day cost of raising children. It has </w:t>
      </w:r>
      <w:proofErr w:type="gramStart"/>
      <w:r>
        <w:t>2</w:t>
      </w:r>
      <w:proofErr w:type="gramEnd"/>
      <w:r>
        <w:t xml:space="preserve"> parts: FTB Part A, which is paid per child; and FTB Part B, which is paid for the family. Both payments are income tested and the amount each family is paid </w:t>
      </w:r>
      <w:proofErr w:type="gramStart"/>
      <w:r>
        <w:t>is based</w:t>
      </w:r>
      <w:proofErr w:type="gramEnd"/>
      <w:r>
        <w:t xml:space="preserve"> on the family’s individual circumstances.</w:t>
      </w:r>
    </w:p>
    <w:p w:rsidR="00260042" w:rsidRDefault="00260042" w:rsidP="0020616A">
      <w:pPr>
        <w:pStyle w:val="Heading4"/>
      </w:pPr>
      <w:r>
        <w:t xml:space="preserve">Paid Parental Leave Scheme </w:t>
      </w:r>
    </w:p>
    <w:p w:rsidR="00260042" w:rsidRDefault="00260042" w:rsidP="00260042">
      <w:pPr>
        <w:pStyle w:val="BodyText"/>
        <w:spacing w:after="57"/>
      </w:pPr>
      <w:r>
        <w:t xml:space="preserve">Paid Parental Leave Scheme payments help eligible parents to take time off work to care for a new baby or recently adopted child. There are </w:t>
      </w:r>
      <w:proofErr w:type="gramStart"/>
      <w:r>
        <w:t>2</w:t>
      </w:r>
      <w:proofErr w:type="gramEnd"/>
      <w:r>
        <w:t xml:space="preserve"> payments under the scheme: </w:t>
      </w:r>
    </w:p>
    <w:p w:rsidR="00260042" w:rsidRDefault="00260042" w:rsidP="008930A3">
      <w:pPr>
        <w:pStyle w:val="ListBullet"/>
      </w:pPr>
      <w:r>
        <w:t xml:space="preserve">Parental Leave Pay, which is a payment to parents of newborns and newly adopted children </w:t>
      </w:r>
    </w:p>
    <w:p w:rsidR="00260042" w:rsidRDefault="00260042" w:rsidP="00EA5510">
      <w:pPr>
        <w:pStyle w:val="ListBullet"/>
      </w:pPr>
      <w:r>
        <w:t xml:space="preserve">Dad and Partner Pay, which is a short-term payment to fathers or partners who are on leave to help care for a new child. </w:t>
      </w:r>
    </w:p>
    <w:p w:rsidR="00260042" w:rsidRDefault="00260042" w:rsidP="00260042">
      <w:pPr>
        <w:pStyle w:val="BodyText"/>
      </w:pPr>
      <w:r>
        <w:t>To receive these payments, the applicant must meet an income test, a work test and residency requirements.</w:t>
      </w:r>
    </w:p>
    <w:p w:rsidR="00260042" w:rsidRDefault="00260042" w:rsidP="0020616A">
      <w:pPr>
        <w:pStyle w:val="Heading4"/>
      </w:pPr>
      <w:r>
        <w:t xml:space="preserve">Child Care Subsidy </w:t>
      </w:r>
    </w:p>
    <w:p w:rsidR="00260042" w:rsidRDefault="00260042" w:rsidP="00260042">
      <w:pPr>
        <w:pStyle w:val="BodyText"/>
        <w:spacing w:after="57"/>
      </w:pPr>
      <w:r>
        <w:t xml:space="preserve">Payments that help parents with the cost of </w:t>
      </w:r>
      <w:proofErr w:type="gramStart"/>
      <w:r>
        <w:t>child care</w:t>
      </w:r>
      <w:proofErr w:type="gramEnd"/>
      <w:r>
        <w:t xml:space="preserve"> are:</w:t>
      </w:r>
    </w:p>
    <w:p w:rsidR="00260042" w:rsidRDefault="00260042" w:rsidP="008930A3">
      <w:pPr>
        <w:pStyle w:val="ListBullet"/>
      </w:pPr>
      <w:r>
        <w:t xml:space="preserve">Child Care Subsidy, which is a single, income tested and activity tested subsidy to reduce the out-of-pocket cost of child care for families </w:t>
      </w:r>
    </w:p>
    <w:p w:rsidR="00260042" w:rsidRDefault="00260042" w:rsidP="00EA5510">
      <w:pPr>
        <w:pStyle w:val="ListBullet"/>
      </w:pPr>
      <w:r>
        <w:t xml:space="preserve">Additional Child Care Subsidy, which gives eligible families extra help with the cost of approved </w:t>
      </w:r>
      <w:proofErr w:type="gramStart"/>
      <w:r>
        <w:t>child care</w:t>
      </w:r>
      <w:proofErr w:type="gramEnd"/>
      <w:r>
        <w:t xml:space="preserve">. </w:t>
      </w:r>
    </w:p>
    <w:p w:rsidR="00260042" w:rsidRDefault="00260042" w:rsidP="00260042">
      <w:pPr>
        <w:pStyle w:val="BodyText"/>
      </w:pPr>
      <w:r>
        <w:t xml:space="preserve">These payments are usually paid directly to </w:t>
      </w:r>
      <w:proofErr w:type="gramStart"/>
      <w:r>
        <w:t>child care</w:t>
      </w:r>
      <w:proofErr w:type="gramEnd"/>
      <w:r>
        <w:t xml:space="preserve"> providers.</w:t>
      </w:r>
    </w:p>
    <w:p w:rsidR="00260042" w:rsidRDefault="00260042" w:rsidP="0020616A">
      <w:pPr>
        <w:pStyle w:val="Heading4"/>
      </w:pPr>
      <w:r>
        <w:lastRenderedPageBreak/>
        <w:t xml:space="preserve">Newborns and newly adopted children </w:t>
      </w:r>
    </w:p>
    <w:p w:rsidR="00260042" w:rsidRDefault="00260042" w:rsidP="00260042">
      <w:pPr>
        <w:pStyle w:val="BodyText"/>
        <w:spacing w:after="57"/>
      </w:pPr>
      <w:r>
        <w:t xml:space="preserve">Services Australia delivers payments that help parents with expenses for newborn or newly adopted children. They are: </w:t>
      </w:r>
    </w:p>
    <w:p w:rsidR="00260042" w:rsidRDefault="00260042" w:rsidP="008930A3">
      <w:pPr>
        <w:pStyle w:val="ListBullet"/>
      </w:pPr>
      <w:r>
        <w:t>Newborn Upfront Payment – a one-off payment</w:t>
      </w:r>
    </w:p>
    <w:p w:rsidR="00260042" w:rsidRDefault="00260042" w:rsidP="008930A3">
      <w:pPr>
        <w:pStyle w:val="ListBullet"/>
      </w:pPr>
      <w:r>
        <w:t>Newborn Supplement – which increases the rate of FTB Part A for up to 13 weeks</w:t>
      </w:r>
    </w:p>
    <w:p w:rsidR="00260042" w:rsidRPr="0020616A" w:rsidRDefault="00260042" w:rsidP="00260042">
      <w:pPr>
        <w:pStyle w:val="ListBullet"/>
      </w:pPr>
      <w:r>
        <w:t>Paid Parental Leave Scheme payments.</w:t>
      </w:r>
    </w:p>
    <w:p w:rsidR="0020616A" w:rsidRPr="0020616A" w:rsidRDefault="0020616A" w:rsidP="002E64CE">
      <w:pPr>
        <w:pStyle w:val="Heading3"/>
      </w:pPr>
      <w:r w:rsidRPr="0020616A">
        <w:t>Giving new parents peace of mind</w:t>
      </w:r>
    </w:p>
    <w:p w:rsidR="0020616A" w:rsidRPr="0020616A" w:rsidRDefault="0020616A" w:rsidP="0020616A">
      <w:pPr>
        <w:pStyle w:val="BodyText"/>
        <w:rPr>
          <w:color w:val="002060"/>
        </w:rPr>
      </w:pPr>
      <w:r w:rsidRPr="0020616A">
        <w:rPr>
          <w:color w:val="002060"/>
        </w:rPr>
        <w:t>For parents settling into life with a newborn, taking the time to contact multiple services and government organisations, from claiming income support to registering the child’s birth, is the last thing on their mind.</w:t>
      </w:r>
    </w:p>
    <w:p w:rsidR="0020616A" w:rsidRPr="0020616A" w:rsidRDefault="0020616A" w:rsidP="0020616A">
      <w:pPr>
        <w:pStyle w:val="BodyText"/>
        <w:rPr>
          <w:color w:val="002060"/>
        </w:rPr>
      </w:pPr>
      <w:r w:rsidRPr="0020616A">
        <w:rPr>
          <w:color w:val="002060"/>
        </w:rPr>
        <w:t xml:space="preserve">To reduce some of this burden, in November 2020 Services Australia began a joint pilot project with the ACT Government to streamline the process to enrol newborns in Medicare. </w:t>
      </w:r>
    </w:p>
    <w:p w:rsidR="0020616A" w:rsidRPr="0020616A" w:rsidRDefault="0020616A" w:rsidP="0020616A">
      <w:pPr>
        <w:pStyle w:val="BodyText"/>
        <w:rPr>
          <w:color w:val="002060"/>
        </w:rPr>
      </w:pPr>
      <w:r w:rsidRPr="0020616A">
        <w:rPr>
          <w:color w:val="002060"/>
        </w:rPr>
        <w:t>For parents who opt in, we connect to information the hospitals already have about parents and babies – such as their name, address and Medicare number – and use it to enrol the newborn in Medicare shortly after they leave the hospital.</w:t>
      </w:r>
    </w:p>
    <w:p w:rsidR="0020616A" w:rsidRPr="0020616A" w:rsidRDefault="0020616A" w:rsidP="0020616A">
      <w:pPr>
        <w:pStyle w:val="BodyText"/>
        <w:rPr>
          <w:color w:val="002060"/>
        </w:rPr>
      </w:pPr>
      <w:r w:rsidRPr="0020616A">
        <w:rPr>
          <w:color w:val="002060"/>
        </w:rPr>
        <w:t xml:space="preserve">For new mum, Annabel, </w:t>
      </w:r>
      <w:proofErr w:type="gramStart"/>
      <w:r w:rsidRPr="0020616A">
        <w:rPr>
          <w:color w:val="002060"/>
        </w:rPr>
        <w:t>it’s</w:t>
      </w:r>
      <w:proofErr w:type="gramEnd"/>
      <w:r w:rsidRPr="0020616A">
        <w:rPr>
          <w:color w:val="002060"/>
        </w:rPr>
        <w:t xml:space="preserve"> a change that provides invaluable peace of mind. She found that, as a new mum, there were so many appointments, things to learn and administrative tasks to deal with. The pilot program gave her one less thing to worry about. </w:t>
      </w:r>
    </w:p>
    <w:p w:rsidR="00260042" w:rsidRPr="0020616A" w:rsidRDefault="0020616A" w:rsidP="0020616A">
      <w:pPr>
        <w:pStyle w:val="BodyText"/>
        <w:rPr>
          <w:color w:val="002060"/>
        </w:rPr>
      </w:pPr>
      <w:r w:rsidRPr="0020616A">
        <w:rPr>
          <w:color w:val="002060"/>
        </w:rPr>
        <w:t xml:space="preserve">In 2020–21, more than 680 babies </w:t>
      </w:r>
      <w:proofErr w:type="gramStart"/>
      <w:r w:rsidRPr="0020616A">
        <w:rPr>
          <w:color w:val="002060"/>
        </w:rPr>
        <w:t>were enrolled</w:t>
      </w:r>
      <w:proofErr w:type="gramEnd"/>
      <w:r w:rsidRPr="0020616A">
        <w:rPr>
          <w:color w:val="002060"/>
        </w:rPr>
        <w:t xml:space="preserve"> in Medicare through the pilot, and the agency is expanding the service to make it easier for parents to claim family payments as well. These changes are making things simpler for parents, allowing them to concentrate on their new family member.</w:t>
      </w:r>
    </w:p>
    <w:p w:rsidR="00260042" w:rsidRDefault="00260042" w:rsidP="0020616A">
      <w:pPr>
        <w:pStyle w:val="Heading4"/>
      </w:pPr>
      <w:r>
        <w:t>Stillborn Baby Payment</w:t>
      </w:r>
    </w:p>
    <w:p w:rsidR="00260042" w:rsidRDefault="00260042" w:rsidP="00260042">
      <w:pPr>
        <w:pStyle w:val="BodyText"/>
      </w:pPr>
      <w:r>
        <w:t>Stillborn Baby Payment is a one-off payment to assist families with the extra costs they face when their child is stillborn. Families cannot receive Stillborn Baby Payment and Parental Leave Pay for the same child.</w:t>
      </w:r>
    </w:p>
    <w:p w:rsidR="00260042" w:rsidRDefault="00260042" w:rsidP="0020616A">
      <w:pPr>
        <w:pStyle w:val="Heading4"/>
      </w:pPr>
      <w:r>
        <w:t xml:space="preserve">Double Orphan Pension </w:t>
      </w:r>
    </w:p>
    <w:p w:rsidR="00260042" w:rsidRDefault="00260042" w:rsidP="00260042">
      <w:pPr>
        <w:pStyle w:val="BodyText"/>
      </w:pPr>
      <w:r>
        <w:t xml:space="preserve">Double Orphan Pension is available to help with the costs of caring for orphaned children. It is not income or assets tested. </w:t>
      </w:r>
    </w:p>
    <w:p w:rsidR="00260042" w:rsidRDefault="00260042" w:rsidP="0020616A">
      <w:pPr>
        <w:pStyle w:val="Heading4"/>
      </w:pPr>
      <w:r>
        <w:t>No Jab No Pay and Healthy Start for School</w:t>
      </w:r>
    </w:p>
    <w:p w:rsidR="00260042" w:rsidRDefault="00260042" w:rsidP="00260042">
      <w:pPr>
        <w:pStyle w:val="BodyText"/>
      </w:pPr>
      <w:r>
        <w:t xml:space="preserve">The Supporting No Jab No Pay and Healthy Start for School measure </w:t>
      </w:r>
      <w:proofErr w:type="gramStart"/>
      <w:r>
        <w:t>is designed</w:t>
      </w:r>
      <w:proofErr w:type="gramEnd"/>
      <w:r>
        <w:t xml:space="preserve"> to strengthen FTB Part A immunisation and health check requirements. In 2020–21, FTB Part A payments </w:t>
      </w:r>
      <w:proofErr w:type="gramStart"/>
      <w:r>
        <w:t>were reduced</w:t>
      </w:r>
      <w:proofErr w:type="gramEnd"/>
      <w:r>
        <w:t xml:space="preserve"> by up to $29.40 per fortnight (or $766.50 per year) for each child who did not meet immunisation or health check requirements.</w:t>
      </w:r>
    </w:p>
    <w:p w:rsidR="00260042" w:rsidRDefault="00260042" w:rsidP="0020616A">
      <w:pPr>
        <w:pStyle w:val="Heading4"/>
      </w:pPr>
      <w:r>
        <w:t xml:space="preserve">Grandparent Adviser Program </w:t>
      </w:r>
    </w:p>
    <w:p w:rsidR="00260042" w:rsidRDefault="00260042" w:rsidP="00260042">
      <w:pPr>
        <w:pStyle w:val="BodyText"/>
        <w:keepLines/>
      </w:pPr>
      <w:r>
        <w:t xml:space="preserve">The Grandparent Adviser Program </w:t>
      </w:r>
      <w:proofErr w:type="gramStart"/>
      <w:r>
        <w:t>was established</w:t>
      </w:r>
      <w:proofErr w:type="gramEnd"/>
      <w:r>
        <w:t xml:space="preserve"> for grandparents and other non-parent carers who have ongoing caring responsibility for children. Grandparent Advisers give tailored information about payments and services that are available through the Australian, state and territory governments and community service providers. </w:t>
      </w:r>
    </w:p>
    <w:p w:rsidR="00260042" w:rsidRDefault="00260042" w:rsidP="00260042">
      <w:pPr>
        <w:pStyle w:val="BodyText"/>
      </w:pPr>
      <w:r>
        <w:lastRenderedPageBreak/>
        <w:t xml:space="preserve">The advisers also operate a Grandparent Adviser Line, attend community forums and work with carer organisations. In 2020–21, more than 23,000 calls </w:t>
      </w:r>
      <w:proofErr w:type="gramStart"/>
      <w:r>
        <w:t>were handled</w:t>
      </w:r>
      <w:proofErr w:type="gramEnd"/>
      <w:r>
        <w:t xml:space="preserve"> through the Grandparent Adviser Line, compared to almost 21,000 calls in 2019–20.</w:t>
      </w:r>
    </w:p>
    <w:p w:rsidR="00260042" w:rsidRDefault="00260042" w:rsidP="0020616A">
      <w:pPr>
        <w:pStyle w:val="Heading4"/>
      </w:pPr>
      <w:proofErr w:type="spellStart"/>
      <w:r>
        <w:t>ParentsNext</w:t>
      </w:r>
      <w:proofErr w:type="spellEnd"/>
      <w:r>
        <w:t xml:space="preserve"> </w:t>
      </w:r>
    </w:p>
    <w:p w:rsidR="00260042" w:rsidRDefault="00260042" w:rsidP="00260042">
      <w:pPr>
        <w:pStyle w:val="BodyText"/>
      </w:pPr>
      <w:proofErr w:type="spellStart"/>
      <w:r>
        <w:t>ParentsNext</w:t>
      </w:r>
      <w:proofErr w:type="spellEnd"/>
      <w:r>
        <w:t xml:space="preserve"> is a service that supports study and work goals for parents and carers with children under 6 years who get Parenting Payment. Services Australia connects eligible customers with a </w:t>
      </w:r>
      <w:proofErr w:type="spellStart"/>
      <w:r>
        <w:t>ParentsNext</w:t>
      </w:r>
      <w:proofErr w:type="spellEnd"/>
      <w:r>
        <w:t xml:space="preserve"> provider who will assist them to identify and achieve study and work goals and connect them to activities and support services in their local community. Since the </w:t>
      </w:r>
      <w:proofErr w:type="spellStart"/>
      <w:r>
        <w:t>ParentsNext</w:t>
      </w:r>
      <w:proofErr w:type="spellEnd"/>
      <w:r>
        <w:t xml:space="preserve"> program </w:t>
      </w:r>
      <w:proofErr w:type="gramStart"/>
      <w:r>
        <w:t>was rolled out</w:t>
      </w:r>
      <w:proofErr w:type="gramEnd"/>
      <w:r>
        <w:t xml:space="preserve"> in 2018, Services Australia has referred 169,216 customers to a </w:t>
      </w:r>
      <w:proofErr w:type="spellStart"/>
      <w:r>
        <w:t>ParentsNext</w:t>
      </w:r>
      <w:proofErr w:type="spellEnd"/>
      <w:r>
        <w:t xml:space="preserve"> provider. </w:t>
      </w:r>
    </w:p>
    <w:p w:rsidR="00260042" w:rsidRDefault="00260042" w:rsidP="002E64CE">
      <w:pPr>
        <w:pStyle w:val="Heading3"/>
      </w:pPr>
      <w:r>
        <w:t>Job seekers</w:t>
      </w:r>
    </w:p>
    <w:p w:rsidR="00260042" w:rsidRDefault="00260042" w:rsidP="0020616A">
      <w:pPr>
        <w:pStyle w:val="Heading4"/>
      </w:pPr>
      <w:proofErr w:type="spellStart"/>
      <w:r>
        <w:t>JobSeeker</w:t>
      </w:r>
      <w:proofErr w:type="spellEnd"/>
      <w:r>
        <w:t xml:space="preserve"> Payment</w:t>
      </w:r>
    </w:p>
    <w:p w:rsidR="00260042" w:rsidRDefault="00260042" w:rsidP="00260042">
      <w:pPr>
        <w:pStyle w:val="BodyText"/>
      </w:pPr>
      <w:proofErr w:type="spellStart"/>
      <w:r>
        <w:t>JobSeeker</w:t>
      </w:r>
      <w:proofErr w:type="spellEnd"/>
      <w:r>
        <w:t xml:space="preserve"> Payment provides financial support for people aged between 22 years and under Age Pension age, who meet the income and assets tests and residency requirements, who are looking for work and are willing to take part in activities to increase their chances of finding a job, or people who are temporarily unable to work or study for medical reasons.</w:t>
      </w:r>
    </w:p>
    <w:p w:rsidR="00260042" w:rsidRDefault="00260042" w:rsidP="00260042">
      <w:pPr>
        <w:pStyle w:val="BodyText"/>
      </w:pPr>
      <w:r>
        <w:t xml:space="preserve">In April 2021, the rate of </w:t>
      </w:r>
      <w:proofErr w:type="spellStart"/>
      <w:r>
        <w:t>JobSeeker</w:t>
      </w:r>
      <w:proofErr w:type="spellEnd"/>
      <w:r>
        <w:t xml:space="preserve"> Payment </w:t>
      </w:r>
      <w:proofErr w:type="gramStart"/>
      <w:r>
        <w:t>was permanently increased</w:t>
      </w:r>
      <w:proofErr w:type="gramEnd"/>
      <w:r>
        <w:t xml:space="preserve"> by $50 per fortnight and the income-free threshold (how much a recipient can earn before their payment is affected), was permanently increased to $150 per fortnight.</w:t>
      </w:r>
    </w:p>
    <w:p w:rsidR="00260042" w:rsidRDefault="00260042" w:rsidP="00260042">
      <w:pPr>
        <w:pStyle w:val="BodyText"/>
      </w:pPr>
      <w:r>
        <w:t xml:space="preserve">In recognition of the effects of the COVID-19 pandemic, from 27 April 2020 all people on eligible income support payments received a temporary Coronavirus Supplement. The Coronavirus Supplement </w:t>
      </w:r>
      <w:proofErr w:type="gramStart"/>
      <w:r>
        <w:t>was paid</w:t>
      </w:r>
      <w:proofErr w:type="gramEnd"/>
      <w:r>
        <w:t xml:space="preserve"> at the rate of $550 per fortnight between April and September 2020, at the rate of $250 a fortnight from 25 September 2020 to 31 December 2020, and at the rate of $150 a fortnight from 1 January 2021 to 31 March 2021. See also </w:t>
      </w:r>
      <w:r>
        <w:rPr>
          <w:rStyle w:val="Italic"/>
        </w:rPr>
        <w:t>COVID-19 pandemic</w:t>
      </w:r>
      <w:r>
        <w:t xml:space="preserve"> on page 24.</w:t>
      </w:r>
    </w:p>
    <w:p w:rsidR="00260042" w:rsidRDefault="00260042" w:rsidP="0020616A">
      <w:pPr>
        <w:pStyle w:val="Heading4"/>
      </w:pPr>
      <w:r>
        <w:t xml:space="preserve">Youth Allowance (Jobseeker) </w:t>
      </w:r>
    </w:p>
    <w:p w:rsidR="00260042" w:rsidRDefault="00260042" w:rsidP="00260042">
      <w:pPr>
        <w:pStyle w:val="BodyText"/>
      </w:pPr>
      <w:r>
        <w:t>Youth Allowance (</w:t>
      </w:r>
      <w:proofErr w:type="spellStart"/>
      <w:r>
        <w:t>JobSeeker</w:t>
      </w:r>
      <w:proofErr w:type="spellEnd"/>
      <w:r>
        <w:t>) is an income support payment for young job seekers generally aged 16 to 21 years. People need to meet income and assets tests and residency requirements. They may also need to meet mutual obligation requirements.</w:t>
      </w:r>
    </w:p>
    <w:p w:rsidR="00260042" w:rsidRDefault="00260042" w:rsidP="002E64CE">
      <w:pPr>
        <w:pStyle w:val="Heading3"/>
      </w:pPr>
      <w:r>
        <w:t>Students</w:t>
      </w:r>
    </w:p>
    <w:p w:rsidR="00260042" w:rsidRDefault="00260042" w:rsidP="0020616A">
      <w:pPr>
        <w:pStyle w:val="Heading4"/>
      </w:pPr>
      <w:r>
        <w:t>Transforming collection of student information</w:t>
      </w:r>
    </w:p>
    <w:p w:rsidR="00260042" w:rsidRDefault="00260042" w:rsidP="00260042">
      <w:pPr>
        <w:pStyle w:val="BodyText"/>
      </w:pPr>
      <w:r>
        <w:t xml:space="preserve">During 2020–21, the WPIT Programme delivered near real-time student data exchange for all tertiary and vocational students. The new system has streamlined the exchange of student information with the tertiary education sector, enabling student information received through the Transforming Collection of Student Information system to </w:t>
      </w:r>
      <w:proofErr w:type="gramStart"/>
      <w:r>
        <w:t>be pre-populated</w:t>
      </w:r>
      <w:proofErr w:type="gramEnd"/>
      <w:r>
        <w:t xml:space="preserve"> into online student claims and student payment reviews. This means providers report to government once rather than multiple times. The exchange will also lead to improved payment accuracy and reduce the creation of student debt when all providers are on-boarded and student reviews </w:t>
      </w:r>
      <w:proofErr w:type="gramStart"/>
      <w:r>
        <w:t>are enabled</w:t>
      </w:r>
      <w:proofErr w:type="gramEnd"/>
      <w:r>
        <w:t xml:space="preserve"> during 2021–22. </w:t>
      </w:r>
    </w:p>
    <w:p w:rsidR="00260042" w:rsidRDefault="00260042" w:rsidP="0020616A">
      <w:pPr>
        <w:pStyle w:val="Heading4"/>
      </w:pPr>
      <w:r>
        <w:t>ABSTUDY</w:t>
      </w:r>
    </w:p>
    <w:p w:rsidR="00260042" w:rsidRDefault="00260042" w:rsidP="00260042">
      <w:pPr>
        <w:pStyle w:val="BodyText"/>
      </w:pPr>
      <w:r>
        <w:t xml:space="preserve">The ABSTUDY scheme provides financial assistance for Aboriginal and Torres Strait Islander peoples undertaking approved secondary or tertiary study, or are full-time Australian apprentices. </w:t>
      </w:r>
    </w:p>
    <w:p w:rsidR="00260042" w:rsidRDefault="00260042" w:rsidP="0020616A">
      <w:pPr>
        <w:pStyle w:val="Heading4"/>
      </w:pPr>
      <w:r>
        <w:lastRenderedPageBreak/>
        <w:t>Assistance for Isolated Children</w:t>
      </w:r>
    </w:p>
    <w:p w:rsidR="00260042" w:rsidRDefault="00260042" w:rsidP="00260042">
      <w:pPr>
        <w:pStyle w:val="BodyText"/>
      </w:pPr>
      <w:r>
        <w:t>This assistance provides a suite of payments for parents and carers of children who cannot attend their local government schools because of geographical isolation, disability or special needs.</w:t>
      </w:r>
    </w:p>
    <w:p w:rsidR="00260042" w:rsidRDefault="00260042" w:rsidP="0020616A">
      <w:pPr>
        <w:pStyle w:val="Heading4"/>
      </w:pPr>
      <w:r>
        <w:t>AUSTUDY</w:t>
      </w:r>
    </w:p>
    <w:p w:rsidR="00260042" w:rsidRDefault="00260042" w:rsidP="00260042">
      <w:pPr>
        <w:pStyle w:val="BodyText"/>
      </w:pPr>
      <w:proofErr w:type="spellStart"/>
      <w:r>
        <w:t>Austudy</w:t>
      </w:r>
      <w:proofErr w:type="spellEnd"/>
      <w:r>
        <w:t xml:space="preserve"> provides financial assistance to full-time students and Australian apprentices aged 25 years and older. </w:t>
      </w:r>
    </w:p>
    <w:p w:rsidR="00260042" w:rsidRDefault="00260042" w:rsidP="0020616A">
      <w:pPr>
        <w:pStyle w:val="Heading4"/>
      </w:pPr>
      <w:r>
        <w:t>Youth Allowance (Students and Australian Apprentices)</w:t>
      </w:r>
    </w:p>
    <w:p w:rsidR="00260042" w:rsidRDefault="00260042" w:rsidP="00260042">
      <w:pPr>
        <w:pStyle w:val="BodyText"/>
      </w:pPr>
      <w:r>
        <w:t xml:space="preserve">Youth Allowance provides financial assistance for full-time students and Australian apprentices aged between 16 and 24 years. </w:t>
      </w:r>
    </w:p>
    <w:p w:rsidR="00260042" w:rsidRDefault="00260042" w:rsidP="0020616A">
      <w:pPr>
        <w:pStyle w:val="Heading4"/>
      </w:pPr>
      <w:r>
        <w:t>Incentives to encourage young Australians to undertake seasonal work</w:t>
      </w:r>
    </w:p>
    <w:p w:rsidR="00260042" w:rsidRDefault="00260042" w:rsidP="00260042">
      <w:pPr>
        <w:pStyle w:val="BodyText"/>
        <w:spacing w:after="57"/>
      </w:pPr>
      <w:r>
        <w:t>On 1 March 2021, the agency implemented the 2020–21 Budget measure to encourage students in receipt of Youth Allowance or ABSTUDY to undertake seasonal work to support Australia’s agricultural sector. The measure provides:</w:t>
      </w:r>
    </w:p>
    <w:p w:rsidR="00260042" w:rsidRDefault="00260042" w:rsidP="008930A3">
      <w:pPr>
        <w:pStyle w:val="ListBullet"/>
      </w:pPr>
      <w:r>
        <w:t>an incentive to encourage young Australians to undertake seasonal agricultural work to help address the workforce shortages across the industry for the upcoming harvest seasons</w:t>
      </w:r>
    </w:p>
    <w:p w:rsidR="00260042" w:rsidRDefault="00260042" w:rsidP="00EA5510">
      <w:pPr>
        <w:pStyle w:val="ListBullet"/>
      </w:pPr>
      <w:proofErr w:type="gramStart"/>
      <w:r>
        <w:t>opportunities</w:t>
      </w:r>
      <w:proofErr w:type="gramEnd"/>
      <w:r>
        <w:t xml:space="preserve"> for young people to be gainfully employed and prove their independence much sooner.</w:t>
      </w:r>
    </w:p>
    <w:p w:rsidR="00260042" w:rsidRDefault="00260042" w:rsidP="0020616A">
      <w:pPr>
        <w:pStyle w:val="Heading4"/>
      </w:pPr>
      <w:r>
        <w:t>Tertiary Access Payment</w:t>
      </w:r>
    </w:p>
    <w:p w:rsidR="00260042" w:rsidRDefault="00260042" w:rsidP="00260042">
      <w:pPr>
        <w:pStyle w:val="BodyText"/>
      </w:pPr>
      <w:r>
        <w:t>The Tertiary Access Payment (TAP) is part of the Job-ready Graduates Package and the Australian Government response to the National Regional, Rural and Remote Tertiary Education Strategy (</w:t>
      </w:r>
      <w:proofErr w:type="spellStart"/>
      <w:r>
        <w:t>Napthine</w:t>
      </w:r>
      <w:proofErr w:type="spellEnd"/>
      <w:r>
        <w:t xml:space="preserve"> Review), aimed at helping students with the costs of relocating to undertake tertiary study.</w:t>
      </w:r>
    </w:p>
    <w:p w:rsidR="00260042" w:rsidRDefault="00260042" w:rsidP="00260042">
      <w:pPr>
        <w:pStyle w:val="BodyText"/>
      </w:pPr>
      <w:r>
        <w:t xml:space="preserve">The agency administers the TAP for eligible students applying to study at vocational education and training and non-university higher education providers. </w:t>
      </w:r>
    </w:p>
    <w:p w:rsidR="00260042" w:rsidRDefault="00260042" w:rsidP="00260042">
      <w:pPr>
        <w:pStyle w:val="BodyText"/>
      </w:pPr>
      <w:r>
        <w:t xml:space="preserve">The TAP is a $5,000 payment, paid in </w:t>
      </w:r>
      <w:proofErr w:type="gramStart"/>
      <w:r>
        <w:t>2</w:t>
      </w:r>
      <w:proofErr w:type="gramEnd"/>
      <w:r>
        <w:t xml:space="preserve"> instalments, to school leavers from outer regional or remote areas who relocate to undertake full-time, higher level tertiary education.</w:t>
      </w:r>
    </w:p>
    <w:p w:rsidR="00260042" w:rsidRDefault="00260042" w:rsidP="00260042">
      <w:pPr>
        <w:pStyle w:val="BodyText"/>
      </w:pPr>
      <w:r>
        <w:t xml:space="preserve">For more information go to </w:t>
      </w:r>
      <w:r>
        <w:rPr>
          <w:rStyle w:val="Bold"/>
        </w:rPr>
        <w:t>servicesaustralia.gov.au/</w:t>
      </w:r>
      <w:proofErr w:type="spellStart"/>
      <w:r>
        <w:rPr>
          <w:rStyle w:val="Bold"/>
        </w:rPr>
        <w:t>tertiaryaccesspayment</w:t>
      </w:r>
      <w:proofErr w:type="spellEnd"/>
    </w:p>
    <w:p w:rsidR="00260042" w:rsidRDefault="00260042" w:rsidP="002E64CE">
      <w:pPr>
        <w:pStyle w:val="Heading3"/>
      </w:pPr>
      <w:r>
        <w:t>Assessment services</w:t>
      </w:r>
    </w:p>
    <w:p w:rsidR="00260042" w:rsidRDefault="00260042" w:rsidP="0020616A">
      <w:pPr>
        <w:pStyle w:val="Heading4"/>
      </w:pPr>
      <w:r>
        <w:t>Assessments of medical conditions and work capacity</w:t>
      </w:r>
    </w:p>
    <w:p w:rsidR="00260042" w:rsidRDefault="00260042" w:rsidP="00260042">
      <w:pPr>
        <w:pStyle w:val="BodyText"/>
        <w:spacing w:after="57"/>
      </w:pPr>
      <w:r>
        <w:t xml:space="preserve">Services Australia has </w:t>
      </w:r>
      <w:proofErr w:type="gramStart"/>
      <w:r>
        <w:t>3</w:t>
      </w:r>
      <w:proofErr w:type="gramEnd"/>
      <w:r>
        <w:t xml:space="preserve"> ways to assess whether a person has barriers to work, including medical conditions:</w:t>
      </w:r>
    </w:p>
    <w:p w:rsidR="00260042" w:rsidRDefault="00260042" w:rsidP="008930A3">
      <w:pPr>
        <w:pStyle w:val="ListBullet"/>
      </w:pPr>
      <w:r>
        <w:t xml:space="preserve">Medical Assessment Team (MAT) Assessments are early assessments of all available medical evidence to determine if a more comprehensive Job Capacity Assessment (JCA) is required to assess eligibility. </w:t>
      </w:r>
    </w:p>
    <w:p w:rsidR="00260042" w:rsidRDefault="00260042" w:rsidP="008930A3">
      <w:pPr>
        <w:pStyle w:val="ListBullet"/>
      </w:pPr>
      <w:r>
        <w:t xml:space="preserve">Job Capacity Assessments (JCAs) determine the impact of medical conditions on a person’s ability to work and assess whether the person would benefit from employment assistance and/or whether they are eligible for Disability Support Pension. </w:t>
      </w:r>
    </w:p>
    <w:p w:rsidR="00260042" w:rsidRDefault="00260042" w:rsidP="00EA5510">
      <w:pPr>
        <w:pStyle w:val="ListBullet"/>
      </w:pPr>
      <w:r>
        <w:lastRenderedPageBreak/>
        <w:t>Employment Services Assessments (</w:t>
      </w:r>
      <w:proofErr w:type="spellStart"/>
      <w:r>
        <w:t>ESAts</w:t>
      </w:r>
      <w:proofErr w:type="spellEnd"/>
      <w:r>
        <w:t xml:space="preserve">) identify a person’s work capacity and the most appropriate type of employment service for job seekers with multiple and/or complex barriers. </w:t>
      </w:r>
    </w:p>
    <w:p w:rsidR="00260042" w:rsidRPr="00EA5510" w:rsidRDefault="009B789E" w:rsidP="00EA5510">
      <w:pPr>
        <w:pStyle w:val="BodyText"/>
        <w:rPr>
          <w:b/>
          <w:bCs/>
        </w:rPr>
      </w:pPr>
      <w:r>
        <w:rPr>
          <w:b/>
        </w:rPr>
        <w:t xml:space="preserve">Table </w:t>
      </w:r>
      <w:r>
        <w:rPr>
          <w:b/>
        </w:rPr>
        <w:t>3</w:t>
      </w:r>
      <w:r w:rsidR="00260042" w:rsidRPr="00EA5510">
        <w:rPr>
          <w:b/>
        </w:rPr>
        <w:t xml:space="preserve"> Medical and </w:t>
      </w:r>
      <w:proofErr w:type="spellStart"/>
      <w:r w:rsidR="00260042" w:rsidRPr="00EA5510">
        <w:rPr>
          <w:b/>
        </w:rPr>
        <w:t>non medical</w:t>
      </w:r>
      <w:proofErr w:type="spellEnd"/>
      <w:r w:rsidR="00260042" w:rsidRPr="00EA5510">
        <w:rPr>
          <w:b/>
        </w:rPr>
        <w:t xml:space="preserve"> MAT, JCAs, </w:t>
      </w:r>
      <w:proofErr w:type="spellStart"/>
      <w:r w:rsidR="00260042" w:rsidRPr="00EA5510">
        <w:rPr>
          <w:b/>
        </w:rPr>
        <w:t>ESAts</w:t>
      </w:r>
      <w:proofErr w:type="spellEnd"/>
    </w:p>
    <w:tbl>
      <w:tblPr>
        <w:tblStyle w:val="TableGrid"/>
        <w:tblW w:w="5000" w:type="pct"/>
        <w:tblLook w:val="0000" w:firstRow="0" w:lastRow="0" w:firstColumn="0" w:lastColumn="0" w:noHBand="0" w:noVBand="0"/>
        <w:tblCaption w:val=" Medical and non medical MAT, JCAs, ESAts"/>
      </w:tblPr>
      <w:tblGrid>
        <w:gridCol w:w="3467"/>
        <w:gridCol w:w="1647"/>
        <w:gridCol w:w="1647"/>
        <w:gridCol w:w="1647"/>
        <w:gridCol w:w="2382"/>
      </w:tblGrid>
      <w:tr w:rsidR="00260042" w:rsidTr="0020616A">
        <w:trPr>
          <w:trHeight w:val="60"/>
          <w:tblHeader/>
        </w:trPr>
        <w:tc>
          <w:tcPr>
            <w:tcW w:w="1607" w:type="pct"/>
          </w:tcPr>
          <w:p w:rsidR="00260042" w:rsidRPr="0020616A" w:rsidRDefault="00260042" w:rsidP="0020616A">
            <w:pPr>
              <w:pStyle w:val="BodyText"/>
              <w:rPr>
                <w:b/>
              </w:rPr>
            </w:pPr>
          </w:p>
        </w:tc>
        <w:tc>
          <w:tcPr>
            <w:tcW w:w="763" w:type="pct"/>
          </w:tcPr>
          <w:p w:rsidR="00260042" w:rsidRPr="0020616A" w:rsidRDefault="00260042" w:rsidP="0020616A">
            <w:pPr>
              <w:pStyle w:val="BodyText"/>
              <w:jc w:val="right"/>
              <w:rPr>
                <w:b/>
              </w:rPr>
            </w:pPr>
            <w:r w:rsidRPr="0020616A">
              <w:rPr>
                <w:b/>
              </w:rPr>
              <w:t>2018–19</w:t>
            </w:r>
          </w:p>
        </w:tc>
        <w:tc>
          <w:tcPr>
            <w:tcW w:w="763" w:type="pct"/>
          </w:tcPr>
          <w:p w:rsidR="00260042" w:rsidRPr="0020616A" w:rsidRDefault="00260042" w:rsidP="0020616A">
            <w:pPr>
              <w:pStyle w:val="BodyText"/>
              <w:jc w:val="right"/>
              <w:rPr>
                <w:b/>
              </w:rPr>
            </w:pPr>
            <w:r w:rsidRPr="0020616A">
              <w:rPr>
                <w:b/>
              </w:rPr>
              <w:t>2019–20</w:t>
            </w:r>
          </w:p>
        </w:tc>
        <w:tc>
          <w:tcPr>
            <w:tcW w:w="763" w:type="pct"/>
          </w:tcPr>
          <w:p w:rsidR="00260042" w:rsidRPr="0020616A" w:rsidRDefault="00260042" w:rsidP="0020616A">
            <w:pPr>
              <w:pStyle w:val="BodyText"/>
              <w:jc w:val="right"/>
              <w:rPr>
                <w:b/>
              </w:rPr>
            </w:pPr>
            <w:r w:rsidRPr="0020616A">
              <w:rPr>
                <w:b/>
              </w:rPr>
              <w:t>2020–21</w:t>
            </w:r>
          </w:p>
        </w:tc>
        <w:tc>
          <w:tcPr>
            <w:tcW w:w="1105" w:type="pct"/>
          </w:tcPr>
          <w:p w:rsidR="00260042" w:rsidRPr="0020616A" w:rsidRDefault="00260042" w:rsidP="0020616A">
            <w:pPr>
              <w:pStyle w:val="BodyText"/>
              <w:jc w:val="right"/>
              <w:rPr>
                <w:b/>
              </w:rPr>
            </w:pPr>
            <w:r w:rsidRPr="0020616A">
              <w:rPr>
                <w:b/>
              </w:rPr>
              <w:t>% change since 2019–20</w:t>
            </w:r>
          </w:p>
        </w:tc>
      </w:tr>
      <w:tr w:rsidR="00260042" w:rsidTr="0020616A">
        <w:trPr>
          <w:trHeight w:val="60"/>
        </w:trPr>
        <w:tc>
          <w:tcPr>
            <w:tcW w:w="1607" w:type="pct"/>
          </w:tcPr>
          <w:p w:rsidR="00260042" w:rsidRDefault="00260042" w:rsidP="0020616A">
            <w:pPr>
              <w:pStyle w:val="BodyText"/>
            </w:pPr>
            <w:r>
              <w:t>MAT assessments</w:t>
            </w:r>
          </w:p>
        </w:tc>
        <w:tc>
          <w:tcPr>
            <w:tcW w:w="763" w:type="pct"/>
          </w:tcPr>
          <w:p w:rsidR="00260042" w:rsidRDefault="00260042" w:rsidP="0020616A">
            <w:pPr>
              <w:pStyle w:val="BodyText"/>
              <w:jc w:val="right"/>
            </w:pPr>
            <w:r>
              <w:t>96,699</w:t>
            </w:r>
          </w:p>
        </w:tc>
        <w:tc>
          <w:tcPr>
            <w:tcW w:w="763" w:type="pct"/>
          </w:tcPr>
          <w:p w:rsidR="00260042" w:rsidRDefault="00260042" w:rsidP="0020616A">
            <w:pPr>
              <w:pStyle w:val="BodyText"/>
              <w:jc w:val="right"/>
            </w:pPr>
            <w:r>
              <w:t>109,619</w:t>
            </w:r>
          </w:p>
        </w:tc>
        <w:tc>
          <w:tcPr>
            <w:tcW w:w="763" w:type="pct"/>
          </w:tcPr>
          <w:p w:rsidR="00260042" w:rsidRDefault="00260042" w:rsidP="0020616A">
            <w:pPr>
              <w:pStyle w:val="BodyText"/>
              <w:jc w:val="right"/>
            </w:pPr>
            <w:r>
              <w:t>104,435</w:t>
            </w:r>
          </w:p>
        </w:tc>
        <w:tc>
          <w:tcPr>
            <w:tcW w:w="1105" w:type="pct"/>
          </w:tcPr>
          <w:p w:rsidR="00260042" w:rsidRDefault="00260042" w:rsidP="0020616A">
            <w:pPr>
              <w:pStyle w:val="BodyText"/>
              <w:jc w:val="right"/>
            </w:pPr>
            <w:r>
              <w:t>–5</w:t>
            </w:r>
          </w:p>
        </w:tc>
      </w:tr>
      <w:tr w:rsidR="00260042" w:rsidTr="0020616A">
        <w:trPr>
          <w:trHeight w:val="60"/>
        </w:trPr>
        <w:tc>
          <w:tcPr>
            <w:tcW w:w="1607" w:type="pct"/>
          </w:tcPr>
          <w:p w:rsidR="00260042" w:rsidRDefault="00260042" w:rsidP="0020616A">
            <w:pPr>
              <w:pStyle w:val="BodyText"/>
            </w:pPr>
            <w:r>
              <w:t>JCAs</w:t>
            </w:r>
          </w:p>
        </w:tc>
        <w:tc>
          <w:tcPr>
            <w:tcW w:w="763" w:type="pct"/>
          </w:tcPr>
          <w:p w:rsidR="00260042" w:rsidRDefault="00260042" w:rsidP="0020616A">
            <w:pPr>
              <w:pStyle w:val="BodyText"/>
              <w:jc w:val="right"/>
            </w:pPr>
            <w:r>
              <w:t>41,912</w:t>
            </w:r>
          </w:p>
        </w:tc>
        <w:tc>
          <w:tcPr>
            <w:tcW w:w="763" w:type="pct"/>
          </w:tcPr>
          <w:p w:rsidR="00260042" w:rsidRDefault="00260042" w:rsidP="0020616A">
            <w:pPr>
              <w:pStyle w:val="BodyText"/>
              <w:jc w:val="right"/>
            </w:pPr>
            <w:r>
              <w:t>50,860</w:t>
            </w:r>
          </w:p>
        </w:tc>
        <w:tc>
          <w:tcPr>
            <w:tcW w:w="763" w:type="pct"/>
          </w:tcPr>
          <w:p w:rsidR="00260042" w:rsidRDefault="00260042" w:rsidP="0020616A">
            <w:pPr>
              <w:pStyle w:val="BodyText"/>
              <w:jc w:val="right"/>
            </w:pPr>
            <w:r>
              <w:t>44,545</w:t>
            </w:r>
          </w:p>
        </w:tc>
        <w:tc>
          <w:tcPr>
            <w:tcW w:w="1105" w:type="pct"/>
          </w:tcPr>
          <w:p w:rsidR="00260042" w:rsidRDefault="00260042" w:rsidP="0020616A">
            <w:pPr>
              <w:pStyle w:val="BodyText"/>
              <w:jc w:val="right"/>
            </w:pPr>
            <w:r>
              <w:t>–14</w:t>
            </w:r>
          </w:p>
        </w:tc>
      </w:tr>
      <w:tr w:rsidR="00260042" w:rsidTr="0020616A">
        <w:trPr>
          <w:trHeight w:val="60"/>
        </w:trPr>
        <w:tc>
          <w:tcPr>
            <w:tcW w:w="1607" w:type="pct"/>
          </w:tcPr>
          <w:p w:rsidR="00260042" w:rsidRDefault="00260042" w:rsidP="0020616A">
            <w:pPr>
              <w:pStyle w:val="BodyText"/>
            </w:pPr>
            <w:proofErr w:type="spellStart"/>
            <w:r>
              <w:t>ESAts</w:t>
            </w:r>
            <w:proofErr w:type="spellEnd"/>
            <w:r>
              <w:t xml:space="preserve"> – medical</w:t>
            </w:r>
          </w:p>
        </w:tc>
        <w:tc>
          <w:tcPr>
            <w:tcW w:w="763" w:type="pct"/>
          </w:tcPr>
          <w:p w:rsidR="00260042" w:rsidRDefault="00260042" w:rsidP="0020616A">
            <w:pPr>
              <w:pStyle w:val="BodyText"/>
              <w:jc w:val="right"/>
            </w:pPr>
            <w:r>
              <w:t>216,023</w:t>
            </w:r>
          </w:p>
        </w:tc>
        <w:tc>
          <w:tcPr>
            <w:tcW w:w="763" w:type="pct"/>
          </w:tcPr>
          <w:p w:rsidR="00260042" w:rsidRDefault="00260042" w:rsidP="0020616A">
            <w:pPr>
              <w:pStyle w:val="BodyText"/>
              <w:jc w:val="right"/>
            </w:pPr>
            <w:r>
              <w:t>218,851</w:t>
            </w:r>
          </w:p>
        </w:tc>
        <w:tc>
          <w:tcPr>
            <w:tcW w:w="763" w:type="pct"/>
          </w:tcPr>
          <w:p w:rsidR="00260042" w:rsidRDefault="00260042" w:rsidP="0020616A">
            <w:pPr>
              <w:pStyle w:val="BodyText"/>
              <w:jc w:val="right"/>
            </w:pPr>
            <w:r>
              <w:t>250,365</w:t>
            </w:r>
          </w:p>
        </w:tc>
        <w:tc>
          <w:tcPr>
            <w:tcW w:w="1105" w:type="pct"/>
          </w:tcPr>
          <w:p w:rsidR="00260042" w:rsidRDefault="00260042" w:rsidP="0020616A">
            <w:pPr>
              <w:pStyle w:val="BodyText"/>
              <w:jc w:val="right"/>
            </w:pPr>
            <w:r>
              <w:t>11</w:t>
            </w:r>
          </w:p>
        </w:tc>
      </w:tr>
      <w:tr w:rsidR="00260042" w:rsidTr="0020616A">
        <w:trPr>
          <w:trHeight w:val="60"/>
        </w:trPr>
        <w:tc>
          <w:tcPr>
            <w:tcW w:w="1607" w:type="pct"/>
          </w:tcPr>
          <w:p w:rsidR="00260042" w:rsidRDefault="00260042" w:rsidP="0020616A">
            <w:pPr>
              <w:pStyle w:val="BodyText"/>
            </w:pPr>
            <w:proofErr w:type="spellStart"/>
            <w:r>
              <w:t>ESAts</w:t>
            </w:r>
            <w:proofErr w:type="spellEnd"/>
            <w:r>
              <w:t xml:space="preserve"> – non-medical</w:t>
            </w:r>
          </w:p>
        </w:tc>
        <w:tc>
          <w:tcPr>
            <w:tcW w:w="763" w:type="pct"/>
          </w:tcPr>
          <w:p w:rsidR="00260042" w:rsidRDefault="00260042" w:rsidP="0020616A">
            <w:pPr>
              <w:pStyle w:val="BodyText"/>
              <w:jc w:val="right"/>
            </w:pPr>
            <w:r>
              <w:t>16,816</w:t>
            </w:r>
          </w:p>
        </w:tc>
        <w:tc>
          <w:tcPr>
            <w:tcW w:w="763" w:type="pct"/>
          </w:tcPr>
          <w:p w:rsidR="00260042" w:rsidRDefault="00260042" w:rsidP="0020616A">
            <w:pPr>
              <w:pStyle w:val="BodyText"/>
              <w:jc w:val="right"/>
            </w:pPr>
            <w:r>
              <w:t xml:space="preserve">18,555 </w:t>
            </w:r>
          </w:p>
        </w:tc>
        <w:tc>
          <w:tcPr>
            <w:tcW w:w="763" w:type="pct"/>
          </w:tcPr>
          <w:p w:rsidR="00260042" w:rsidRDefault="00260042" w:rsidP="0020616A">
            <w:pPr>
              <w:pStyle w:val="BodyText"/>
              <w:jc w:val="right"/>
            </w:pPr>
            <w:r>
              <w:t>16,350</w:t>
            </w:r>
          </w:p>
        </w:tc>
        <w:tc>
          <w:tcPr>
            <w:tcW w:w="1105" w:type="pct"/>
          </w:tcPr>
          <w:p w:rsidR="00260042" w:rsidRDefault="00260042" w:rsidP="0020616A">
            <w:pPr>
              <w:pStyle w:val="BodyText"/>
              <w:jc w:val="right"/>
            </w:pPr>
            <w:r>
              <w:t>–14</w:t>
            </w:r>
          </w:p>
        </w:tc>
      </w:tr>
      <w:tr w:rsidR="00260042" w:rsidTr="0020616A">
        <w:trPr>
          <w:trHeight w:val="60"/>
        </w:trPr>
        <w:tc>
          <w:tcPr>
            <w:tcW w:w="1607" w:type="pct"/>
          </w:tcPr>
          <w:p w:rsidR="00260042" w:rsidRDefault="00260042" w:rsidP="0020616A">
            <w:pPr>
              <w:pStyle w:val="BodyText"/>
            </w:pPr>
            <w:r>
              <w:rPr>
                <w:rStyle w:val="Bold"/>
              </w:rPr>
              <w:t xml:space="preserve">Total </w:t>
            </w:r>
          </w:p>
        </w:tc>
        <w:tc>
          <w:tcPr>
            <w:tcW w:w="763" w:type="pct"/>
          </w:tcPr>
          <w:p w:rsidR="00260042" w:rsidRDefault="00260042" w:rsidP="0020616A">
            <w:pPr>
              <w:pStyle w:val="BodyText"/>
              <w:jc w:val="right"/>
            </w:pPr>
            <w:r>
              <w:rPr>
                <w:rStyle w:val="Bold"/>
              </w:rPr>
              <w:t>371,450</w:t>
            </w:r>
          </w:p>
        </w:tc>
        <w:tc>
          <w:tcPr>
            <w:tcW w:w="763" w:type="pct"/>
          </w:tcPr>
          <w:p w:rsidR="00260042" w:rsidRDefault="00260042" w:rsidP="0020616A">
            <w:pPr>
              <w:pStyle w:val="BodyText"/>
              <w:jc w:val="right"/>
            </w:pPr>
            <w:r>
              <w:rPr>
                <w:rStyle w:val="Bold"/>
              </w:rPr>
              <w:t xml:space="preserve">397,885 </w:t>
            </w:r>
          </w:p>
        </w:tc>
        <w:tc>
          <w:tcPr>
            <w:tcW w:w="763" w:type="pct"/>
          </w:tcPr>
          <w:p w:rsidR="00260042" w:rsidRDefault="00260042" w:rsidP="0020616A">
            <w:pPr>
              <w:pStyle w:val="BodyText"/>
              <w:jc w:val="right"/>
            </w:pPr>
            <w:r>
              <w:rPr>
                <w:rStyle w:val="Bold"/>
              </w:rPr>
              <w:t>415,686</w:t>
            </w:r>
          </w:p>
        </w:tc>
        <w:tc>
          <w:tcPr>
            <w:tcW w:w="1105" w:type="pct"/>
          </w:tcPr>
          <w:p w:rsidR="00260042" w:rsidRDefault="00260042" w:rsidP="0020616A">
            <w:pPr>
              <w:pStyle w:val="BodyText"/>
              <w:jc w:val="right"/>
            </w:pPr>
            <w:r>
              <w:rPr>
                <w:rStyle w:val="Bold"/>
              </w:rPr>
              <w:t>3</w:t>
            </w:r>
          </w:p>
        </w:tc>
      </w:tr>
    </w:tbl>
    <w:p w:rsidR="00260042" w:rsidRDefault="00260042" w:rsidP="0020616A">
      <w:pPr>
        <w:pStyle w:val="Heading4"/>
      </w:pPr>
      <w:r>
        <w:t>Assessors</w:t>
      </w:r>
    </w:p>
    <w:p w:rsidR="00260042" w:rsidRDefault="00260042" w:rsidP="00260042">
      <w:pPr>
        <w:pStyle w:val="BodyText"/>
      </w:pPr>
      <w:r>
        <w:t xml:space="preserve">The agency employs qualified health and allied health professionals to perform the above assessments. This includes a Health Professional Advisory Unit – a team of 9 medical advisers, supported by 8 health and allied health professionals across a virtual network. In 2020–21, the unit completed 949 referrals. </w:t>
      </w:r>
    </w:p>
    <w:p w:rsidR="00260042" w:rsidRDefault="00260042" w:rsidP="00C81689">
      <w:pPr>
        <w:pStyle w:val="Heading2"/>
      </w:pPr>
      <w:r>
        <w:t>4.2 Health</w:t>
      </w:r>
    </w:p>
    <w:p w:rsidR="00260042" w:rsidRDefault="00260042" w:rsidP="008474A9">
      <w:pPr>
        <w:pStyle w:val="BodyText"/>
      </w:pPr>
      <w:r>
        <w:t>Services Australia administers a range of health, pharmaceutical, aged care and veterans’ programs and related services. These enable access to cost effective medicines, health services and care, as well as supporting and improving the wellbeing of an ageing population</w:t>
      </w:r>
      <w:r>
        <w:rPr>
          <w:vertAlign w:val="superscript"/>
        </w:rPr>
        <w:t xml:space="preserve">.1 </w:t>
      </w:r>
    </w:p>
    <w:p w:rsidR="00260042" w:rsidRDefault="00260042" w:rsidP="002E64CE">
      <w:pPr>
        <w:pStyle w:val="Heading3"/>
      </w:pPr>
      <w:r>
        <w:t>Medicare</w:t>
      </w:r>
    </w:p>
    <w:p w:rsidR="00260042" w:rsidRDefault="00260042" w:rsidP="00260042">
      <w:pPr>
        <w:pStyle w:val="BodyText"/>
      </w:pPr>
      <w:r>
        <w:t xml:space="preserve">Medicare provides eligible people access to essential health services, such as seeing a doctor, getting medicines, mental health services and other medical services. </w:t>
      </w:r>
    </w:p>
    <w:p w:rsidR="00260042" w:rsidRDefault="00260042" w:rsidP="00260042">
      <w:pPr>
        <w:pStyle w:val="BodyText"/>
      </w:pPr>
      <w:r>
        <w:t xml:space="preserve">In 2020–21, 26.1 million people </w:t>
      </w:r>
      <w:proofErr w:type="gramStart"/>
      <w:r>
        <w:t>were enrolled</w:t>
      </w:r>
      <w:proofErr w:type="gramEnd"/>
      <w:r>
        <w:t xml:space="preserve"> in Medicare (see Table 4) and $27.7 billion was paid in benefits. The percentage of digital claims continues to grow, with 99.5% of Medicare services claimed digitally in 2020–21. Approximately 80% cent of all health practices lodge 100% of their Medicare claims digitally at their practice.</w:t>
      </w:r>
    </w:p>
    <w:p w:rsidR="00260042" w:rsidRDefault="00260042" w:rsidP="00260042">
      <w:pPr>
        <w:pStyle w:val="BodyText"/>
      </w:pPr>
      <w:r>
        <w:t>The agency continues to make technology enhancements to promote digital transactions.</w:t>
      </w:r>
    </w:p>
    <w:p w:rsidR="00260042" w:rsidRDefault="00260042" w:rsidP="0020616A">
      <w:pPr>
        <w:pStyle w:val="Heading4"/>
      </w:pPr>
      <w:r>
        <w:t>Medicare enrolments</w:t>
      </w:r>
    </w:p>
    <w:p w:rsidR="00260042" w:rsidRPr="00EA5510" w:rsidRDefault="009B789E" w:rsidP="00EA5510">
      <w:pPr>
        <w:pStyle w:val="BodyText"/>
        <w:rPr>
          <w:b/>
        </w:rPr>
      </w:pPr>
      <w:r>
        <w:rPr>
          <w:b/>
        </w:rPr>
        <w:t xml:space="preserve">Table </w:t>
      </w:r>
      <w:r>
        <w:rPr>
          <w:b/>
        </w:rPr>
        <w:t>4</w:t>
      </w:r>
      <w:r w:rsidR="00260042" w:rsidRPr="00EA5510">
        <w:rPr>
          <w:b/>
        </w:rPr>
        <w:t xml:space="preserve"> Medicare enrolments</w:t>
      </w:r>
    </w:p>
    <w:tbl>
      <w:tblPr>
        <w:tblStyle w:val="TableGrid"/>
        <w:tblW w:w="5000" w:type="pct"/>
        <w:tblLook w:val="0000" w:firstRow="0" w:lastRow="0" w:firstColumn="0" w:lastColumn="0" w:noHBand="0" w:noVBand="0"/>
        <w:tblCaption w:val=" Medicare enrolments"/>
      </w:tblPr>
      <w:tblGrid>
        <w:gridCol w:w="4341"/>
        <w:gridCol w:w="2150"/>
        <w:gridCol w:w="2150"/>
        <w:gridCol w:w="2149"/>
      </w:tblGrid>
      <w:tr w:rsidR="00260042" w:rsidTr="00E847BB">
        <w:trPr>
          <w:trHeight w:val="60"/>
          <w:tblHeader/>
        </w:trPr>
        <w:tc>
          <w:tcPr>
            <w:tcW w:w="2011" w:type="pct"/>
          </w:tcPr>
          <w:p w:rsidR="00260042" w:rsidRDefault="00260042" w:rsidP="00E847BB">
            <w:pPr>
              <w:pStyle w:val="BodyText"/>
            </w:pPr>
          </w:p>
        </w:tc>
        <w:tc>
          <w:tcPr>
            <w:tcW w:w="996" w:type="pct"/>
          </w:tcPr>
          <w:p w:rsidR="00260042" w:rsidRPr="00E847BB" w:rsidRDefault="00260042" w:rsidP="00E847BB">
            <w:pPr>
              <w:pStyle w:val="BodyText"/>
              <w:jc w:val="right"/>
              <w:rPr>
                <w:b/>
              </w:rPr>
            </w:pPr>
            <w:r w:rsidRPr="00E847BB">
              <w:rPr>
                <w:b/>
              </w:rPr>
              <w:t>2018–19</w:t>
            </w:r>
          </w:p>
        </w:tc>
        <w:tc>
          <w:tcPr>
            <w:tcW w:w="996" w:type="pct"/>
          </w:tcPr>
          <w:p w:rsidR="00260042" w:rsidRPr="00E847BB" w:rsidRDefault="00260042" w:rsidP="00E847BB">
            <w:pPr>
              <w:pStyle w:val="BodyText"/>
              <w:jc w:val="right"/>
              <w:rPr>
                <w:b/>
              </w:rPr>
            </w:pPr>
            <w:r w:rsidRPr="00E847BB">
              <w:rPr>
                <w:b/>
              </w:rPr>
              <w:t>2019–20</w:t>
            </w:r>
          </w:p>
        </w:tc>
        <w:tc>
          <w:tcPr>
            <w:tcW w:w="996" w:type="pct"/>
          </w:tcPr>
          <w:p w:rsidR="00260042" w:rsidRPr="00E847BB" w:rsidRDefault="00260042" w:rsidP="00E847BB">
            <w:pPr>
              <w:pStyle w:val="BodyText"/>
              <w:jc w:val="right"/>
              <w:rPr>
                <w:b/>
              </w:rPr>
            </w:pPr>
            <w:r w:rsidRPr="00E847BB">
              <w:rPr>
                <w:b/>
              </w:rPr>
              <w:t>2020–21</w:t>
            </w:r>
          </w:p>
        </w:tc>
      </w:tr>
      <w:tr w:rsidR="00260042" w:rsidTr="00E847BB">
        <w:trPr>
          <w:trHeight w:val="60"/>
        </w:trPr>
        <w:tc>
          <w:tcPr>
            <w:tcW w:w="2011" w:type="pct"/>
          </w:tcPr>
          <w:p w:rsidR="00260042" w:rsidRDefault="00260042" w:rsidP="00E847BB">
            <w:pPr>
              <w:pStyle w:val="BodyText"/>
            </w:pPr>
            <w:r>
              <w:t>People enrolled at 30 June</w:t>
            </w:r>
          </w:p>
        </w:tc>
        <w:tc>
          <w:tcPr>
            <w:tcW w:w="996" w:type="pct"/>
          </w:tcPr>
          <w:p w:rsidR="00260042" w:rsidRDefault="00260042" w:rsidP="00E847BB">
            <w:pPr>
              <w:pStyle w:val="BodyText"/>
              <w:jc w:val="right"/>
            </w:pPr>
            <w:r>
              <w:t>25.6 million</w:t>
            </w:r>
          </w:p>
        </w:tc>
        <w:tc>
          <w:tcPr>
            <w:tcW w:w="996" w:type="pct"/>
          </w:tcPr>
          <w:p w:rsidR="00260042" w:rsidRDefault="00260042" w:rsidP="00E847BB">
            <w:pPr>
              <w:pStyle w:val="BodyText"/>
              <w:jc w:val="right"/>
            </w:pPr>
            <w:r>
              <w:t>25.9 million</w:t>
            </w:r>
          </w:p>
        </w:tc>
        <w:tc>
          <w:tcPr>
            <w:tcW w:w="996" w:type="pct"/>
          </w:tcPr>
          <w:p w:rsidR="00260042" w:rsidRDefault="00260042" w:rsidP="00E847BB">
            <w:pPr>
              <w:pStyle w:val="BodyText"/>
              <w:jc w:val="right"/>
            </w:pPr>
            <w:r>
              <w:t>26.1 million</w:t>
            </w:r>
          </w:p>
        </w:tc>
      </w:tr>
      <w:tr w:rsidR="00260042" w:rsidTr="00E847BB">
        <w:trPr>
          <w:trHeight w:val="60"/>
        </w:trPr>
        <w:tc>
          <w:tcPr>
            <w:tcW w:w="2011" w:type="pct"/>
          </w:tcPr>
          <w:p w:rsidR="00260042" w:rsidRDefault="00260042" w:rsidP="00E847BB">
            <w:pPr>
              <w:pStyle w:val="BodyText"/>
            </w:pPr>
            <w:r>
              <w:t>Active cards at 30 June</w:t>
            </w:r>
          </w:p>
        </w:tc>
        <w:tc>
          <w:tcPr>
            <w:tcW w:w="996" w:type="pct"/>
          </w:tcPr>
          <w:p w:rsidR="00260042" w:rsidRDefault="00260042" w:rsidP="00E847BB">
            <w:pPr>
              <w:pStyle w:val="BodyText"/>
              <w:jc w:val="right"/>
            </w:pPr>
            <w:r>
              <w:t>14.6 million</w:t>
            </w:r>
          </w:p>
        </w:tc>
        <w:tc>
          <w:tcPr>
            <w:tcW w:w="996" w:type="pct"/>
          </w:tcPr>
          <w:p w:rsidR="00260042" w:rsidRDefault="00260042" w:rsidP="00E847BB">
            <w:pPr>
              <w:pStyle w:val="BodyText"/>
              <w:jc w:val="right"/>
            </w:pPr>
            <w:r>
              <w:t>14.7 million</w:t>
            </w:r>
          </w:p>
        </w:tc>
        <w:tc>
          <w:tcPr>
            <w:tcW w:w="996" w:type="pct"/>
          </w:tcPr>
          <w:p w:rsidR="00260042" w:rsidRDefault="00260042" w:rsidP="00E847BB">
            <w:pPr>
              <w:pStyle w:val="BodyText"/>
              <w:jc w:val="right"/>
            </w:pPr>
            <w:r>
              <w:t>14.8 million</w:t>
            </w:r>
          </w:p>
        </w:tc>
      </w:tr>
      <w:tr w:rsidR="00260042" w:rsidTr="00E847BB">
        <w:trPr>
          <w:trHeight w:val="60"/>
        </w:trPr>
        <w:tc>
          <w:tcPr>
            <w:tcW w:w="2011" w:type="pct"/>
          </w:tcPr>
          <w:p w:rsidR="00260042" w:rsidRDefault="00260042" w:rsidP="00E847BB">
            <w:pPr>
              <w:pStyle w:val="BodyText"/>
            </w:pPr>
            <w:r>
              <w:t>New enrolments</w:t>
            </w:r>
          </w:p>
        </w:tc>
        <w:tc>
          <w:tcPr>
            <w:tcW w:w="996" w:type="pct"/>
          </w:tcPr>
          <w:p w:rsidR="00260042" w:rsidRDefault="00260042" w:rsidP="00E847BB">
            <w:pPr>
              <w:pStyle w:val="BodyText"/>
              <w:jc w:val="right"/>
            </w:pPr>
            <w:r>
              <w:t>550,906</w:t>
            </w:r>
          </w:p>
        </w:tc>
        <w:tc>
          <w:tcPr>
            <w:tcW w:w="996" w:type="pct"/>
          </w:tcPr>
          <w:p w:rsidR="00260042" w:rsidRDefault="00260042" w:rsidP="00E847BB">
            <w:pPr>
              <w:pStyle w:val="BodyText"/>
              <w:jc w:val="right"/>
            </w:pPr>
            <w:r>
              <w:t>521,125</w:t>
            </w:r>
          </w:p>
        </w:tc>
        <w:tc>
          <w:tcPr>
            <w:tcW w:w="996" w:type="pct"/>
          </w:tcPr>
          <w:p w:rsidR="00260042" w:rsidRDefault="00260042" w:rsidP="00E847BB">
            <w:pPr>
              <w:pStyle w:val="BodyText"/>
              <w:jc w:val="right"/>
            </w:pPr>
            <w:r>
              <w:t>428,413</w:t>
            </w:r>
          </w:p>
        </w:tc>
      </w:tr>
    </w:tbl>
    <w:p w:rsidR="00260042" w:rsidRDefault="00260042" w:rsidP="00E847BB">
      <w:pPr>
        <w:pStyle w:val="Heading4"/>
      </w:pPr>
      <w:r>
        <w:t>Medicare Entitlement Statements</w:t>
      </w:r>
    </w:p>
    <w:p w:rsidR="00260042" w:rsidRDefault="00260042" w:rsidP="00260042">
      <w:pPr>
        <w:pStyle w:val="BodyText"/>
        <w:keepLines/>
      </w:pPr>
      <w:r>
        <w:t xml:space="preserve">People who do not meet the eligibility criteria for Medicare may apply to be exempt from paying the Medicare levy. If the application </w:t>
      </w:r>
      <w:proofErr w:type="gramStart"/>
      <w:r>
        <w:t>is approved</w:t>
      </w:r>
      <w:proofErr w:type="gramEnd"/>
      <w:r>
        <w:t xml:space="preserve">, the agency issues a Medicare Entitlement Statement, which entitles them to an exemption from the ATO. </w:t>
      </w:r>
    </w:p>
    <w:p w:rsidR="00260042" w:rsidRPr="00EA5510" w:rsidRDefault="009B789E" w:rsidP="00EA5510">
      <w:pPr>
        <w:pStyle w:val="BodyText"/>
        <w:rPr>
          <w:b/>
        </w:rPr>
      </w:pPr>
      <w:r>
        <w:rPr>
          <w:b/>
        </w:rPr>
        <w:t xml:space="preserve">Table </w:t>
      </w:r>
      <w:proofErr w:type="gramStart"/>
      <w:r>
        <w:rPr>
          <w:b/>
        </w:rPr>
        <w:t>5</w:t>
      </w:r>
      <w:proofErr w:type="gramEnd"/>
      <w:r w:rsidR="00260042" w:rsidRPr="00EA5510">
        <w:rPr>
          <w:b/>
        </w:rPr>
        <w:t xml:space="preserve"> Medicare Entitlement Statements</w:t>
      </w:r>
    </w:p>
    <w:tbl>
      <w:tblPr>
        <w:tblStyle w:val="TableGrid"/>
        <w:tblW w:w="5000" w:type="pct"/>
        <w:tblLook w:val="0000" w:firstRow="0" w:lastRow="0" w:firstColumn="0" w:lastColumn="0" w:noHBand="0" w:noVBand="0"/>
        <w:tblCaption w:val=" Medicare Entitlement Statements"/>
      </w:tblPr>
      <w:tblGrid>
        <w:gridCol w:w="4357"/>
        <w:gridCol w:w="2145"/>
        <w:gridCol w:w="2145"/>
        <w:gridCol w:w="2143"/>
      </w:tblGrid>
      <w:tr w:rsidR="00260042" w:rsidTr="00E847BB">
        <w:trPr>
          <w:trHeight w:val="60"/>
          <w:tblHeader/>
        </w:trPr>
        <w:tc>
          <w:tcPr>
            <w:tcW w:w="2019" w:type="pct"/>
          </w:tcPr>
          <w:p w:rsidR="00260042" w:rsidRDefault="00260042" w:rsidP="00E847BB">
            <w:pPr>
              <w:pStyle w:val="BodyText"/>
            </w:pPr>
          </w:p>
        </w:tc>
        <w:tc>
          <w:tcPr>
            <w:tcW w:w="994" w:type="pct"/>
          </w:tcPr>
          <w:p w:rsidR="00260042" w:rsidRPr="00E847BB" w:rsidRDefault="00260042" w:rsidP="00E847BB">
            <w:pPr>
              <w:pStyle w:val="BodyText"/>
              <w:jc w:val="right"/>
              <w:rPr>
                <w:b/>
              </w:rPr>
            </w:pPr>
            <w:r w:rsidRPr="00E847BB">
              <w:rPr>
                <w:b/>
              </w:rPr>
              <w:t>2018–19</w:t>
            </w:r>
          </w:p>
        </w:tc>
        <w:tc>
          <w:tcPr>
            <w:tcW w:w="994" w:type="pct"/>
          </w:tcPr>
          <w:p w:rsidR="00260042" w:rsidRPr="00E847BB" w:rsidRDefault="00260042" w:rsidP="00E847BB">
            <w:pPr>
              <w:pStyle w:val="BodyText"/>
              <w:jc w:val="right"/>
              <w:rPr>
                <w:b/>
              </w:rPr>
            </w:pPr>
            <w:r w:rsidRPr="00E847BB">
              <w:rPr>
                <w:b/>
              </w:rPr>
              <w:t>2019–20</w:t>
            </w:r>
          </w:p>
        </w:tc>
        <w:tc>
          <w:tcPr>
            <w:tcW w:w="994" w:type="pct"/>
          </w:tcPr>
          <w:p w:rsidR="00260042" w:rsidRPr="00E847BB" w:rsidRDefault="00260042" w:rsidP="00E847BB">
            <w:pPr>
              <w:pStyle w:val="BodyText"/>
              <w:jc w:val="right"/>
              <w:rPr>
                <w:b/>
              </w:rPr>
            </w:pPr>
            <w:r w:rsidRPr="00E847BB">
              <w:rPr>
                <w:b/>
              </w:rPr>
              <w:t>2020–21</w:t>
            </w:r>
          </w:p>
        </w:tc>
      </w:tr>
      <w:tr w:rsidR="00260042" w:rsidTr="00E847BB">
        <w:trPr>
          <w:trHeight w:val="60"/>
        </w:trPr>
        <w:tc>
          <w:tcPr>
            <w:tcW w:w="2019" w:type="pct"/>
          </w:tcPr>
          <w:p w:rsidR="00260042" w:rsidRDefault="00260042" w:rsidP="00E847BB">
            <w:pPr>
              <w:pStyle w:val="BodyText"/>
            </w:pPr>
            <w:r>
              <w:t>Accepted applications</w:t>
            </w:r>
          </w:p>
        </w:tc>
        <w:tc>
          <w:tcPr>
            <w:tcW w:w="994" w:type="pct"/>
          </w:tcPr>
          <w:p w:rsidR="00260042" w:rsidRDefault="00260042" w:rsidP="00E847BB">
            <w:pPr>
              <w:pStyle w:val="BodyText"/>
              <w:jc w:val="right"/>
            </w:pPr>
            <w:r>
              <w:t>96,640</w:t>
            </w:r>
          </w:p>
        </w:tc>
        <w:tc>
          <w:tcPr>
            <w:tcW w:w="994" w:type="pct"/>
          </w:tcPr>
          <w:p w:rsidR="00260042" w:rsidRDefault="00260042" w:rsidP="00E847BB">
            <w:pPr>
              <w:pStyle w:val="BodyText"/>
              <w:jc w:val="right"/>
            </w:pPr>
            <w:r>
              <w:t>90,412</w:t>
            </w:r>
          </w:p>
        </w:tc>
        <w:tc>
          <w:tcPr>
            <w:tcW w:w="994" w:type="pct"/>
          </w:tcPr>
          <w:p w:rsidR="00260042" w:rsidRDefault="00260042" w:rsidP="00E847BB">
            <w:pPr>
              <w:pStyle w:val="BodyText"/>
              <w:jc w:val="right"/>
            </w:pPr>
            <w:r>
              <w:t>94,980</w:t>
            </w:r>
          </w:p>
        </w:tc>
      </w:tr>
      <w:tr w:rsidR="00260042" w:rsidTr="00E847BB">
        <w:trPr>
          <w:trHeight w:val="60"/>
        </w:trPr>
        <w:tc>
          <w:tcPr>
            <w:tcW w:w="2019" w:type="pct"/>
          </w:tcPr>
          <w:p w:rsidR="00260042" w:rsidRDefault="00260042" w:rsidP="00E847BB">
            <w:pPr>
              <w:pStyle w:val="BodyText"/>
            </w:pPr>
            <w:r>
              <w:t>Rejected applications</w:t>
            </w:r>
          </w:p>
        </w:tc>
        <w:tc>
          <w:tcPr>
            <w:tcW w:w="994" w:type="pct"/>
          </w:tcPr>
          <w:p w:rsidR="00260042" w:rsidRDefault="00260042" w:rsidP="00E847BB">
            <w:pPr>
              <w:pStyle w:val="BodyText"/>
              <w:jc w:val="right"/>
            </w:pPr>
            <w:r>
              <w:t>3,086</w:t>
            </w:r>
          </w:p>
        </w:tc>
        <w:tc>
          <w:tcPr>
            <w:tcW w:w="994" w:type="pct"/>
          </w:tcPr>
          <w:p w:rsidR="00260042" w:rsidRDefault="00260042" w:rsidP="00E847BB">
            <w:pPr>
              <w:pStyle w:val="BodyText"/>
              <w:jc w:val="right"/>
            </w:pPr>
            <w:r>
              <w:t>3,173</w:t>
            </w:r>
          </w:p>
        </w:tc>
        <w:tc>
          <w:tcPr>
            <w:tcW w:w="994" w:type="pct"/>
          </w:tcPr>
          <w:p w:rsidR="00260042" w:rsidRDefault="00260042" w:rsidP="00E847BB">
            <w:pPr>
              <w:pStyle w:val="BodyText"/>
              <w:jc w:val="right"/>
            </w:pPr>
            <w:r>
              <w:t>3,266</w:t>
            </w:r>
          </w:p>
        </w:tc>
      </w:tr>
      <w:tr w:rsidR="00260042" w:rsidTr="00E847BB">
        <w:trPr>
          <w:trHeight w:val="60"/>
        </w:trPr>
        <w:tc>
          <w:tcPr>
            <w:tcW w:w="2019" w:type="pct"/>
          </w:tcPr>
          <w:p w:rsidR="00260042" w:rsidRDefault="00260042" w:rsidP="00E847BB">
            <w:pPr>
              <w:pStyle w:val="BodyText"/>
            </w:pPr>
            <w:r>
              <w:rPr>
                <w:rStyle w:val="Bold"/>
              </w:rPr>
              <w:t>Total applications</w:t>
            </w:r>
          </w:p>
        </w:tc>
        <w:tc>
          <w:tcPr>
            <w:tcW w:w="994" w:type="pct"/>
          </w:tcPr>
          <w:p w:rsidR="00260042" w:rsidRDefault="00260042" w:rsidP="00E847BB">
            <w:pPr>
              <w:pStyle w:val="BodyText"/>
              <w:jc w:val="right"/>
            </w:pPr>
            <w:r>
              <w:rPr>
                <w:rStyle w:val="Bold"/>
              </w:rPr>
              <w:t>99,726</w:t>
            </w:r>
          </w:p>
        </w:tc>
        <w:tc>
          <w:tcPr>
            <w:tcW w:w="994" w:type="pct"/>
          </w:tcPr>
          <w:p w:rsidR="00260042" w:rsidRDefault="00260042" w:rsidP="00E847BB">
            <w:pPr>
              <w:pStyle w:val="BodyText"/>
              <w:jc w:val="right"/>
            </w:pPr>
            <w:r>
              <w:rPr>
                <w:rStyle w:val="Bold"/>
              </w:rPr>
              <w:t>93,585</w:t>
            </w:r>
          </w:p>
        </w:tc>
        <w:tc>
          <w:tcPr>
            <w:tcW w:w="994" w:type="pct"/>
          </w:tcPr>
          <w:p w:rsidR="00260042" w:rsidRDefault="00260042" w:rsidP="00E847BB">
            <w:pPr>
              <w:pStyle w:val="BodyText"/>
              <w:jc w:val="right"/>
            </w:pPr>
            <w:r>
              <w:rPr>
                <w:rStyle w:val="Bold"/>
              </w:rPr>
              <w:t>98,246</w:t>
            </w:r>
          </w:p>
        </w:tc>
      </w:tr>
    </w:tbl>
    <w:p w:rsidR="00260042" w:rsidRDefault="00260042" w:rsidP="00E847BB">
      <w:pPr>
        <w:pStyle w:val="Heading4"/>
      </w:pPr>
      <w:r>
        <w:t>Medicare Safety Net</w:t>
      </w:r>
    </w:p>
    <w:p w:rsidR="00260042" w:rsidRDefault="00260042" w:rsidP="00260042">
      <w:pPr>
        <w:pStyle w:val="BodyText"/>
      </w:pPr>
      <w:r>
        <w:t xml:space="preserve">The Medicare Safety Net provides an additional Medicare benefit to eligible individuals, couples and families who have high out-of-hospital medical expenses. When the total out-of-pocket costs a customer pays reaches a certain threshold, the customer can receive higher Medicare benefits for the rest of the calendar year. </w:t>
      </w:r>
    </w:p>
    <w:p w:rsidR="00260042" w:rsidRDefault="00260042" w:rsidP="00260042">
      <w:pPr>
        <w:pStyle w:val="BodyText"/>
        <w:spacing w:after="57"/>
      </w:pPr>
      <w:r>
        <w:t xml:space="preserve">There are </w:t>
      </w:r>
      <w:proofErr w:type="gramStart"/>
      <w:r>
        <w:t>2</w:t>
      </w:r>
      <w:proofErr w:type="gramEnd"/>
      <w:r>
        <w:t xml:space="preserve"> Medicare safety nets:</w:t>
      </w:r>
    </w:p>
    <w:p w:rsidR="00260042" w:rsidRDefault="00260042" w:rsidP="008930A3">
      <w:pPr>
        <w:pStyle w:val="ListBullet"/>
      </w:pPr>
      <w:r>
        <w:t xml:space="preserve">the Original Medicare Safety Net threshold for the 2021 calendar year is $481.20 and applies to all Medicare cardholders </w:t>
      </w:r>
    </w:p>
    <w:p w:rsidR="00260042" w:rsidRDefault="00260042" w:rsidP="008930A3">
      <w:pPr>
        <w:pStyle w:val="ListBullet"/>
      </w:pPr>
      <w:r>
        <w:t>the Extended Medicare Safety Net – which has 2 threshold levels for the 2021 calendar year:</w:t>
      </w:r>
    </w:p>
    <w:p w:rsidR="00260042" w:rsidRDefault="00260042" w:rsidP="007764E8">
      <w:pPr>
        <w:pStyle w:val="BodyText"/>
      </w:pPr>
      <w:r>
        <w:t>$697.00 for Commonwealth concession cardholders and families eligible for Family Tax Benefit Part A</w:t>
      </w:r>
      <w:r w:rsidR="007764E8">
        <w:t xml:space="preserve"> </w:t>
      </w:r>
      <w:proofErr w:type="spellStart"/>
      <w:r>
        <w:t>a</w:t>
      </w:r>
      <w:proofErr w:type="spellEnd"/>
      <w:r>
        <w:t xml:space="preserve"> general threshold of $2,184.30 for all other Medicare cardholders (individuals and registered families).</w:t>
      </w:r>
    </w:p>
    <w:p w:rsidR="00260042" w:rsidRDefault="00260042" w:rsidP="00E847BB">
      <w:pPr>
        <w:pStyle w:val="Heading4"/>
      </w:pPr>
      <w:r>
        <w:t xml:space="preserve">Access to Medicare benefits </w:t>
      </w:r>
    </w:p>
    <w:p w:rsidR="00260042" w:rsidRDefault="00260042" w:rsidP="00260042">
      <w:pPr>
        <w:pStyle w:val="BodyText"/>
      </w:pPr>
      <w:r>
        <w:t xml:space="preserve">In 2020–21, the agency implemented changes to 7,159 MBS items to support Australians’ access to essential Medicare subsidised health services. The changes included responses to emergency events so Australians could continue to have access to the health services they needed. See also </w:t>
      </w:r>
      <w:r>
        <w:rPr>
          <w:rStyle w:val="Italic"/>
        </w:rPr>
        <w:t>COVID-19 pandemic</w:t>
      </w:r>
      <w:r>
        <w:t xml:space="preserve"> on page 24.</w:t>
      </w:r>
    </w:p>
    <w:p w:rsidR="00260042" w:rsidRDefault="00260042" w:rsidP="00E847BB">
      <w:pPr>
        <w:pStyle w:val="Heading4"/>
      </w:pPr>
      <w:r>
        <w:lastRenderedPageBreak/>
        <w:t>Medicare claiming</w:t>
      </w:r>
    </w:p>
    <w:p w:rsidR="00260042" w:rsidRDefault="00260042" w:rsidP="00260042">
      <w:pPr>
        <w:pStyle w:val="BodyText"/>
      </w:pPr>
      <w:r>
        <w:t>Health professionals can ‘bulk bill’ their patients. This means that the patient agrees to have their Medicare benefit paid directly to the health professional.</w:t>
      </w:r>
    </w:p>
    <w:p w:rsidR="00260042" w:rsidRDefault="00260042" w:rsidP="00260042">
      <w:pPr>
        <w:pStyle w:val="BodyText"/>
      </w:pPr>
      <w:r>
        <w:t xml:space="preserve">The health professional, or the patient (if they pay their account), can claim the Medicare benefit directly from Services Australia. When a patient has received in-hospital services, Medicare claims </w:t>
      </w:r>
      <w:proofErr w:type="gramStart"/>
      <w:r>
        <w:t>can be made</w:t>
      </w:r>
      <w:proofErr w:type="gramEnd"/>
      <w:r>
        <w:t xml:space="preserve"> through simplified billing arrangements. </w:t>
      </w:r>
    </w:p>
    <w:p w:rsidR="00260042" w:rsidRPr="00EA5510" w:rsidRDefault="009B789E" w:rsidP="00EA5510">
      <w:pPr>
        <w:pStyle w:val="BodyText"/>
        <w:rPr>
          <w:b/>
        </w:rPr>
      </w:pPr>
      <w:r>
        <w:rPr>
          <w:b/>
        </w:rPr>
        <w:t xml:space="preserve">Table </w:t>
      </w:r>
      <w:proofErr w:type="gramStart"/>
      <w:r>
        <w:rPr>
          <w:b/>
        </w:rPr>
        <w:t>6</w:t>
      </w:r>
      <w:proofErr w:type="gramEnd"/>
      <w:r w:rsidR="00260042" w:rsidRPr="00EA5510">
        <w:rPr>
          <w:b/>
        </w:rPr>
        <w:t xml:space="preserve"> Medicare services and benefits by claim type</w:t>
      </w:r>
    </w:p>
    <w:tbl>
      <w:tblPr>
        <w:tblStyle w:val="TableGrid"/>
        <w:tblW w:w="5000" w:type="pct"/>
        <w:tblLook w:val="0000" w:firstRow="0" w:lastRow="0" w:firstColumn="0" w:lastColumn="0" w:noHBand="0" w:noVBand="0"/>
        <w:tblCaption w:val=" Medicare services and benefits by claim type"/>
      </w:tblPr>
      <w:tblGrid>
        <w:gridCol w:w="4357"/>
        <w:gridCol w:w="2145"/>
        <w:gridCol w:w="2145"/>
        <w:gridCol w:w="2143"/>
      </w:tblGrid>
      <w:tr w:rsidR="00260042" w:rsidTr="00E847BB">
        <w:trPr>
          <w:trHeight w:val="60"/>
          <w:tblHeader/>
        </w:trPr>
        <w:tc>
          <w:tcPr>
            <w:tcW w:w="2019" w:type="pct"/>
          </w:tcPr>
          <w:p w:rsidR="00260042" w:rsidRDefault="00260042" w:rsidP="00E847BB">
            <w:pPr>
              <w:pStyle w:val="BodyText"/>
            </w:pPr>
          </w:p>
        </w:tc>
        <w:tc>
          <w:tcPr>
            <w:tcW w:w="994" w:type="pct"/>
          </w:tcPr>
          <w:p w:rsidR="00260042" w:rsidRPr="00E847BB" w:rsidRDefault="00260042" w:rsidP="00E847BB">
            <w:pPr>
              <w:pStyle w:val="BodyText"/>
              <w:jc w:val="right"/>
              <w:rPr>
                <w:b/>
              </w:rPr>
            </w:pPr>
            <w:r w:rsidRPr="00E847BB">
              <w:rPr>
                <w:b/>
              </w:rPr>
              <w:t>2018–19</w:t>
            </w:r>
          </w:p>
        </w:tc>
        <w:tc>
          <w:tcPr>
            <w:tcW w:w="994" w:type="pct"/>
          </w:tcPr>
          <w:p w:rsidR="00260042" w:rsidRPr="00E847BB" w:rsidRDefault="00260042" w:rsidP="00E847BB">
            <w:pPr>
              <w:pStyle w:val="BodyText"/>
              <w:jc w:val="right"/>
              <w:rPr>
                <w:b/>
              </w:rPr>
            </w:pPr>
            <w:r w:rsidRPr="00E847BB">
              <w:rPr>
                <w:b/>
              </w:rPr>
              <w:t>2019–20</w:t>
            </w:r>
          </w:p>
        </w:tc>
        <w:tc>
          <w:tcPr>
            <w:tcW w:w="994" w:type="pct"/>
          </w:tcPr>
          <w:p w:rsidR="00260042" w:rsidRPr="00E847BB" w:rsidRDefault="00260042" w:rsidP="00E847BB">
            <w:pPr>
              <w:pStyle w:val="BodyText"/>
              <w:jc w:val="right"/>
              <w:rPr>
                <w:b/>
              </w:rPr>
            </w:pPr>
            <w:r w:rsidRPr="00E847BB">
              <w:rPr>
                <w:b/>
              </w:rPr>
              <w:t>2020–21</w:t>
            </w:r>
          </w:p>
        </w:tc>
      </w:tr>
      <w:tr w:rsidR="00260042" w:rsidTr="00EA5510">
        <w:trPr>
          <w:trHeight w:val="60"/>
        </w:trPr>
        <w:tc>
          <w:tcPr>
            <w:tcW w:w="2019" w:type="pct"/>
          </w:tcPr>
          <w:p w:rsidR="00260042" w:rsidRDefault="00260042" w:rsidP="00E847BB">
            <w:pPr>
              <w:pStyle w:val="BodyText"/>
            </w:pPr>
            <w:r>
              <w:t>Bulk billing</w:t>
            </w:r>
          </w:p>
        </w:tc>
        <w:tc>
          <w:tcPr>
            <w:tcW w:w="994" w:type="pct"/>
          </w:tcPr>
          <w:p w:rsidR="00260042" w:rsidRDefault="00260042" w:rsidP="00E847BB">
            <w:pPr>
              <w:pStyle w:val="BodyText"/>
              <w:jc w:val="right"/>
            </w:pPr>
            <w:r>
              <w:t>341.0 million</w:t>
            </w:r>
          </w:p>
        </w:tc>
        <w:tc>
          <w:tcPr>
            <w:tcW w:w="994" w:type="pct"/>
          </w:tcPr>
          <w:p w:rsidR="00260042" w:rsidRDefault="00260042" w:rsidP="00E847BB">
            <w:pPr>
              <w:pStyle w:val="BodyText"/>
              <w:jc w:val="right"/>
            </w:pPr>
            <w:r>
              <w:t>347.7 million</w:t>
            </w:r>
          </w:p>
        </w:tc>
        <w:tc>
          <w:tcPr>
            <w:tcW w:w="994" w:type="pct"/>
          </w:tcPr>
          <w:p w:rsidR="00260042" w:rsidRDefault="00260042" w:rsidP="00E847BB">
            <w:pPr>
              <w:pStyle w:val="BodyText"/>
              <w:jc w:val="right"/>
            </w:pPr>
            <w:r>
              <w:t>382.3 million</w:t>
            </w:r>
          </w:p>
        </w:tc>
      </w:tr>
      <w:tr w:rsidR="00260042" w:rsidTr="00EA5510">
        <w:trPr>
          <w:trHeight w:val="60"/>
        </w:trPr>
        <w:tc>
          <w:tcPr>
            <w:tcW w:w="2019" w:type="pct"/>
          </w:tcPr>
          <w:p w:rsidR="00260042" w:rsidRDefault="00260042" w:rsidP="00E847BB">
            <w:pPr>
              <w:pStyle w:val="BodyText"/>
            </w:pPr>
            <w:r>
              <w:t>Patient claiming</w:t>
            </w:r>
          </w:p>
        </w:tc>
        <w:tc>
          <w:tcPr>
            <w:tcW w:w="994" w:type="pct"/>
          </w:tcPr>
          <w:p w:rsidR="00260042" w:rsidRDefault="00260042" w:rsidP="00E847BB">
            <w:pPr>
              <w:pStyle w:val="BodyText"/>
              <w:jc w:val="right"/>
            </w:pPr>
            <w:r>
              <w:t>54.0 million</w:t>
            </w:r>
          </w:p>
        </w:tc>
        <w:tc>
          <w:tcPr>
            <w:tcW w:w="994" w:type="pct"/>
          </w:tcPr>
          <w:p w:rsidR="00260042" w:rsidRDefault="00260042" w:rsidP="00E847BB">
            <w:pPr>
              <w:pStyle w:val="BodyText"/>
              <w:jc w:val="right"/>
            </w:pPr>
            <w:r>
              <w:t>51.3 million</w:t>
            </w:r>
          </w:p>
        </w:tc>
        <w:tc>
          <w:tcPr>
            <w:tcW w:w="994" w:type="pct"/>
          </w:tcPr>
          <w:p w:rsidR="00260042" w:rsidRDefault="00260042" w:rsidP="00E847BB">
            <w:pPr>
              <w:pStyle w:val="BodyText"/>
              <w:jc w:val="right"/>
            </w:pPr>
            <w:r>
              <w:t>53.5 million</w:t>
            </w:r>
          </w:p>
        </w:tc>
      </w:tr>
      <w:tr w:rsidR="00260042" w:rsidTr="00EA5510">
        <w:trPr>
          <w:trHeight w:val="60"/>
        </w:trPr>
        <w:tc>
          <w:tcPr>
            <w:tcW w:w="2019" w:type="pct"/>
          </w:tcPr>
          <w:p w:rsidR="00260042" w:rsidRDefault="00260042" w:rsidP="00E847BB">
            <w:pPr>
              <w:pStyle w:val="BodyText"/>
            </w:pPr>
            <w:r>
              <w:t>Simplified billing</w:t>
            </w:r>
          </w:p>
        </w:tc>
        <w:tc>
          <w:tcPr>
            <w:tcW w:w="994" w:type="pct"/>
          </w:tcPr>
          <w:p w:rsidR="00260042" w:rsidRDefault="00260042" w:rsidP="00E847BB">
            <w:pPr>
              <w:pStyle w:val="BodyText"/>
              <w:jc w:val="right"/>
            </w:pPr>
            <w:r>
              <w:t>34.5 million</w:t>
            </w:r>
          </w:p>
        </w:tc>
        <w:tc>
          <w:tcPr>
            <w:tcW w:w="994" w:type="pct"/>
          </w:tcPr>
          <w:p w:rsidR="00260042" w:rsidRDefault="00260042" w:rsidP="00E847BB">
            <w:pPr>
              <w:pStyle w:val="BodyText"/>
              <w:jc w:val="right"/>
            </w:pPr>
            <w:r>
              <w:t>34.1 million</w:t>
            </w:r>
          </w:p>
        </w:tc>
        <w:tc>
          <w:tcPr>
            <w:tcW w:w="994" w:type="pct"/>
          </w:tcPr>
          <w:p w:rsidR="00260042" w:rsidRDefault="00260042" w:rsidP="00E847BB">
            <w:pPr>
              <w:pStyle w:val="BodyText"/>
              <w:jc w:val="right"/>
            </w:pPr>
            <w:r>
              <w:t>35.3 million</w:t>
            </w:r>
          </w:p>
        </w:tc>
      </w:tr>
      <w:tr w:rsidR="00260042" w:rsidTr="00EA5510">
        <w:trPr>
          <w:trHeight w:val="60"/>
        </w:trPr>
        <w:tc>
          <w:tcPr>
            <w:tcW w:w="2019" w:type="pct"/>
          </w:tcPr>
          <w:p w:rsidR="00260042" w:rsidRDefault="00260042" w:rsidP="00E847BB">
            <w:pPr>
              <w:pStyle w:val="BodyText"/>
            </w:pPr>
            <w:r>
              <w:rPr>
                <w:rStyle w:val="Bold"/>
              </w:rPr>
              <w:t>Total services processed</w:t>
            </w:r>
            <w:r>
              <w:rPr>
                <w:rStyle w:val="Bold"/>
                <w:vertAlign w:val="superscript"/>
              </w:rPr>
              <w:t>(a)</w:t>
            </w:r>
          </w:p>
        </w:tc>
        <w:tc>
          <w:tcPr>
            <w:tcW w:w="994" w:type="pct"/>
          </w:tcPr>
          <w:p w:rsidR="00260042" w:rsidRDefault="00260042" w:rsidP="00E847BB">
            <w:pPr>
              <w:pStyle w:val="BodyText"/>
              <w:jc w:val="right"/>
            </w:pPr>
            <w:r>
              <w:rPr>
                <w:rStyle w:val="Bold"/>
              </w:rPr>
              <w:t>429.6 million</w:t>
            </w:r>
          </w:p>
        </w:tc>
        <w:tc>
          <w:tcPr>
            <w:tcW w:w="994" w:type="pct"/>
          </w:tcPr>
          <w:p w:rsidR="00260042" w:rsidRDefault="00260042" w:rsidP="00E847BB">
            <w:pPr>
              <w:pStyle w:val="BodyText"/>
              <w:jc w:val="right"/>
            </w:pPr>
            <w:r>
              <w:rPr>
                <w:rStyle w:val="Bold"/>
              </w:rPr>
              <w:t>433.1 million</w:t>
            </w:r>
          </w:p>
        </w:tc>
        <w:tc>
          <w:tcPr>
            <w:tcW w:w="994" w:type="pct"/>
          </w:tcPr>
          <w:p w:rsidR="00260042" w:rsidRDefault="00260042" w:rsidP="00E847BB">
            <w:pPr>
              <w:pStyle w:val="BodyText"/>
              <w:jc w:val="right"/>
            </w:pPr>
            <w:r>
              <w:rPr>
                <w:rStyle w:val="Bold"/>
              </w:rPr>
              <w:t>471.1 million</w:t>
            </w:r>
          </w:p>
        </w:tc>
      </w:tr>
      <w:tr w:rsidR="00260042" w:rsidTr="00EA5510">
        <w:trPr>
          <w:trHeight w:val="60"/>
        </w:trPr>
        <w:tc>
          <w:tcPr>
            <w:tcW w:w="2019" w:type="pct"/>
          </w:tcPr>
          <w:p w:rsidR="00260042" w:rsidRDefault="00260042" w:rsidP="00E847BB">
            <w:pPr>
              <w:pStyle w:val="BodyText"/>
            </w:pPr>
            <w:r>
              <w:t>Bulk billing</w:t>
            </w:r>
          </w:p>
        </w:tc>
        <w:tc>
          <w:tcPr>
            <w:tcW w:w="994" w:type="pct"/>
          </w:tcPr>
          <w:p w:rsidR="00260042" w:rsidRDefault="00260042" w:rsidP="00E847BB">
            <w:pPr>
              <w:pStyle w:val="BodyText"/>
              <w:jc w:val="right"/>
            </w:pPr>
            <w:r>
              <w:t>$17.1 billion</w:t>
            </w:r>
          </w:p>
        </w:tc>
        <w:tc>
          <w:tcPr>
            <w:tcW w:w="994" w:type="pct"/>
          </w:tcPr>
          <w:p w:rsidR="00260042" w:rsidRDefault="00260042" w:rsidP="00E847BB">
            <w:pPr>
              <w:pStyle w:val="BodyText"/>
              <w:jc w:val="right"/>
            </w:pPr>
            <w:r>
              <w:t>$17.9 billion</w:t>
            </w:r>
          </w:p>
        </w:tc>
        <w:tc>
          <w:tcPr>
            <w:tcW w:w="994" w:type="pct"/>
          </w:tcPr>
          <w:p w:rsidR="00260042" w:rsidRDefault="00260042" w:rsidP="00E847BB">
            <w:pPr>
              <w:pStyle w:val="BodyText"/>
              <w:jc w:val="right"/>
            </w:pPr>
            <w:r>
              <w:t>$20.0 billion</w:t>
            </w:r>
          </w:p>
        </w:tc>
      </w:tr>
      <w:tr w:rsidR="00260042" w:rsidTr="00EA5510">
        <w:trPr>
          <w:trHeight w:val="60"/>
        </w:trPr>
        <w:tc>
          <w:tcPr>
            <w:tcW w:w="2019" w:type="pct"/>
          </w:tcPr>
          <w:p w:rsidR="00260042" w:rsidRDefault="00260042" w:rsidP="00E847BB">
            <w:pPr>
              <w:pStyle w:val="BodyText"/>
            </w:pPr>
            <w:r>
              <w:t>Patient claiming</w:t>
            </w:r>
          </w:p>
        </w:tc>
        <w:tc>
          <w:tcPr>
            <w:tcW w:w="994" w:type="pct"/>
          </w:tcPr>
          <w:p w:rsidR="00260042" w:rsidRDefault="00260042" w:rsidP="00E847BB">
            <w:pPr>
              <w:pStyle w:val="BodyText"/>
              <w:jc w:val="right"/>
            </w:pPr>
            <w:r>
              <w:t>$4.5 billion</w:t>
            </w:r>
          </w:p>
        </w:tc>
        <w:tc>
          <w:tcPr>
            <w:tcW w:w="994" w:type="pct"/>
          </w:tcPr>
          <w:p w:rsidR="00260042" w:rsidRDefault="00260042" w:rsidP="00E847BB">
            <w:pPr>
              <w:pStyle w:val="BodyText"/>
              <w:jc w:val="right"/>
            </w:pPr>
            <w:r>
              <w:t>$4.4 billion</w:t>
            </w:r>
          </w:p>
        </w:tc>
        <w:tc>
          <w:tcPr>
            <w:tcW w:w="994" w:type="pct"/>
          </w:tcPr>
          <w:p w:rsidR="00260042" w:rsidRDefault="00260042" w:rsidP="00E847BB">
            <w:pPr>
              <w:pStyle w:val="BodyText"/>
              <w:jc w:val="right"/>
            </w:pPr>
            <w:r>
              <w:t>$4.9 billion</w:t>
            </w:r>
          </w:p>
        </w:tc>
      </w:tr>
      <w:tr w:rsidR="00260042" w:rsidTr="00EA5510">
        <w:trPr>
          <w:trHeight w:val="60"/>
        </w:trPr>
        <w:tc>
          <w:tcPr>
            <w:tcW w:w="2019" w:type="pct"/>
          </w:tcPr>
          <w:p w:rsidR="00260042" w:rsidRDefault="00260042" w:rsidP="00E847BB">
            <w:pPr>
              <w:pStyle w:val="BodyText"/>
            </w:pPr>
            <w:r>
              <w:t>Simplified billing</w:t>
            </w:r>
          </w:p>
        </w:tc>
        <w:tc>
          <w:tcPr>
            <w:tcW w:w="994" w:type="pct"/>
          </w:tcPr>
          <w:p w:rsidR="00260042" w:rsidRDefault="00260042" w:rsidP="00E847BB">
            <w:pPr>
              <w:pStyle w:val="BodyText"/>
              <w:jc w:val="right"/>
            </w:pPr>
            <w:r>
              <w:t>$2.7 billion</w:t>
            </w:r>
          </w:p>
        </w:tc>
        <w:tc>
          <w:tcPr>
            <w:tcW w:w="994" w:type="pct"/>
          </w:tcPr>
          <w:p w:rsidR="00260042" w:rsidRDefault="00260042" w:rsidP="00E847BB">
            <w:pPr>
              <w:pStyle w:val="BodyText"/>
              <w:jc w:val="right"/>
            </w:pPr>
            <w:r>
              <w:t>$2.7 billion</w:t>
            </w:r>
          </w:p>
        </w:tc>
        <w:tc>
          <w:tcPr>
            <w:tcW w:w="994" w:type="pct"/>
          </w:tcPr>
          <w:p w:rsidR="00260042" w:rsidRDefault="00260042" w:rsidP="00E847BB">
            <w:pPr>
              <w:pStyle w:val="BodyText"/>
              <w:jc w:val="right"/>
            </w:pPr>
            <w:r>
              <w:t>$2.9 billion</w:t>
            </w:r>
          </w:p>
        </w:tc>
      </w:tr>
      <w:tr w:rsidR="00260042" w:rsidTr="00EA5510">
        <w:trPr>
          <w:trHeight w:val="60"/>
        </w:trPr>
        <w:tc>
          <w:tcPr>
            <w:tcW w:w="2019" w:type="pct"/>
          </w:tcPr>
          <w:p w:rsidR="00260042" w:rsidRDefault="00260042" w:rsidP="00E847BB">
            <w:pPr>
              <w:pStyle w:val="BodyText"/>
            </w:pPr>
            <w:r>
              <w:rPr>
                <w:rStyle w:val="Bold"/>
              </w:rPr>
              <w:t>Total benefits paid</w:t>
            </w:r>
            <w:r>
              <w:rPr>
                <w:rStyle w:val="Bold"/>
                <w:vertAlign w:val="superscript"/>
              </w:rPr>
              <w:t>(a)</w:t>
            </w:r>
          </w:p>
        </w:tc>
        <w:tc>
          <w:tcPr>
            <w:tcW w:w="994" w:type="pct"/>
          </w:tcPr>
          <w:p w:rsidR="00260042" w:rsidRDefault="00260042" w:rsidP="00E847BB">
            <w:pPr>
              <w:pStyle w:val="BodyText"/>
              <w:jc w:val="right"/>
            </w:pPr>
            <w:r>
              <w:rPr>
                <w:rStyle w:val="Bold"/>
              </w:rPr>
              <w:t>$24.4 billion</w:t>
            </w:r>
          </w:p>
        </w:tc>
        <w:tc>
          <w:tcPr>
            <w:tcW w:w="994" w:type="pct"/>
          </w:tcPr>
          <w:p w:rsidR="00260042" w:rsidRDefault="00260042" w:rsidP="00E847BB">
            <w:pPr>
              <w:pStyle w:val="BodyText"/>
              <w:jc w:val="right"/>
            </w:pPr>
            <w:r>
              <w:rPr>
                <w:rStyle w:val="Bold"/>
              </w:rPr>
              <w:t>$25.0 billion</w:t>
            </w:r>
          </w:p>
        </w:tc>
        <w:tc>
          <w:tcPr>
            <w:tcW w:w="994" w:type="pct"/>
          </w:tcPr>
          <w:p w:rsidR="00260042" w:rsidRDefault="00260042" w:rsidP="00E847BB">
            <w:pPr>
              <w:pStyle w:val="BodyText"/>
              <w:jc w:val="right"/>
            </w:pPr>
            <w:r>
              <w:rPr>
                <w:rStyle w:val="Bold"/>
              </w:rPr>
              <w:t>$27.7 billion</w:t>
            </w:r>
          </w:p>
        </w:tc>
      </w:tr>
      <w:tr w:rsidR="00260042" w:rsidTr="00EA5510">
        <w:trPr>
          <w:trHeight w:val="60"/>
        </w:trPr>
        <w:tc>
          <w:tcPr>
            <w:tcW w:w="2019" w:type="pct"/>
          </w:tcPr>
          <w:p w:rsidR="00260042" w:rsidRDefault="00260042" w:rsidP="00E847BB">
            <w:pPr>
              <w:pStyle w:val="BodyText"/>
            </w:pPr>
            <w:r>
              <w:t>Average benefit per service</w:t>
            </w:r>
          </w:p>
        </w:tc>
        <w:tc>
          <w:tcPr>
            <w:tcW w:w="994" w:type="pct"/>
          </w:tcPr>
          <w:p w:rsidR="00260042" w:rsidRDefault="00260042" w:rsidP="00E847BB">
            <w:pPr>
              <w:pStyle w:val="BodyText"/>
              <w:jc w:val="right"/>
            </w:pPr>
            <w:r>
              <w:t>$56.78</w:t>
            </w:r>
          </w:p>
        </w:tc>
        <w:tc>
          <w:tcPr>
            <w:tcW w:w="994" w:type="pct"/>
          </w:tcPr>
          <w:p w:rsidR="00260042" w:rsidRDefault="00260042" w:rsidP="00E847BB">
            <w:pPr>
              <w:pStyle w:val="BodyText"/>
              <w:jc w:val="right"/>
            </w:pPr>
            <w:r>
              <w:t>$57.67</w:t>
            </w:r>
          </w:p>
        </w:tc>
        <w:tc>
          <w:tcPr>
            <w:tcW w:w="994" w:type="pct"/>
          </w:tcPr>
          <w:p w:rsidR="00260042" w:rsidRDefault="00260042" w:rsidP="00E847BB">
            <w:pPr>
              <w:pStyle w:val="BodyText"/>
              <w:jc w:val="right"/>
            </w:pPr>
            <w:r>
              <w:t>$58.99</w:t>
            </w:r>
          </w:p>
        </w:tc>
      </w:tr>
      <w:tr w:rsidR="00260042" w:rsidTr="00EA5510">
        <w:trPr>
          <w:trHeight w:val="60"/>
        </w:trPr>
        <w:tc>
          <w:tcPr>
            <w:tcW w:w="2019" w:type="pct"/>
          </w:tcPr>
          <w:p w:rsidR="00260042" w:rsidRDefault="00260042" w:rsidP="00E847BB">
            <w:pPr>
              <w:pStyle w:val="BodyText"/>
            </w:pPr>
            <w:r>
              <w:t>Average period (date of lodgement to processing)</w:t>
            </w:r>
          </w:p>
        </w:tc>
        <w:tc>
          <w:tcPr>
            <w:tcW w:w="994" w:type="pct"/>
          </w:tcPr>
          <w:p w:rsidR="00260042" w:rsidRDefault="00260042" w:rsidP="00E847BB">
            <w:pPr>
              <w:pStyle w:val="BodyText"/>
              <w:jc w:val="right"/>
            </w:pPr>
            <w:r>
              <w:t>0.88 days</w:t>
            </w:r>
          </w:p>
        </w:tc>
        <w:tc>
          <w:tcPr>
            <w:tcW w:w="994" w:type="pct"/>
          </w:tcPr>
          <w:p w:rsidR="00260042" w:rsidRDefault="00260042" w:rsidP="00E847BB">
            <w:pPr>
              <w:pStyle w:val="BodyText"/>
              <w:jc w:val="right"/>
            </w:pPr>
            <w:r>
              <w:t>0.81 days</w:t>
            </w:r>
          </w:p>
        </w:tc>
        <w:tc>
          <w:tcPr>
            <w:tcW w:w="994" w:type="pct"/>
          </w:tcPr>
          <w:p w:rsidR="00260042" w:rsidRDefault="00260042" w:rsidP="00E847BB">
            <w:pPr>
              <w:pStyle w:val="BodyText"/>
              <w:jc w:val="right"/>
            </w:pPr>
            <w:r>
              <w:t>0.57 days</w:t>
            </w:r>
          </w:p>
        </w:tc>
      </w:tr>
    </w:tbl>
    <w:p w:rsidR="00260042" w:rsidRDefault="00260042" w:rsidP="00EA5510">
      <w:pPr>
        <w:pStyle w:val="BodyText"/>
      </w:pPr>
      <w:r>
        <w:t>(a) Totals take account of rounding.</w:t>
      </w:r>
    </w:p>
    <w:p w:rsidR="00260042" w:rsidRPr="00EA5510" w:rsidRDefault="009B789E" w:rsidP="00EA5510">
      <w:pPr>
        <w:pStyle w:val="BodyText"/>
        <w:rPr>
          <w:b/>
        </w:rPr>
      </w:pPr>
      <w:r>
        <w:rPr>
          <w:b/>
        </w:rPr>
        <w:t xml:space="preserve">Table </w:t>
      </w:r>
      <w:proofErr w:type="gramStart"/>
      <w:r>
        <w:rPr>
          <w:b/>
        </w:rPr>
        <w:t>7</w:t>
      </w:r>
      <w:proofErr w:type="gramEnd"/>
      <w:r w:rsidR="00260042" w:rsidRPr="00EA5510">
        <w:rPr>
          <w:b/>
        </w:rPr>
        <w:t xml:space="preserve"> Medicare services by payment type </w:t>
      </w:r>
    </w:p>
    <w:tbl>
      <w:tblPr>
        <w:tblStyle w:val="TableGrid"/>
        <w:tblW w:w="5000" w:type="pct"/>
        <w:tblLook w:val="0000" w:firstRow="0" w:lastRow="0" w:firstColumn="0" w:lastColumn="0" w:noHBand="0" w:noVBand="0"/>
        <w:tblCaption w:val="Medicare services by payment type "/>
      </w:tblPr>
      <w:tblGrid>
        <w:gridCol w:w="3348"/>
        <w:gridCol w:w="1571"/>
        <w:gridCol w:w="909"/>
        <w:gridCol w:w="1571"/>
        <w:gridCol w:w="911"/>
        <w:gridCol w:w="1571"/>
        <w:gridCol w:w="909"/>
      </w:tblGrid>
      <w:tr w:rsidR="00260042" w:rsidTr="00E847BB">
        <w:trPr>
          <w:trHeight w:val="60"/>
          <w:tblHeader/>
        </w:trPr>
        <w:tc>
          <w:tcPr>
            <w:tcW w:w="1552" w:type="pct"/>
          </w:tcPr>
          <w:p w:rsidR="00260042" w:rsidRPr="00E847BB" w:rsidRDefault="00260042" w:rsidP="00E847BB">
            <w:pPr>
              <w:pStyle w:val="BodyText"/>
              <w:rPr>
                <w:b/>
              </w:rPr>
            </w:pPr>
          </w:p>
        </w:tc>
        <w:tc>
          <w:tcPr>
            <w:tcW w:w="728" w:type="pct"/>
          </w:tcPr>
          <w:p w:rsidR="00260042" w:rsidRPr="00E847BB" w:rsidRDefault="00260042" w:rsidP="00E847BB">
            <w:pPr>
              <w:pStyle w:val="BodyText"/>
              <w:rPr>
                <w:b/>
              </w:rPr>
            </w:pPr>
            <w:r w:rsidRPr="00E847BB">
              <w:rPr>
                <w:b/>
              </w:rPr>
              <w:t>2018–19 million</w:t>
            </w:r>
          </w:p>
        </w:tc>
        <w:tc>
          <w:tcPr>
            <w:tcW w:w="421" w:type="pct"/>
          </w:tcPr>
          <w:p w:rsidR="00260042" w:rsidRPr="00E847BB" w:rsidRDefault="00260042" w:rsidP="00E847BB">
            <w:pPr>
              <w:pStyle w:val="BodyText"/>
              <w:rPr>
                <w:b/>
              </w:rPr>
            </w:pPr>
            <w:r w:rsidRPr="00E847BB">
              <w:rPr>
                <w:b/>
              </w:rPr>
              <w:t>%</w:t>
            </w:r>
          </w:p>
        </w:tc>
        <w:tc>
          <w:tcPr>
            <w:tcW w:w="728" w:type="pct"/>
          </w:tcPr>
          <w:p w:rsidR="00260042" w:rsidRPr="00E847BB" w:rsidRDefault="00260042" w:rsidP="00E847BB">
            <w:pPr>
              <w:pStyle w:val="BodyText"/>
              <w:rPr>
                <w:b/>
              </w:rPr>
            </w:pPr>
            <w:r w:rsidRPr="00E847BB">
              <w:rPr>
                <w:b/>
              </w:rPr>
              <w:t>2019–20 million</w:t>
            </w:r>
          </w:p>
        </w:tc>
        <w:tc>
          <w:tcPr>
            <w:tcW w:w="422" w:type="pct"/>
          </w:tcPr>
          <w:p w:rsidR="00260042" w:rsidRPr="00E847BB" w:rsidRDefault="00260042" w:rsidP="00E847BB">
            <w:pPr>
              <w:pStyle w:val="BodyText"/>
              <w:rPr>
                <w:b/>
              </w:rPr>
            </w:pPr>
            <w:r w:rsidRPr="00E847BB">
              <w:rPr>
                <w:b/>
              </w:rPr>
              <w:t>%</w:t>
            </w:r>
          </w:p>
        </w:tc>
        <w:tc>
          <w:tcPr>
            <w:tcW w:w="728" w:type="pct"/>
          </w:tcPr>
          <w:p w:rsidR="00260042" w:rsidRPr="00E847BB" w:rsidRDefault="00260042" w:rsidP="00E847BB">
            <w:pPr>
              <w:pStyle w:val="BodyText"/>
              <w:rPr>
                <w:b/>
              </w:rPr>
            </w:pPr>
            <w:r w:rsidRPr="00E847BB">
              <w:rPr>
                <w:b/>
              </w:rPr>
              <w:t>2020–21 million</w:t>
            </w:r>
          </w:p>
        </w:tc>
        <w:tc>
          <w:tcPr>
            <w:tcW w:w="422" w:type="pct"/>
          </w:tcPr>
          <w:p w:rsidR="00260042" w:rsidRPr="00E847BB" w:rsidRDefault="00260042" w:rsidP="00E847BB">
            <w:pPr>
              <w:pStyle w:val="BodyText"/>
              <w:rPr>
                <w:b/>
              </w:rPr>
            </w:pPr>
            <w:r w:rsidRPr="00E847BB">
              <w:rPr>
                <w:b/>
              </w:rPr>
              <w:t>%</w:t>
            </w:r>
          </w:p>
        </w:tc>
      </w:tr>
      <w:tr w:rsidR="00260042" w:rsidTr="00E847BB">
        <w:trPr>
          <w:trHeight w:val="60"/>
        </w:trPr>
        <w:tc>
          <w:tcPr>
            <w:tcW w:w="1552" w:type="pct"/>
          </w:tcPr>
          <w:p w:rsidR="00260042" w:rsidRDefault="00260042" w:rsidP="00E847BB">
            <w:pPr>
              <w:pStyle w:val="BodyText"/>
            </w:pPr>
            <w:r>
              <w:t>Electronic Funds Transfer (EFT) to claimant</w:t>
            </w:r>
          </w:p>
        </w:tc>
        <w:tc>
          <w:tcPr>
            <w:tcW w:w="728" w:type="pct"/>
          </w:tcPr>
          <w:p w:rsidR="00260042" w:rsidRDefault="00260042" w:rsidP="00E847BB">
            <w:pPr>
              <w:pStyle w:val="BodyText"/>
            </w:pPr>
            <w:r>
              <w:t>38.4</w:t>
            </w:r>
          </w:p>
        </w:tc>
        <w:tc>
          <w:tcPr>
            <w:tcW w:w="421" w:type="pct"/>
          </w:tcPr>
          <w:p w:rsidR="00260042" w:rsidRDefault="00260042" w:rsidP="00E847BB">
            <w:pPr>
              <w:pStyle w:val="BodyText"/>
            </w:pPr>
            <w:r>
              <w:t>8.9</w:t>
            </w:r>
          </w:p>
        </w:tc>
        <w:tc>
          <w:tcPr>
            <w:tcW w:w="728" w:type="pct"/>
          </w:tcPr>
          <w:p w:rsidR="00260042" w:rsidRDefault="00260042" w:rsidP="00E847BB">
            <w:pPr>
              <w:pStyle w:val="BodyText"/>
            </w:pPr>
            <w:r>
              <w:t>36.7</w:t>
            </w:r>
          </w:p>
        </w:tc>
        <w:tc>
          <w:tcPr>
            <w:tcW w:w="422" w:type="pct"/>
          </w:tcPr>
          <w:p w:rsidR="00260042" w:rsidRDefault="00260042" w:rsidP="00E847BB">
            <w:pPr>
              <w:pStyle w:val="BodyText"/>
            </w:pPr>
            <w:r>
              <w:t>8.5</w:t>
            </w:r>
          </w:p>
        </w:tc>
        <w:tc>
          <w:tcPr>
            <w:tcW w:w="728" w:type="pct"/>
          </w:tcPr>
          <w:p w:rsidR="00260042" w:rsidRDefault="00260042" w:rsidP="00E847BB">
            <w:pPr>
              <w:pStyle w:val="BodyText"/>
            </w:pPr>
            <w:r>
              <w:t>40.6</w:t>
            </w:r>
          </w:p>
        </w:tc>
        <w:tc>
          <w:tcPr>
            <w:tcW w:w="422" w:type="pct"/>
          </w:tcPr>
          <w:p w:rsidR="00260042" w:rsidRDefault="00260042" w:rsidP="00E847BB">
            <w:pPr>
              <w:pStyle w:val="BodyText"/>
            </w:pPr>
            <w:r>
              <w:t>8.6</w:t>
            </w:r>
          </w:p>
        </w:tc>
      </w:tr>
      <w:tr w:rsidR="00260042" w:rsidTr="00E847BB">
        <w:trPr>
          <w:trHeight w:val="60"/>
        </w:trPr>
        <w:tc>
          <w:tcPr>
            <w:tcW w:w="1552" w:type="pct"/>
          </w:tcPr>
          <w:p w:rsidR="00260042" w:rsidRDefault="00260042" w:rsidP="00E847BB">
            <w:pPr>
              <w:pStyle w:val="BodyText"/>
            </w:pPr>
            <w:r>
              <w:t>EFTPOS payment to claimant</w:t>
            </w:r>
          </w:p>
        </w:tc>
        <w:tc>
          <w:tcPr>
            <w:tcW w:w="728" w:type="pct"/>
          </w:tcPr>
          <w:p w:rsidR="00260042" w:rsidRDefault="00260042" w:rsidP="00E847BB">
            <w:pPr>
              <w:pStyle w:val="BodyText"/>
            </w:pPr>
            <w:r>
              <w:t>12.8</w:t>
            </w:r>
          </w:p>
        </w:tc>
        <w:tc>
          <w:tcPr>
            <w:tcW w:w="421" w:type="pct"/>
          </w:tcPr>
          <w:p w:rsidR="00260042" w:rsidRDefault="00260042" w:rsidP="00E847BB">
            <w:pPr>
              <w:pStyle w:val="BodyText"/>
            </w:pPr>
            <w:r>
              <w:t>3.0</w:t>
            </w:r>
          </w:p>
        </w:tc>
        <w:tc>
          <w:tcPr>
            <w:tcW w:w="728" w:type="pct"/>
          </w:tcPr>
          <w:p w:rsidR="00260042" w:rsidRDefault="00260042" w:rsidP="00E847BB">
            <w:pPr>
              <w:pStyle w:val="BodyText"/>
            </w:pPr>
            <w:r>
              <w:t>12.1</w:t>
            </w:r>
          </w:p>
        </w:tc>
        <w:tc>
          <w:tcPr>
            <w:tcW w:w="422" w:type="pct"/>
          </w:tcPr>
          <w:p w:rsidR="00260042" w:rsidRDefault="00260042" w:rsidP="00E847BB">
            <w:pPr>
              <w:pStyle w:val="BodyText"/>
            </w:pPr>
            <w:r>
              <w:t>2.8</w:t>
            </w:r>
          </w:p>
        </w:tc>
        <w:tc>
          <w:tcPr>
            <w:tcW w:w="728" w:type="pct"/>
          </w:tcPr>
          <w:p w:rsidR="00260042" w:rsidRDefault="00260042" w:rsidP="00E847BB">
            <w:pPr>
              <w:pStyle w:val="BodyText"/>
            </w:pPr>
            <w:r>
              <w:t>10.7</w:t>
            </w:r>
          </w:p>
        </w:tc>
        <w:tc>
          <w:tcPr>
            <w:tcW w:w="422" w:type="pct"/>
          </w:tcPr>
          <w:p w:rsidR="00260042" w:rsidRDefault="00260042" w:rsidP="00E847BB">
            <w:pPr>
              <w:pStyle w:val="BodyText"/>
            </w:pPr>
            <w:r>
              <w:t>2.3</w:t>
            </w:r>
          </w:p>
        </w:tc>
      </w:tr>
      <w:tr w:rsidR="00260042" w:rsidTr="00E847BB">
        <w:trPr>
          <w:trHeight w:val="60"/>
        </w:trPr>
        <w:tc>
          <w:tcPr>
            <w:tcW w:w="1552" w:type="pct"/>
          </w:tcPr>
          <w:p w:rsidR="00260042" w:rsidRDefault="00260042" w:rsidP="00E847BB">
            <w:pPr>
              <w:pStyle w:val="BodyText"/>
            </w:pPr>
            <w:r>
              <w:lastRenderedPageBreak/>
              <w:t>EFT to health professional</w:t>
            </w:r>
          </w:p>
        </w:tc>
        <w:tc>
          <w:tcPr>
            <w:tcW w:w="728" w:type="pct"/>
          </w:tcPr>
          <w:p w:rsidR="00260042" w:rsidRDefault="00260042" w:rsidP="00E847BB">
            <w:pPr>
              <w:pStyle w:val="BodyText"/>
            </w:pPr>
            <w:r>
              <w:t>341.0</w:t>
            </w:r>
            <w:r>
              <w:rPr>
                <w:vertAlign w:val="superscript"/>
              </w:rPr>
              <w:t>(a)</w:t>
            </w:r>
          </w:p>
        </w:tc>
        <w:tc>
          <w:tcPr>
            <w:tcW w:w="421" w:type="pct"/>
          </w:tcPr>
          <w:p w:rsidR="00260042" w:rsidRDefault="00260042" w:rsidP="00E847BB">
            <w:pPr>
              <w:pStyle w:val="BodyText"/>
            </w:pPr>
            <w:r>
              <w:t>79.4</w:t>
            </w:r>
          </w:p>
        </w:tc>
        <w:tc>
          <w:tcPr>
            <w:tcW w:w="728" w:type="pct"/>
          </w:tcPr>
          <w:p w:rsidR="00260042" w:rsidRDefault="00260042" w:rsidP="00E847BB">
            <w:pPr>
              <w:pStyle w:val="BodyText"/>
            </w:pPr>
            <w:r>
              <w:t>347.7</w:t>
            </w:r>
            <w:r>
              <w:rPr>
                <w:vertAlign w:val="superscript"/>
              </w:rPr>
              <w:t>(b)</w:t>
            </w:r>
          </w:p>
        </w:tc>
        <w:tc>
          <w:tcPr>
            <w:tcW w:w="422" w:type="pct"/>
          </w:tcPr>
          <w:p w:rsidR="00260042" w:rsidRDefault="00260042" w:rsidP="00E847BB">
            <w:pPr>
              <w:pStyle w:val="BodyText"/>
            </w:pPr>
            <w:r>
              <w:t>80.3</w:t>
            </w:r>
          </w:p>
        </w:tc>
        <w:tc>
          <w:tcPr>
            <w:tcW w:w="728" w:type="pct"/>
          </w:tcPr>
          <w:p w:rsidR="00260042" w:rsidRDefault="00260042" w:rsidP="00E847BB">
            <w:pPr>
              <w:pStyle w:val="BodyText"/>
            </w:pPr>
            <w:r>
              <w:t>382.3</w:t>
            </w:r>
          </w:p>
        </w:tc>
        <w:tc>
          <w:tcPr>
            <w:tcW w:w="422" w:type="pct"/>
          </w:tcPr>
          <w:p w:rsidR="00260042" w:rsidRDefault="00260042" w:rsidP="00E847BB">
            <w:pPr>
              <w:pStyle w:val="BodyText"/>
            </w:pPr>
            <w:r>
              <w:t>81.2</w:t>
            </w:r>
          </w:p>
        </w:tc>
      </w:tr>
      <w:tr w:rsidR="00260042" w:rsidTr="00E847BB">
        <w:trPr>
          <w:trHeight w:val="60"/>
        </w:trPr>
        <w:tc>
          <w:tcPr>
            <w:tcW w:w="1552" w:type="pct"/>
          </w:tcPr>
          <w:p w:rsidR="00260042" w:rsidRDefault="00260042" w:rsidP="00E847BB">
            <w:pPr>
              <w:pStyle w:val="BodyText"/>
            </w:pPr>
            <w:r>
              <w:t>Pay doctor via claimant cheque</w:t>
            </w:r>
          </w:p>
        </w:tc>
        <w:tc>
          <w:tcPr>
            <w:tcW w:w="728" w:type="pct"/>
          </w:tcPr>
          <w:p w:rsidR="00260042" w:rsidRDefault="00260042" w:rsidP="00E847BB">
            <w:pPr>
              <w:pStyle w:val="BodyText"/>
            </w:pPr>
            <w:r>
              <w:t>2.8</w:t>
            </w:r>
          </w:p>
        </w:tc>
        <w:tc>
          <w:tcPr>
            <w:tcW w:w="421" w:type="pct"/>
          </w:tcPr>
          <w:p w:rsidR="00260042" w:rsidRDefault="00260042" w:rsidP="00E847BB">
            <w:pPr>
              <w:pStyle w:val="BodyText"/>
            </w:pPr>
            <w:r>
              <w:t>0.7</w:t>
            </w:r>
          </w:p>
        </w:tc>
        <w:tc>
          <w:tcPr>
            <w:tcW w:w="728" w:type="pct"/>
          </w:tcPr>
          <w:p w:rsidR="00260042" w:rsidRDefault="00260042" w:rsidP="00E847BB">
            <w:pPr>
              <w:pStyle w:val="BodyText"/>
            </w:pPr>
            <w:r>
              <w:t>2.5</w:t>
            </w:r>
          </w:p>
        </w:tc>
        <w:tc>
          <w:tcPr>
            <w:tcW w:w="422" w:type="pct"/>
          </w:tcPr>
          <w:p w:rsidR="00260042" w:rsidRDefault="00260042" w:rsidP="00E847BB">
            <w:pPr>
              <w:pStyle w:val="BodyText"/>
            </w:pPr>
            <w:r>
              <w:t>0.6</w:t>
            </w:r>
          </w:p>
        </w:tc>
        <w:tc>
          <w:tcPr>
            <w:tcW w:w="728" w:type="pct"/>
          </w:tcPr>
          <w:p w:rsidR="00260042" w:rsidRDefault="00260042" w:rsidP="00E847BB">
            <w:pPr>
              <w:pStyle w:val="BodyText"/>
            </w:pPr>
            <w:r>
              <w:t>2.2</w:t>
            </w:r>
          </w:p>
        </w:tc>
        <w:tc>
          <w:tcPr>
            <w:tcW w:w="422" w:type="pct"/>
          </w:tcPr>
          <w:p w:rsidR="00260042" w:rsidRDefault="00260042" w:rsidP="00E847BB">
            <w:pPr>
              <w:pStyle w:val="BodyText"/>
            </w:pPr>
            <w:r>
              <w:t>0.5</w:t>
            </w:r>
          </w:p>
        </w:tc>
      </w:tr>
      <w:tr w:rsidR="00260042" w:rsidTr="00E847BB">
        <w:trPr>
          <w:trHeight w:val="60"/>
        </w:trPr>
        <w:tc>
          <w:tcPr>
            <w:tcW w:w="1552" w:type="pct"/>
          </w:tcPr>
          <w:p w:rsidR="00260042" w:rsidRDefault="00260042" w:rsidP="00E847BB">
            <w:pPr>
              <w:pStyle w:val="BodyText"/>
            </w:pPr>
            <w:r>
              <w:t>Payment to private health fund or billing agent</w:t>
            </w:r>
          </w:p>
        </w:tc>
        <w:tc>
          <w:tcPr>
            <w:tcW w:w="728" w:type="pct"/>
          </w:tcPr>
          <w:p w:rsidR="00260042" w:rsidRDefault="00260042" w:rsidP="00E847BB">
            <w:pPr>
              <w:pStyle w:val="BodyText"/>
            </w:pPr>
            <w:r>
              <w:t>34.5</w:t>
            </w:r>
          </w:p>
        </w:tc>
        <w:tc>
          <w:tcPr>
            <w:tcW w:w="421" w:type="pct"/>
          </w:tcPr>
          <w:p w:rsidR="00260042" w:rsidRDefault="00260042" w:rsidP="00E847BB">
            <w:pPr>
              <w:pStyle w:val="BodyText"/>
            </w:pPr>
            <w:r>
              <w:t>8.0</w:t>
            </w:r>
          </w:p>
        </w:tc>
        <w:tc>
          <w:tcPr>
            <w:tcW w:w="728" w:type="pct"/>
          </w:tcPr>
          <w:p w:rsidR="00260042" w:rsidRDefault="00260042" w:rsidP="00E847BB">
            <w:pPr>
              <w:pStyle w:val="BodyText"/>
            </w:pPr>
            <w:r>
              <w:t>34.1</w:t>
            </w:r>
          </w:p>
        </w:tc>
        <w:tc>
          <w:tcPr>
            <w:tcW w:w="422" w:type="pct"/>
          </w:tcPr>
          <w:p w:rsidR="00260042" w:rsidRDefault="00260042" w:rsidP="00E847BB">
            <w:pPr>
              <w:pStyle w:val="BodyText"/>
            </w:pPr>
            <w:r>
              <w:t>7.9</w:t>
            </w:r>
          </w:p>
        </w:tc>
        <w:tc>
          <w:tcPr>
            <w:tcW w:w="728" w:type="pct"/>
          </w:tcPr>
          <w:p w:rsidR="00260042" w:rsidRDefault="00260042" w:rsidP="00E847BB">
            <w:pPr>
              <w:pStyle w:val="BodyText"/>
            </w:pPr>
            <w:r>
              <w:t>35.3</w:t>
            </w:r>
          </w:p>
        </w:tc>
        <w:tc>
          <w:tcPr>
            <w:tcW w:w="422" w:type="pct"/>
          </w:tcPr>
          <w:p w:rsidR="00260042" w:rsidRDefault="00260042" w:rsidP="00E847BB">
            <w:pPr>
              <w:pStyle w:val="BodyText"/>
            </w:pPr>
            <w:r>
              <w:t>7.5</w:t>
            </w:r>
          </w:p>
        </w:tc>
      </w:tr>
      <w:tr w:rsidR="00260042" w:rsidTr="00E847BB">
        <w:trPr>
          <w:trHeight w:val="60"/>
        </w:trPr>
        <w:tc>
          <w:tcPr>
            <w:tcW w:w="1552" w:type="pct"/>
          </w:tcPr>
          <w:p w:rsidR="00260042" w:rsidRDefault="00260042" w:rsidP="00E847BB">
            <w:pPr>
              <w:pStyle w:val="BodyText"/>
            </w:pPr>
            <w:r>
              <w:rPr>
                <w:rStyle w:val="Bold"/>
              </w:rPr>
              <w:t>Total services</w:t>
            </w:r>
            <w:r>
              <w:rPr>
                <w:rStyle w:val="Bold"/>
                <w:vertAlign w:val="superscript"/>
              </w:rPr>
              <w:t>(b)</w:t>
            </w:r>
          </w:p>
        </w:tc>
        <w:tc>
          <w:tcPr>
            <w:tcW w:w="728" w:type="pct"/>
          </w:tcPr>
          <w:p w:rsidR="00260042" w:rsidRDefault="00260042" w:rsidP="00E847BB">
            <w:pPr>
              <w:pStyle w:val="BodyText"/>
            </w:pPr>
            <w:r>
              <w:rPr>
                <w:rStyle w:val="Bold"/>
              </w:rPr>
              <w:t>429.6</w:t>
            </w:r>
          </w:p>
        </w:tc>
        <w:tc>
          <w:tcPr>
            <w:tcW w:w="421" w:type="pct"/>
          </w:tcPr>
          <w:p w:rsidR="00260042" w:rsidRDefault="00260042" w:rsidP="00E847BB">
            <w:pPr>
              <w:pStyle w:val="BodyText"/>
            </w:pPr>
            <w:r>
              <w:rPr>
                <w:rStyle w:val="Bold"/>
              </w:rPr>
              <w:t>100</w:t>
            </w:r>
          </w:p>
        </w:tc>
        <w:tc>
          <w:tcPr>
            <w:tcW w:w="728" w:type="pct"/>
          </w:tcPr>
          <w:p w:rsidR="00260042" w:rsidRDefault="00260042" w:rsidP="00E847BB">
            <w:pPr>
              <w:pStyle w:val="BodyText"/>
            </w:pPr>
            <w:r>
              <w:rPr>
                <w:rStyle w:val="Bold"/>
              </w:rPr>
              <w:t>433.1</w:t>
            </w:r>
          </w:p>
        </w:tc>
        <w:tc>
          <w:tcPr>
            <w:tcW w:w="422" w:type="pct"/>
          </w:tcPr>
          <w:p w:rsidR="00260042" w:rsidRDefault="00260042" w:rsidP="00E847BB">
            <w:pPr>
              <w:pStyle w:val="BodyText"/>
            </w:pPr>
            <w:r>
              <w:rPr>
                <w:rStyle w:val="Bold"/>
              </w:rPr>
              <w:t>100</w:t>
            </w:r>
          </w:p>
        </w:tc>
        <w:tc>
          <w:tcPr>
            <w:tcW w:w="728" w:type="pct"/>
          </w:tcPr>
          <w:p w:rsidR="00260042" w:rsidRDefault="00260042" w:rsidP="00E847BB">
            <w:pPr>
              <w:pStyle w:val="BodyText"/>
            </w:pPr>
            <w:r>
              <w:rPr>
                <w:rStyle w:val="Bold"/>
              </w:rPr>
              <w:t>471.1</w:t>
            </w:r>
          </w:p>
        </w:tc>
        <w:tc>
          <w:tcPr>
            <w:tcW w:w="422" w:type="pct"/>
          </w:tcPr>
          <w:p w:rsidR="00260042" w:rsidRDefault="00260042" w:rsidP="00E847BB">
            <w:pPr>
              <w:pStyle w:val="BodyText"/>
            </w:pPr>
            <w:r>
              <w:rPr>
                <w:rStyle w:val="Bold"/>
              </w:rPr>
              <w:t>100</w:t>
            </w:r>
          </w:p>
        </w:tc>
      </w:tr>
    </w:tbl>
    <w:p w:rsidR="00260042" w:rsidRDefault="00260042" w:rsidP="00EA5510">
      <w:pPr>
        <w:pStyle w:val="BodyText"/>
      </w:pPr>
      <w:r>
        <w:t>(a) Numbers may differ due to rounding.</w:t>
      </w:r>
    </w:p>
    <w:p w:rsidR="00260042" w:rsidRDefault="00260042" w:rsidP="00EA5510">
      <w:pPr>
        <w:pStyle w:val="BodyText"/>
      </w:pPr>
      <w:r>
        <w:t>(b) Totals take account of rounding.</w:t>
      </w:r>
    </w:p>
    <w:p w:rsidR="00260042" w:rsidRPr="00EA5510" w:rsidRDefault="009B789E" w:rsidP="00EA5510">
      <w:pPr>
        <w:pStyle w:val="BodyText"/>
        <w:rPr>
          <w:b/>
        </w:rPr>
      </w:pPr>
      <w:r>
        <w:rPr>
          <w:b/>
        </w:rPr>
        <w:t xml:space="preserve">Table </w:t>
      </w:r>
      <w:r>
        <w:rPr>
          <w:b/>
        </w:rPr>
        <w:t>8</w:t>
      </w:r>
      <w:r w:rsidR="00260042" w:rsidRPr="00EA5510">
        <w:rPr>
          <w:b/>
        </w:rPr>
        <w:t xml:space="preserve"> Volumes of services transmitted digitally </w:t>
      </w:r>
    </w:p>
    <w:tbl>
      <w:tblPr>
        <w:tblStyle w:val="TableGrid"/>
        <w:tblW w:w="5000" w:type="pct"/>
        <w:tblLook w:val="0000" w:firstRow="0" w:lastRow="0" w:firstColumn="0" w:lastColumn="0" w:noHBand="0" w:noVBand="0"/>
        <w:tblCaption w:val=" Volumes of services transmitted digitally "/>
      </w:tblPr>
      <w:tblGrid>
        <w:gridCol w:w="4357"/>
        <w:gridCol w:w="2145"/>
        <w:gridCol w:w="2145"/>
        <w:gridCol w:w="2143"/>
      </w:tblGrid>
      <w:tr w:rsidR="00260042" w:rsidTr="002E64CE">
        <w:trPr>
          <w:trHeight w:val="60"/>
          <w:tblHeader/>
        </w:trPr>
        <w:tc>
          <w:tcPr>
            <w:tcW w:w="2019" w:type="pct"/>
          </w:tcPr>
          <w:p w:rsidR="00260042" w:rsidRPr="002E64CE" w:rsidRDefault="00260042" w:rsidP="002E64CE">
            <w:pPr>
              <w:pStyle w:val="BodyText"/>
              <w:rPr>
                <w:b/>
              </w:rPr>
            </w:pPr>
          </w:p>
        </w:tc>
        <w:tc>
          <w:tcPr>
            <w:tcW w:w="994" w:type="pct"/>
          </w:tcPr>
          <w:p w:rsidR="00260042" w:rsidRPr="002E64CE" w:rsidRDefault="00260042" w:rsidP="002E64CE">
            <w:pPr>
              <w:pStyle w:val="BodyText"/>
              <w:jc w:val="right"/>
              <w:rPr>
                <w:b/>
              </w:rPr>
            </w:pPr>
            <w:r w:rsidRPr="002E64CE">
              <w:rPr>
                <w:b/>
              </w:rPr>
              <w:t>2018–19</w:t>
            </w:r>
          </w:p>
        </w:tc>
        <w:tc>
          <w:tcPr>
            <w:tcW w:w="994" w:type="pct"/>
          </w:tcPr>
          <w:p w:rsidR="00260042" w:rsidRPr="002E64CE" w:rsidRDefault="00260042" w:rsidP="002E64CE">
            <w:pPr>
              <w:pStyle w:val="BodyText"/>
              <w:jc w:val="right"/>
              <w:rPr>
                <w:b/>
              </w:rPr>
            </w:pPr>
            <w:r w:rsidRPr="002E64CE">
              <w:rPr>
                <w:b/>
              </w:rPr>
              <w:t>2019–20</w:t>
            </w:r>
          </w:p>
        </w:tc>
        <w:tc>
          <w:tcPr>
            <w:tcW w:w="994"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5000" w:type="pct"/>
            <w:gridSpan w:val="4"/>
          </w:tcPr>
          <w:p w:rsidR="00260042" w:rsidRDefault="00260042" w:rsidP="002E64CE">
            <w:pPr>
              <w:pStyle w:val="BodyText"/>
            </w:pPr>
            <w:r>
              <w:rPr>
                <w:rStyle w:val="Bold"/>
              </w:rPr>
              <w:t>Medicare Online</w:t>
            </w:r>
          </w:p>
        </w:tc>
      </w:tr>
      <w:tr w:rsidR="00260042" w:rsidTr="002E64CE">
        <w:trPr>
          <w:trHeight w:val="60"/>
        </w:trPr>
        <w:tc>
          <w:tcPr>
            <w:tcW w:w="2019" w:type="pct"/>
          </w:tcPr>
          <w:p w:rsidR="00260042" w:rsidRDefault="00260042" w:rsidP="002E64CE">
            <w:pPr>
              <w:pStyle w:val="BodyText"/>
            </w:pPr>
            <w:r>
              <w:t>Bulk billing</w:t>
            </w:r>
          </w:p>
        </w:tc>
        <w:tc>
          <w:tcPr>
            <w:tcW w:w="994" w:type="pct"/>
          </w:tcPr>
          <w:p w:rsidR="00260042" w:rsidRDefault="00260042" w:rsidP="002E64CE">
            <w:pPr>
              <w:pStyle w:val="BodyText"/>
              <w:jc w:val="right"/>
            </w:pPr>
            <w:r>
              <w:t>317.2 million</w:t>
            </w:r>
          </w:p>
        </w:tc>
        <w:tc>
          <w:tcPr>
            <w:tcW w:w="994" w:type="pct"/>
          </w:tcPr>
          <w:p w:rsidR="00260042" w:rsidRDefault="00260042" w:rsidP="002E64CE">
            <w:pPr>
              <w:pStyle w:val="BodyText"/>
              <w:jc w:val="right"/>
            </w:pPr>
            <w:r>
              <w:t>324.9 million</w:t>
            </w:r>
          </w:p>
        </w:tc>
        <w:tc>
          <w:tcPr>
            <w:tcW w:w="994" w:type="pct"/>
          </w:tcPr>
          <w:p w:rsidR="00260042" w:rsidRDefault="00260042" w:rsidP="002E64CE">
            <w:pPr>
              <w:pStyle w:val="BodyText"/>
              <w:jc w:val="right"/>
            </w:pPr>
            <w:r>
              <w:t>360.6 million</w:t>
            </w:r>
          </w:p>
        </w:tc>
      </w:tr>
      <w:tr w:rsidR="00260042" w:rsidTr="002E64CE">
        <w:trPr>
          <w:trHeight w:val="60"/>
        </w:trPr>
        <w:tc>
          <w:tcPr>
            <w:tcW w:w="2019" w:type="pct"/>
          </w:tcPr>
          <w:p w:rsidR="00260042" w:rsidRDefault="00260042" w:rsidP="002E64CE">
            <w:pPr>
              <w:pStyle w:val="BodyText"/>
            </w:pPr>
            <w:r>
              <w:t>Patient claiming</w:t>
            </w:r>
          </w:p>
        </w:tc>
        <w:tc>
          <w:tcPr>
            <w:tcW w:w="994" w:type="pct"/>
          </w:tcPr>
          <w:p w:rsidR="00260042" w:rsidRDefault="00260042" w:rsidP="002E64CE">
            <w:pPr>
              <w:pStyle w:val="BodyText"/>
              <w:jc w:val="right"/>
            </w:pPr>
            <w:r>
              <w:t>36.1 million</w:t>
            </w:r>
          </w:p>
        </w:tc>
        <w:tc>
          <w:tcPr>
            <w:tcW w:w="994" w:type="pct"/>
          </w:tcPr>
          <w:p w:rsidR="00260042" w:rsidRDefault="00260042" w:rsidP="002E64CE">
            <w:pPr>
              <w:pStyle w:val="BodyText"/>
              <w:jc w:val="right"/>
            </w:pPr>
            <w:r>
              <w:t>34.9 million</w:t>
            </w:r>
          </w:p>
        </w:tc>
        <w:tc>
          <w:tcPr>
            <w:tcW w:w="994" w:type="pct"/>
          </w:tcPr>
          <w:p w:rsidR="00260042" w:rsidRDefault="00260042" w:rsidP="002E64CE">
            <w:pPr>
              <w:pStyle w:val="BodyText"/>
              <w:jc w:val="right"/>
            </w:pPr>
            <w:r>
              <w:t>38.5 million</w:t>
            </w:r>
          </w:p>
        </w:tc>
      </w:tr>
      <w:tr w:rsidR="00260042" w:rsidTr="002E64CE">
        <w:trPr>
          <w:trHeight w:val="60"/>
        </w:trPr>
        <w:tc>
          <w:tcPr>
            <w:tcW w:w="5000" w:type="pct"/>
            <w:gridSpan w:val="4"/>
          </w:tcPr>
          <w:p w:rsidR="00260042" w:rsidRDefault="00260042" w:rsidP="002E64CE">
            <w:pPr>
              <w:pStyle w:val="BodyText"/>
            </w:pPr>
            <w:r>
              <w:rPr>
                <w:rStyle w:val="Bold"/>
              </w:rPr>
              <w:t xml:space="preserve">Medicare </w:t>
            </w:r>
            <w:proofErr w:type="spellStart"/>
            <w:r>
              <w:rPr>
                <w:rStyle w:val="Bold"/>
              </w:rPr>
              <w:t>Easyclaim</w:t>
            </w:r>
            <w:proofErr w:type="spellEnd"/>
          </w:p>
        </w:tc>
      </w:tr>
      <w:tr w:rsidR="00260042" w:rsidTr="002E64CE">
        <w:trPr>
          <w:trHeight w:val="60"/>
        </w:trPr>
        <w:tc>
          <w:tcPr>
            <w:tcW w:w="2019" w:type="pct"/>
          </w:tcPr>
          <w:p w:rsidR="00260042" w:rsidRDefault="00260042" w:rsidP="002E64CE">
            <w:pPr>
              <w:pStyle w:val="BodyText"/>
            </w:pPr>
            <w:r>
              <w:t>Bulk billing</w:t>
            </w:r>
          </w:p>
        </w:tc>
        <w:tc>
          <w:tcPr>
            <w:tcW w:w="994" w:type="pct"/>
          </w:tcPr>
          <w:p w:rsidR="00260042" w:rsidRDefault="00260042" w:rsidP="002E64CE">
            <w:pPr>
              <w:pStyle w:val="BodyText"/>
              <w:jc w:val="right"/>
            </w:pPr>
            <w:r>
              <w:t>19.4 million</w:t>
            </w:r>
          </w:p>
        </w:tc>
        <w:tc>
          <w:tcPr>
            <w:tcW w:w="994" w:type="pct"/>
          </w:tcPr>
          <w:p w:rsidR="00260042" w:rsidRDefault="00260042" w:rsidP="002E64CE">
            <w:pPr>
              <w:pStyle w:val="BodyText"/>
              <w:jc w:val="right"/>
            </w:pPr>
            <w:r>
              <w:t>18.6 million</w:t>
            </w:r>
          </w:p>
        </w:tc>
        <w:tc>
          <w:tcPr>
            <w:tcW w:w="994" w:type="pct"/>
          </w:tcPr>
          <w:p w:rsidR="00260042" w:rsidRDefault="00260042" w:rsidP="002E64CE">
            <w:pPr>
              <w:pStyle w:val="BodyText"/>
              <w:jc w:val="right"/>
            </w:pPr>
            <w:r>
              <w:t>17.3 million</w:t>
            </w:r>
          </w:p>
        </w:tc>
      </w:tr>
      <w:tr w:rsidR="00260042" w:rsidTr="002E64CE">
        <w:trPr>
          <w:trHeight w:val="60"/>
        </w:trPr>
        <w:tc>
          <w:tcPr>
            <w:tcW w:w="2019" w:type="pct"/>
          </w:tcPr>
          <w:p w:rsidR="00260042" w:rsidRDefault="00260042" w:rsidP="002E64CE">
            <w:pPr>
              <w:pStyle w:val="BodyText"/>
            </w:pPr>
            <w:r>
              <w:t>Patient claiming</w:t>
            </w:r>
          </w:p>
        </w:tc>
        <w:tc>
          <w:tcPr>
            <w:tcW w:w="994" w:type="pct"/>
          </w:tcPr>
          <w:p w:rsidR="00260042" w:rsidRDefault="00260042" w:rsidP="002E64CE">
            <w:pPr>
              <w:pStyle w:val="BodyText"/>
              <w:jc w:val="right"/>
            </w:pPr>
            <w:r>
              <w:t>13.0 million</w:t>
            </w:r>
          </w:p>
        </w:tc>
        <w:tc>
          <w:tcPr>
            <w:tcW w:w="994" w:type="pct"/>
          </w:tcPr>
          <w:p w:rsidR="00260042" w:rsidRDefault="00260042" w:rsidP="002E64CE">
            <w:pPr>
              <w:pStyle w:val="BodyText"/>
              <w:jc w:val="right"/>
            </w:pPr>
            <w:r>
              <w:t>12.2 million</w:t>
            </w:r>
          </w:p>
        </w:tc>
        <w:tc>
          <w:tcPr>
            <w:tcW w:w="994" w:type="pct"/>
          </w:tcPr>
          <w:p w:rsidR="00260042" w:rsidRDefault="00260042" w:rsidP="002E64CE">
            <w:pPr>
              <w:pStyle w:val="BodyText"/>
              <w:jc w:val="right"/>
            </w:pPr>
            <w:r>
              <w:t>10.8 million</w:t>
            </w:r>
          </w:p>
        </w:tc>
      </w:tr>
      <w:tr w:rsidR="00260042" w:rsidTr="002E64CE">
        <w:trPr>
          <w:trHeight w:val="60"/>
        </w:trPr>
        <w:tc>
          <w:tcPr>
            <w:tcW w:w="2019" w:type="pct"/>
          </w:tcPr>
          <w:p w:rsidR="00260042" w:rsidRDefault="00260042" w:rsidP="002E64CE">
            <w:pPr>
              <w:pStyle w:val="BodyText"/>
            </w:pPr>
            <w:r>
              <w:rPr>
                <w:rStyle w:val="Bold"/>
              </w:rPr>
              <w:t>ECLIPSE</w:t>
            </w:r>
            <w:r>
              <w:rPr>
                <w:rStyle w:val="Bold"/>
                <w:vertAlign w:val="superscript"/>
              </w:rPr>
              <w:t>(a)</w:t>
            </w:r>
          </w:p>
        </w:tc>
        <w:tc>
          <w:tcPr>
            <w:tcW w:w="994" w:type="pct"/>
          </w:tcPr>
          <w:p w:rsidR="00260042" w:rsidRDefault="00260042" w:rsidP="002E64CE">
            <w:pPr>
              <w:pStyle w:val="BodyText"/>
              <w:jc w:val="right"/>
            </w:pPr>
          </w:p>
        </w:tc>
        <w:tc>
          <w:tcPr>
            <w:tcW w:w="994" w:type="pct"/>
          </w:tcPr>
          <w:p w:rsidR="00260042" w:rsidRDefault="00260042" w:rsidP="002E64CE">
            <w:pPr>
              <w:pStyle w:val="BodyText"/>
              <w:jc w:val="right"/>
            </w:pPr>
          </w:p>
        </w:tc>
        <w:tc>
          <w:tcPr>
            <w:tcW w:w="994" w:type="pct"/>
          </w:tcPr>
          <w:p w:rsidR="00260042" w:rsidRDefault="00260042" w:rsidP="002E64CE">
            <w:pPr>
              <w:pStyle w:val="BodyText"/>
              <w:jc w:val="right"/>
            </w:pPr>
          </w:p>
        </w:tc>
      </w:tr>
      <w:tr w:rsidR="00260042" w:rsidTr="002E64CE">
        <w:trPr>
          <w:trHeight w:val="60"/>
        </w:trPr>
        <w:tc>
          <w:tcPr>
            <w:tcW w:w="2019" w:type="pct"/>
          </w:tcPr>
          <w:p w:rsidR="00260042" w:rsidRDefault="00260042" w:rsidP="002E64CE">
            <w:pPr>
              <w:pStyle w:val="BodyText"/>
            </w:pPr>
            <w:r>
              <w:t>Simplified billing</w:t>
            </w:r>
          </w:p>
        </w:tc>
        <w:tc>
          <w:tcPr>
            <w:tcW w:w="994" w:type="pct"/>
          </w:tcPr>
          <w:p w:rsidR="00260042" w:rsidRDefault="00260042" w:rsidP="002E64CE">
            <w:pPr>
              <w:pStyle w:val="BodyText"/>
              <w:jc w:val="right"/>
            </w:pPr>
            <w:r>
              <w:t>31.6 million</w:t>
            </w:r>
          </w:p>
        </w:tc>
        <w:tc>
          <w:tcPr>
            <w:tcW w:w="994" w:type="pct"/>
          </w:tcPr>
          <w:p w:rsidR="00260042" w:rsidRDefault="00260042" w:rsidP="002E64CE">
            <w:pPr>
              <w:pStyle w:val="BodyText"/>
              <w:jc w:val="right"/>
            </w:pPr>
            <w:r>
              <w:t>32.2 million</w:t>
            </w:r>
          </w:p>
        </w:tc>
        <w:tc>
          <w:tcPr>
            <w:tcW w:w="994" w:type="pct"/>
          </w:tcPr>
          <w:p w:rsidR="00260042" w:rsidRDefault="00260042" w:rsidP="002E64CE">
            <w:pPr>
              <w:pStyle w:val="BodyText"/>
              <w:jc w:val="right"/>
            </w:pPr>
            <w:r>
              <w:t>33.9 million</w:t>
            </w:r>
          </w:p>
        </w:tc>
      </w:tr>
      <w:tr w:rsidR="00260042" w:rsidTr="002E64CE">
        <w:trPr>
          <w:trHeight w:val="60"/>
        </w:trPr>
        <w:tc>
          <w:tcPr>
            <w:tcW w:w="5000" w:type="pct"/>
            <w:gridSpan w:val="4"/>
          </w:tcPr>
          <w:p w:rsidR="00260042" w:rsidRDefault="00260042" w:rsidP="002E64CE">
            <w:pPr>
              <w:pStyle w:val="BodyText"/>
            </w:pPr>
            <w:r>
              <w:rPr>
                <w:rStyle w:val="Bold"/>
              </w:rPr>
              <w:t>Simple File Transfer Protocol</w:t>
            </w:r>
          </w:p>
        </w:tc>
      </w:tr>
      <w:tr w:rsidR="00260042" w:rsidTr="002E64CE">
        <w:trPr>
          <w:trHeight w:val="60"/>
        </w:trPr>
        <w:tc>
          <w:tcPr>
            <w:tcW w:w="2019" w:type="pct"/>
          </w:tcPr>
          <w:p w:rsidR="00260042" w:rsidRDefault="00260042" w:rsidP="002E64CE">
            <w:pPr>
              <w:pStyle w:val="BodyText"/>
            </w:pPr>
            <w:r>
              <w:t>Simplified billing</w:t>
            </w:r>
          </w:p>
        </w:tc>
        <w:tc>
          <w:tcPr>
            <w:tcW w:w="994" w:type="pct"/>
          </w:tcPr>
          <w:p w:rsidR="00260042" w:rsidRDefault="00260042" w:rsidP="002E64CE">
            <w:pPr>
              <w:pStyle w:val="BodyText"/>
              <w:jc w:val="right"/>
            </w:pPr>
            <w:r>
              <w:t>2.8 million</w:t>
            </w:r>
          </w:p>
        </w:tc>
        <w:tc>
          <w:tcPr>
            <w:tcW w:w="994" w:type="pct"/>
          </w:tcPr>
          <w:p w:rsidR="00260042" w:rsidRDefault="00260042" w:rsidP="002E64CE">
            <w:pPr>
              <w:pStyle w:val="BodyText"/>
              <w:jc w:val="right"/>
            </w:pPr>
            <w:r>
              <w:t>1.8 million</w:t>
            </w:r>
          </w:p>
        </w:tc>
        <w:tc>
          <w:tcPr>
            <w:tcW w:w="994" w:type="pct"/>
          </w:tcPr>
          <w:p w:rsidR="00260042" w:rsidRDefault="00260042" w:rsidP="002E64CE">
            <w:pPr>
              <w:pStyle w:val="BodyText"/>
              <w:jc w:val="right"/>
            </w:pPr>
            <w:r>
              <w:t>1.4 million</w:t>
            </w:r>
          </w:p>
        </w:tc>
      </w:tr>
      <w:tr w:rsidR="00260042" w:rsidTr="002E64CE">
        <w:trPr>
          <w:trHeight w:val="60"/>
        </w:trPr>
        <w:tc>
          <w:tcPr>
            <w:tcW w:w="5000" w:type="pct"/>
            <w:gridSpan w:val="4"/>
          </w:tcPr>
          <w:p w:rsidR="00260042" w:rsidRDefault="00260042" w:rsidP="002E64CE">
            <w:pPr>
              <w:pStyle w:val="BodyText"/>
            </w:pPr>
            <w:r>
              <w:rPr>
                <w:rStyle w:val="Bold"/>
              </w:rPr>
              <w:t>Medicare Online Account</w:t>
            </w:r>
          </w:p>
        </w:tc>
      </w:tr>
      <w:tr w:rsidR="00260042" w:rsidTr="002E64CE">
        <w:trPr>
          <w:trHeight w:val="60"/>
        </w:trPr>
        <w:tc>
          <w:tcPr>
            <w:tcW w:w="2019" w:type="pct"/>
          </w:tcPr>
          <w:p w:rsidR="00260042" w:rsidRDefault="00260042" w:rsidP="002E64CE">
            <w:pPr>
              <w:pStyle w:val="BodyText"/>
            </w:pPr>
            <w:r>
              <w:t>Patient claiming</w:t>
            </w:r>
          </w:p>
        </w:tc>
        <w:tc>
          <w:tcPr>
            <w:tcW w:w="994" w:type="pct"/>
          </w:tcPr>
          <w:p w:rsidR="00260042" w:rsidRDefault="00260042" w:rsidP="002E64CE">
            <w:pPr>
              <w:pStyle w:val="BodyText"/>
              <w:jc w:val="right"/>
            </w:pPr>
            <w:r>
              <w:t>1.1 million</w:t>
            </w:r>
          </w:p>
        </w:tc>
        <w:tc>
          <w:tcPr>
            <w:tcW w:w="994" w:type="pct"/>
          </w:tcPr>
          <w:p w:rsidR="00260042" w:rsidRDefault="00260042" w:rsidP="002E64CE">
            <w:pPr>
              <w:pStyle w:val="BodyText"/>
              <w:jc w:val="right"/>
            </w:pPr>
            <w:r>
              <w:t>1.4 million</w:t>
            </w:r>
          </w:p>
        </w:tc>
        <w:tc>
          <w:tcPr>
            <w:tcW w:w="994" w:type="pct"/>
          </w:tcPr>
          <w:p w:rsidR="00260042" w:rsidRDefault="00260042" w:rsidP="002E64CE">
            <w:pPr>
              <w:pStyle w:val="BodyText"/>
              <w:jc w:val="right"/>
            </w:pPr>
            <w:r>
              <w:t>1.7 million</w:t>
            </w:r>
          </w:p>
        </w:tc>
      </w:tr>
      <w:tr w:rsidR="00260042" w:rsidTr="002E64CE">
        <w:trPr>
          <w:trHeight w:val="60"/>
        </w:trPr>
        <w:tc>
          <w:tcPr>
            <w:tcW w:w="5000" w:type="pct"/>
            <w:gridSpan w:val="4"/>
          </w:tcPr>
          <w:p w:rsidR="00260042" w:rsidRDefault="00260042" w:rsidP="002E64CE">
            <w:pPr>
              <w:pStyle w:val="BodyText"/>
            </w:pPr>
            <w:r>
              <w:rPr>
                <w:rStyle w:val="Bold"/>
              </w:rPr>
              <w:lastRenderedPageBreak/>
              <w:t>Express Plus Medicare mobile app</w:t>
            </w:r>
          </w:p>
        </w:tc>
      </w:tr>
      <w:tr w:rsidR="00260042" w:rsidTr="002E64CE">
        <w:trPr>
          <w:trHeight w:val="60"/>
        </w:trPr>
        <w:tc>
          <w:tcPr>
            <w:tcW w:w="2019" w:type="pct"/>
          </w:tcPr>
          <w:p w:rsidR="00260042" w:rsidRDefault="00260042" w:rsidP="002E64CE">
            <w:pPr>
              <w:pStyle w:val="BodyText"/>
            </w:pPr>
            <w:r>
              <w:t>Patient claiming</w:t>
            </w:r>
          </w:p>
        </w:tc>
        <w:tc>
          <w:tcPr>
            <w:tcW w:w="994" w:type="pct"/>
          </w:tcPr>
          <w:p w:rsidR="00260042" w:rsidRDefault="00260042" w:rsidP="002E64CE">
            <w:pPr>
              <w:pStyle w:val="BodyText"/>
              <w:jc w:val="right"/>
            </w:pPr>
            <w:r>
              <w:t>364 000</w:t>
            </w:r>
            <w:r>
              <w:rPr>
                <w:vertAlign w:val="superscript"/>
              </w:rPr>
              <w:t>(b)</w:t>
            </w:r>
          </w:p>
        </w:tc>
        <w:tc>
          <w:tcPr>
            <w:tcW w:w="994" w:type="pct"/>
          </w:tcPr>
          <w:p w:rsidR="00260042" w:rsidRDefault="00260042" w:rsidP="002E64CE">
            <w:pPr>
              <w:pStyle w:val="BodyText"/>
              <w:jc w:val="right"/>
            </w:pPr>
            <w:r>
              <w:t>891,000</w:t>
            </w:r>
          </w:p>
        </w:tc>
        <w:tc>
          <w:tcPr>
            <w:tcW w:w="994" w:type="pct"/>
          </w:tcPr>
          <w:p w:rsidR="00260042" w:rsidRDefault="00260042" w:rsidP="002E64CE">
            <w:pPr>
              <w:pStyle w:val="BodyText"/>
              <w:jc w:val="right"/>
            </w:pPr>
            <w:r>
              <w:t>1.0 million</w:t>
            </w:r>
          </w:p>
        </w:tc>
      </w:tr>
      <w:tr w:rsidR="00260042" w:rsidTr="002E64CE">
        <w:trPr>
          <w:trHeight w:val="60"/>
        </w:trPr>
        <w:tc>
          <w:tcPr>
            <w:tcW w:w="5000" w:type="pct"/>
            <w:gridSpan w:val="4"/>
          </w:tcPr>
          <w:p w:rsidR="00260042" w:rsidRDefault="00260042" w:rsidP="002E64CE">
            <w:pPr>
              <w:pStyle w:val="BodyText"/>
            </w:pPr>
            <w:r>
              <w:rPr>
                <w:rStyle w:val="Bold"/>
              </w:rPr>
              <w:t>Health Professionals Online Service</w:t>
            </w:r>
          </w:p>
        </w:tc>
      </w:tr>
      <w:tr w:rsidR="00260042" w:rsidTr="002E64CE">
        <w:trPr>
          <w:trHeight w:val="60"/>
        </w:trPr>
        <w:tc>
          <w:tcPr>
            <w:tcW w:w="2019" w:type="pct"/>
          </w:tcPr>
          <w:p w:rsidR="00260042" w:rsidRDefault="00260042" w:rsidP="002E64CE">
            <w:pPr>
              <w:pStyle w:val="BodyText"/>
            </w:pPr>
            <w:r>
              <w:t>Bulk billing</w:t>
            </w:r>
          </w:p>
        </w:tc>
        <w:tc>
          <w:tcPr>
            <w:tcW w:w="994" w:type="pct"/>
          </w:tcPr>
          <w:p w:rsidR="00260042" w:rsidRDefault="00260042" w:rsidP="002E64CE">
            <w:pPr>
              <w:pStyle w:val="BodyText"/>
              <w:jc w:val="right"/>
            </w:pPr>
            <w:r>
              <w:t>1,975,600</w:t>
            </w:r>
          </w:p>
        </w:tc>
        <w:tc>
          <w:tcPr>
            <w:tcW w:w="994" w:type="pct"/>
          </w:tcPr>
          <w:p w:rsidR="00260042" w:rsidRDefault="00260042" w:rsidP="002E64CE">
            <w:pPr>
              <w:pStyle w:val="BodyText"/>
              <w:jc w:val="right"/>
            </w:pPr>
            <w:r>
              <w:t>2.4 million</w:t>
            </w:r>
          </w:p>
        </w:tc>
        <w:tc>
          <w:tcPr>
            <w:tcW w:w="994" w:type="pct"/>
          </w:tcPr>
          <w:p w:rsidR="00260042" w:rsidRDefault="00260042" w:rsidP="002E64CE">
            <w:pPr>
              <w:pStyle w:val="BodyText"/>
              <w:jc w:val="right"/>
            </w:pPr>
            <w:r>
              <w:t>3.3 million</w:t>
            </w:r>
          </w:p>
        </w:tc>
      </w:tr>
      <w:tr w:rsidR="00260042" w:rsidTr="002E64CE">
        <w:trPr>
          <w:trHeight w:val="60"/>
        </w:trPr>
        <w:tc>
          <w:tcPr>
            <w:tcW w:w="2019" w:type="pct"/>
          </w:tcPr>
          <w:p w:rsidR="00260042" w:rsidRDefault="00260042" w:rsidP="002E64CE">
            <w:pPr>
              <w:pStyle w:val="BodyText"/>
            </w:pPr>
            <w:r>
              <w:t>Patient claiming</w:t>
            </w:r>
          </w:p>
        </w:tc>
        <w:tc>
          <w:tcPr>
            <w:tcW w:w="994" w:type="pct"/>
          </w:tcPr>
          <w:p w:rsidR="00260042" w:rsidRDefault="00260042" w:rsidP="002E64CE">
            <w:pPr>
              <w:pStyle w:val="BodyText"/>
              <w:jc w:val="right"/>
            </w:pPr>
            <w:r>
              <w:t>189,400</w:t>
            </w:r>
          </w:p>
        </w:tc>
        <w:tc>
          <w:tcPr>
            <w:tcW w:w="994" w:type="pct"/>
          </w:tcPr>
          <w:p w:rsidR="00260042" w:rsidRDefault="00260042" w:rsidP="002E64CE">
            <w:pPr>
              <w:pStyle w:val="BodyText"/>
              <w:jc w:val="right"/>
            </w:pPr>
            <w:r>
              <w:t>231,800</w:t>
            </w:r>
          </w:p>
        </w:tc>
        <w:tc>
          <w:tcPr>
            <w:tcW w:w="994" w:type="pct"/>
          </w:tcPr>
          <w:p w:rsidR="00260042" w:rsidRDefault="00260042" w:rsidP="002E64CE">
            <w:pPr>
              <w:pStyle w:val="BodyText"/>
              <w:jc w:val="right"/>
            </w:pPr>
            <w:r>
              <w:t>0.4 million</w:t>
            </w:r>
          </w:p>
        </w:tc>
      </w:tr>
      <w:tr w:rsidR="00260042" w:rsidTr="002E64CE">
        <w:trPr>
          <w:trHeight w:val="60"/>
        </w:trPr>
        <w:tc>
          <w:tcPr>
            <w:tcW w:w="2019" w:type="pct"/>
          </w:tcPr>
          <w:p w:rsidR="00260042" w:rsidRDefault="00260042" w:rsidP="002E64CE">
            <w:pPr>
              <w:pStyle w:val="BodyText"/>
            </w:pPr>
            <w:r>
              <w:rPr>
                <w:rStyle w:val="Bold"/>
              </w:rPr>
              <w:t>Total digital services</w:t>
            </w:r>
          </w:p>
        </w:tc>
        <w:tc>
          <w:tcPr>
            <w:tcW w:w="994" w:type="pct"/>
          </w:tcPr>
          <w:p w:rsidR="00260042" w:rsidRDefault="00260042" w:rsidP="002E64CE">
            <w:pPr>
              <w:pStyle w:val="BodyText"/>
              <w:jc w:val="right"/>
            </w:pPr>
            <w:r>
              <w:rPr>
                <w:rStyle w:val="Bold"/>
              </w:rPr>
              <w:t>423.6 million</w:t>
            </w:r>
          </w:p>
        </w:tc>
        <w:tc>
          <w:tcPr>
            <w:tcW w:w="994" w:type="pct"/>
          </w:tcPr>
          <w:p w:rsidR="00260042" w:rsidRDefault="00260042" w:rsidP="002E64CE">
            <w:pPr>
              <w:pStyle w:val="BodyText"/>
              <w:jc w:val="right"/>
            </w:pPr>
            <w:r>
              <w:rPr>
                <w:rStyle w:val="Bold"/>
              </w:rPr>
              <w:t>429.4 million</w:t>
            </w:r>
          </w:p>
        </w:tc>
        <w:tc>
          <w:tcPr>
            <w:tcW w:w="994" w:type="pct"/>
          </w:tcPr>
          <w:p w:rsidR="00260042" w:rsidRDefault="00260042" w:rsidP="002E64CE">
            <w:pPr>
              <w:pStyle w:val="BodyText"/>
              <w:jc w:val="right"/>
            </w:pPr>
            <w:r>
              <w:rPr>
                <w:rStyle w:val="Bold"/>
              </w:rPr>
              <w:t>468.8 million</w:t>
            </w:r>
          </w:p>
        </w:tc>
      </w:tr>
      <w:tr w:rsidR="00260042" w:rsidTr="002E64CE">
        <w:trPr>
          <w:trHeight w:val="60"/>
        </w:trPr>
        <w:tc>
          <w:tcPr>
            <w:tcW w:w="2019" w:type="pct"/>
          </w:tcPr>
          <w:p w:rsidR="00260042" w:rsidRDefault="00260042" w:rsidP="002E64CE">
            <w:pPr>
              <w:pStyle w:val="BodyText"/>
            </w:pPr>
            <w:r>
              <w:t>Percentage of overall claims lodged digitally</w:t>
            </w:r>
          </w:p>
        </w:tc>
        <w:tc>
          <w:tcPr>
            <w:tcW w:w="994" w:type="pct"/>
          </w:tcPr>
          <w:p w:rsidR="00260042" w:rsidRDefault="00260042" w:rsidP="002E64CE">
            <w:pPr>
              <w:pStyle w:val="BodyText"/>
              <w:jc w:val="right"/>
            </w:pPr>
            <w:r>
              <w:t>98.6%</w:t>
            </w:r>
          </w:p>
        </w:tc>
        <w:tc>
          <w:tcPr>
            <w:tcW w:w="994" w:type="pct"/>
          </w:tcPr>
          <w:p w:rsidR="00260042" w:rsidRDefault="00260042" w:rsidP="002E64CE">
            <w:pPr>
              <w:pStyle w:val="BodyText"/>
              <w:jc w:val="right"/>
            </w:pPr>
            <w:r>
              <w:t>99.2%</w:t>
            </w:r>
          </w:p>
        </w:tc>
        <w:tc>
          <w:tcPr>
            <w:tcW w:w="994" w:type="pct"/>
          </w:tcPr>
          <w:p w:rsidR="00260042" w:rsidRDefault="00260042" w:rsidP="002E64CE">
            <w:pPr>
              <w:pStyle w:val="BodyText"/>
              <w:jc w:val="right"/>
            </w:pPr>
            <w:r>
              <w:t>99.5%</w:t>
            </w:r>
          </w:p>
        </w:tc>
      </w:tr>
    </w:tbl>
    <w:p w:rsidR="00260042" w:rsidRDefault="00260042" w:rsidP="00EA5510">
      <w:pPr>
        <w:pStyle w:val="BodyText"/>
      </w:pPr>
      <w:r>
        <w:t xml:space="preserve">(a) </w:t>
      </w:r>
      <w:r>
        <w:tab/>
        <w:t xml:space="preserve">ECLIPSE = Electronic Claim Lodgement Information Processing Service Environment. </w:t>
      </w:r>
    </w:p>
    <w:p w:rsidR="00260042" w:rsidRDefault="00260042" w:rsidP="00EA5510">
      <w:pPr>
        <w:pStyle w:val="BodyText"/>
      </w:pPr>
      <w:r>
        <w:t>(b)</w:t>
      </w:r>
      <w:r>
        <w:tab/>
        <w:t xml:space="preserve">Improvements made to the Express </w:t>
      </w:r>
      <w:proofErr w:type="gramStart"/>
      <w:r>
        <w:t>Plus</w:t>
      </w:r>
      <w:proofErr w:type="gramEnd"/>
      <w:r>
        <w:t xml:space="preserve"> Medicare mobile app in February 2019 have led to strong growth in claims.</w:t>
      </w:r>
    </w:p>
    <w:p w:rsidR="00260042" w:rsidRDefault="00260042" w:rsidP="002E64CE">
      <w:pPr>
        <w:pStyle w:val="Heading3"/>
      </w:pPr>
      <w:r>
        <w:t>Health professionals under Medicare</w:t>
      </w:r>
    </w:p>
    <w:p w:rsidR="00260042" w:rsidRDefault="00260042" w:rsidP="00260042">
      <w:pPr>
        <w:pStyle w:val="BodyText"/>
      </w:pPr>
      <w:r>
        <w:t xml:space="preserve">Where an eligible health professional provides services covered by Medicare, they have a Medicare provider number for each practice location. </w:t>
      </w:r>
    </w:p>
    <w:p w:rsidR="00260042" w:rsidRDefault="00260042" w:rsidP="00260042">
      <w:pPr>
        <w:pStyle w:val="BodyText"/>
      </w:pPr>
      <w:r>
        <w:t>The provider number allows the health professional to prescribe medications, refer or request health services for patients, and claim benefits under MBS and on behalf of DVA.</w:t>
      </w:r>
    </w:p>
    <w:p w:rsidR="00260042" w:rsidRDefault="00260042" w:rsidP="00260042">
      <w:pPr>
        <w:pStyle w:val="BodyText"/>
      </w:pPr>
      <w:r>
        <w:t>In 2020–21, the agency issued 201,696 Medicare provider numbers.</w:t>
      </w:r>
    </w:p>
    <w:p w:rsidR="00260042" w:rsidRDefault="00260042" w:rsidP="00260042">
      <w:pPr>
        <w:pStyle w:val="BodyText"/>
      </w:pPr>
      <w:r>
        <w:t xml:space="preserve">Practices that have diagnostic imaging services, including radiation oncology, </w:t>
      </w:r>
      <w:proofErr w:type="gramStart"/>
      <w:r>
        <w:t>must be registered</w:t>
      </w:r>
      <w:proofErr w:type="gramEnd"/>
      <w:r>
        <w:t xml:space="preserve"> with the agency and have a Location Specific Practice Number to claim Medicare benefits.</w:t>
      </w:r>
    </w:p>
    <w:p w:rsidR="00260042" w:rsidRPr="00EA5510" w:rsidRDefault="009B789E" w:rsidP="00EA5510">
      <w:pPr>
        <w:pStyle w:val="BodyText"/>
        <w:rPr>
          <w:b/>
        </w:rPr>
      </w:pPr>
      <w:r>
        <w:rPr>
          <w:b/>
        </w:rPr>
        <w:t xml:space="preserve">Table </w:t>
      </w:r>
      <w:proofErr w:type="gramStart"/>
      <w:r>
        <w:rPr>
          <w:b/>
        </w:rPr>
        <w:t>9</w:t>
      </w:r>
      <w:proofErr w:type="gramEnd"/>
      <w:r w:rsidR="00260042" w:rsidRPr="00EA5510">
        <w:rPr>
          <w:b/>
        </w:rPr>
        <w:t xml:space="preserve"> Health professionals under Medicare</w:t>
      </w:r>
    </w:p>
    <w:tbl>
      <w:tblPr>
        <w:tblStyle w:val="TableGrid"/>
        <w:tblW w:w="5000" w:type="pct"/>
        <w:tblLook w:val="0000" w:firstRow="0" w:lastRow="0" w:firstColumn="0" w:lastColumn="0" w:noHBand="0" w:noVBand="0"/>
        <w:tblCaption w:val="Health professionals under Medicare"/>
      </w:tblPr>
      <w:tblGrid>
        <w:gridCol w:w="4357"/>
        <w:gridCol w:w="2145"/>
        <w:gridCol w:w="2145"/>
        <w:gridCol w:w="2143"/>
      </w:tblGrid>
      <w:tr w:rsidR="00260042" w:rsidTr="002E64CE">
        <w:trPr>
          <w:trHeight w:val="60"/>
          <w:tblHeader/>
        </w:trPr>
        <w:tc>
          <w:tcPr>
            <w:tcW w:w="2019" w:type="pct"/>
          </w:tcPr>
          <w:p w:rsidR="00260042" w:rsidRDefault="00260042" w:rsidP="002E64CE">
            <w:pPr>
              <w:pStyle w:val="BodyText"/>
            </w:pPr>
          </w:p>
        </w:tc>
        <w:tc>
          <w:tcPr>
            <w:tcW w:w="994" w:type="pct"/>
          </w:tcPr>
          <w:p w:rsidR="00260042" w:rsidRPr="002E64CE" w:rsidRDefault="00260042" w:rsidP="002E64CE">
            <w:pPr>
              <w:pStyle w:val="BodyText"/>
              <w:jc w:val="right"/>
              <w:rPr>
                <w:b/>
              </w:rPr>
            </w:pPr>
            <w:r w:rsidRPr="002E64CE">
              <w:rPr>
                <w:b/>
              </w:rPr>
              <w:t>2018–19</w:t>
            </w:r>
          </w:p>
        </w:tc>
        <w:tc>
          <w:tcPr>
            <w:tcW w:w="994" w:type="pct"/>
          </w:tcPr>
          <w:p w:rsidR="00260042" w:rsidRPr="002E64CE" w:rsidRDefault="00260042" w:rsidP="002E64CE">
            <w:pPr>
              <w:pStyle w:val="BodyText"/>
              <w:jc w:val="right"/>
              <w:rPr>
                <w:b/>
              </w:rPr>
            </w:pPr>
            <w:r w:rsidRPr="002E64CE">
              <w:rPr>
                <w:b/>
              </w:rPr>
              <w:t>2019–20</w:t>
            </w:r>
          </w:p>
        </w:tc>
        <w:tc>
          <w:tcPr>
            <w:tcW w:w="994"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2019" w:type="pct"/>
          </w:tcPr>
          <w:p w:rsidR="00260042" w:rsidRDefault="00260042" w:rsidP="002E64CE">
            <w:pPr>
              <w:pStyle w:val="BodyText"/>
            </w:pPr>
            <w:r>
              <w:t>Medicare provider numbers issued</w:t>
            </w:r>
            <w:r>
              <w:rPr>
                <w:vertAlign w:val="superscript"/>
              </w:rPr>
              <w:t>(a)</w:t>
            </w:r>
          </w:p>
        </w:tc>
        <w:tc>
          <w:tcPr>
            <w:tcW w:w="994" w:type="pct"/>
          </w:tcPr>
          <w:p w:rsidR="00260042" w:rsidRDefault="00260042" w:rsidP="002E64CE">
            <w:pPr>
              <w:pStyle w:val="BodyText"/>
              <w:jc w:val="right"/>
            </w:pPr>
            <w:r>
              <w:t>183,998</w:t>
            </w:r>
          </w:p>
        </w:tc>
        <w:tc>
          <w:tcPr>
            <w:tcW w:w="994" w:type="pct"/>
          </w:tcPr>
          <w:p w:rsidR="00260042" w:rsidRDefault="00260042" w:rsidP="002E64CE">
            <w:pPr>
              <w:pStyle w:val="BodyText"/>
              <w:jc w:val="right"/>
            </w:pPr>
            <w:r>
              <w:t>193,363</w:t>
            </w:r>
          </w:p>
        </w:tc>
        <w:tc>
          <w:tcPr>
            <w:tcW w:w="994" w:type="pct"/>
          </w:tcPr>
          <w:p w:rsidR="00260042" w:rsidRDefault="00260042" w:rsidP="002E64CE">
            <w:pPr>
              <w:pStyle w:val="BodyText"/>
              <w:jc w:val="right"/>
            </w:pPr>
            <w:r>
              <w:t>201,696</w:t>
            </w:r>
          </w:p>
        </w:tc>
      </w:tr>
      <w:tr w:rsidR="00260042" w:rsidTr="002E64CE">
        <w:trPr>
          <w:trHeight w:val="60"/>
        </w:trPr>
        <w:tc>
          <w:tcPr>
            <w:tcW w:w="2019" w:type="pct"/>
          </w:tcPr>
          <w:p w:rsidR="00260042" w:rsidRDefault="00260042" w:rsidP="002E64CE">
            <w:pPr>
              <w:pStyle w:val="BodyText"/>
            </w:pPr>
            <w:r>
              <w:t>Diagnostic imaging practices registered</w:t>
            </w:r>
          </w:p>
        </w:tc>
        <w:tc>
          <w:tcPr>
            <w:tcW w:w="994" w:type="pct"/>
          </w:tcPr>
          <w:p w:rsidR="00260042" w:rsidRDefault="00260042" w:rsidP="002E64CE">
            <w:pPr>
              <w:pStyle w:val="BodyText"/>
              <w:jc w:val="right"/>
            </w:pPr>
            <w:r>
              <w:t>5,221</w:t>
            </w:r>
          </w:p>
        </w:tc>
        <w:tc>
          <w:tcPr>
            <w:tcW w:w="994" w:type="pct"/>
          </w:tcPr>
          <w:p w:rsidR="00260042" w:rsidRDefault="00260042" w:rsidP="002E64CE">
            <w:pPr>
              <w:pStyle w:val="BodyText"/>
              <w:jc w:val="right"/>
            </w:pPr>
            <w:r>
              <w:t>5,235</w:t>
            </w:r>
          </w:p>
        </w:tc>
        <w:tc>
          <w:tcPr>
            <w:tcW w:w="994" w:type="pct"/>
          </w:tcPr>
          <w:p w:rsidR="00260042" w:rsidRDefault="00260042" w:rsidP="002E64CE">
            <w:pPr>
              <w:pStyle w:val="BodyText"/>
              <w:jc w:val="right"/>
            </w:pPr>
            <w:r>
              <w:t>5,214</w:t>
            </w:r>
          </w:p>
        </w:tc>
      </w:tr>
      <w:tr w:rsidR="00260042" w:rsidTr="002E64CE">
        <w:trPr>
          <w:trHeight w:val="60"/>
        </w:trPr>
        <w:tc>
          <w:tcPr>
            <w:tcW w:w="2019" w:type="pct"/>
          </w:tcPr>
          <w:p w:rsidR="00260042" w:rsidRDefault="00260042" w:rsidP="002E64CE">
            <w:pPr>
              <w:pStyle w:val="BodyText"/>
            </w:pPr>
            <w:r>
              <w:t>Approved Pathology Authorities</w:t>
            </w:r>
          </w:p>
        </w:tc>
        <w:tc>
          <w:tcPr>
            <w:tcW w:w="994" w:type="pct"/>
          </w:tcPr>
          <w:p w:rsidR="00260042" w:rsidRDefault="00260042" w:rsidP="002E64CE">
            <w:pPr>
              <w:pStyle w:val="BodyText"/>
              <w:jc w:val="right"/>
            </w:pPr>
            <w:r>
              <w:t>98</w:t>
            </w:r>
          </w:p>
        </w:tc>
        <w:tc>
          <w:tcPr>
            <w:tcW w:w="994" w:type="pct"/>
          </w:tcPr>
          <w:p w:rsidR="00260042" w:rsidRDefault="00260042" w:rsidP="002E64CE">
            <w:pPr>
              <w:pStyle w:val="BodyText"/>
              <w:jc w:val="right"/>
            </w:pPr>
            <w:r>
              <w:t>106</w:t>
            </w:r>
          </w:p>
        </w:tc>
        <w:tc>
          <w:tcPr>
            <w:tcW w:w="994" w:type="pct"/>
          </w:tcPr>
          <w:p w:rsidR="00260042" w:rsidRDefault="00260042" w:rsidP="002E64CE">
            <w:pPr>
              <w:pStyle w:val="BodyText"/>
              <w:jc w:val="right"/>
            </w:pPr>
            <w:r>
              <w:t>104</w:t>
            </w:r>
          </w:p>
        </w:tc>
      </w:tr>
      <w:tr w:rsidR="00260042" w:rsidTr="002E64CE">
        <w:trPr>
          <w:trHeight w:val="60"/>
        </w:trPr>
        <w:tc>
          <w:tcPr>
            <w:tcW w:w="2019" w:type="pct"/>
          </w:tcPr>
          <w:p w:rsidR="00260042" w:rsidRDefault="00260042" w:rsidP="002E64CE">
            <w:pPr>
              <w:pStyle w:val="BodyText"/>
            </w:pPr>
            <w:r>
              <w:t>Approved Pathology Practitioners</w:t>
            </w:r>
          </w:p>
        </w:tc>
        <w:tc>
          <w:tcPr>
            <w:tcW w:w="994" w:type="pct"/>
          </w:tcPr>
          <w:p w:rsidR="00260042" w:rsidRDefault="00260042" w:rsidP="002E64CE">
            <w:pPr>
              <w:pStyle w:val="BodyText"/>
              <w:jc w:val="right"/>
            </w:pPr>
            <w:r>
              <w:t>490</w:t>
            </w:r>
          </w:p>
        </w:tc>
        <w:tc>
          <w:tcPr>
            <w:tcW w:w="994" w:type="pct"/>
          </w:tcPr>
          <w:p w:rsidR="00260042" w:rsidRDefault="00260042" w:rsidP="002E64CE">
            <w:pPr>
              <w:pStyle w:val="BodyText"/>
              <w:jc w:val="right"/>
            </w:pPr>
            <w:r>
              <w:t>483</w:t>
            </w:r>
          </w:p>
        </w:tc>
        <w:tc>
          <w:tcPr>
            <w:tcW w:w="994" w:type="pct"/>
          </w:tcPr>
          <w:p w:rsidR="00260042" w:rsidRDefault="00260042" w:rsidP="002E64CE">
            <w:pPr>
              <w:pStyle w:val="BodyText"/>
              <w:jc w:val="right"/>
            </w:pPr>
            <w:r>
              <w:t>393</w:t>
            </w:r>
          </w:p>
        </w:tc>
      </w:tr>
      <w:tr w:rsidR="00260042" w:rsidTr="002E64CE">
        <w:trPr>
          <w:trHeight w:val="60"/>
        </w:trPr>
        <w:tc>
          <w:tcPr>
            <w:tcW w:w="2019" w:type="pct"/>
          </w:tcPr>
          <w:p w:rsidR="00260042" w:rsidRDefault="00260042" w:rsidP="002E64CE">
            <w:pPr>
              <w:pStyle w:val="BodyText"/>
            </w:pPr>
            <w:r>
              <w:lastRenderedPageBreak/>
              <w:t>Accredited Pathology Laboratories</w:t>
            </w:r>
          </w:p>
        </w:tc>
        <w:tc>
          <w:tcPr>
            <w:tcW w:w="994" w:type="pct"/>
          </w:tcPr>
          <w:p w:rsidR="00260042" w:rsidRDefault="00260042" w:rsidP="002E64CE">
            <w:pPr>
              <w:pStyle w:val="BodyText"/>
              <w:jc w:val="right"/>
            </w:pPr>
            <w:r>
              <w:t>728</w:t>
            </w:r>
          </w:p>
        </w:tc>
        <w:tc>
          <w:tcPr>
            <w:tcW w:w="994" w:type="pct"/>
          </w:tcPr>
          <w:p w:rsidR="00260042" w:rsidRDefault="00260042" w:rsidP="002E64CE">
            <w:pPr>
              <w:pStyle w:val="BodyText"/>
              <w:jc w:val="right"/>
            </w:pPr>
            <w:r>
              <w:t>697</w:t>
            </w:r>
          </w:p>
        </w:tc>
        <w:tc>
          <w:tcPr>
            <w:tcW w:w="994" w:type="pct"/>
          </w:tcPr>
          <w:p w:rsidR="00260042" w:rsidRDefault="00260042" w:rsidP="002E64CE">
            <w:pPr>
              <w:pStyle w:val="BodyText"/>
              <w:jc w:val="right"/>
            </w:pPr>
            <w:r>
              <w:t>723</w:t>
            </w:r>
          </w:p>
        </w:tc>
      </w:tr>
      <w:tr w:rsidR="00260042" w:rsidTr="002E64CE">
        <w:trPr>
          <w:trHeight w:val="60"/>
        </w:trPr>
        <w:tc>
          <w:tcPr>
            <w:tcW w:w="2019" w:type="pct"/>
          </w:tcPr>
          <w:p w:rsidR="00260042" w:rsidRDefault="00260042" w:rsidP="002E64CE">
            <w:pPr>
              <w:pStyle w:val="BodyText"/>
            </w:pPr>
            <w:r>
              <w:t>Approved Collection Centres</w:t>
            </w:r>
          </w:p>
        </w:tc>
        <w:tc>
          <w:tcPr>
            <w:tcW w:w="994" w:type="pct"/>
          </w:tcPr>
          <w:p w:rsidR="00260042" w:rsidRDefault="00260042" w:rsidP="002E64CE">
            <w:pPr>
              <w:pStyle w:val="BodyText"/>
              <w:jc w:val="right"/>
            </w:pPr>
            <w:r>
              <w:t>3,722</w:t>
            </w:r>
          </w:p>
        </w:tc>
        <w:tc>
          <w:tcPr>
            <w:tcW w:w="994" w:type="pct"/>
          </w:tcPr>
          <w:p w:rsidR="00260042" w:rsidRDefault="00260042" w:rsidP="002E64CE">
            <w:pPr>
              <w:pStyle w:val="BodyText"/>
              <w:jc w:val="right"/>
            </w:pPr>
            <w:r>
              <w:t>3,790</w:t>
            </w:r>
          </w:p>
        </w:tc>
        <w:tc>
          <w:tcPr>
            <w:tcW w:w="994" w:type="pct"/>
          </w:tcPr>
          <w:p w:rsidR="00260042" w:rsidRDefault="00260042" w:rsidP="002E64CE">
            <w:pPr>
              <w:pStyle w:val="BodyText"/>
              <w:jc w:val="right"/>
            </w:pPr>
            <w:r>
              <w:t>4,078</w:t>
            </w:r>
          </w:p>
        </w:tc>
      </w:tr>
    </w:tbl>
    <w:p w:rsidR="00260042" w:rsidRDefault="00260042" w:rsidP="00EA5510">
      <w:pPr>
        <w:pStyle w:val="BodyText"/>
      </w:pPr>
      <w:r>
        <w:t>(a)</w:t>
      </w:r>
      <w:r>
        <w:tab/>
        <w:t xml:space="preserve">These numbers do not equate to individual health professionals, as health professionals </w:t>
      </w:r>
      <w:proofErr w:type="gramStart"/>
      <w:r>
        <w:t>are issued</w:t>
      </w:r>
      <w:proofErr w:type="gramEnd"/>
      <w:r>
        <w:t xml:space="preserve"> more than one provider number if providing services at multiple locations. </w:t>
      </w:r>
    </w:p>
    <w:p w:rsidR="00260042" w:rsidRDefault="00260042" w:rsidP="002E64CE">
      <w:pPr>
        <w:pStyle w:val="Heading3"/>
      </w:pPr>
      <w:r>
        <w:t>Medicare compensation recovery</w:t>
      </w:r>
    </w:p>
    <w:p w:rsidR="00260042" w:rsidRDefault="00260042" w:rsidP="00260042">
      <w:pPr>
        <w:pStyle w:val="BodyText"/>
      </w:pPr>
      <w:r>
        <w:t xml:space="preserve">Medicare compensation recovery aims to recover any Medicare benefits, nursing home benefits, residential care, or home care government subsidies paid to a claimant </w:t>
      </w:r>
      <w:proofErr w:type="gramStart"/>
      <w:r>
        <w:t>as a result</w:t>
      </w:r>
      <w:proofErr w:type="gramEnd"/>
      <w:r>
        <w:t xml:space="preserve"> of their compensable injury or illness. When a person receives a lump sum compensation payment of more than $5,000, they may have to pay these costs back to the Australian Government before they receive their compensation payment.</w:t>
      </w:r>
    </w:p>
    <w:p w:rsidR="00260042" w:rsidRPr="00EA5510" w:rsidRDefault="009B789E" w:rsidP="00EA5510">
      <w:pPr>
        <w:pStyle w:val="BodyText"/>
        <w:rPr>
          <w:b/>
        </w:rPr>
      </w:pPr>
      <w:r>
        <w:rPr>
          <w:b/>
        </w:rPr>
        <w:t>Table 1</w:t>
      </w:r>
      <w:r>
        <w:rPr>
          <w:b/>
        </w:rPr>
        <w:t>0</w:t>
      </w:r>
      <w:r w:rsidR="00260042" w:rsidRPr="00EA5510">
        <w:rPr>
          <w:b/>
        </w:rPr>
        <w:t xml:space="preserve"> Compensation recovery</w:t>
      </w:r>
    </w:p>
    <w:tbl>
      <w:tblPr>
        <w:tblStyle w:val="TableGrid"/>
        <w:tblW w:w="5000" w:type="pct"/>
        <w:tblLook w:val="0000" w:firstRow="0" w:lastRow="0" w:firstColumn="0" w:lastColumn="0" w:noHBand="0" w:noVBand="0"/>
        <w:tblCaption w:val=" Compensation recovery"/>
      </w:tblPr>
      <w:tblGrid>
        <w:gridCol w:w="3452"/>
        <w:gridCol w:w="1649"/>
        <w:gridCol w:w="1649"/>
        <w:gridCol w:w="1649"/>
        <w:gridCol w:w="2391"/>
      </w:tblGrid>
      <w:tr w:rsidR="00260042" w:rsidTr="002E64CE">
        <w:trPr>
          <w:trHeight w:val="60"/>
          <w:tblHeader/>
        </w:trPr>
        <w:tc>
          <w:tcPr>
            <w:tcW w:w="1598" w:type="pct"/>
          </w:tcPr>
          <w:p w:rsidR="00260042" w:rsidRDefault="00260042" w:rsidP="002E64CE">
            <w:pPr>
              <w:pStyle w:val="BodyText"/>
            </w:pPr>
          </w:p>
        </w:tc>
        <w:tc>
          <w:tcPr>
            <w:tcW w:w="764" w:type="pct"/>
          </w:tcPr>
          <w:p w:rsidR="00260042" w:rsidRPr="002E64CE" w:rsidRDefault="00260042" w:rsidP="002E64CE">
            <w:pPr>
              <w:pStyle w:val="BodyText"/>
              <w:jc w:val="right"/>
              <w:rPr>
                <w:b/>
              </w:rPr>
            </w:pPr>
            <w:r w:rsidRPr="002E64CE">
              <w:rPr>
                <w:b/>
              </w:rPr>
              <w:t>2018–19</w:t>
            </w:r>
          </w:p>
        </w:tc>
        <w:tc>
          <w:tcPr>
            <w:tcW w:w="764" w:type="pct"/>
          </w:tcPr>
          <w:p w:rsidR="00260042" w:rsidRPr="002E64CE" w:rsidRDefault="00260042" w:rsidP="002E64CE">
            <w:pPr>
              <w:pStyle w:val="BodyText"/>
              <w:jc w:val="right"/>
              <w:rPr>
                <w:b/>
              </w:rPr>
            </w:pPr>
            <w:r w:rsidRPr="002E64CE">
              <w:rPr>
                <w:b/>
              </w:rPr>
              <w:t>2019–20</w:t>
            </w:r>
          </w:p>
        </w:tc>
        <w:tc>
          <w:tcPr>
            <w:tcW w:w="764" w:type="pct"/>
          </w:tcPr>
          <w:p w:rsidR="00260042" w:rsidRPr="002E64CE" w:rsidRDefault="00260042" w:rsidP="002E64CE">
            <w:pPr>
              <w:pStyle w:val="BodyText"/>
              <w:jc w:val="right"/>
              <w:rPr>
                <w:b/>
              </w:rPr>
            </w:pPr>
            <w:r w:rsidRPr="002E64CE">
              <w:rPr>
                <w:b/>
              </w:rPr>
              <w:t>2020–21</w:t>
            </w:r>
          </w:p>
        </w:tc>
        <w:tc>
          <w:tcPr>
            <w:tcW w:w="1108" w:type="pct"/>
          </w:tcPr>
          <w:p w:rsidR="00260042" w:rsidRPr="002E64CE" w:rsidRDefault="00260042" w:rsidP="002E64CE">
            <w:pPr>
              <w:pStyle w:val="BodyText"/>
              <w:jc w:val="right"/>
              <w:rPr>
                <w:b/>
              </w:rPr>
            </w:pPr>
            <w:r w:rsidRPr="002E64CE">
              <w:rPr>
                <w:b/>
              </w:rPr>
              <w:t>% change since 2019–20</w:t>
            </w:r>
          </w:p>
        </w:tc>
      </w:tr>
      <w:tr w:rsidR="00260042" w:rsidTr="002E64CE">
        <w:trPr>
          <w:trHeight w:val="60"/>
        </w:trPr>
        <w:tc>
          <w:tcPr>
            <w:tcW w:w="1598" w:type="pct"/>
          </w:tcPr>
          <w:p w:rsidR="00260042" w:rsidRDefault="00260042" w:rsidP="002E64CE">
            <w:pPr>
              <w:pStyle w:val="BodyText"/>
            </w:pPr>
            <w:r>
              <w:t>Cases finalised</w:t>
            </w:r>
          </w:p>
        </w:tc>
        <w:tc>
          <w:tcPr>
            <w:tcW w:w="764" w:type="pct"/>
          </w:tcPr>
          <w:p w:rsidR="00260042" w:rsidRDefault="00260042" w:rsidP="002E64CE">
            <w:pPr>
              <w:pStyle w:val="BodyText"/>
              <w:jc w:val="right"/>
            </w:pPr>
            <w:r>
              <w:t>50,915</w:t>
            </w:r>
          </w:p>
        </w:tc>
        <w:tc>
          <w:tcPr>
            <w:tcW w:w="764" w:type="pct"/>
          </w:tcPr>
          <w:p w:rsidR="00260042" w:rsidRDefault="00260042" w:rsidP="002E64CE">
            <w:pPr>
              <w:pStyle w:val="BodyText"/>
              <w:jc w:val="right"/>
            </w:pPr>
            <w:r>
              <w:t>41,862</w:t>
            </w:r>
          </w:p>
        </w:tc>
        <w:tc>
          <w:tcPr>
            <w:tcW w:w="764" w:type="pct"/>
          </w:tcPr>
          <w:p w:rsidR="00260042" w:rsidRDefault="00260042" w:rsidP="002E64CE">
            <w:pPr>
              <w:pStyle w:val="BodyText"/>
              <w:jc w:val="right"/>
            </w:pPr>
            <w:r>
              <w:t>39,081</w:t>
            </w:r>
          </w:p>
        </w:tc>
        <w:tc>
          <w:tcPr>
            <w:tcW w:w="1108" w:type="pct"/>
          </w:tcPr>
          <w:p w:rsidR="00260042" w:rsidRDefault="00260042" w:rsidP="002E64CE">
            <w:pPr>
              <w:pStyle w:val="BodyText"/>
              <w:jc w:val="right"/>
            </w:pPr>
            <w:r>
              <w:t>–6.6</w:t>
            </w:r>
          </w:p>
        </w:tc>
      </w:tr>
      <w:tr w:rsidR="00260042" w:rsidTr="002E64CE">
        <w:trPr>
          <w:trHeight w:val="60"/>
        </w:trPr>
        <w:tc>
          <w:tcPr>
            <w:tcW w:w="1598" w:type="pct"/>
          </w:tcPr>
          <w:p w:rsidR="00260042" w:rsidRDefault="00260042" w:rsidP="002E64CE">
            <w:pPr>
              <w:pStyle w:val="BodyText"/>
            </w:pPr>
            <w:r>
              <w:t>Benefits recovered</w:t>
            </w:r>
          </w:p>
        </w:tc>
        <w:tc>
          <w:tcPr>
            <w:tcW w:w="764" w:type="pct"/>
          </w:tcPr>
          <w:p w:rsidR="00260042" w:rsidRDefault="00260042" w:rsidP="002E64CE">
            <w:pPr>
              <w:pStyle w:val="BodyText"/>
              <w:jc w:val="right"/>
            </w:pPr>
            <w:r>
              <w:t>$62.6 million</w:t>
            </w:r>
          </w:p>
        </w:tc>
        <w:tc>
          <w:tcPr>
            <w:tcW w:w="764" w:type="pct"/>
          </w:tcPr>
          <w:p w:rsidR="00260042" w:rsidRDefault="00260042" w:rsidP="002E64CE">
            <w:pPr>
              <w:pStyle w:val="BodyText"/>
              <w:jc w:val="right"/>
            </w:pPr>
            <w:r>
              <w:t>$48.7 million</w:t>
            </w:r>
          </w:p>
        </w:tc>
        <w:tc>
          <w:tcPr>
            <w:tcW w:w="764" w:type="pct"/>
          </w:tcPr>
          <w:p w:rsidR="00260042" w:rsidRDefault="00260042" w:rsidP="002E64CE">
            <w:pPr>
              <w:pStyle w:val="BodyText"/>
              <w:jc w:val="right"/>
            </w:pPr>
            <w:r>
              <w:t>$42.0 million</w:t>
            </w:r>
          </w:p>
        </w:tc>
        <w:tc>
          <w:tcPr>
            <w:tcW w:w="1108" w:type="pct"/>
          </w:tcPr>
          <w:p w:rsidR="00260042" w:rsidRDefault="00260042" w:rsidP="002E64CE">
            <w:pPr>
              <w:pStyle w:val="BodyText"/>
              <w:jc w:val="right"/>
            </w:pPr>
            <w:r>
              <w:t>–13.8</w:t>
            </w:r>
          </w:p>
        </w:tc>
      </w:tr>
    </w:tbl>
    <w:p w:rsidR="00260042" w:rsidRDefault="00260042" w:rsidP="00C81689">
      <w:pPr>
        <w:pStyle w:val="Heading2"/>
      </w:pPr>
      <w:r>
        <w:t>Access to medicines</w:t>
      </w:r>
    </w:p>
    <w:p w:rsidR="00260042" w:rsidRDefault="00260042" w:rsidP="00260042">
      <w:pPr>
        <w:pStyle w:val="BodyText"/>
        <w:spacing w:after="57"/>
      </w:pPr>
      <w:r>
        <w:t xml:space="preserve">Services Australia administers </w:t>
      </w:r>
      <w:proofErr w:type="gramStart"/>
      <w:r>
        <w:t>2</w:t>
      </w:r>
      <w:proofErr w:type="gramEnd"/>
      <w:r>
        <w:t xml:space="preserve"> schemes that subsidise access to medicines:</w:t>
      </w:r>
    </w:p>
    <w:p w:rsidR="00260042" w:rsidRDefault="00260042" w:rsidP="008930A3">
      <w:pPr>
        <w:pStyle w:val="ListBullet"/>
      </w:pPr>
      <w:r>
        <w:t>the PBS – provides access to a wide range of medicines at a reduced cost to Australian residents and eligible overseas visitors</w:t>
      </w:r>
    </w:p>
    <w:p w:rsidR="00260042" w:rsidRDefault="00260042" w:rsidP="00EA5510">
      <w:pPr>
        <w:pStyle w:val="ListBullet"/>
      </w:pPr>
      <w:proofErr w:type="gramStart"/>
      <w:r>
        <w:t>the</w:t>
      </w:r>
      <w:proofErr w:type="gramEnd"/>
      <w:r>
        <w:t xml:space="preserve"> Repatriation Pharmaceutical Benefits Scheme (RPBS) – gives eligible veterans and their widows, widowers and dependants subsidised access to some additional medicines and dressings at concession rates, and if clinically justified, items not listed under either scheme. </w:t>
      </w:r>
    </w:p>
    <w:p w:rsidR="00260042" w:rsidRPr="00EA5510" w:rsidRDefault="009B789E" w:rsidP="00EA5510">
      <w:pPr>
        <w:pStyle w:val="BodyText"/>
        <w:rPr>
          <w:b/>
        </w:rPr>
      </w:pPr>
      <w:r>
        <w:rPr>
          <w:b/>
        </w:rPr>
        <w:t>Table 1</w:t>
      </w:r>
      <w:r>
        <w:rPr>
          <w:b/>
        </w:rPr>
        <w:t>1</w:t>
      </w:r>
      <w:r w:rsidR="00260042" w:rsidRPr="00EA5510">
        <w:rPr>
          <w:b/>
        </w:rPr>
        <w:t xml:space="preserve"> PBS and RPBS expenditure </w:t>
      </w:r>
    </w:p>
    <w:tbl>
      <w:tblPr>
        <w:tblStyle w:val="TableGrid"/>
        <w:tblW w:w="5000" w:type="pct"/>
        <w:tblLook w:val="0000" w:firstRow="0" w:lastRow="0" w:firstColumn="0" w:lastColumn="0" w:noHBand="0" w:noVBand="0"/>
        <w:tblCaption w:val="PBS and RPBS expenditure "/>
      </w:tblPr>
      <w:tblGrid>
        <w:gridCol w:w="4357"/>
        <w:gridCol w:w="2145"/>
        <w:gridCol w:w="2145"/>
        <w:gridCol w:w="2143"/>
      </w:tblGrid>
      <w:tr w:rsidR="00260042" w:rsidTr="002E64CE">
        <w:trPr>
          <w:trHeight w:val="60"/>
          <w:tblHeader/>
        </w:trPr>
        <w:tc>
          <w:tcPr>
            <w:tcW w:w="2019" w:type="pct"/>
          </w:tcPr>
          <w:p w:rsidR="00260042" w:rsidRPr="002E64CE" w:rsidRDefault="00260042" w:rsidP="002E64CE">
            <w:pPr>
              <w:pStyle w:val="BodyText"/>
              <w:rPr>
                <w:b/>
              </w:rPr>
            </w:pPr>
          </w:p>
        </w:tc>
        <w:tc>
          <w:tcPr>
            <w:tcW w:w="994" w:type="pct"/>
          </w:tcPr>
          <w:p w:rsidR="00260042" w:rsidRPr="002E64CE" w:rsidRDefault="00260042" w:rsidP="002E64CE">
            <w:pPr>
              <w:pStyle w:val="BodyText"/>
              <w:jc w:val="right"/>
              <w:rPr>
                <w:b/>
              </w:rPr>
            </w:pPr>
            <w:r w:rsidRPr="002E64CE">
              <w:rPr>
                <w:b/>
              </w:rPr>
              <w:t>2018–19</w:t>
            </w:r>
          </w:p>
        </w:tc>
        <w:tc>
          <w:tcPr>
            <w:tcW w:w="994" w:type="pct"/>
          </w:tcPr>
          <w:p w:rsidR="00260042" w:rsidRPr="002E64CE" w:rsidRDefault="00260042" w:rsidP="002E64CE">
            <w:pPr>
              <w:pStyle w:val="BodyText"/>
              <w:jc w:val="right"/>
              <w:rPr>
                <w:b/>
              </w:rPr>
            </w:pPr>
            <w:r w:rsidRPr="002E64CE">
              <w:rPr>
                <w:b/>
              </w:rPr>
              <w:t>2019–20</w:t>
            </w:r>
          </w:p>
        </w:tc>
        <w:tc>
          <w:tcPr>
            <w:tcW w:w="994"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2019" w:type="pct"/>
          </w:tcPr>
          <w:p w:rsidR="00260042" w:rsidRDefault="00260042" w:rsidP="002E64CE">
            <w:pPr>
              <w:pStyle w:val="BodyText"/>
            </w:pPr>
            <w:r>
              <w:t>PBS benefits paid</w:t>
            </w:r>
            <w:r>
              <w:rPr>
                <w:vertAlign w:val="superscript"/>
              </w:rPr>
              <w:t>(a)</w:t>
            </w:r>
          </w:p>
        </w:tc>
        <w:tc>
          <w:tcPr>
            <w:tcW w:w="994" w:type="pct"/>
          </w:tcPr>
          <w:p w:rsidR="00260042" w:rsidRDefault="00260042" w:rsidP="002E64CE">
            <w:pPr>
              <w:pStyle w:val="BodyText"/>
              <w:jc w:val="right"/>
            </w:pPr>
            <w:r>
              <w:t>$11.9 billion</w:t>
            </w:r>
          </w:p>
        </w:tc>
        <w:tc>
          <w:tcPr>
            <w:tcW w:w="994" w:type="pct"/>
          </w:tcPr>
          <w:p w:rsidR="00260042" w:rsidRDefault="00260042" w:rsidP="002E64CE">
            <w:pPr>
              <w:pStyle w:val="BodyText"/>
              <w:jc w:val="right"/>
            </w:pPr>
            <w:r>
              <w:t>$12.7 billion</w:t>
            </w:r>
          </w:p>
        </w:tc>
        <w:tc>
          <w:tcPr>
            <w:tcW w:w="994" w:type="pct"/>
          </w:tcPr>
          <w:p w:rsidR="00260042" w:rsidRDefault="00260042" w:rsidP="002E64CE">
            <w:pPr>
              <w:pStyle w:val="BodyText"/>
              <w:jc w:val="right"/>
            </w:pPr>
            <w:r>
              <w:t>$13.7 billion</w:t>
            </w:r>
          </w:p>
        </w:tc>
      </w:tr>
      <w:tr w:rsidR="00260042" w:rsidTr="002E64CE">
        <w:trPr>
          <w:trHeight w:val="60"/>
        </w:trPr>
        <w:tc>
          <w:tcPr>
            <w:tcW w:w="2019" w:type="pct"/>
          </w:tcPr>
          <w:p w:rsidR="00260042" w:rsidRDefault="00260042" w:rsidP="002E64CE">
            <w:pPr>
              <w:pStyle w:val="BodyText"/>
            </w:pPr>
            <w:r>
              <w:t>RPBS benefits paid</w:t>
            </w:r>
            <w:r>
              <w:rPr>
                <w:vertAlign w:val="superscript"/>
              </w:rPr>
              <w:t>(a)(b)</w:t>
            </w:r>
          </w:p>
        </w:tc>
        <w:tc>
          <w:tcPr>
            <w:tcW w:w="994" w:type="pct"/>
          </w:tcPr>
          <w:p w:rsidR="00260042" w:rsidRDefault="00260042" w:rsidP="002E64CE">
            <w:pPr>
              <w:pStyle w:val="BodyText"/>
              <w:jc w:val="right"/>
            </w:pPr>
            <w:r>
              <w:t>$0.3 billion</w:t>
            </w:r>
          </w:p>
        </w:tc>
        <w:tc>
          <w:tcPr>
            <w:tcW w:w="994" w:type="pct"/>
          </w:tcPr>
          <w:p w:rsidR="00260042" w:rsidRDefault="00260042" w:rsidP="002E64CE">
            <w:pPr>
              <w:pStyle w:val="BodyText"/>
              <w:jc w:val="right"/>
            </w:pPr>
            <w:r>
              <w:t>$0.3 billion</w:t>
            </w:r>
          </w:p>
        </w:tc>
        <w:tc>
          <w:tcPr>
            <w:tcW w:w="994" w:type="pct"/>
          </w:tcPr>
          <w:p w:rsidR="00260042" w:rsidRDefault="00260042" w:rsidP="002E64CE">
            <w:pPr>
              <w:pStyle w:val="BodyText"/>
              <w:jc w:val="right"/>
            </w:pPr>
            <w:r>
              <w:t>$0.3 billion</w:t>
            </w:r>
          </w:p>
        </w:tc>
      </w:tr>
      <w:tr w:rsidR="00260042" w:rsidTr="002E64CE">
        <w:trPr>
          <w:trHeight w:val="60"/>
        </w:trPr>
        <w:tc>
          <w:tcPr>
            <w:tcW w:w="2019" w:type="pct"/>
          </w:tcPr>
          <w:p w:rsidR="00260042" w:rsidRDefault="00260042" w:rsidP="002E64CE">
            <w:pPr>
              <w:pStyle w:val="BodyText"/>
            </w:pPr>
            <w:r>
              <w:rPr>
                <w:rStyle w:val="Bold"/>
              </w:rPr>
              <w:t>Total benefits paid</w:t>
            </w:r>
          </w:p>
        </w:tc>
        <w:tc>
          <w:tcPr>
            <w:tcW w:w="994" w:type="pct"/>
          </w:tcPr>
          <w:p w:rsidR="00260042" w:rsidRDefault="00260042" w:rsidP="002E64CE">
            <w:pPr>
              <w:pStyle w:val="BodyText"/>
              <w:jc w:val="right"/>
            </w:pPr>
            <w:r>
              <w:rPr>
                <w:rStyle w:val="Bold"/>
              </w:rPr>
              <w:t>$12.2 billion</w:t>
            </w:r>
          </w:p>
        </w:tc>
        <w:tc>
          <w:tcPr>
            <w:tcW w:w="994" w:type="pct"/>
          </w:tcPr>
          <w:p w:rsidR="00260042" w:rsidRDefault="00260042" w:rsidP="002E64CE">
            <w:pPr>
              <w:pStyle w:val="BodyText"/>
              <w:jc w:val="right"/>
            </w:pPr>
            <w:r>
              <w:rPr>
                <w:rStyle w:val="Bold"/>
              </w:rPr>
              <w:t>$13.0 billion</w:t>
            </w:r>
          </w:p>
        </w:tc>
        <w:tc>
          <w:tcPr>
            <w:tcW w:w="994" w:type="pct"/>
          </w:tcPr>
          <w:p w:rsidR="00260042" w:rsidRDefault="00260042" w:rsidP="002E64CE">
            <w:pPr>
              <w:pStyle w:val="BodyText"/>
              <w:jc w:val="right"/>
            </w:pPr>
            <w:r>
              <w:rPr>
                <w:rStyle w:val="Bold"/>
              </w:rPr>
              <w:t>$14.0 billion</w:t>
            </w:r>
          </w:p>
        </w:tc>
      </w:tr>
      <w:tr w:rsidR="00260042" w:rsidTr="002E64CE">
        <w:trPr>
          <w:trHeight w:val="60"/>
        </w:trPr>
        <w:tc>
          <w:tcPr>
            <w:tcW w:w="2019" w:type="pct"/>
          </w:tcPr>
          <w:p w:rsidR="00260042" w:rsidRDefault="00260042" w:rsidP="002E64CE">
            <w:pPr>
              <w:pStyle w:val="BodyText"/>
            </w:pPr>
            <w:r>
              <w:lastRenderedPageBreak/>
              <w:t>PBS services processed</w:t>
            </w:r>
            <w:r>
              <w:rPr>
                <w:vertAlign w:val="superscript"/>
              </w:rPr>
              <w:t>(c)</w:t>
            </w:r>
          </w:p>
        </w:tc>
        <w:tc>
          <w:tcPr>
            <w:tcW w:w="994" w:type="pct"/>
          </w:tcPr>
          <w:p w:rsidR="00260042" w:rsidRDefault="00260042" w:rsidP="002E64CE">
            <w:pPr>
              <w:pStyle w:val="BodyText"/>
              <w:jc w:val="right"/>
            </w:pPr>
            <w:r>
              <w:t>203.0 million</w:t>
            </w:r>
          </w:p>
        </w:tc>
        <w:tc>
          <w:tcPr>
            <w:tcW w:w="994" w:type="pct"/>
          </w:tcPr>
          <w:p w:rsidR="00260042" w:rsidRDefault="00260042" w:rsidP="002E64CE">
            <w:pPr>
              <w:pStyle w:val="BodyText"/>
              <w:jc w:val="right"/>
            </w:pPr>
            <w:r>
              <w:t>206.0 million</w:t>
            </w:r>
          </w:p>
        </w:tc>
        <w:tc>
          <w:tcPr>
            <w:tcW w:w="994" w:type="pct"/>
          </w:tcPr>
          <w:p w:rsidR="00260042" w:rsidRDefault="00260042" w:rsidP="002E64CE">
            <w:pPr>
              <w:pStyle w:val="BodyText"/>
              <w:jc w:val="right"/>
            </w:pPr>
            <w:r>
              <w:t>210.7 million</w:t>
            </w:r>
          </w:p>
        </w:tc>
      </w:tr>
      <w:tr w:rsidR="00260042" w:rsidTr="002E64CE">
        <w:trPr>
          <w:trHeight w:val="60"/>
        </w:trPr>
        <w:tc>
          <w:tcPr>
            <w:tcW w:w="2019" w:type="pct"/>
          </w:tcPr>
          <w:p w:rsidR="00260042" w:rsidRDefault="00260042" w:rsidP="002E64CE">
            <w:pPr>
              <w:pStyle w:val="BodyText"/>
            </w:pPr>
            <w:r>
              <w:t>RPBS services processed</w:t>
            </w:r>
            <w:r>
              <w:rPr>
                <w:vertAlign w:val="superscript"/>
              </w:rPr>
              <w:t>(b)(c)</w:t>
            </w:r>
          </w:p>
        </w:tc>
        <w:tc>
          <w:tcPr>
            <w:tcW w:w="994" w:type="pct"/>
          </w:tcPr>
          <w:p w:rsidR="00260042" w:rsidRDefault="00260042" w:rsidP="002E64CE">
            <w:pPr>
              <w:pStyle w:val="BodyText"/>
              <w:jc w:val="right"/>
            </w:pPr>
            <w:r>
              <w:t>8.5 million</w:t>
            </w:r>
          </w:p>
        </w:tc>
        <w:tc>
          <w:tcPr>
            <w:tcW w:w="994" w:type="pct"/>
          </w:tcPr>
          <w:p w:rsidR="00260042" w:rsidRDefault="00260042" w:rsidP="002E64CE">
            <w:pPr>
              <w:pStyle w:val="BodyText"/>
              <w:jc w:val="right"/>
            </w:pPr>
            <w:r>
              <w:t>8.0 million</w:t>
            </w:r>
          </w:p>
        </w:tc>
        <w:tc>
          <w:tcPr>
            <w:tcW w:w="994" w:type="pct"/>
          </w:tcPr>
          <w:p w:rsidR="00260042" w:rsidRDefault="00260042" w:rsidP="002E64CE">
            <w:pPr>
              <w:pStyle w:val="BodyText"/>
              <w:jc w:val="right"/>
            </w:pPr>
            <w:r>
              <w:t>7.6 million</w:t>
            </w:r>
          </w:p>
        </w:tc>
      </w:tr>
      <w:tr w:rsidR="00260042" w:rsidTr="002E64CE">
        <w:trPr>
          <w:trHeight w:val="60"/>
        </w:trPr>
        <w:tc>
          <w:tcPr>
            <w:tcW w:w="2019" w:type="pct"/>
          </w:tcPr>
          <w:p w:rsidR="00260042" w:rsidRDefault="00260042" w:rsidP="002E64CE">
            <w:pPr>
              <w:pStyle w:val="BodyText"/>
            </w:pPr>
            <w:r>
              <w:rPr>
                <w:rStyle w:val="Bold"/>
              </w:rPr>
              <w:t>Total services processed</w:t>
            </w:r>
          </w:p>
        </w:tc>
        <w:tc>
          <w:tcPr>
            <w:tcW w:w="994" w:type="pct"/>
          </w:tcPr>
          <w:p w:rsidR="00260042" w:rsidRDefault="00260042" w:rsidP="002E64CE">
            <w:pPr>
              <w:pStyle w:val="BodyText"/>
              <w:jc w:val="right"/>
            </w:pPr>
            <w:r>
              <w:rPr>
                <w:rStyle w:val="Bold"/>
              </w:rPr>
              <w:t>211.5 million</w:t>
            </w:r>
          </w:p>
        </w:tc>
        <w:tc>
          <w:tcPr>
            <w:tcW w:w="994" w:type="pct"/>
          </w:tcPr>
          <w:p w:rsidR="00260042" w:rsidRDefault="00260042" w:rsidP="002E64CE">
            <w:pPr>
              <w:pStyle w:val="BodyText"/>
              <w:jc w:val="right"/>
            </w:pPr>
            <w:r>
              <w:rPr>
                <w:rStyle w:val="Bold"/>
              </w:rPr>
              <w:t>214.0 million</w:t>
            </w:r>
          </w:p>
        </w:tc>
        <w:tc>
          <w:tcPr>
            <w:tcW w:w="994" w:type="pct"/>
          </w:tcPr>
          <w:p w:rsidR="00260042" w:rsidRDefault="00260042" w:rsidP="002E64CE">
            <w:pPr>
              <w:pStyle w:val="BodyText"/>
              <w:jc w:val="right"/>
            </w:pPr>
            <w:r>
              <w:rPr>
                <w:rStyle w:val="Bold"/>
              </w:rPr>
              <w:t>218.3 million</w:t>
            </w:r>
          </w:p>
        </w:tc>
      </w:tr>
    </w:tbl>
    <w:p w:rsidR="00260042" w:rsidRDefault="00260042" w:rsidP="00EA5510">
      <w:pPr>
        <w:pStyle w:val="BodyText"/>
      </w:pPr>
      <w:r>
        <w:t>(a)</w:t>
      </w:r>
      <w:r>
        <w:tab/>
        <w:t>Excludes Electronic Prescription Fee payments and Premium Free Dispensing Incentive payments.</w:t>
      </w:r>
    </w:p>
    <w:p w:rsidR="00260042" w:rsidRDefault="00260042" w:rsidP="00EA5510">
      <w:pPr>
        <w:pStyle w:val="BodyText"/>
      </w:pPr>
      <w:r>
        <w:t>(b)</w:t>
      </w:r>
      <w:r>
        <w:tab/>
        <w:t>Payments/services processed on behalf of DVA.</w:t>
      </w:r>
    </w:p>
    <w:p w:rsidR="00260042" w:rsidRDefault="00260042" w:rsidP="00EA5510">
      <w:pPr>
        <w:pStyle w:val="BodyText"/>
      </w:pPr>
      <w:r>
        <w:t>(c)</w:t>
      </w:r>
      <w:r>
        <w:tab/>
        <w:t xml:space="preserve">Excludes services under co-payment prescriptions; patient refund claims; Aboriginal Health Service claims; and claims that are yet to </w:t>
      </w:r>
      <w:proofErr w:type="gramStart"/>
      <w:r>
        <w:t>be closed</w:t>
      </w:r>
      <w:proofErr w:type="gramEnd"/>
      <w:r>
        <w:t xml:space="preserve"> by approved suppliers.</w:t>
      </w:r>
    </w:p>
    <w:p w:rsidR="00260042" w:rsidRDefault="00260042" w:rsidP="002E64CE">
      <w:pPr>
        <w:pStyle w:val="Heading3"/>
      </w:pPr>
      <w:r>
        <w:t>Pharmaceutical Benefits Scheme subsidies</w:t>
      </w:r>
    </w:p>
    <w:p w:rsidR="00260042" w:rsidRDefault="00260042" w:rsidP="00260042">
      <w:pPr>
        <w:pStyle w:val="BodyText"/>
        <w:spacing w:after="57"/>
      </w:pPr>
      <w:r>
        <w:t xml:space="preserve">There are </w:t>
      </w:r>
      <w:proofErr w:type="gramStart"/>
      <w:r>
        <w:t>2</w:t>
      </w:r>
      <w:proofErr w:type="gramEnd"/>
      <w:r>
        <w:t xml:space="preserve"> concession levels for PBS listed medicines:</w:t>
      </w:r>
    </w:p>
    <w:p w:rsidR="00260042" w:rsidRDefault="00260042" w:rsidP="008930A3">
      <w:pPr>
        <w:pStyle w:val="ListBullet"/>
      </w:pPr>
      <w:r>
        <w:t xml:space="preserve">The maximum cost for a pharmaceutical benefit item at the general rate for 2021 is $41.30. All Australian residents and eligible overseas visitors can access PBS medicines at the general rate. </w:t>
      </w:r>
    </w:p>
    <w:p w:rsidR="00260042" w:rsidRDefault="00260042" w:rsidP="00EA5510">
      <w:pPr>
        <w:pStyle w:val="ListBullet"/>
      </w:pPr>
      <w:r>
        <w:t xml:space="preserve">Patients and their families with a valid concession card from Services Australia or DVA are eligible for the concession rate of $6.60 maximum cost for a pharmaceutical benefit item. </w:t>
      </w:r>
    </w:p>
    <w:p w:rsidR="00260042" w:rsidRDefault="00260042" w:rsidP="00260042">
      <w:pPr>
        <w:pStyle w:val="BodyText"/>
      </w:pPr>
      <w:r>
        <w:t xml:space="preserve">Patients may pay extra </w:t>
      </w:r>
      <w:proofErr w:type="gramStart"/>
      <w:r>
        <w:t>for more expensive brands of medicines</w:t>
      </w:r>
      <w:proofErr w:type="gramEnd"/>
      <w:r>
        <w:t>.</w:t>
      </w:r>
    </w:p>
    <w:p w:rsidR="00260042" w:rsidRDefault="00260042" w:rsidP="002E64CE">
      <w:pPr>
        <w:pStyle w:val="Heading3"/>
      </w:pPr>
      <w:r>
        <w:t xml:space="preserve">Pharmaceutical Benefits Scheme Safety Net </w:t>
      </w:r>
    </w:p>
    <w:p w:rsidR="00260042" w:rsidRDefault="00260042" w:rsidP="00260042">
      <w:pPr>
        <w:pStyle w:val="BodyText"/>
      </w:pPr>
      <w:r>
        <w:t xml:space="preserve">The PBS Safety Net helps patients with the cost of their medicines when they or their families require a large number of prescription medicines in a calendar year. </w:t>
      </w:r>
    </w:p>
    <w:p w:rsidR="00260042" w:rsidRDefault="00260042" w:rsidP="00260042">
      <w:pPr>
        <w:pStyle w:val="BodyText"/>
        <w:spacing w:after="57"/>
      </w:pPr>
      <w:r>
        <w:t xml:space="preserve">The 2021 general threshold is $1,497.20, and for concession patients the threshold is $316.80. When people reach the relevant threshold, a pharmacist can issue them with a PBS Safety Net card. Their contribution for PBS medicines for the rest of the calendar year is then: </w:t>
      </w:r>
    </w:p>
    <w:p w:rsidR="00260042" w:rsidRDefault="00260042" w:rsidP="008930A3">
      <w:pPr>
        <w:pStyle w:val="ListBullet"/>
      </w:pPr>
      <w:r>
        <w:t xml:space="preserve">$6.60 for general patients </w:t>
      </w:r>
    </w:p>
    <w:p w:rsidR="00260042" w:rsidRDefault="00260042" w:rsidP="00EA5510">
      <w:pPr>
        <w:pStyle w:val="ListBullet"/>
      </w:pPr>
      <w:proofErr w:type="gramStart"/>
      <w:r>
        <w:t>nil</w:t>
      </w:r>
      <w:proofErr w:type="gramEnd"/>
      <w:r>
        <w:t xml:space="preserve"> for concession patients. </w:t>
      </w:r>
    </w:p>
    <w:p w:rsidR="00260042" w:rsidRDefault="00260042" w:rsidP="00260042">
      <w:pPr>
        <w:pStyle w:val="BodyText"/>
      </w:pPr>
      <w:r>
        <w:t>The patient must still pay any applicable special patient contributions, brand premiums or therapeutic group premiums.</w:t>
      </w:r>
    </w:p>
    <w:p w:rsidR="00260042" w:rsidRDefault="00260042" w:rsidP="002E64CE">
      <w:pPr>
        <w:pStyle w:val="Heading3"/>
      </w:pPr>
      <w:r>
        <w:t>Indigenous people</w:t>
      </w:r>
      <w:r w:rsidR="007764E8">
        <w:t>s</w:t>
      </w:r>
      <w:r>
        <w:t xml:space="preserve"> access to the PBS </w:t>
      </w:r>
    </w:p>
    <w:p w:rsidR="00260042" w:rsidRDefault="00260042" w:rsidP="00260042">
      <w:pPr>
        <w:pStyle w:val="BodyText"/>
        <w:keepLines/>
      </w:pPr>
      <w:r>
        <w:t xml:space="preserve">Special PBS arrangements </w:t>
      </w:r>
      <w:proofErr w:type="gramStart"/>
      <w:r>
        <w:t>are administered</w:t>
      </w:r>
      <w:proofErr w:type="gramEnd"/>
      <w:r>
        <w:t xml:space="preserve"> to people in remote Indigenous communities through Aboriginal Health Services and some state and territory-funded health services. Patients of approved remote area Aboriginal Health Services can access PBS medicines directly from these services at no cost. </w:t>
      </w:r>
    </w:p>
    <w:p w:rsidR="00260042" w:rsidRDefault="00260042" w:rsidP="00260042">
      <w:pPr>
        <w:pStyle w:val="BodyText"/>
      </w:pPr>
      <w:r>
        <w:t>At 30 June 2021, there were 160 approved Aboriginal Health Services around the country.</w:t>
      </w:r>
    </w:p>
    <w:p w:rsidR="00260042" w:rsidRDefault="00260042" w:rsidP="00260042">
      <w:pPr>
        <w:pStyle w:val="BodyText"/>
      </w:pPr>
      <w:r>
        <w:lastRenderedPageBreak/>
        <w:t>Services Australia also supports Aboriginal and Torres Strait Islander peoples living with chronic disease, or at risk of it, by assisting with the cost of PBS medicines through the Closing the Gap PBS Co-Payment measure.</w:t>
      </w:r>
    </w:p>
    <w:p w:rsidR="00260042" w:rsidRDefault="00260042" w:rsidP="002E64CE">
      <w:pPr>
        <w:pStyle w:val="Heading3"/>
      </w:pPr>
      <w:r>
        <w:t xml:space="preserve">Travelling with PBS medicines </w:t>
      </w:r>
    </w:p>
    <w:p w:rsidR="00260042" w:rsidRDefault="00260042" w:rsidP="00260042">
      <w:pPr>
        <w:pStyle w:val="BodyText"/>
      </w:pPr>
      <w:r>
        <w:t xml:space="preserve">It is illegal to take or send PBS subsidised medicines out of Australia unless they are for the personal use of the person to whom the medicine </w:t>
      </w:r>
      <w:proofErr w:type="gramStart"/>
      <w:r>
        <w:t>was prescribed</w:t>
      </w:r>
      <w:proofErr w:type="gramEnd"/>
      <w:r>
        <w:t xml:space="preserve">. </w:t>
      </w:r>
    </w:p>
    <w:p w:rsidR="00260042" w:rsidRDefault="00260042" w:rsidP="00260042">
      <w:pPr>
        <w:pStyle w:val="BodyText"/>
      </w:pPr>
      <w:r>
        <w:t xml:space="preserve">The Pharmaceutical Benefits Scheme – Taking or Sending Medicine Overseas inquiry line and the agency’s website provide information and advice to people about their responsibilities and rights when travelling overseas with PBS medicines. </w:t>
      </w:r>
    </w:p>
    <w:p w:rsidR="00260042" w:rsidRDefault="00260042" w:rsidP="00260042">
      <w:pPr>
        <w:pStyle w:val="BodyText"/>
      </w:pPr>
      <w:r>
        <w:t>In 2020–21, the inquiry line received 1,006 calls (compared to almost 1,500 in 2019–20) and the ‘How to manage your PBS medicines overseas’ web page was visited 23,181 times (compared to 32,773 in 2019–20). The reduction was due to the impact of the COVID-19 pandemic on international travel.</w:t>
      </w:r>
    </w:p>
    <w:p w:rsidR="00260042" w:rsidRDefault="00260042" w:rsidP="002E64CE">
      <w:pPr>
        <w:pStyle w:val="Heading3"/>
      </w:pPr>
      <w:r>
        <w:t xml:space="preserve">Online claiming and payments for the PBS </w:t>
      </w:r>
    </w:p>
    <w:p w:rsidR="00260042" w:rsidRDefault="00260042" w:rsidP="00260042">
      <w:pPr>
        <w:pStyle w:val="BodyText"/>
      </w:pPr>
      <w:r>
        <w:t xml:space="preserve">Online claiming for the PBS allows approved suppliers to lodge prescription claims with Services Australia each time a PBS or RPBS medicine </w:t>
      </w:r>
      <w:proofErr w:type="gramStart"/>
      <w:r>
        <w:t>is supplied</w:t>
      </w:r>
      <w:proofErr w:type="gramEnd"/>
      <w:r>
        <w:t xml:space="preserve">. Payments are made to </w:t>
      </w:r>
      <w:proofErr w:type="gramStart"/>
      <w:r>
        <w:t>approved</w:t>
      </w:r>
      <w:proofErr w:type="gramEnd"/>
      <w:r>
        <w:t xml:space="preserve"> suppliers within 2 to 9 days of the claimed submission. At 30 June 2021, 99.9% of approved suppliers of PBS and RPBS medicines used online claiming.</w:t>
      </w:r>
    </w:p>
    <w:p w:rsidR="00260042" w:rsidRDefault="00260042" w:rsidP="002E64CE">
      <w:pPr>
        <w:pStyle w:val="Heading3"/>
      </w:pPr>
      <w:r>
        <w:t xml:space="preserve">Authority required medicines </w:t>
      </w:r>
    </w:p>
    <w:p w:rsidR="00260042" w:rsidRDefault="00260042" w:rsidP="00260042">
      <w:pPr>
        <w:pStyle w:val="BodyText"/>
      </w:pPr>
      <w:r>
        <w:t xml:space="preserve">The Schedule of Pharmaceutical Benefits lists subsidised medicines. Some of these medicines need prior authority approval from Services Australia before they </w:t>
      </w:r>
      <w:proofErr w:type="gramStart"/>
      <w:r>
        <w:t>can be prescribed</w:t>
      </w:r>
      <w:proofErr w:type="gramEnd"/>
      <w:r>
        <w:t xml:space="preserve"> to patients as PBS benefits. These medicines are subsidised for the treatment of specific conditions. </w:t>
      </w:r>
    </w:p>
    <w:p w:rsidR="00260042" w:rsidRDefault="00260042" w:rsidP="00260042">
      <w:pPr>
        <w:pStyle w:val="BodyText"/>
      </w:pPr>
      <w:r>
        <w:t xml:space="preserve">In 2020–21, 7.2 million authority approval requests were received, including 0.3 million RPBS authority requests processed by DVA. </w:t>
      </w:r>
    </w:p>
    <w:p w:rsidR="00260042" w:rsidRDefault="00260042" w:rsidP="00260042">
      <w:pPr>
        <w:pStyle w:val="BodyText"/>
      </w:pPr>
      <w:r>
        <w:t xml:space="preserve">For more information about health programs, payments and services see our website at </w:t>
      </w:r>
      <w:r>
        <w:rPr>
          <w:rStyle w:val="Bold"/>
        </w:rPr>
        <w:t>servicesaustralia.gov.au</w:t>
      </w:r>
      <w:r>
        <w:t xml:space="preserve"> and the Department of </w:t>
      </w:r>
      <w:proofErr w:type="gramStart"/>
      <w:r>
        <w:t>Health’s</w:t>
      </w:r>
      <w:proofErr w:type="gramEnd"/>
      <w:r>
        <w:t xml:space="preserve"> 2020–21 annual report at </w:t>
      </w:r>
      <w:r>
        <w:rPr>
          <w:rStyle w:val="Bold"/>
        </w:rPr>
        <w:t>health.gov.au</w:t>
      </w:r>
    </w:p>
    <w:p w:rsidR="00260042" w:rsidRDefault="00260042" w:rsidP="00C81689">
      <w:pPr>
        <w:pStyle w:val="Heading2"/>
      </w:pPr>
      <w:r>
        <w:t>Aged care programs</w:t>
      </w:r>
    </w:p>
    <w:p w:rsidR="00260042" w:rsidRDefault="00260042" w:rsidP="00260042">
      <w:pPr>
        <w:pStyle w:val="BodyText"/>
      </w:pPr>
      <w:r>
        <w:t>Services Australia delivers subsidies and supplements to approved aged care providers on behalf of the Department of Health and DVA. The agency’s role is to provide timely and accurate payments efficiently and effectively through modern and flexible aged care payment systems. To help determine the level of payments, the agency undertakes means-testing assessments for people entering aged care to ascertain the extent to which they are eligible for government-subsidised care and their level of co-contribution to their cost of care.</w:t>
      </w:r>
    </w:p>
    <w:p w:rsidR="00260042" w:rsidRDefault="00260042" w:rsidP="00260042">
      <w:pPr>
        <w:pStyle w:val="BodyText"/>
      </w:pPr>
      <w:r>
        <w:t xml:space="preserve">A range of stimulus measures </w:t>
      </w:r>
      <w:proofErr w:type="gramStart"/>
      <w:r>
        <w:t>were delivered</w:t>
      </w:r>
      <w:proofErr w:type="gramEnd"/>
      <w:r>
        <w:t xml:space="preserve"> that supported the aged care sector in response to the COVID-19 pandemic. These new measures included temporary increases to a number of subsidies and supplements and </w:t>
      </w:r>
      <w:proofErr w:type="gramStart"/>
      <w:r>
        <w:t>2</w:t>
      </w:r>
      <w:proofErr w:type="gramEnd"/>
      <w:r>
        <w:t xml:space="preserve"> one-off COVID-19 Support Supplement payments made in June 2020 and October 2020.</w:t>
      </w:r>
    </w:p>
    <w:p w:rsidR="00260042" w:rsidRDefault="00260042" w:rsidP="00260042">
      <w:pPr>
        <w:pStyle w:val="BodyText"/>
      </w:pPr>
      <w:r>
        <w:lastRenderedPageBreak/>
        <w:t xml:space="preserve">The emergency leave provision introduced in 2019–20 </w:t>
      </w:r>
      <w:proofErr w:type="gramStart"/>
      <w:r>
        <w:t>has been continued</w:t>
      </w:r>
      <w:proofErr w:type="gramEnd"/>
      <w:r>
        <w:t xml:space="preserve"> for older Australians in residential care. Services Australia has deployed payment system functionality for Emergency Leave, which includes suspending the social leave count during the emergency leave period. For more </w:t>
      </w:r>
      <w:proofErr w:type="gramStart"/>
      <w:r>
        <w:t>information</w:t>
      </w:r>
      <w:proofErr w:type="gramEnd"/>
      <w:r>
        <w:t xml:space="preserve"> see </w:t>
      </w:r>
      <w:r>
        <w:rPr>
          <w:rStyle w:val="Italic"/>
        </w:rPr>
        <w:t>Support during the COVID-19 pandemic and managing emergencies</w:t>
      </w:r>
      <w:r>
        <w:t xml:space="preserve"> on page 23.</w:t>
      </w:r>
    </w:p>
    <w:p w:rsidR="00260042" w:rsidRPr="00EA5510" w:rsidRDefault="009B789E" w:rsidP="00EA5510">
      <w:pPr>
        <w:pStyle w:val="BodyText"/>
        <w:rPr>
          <w:b/>
        </w:rPr>
      </w:pPr>
      <w:r>
        <w:rPr>
          <w:b/>
        </w:rPr>
        <w:t xml:space="preserve">Table </w:t>
      </w:r>
      <w:proofErr w:type="gramStart"/>
      <w:r>
        <w:rPr>
          <w:b/>
        </w:rPr>
        <w:t>1</w:t>
      </w:r>
      <w:r>
        <w:rPr>
          <w:b/>
        </w:rPr>
        <w:t>2</w:t>
      </w:r>
      <w:r w:rsidR="00260042" w:rsidRPr="00EA5510">
        <w:rPr>
          <w:b/>
        </w:rPr>
        <w:t xml:space="preserve"> Aged</w:t>
      </w:r>
      <w:proofErr w:type="gramEnd"/>
      <w:r w:rsidR="00260042" w:rsidRPr="00EA5510">
        <w:rPr>
          <w:b/>
        </w:rPr>
        <w:t xml:space="preserve"> care overview</w:t>
      </w:r>
    </w:p>
    <w:tbl>
      <w:tblPr>
        <w:tblStyle w:val="TableGrid"/>
        <w:tblW w:w="5000" w:type="pct"/>
        <w:tblLook w:val="0000" w:firstRow="0" w:lastRow="0" w:firstColumn="0" w:lastColumn="0" w:noHBand="0" w:noVBand="0"/>
        <w:tblCaption w:val=" Aged care overview"/>
      </w:tblPr>
      <w:tblGrid>
        <w:gridCol w:w="4109"/>
        <w:gridCol w:w="2225"/>
        <w:gridCol w:w="2227"/>
        <w:gridCol w:w="2229"/>
      </w:tblGrid>
      <w:tr w:rsidR="00260042" w:rsidTr="002E64CE">
        <w:trPr>
          <w:trHeight w:val="60"/>
          <w:tblHeader/>
        </w:trPr>
        <w:tc>
          <w:tcPr>
            <w:tcW w:w="1904" w:type="pct"/>
          </w:tcPr>
          <w:p w:rsidR="00260042" w:rsidRPr="002E64CE" w:rsidRDefault="00260042" w:rsidP="002E64CE">
            <w:pPr>
              <w:pStyle w:val="BodyText"/>
              <w:jc w:val="right"/>
              <w:rPr>
                <w:b/>
              </w:rPr>
            </w:pPr>
          </w:p>
        </w:tc>
        <w:tc>
          <w:tcPr>
            <w:tcW w:w="1031" w:type="pct"/>
          </w:tcPr>
          <w:p w:rsidR="00260042" w:rsidRPr="002E64CE" w:rsidRDefault="00260042" w:rsidP="002E64CE">
            <w:pPr>
              <w:pStyle w:val="BodyText"/>
              <w:jc w:val="right"/>
              <w:rPr>
                <w:b/>
              </w:rPr>
            </w:pPr>
            <w:r w:rsidRPr="002E64CE">
              <w:rPr>
                <w:b/>
              </w:rPr>
              <w:t>2018–19</w:t>
            </w:r>
          </w:p>
        </w:tc>
        <w:tc>
          <w:tcPr>
            <w:tcW w:w="1032" w:type="pct"/>
          </w:tcPr>
          <w:p w:rsidR="00260042" w:rsidRPr="002E64CE" w:rsidRDefault="00260042" w:rsidP="002E64CE">
            <w:pPr>
              <w:pStyle w:val="BodyText"/>
              <w:jc w:val="right"/>
              <w:rPr>
                <w:b/>
              </w:rPr>
            </w:pPr>
            <w:r w:rsidRPr="002E64CE">
              <w:rPr>
                <w:b/>
              </w:rPr>
              <w:t>2019–20</w:t>
            </w:r>
          </w:p>
        </w:tc>
        <w:tc>
          <w:tcPr>
            <w:tcW w:w="1032"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1904" w:type="pct"/>
          </w:tcPr>
          <w:p w:rsidR="00260042" w:rsidRDefault="00260042" w:rsidP="002E64CE">
            <w:pPr>
              <w:pStyle w:val="BodyText"/>
            </w:pPr>
            <w:r>
              <w:t>Residential Care provider claims processed</w:t>
            </w:r>
          </w:p>
        </w:tc>
        <w:tc>
          <w:tcPr>
            <w:tcW w:w="1031" w:type="pct"/>
          </w:tcPr>
          <w:p w:rsidR="00260042" w:rsidRDefault="00260042" w:rsidP="002E64CE">
            <w:pPr>
              <w:pStyle w:val="BodyText"/>
            </w:pPr>
            <w:r>
              <w:t>32,522</w:t>
            </w:r>
          </w:p>
        </w:tc>
        <w:tc>
          <w:tcPr>
            <w:tcW w:w="1032" w:type="pct"/>
          </w:tcPr>
          <w:p w:rsidR="00260042" w:rsidRDefault="00260042" w:rsidP="002E64CE">
            <w:pPr>
              <w:pStyle w:val="BodyText"/>
            </w:pPr>
            <w:r>
              <w:t>33,198</w:t>
            </w:r>
          </w:p>
        </w:tc>
        <w:tc>
          <w:tcPr>
            <w:tcW w:w="1032" w:type="pct"/>
          </w:tcPr>
          <w:p w:rsidR="00260042" w:rsidRDefault="00260042" w:rsidP="002E64CE">
            <w:pPr>
              <w:pStyle w:val="BodyText"/>
            </w:pPr>
            <w:r>
              <w:t>32,640</w:t>
            </w:r>
          </w:p>
        </w:tc>
      </w:tr>
      <w:tr w:rsidR="00260042" w:rsidTr="002E64CE">
        <w:trPr>
          <w:trHeight w:val="560"/>
        </w:trPr>
        <w:tc>
          <w:tcPr>
            <w:tcW w:w="1904" w:type="pct"/>
          </w:tcPr>
          <w:p w:rsidR="00260042" w:rsidRDefault="00260042" w:rsidP="002E64CE">
            <w:pPr>
              <w:pStyle w:val="BodyText"/>
            </w:pPr>
            <w:r>
              <w:t>Home Care Package provider claims processed</w:t>
            </w:r>
          </w:p>
        </w:tc>
        <w:tc>
          <w:tcPr>
            <w:tcW w:w="1031" w:type="pct"/>
          </w:tcPr>
          <w:p w:rsidR="00260042" w:rsidRDefault="00260042" w:rsidP="002E64CE">
            <w:pPr>
              <w:pStyle w:val="BodyText"/>
            </w:pPr>
            <w:r>
              <w:t>29,344</w:t>
            </w:r>
          </w:p>
        </w:tc>
        <w:tc>
          <w:tcPr>
            <w:tcW w:w="1032" w:type="pct"/>
          </w:tcPr>
          <w:p w:rsidR="00260042" w:rsidRDefault="00260042" w:rsidP="002E64CE">
            <w:pPr>
              <w:pStyle w:val="BodyText"/>
            </w:pPr>
            <w:r>
              <w:t>27,738</w:t>
            </w:r>
          </w:p>
        </w:tc>
        <w:tc>
          <w:tcPr>
            <w:tcW w:w="1032" w:type="pct"/>
          </w:tcPr>
          <w:p w:rsidR="00260042" w:rsidRDefault="00260042" w:rsidP="002E64CE">
            <w:pPr>
              <w:pStyle w:val="BodyText"/>
            </w:pPr>
            <w:r>
              <w:t>28,428</w:t>
            </w:r>
          </w:p>
        </w:tc>
      </w:tr>
      <w:tr w:rsidR="00260042" w:rsidTr="002E64CE">
        <w:trPr>
          <w:trHeight w:val="560"/>
        </w:trPr>
        <w:tc>
          <w:tcPr>
            <w:tcW w:w="1904" w:type="pct"/>
          </w:tcPr>
          <w:p w:rsidR="00260042" w:rsidRDefault="00260042" w:rsidP="002E64CE">
            <w:pPr>
              <w:pStyle w:val="BodyText"/>
            </w:pPr>
            <w:r>
              <w:t>Transition Care provider claims processed</w:t>
            </w:r>
          </w:p>
        </w:tc>
        <w:tc>
          <w:tcPr>
            <w:tcW w:w="1031" w:type="pct"/>
          </w:tcPr>
          <w:p w:rsidR="00260042" w:rsidRDefault="00260042" w:rsidP="002E64CE">
            <w:pPr>
              <w:pStyle w:val="BodyText"/>
            </w:pPr>
            <w:r>
              <w:t>987</w:t>
            </w:r>
          </w:p>
        </w:tc>
        <w:tc>
          <w:tcPr>
            <w:tcW w:w="1032" w:type="pct"/>
          </w:tcPr>
          <w:p w:rsidR="00260042" w:rsidRDefault="00260042" w:rsidP="002E64CE">
            <w:pPr>
              <w:pStyle w:val="BodyText"/>
            </w:pPr>
            <w:r>
              <w:t>970</w:t>
            </w:r>
          </w:p>
        </w:tc>
        <w:tc>
          <w:tcPr>
            <w:tcW w:w="1032" w:type="pct"/>
          </w:tcPr>
          <w:p w:rsidR="00260042" w:rsidRDefault="00260042" w:rsidP="002E64CE">
            <w:pPr>
              <w:pStyle w:val="BodyText"/>
            </w:pPr>
            <w:r>
              <w:t>963</w:t>
            </w:r>
          </w:p>
        </w:tc>
      </w:tr>
      <w:tr w:rsidR="00260042" w:rsidTr="002E64CE">
        <w:trPr>
          <w:trHeight w:val="60"/>
        </w:trPr>
        <w:tc>
          <w:tcPr>
            <w:tcW w:w="1904" w:type="pct"/>
          </w:tcPr>
          <w:p w:rsidR="00260042" w:rsidRDefault="00260042" w:rsidP="002E64CE">
            <w:pPr>
              <w:pStyle w:val="BodyText"/>
            </w:pPr>
            <w:r>
              <w:t>Short-term Restorative Care provider claims processed</w:t>
            </w:r>
          </w:p>
        </w:tc>
        <w:tc>
          <w:tcPr>
            <w:tcW w:w="1031" w:type="pct"/>
          </w:tcPr>
          <w:p w:rsidR="00260042" w:rsidRDefault="00260042" w:rsidP="002E64CE">
            <w:pPr>
              <w:pStyle w:val="BodyText"/>
            </w:pPr>
            <w:r>
              <w:t>654</w:t>
            </w:r>
          </w:p>
        </w:tc>
        <w:tc>
          <w:tcPr>
            <w:tcW w:w="1032" w:type="pct"/>
          </w:tcPr>
          <w:p w:rsidR="00260042" w:rsidRDefault="00260042" w:rsidP="002E64CE">
            <w:pPr>
              <w:pStyle w:val="BodyText"/>
            </w:pPr>
            <w:r>
              <w:t>1,049</w:t>
            </w:r>
          </w:p>
        </w:tc>
        <w:tc>
          <w:tcPr>
            <w:tcW w:w="1032" w:type="pct"/>
          </w:tcPr>
          <w:p w:rsidR="00260042" w:rsidRDefault="00260042" w:rsidP="002E64CE">
            <w:pPr>
              <w:pStyle w:val="BodyText"/>
            </w:pPr>
            <w:r>
              <w:t>1,181</w:t>
            </w:r>
          </w:p>
        </w:tc>
      </w:tr>
      <w:tr w:rsidR="00260042" w:rsidTr="002E64CE">
        <w:trPr>
          <w:trHeight w:val="60"/>
        </w:trPr>
        <w:tc>
          <w:tcPr>
            <w:tcW w:w="1904" w:type="pct"/>
          </w:tcPr>
          <w:p w:rsidR="00260042" w:rsidRDefault="00260042" w:rsidP="002E64CE">
            <w:pPr>
              <w:pStyle w:val="BodyText"/>
            </w:pPr>
            <w:r>
              <w:rPr>
                <w:rStyle w:val="Bold"/>
              </w:rPr>
              <w:t>Total provider claims processed</w:t>
            </w:r>
          </w:p>
        </w:tc>
        <w:tc>
          <w:tcPr>
            <w:tcW w:w="1031" w:type="pct"/>
          </w:tcPr>
          <w:p w:rsidR="00260042" w:rsidRDefault="00260042" w:rsidP="002E64CE">
            <w:pPr>
              <w:pStyle w:val="BodyText"/>
            </w:pPr>
            <w:r>
              <w:rPr>
                <w:rStyle w:val="Bold"/>
              </w:rPr>
              <w:t>63,507</w:t>
            </w:r>
          </w:p>
        </w:tc>
        <w:tc>
          <w:tcPr>
            <w:tcW w:w="1032" w:type="pct"/>
          </w:tcPr>
          <w:p w:rsidR="00260042" w:rsidRDefault="00260042" w:rsidP="002E64CE">
            <w:pPr>
              <w:pStyle w:val="BodyText"/>
            </w:pPr>
            <w:r>
              <w:rPr>
                <w:rStyle w:val="Bold"/>
              </w:rPr>
              <w:t>62,955</w:t>
            </w:r>
          </w:p>
        </w:tc>
        <w:tc>
          <w:tcPr>
            <w:tcW w:w="1032" w:type="pct"/>
          </w:tcPr>
          <w:p w:rsidR="00260042" w:rsidRDefault="00260042" w:rsidP="002E64CE">
            <w:pPr>
              <w:pStyle w:val="BodyText"/>
            </w:pPr>
            <w:r>
              <w:rPr>
                <w:rStyle w:val="Bold"/>
              </w:rPr>
              <w:t>63,212</w:t>
            </w:r>
          </w:p>
        </w:tc>
      </w:tr>
      <w:tr w:rsidR="00260042" w:rsidTr="002E64CE">
        <w:trPr>
          <w:trHeight w:val="60"/>
        </w:trPr>
        <w:tc>
          <w:tcPr>
            <w:tcW w:w="1904" w:type="pct"/>
          </w:tcPr>
          <w:p w:rsidR="00260042" w:rsidRDefault="00260042" w:rsidP="002E64CE">
            <w:pPr>
              <w:pStyle w:val="BodyText"/>
            </w:pPr>
            <w:r>
              <w:rPr>
                <w:rStyle w:val="Bold"/>
              </w:rPr>
              <w:t>Total amount paid</w:t>
            </w:r>
            <w:r>
              <w:rPr>
                <w:rStyle w:val="Bold"/>
                <w:vertAlign w:val="superscript"/>
              </w:rPr>
              <w:t>(a)</w:t>
            </w:r>
          </w:p>
        </w:tc>
        <w:tc>
          <w:tcPr>
            <w:tcW w:w="1031" w:type="pct"/>
          </w:tcPr>
          <w:p w:rsidR="00260042" w:rsidRDefault="00260042" w:rsidP="002E64CE">
            <w:pPr>
              <w:pStyle w:val="BodyText"/>
            </w:pPr>
            <w:r>
              <w:rPr>
                <w:rStyle w:val="Bold"/>
              </w:rPr>
              <w:t>$15.8 billion</w:t>
            </w:r>
          </w:p>
        </w:tc>
        <w:tc>
          <w:tcPr>
            <w:tcW w:w="1032" w:type="pct"/>
          </w:tcPr>
          <w:p w:rsidR="00260042" w:rsidRDefault="00260042" w:rsidP="002E64CE">
            <w:pPr>
              <w:pStyle w:val="BodyText"/>
            </w:pPr>
            <w:r>
              <w:rPr>
                <w:rStyle w:val="Bold"/>
              </w:rPr>
              <w:t>$17.1 billion</w:t>
            </w:r>
            <w:r>
              <w:rPr>
                <w:rStyle w:val="Bold"/>
                <w:vertAlign w:val="superscript"/>
              </w:rPr>
              <w:t>(b)</w:t>
            </w:r>
          </w:p>
        </w:tc>
        <w:tc>
          <w:tcPr>
            <w:tcW w:w="1032" w:type="pct"/>
          </w:tcPr>
          <w:p w:rsidR="00260042" w:rsidRDefault="00260042" w:rsidP="002E64CE">
            <w:pPr>
              <w:pStyle w:val="BodyText"/>
            </w:pPr>
            <w:r>
              <w:rPr>
                <w:rStyle w:val="Bold"/>
              </w:rPr>
              <w:t>$18.3 billion</w:t>
            </w:r>
            <w:r>
              <w:rPr>
                <w:rStyle w:val="Bold"/>
                <w:vertAlign w:val="superscript"/>
              </w:rPr>
              <w:t>(b)</w:t>
            </w:r>
          </w:p>
        </w:tc>
      </w:tr>
      <w:tr w:rsidR="00260042" w:rsidTr="002E64CE">
        <w:trPr>
          <w:trHeight w:val="60"/>
        </w:trPr>
        <w:tc>
          <w:tcPr>
            <w:tcW w:w="5000" w:type="pct"/>
            <w:gridSpan w:val="4"/>
          </w:tcPr>
          <w:p w:rsidR="00260042" w:rsidRDefault="00260042" w:rsidP="002E64CE">
            <w:pPr>
              <w:pStyle w:val="BodyText"/>
            </w:pPr>
            <w:r>
              <w:rPr>
                <w:rStyle w:val="Bold"/>
              </w:rPr>
              <w:t>Total number of services</w:t>
            </w:r>
          </w:p>
        </w:tc>
      </w:tr>
      <w:tr w:rsidR="00260042" w:rsidTr="002E64CE">
        <w:trPr>
          <w:trHeight w:val="60"/>
        </w:trPr>
        <w:tc>
          <w:tcPr>
            <w:tcW w:w="1904" w:type="pct"/>
          </w:tcPr>
          <w:p w:rsidR="00260042" w:rsidRDefault="00260042" w:rsidP="002E64CE">
            <w:pPr>
              <w:pStyle w:val="BodyText"/>
            </w:pPr>
            <w:r>
              <w:t>Residential Care services</w:t>
            </w:r>
          </w:p>
        </w:tc>
        <w:tc>
          <w:tcPr>
            <w:tcW w:w="1031" w:type="pct"/>
          </w:tcPr>
          <w:p w:rsidR="00260042" w:rsidRDefault="00260042" w:rsidP="002E64CE">
            <w:pPr>
              <w:pStyle w:val="BodyText"/>
            </w:pPr>
            <w:r>
              <w:t>2,742</w:t>
            </w:r>
          </w:p>
        </w:tc>
        <w:tc>
          <w:tcPr>
            <w:tcW w:w="1032" w:type="pct"/>
          </w:tcPr>
          <w:p w:rsidR="00260042" w:rsidRDefault="00260042" w:rsidP="002E64CE">
            <w:pPr>
              <w:pStyle w:val="BodyText"/>
            </w:pPr>
            <w:r>
              <w:t>2,749</w:t>
            </w:r>
          </w:p>
        </w:tc>
        <w:tc>
          <w:tcPr>
            <w:tcW w:w="1032" w:type="pct"/>
          </w:tcPr>
          <w:p w:rsidR="00260042" w:rsidRDefault="00260042" w:rsidP="002E64CE">
            <w:pPr>
              <w:pStyle w:val="BodyText"/>
            </w:pPr>
            <w:r>
              <w:t>2,747</w:t>
            </w:r>
          </w:p>
        </w:tc>
      </w:tr>
      <w:tr w:rsidR="00260042" w:rsidTr="002E64CE">
        <w:trPr>
          <w:trHeight w:val="60"/>
        </w:trPr>
        <w:tc>
          <w:tcPr>
            <w:tcW w:w="1904" w:type="pct"/>
          </w:tcPr>
          <w:p w:rsidR="00260042" w:rsidRDefault="00260042" w:rsidP="002E64CE">
            <w:pPr>
              <w:pStyle w:val="BodyText"/>
            </w:pPr>
            <w:r>
              <w:t>Home Care services</w:t>
            </w:r>
          </w:p>
        </w:tc>
        <w:tc>
          <w:tcPr>
            <w:tcW w:w="1031" w:type="pct"/>
          </w:tcPr>
          <w:p w:rsidR="00260042" w:rsidRDefault="00260042" w:rsidP="002E64CE">
            <w:pPr>
              <w:pStyle w:val="BodyText"/>
            </w:pPr>
            <w:r>
              <w:t>2,882</w:t>
            </w:r>
          </w:p>
        </w:tc>
        <w:tc>
          <w:tcPr>
            <w:tcW w:w="1032" w:type="pct"/>
          </w:tcPr>
          <w:p w:rsidR="00260042" w:rsidRDefault="00260042" w:rsidP="002E64CE">
            <w:pPr>
              <w:pStyle w:val="BodyText"/>
            </w:pPr>
            <w:r>
              <w:t>2,674</w:t>
            </w:r>
          </w:p>
        </w:tc>
        <w:tc>
          <w:tcPr>
            <w:tcW w:w="1032" w:type="pct"/>
          </w:tcPr>
          <w:p w:rsidR="00260042" w:rsidRDefault="00260042" w:rsidP="002E64CE">
            <w:pPr>
              <w:pStyle w:val="BodyText"/>
            </w:pPr>
            <w:r>
              <w:t>2,237</w:t>
            </w:r>
          </w:p>
        </w:tc>
      </w:tr>
      <w:tr w:rsidR="00260042" w:rsidTr="002E64CE">
        <w:trPr>
          <w:trHeight w:val="60"/>
        </w:trPr>
        <w:tc>
          <w:tcPr>
            <w:tcW w:w="1904" w:type="pct"/>
          </w:tcPr>
          <w:p w:rsidR="00260042" w:rsidRDefault="00260042" w:rsidP="002E64CE">
            <w:pPr>
              <w:pStyle w:val="BodyText"/>
            </w:pPr>
            <w:r>
              <w:t>Transition Care services</w:t>
            </w:r>
          </w:p>
        </w:tc>
        <w:tc>
          <w:tcPr>
            <w:tcW w:w="1031" w:type="pct"/>
          </w:tcPr>
          <w:p w:rsidR="00260042" w:rsidRDefault="00260042" w:rsidP="002E64CE">
            <w:pPr>
              <w:pStyle w:val="BodyText"/>
            </w:pPr>
            <w:r>
              <w:t>81</w:t>
            </w:r>
          </w:p>
        </w:tc>
        <w:tc>
          <w:tcPr>
            <w:tcW w:w="1032" w:type="pct"/>
          </w:tcPr>
          <w:p w:rsidR="00260042" w:rsidRDefault="00260042" w:rsidP="002E64CE">
            <w:pPr>
              <w:pStyle w:val="BodyText"/>
            </w:pPr>
            <w:r>
              <w:t>106</w:t>
            </w:r>
          </w:p>
        </w:tc>
        <w:tc>
          <w:tcPr>
            <w:tcW w:w="1032" w:type="pct"/>
          </w:tcPr>
          <w:p w:rsidR="00260042" w:rsidRDefault="00260042" w:rsidP="002E64CE">
            <w:pPr>
              <w:pStyle w:val="BodyText"/>
            </w:pPr>
            <w:r>
              <w:t>77</w:t>
            </w:r>
          </w:p>
        </w:tc>
      </w:tr>
      <w:tr w:rsidR="00260042" w:rsidTr="002E64CE">
        <w:trPr>
          <w:trHeight w:val="60"/>
        </w:trPr>
        <w:tc>
          <w:tcPr>
            <w:tcW w:w="1904" w:type="pct"/>
          </w:tcPr>
          <w:p w:rsidR="00260042" w:rsidRDefault="00260042" w:rsidP="002E64CE">
            <w:pPr>
              <w:pStyle w:val="BodyText"/>
            </w:pPr>
            <w:r>
              <w:t>Short-term Restorative Care services</w:t>
            </w:r>
          </w:p>
        </w:tc>
        <w:tc>
          <w:tcPr>
            <w:tcW w:w="1031" w:type="pct"/>
          </w:tcPr>
          <w:p w:rsidR="00260042" w:rsidRDefault="00260042" w:rsidP="002E64CE">
            <w:pPr>
              <w:pStyle w:val="BodyText"/>
            </w:pPr>
            <w:r>
              <w:t>57</w:t>
            </w:r>
          </w:p>
        </w:tc>
        <w:tc>
          <w:tcPr>
            <w:tcW w:w="1032" w:type="pct"/>
          </w:tcPr>
          <w:p w:rsidR="00260042" w:rsidRDefault="00260042" w:rsidP="002E64CE">
            <w:pPr>
              <w:pStyle w:val="BodyText"/>
            </w:pPr>
            <w:r>
              <w:t>96</w:t>
            </w:r>
          </w:p>
        </w:tc>
        <w:tc>
          <w:tcPr>
            <w:tcW w:w="1032" w:type="pct"/>
          </w:tcPr>
          <w:p w:rsidR="00260042" w:rsidRDefault="00260042" w:rsidP="002E64CE">
            <w:pPr>
              <w:pStyle w:val="BodyText"/>
            </w:pPr>
            <w:r>
              <w:t>82</w:t>
            </w:r>
          </w:p>
        </w:tc>
      </w:tr>
      <w:tr w:rsidR="00260042" w:rsidTr="002E64CE">
        <w:trPr>
          <w:trHeight w:val="60"/>
        </w:trPr>
        <w:tc>
          <w:tcPr>
            <w:tcW w:w="1904" w:type="pct"/>
          </w:tcPr>
          <w:p w:rsidR="00260042" w:rsidRDefault="00260042" w:rsidP="002E64CE">
            <w:pPr>
              <w:pStyle w:val="BodyText"/>
            </w:pPr>
            <w:r>
              <w:rPr>
                <w:rStyle w:val="Bold"/>
              </w:rPr>
              <w:t>Total number of providers</w:t>
            </w:r>
          </w:p>
        </w:tc>
        <w:tc>
          <w:tcPr>
            <w:tcW w:w="1031" w:type="pct"/>
          </w:tcPr>
          <w:p w:rsidR="00260042" w:rsidRDefault="00260042" w:rsidP="002E64CE">
            <w:pPr>
              <w:pStyle w:val="BodyText"/>
            </w:pPr>
            <w:r>
              <w:rPr>
                <w:rStyle w:val="Bold"/>
              </w:rPr>
              <w:t>1,511</w:t>
            </w:r>
          </w:p>
        </w:tc>
        <w:tc>
          <w:tcPr>
            <w:tcW w:w="1032" w:type="pct"/>
          </w:tcPr>
          <w:p w:rsidR="00260042" w:rsidRDefault="00260042" w:rsidP="002E64CE">
            <w:pPr>
              <w:pStyle w:val="BodyText"/>
            </w:pPr>
            <w:r>
              <w:rPr>
                <w:rStyle w:val="Bold"/>
              </w:rPr>
              <w:t>1,516</w:t>
            </w:r>
          </w:p>
        </w:tc>
        <w:tc>
          <w:tcPr>
            <w:tcW w:w="1032" w:type="pct"/>
          </w:tcPr>
          <w:p w:rsidR="00260042" w:rsidRDefault="00260042" w:rsidP="002E64CE">
            <w:pPr>
              <w:pStyle w:val="BodyText"/>
            </w:pPr>
            <w:r>
              <w:rPr>
                <w:rStyle w:val="Bold"/>
              </w:rPr>
              <w:t>1,671</w:t>
            </w:r>
          </w:p>
        </w:tc>
      </w:tr>
    </w:tbl>
    <w:p w:rsidR="00260042" w:rsidRDefault="00260042" w:rsidP="00EA5510">
      <w:pPr>
        <w:pStyle w:val="BodyText"/>
      </w:pPr>
      <w:r>
        <w:t>(a)</w:t>
      </w:r>
      <w:r>
        <w:tab/>
        <w:t>Includes $0.9 billion in 2018–19, $0.8 billion in 2019–20 and $0.7 billion in 2020–21 paid on behalf of DVA.</w:t>
      </w:r>
    </w:p>
    <w:p w:rsidR="00260042" w:rsidRDefault="00260042" w:rsidP="00EA5510">
      <w:pPr>
        <w:pStyle w:val="BodyText"/>
      </w:pPr>
      <w:r>
        <w:t>(b)</w:t>
      </w:r>
      <w:r>
        <w:tab/>
        <w:t>Includes COVID-19 pandemic stimulus payments.</w:t>
      </w:r>
    </w:p>
    <w:p w:rsidR="00260042" w:rsidRDefault="00260042" w:rsidP="002E64CE">
      <w:pPr>
        <w:pStyle w:val="Heading3"/>
      </w:pPr>
      <w:r>
        <w:t>Improving services to the aged care sector</w:t>
      </w:r>
    </w:p>
    <w:p w:rsidR="00260042" w:rsidRDefault="00260042" w:rsidP="00260042">
      <w:pPr>
        <w:pStyle w:val="BodyText"/>
      </w:pPr>
      <w:r>
        <w:t xml:space="preserve">Services Australia is </w:t>
      </w:r>
      <w:proofErr w:type="gramStart"/>
      <w:r>
        <w:t>partnering</w:t>
      </w:r>
      <w:proofErr w:type="gramEnd"/>
      <w:r>
        <w:t xml:space="preserve"> with the Department of Health to modernise residential aged care capabilities to deliver quality care through funding that is more aligned to the needs of aged care </w:t>
      </w:r>
      <w:r>
        <w:lastRenderedPageBreak/>
        <w:t>residents. New payment system functions will have the ability to support a more flexible, responsive and quality service for older Australians to access aged care services.</w:t>
      </w:r>
    </w:p>
    <w:p w:rsidR="00260042" w:rsidRDefault="00260042" w:rsidP="00260042">
      <w:pPr>
        <w:pStyle w:val="BodyText"/>
      </w:pPr>
      <w:r>
        <w:t xml:space="preserve">The new aged care provider portal </w:t>
      </w:r>
      <w:proofErr w:type="gramStart"/>
      <w:r>
        <w:t>was successfully deployed</w:t>
      </w:r>
      <w:proofErr w:type="gramEnd"/>
      <w:r>
        <w:t xml:space="preserve"> in November 2020. This resulted in all aged care service providers moving to a single, streamlined digital claims process for home care, residential care, and transition and short-term restorative care.</w:t>
      </w:r>
    </w:p>
    <w:p w:rsidR="00260042" w:rsidRDefault="00260042" w:rsidP="00260042">
      <w:pPr>
        <w:pStyle w:val="BodyText"/>
      </w:pPr>
      <w:r>
        <w:t>Services Australia is also making changes to improve the customer experience for people accessing aged care services. Changes delivered in 2020–21 include streamlining nominee arrangements, simplifying claims for financial hardship, adding functionality to update income and assets information online, and streamlining aged care letters.</w:t>
      </w:r>
    </w:p>
    <w:p w:rsidR="00260042" w:rsidRDefault="00260042" w:rsidP="002E64CE">
      <w:pPr>
        <w:pStyle w:val="Heading3"/>
      </w:pPr>
      <w:r>
        <w:t>Health services for the Department of Veterans’ Affairs</w:t>
      </w:r>
    </w:p>
    <w:p w:rsidR="00260042" w:rsidRDefault="00260042" w:rsidP="00260042">
      <w:pPr>
        <w:pStyle w:val="BodyText"/>
      </w:pPr>
      <w:r>
        <w:t>Services Australia assesses claims and processes payments for the treatment of eligible DVA clients for medical, specialist, diagnostic imaging, pathology, allied health and dental services, and for private hospital admissions and prostheses.</w:t>
      </w:r>
    </w:p>
    <w:p w:rsidR="00260042" w:rsidRDefault="00260042" w:rsidP="00260042">
      <w:pPr>
        <w:pStyle w:val="BodyText"/>
      </w:pPr>
      <w:r>
        <w:t>The agency produces DVA’s Gold Cards, White Cards and Orange Cards for eligible veterans.</w:t>
      </w:r>
    </w:p>
    <w:p w:rsidR="00260042" w:rsidRDefault="00260042" w:rsidP="00260042">
      <w:pPr>
        <w:pStyle w:val="BodyText"/>
      </w:pPr>
      <w:r>
        <w:t xml:space="preserve">During the year, DVA providers </w:t>
      </w:r>
      <w:proofErr w:type="gramStart"/>
      <w:r>
        <w:t>were transitioned</w:t>
      </w:r>
      <w:proofErr w:type="gramEnd"/>
      <w:r>
        <w:t xml:space="preserve"> to a new, modernised and secure authentication credential for their digital transactions with Services Australia. There was continued take up of digital channels, with over 187,779 provider locations claiming in 2020–21. More than 97.16% of total services received for DVA </w:t>
      </w:r>
      <w:proofErr w:type="gramStart"/>
      <w:r>
        <w:t>were transmitted</w:t>
      </w:r>
      <w:proofErr w:type="gramEnd"/>
      <w:r>
        <w:t xml:space="preserve"> through digital channels. Manual claiming is down to less than 2.85% of total service claims received, compared to 5% in 2019–20. </w:t>
      </w:r>
    </w:p>
    <w:p w:rsidR="00260042" w:rsidRDefault="00260042" w:rsidP="00260042">
      <w:pPr>
        <w:pStyle w:val="BodyText"/>
        <w:spacing w:after="57"/>
      </w:pPr>
      <w:r>
        <w:t xml:space="preserve">In conjunction with </w:t>
      </w:r>
      <w:proofErr w:type="gramStart"/>
      <w:r>
        <w:t>DVA</w:t>
      </w:r>
      <w:proofErr w:type="gramEnd"/>
      <w:r>
        <w:t xml:space="preserve"> the agency continued to promote the benefits of electronic claiming to providers. As a result, in 2020–21:</w:t>
      </w:r>
    </w:p>
    <w:p w:rsidR="00260042" w:rsidRDefault="00260042" w:rsidP="008930A3">
      <w:pPr>
        <w:pStyle w:val="ListBullet"/>
      </w:pPr>
      <w:r>
        <w:t xml:space="preserve">electronic claiming increased to 97.16% </w:t>
      </w:r>
    </w:p>
    <w:p w:rsidR="00260042" w:rsidRDefault="00260042" w:rsidP="008930A3">
      <w:pPr>
        <w:pStyle w:val="ListBullet"/>
      </w:pPr>
      <w:r>
        <w:t>electronic claiming for allied health services increased to 94.91%</w:t>
      </w:r>
    </w:p>
    <w:p w:rsidR="00260042" w:rsidRDefault="00260042" w:rsidP="008930A3">
      <w:pPr>
        <w:pStyle w:val="ListBullet"/>
      </w:pPr>
      <w:r>
        <w:t xml:space="preserve">electronic claiming for medical services increased to 98.32% </w:t>
      </w:r>
    </w:p>
    <w:p w:rsidR="00260042" w:rsidRDefault="00260042" w:rsidP="008930A3">
      <w:pPr>
        <w:pStyle w:val="ListBullet"/>
      </w:pPr>
      <w:r>
        <w:t>electronic claiming for hospitals increased to 93.18%</w:t>
      </w:r>
    </w:p>
    <w:p w:rsidR="00260042" w:rsidRDefault="00260042" w:rsidP="00EA5510">
      <w:pPr>
        <w:pStyle w:val="ListBullet"/>
      </w:pPr>
      <w:proofErr w:type="gramStart"/>
      <w:r>
        <w:t>manual</w:t>
      </w:r>
      <w:proofErr w:type="gramEnd"/>
      <w:r>
        <w:t xml:space="preserve"> claiming for DVA decreased to 2.85%.</w:t>
      </w:r>
    </w:p>
    <w:p w:rsidR="00260042" w:rsidRPr="00EA5510" w:rsidRDefault="009B789E" w:rsidP="00EA5510">
      <w:pPr>
        <w:pStyle w:val="BodyText"/>
        <w:rPr>
          <w:b/>
        </w:rPr>
      </w:pPr>
      <w:r>
        <w:rPr>
          <w:b/>
        </w:rPr>
        <w:t>Table 1</w:t>
      </w:r>
      <w:r>
        <w:rPr>
          <w:b/>
        </w:rPr>
        <w:t>3</w:t>
      </w:r>
      <w:r w:rsidR="00260042" w:rsidRPr="00EA5510">
        <w:rPr>
          <w:b/>
        </w:rPr>
        <w:t xml:space="preserve"> Department of Veterans’ Affairs processing</w:t>
      </w:r>
    </w:p>
    <w:tbl>
      <w:tblPr>
        <w:tblStyle w:val="TableGrid"/>
        <w:tblW w:w="5000" w:type="pct"/>
        <w:tblLook w:val="0000" w:firstRow="0" w:lastRow="0" w:firstColumn="0" w:lastColumn="0" w:noHBand="0" w:noVBand="0"/>
        <w:tblCaption w:val="Department of Veterans’ Affairs processing"/>
      </w:tblPr>
      <w:tblGrid>
        <w:gridCol w:w="3687"/>
        <w:gridCol w:w="2368"/>
        <w:gridCol w:w="2368"/>
        <w:gridCol w:w="2367"/>
      </w:tblGrid>
      <w:tr w:rsidR="00260042" w:rsidTr="002E64CE">
        <w:trPr>
          <w:trHeight w:val="60"/>
          <w:tblHeader/>
        </w:trPr>
        <w:tc>
          <w:tcPr>
            <w:tcW w:w="1708" w:type="pct"/>
          </w:tcPr>
          <w:p w:rsidR="00260042" w:rsidRDefault="00260042" w:rsidP="002E64CE">
            <w:pPr>
              <w:pStyle w:val="BodyText"/>
            </w:pPr>
            <w:r>
              <w:t xml:space="preserve"> </w:t>
            </w:r>
          </w:p>
        </w:tc>
        <w:tc>
          <w:tcPr>
            <w:tcW w:w="1097" w:type="pct"/>
          </w:tcPr>
          <w:p w:rsidR="00260042" w:rsidRPr="002E64CE" w:rsidRDefault="00260042" w:rsidP="002E64CE">
            <w:pPr>
              <w:pStyle w:val="BodyText"/>
              <w:jc w:val="right"/>
              <w:rPr>
                <w:b/>
              </w:rPr>
            </w:pPr>
            <w:r w:rsidRPr="002E64CE">
              <w:rPr>
                <w:b/>
              </w:rPr>
              <w:t>2018–19</w:t>
            </w:r>
          </w:p>
        </w:tc>
        <w:tc>
          <w:tcPr>
            <w:tcW w:w="1097" w:type="pct"/>
          </w:tcPr>
          <w:p w:rsidR="00260042" w:rsidRPr="002E64CE" w:rsidRDefault="00260042" w:rsidP="002E64CE">
            <w:pPr>
              <w:pStyle w:val="BodyText"/>
              <w:jc w:val="right"/>
              <w:rPr>
                <w:b/>
              </w:rPr>
            </w:pPr>
            <w:r w:rsidRPr="002E64CE">
              <w:rPr>
                <w:b/>
              </w:rPr>
              <w:t xml:space="preserve">2019–20 </w:t>
            </w:r>
          </w:p>
        </w:tc>
        <w:tc>
          <w:tcPr>
            <w:tcW w:w="1097"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1708" w:type="pct"/>
          </w:tcPr>
          <w:p w:rsidR="00260042" w:rsidRDefault="00260042" w:rsidP="002E64CE">
            <w:pPr>
              <w:pStyle w:val="BodyText"/>
            </w:pPr>
            <w:r>
              <w:t>Cards produced</w:t>
            </w:r>
          </w:p>
        </w:tc>
        <w:tc>
          <w:tcPr>
            <w:tcW w:w="1097" w:type="pct"/>
          </w:tcPr>
          <w:p w:rsidR="00260042" w:rsidRDefault="00260042" w:rsidP="002E64CE">
            <w:pPr>
              <w:pStyle w:val="BodyText"/>
              <w:jc w:val="right"/>
            </w:pPr>
            <w:r>
              <w:t>42,752</w:t>
            </w:r>
          </w:p>
        </w:tc>
        <w:tc>
          <w:tcPr>
            <w:tcW w:w="1097" w:type="pct"/>
          </w:tcPr>
          <w:p w:rsidR="00260042" w:rsidRDefault="00260042" w:rsidP="002E64CE">
            <w:pPr>
              <w:pStyle w:val="BodyText"/>
              <w:jc w:val="right"/>
            </w:pPr>
            <w:r>
              <w:t>177,577</w:t>
            </w:r>
            <w:r>
              <w:rPr>
                <w:vertAlign w:val="superscript"/>
              </w:rPr>
              <w:t>(a)</w:t>
            </w:r>
          </w:p>
        </w:tc>
        <w:tc>
          <w:tcPr>
            <w:tcW w:w="1097" w:type="pct"/>
          </w:tcPr>
          <w:p w:rsidR="00260042" w:rsidRDefault="00260042" w:rsidP="002E64CE">
            <w:pPr>
              <w:pStyle w:val="BodyText"/>
              <w:jc w:val="right"/>
            </w:pPr>
            <w:r>
              <w:t>105,733</w:t>
            </w:r>
          </w:p>
        </w:tc>
      </w:tr>
      <w:tr w:rsidR="00260042" w:rsidTr="002E64CE">
        <w:trPr>
          <w:trHeight w:val="60"/>
        </w:trPr>
        <w:tc>
          <w:tcPr>
            <w:tcW w:w="1708" w:type="pct"/>
          </w:tcPr>
          <w:p w:rsidR="00260042" w:rsidRDefault="00260042" w:rsidP="002E64CE">
            <w:pPr>
              <w:pStyle w:val="BodyText"/>
            </w:pPr>
            <w:r>
              <w:t>Services processed</w:t>
            </w:r>
          </w:p>
        </w:tc>
        <w:tc>
          <w:tcPr>
            <w:tcW w:w="1097" w:type="pct"/>
          </w:tcPr>
          <w:p w:rsidR="00260042" w:rsidRDefault="00260042" w:rsidP="002E64CE">
            <w:pPr>
              <w:pStyle w:val="BodyText"/>
              <w:jc w:val="right"/>
            </w:pPr>
            <w:r>
              <w:t>16.8 million</w:t>
            </w:r>
          </w:p>
        </w:tc>
        <w:tc>
          <w:tcPr>
            <w:tcW w:w="1097" w:type="pct"/>
          </w:tcPr>
          <w:p w:rsidR="00260042" w:rsidRDefault="00260042" w:rsidP="002E64CE">
            <w:pPr>
              <w:pStyle w:val="BodyText"/>
              <w:jc w:val="right"/>
            </w:pPr>
            <w:r>
              <w:t>16.1 million</w:t>
            </w:r>
          </w:p>
        </w:tc>
        <w:tc>
          <w:tcPr>
            <w:tcW w:w="1097" w:type="pct"/>
          </w:tcPr>
          <w:p w:rsidR="00260042" w:rsidRDefault="00260042" w:rsidP="002E64CE">
            <w:pPr>
              <w:pStyle w:val="BodyText"/>
              <w:jc w:val="right"/>
            </w:pPr>
            <w:r>
              <w:t>16.1 million</w:t>
            </w:r>
          </w:p>
        </w:tc>
      </w:tr>
      <w:tr w:rsidR="00260042" w:rsidTr="002E64CE">
        <w:trPr>
          <w:trHeight w:val="60"/>
        </w:trPr>
        <w:tc>
          <w:tcPr>
            <w:tcW w:w="1708" w:type="pct"/>
          </w:tcPr>
          <w:p w:rsidR="00260042" w:rsidRDefault="00260042" w:rsidP="002E64CE">
            <w:pPr>
              <w:pStyle w:val="BodyText"/>
            </w:pPr>
            <w:r>
              <w:rPr>
                <w:rStyle w:val="Bold"/>
              </w:rPr>
              <w:t>Total benefits paid</w:t>
            </w:r>
          </w:p>
        </w:tc>
        <w:tc>
          <w:tcPr>
            <w:tcW w:w="1097" w:type="pct"/>
          </w:tcPr>
          <w:p w:rsidR="00260042" w:rsidRDefault="00260042" w:rsidP="002E64CE">
            <w:pPr>
              <w:pStyle w:val="BodyText"/>
              <w:jc w:val="right"/>
            </w:pPr>
            <w:r>
              <w:rPr>
                <w:rStyle w:val="Bold"/>
              </w:rPr>
              <w:t>$2.0 billion</w:t>
            </w:r>
          </w:p>
        </w:tc>
        <w:tc>
          <w:tcPr>
            <w:tcW w:w="1097" w:type="pct"/>
          </w:tcPr>
          <w:p w:rsidR="00260042" w:rsidRDefault="00260042" w:rsidP="002E64CE">
            <w:pPr>
              <w:pStyle w:val="BodyText"/>
              <w:jc w:val="right"/>
            </w:pPr>
            <w:r>
              <w:rPr>
                <w:rStyle w:val="Bold"/>
              </w:rPr>
              <w:t>$1.9 billion</w:t>
            </w:r>
          </w:p>
        </w:tc>
        <w:tc>
          <w:tcPr>
            <w:tcW w:w="1097" w:type="pct"/>
          </w:tcPr>
          <w:p w:rsidR="00260042" w:rsidRDefault="00260042" w:rsidP="002E64CE">
            <w:pPr>
              <w:pStyle w:val="BodyText"/>
              <w:jc w:val="right"/>
            </w:pPr>
            <w:r>
              <w:rPr>
                <w:rStyle w:val="Bold"/>
              </w:rPr>
              <w:t>$1.9 billion</w:t>
            </w:r>
          </w:p>
        </w:tc>
      </w:tr>
    </w:tbl>
    <w:p w:rsidR="00260042" w:rsidRDefault="00260042" w:rsidP="00EA5510">
      <w:pPr>
        <w:pStyle w:val="BodyText"/>
      </w:pPr>
      <w:r>
        <w:t>(a)</w:t>
      </w:r>
      <w:r>
        <w:tab/>
        <w:t xml:space="preserve">Services Australia is required </w:t>
      </w:r>
      <w:proofErr w:type="gramStart"/>
      <w:r>
        <w:t>to periodically undertake</w:t>
      </w:r>
      <w:proofErr w:type="gramEnd"/>
      <w:r>
        <w:t xml:space="preserve"> a bulk card re-issue at DVA’s request (approximately every 6 years). This last occurred during 2019–20.</w:t>
      </w:r>
    </w:p>
    <w:p w:rsidR="00260042" w:rsidRDefault="00260042" w:rsidP="00260042">
      <w:pPr>
        <w:pStyle w:val="BodyText"/>
        <w:rPr>
          <w:rStyle w:val="Bold"/>
        </w:rPr>
      </w:pPr>
      <w:r>
        <w:t xml:space="preserve">For information about health payments to and services for </w:t>
      </w:r>
      <w:proofErr w:type="gramStart"/>
      <w:r>
        <w:t>veterans</w:t>
      </w:r>
      <w:proofErr w:type="gramEnd"/>
      <w:r>
        <w:t xml:space="preserve"> see DVA website, including its 2020–21 annual report, at </w:t>
      </w:r>
      <w:r>
        <w:rPr>
          <w:rStyle w:val="Bold"/>
        </w:rPr>
        <w:t>dva.gov.au</w:t>
      </w:r>
    </w:p>
    <w:p w:rsidR="00260042" w:rsidRDefault="00260042" w:rsidP="002E64CE">
      <w:pPr>
        <w:pStyle w:val="Heading3"/>
      </w:pPr>
      <w:r>
        <w:lastRenderedPageBreak/>
        <w:t>Private Health Insurance Rebate</w:t>
      </w:r>
    </w:p>
    <w:p w:rsidR="00260042" w:rsidRDefault="00260042" w:rsidP="00260042">
      <w:pPr>
        <w:pStyle w:val="BodyText"/>
      </w:pPr>
      <w:r>
        <w:t>The Private Health Insurance Rebate reimburses or discounts the cost of private health insurance cover. It is available to all people who are eligible for Medicare and have a complying health insurance policy.</w:t>
      </w:r>
    </w:p>
    <w:p w:rsidR="00260042" w:rsidRDefault="00260042" w:rsidP="00260042">
      <w:pPr>
        <w:pStyle w:val="BodyText"/>
        <w:spacing w:after="57"/>
      </w:pPr>
      <w:r>
        <w:t xml:space="preserve">The rebate is income tested. It can be claimed in one of </w:t>
      </w:r>
      <w:proofErr w:type="gramStart"/>
      <w:r>
        <w:t>2</w:t>
      </w:r>
      <w:proofErr w:type="gramEnd"/>
      <w:r>
        <w:t xml:space="preserve"> ways:</w:t>
      </w:r>
    </w:p>
    <w:p w:rsidR="00260042" w:rsidRDefault="00260042" w:rsidP="008930A3">
      <w:pPr>
        <w:pStyle w:val="ListBullet"/>
      </w:pPr>
      <w:r>
        <w:t>as an upfront reduction in the cost of premiums – the Premium Reduction Scheme (administered by Services Australia)</w:t>
      </w:r>
    </w:p>
    <w:p w:rsidR="00260042" w:rsidRDefault="00260042" w:rsidP="00EA5510">
      <w:pPr>
        <w:pStyle w:val="ListBullet"/>
      </w:pPr>
      <w:proofErr w:type="gramStart"/>
      <w:r>
        <w:t>as</w:t>
      </w:r>
      <w:proofErr w:type="gramEnd"/>
      <w:r>
        <w:t xml:space="preserve"> a tax offset in annual income tax returns (administered by the ATO).</w:t>
      </w:r>
    </w:p>
    <w:p w:rsidR="00260042" w:rsidRPr="00EA5510" w:rsidRDefault="009B789E" w:rsidP="00EA5510">
      <w:pPr>
        <w:pStyle w:val="BodyText"/>
        <w:rPr>
          <w:b/>
        </w:rPr>
      </w:pPr>
      <w:r>
        <w:rPr>
          <w:b/>
        </w:rPr>
        <w:t>Table 1</w:t>
      </w:r>
      <w:r>
        <w:rPr>
          <w:b/>
        </w:rPr>
        <w:t>4</w:t>
      </w:r>
      <w:r w:rsidR="00260042" w:rsidRPr="00EA5510">
        <w:rPr>
          <w:b/>
        </w:rPr>
        <w:t xml:space="preserve"> Private Health Insurance Rebate</w:t>
      </w:r>
    </w:p>
    <w:tbl>
      <w:tblPr>
        <w:tblStyle w:val="TableGrid"/>
        <w:tblW w:w="5000" w:type="pct"/>
        <w:tblLook w:val="0000" w:firstRow="0" w:lastRow="0" w:firstColumn="0" w:lastColumn="0" w:noHBand="0" w:noVBand="0"/>
        <w:tblCaption w:val="Private Health Insurance Rebate"/>
      </w:tblPr>
      <w:tblGrid>
        <w:gridCol w:w="4357"/>
        <w:gridCol w:w="2145"/>
        <w:gridCol w:w="2145"/>
        <w:gridCol w:w="2143"/>
      </w:tblGrid>
      <w:tr w:rsidR="00260042" w:rsidTr="002E64CE">
        <w:trPr>
          <w:trHeight w:val="60"/>
          <w:tblHeader/>
        </w:trPr>
        <w:tc>
          <w:tcPr>
            <w:tcW w:w="2019" w:type="pct"/>
          </w:tcPr>
          <w:p w:rsidR="00260042" w:rsidRDefault="00260042" w:rsidP="002E64CE">
            <w:pPr>
              <w:pStyle w:val="BodyText"/>
            </w:pPr>
            <w:r>
              <w:t xml:space="preserve"> </w:t>
            </w:r>
          </w:p>
        </w:tc>
        <w:tc>
          <w:tcPr>
            <w:tcW w:w="994" w:type="pct"/>
          </w:tcPr>
          <w:p w:rsidR="00260042" w:rsidRPr="002E64CE" w:rsidRDefault="00260042" w:rsidP="002E64CE">
            <w:pPr>
              <w:pStyle w:val="BodyText"/>
              <w:jc w:val="right"/>
              <w:rPr>
                <w:b/>
              </w:rPr>
            </w:pPr>
            <w:r w:rsidRPr="002E64CE">
              <w:rPr>
                <w:b/>
              </w:rPr>
              <w:t>2018–19</w:t>
            </w:r>
          </w:p>
        </w:tc>
        <w:tc>
          <w:tcPr>
            <w:tcW w:w="994" w:type="pct"/>
          </w:tcPr>
          <w:p w:rsidR="00260042" w:rsidRPr="002E64CE" w:rsidRDefault="00260042" w:rsidP="002E64CE">
            <w:pPr>
              <w:pStyle w:val="BodyText"/>
              <w:jc w:val="right"/>
              <w:rPr>
                <w:b/>
              </w:rPr>
            </w:pPr>
            <w:r w:rsidRPr="002E64CE">
              <w:rPr>
                <w:b/>
              </w:rPr>
              <w:t xml:space="preserve">2019–20 </w:t>
            </w:r>
          </w:p>
        </w:tc>
        <w:tc>
          <w:tcPr>
            <w:tcW w:w="994"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2019" w:type="pct"/>
          </w:tcPr>
          <w:p w:rsidR="00260042" w:rsidRDefault="00260042" w:rsidP="002E64CE">
            <w:pPr>
              <w:pStyle w:val="BodyText"/>
            </w:pPr>
            <w:r>
              <w:t>Memberships registered</w:t>
            </w:r>
          </w:p>
        </w:tc>
        <w:tc>
          <w:tcPr>
            <w:tcW w:w="994" w:type="pct"/>
          </w:tcPr>
          <w:p w:rsidR="00260042" w:rsidRDefault="00260042" w:rsidP="002E64CE">
            <w:pPr>
              <w:pStyle w:val="BodyText"/>
              <w:jc w:val="right"/>
            </w:pPr>
            <w:r>
              <w:t>6.8 million</w:t>
            </w:r>
          </w:p>
        </w:tc>
        <w:tc>
          <w:tcPr>
            <w:tcW w:w="994" w:type="pct"/>
          </w:tcPr>
          <w:p w:rsidR="00260042" w:rsidRDefault="00260042" w:rsidP="002E64CE">
            <w:pPr>
              <w:pStyle w:val="BodyText"/>
              <w:jc w:val="right"/>
            </w:pPr>
            <w:r>
              <w:t>6.9 million</w:t>
            </w:r>
          </w:p>
        </w:tc>
        <w:tc>
          <w:tcPr>
            <w:tcW w:w="994" w:type="pct"/>
          </w:tcPr>
          <w:p w:rsidR="00260042" w:rsidRDefault="00260042" w:rsidP="002E64CE">
            <w:pPr>
              <w:pStyle w:val="BodyText"/>
              <w:jc w:val="right"/>
            </w:pPr>
            <w:r>
              <w:t>7.1 million</w:t>
            </w:r>
          </w:p>
        </w:tc>
      </w:tr>
      <w:tr w:rsidR="00260042" w:rsidTr="002E64CE">
        <w:trPr>
          <w:trHeight w:val="60"/>
        </w:trPr>
        <w:tc>
          <w:tcPr>
            <w:tcW w:w="2019" w:type="pct"/>
          </w:tcPr>
          <w:p w:rsidR="00260042" w:rsidRDefault="00260042" w:rsidP="002E64CE">
            <w:pPr>
              <w:pStyle w:val="BodyText"/>
            </w:pPr>
            <w:r>
              <w:t>Total paid to private health funds</w:t>
            </w:r>
          </w:p>
        </w:tc>
        <w:tc>
          <w:tcPr>
            <w:tcW w:w="994" w:type="pct"/>
          </w:tcPr>
          <w:p w:rsidR="00260042" w:rsidRDefault="00260042" w:rsidP="002E64CE">
            <w:pPr>
              <w:pStyle w:val="BodyText"/>
              <w:jc w:val="right"/>
            </w:pPr>
            <w:r>
              <w:t>$6.1 billion</w:t>
            </w:r>
          </w:p>
        </w:tc>
        <w:tc>
          <w:tcPr>
            <w:tcW w:w="994" w:type="pct"/>
          </w:tcPr>
          <w:p w:rsidR="00260042" w:rsidRDefault="00260042" w:rsidP="002E64CE">
            <w:pPr>
              <w:pStyle w:val="BodyText"/>
              <w:jc w:val="right"/>
            </w:pPr>
            <w:r>
              <w:t>$6.1 billion</w:t>
            </w:r>
          </w:p>
        </w:tc>
        <w:tc>
          <w:tcPr>
            <w:tcW w:w="994" w:type="pct"/>
          </w:tcPr>
          <w:p w:rsidR="00260042" w:rsidRDefault="00260042" w:rsidP="002E64CE">
            <w:pPr>
              <w:pStyle w:val="BodyText"/>
              <w:jc w:val="right"/>
            </w:pPr>
            <w:r>
              <w:t>$6.3 billion</w:t>
            </w:r>
          </w:p>
        </w:tc>
      </w:tr>
    </w:tbl>
    <w:p w:rsidR="00260042" w:rsidRDefault="00260042" w:rsidP="002E64CE">
      <w:pPr>
        <w:pStyle w:val="Heading3"/>
      </w:pPr>
      <w:r>
        <w:t>Health Care Homes</w:t>
      </w:r>
    </w:p>
    <w:p w:rsidR="00260042" w:rsidRDefault="00260042" w:rsidP="00260042">
      <w:pPr>
        <w:pStyle w:val="BodyText"/>
      </w:pPr>
      <w:r>
        <w:t xml:space="preserve">The Health Care Homes Program </w:t>
      </w:r>
      <w:proofErr w:type="gramStart"/>
      <w:r>
        <w:t>is designed</w:t>
      </w:r>
      <w:proofErr w:type="gramEnd"/>
      <w:r>
        <w:t xml:space="preserve"> to improve health care for patients with chronic and complex conditions by providing them with a medical practice ‘home base’ for ongoing coordination, management and support of their treatment.</w:t>
      </w:r>
    </w:p>
    <w:p w:rsidR="00260042" w:rsidRDefault="00260042" w:rsidP="00260042">
      <w:pPr>
        <w:pStyle w:val="BodyText"/>
      </w:pPr>
      <w:r>
        <w:t xml:space="preserve">There are </w:t>
      </w:r>
      <w:proofErr w:type="gramStart"/>
      <w:r>
        <w:t>3</w:t>
      </w:r>
      <w:proofErr w:type="gramEnd"/>
      <w:r>
        <w:t xml:space="preserve"> payment tiers, which are linked to the level of patient complexity and need. </w:t>
      </w:r>
      <w:proofErr w:type="gramStart"/>
      <w:r>
        <w:t>Health Care Homes</w:t>
      </w:r>
      <w:proofErr w:type="gramEnd"/>
      <w:r>
        <w:t xml:space="preserve"> practices receive a monthly bundled payment based on the tier levels of their registered patients. Payments are retrospective, allowing for regular patient review, and if necessary, adjustment of the </w:t>
      </w:r>
      <w:proofErr w:type="gramStart"/>
      <w:r>
        <w:t>patient’s</w:t>
      </w:r>
      <w:proofErr w:type="gramEnd"/>
      <w:r>
        <w:t xml:space="preserve"> Health Care Homes tier level.</w:t>
      </w:r>
    </w:p>
    <w:p w:rsidR="00260042" w:rsidRDefault="00260042" w:rsidP="00260042">
      <w:pPr>
        <w:pStyle w:val="BodyText"/>
      </w:pPr>
      <w:r>
        <w:t xml:space="preserve">In 2020–21, $11.7 million </w:t>
      </w:r>
      <w:proofErr w:type="gramStart"/>
      <w:r>
        <w:t>was paid</w:t>
      </w:r>
      <w:proofErr w:type="gramEnd"/>
      <w:r>
        <w:t xml:space="preserve"> to 118 practices. </w:t>
      </w:r>
    </w:p>
    <w:p w:rsidR="00260042" w:rsidRDefault="00260042" w:rsidP="002E64CE">
      <w:pPr>
        <w:pStyle w:val="Heading3"/>
      </w:pPr>
      <w:r>
        <w:t>External Breast Prostheses Reimbursement Program</w:t>
      </w:r>
    </w:p>
    <w:p w:rsidR="00260042" w:rsidRDefault="00260042" w:rsidP="00260042">
      <w:pPr>
        <w:pStyle w:val="BodyText"/>
      </w:pPr>
      <w:r>
        <w:t xml:space="preserve">The External Breast Prostheses Reimbursement Program reimburses up to $400 for each new or replacement external breast prosthesis for women who have had breast surgery </w:t>
      </w:r>
      <w:proofErr w:type="gramStart"/>
      <w:r>
        <w:t>as a result</w:t>
      </w:r>
      <w:proofErr w:type="gramEnd"/>
      <w:r>
        <w:t xml:space="preserve"> of breast cancer. Claimants must be eligible for Medicare and must not have claimed under the program in the previous 2 years unless there is a medical reason.</w:t>
      </w:r>
    </w:p>
    <w:p w:rsidR="00260042" w:rsidRPr="00EA5510" w:rsidRDefault="009B789E" w:rsidP="00EA5510">
      <w:pPr>
        <w:pStyle w:val="BodyText"/>
        <w:rPr>
          <w:b/>
        </w:rPr>
      </w:pPr>
      <w:r>
        <w:rPr>
          <w:b/>
        </w:rPr>
        <w:t>Table 1</w:t>
      </w:r>
      <w:r>
        <w:rPr>
          <w:b/>
        </w:rPr>
        <w:t>5</w:t>
      </w:r>
      <w:r w:rsidR="00260042" w:rsidRPr="00EA5510">
        <w:rPr>
          <w:b/>
        </w:rPr>
        <w:t xml:space="preserve"> External Breast Prostheses Reimbursements </w:t>
      </w:r>
    </w:p>
    <w:tbl>
      <w:tblPr>
        <w:tblStyle w:val="TableGrid"/>
        <w:tblW w:w="5000" w:type="pct"/>
        <w:tblLook w:val="0000" w:firstRow="0" w:lastRow="0" w:firstColumn="0" w:lastColumn="0" w:noHBand="0" w:noVBand="0"/>
        <w:tblCaption w:val=" External Breast Prostheses Reimbursements "/>
      </w:tblPr>
      <w:tblGrid>
        <w:gridCol w:w="4357"/>
        <w:gridCol w:w="2145"/>
        <w:gridCol w:w="2145"/>
        <w:gridCol w:w="2143"/>
      </w:tblGrid>
      <w:tr w:rsidR="00260042" w:rsidTr="002E64CE">
        <w:trPr>
          <w:trHeight w:val="60"/>
          <w:tblHeader/>
        </w:trPr>
        <w:tc>
          <w:tcPr>
            <w:tcW w:w="2019" w:type="pct"/>
          </w:tcPr>
          <w:p w:rsidR="00260042" w:rsidRDefault="00260042" w:rsidP="002E64CE">
            <w:pPr>
              <w:pStyle w:val="BodyText"/>
            </w:pPr>
          </w:p>
        </w:tc>
        <w:tc>
          <w:tcPr>
            <w:tcW w:w="994" w:type="pct"/>
          </w:tcPr>
          <w:p w:rsidR="00260042" w:rsidRPr="002E64CE" w:rsidRDefault="00260042" w:rsidP="002E64CE">
            <w:pPr>
              <w:pStyle w:val="BodyText"/>
              <w:jc w:val="right"/>
              <w:rPr>
                <w:b/>
              </w:rPr>
            </w:pPr>
            <w:r w:rsidRPr="002E64CE">
              <w:rPr>
                <w:b/>
              </w:rPr>
              <w:t>2018–19</w:t>
            </w:r>
          </w:p>
        </w:tc>
        <w:tc>
          <w:tcPr>
            <w:tcW w:w="994" w:type="pct"/>
          </w:tcPr>
          <w:p w:rsidR="00260042" w:rsidRPr="002E64CE" w:rsidRDefault="00260042" w:rsidP="002E64CE">
            <w:pPr>
              <w:pStyle w:val="BodyText"/>
              <w:jc w:val="right"/>
              <w:rPr>
                <w:b/>
              </w:rPr>
            </w:pPr>
            <w:r w:rsidRPr="002E64CE">
              <w:rPr>
                <w:b/>
              </w:rPr>
              <w:t>2019–20</w:t>
            </w:r>
          </w:p>
        </w:tc>
        <w:tc>
          <w:tcPr>
            <w:tcW w:w="994"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2019" w:type="pct"/>
          </w:tcPr>
          <w:p w:rsidR="00260042" w:rsidRDefault="00260042" w:rsidP="002E64CE">
            <w:pPr>
              <w:pStyle w:val="BodyText"/>
            </w:pPr>
            <w:r>
              <w:t>Number of claims processed</w:t>
            </w:r>
          </w:p>
        </w:tc>
        <w:tc>
          <w:tcPr>
            <w:tcW w:w="994" w:type="pct"/>
          </w:tcPr>
          <w:p w:rsidR="00260042" w:rsidRDefault="00260042" w:rsidP="002E64CE">
            <w:pPr>
              <w:pStyle w:val="BodyText"/>
              <w:jc w:val="right"/>
            </w:pPr>
            <w:r>
              <w:t>14,451</w:t>
            </w:r>
          </w:p>
        </w:tc>
        <w:tc>
          <w:tcPr>
            <w:tcW w:w="994" w:type="pct"/>
          </w:tcPr>
          <w:p w:rsidR="00260042" w:rsidRDefault="00260042" w:rsidP="002E64CE">
            <w:pPr>
              <w:pStyle w:val="BodyText"/>
              <w:jc w:val="right"/>
            </w:pPr>
            <w:r>
              <w:t>12,754</w:t>
            </w:r>
          </w:p>
        </w:tc>
        <w:tc>
          <w:tcPr>
            <w:tcW w:w="994" w:type="pct"/>
          </w:tcPr>
          <w:p w:rsidR="00260042" w:rsidRDefault="00260042" w:rsidP="002E64CE">
            <w:pPr>
              <w:pStyle w:val="BodyText"/>
              <w:jc w:val="right"/>
            </w:pPr>
            <w:r>
              <w:t>13,720</w:t>
            </w:r>
          </w:p>
        </w:tc>
      </w:tr>
      <w:tr w:rsidR="00260042" w:rsidTr="002E64CE">
        <w:trPr>
          <w:trHeight w:val="60"/>
        </w:trPr>
        <w:tc>
          <w:tcPr>
            <w:tcW w:w="2019" w:type="pct"/>
          </w:tcPr>
          <w:p w:rsidR="00260042" w:rsidRDefault="00260042" w:rsidP="002E64CE">
            <w:pPr>
              <w:pStyle w:val="BodyText"/>
            </w:pPr>
            <w:r>
              <w:t>Amount paid</w:t>
            </w:r>
          </w:p>
        </w:tc>
        <w:tc>
          <w:tcPr>
            <w:tcW w:w="994" w:type="pct"/>
          </w:tcPr>
          <w:p w:rsidR="00260042" w:rsidRDefault="00260042" w:rsidP="002E64CE">
            <w:pPr>
              <w:pStyle w:val="BodyText"/>
              <w:jc w:val="right"/>
            </w:pPr>
            <w:r>
              <w:t>$6.3 million</w:t>
            </w:r>
          </w:p>
        </w:tc>
        <w:tc>
          <w:tcPr>
            <w:tcW w:w="994" w:type="pct"/>
          </w:tcPr>
          <w:p w:rsidR="00260042" w:rsidRDefault="00260042" w:rsidP="002E64CE">
            <w:pPr>
              <w:pStyle w:val="BodyText"/>
              <w:jc w:val="right"/>
            </w:pPr>
            <w:r>
              <w:t>$5.4 million</w:t>
            </w:r>
          </w:p>
        </w:tc>
        <w:tc>
          <w:tcPr>
            <w:tcW w:w="994" w:type="pct"/>
          </w:tcPr>
          <w:p w:rsidR="00260042" w:rsidRDefault="00260042" w:rsidP="002E64CE">
            <w:pPr>
              <w:pStyle w:val="BodyText"/>
              <w:jc w:val="right"/>
            </w:pPr>
            <w:r>
              <w:t>$6.1 million</w:t>
            </w:r>
          </w:p>
        </w:tc>
      </w:tr>
    </w:tbl>
    <w:p w:rsidR="00260042" w:rsidRDefault="00260042" w:rsidP="002E64CE">
      <w:pPr>
        <w:pStyle w:val="Heading3"/>
      </w:pPr>
      <w:r>
        <w:lastRenderedPageBreak/>
        <w:t>Continence Aids Payment Scheme</w:t>
      </w:r>
    </w:p>
    <w:p w:rsidR="00260042" w:rsidRDefault="00260042" w:rsidP="00260042">
      <w:pPr>
        <w:pStyle w:val="BodyText"/>
      </w:pPr>
      <w:r>
        <w:t>The Continence Aids Payment Scheme gives eligible people with severe and permanent incontinence yearly or twice-yearly payments to help buy continence aids products.</w:t>
      </w:r>
    </w:p>
    <w:p w:rsidR="00260042" w:rsidRPr="00EA5510" w:rsidRDefault="009B789E" w:rsidP="00EA5510">
      <w:pPr>
        <w:pStyle w:val="BodyText"/>
        <w:rPr>
          <w:b/>
        </w:rPr>
      </w:pPr>
      <w:r>
        <w:rPr>
          <w:b/>
        </w:rPr>
        <w:t>Table 1</w:t>
      </w:r>
      <w:r>
        <w:rPr>
          <w:b/>
        </w:rPr>
        <w:t>6</w:t>
      </w:r>
      <w:r w:rsidR="00260042" w:rsidRPr="00EA5510">
        <w:rPr>
          <w:b/>
        </w:rPr>
        <w:t xml:space="preserve"> Continence Aids Payments </w:t>
      </w:r>
    </w:p>
    <w:tbl>
      <w:tblPr>
        <w:tblStyle w:val="TableGrid"/>
        <w:tblW w:w="5000" w:type="pct"/>
        <w:tblLook w:val="0000" w:firstRow="0" w:lastRow="0" w:firstColumn="0" w:lastColumn="0" w:noHBand="0" w:noVBand="0"/>
        <w:tblCaption w:val="Continence Aids Payments "/>
      </w:tblPr>
      <w:tblGrid>
        <w:gridCol w:w="4357"/>
        <w:gridCol w:w="2145"/>
        <w:gridCol w:w="2145"/>
        <w:gridCol w:w="2143"/>
      </w:tblGrid>
      <w:tr w:rsidR="00260042" w:rsidTr="002E64CE">
        <w:trPr>
          <w:trHeight w:val="60"/>
          <w:tblHeader/>
        </w:trPr>
        <w:tc>
          <w:tcPr>
            <w:tcW w:w="2019" w:type="pct"/>
          </w:tcPr>
          <w:p w:rsidR="00260042" w:rsidRDefault="00260042" w:rsidP="002E64CE">
            <w:pPr>
              <w:pStyle w:val="BodyText"/>
            </w:pPr>
          </w:p>
        </w:tc>
        <w:tc>
          <w:tcPr>
            <w:tcW w:w="994" w:type="pct"/>
          </w:tcPr>
          <w:p w:rsidR="00260042" w:rsidRPr="002E64CE" w:rsidRDefault="00260042" w:rsidP="002E64CE">
            <w:pPr>
              <w:pStyle w:val="BodyText"/>
              <w:jc w:val="right"/>
              <w:rPr>
                <w:b/>
              </w:rPr>
            </w:pPr>
            <w:r w:rsidRPr="002E64CE">
              <w:rPr>
                <w:b/>
              </w:rPr>
              <w:t>2018–19</w:t>
            </w:r>
          </w:p>
        </w:tc>
        <w:tc>
          <w:tcPr>
            <w:tcW w:w="994" w:type="pct"/>
          </w:tcPr>
          <w:p w:rsidR="00260042" w:rsidRPr="002E64CE" w:rsidRDefault="00260042" w:rsidP="002E64CE">
            <w:pPr>
              <w:pStyle w:val="BodyText"/>
              <w:jc w:val="right"/>
              <w:rPr>
                <w:b/>
              </w:rPr>
            </w:pPr>
            <w:r w:rsidRPr="002E64CE">
              <w:rPr>
                <w:b/>
              </w:rPr>
              <w:t>2019–20</w:t>
            </w:r>
          </w:p>
        </w:tc>
        <w:tc>
          <w:tcPr>
            <w:tcW w:w="994" w:type="pct"/>
          </w:tcPr>
          <w:p w:rsidR="00260042" w:rsidRPr="002E64CE" w:rsidRDefault="00260042" w:rsidP="002E64CE">
            <w:pPr>
              <w:pStyle w:val="BodyText"/>
              <w:jc w:val="right"/>
              <w:rPr>
                <w:b/>
              </w:rPr>
            </w:pPr>
            <w:r w:rsidRPr="002E64CE">
              <w:rPr>
                <w:b/>
              </w:rPr>
              <w:t>2020–21</w:t>
            </w:r>
          </w:p>
        </w:tc>
      </w:tr>
      <w:tr w:rsidR="00260042" w:rsidTr="002E64CE">
        <w:trPr>
          <w:trHeight w:val="60"/>
        </w:trPr>
        <w:tc>
          <w:tcPr>
            <w:tcW w:w="2019" w:type="pct"/>
          </w:tcPr>
          <w:p w:rsidR="00260042" w:rsidRDefault="00260042" w:rsidP="002E64CE">
            <w:pPr>
              <w:pStyle w:val="BodyText"/>
            </w:pPr>
            <w:r>
              <w:t>Number of applications processed</w:t>
            </w:r>
          </w:p>
        </w:tc>
        <w:tc>
          <w:tcPr>
            <w:tcW w:w="994" w:type="pct"/>
          </w:tcPr>
          <w:p w:rsidR="00260042" w:rsidRDefault="00260042" w:rsidP="002E64CE">
            <w:pPr>
              <w:pStyle w:val="BodyText"/>
              <w:jc w:val="right"/>
            </w:pPr>
            <w:r>
              <w:t>29,691</w:t>
            </w:r>
          </w:p>
        </w:tc>
        <w:tc>
          <w:tcPr>
            <w:tcW w:w="994" w:type="pct"/>
          </w:tcPr>
          <w:p w:rsidR="00260042" w:rsidRDefault="00260042" w:rsidP="002E64CE">
            <w:pPr>
              <w:pStyle w:val="BodyText"/>
              <w:jc w:val="right"/>
            </w:pPr>
            <w:r>
              <w:t>31,078</w:t>
            </w:r>
          </w:p>
        </w:tc>
        <w:tc>
          <w:tcPr>
            <w:tcW w:w="994" w:type="pct"/>
          </w:tcPr>
          <w:p w:rsidR="00260042" w:rsidRDefault="00260042" w:rsidP="002E64CE">
            <w:pPr>
              <w:pStyle w:val="BodyText"/>
              <w:jc w:val="right"/>
            </w:pPr>
            <w:r>
              <w:t>31,221</w:t>
            </w:r>
          </w:p>
        </w:tc>
      </w:tr>
      <w:tr w:rsidR="00260042" w:rsidTr="002E64CE">
        <w:trPr>
          <w:trHeight w:val="60"/>
        </w:trPr>
        <w:tc>
          <w:tcPr>
            <w:tcW w:w="2019" w:type="pct"/>
          </w:tcPr>
          <w:p w:rsidR="00260042" w:rsidRDefault="00260042" w:rsidP="002E64CE">
            <w:pPr>
              <w:pStyle w:val="BodyText"/>
            </w:pPr>
            <w:r>
              <w:t>Amount paid</w:t>
            </w:r>
          </w:p>
        </w:tc>
        <w:tc>
          <w:tcPr>
            <w:tcW w:w="994" w:type="pct"/>
          </w:tcPr>
          <w:p w:rsidR="00260042" w:rsidRDefault="00260042" w:rsidP="002E64CE">
            <w:pPr>
              <w:pStyle w:val="BodyText"/>
              <w:jc w:val="right"/>
            </w:pPr>
            <w:r>
              <w:t>$89.4 million</w:t>
            </w:r>
          </w:p>
        </w:tc>
        <w:tc>
          <w:tcPr>
            <w:tcW w:w="994" w:type="pct"/>
          </w:tcPr>
          <w:p w:rsidR="00260042" w:rsidRDefault="00260042" w:rsidP="002E64CE">
            <w:pPr>
              <w:pStyle w:val="BodyText"/>
              <w:jc w:val="right"/>
            </w:pPr>
            <w:r>
              <w:t>$88.0 million</w:t>
            </w:r>
          </w:p>
        </w:tc>
        <w:tc>
          <w:tcPr>
            <w:tcW w:w="994" w:type="pct"/>
          </w:tcPr>
          <w:p w:rsidR="00260042" w:rsidRDefault="00260042" w:rsidP="002E64CE">
            <w:pPr>
              <w:pStyle w:val="BodyText"/>
              <w:jc w:val="right"/>
            </w:pPr>
            <w:r>
              <w:t>$91.2 million</w:t>
            </w:r>
          </w:p>
        </w:tc>
      </w:tr>
    </w:tbl>
    <w:p w:rsidR="00260042" w:rsidRDefault="00260042" w:rsidP="00C81689">
      <w:pPr>
        <w:pStyle w:val="Heading2"/>
      </w:pPr>
      <w:r>
        <w:t>Practice Incentives Program</w:t>
      </w:r>
    </w:p>
    <w:p w:rsidR="00260042" w:rsidRDefault="00260042" w:rsidP="00260042">
      <w:pPr>
        <w:pStyle w:val="BodyText"/>
      </w:pPr>
      <w:r>
        <w:t xml:space="preserve">The Practice Incentives Program encourages general practices to continue providing quality care, enhance capacity, and improve access and health outcomes for patients. Payments made through the program </w:t>
      </w:r>
      <w:proofErr w:type="gramStart"/>
      <w:r>
        <w:t>are paid</w:t>
      </w:r>
      <w:proofErr w:type="gramEnd"/>
      <w:r>
        <w:t xml:space="preserve"> to eligible medical practices and individual providers.</w:t>
      </w:r>
    </w:p>
    <w:p w:rsidR="00260042" w:rsidRPr="00EA5510" w:rsidRDefault="009B789E" w:rsidP="00EA5510">
      <w:pPr>
        <w:pStyle w:val="BodyText"/>
        <w:rPr>
          <w:b/>
        </w:rPr>
      </w:pPr>
      <w:r>
        <w:rPr>
          <w:b/>
        </w:rPr>
        <w:t>Table 1</w:t>
      </w:r>
      <w:r>
        <w:rPr>
          <w:b/>
        </w:rPr>
        <w:t>7</w:t>
      </w:r>
      <w:r w:rsidR="00260042" w:rsidRPr="00EA5510">
        <w:rPr>
          <w:b/>
        </w:rPr>
        <w:t xml:space="preserve"> Practice Incentives Program</w:t>
      </w:r>
    </w:p>
    <w:tbl>
      <w:tblPr>
        <w:tblStyle w:val="TableGrid"/>
        <w:tblW w:w="5000" w:type="pct"/>
        <w:tblLook w:val="0000" w:firstRow="0" w:lastRow="0" w:firstColumn="0" w:lastColumn="0" w:noHBand="0" w:noVBand="0"/>
        <w:tblCaption w:val="Practice Incentives Program"/>
      </w:tblPr>
      <w:tblGrid>
        <w:gridCol w:w="4110"/>
        <w:gridCol w:w="2226"/>
        <w:gridCol w:w="2227"/>
        <w:gridCol w:w="2227"/>
      </w:tblGrid>
      <w:tr w:rsidR="00260042" w:rsidRPr="00807BAF" w:rsidTr="004F3054">
        <w:trPr>
          <w:trHeight w:val="60"/>
          <w:tblHeader/>
        </w:trPr>
        <w:tc>
          <w:tcPr>
            <w:tcW w:w="1904" w:type="pct"/>
          </w:tcPr>
          <w:p w:rsidR="00260042" w:rsidRPr="00807BAF" w:rsidRDefault="00260042" w:rsidP="00807BAF">
            <w:pPr>
              <w:pStyle w:val="BodyText"/>
            </w:pPr>
          </w:p>
        </w:tc>
        <w:tc>
          <w:tcPr>
            <w:tcW w:w="1031" w:type="pct"/>
          </w:tcPr>
          <w:p w:rsidR="00260042" w:rsidRPr="00807BAF" w:rsidRDefault="00260042" w:rsidP="004F3054">
            <w:pPr>
              <w:pStyle w:val="BodyText"/>
              <w:jc w:val="right"/>
              <w:rPr>
                <w:b/>
              </w:rPr>
            </w:pPr>
            <w:r w:rsidRPr="00807BAF">
              <w:rPr>
                <w:b/>
              </w:rPr>
              <w:t>2018–19</w:t>
            </w:r>
          </w:p>
        </w:tc>
        <w:tc>
          <w:tcPr>
            <w:tcW w:w="1032" w:type="pct"/>
          </w:tcPr>
          <w:p w:rsidR="00260042" w:rsidRPr="00807BAF" w:rsidRDefault="00260042" w:rsidP="004F3054">
            <w:pPr>
              <w:pStyle w:val="BodyText"/>
              <w:jc w:val="right"/>
              <w:rPr>
                <w:b/>
              </w:rPr>
            </w:pPr>
            <w:r w:rsidRPr="00807BAF">
              <w:rPr>
                <w:b/>
              </w:rPr>
              <w:t>2019–20</w:t>
            </w:r>
          </w:p>
        </w:tc>
        <w:tc>
          <w:tcPr>
            <w:tcW w:w="1032" w:type="pct"/>
          </w:tcPr>
          <w:p w:rsidR="00260042" w:rsidRPr="00807BAF" w:rsidRDefault="00260042" w:rsidP="004F3054">
            <w:pPr>
              <w:pStyle w:val="BodyText"/>
              <w:jc w:val="right"/>
              <w:rPr>
                <w:b/>
              </w:rPr>
            </w:pPr>
            <w:r w:rsidRPr="00807BAF">
              <w:rPr>
                <w:b/>
              </w:rPr>
              <w:t>2020–21</w:t>
            </w:r>
          </w:p>
        </w:tc>
      </w:tr>
      <w:tr w:rsidR="00260042" w:rsidRPr="00807BAF" w:rsidTr="00807BAF">
        <w:trPr>
          <w:trHeight w:val="60"/>
        </w:trPr>
        <w:tc>
          <w:tcPr>
            <w:tcW w:w="1904" w:type="pct"/>
          </w:tcPr>
          <w:p w:rsidR="00260042" w:rsidRPr="00807BAF" w:rsidRDefault="00260042" w:rsidP="00807BAF">
            <w:pPr>
              <w:pStyle w:val="BodyText"/>
            </w:pPr>
            <w:r w:rsidRPr="00807BAF">
              <w:t>Number of practices participating</w:t>
            </w:r>
          </w:p>
        </w:tc>
        <w:tc>
          <w:tcPr>
            <w:tcW w:w="1031" w:type="pct"/>
          </w:tcPr>
          <w:p w:rsidR="00260042" w:rsidRPr="00807BAF" w:rsidRDefault="00260042" w:rsidP="004F3054">
            <w:pPr>
              <w:pStyle w:val="BodyText"/>
              <w:jc w:val="right"/>
            </w:pPr>
            <w:r w:rsidRPr="00807BAF">
              <w:t>6,133</w:t>
            </w:r>
          </w:p>
        </w:tc>
        <w:tc>
          <w:tcPr>
            <w:tcW w:w="1032" w:type="pct"/>
          </w:tcPr>
          <w:p w:rsidR="00260042" w:rsidRPr="00807BAF" w:rsidRDefault="00260042" w:rsidP="004F3054">
            <w:pPr>
              <w:pStyle w:val="BodyText"/>
              <w:jc w:val="right"/>
            </w:pPr>
            <w:r w:rsidRPr="00807BAF">
              <w:t>6,206</w:t>
            </w:r>
          </w:p>
        </w:tc>
        <w:tc>
          <w:tcPr>
            <w:tcW w:w="1032" w:type="pct"/>
          </w:tcPr>
          <w:p w:rsidR="00260042" w:rsidRPr="00807BAF" w:rsidRDefault="00260042" w:rsidP="004F3054">
            <w:pPr>
              <w:pStyle w:val="BodyText"/>
              <w:jc w:val="right"/>
            </w:pPr>
            <w:r w:rsidRPr="00807BAF">
              <w:t>6,376</w:t>
            </w:r>
          </w:p>
        </w:tc>
      </w:tr>
      <w:tr w:rsidR="00260042" w:rsidRPr="00807BAF" w:rsidTr="00807BAF">
        <w:trPr>
          <w:trHeight w:val="60"/>
        </w:trPr>
        <w:tc>
          <w:tcPr>
            <w:tcW w:w="1904" w:type="pct"/>
          </w:tcPr>
          <w:p w:rsidR="00260042" w:rsidRPr="00807BAF" w:rsidRDefault="00260042" w:rsidP="00807BAF">
            <w:pPr>
              <w:pStyle w:val="BodyText"/>
            </w:pPr>
            <w:r w:rsidRPr="00807BAF">
              <w:t>Amount paid to practices</w:t>
            </w:r>
          </w:p>
        </w:tc>
        <w:tc>
          <w:tcPr>
            <w:tcW w:w="1031" w:type="pct"/>
          </w:tcPr>
          <w:p w:rsidR="00260042" w:rsidRPr="00807BAF" w:rsidRDefault="00260042" w:rsidP="004F3054">
            <w:pPr>
              <w:pStyle w:val="BodyText"/>
              <w:jc w:val="right"/>
            </w:pPr>
            <w:r w:rsidRPr="00807BAF">
              <w:t>$339.8 million</w:t>
            </w:r>
          </w:p>
        </w:tc>
        <w:tc>
          <w:tcPr>
            <w:tcW w:w="1032" w:type="pct"/>
          </w:tcPr>
          <w:p w:rsidR="00260042" w:rsidRPr="00807BAF" w:rsidRDefault="00260042" w:rsidP="004F3054">
            <w:pPr>
              <w:pStyle w:val="BodyText"/>
              <w:jc w:val="right"/>
            </w:pPr>
            <w:r w:rsidRPr="00807BAF">
              <w:t xml:space="preserve">$454.1 million </w:t>
            </w:r>
          </w:p>
        </w:tc>
        <w:tc>
          <w:tcPr>
            <w:tcW w:w="1032" w:type="pct"/>
          </w:tcPr>
          <w:p w:rsidR="00260042" w:rsidRPr="00807BAF" w:rsidRDefault="00260042" w:rsidP="004F3054">
            <w:pPr>
              <w:pStyle w:val="BodyText"/>
              <w:jc w:val="right"/>
            </w:pPr>
            <w:r w:rsidRPr="00807BAF">
              <w:t>$438.0 million</w:t>
            </w:r>
          </w:p>
        </w:tc>
      </w:tr>
    </w:tbl>
    <w:p w:rsidR="00260042" w:rsidRDefault="00260042" w:rsidP="002E64CE">
      <w:pPr>
        <w:pStyle w:val="Heading3"/>
      </w:pPr>
      <w:r>
        <w:t>Workforce Incentive Program — Practice Stream</w:t>
      </w:r>
    </w:p>
    <w:p w:rsidR="00260042" w:rsidRDefault="00260042" w:rsidP="00260042">
      <w:pPr>
        <w:pStyle w:val="BodyText"/>
      </w:pPr>
      <w:r>
        <w:t>This program targets financial incentives to support general practices to engage nurses, Aboriginal and Torres Strait Islander health workers and health practitioners, and allied health professionals in multidisciplinary and team-based primary health care across Australia.</w:t>
      </w:r>
    </w:p>
    <w:p w:rsidR="00260042" w:rsidRPr="00EA5510" w:rsidRDefault="009B789E" w:rsidP="00EA5510">
      <w:pPr>
        <w:pStyle w:val="BodyText"/>
        <w:rPr>
          <w:b/>
        </w:rPr>
      </w:pPr>
      <w:r>
        <w:rPr>
          <w:b/>
        </w:rPr>
        <w:t>Table 1</w:t>
      </w:r>
      <w:r>
        <w:rPr>
          <w:b/>
        </w:rPr>
        <w:t>8</w:t>
      </w:r>
      <w:r w:rsidR="00260042" w:rsidRPr="00EA5510">
        <w:rPr>
          <w:b/>
        </w:rPr>
        <w:t xml:space="preserve"> Workforce Incentive Program – Practice Stream </w:t>
      </w:r>
    </w:p>
    <w:tbl>
      <w:tblPr>
        <w:tblStyle w:val="TableGrid"/>
        <w:tblW w:w="5000" w:type="pct"/>
        <w:tblLook w:val="0000" w:firstRow="0" w:lastRow="0" w:firstColumn="0" w:lastColumn="0" w:noHBand="0" w:noVBand="0"/>
        <w:tblCaption w:val="Workforce Incentive Program – Practice Stream "/>
      </w:tblPr>
      <w:tblGrid>
        <w:gridCol w:w="4110"/>
        <w:gridCol w:w="2226"/>
        <w:gridCol w:w="2227"/>
        <w:gridCol w:w="2227"/>
      </w:tblGrid>
      <w:tr w:rsidR="00260042" w:rsidTr="004F3054">
        <w:trPr>
          <w:trHeight w:val="60"/>
          <w:tblHeader/>
        </w:trPr>
        <w:tc>
          <w:tcPr>
            <w:tcW w:w="1904" w:type="pct"/>
          </w:tcPr>
          <w:p w:rsidR="00260042" w:rsidRDefault="00260042" w:rsidP="004F3054">
            <w:pPr>
              <w:pStyle w:val="BodyText"/>
            </w:pPr>
          </w:p>
        </w:tc>
        <w:tc>
          <w:tcPr>
            <w:tcW w:w="1031" w:type="pct"/>
          </w:tcPr>
          <w:p w:rsidR="00260042" w:rsidRPr="004F3054" w:rsidRDefault="00260042" w:rsidP="004F3054">
            <w:pPr>
              <w:pStyle w:val="BodyText"/>
              <w:jc w:val="right"/>
              <w:rPr>
                <w:b/>
              </w:rPr>
            </w:pPr>
            <w:r w:rsidRPr="004F3054">
              <w:rPr>
                <w:b/>
              </w:rPr>
              <w:t>2018–19</w:t>
            </w:r>
          </w:p>
        </w:tc>
        <w:tc>
          <w:tcPr>
            <w:tcW w:w="1032" w:type="pct"/>
          </w:tcPr>
          <w:p w:rsidR="00260042" w:rsidRPr="004F3054" w:rsidRDefault="00260042" w:rsidP="004F3054">
            <w:pPr>
              <w:pStyle w:val="BodyText"/>
              <w:jc w:val="right"/>
              <w:rPr>
                <w:b/>
              </w:rPr>
            </w:pPr>
            <w:r w:rsidRPr="004F3054">
              <w:rPr>
                <w:b/>
              </w:rPr>
              <w:t>2019–20</w:t>
            </w:r>
          </w:p>
        </w:tc>
        <w:tc>
          <w:tcPr>
            <w:tcW w:w="1032" w:type="pct"/>
          </w:tcPr>
          <w:p w:rsidR="00260042" w:rsidRPr="004F3054" w:rsidRDefault="00260042" w:rsidP="004F3054">
            <w:pPr>
              <w:pStyle w:val="BodyText"/>
              <w:jc w:val="right"/>
              <w:rPr>
                <w:b/>
              </w:rPr>
            </w:pPr>
            <w:r w:rsidRPr="004F3054">
              <w:rPr>
                <w:b/>
              </w:rPr>
              <w:t>2020–21</w:t>
            </w:r>
          </w:p>
        </w:tc>
      </w:tr>
      <w:tr w:rsidR="00260042" w:rsidTr="004F3054">
        <w:trPr>
          <w:trHeight w:val="60"/>
        </w:trPr>
        <w:tc>
          <w:tcPr>
            <w:tcW w:w="1904" w:type="pct"/>
          </w:tcPr>
          <w:p w:rsidR="00260042" w:rsidRDefault="00260042" w:rsidP="004F3054">
            <w:pPr>
              <w:pStyle w:val="BodyText"/>
            </w:pPr>
            <w:r>
              <w:t>Number of practices participating</w:t>
            </w:r>
          </w:p>
        </w:tc>
        <w:tc>
          <w:tcPr>
            <w:tcW w:w="1031" w:type="pct"/>
          </w:tcPr>
          <w:p w:rsidR="00260042" w:rsidRDefault="00260042" w:rsidP="004F3054">
            <w:pPr>
              <w:pStyle w:val="BodyText"/>
              <w:jc w:val="right"/>
            </w:pPr>
            <w:r>
              <w:t>5,393</w:t>
            </w:r>
          </w:p>
        </w:tc>
        <w:tc>
          <w:tcPr>
            <w:tcW w:w="1032" w:type="pct"/>
          </w:tcPr>
          <w:p w:rsidR="00260042" w:rsidRDefault="00260042" w:rsidP="004F3054">
            <w:pPr>
              <w:pStyle w:val="BodyText"/>
              <w:jc w:val="right"/>
            </w:pPr>
            <w:r>
              <w:t>5,542</w:t>
            </w:r>
          </w:p>
        </w:tc>
        <w:tc>
          <w:tcPr>
            <w:tcW w:w="1032" w:type="pct"/>
          </w:tcPr>
          <w:p w:rsidR="00260042" w:rsidRDefault="00260042" w:rsidP="004F3054">
            <w:pPr>
              <w:pStyle w:val="BodyText"/>
              <w:jc w:val="right"/>
            </w:pPr>
            <w:r>
              <w:t>5,698</w:t>
            </w:r>
          </w:p>
        </w:tc>
      </w:tr>
      <w:tr w:rsidR="00260042" w:rsidTr="004F3054">
        <w:trPr>
          <w:trHeight w:val="60"/>
        </w:trPr>
        <w:tc>
          <w:tcPr>
            <w:tcW w:w="1904" w:type="pct"/>
          </w:tcPr>
          <w:p w:rsidR="00260042" w:rsidRDefault="00260042" w:rsidP="004F3054">
            <w:pPr>
              <w:pStyle w:val="BodyText"/>
            </w:pPr>
            <w:r>
              <w:t>Amount paid to practices</w:t>
            </w:r>
            <w:r>
              <w:rPr>
                <w:vertAlign w:val="superscript"/>
              </w:rPr>
              <w:t>(a)</w:t>
            </w:r>
          </w:p>
        </w:tc>
        <w:tc>
          <w:tcPr>
            <w:tcW w:w="1031" w:type="pct"/>
          </w:tcPr>
          <w:p w:rsidR="00260042" w:rsidRDefault="00260042" w:rsidP="004F3054">
            <w:pPr>
              <w:pStyle w:val="BodyText"/>
              <w:jc w:val="right"/>
            </w:pPr>
            <w:r>
              <w:t>$375.9 million</w:t>
            </w:r>
          </w:p>
        </w:tc>
        <w:tc>
          <w:tcPr>
            <w:tcW w:w="1032" w:type="pct"/>
          </w:tcPr>
          <w:p w:rsidR="00260042" w:rsidRDefault="00260042" w:rsidP="004F3054">
            <w:pPr>
              <w:pStyle w:val="BodyText"/>
              <w:jc w:val="right"/>
            </w:pPr>
            <w:r>
              <w:t>$387.6 million</w:t>
            </w:r>
          </w:p>
        </w:tc>
        <w:tc>
          <w:tcPr>
            <w:tcW w:w="1032" w:type="pct"/>
          </w:tcPr>
          <w:p w:rsidR="00260042" w:rsidRDefault="00260042" w:rsidP="004F3054">
            <w:pPr>
              <w:pStyle w:val="BodyText"/>
              <w:jc w:val="right"/>
            </w:pPr>
            <w:r>
              <w:t>$389.3 million</w:t>
            </w:r>
          </w:p>
        </w:tc>
      </w:tr>
    </w:tbl>
    <w:p w:rsidR="00260042" w:rsidRDefault="00260042" w:rsidP="00EA5510">
      <w:pPr>
        <w:pStyle w:val="BodyText"/>
      </w:pPr>
      <w:r>
        <w:t>(a)</w:t>
      </w:r>
      <w:r>
        <w:tab/>
        <w:t>Amount paid to practices includes DVA loading paid to eligible practices.</w:t>
      </w:r>
    </w:p>
    <w:p w:rsidR="00260042" w:rsidRDefault="00260042" w:rsidP="002E64CE">
      <w:pPr>
        <w:pStyle w:val="Heading3"/>
      </w:pPr>
      <w:r>
        <w:lastRenderedPageBreak/>
        <w:t>Workforce Incentive Program – Doctor Stream</w:t>
      </w:r>
    </w:p>
    <w:p w:rsidR="00260042" w:rsidRDefault="00260042" w:rsidP="00260042">
      <w:pPr>
        <w:pStyle w:val="BodyText"/>
      </w:pPr>
      <w:r>
        <w:t xml:space="preserve">The Workforce Incentive Program – Doctor Stream encourages medical practitioners to practise in rural and remote communities and to promote careers in rural medicine. </w:t>
      </w:r>
    </w:p>
    <w:p w:rsidR="00260042" w:rsidRPr="00EA5510" w:rsidRDefault="009B789E" w:rsidP="00EA5510">
      <w:pPr>
        <w:pStyle w:val="BodyText"/>
        <w:rPr>
          <w:b/>
        </w:rPr>
      </w:pPr>
      <w:r>
        <w:rPr>
          <w:b/>
        </w:rPr>
        <w:t>Table 1</w:t>
      </w:r>
      <w:r>
        <w:rPr>
          <w:b/>
        </w:rPr>
        <w:t>9</w:t>
      </w:r>
      <w:r w:rsidR="00260042" w:rsidRPr="00EA5510">
        <w:rPr>
          <w:b/>
        </w:rPr>
        <w:t xml:space="preserve"> Workforce Incentive Program – Doctor Stream </w:t>
      </w:r>
    </w:p>
    <w:tbl>
      <w:tblPr>
        <w:tblStyle w:val="TableGrid"/>
        <w:tblW w:w="5000" w:type="pct"/>
        <w:tblLook w:val="0000" w:firstRow="0" w:lastRow="0" w:firstColumn="0" w:lastColumn="0" w:noHBand="0" w:noVBand="0"/>
        <w:tblCaption w:val="Workforce Incentive Program – Doctor Stream "/>
      </w:tblPr>
      <w:tblGrid>
        <w:gridCol w:w="4110"/>
        <w:gridCol w:w="2226"/>
        <w:gridCol w:w="2227"/>
        <w:gridCol w:w="2227"/>
      </w:tblGrid>
      <w:tr w:rsidR="00260042" w:rsidTr="004F3054">
        <w:trPr>
          <w:trHeight w:val="60"/>
          <w:tblHeader/>
        </w:trPr>
        <w:tc>
          <w:tcPr>
            <w:tcW w:w="1904" w:type="pct"/>
          </w:tcPr>
          <w:p w:rsidR="00260042" w:rsidRPr="004F3054" w:rsidRDefault="00260042" w:rsidP="004F3054">
            <w:pPr>
              <w:pStyle w:val="BodyText"/>
              <w:rPr>
                <w:b/>
              </w:rPr>
            </w:pPr>
          </w:p>
        </w:tc>
        <w:tc>
          <w:tcPr>
            <w:tcW w:w="1031" w:type="pct"/>
          </w:tcPr>
          <w:p w:rsidR="00260042" w:rsidRPr="004F3054" w:rsidRDefault="00260042" w:rsidP="004F3054">
            <w:pPr>
              <w:pStyle w:val="BodyText"/>
              <w:jc w:val="right"/>
              <w:rPr>
                <w:b/>
              </w:rPr>
            </w:pPr>
            <w:r w:rsidRPr="004F3054">
              <w:rPr>
                <w:b/>
              </w:rPr>
              <w:t>2018–19</w:t>
            </w:r>
          </w:p>
        </w:tc>
        <w:tc>
          <w:tcPr>
            <w:tcW w:w="1032" w:type="pct"/>
          </w:tcPr>
          <w:p w:rsidR="00260042" w:rsidRPr="004F3054" w:rsidRDefault="00260042" w:rsidP="004F3054">
            <w:pPr>
              <w:pStyle w:val="BodyText"/>
              <w:jc w:val="right"/>
              <w:rPr>
                <w:b/>
              </w:rPr>
            </w:pPr>
            <w:r w:rsidRPr="004F3054">
              <w:rPr>
                <w:b/>
              </w:rPr>
              <w:t>2019–20</w:t>
            </w:r>
          </w:p>
        </w:tc>
        <w:tc>
          <w:tcPr>
            <w:tcW w:w="1032" w:type="pct"/>
          </w:tcPr>
          <w:p w:rsidR="00260042" w:rsidRPr="004F3054" w:rsidRDefault="00260042" w:rsidP="004F3054">
            <w:pPr>
              <w:pStyle w:val="BodyText"/>
              <w:jc w:val="right"/>
              <w:rPr>
                <w:b/>
              </w:rPr>
            </w:pPr>
            <w:r w:rsidRPr="004F3054">
              <w:rPr>
                <w:b/>
              </w:rPr>
              <w:t>2020–21</w:t>
            </w:r>
          </w:p>
        </w:tc>
      </w:tr>
      <w:tr w:rsidR="00260042" w:rsidTr="004F3054">
        <w:trPr>
          <w:trHeight w:val="60"/>
        </w:trPr>
        <w:tc>
          <w:tcPr>
            <w:tcW w:w="1904" w:type="pct"/>
          </w:tcPr>
          <w:p w:rsidR="00260042" w:rsidRDefault="00260042" w:rsidP="004F3054">
            <w:pPr>
              <w:pStyle w:val="BodyText"/>
            </w:pPr>
            <w:r>
              <w:t>Medical practitioners paid (GPs and specialists)</w:t>
            </w:r>
          </w:p>
        </w:tc>
        <w:tc>
          <w:tcPr>
            <w:tcW w:w="1031" w:type="pct"/>
          </w:tcPr>
          <w:p w:rsidR="00260042" w:rsidRDefault="00260042" w:rsidP="004F3054">
            <w:pPr>
              <w:pStyle w:val="BodyText"/>
              <w:jc w:val="right"/>
            </w:pPr>
            <w:r>
              <w:t>8,292</w:t>
            </w:r>
          </w:p>
        </w:tc>
        <w:tc>
          <w:tcPr>
            <w:tcW w:w="1032" w:type="pct"/>
          </w:tcPr>
          <w:p w:rsidR="00260042" w:rsidRDefault="00260042" w:rsidP="004F3054">
            <w:pPr>
              <w:pStyle w:val="BodyText"/>
              <w:jc w:val="right"/>
            </w:pPr>
            <w:r>
              <w:t>8,292</w:t>
            </w:r>
          </w:p>
        </w:tc>
        <w:tc>
          <w:tcPr>
            <w:tcW w:w="1032" w:type="pct"/>
          </w:tcPr>
          <w:p w:rsidR="00260042" w:rsidRDefault="00260042" w:rsidP="004F3054">
            <w:pPr>
              <w:pStyle w:val="BodyText"/>
              <w:jc w:val="right"/>
            </w:pPr>
            <w:r>
              <w:t>8,284</w:t>
            </w:r>
          </w:p>
        </w:tc>
      </w:tr>
      <w:tr w:rsidR="00260042" w:rsidTr="004F3054">
        <w:trPr>
          <w:trHeight w:val="60"/>
        </w:trPr>
        <w:tc>
          <w:tcPr>
            <w:tcW w:w="1904" w:type="pct"/>
          </w:tcPr>
          <w:p w:rsidR="00260042" w:rsidRDefault="00260042" w:rsidP="004F3054">
            <w:pPr>
              <w:pStyle w:val="BodyText"/>
            </w:pPr>
            <w:r>
              <w:t>Payments made</w:t>
            </w:r>
          </w:p>
        </w:tc>
        <w:tc>
          <w:tcPr>
            <w:tcW w:w="1031" w:type="pct"/>
          </w:tcPr>
          <w:p w:rsidR="00260042" w:rsidRDefault="00260042" w:rsidP="004F3054">
            <w:pPr>
              <w:pStyle w:val="BodyText"/>
              <w:jc w:val="right"/>
            </w:pPr>
            <w:r>
              <w:t>8,405</w:t>
            </w:r>
          </w:p>
        </w:tc>
        <w:tc>
          <w:tcPr>
            <w:tcW w:w="1032" w:type="pct"/>
          </w:tcPr>
          <w:p w:rsidR="00260042" w:rsidRDefault="00260042" w:rsidP="004F3054">
            <w:pPr>
              <w:pStyle w:val="BodyText"/>
              <w:jc w:val="right"/>
            </w:pPr>
            <w:r>
              <w:t>8,467</w:t>
            </w:r>
          </w:p>
        </w:tc>
        <w:tc>
          <w:tcPr>
            <w:tcW w:w="1032" w:type="pct"/>
          </w:tcPr>
          <w:p w:rsidR="00260042" w:rsidRDefault="00260042" w:rsidP="004F3054">
            <w:pPr>
              <w:pStyle w:val="BodyText"/>
              <w:jc w:val="right"/>
            </w:pPr>
            <w:r>
              <w:t>8,481</w:t>
            </w:r>
          </w:p>
        </w:tc>
      </w:tr>
      <w:tr w:rsidR="00260042" w:rsidTr="004F3054">
        <w:trPr>
          <w:trHeight w:val="60"/>
        </w:trPr>
        <w:tc>
          <w:tcPr>
            <w:tcW w:w="1904" w:type="pct"/>
          </w:tcPr>
          <w:p w:rsidR="00260042" w:rsidRDefault="00260042" w:rsidP="004F3054">
            <w:pPr>
              <w:pStyle w:val="BodyText"/>
            </w:pPr>
            <w:r>
              <w:t>Amount paid</w:t>
            </w:r>
          </w:p>
        </w:tc>
        <w:tc>
          <w:tcPr>
            <w:tcW w:w="1031" w:type="pct"/>
          </w:tcPr>
          <w:p w:rsidR="00260042" w:rsidRDefault="00260042" w:rsidP="004F3054">
            <w:pPr>
              <w:pStyle w:val="BodyText"/>
              <w:jc w:val="right"/>
            </w:pPr>
            <w:r>
              <w:t>$117.7 million</w:t>
            </w:r>
          </w:p>
        </w:tc>
        <w:tc>
          <w:tcPr>
            <w:tcW w:w="1032" w:type="pct"/>
          </w:tcPr>
          <w:p w:rsidR="00260042" w:rsidRDefault="00260042" w:rsidP="004F3054">
            <w:pPr>
              <w:pStyle w:val="BodyText"/>
              <w:jc w:val="right"/>
            </w:pPr>
            <w:r>
              <w:t>$116.7 million</w:t>
            </w:r>
          </w:p>
        </w:tc>
        <w:tc>
          <w:tcPr>
            <w:tcW w:w="1032" w:type="pct"/>
          </w:tcPr>
          <w:p w:rsidR="00260042" w:rsidRDefault="00260042" w:rsidP="004F3054">
            <w:pPr>
              <w:pStyle w:val="BodyText"/>
              <w:jc w:val="right"/>
            </w:pPr>
            <w:r>
              <w:t>$124.6 million</w:t>
            </w:r>
          </w:p>
        </w:tc>
      </w:tr>
    </w:tbl>
    <w:p w:rsidR="00260042" w:rsidRDefault="00260042" w:rsidP="002E64CE">
      <w:pPr>
        <w:pStyle w:val="Heading3"/>
      </w:pPr>
      <w:r>
        <w:t xml:space="preserve">Child Dental Benefits Schedule </w:t>
      </w:r>
    </w:p>
    <w:p w:rsidR="00260042" w:rsidRDefault="00260042" w:rsidP="00260042">
      <w:pPr>
        <w:pStyle w:val="BodyText"/>
      </w:pPr>
      <w:proofErr w:type="gramStart"/>
      <w:r>
        <w:t>The Child Dental Benefits Schedule provides families, teenagers and approved care organisations with financial support for basic dental services for eligible children.</w:t>
      </w:r>
      <w:proofErr w:type="gramEnd"/>
      <w:r>
        <w:t xml:space="preserve"> Dental services include examinations, X-rays, cleaning, fissure sealing, fillings, root canals and extractions.</w:t>
      </w:r>
    </w:p>
    <w:p w:rsidR="00260042" w:rsidRDefault="00260042" w:rsidP="00260042">
      <w:pPr>
        <w:pStyle w:val="BodyText"/>
      </w:pPr>
      <w:r>
        <w:t xml:space="preserve">Benefits for basic dental services are capped at $1,000 per child over </w:t>
      </w:r>
      <w:proofErr w:type="gramStart"/>
      <w:r>
        <w:t>2</w:t>
      </w:r>
      <w:proofErr w:type="gramEnd"/>
      <w:r>
        <w:t xml:space="preserve"> consecutive calendar years. In 2020–21, Services Australia processed 5.3 million services and paid $316.0 million in benefits under the Child Dental Benefits Schedule. This compares to 4.6 million services and $283.5 million in benefits paid in 2019–20. </w:t>
      </w:r>
    </w:p>
    <w:p w:rsidR="00260042" w:rsidRDefault="00260042" w:rsidP="002E64CE">
      <w:pPr>
        <w:pStyle w:val="Heading3"/>
      </w:pPr>
      <w:r>
        <w:t>Australian Immunisation Register</w:t>
      </w:r>
    </w:p>
    <w:p w:rsidR="00260042" w:rsidRDefault="00260042" w:rsidP="00260042">
      <w:pPr>
        <w:pStyle w:val="BodyText"/>
      </w:pPr>
      <w:r>
        <w:t xml:space="preserve">The AIR is a national register that records all vaccines given to people of all ages in Australia. In late-June 2021, the register started to record all COVID-19 vaccinations administered across Australia (see </w:t>
      </w:r>
      <w:proofErr w:type="gramStart"/>
      <w:r>
        <w:rPr>
          <w:rStyle w:val="Italic"/>
        </w:rPr>
        <w:t>Supporting</w:t>
      </w:r>
      <w:proofErr w:type="gramEnd"/>
      <w:r>
        <w:rPr>
          <w:rStyle w:val="Italic"/>
        </w:rPr>
        <w:t xml:space="preserve"> the COVID-19 vaccination rollout</w:t>
      </w:r>
      <w:r>
        <w:t xml:space="preserve"> on page 26).</w:t>
      </w:r>
    </w:p>
    <w:p w:rsidR="00260042" w:rsidRPr="00EA5510" w:rsidRDefault="009B789E" w:rsidP="00EA5510">
      <w:pPr>
        <w:pStyle w:val="BodyText"/>
        <w:rPr>
          <w:b/>
        </w:rPr>
      </w:pPr>
      <w:r>
        <w:rPr>
          <w:b/>
        </w:rPr>
        <w:t xml:space="preserve">Table </w:t>
      </w:r>
      <w:r>
        <w:rPr>
          <w:b/>
        </w:rPr>
        <w:t>20</w:t>
      </w:r>
      <w:r w:rsidR="00260042" w:rsidRPr="00EA5510">
        <w:rPr>
          <w:b/>
        </w:rPr>
        <w:t xml:space="preserve"> Australian Immunisation Register </w:t>
      </w:r>
    </w:p>
    <w:tbl>
      <w:tblPr>
        <w:tblStyle w:val="TableGrid"/>
        <w:tblW w:w="5000" w:type="pct"/>
        <w:tblLook w:val="0000" w:firstRow="0" w:lastRow="0" w:firstColumn="0" w:lastColumn="0" w:noHBand="0" w:noVBand="0"/>
        <w:tblCaption w:val=" Australian Immunisation Register "/>
      </w:tblPr>
      <w:tblGrid>
        <w:gridCol w:w="4357"/>
        <w:gridCol w:w="2145"/>
        <w:gridCol w:w="2145"/>
        <w:gridCol w:w="2143"/>
      </w:tblGrid>
      <w:tr w:rsidR="00260042" w:rsidTr="00C32870">
        <w:trPr>
          <w:trHeight w:val="60"/>
          <w:tblHeader/>
        </w:trPr>
        <w:tc>
          <w:tcPr>
            <w:tcW w:w="2019" w:type="pct"/>
          </w:tcPr>
          <w:p w:rsidR="00260042" w:rsidRDefault="00260042" w:rsidP="00C32870">
            <w:pPr>
              <w:pStyle w:val="BodyText"/>
            </w:pPr>
          </w:p>
        </w:tc>
        <w:tc>
          <w:tcPr>
            <w:tcW w:w="994" w:type="pct"/>
          </w:tcPr>
          <w:p w:rsidR="00260042" w:rsidRPr="00C32870" w:rsidRDefault="00260042" w:rsidP="00C32870">
            <w:pPr>
              <w:pStyle w:val="BodyText"/>
              <w:jc w:val="right"/>
              <w:rPr>
                <w:b/>
              </w:rPr>
            </w:pPr>
            <w:r w:rsidRPr="00C32870">
              <w:rPr>
                <w:b/>
              </w:rPr>
              <w:t>2018–19</w:t>
            </w:r>
          </w:p>
        </w:tc>
        <w:tc>
          <w:tcPr>
            <w:tcW w:w="994" w:type="pct"/>
          </w:tcPr>
          <w:p w:rsidR="00260042" w:rsidRPr="00C32870" w:rsidRDefault="00260042" w:rsidP="00C32870">
            <w:pPr>
              <w:pStyle w:val="BodyText"/>
              <w:jc w:val="right"/>
              <w:rPr>
                <w:b/>
              </w:rPr>
            </w:pPr>
            <w:r w:rsidRPr="00C32870">
              <w:rPr>
                <w:b/>
              </w:rPr>
              <w:t>2019–20</w:t>
            </w:r>
          </w:p>
        </w:tc>
        <w:tc>
          <w:tcPr>
            <w:tcW w:w="994" w:type="pct"/>
          </w:tcPr>
          <w:p w:rsidR="00260042" w:rsidRPr="00C32870" w:rsidRDefault="00260042" w:rsidP="00C32870">
            <w:pPr>
              <w:pStyle w:val="BodyText"/>
              <w:jc w:val="right"/>
              <w:rPr>
                <w:b/>
              </w:rPr>
            </w:pPr>
            <w:r w:rsidRPr="00C32870">
              <w:rPr>
                <w:b/>
              </w:rPr>
              <w:t>2020–21</w:t>
            </w:r>
          </w:p>
        </w:tc>
      </w:tr>
      <w:tr w:rsidR="00260042" w:rsidTr="00C32870">
        <w:trPr>
          <w:trHeight w:val="60"/>
        </w:trPr>
        <w:tc>
          <w:tcPr>
            <w:tcW w:w="2019" w:type="pct"/>
          </w:tcPr>
          <w:p w:rsidR="00260042" w:rsidRDefault="00260042" w:rsidP="00C32870">
            <w:pPr>
              <w:pStyle w:val="BodyText"/>
            </w:pPr>
            <w:r>
              <w:t>Vaccine episodes</w:t>
            </w:r>
            <w:r>
              <w:rPr>
                <w:vertAlign w:val="superscript"/>
              </w:rPr>
              <w:t>(a)</w:t>
            </w:r>
          </w:p>
        </w:tc>
        <w:tc>
          <w:tcPr>
            <w:tcW w:w="994" w:type="pct"/>
          </w:tcPr>
          <w:p w:rsidR="00260042" w:rsidRDefault="00260042" w:rsidP="00C32870">
            <w:pPr>
              <w:pStyle w:val="BodyText"/>
              <w:jc w:val="right"/>
            </w:pPr>
            <w:r>
              <w:t>26.6 million</w:t>
            </w:r>
          </w:p>
        </w:tc>
        <w:tc>
          <w:tcPr>
            <w:tcW w:w="994" w:type="pct"/>
          </w:tcPr>
          <w:p w:rsidR="00260042" w:rsidRDefault="00260042" w:rsidP="00C32870">
            <w:pPr>
              <w:pStyle w:val="BodyText"/>
              <w:jc w:val="right"/>
            </w:pPr>
            <w:r>
              <w:t>30.6 million</w:t>
            </w:r>
          </w:p>
        </w:tc>
        <w:tc>
          <w:tcPr>
            <w:tcW w:w="994" w:type="pct"/>
          </w:tcPr>
          <w:p w:rsidR="00260042" w:rsidRDefault="00260042" w:rsidP="00C32870">
            <w:pPr>
              <w:pStyle w:val="BodyText"/>
              <w:jc w:val="right"/>
            </w:pPr>
            <w:r>
              <w:t>26.0 million</w:t>
            </w:r>
          </w:p>
        </w:tc>
      </w:tr>
      <w:tr w:rsidR="00260042" w:rsidTr="00C32870">
        <w:trPr>
          <w:trHeight w:val="60"/>
        </w:trPr>
        <w:tc>
          <w:tcPr>
            <w:tcW w:w="2019" w:type="pct"/>
          </w:tcPr>
          <w:p w:rsidR="00260042" w:rsidRDefault="00260042" w:rsidP="00C32870">
            <w:pPr>
              <w:pStyle w:val="BodyText"/>
            </w:pPr>
            <w:r>
              <w:t>Amount paid to vaccination providers</w:t>
            </w:r>
            <w:r>
              <w:rPr>
                <w:vertAlign w:val="superscript"/>
              </w:rPr>
              <w:t>(b)</w:t>
            </w:r>
          </w:p>
        </w:tc>
        <w:tc>
          <w:tcPr>
            <w:tcW w:w="994" w:type="pct"/>
          </w:tcPr>
          <w:p w:rsidR="00260042" w:rsidRDefault="00260042" w:rsidP="00C32870">
            <w:pPr>
              <w:pStyle w:val="BodyText"/>
              <w:jc w:val="right"/>
            </w:pPr>
            <w:r>
              <w:t>$9.5 million</w:t>
            </w:r>
          </w:p>
        </w:tc>
        <w:tc>
          <w:tcPr>
            <w:tcW w:w="994" w:type="pct"/>
          </w:tcPr>
          <w:p w:rsidR="00260042" w:rsidRDefault="00260042" w:rsidP="00C32870">
            <w:pPr>
              <w:pStyle w:val="BodyText"/>
              <w:jc w:val="right"/>
            </w:pPr>
            <w:r>
              <w:t>$9.3 million</w:t>
            </w:r>
          </w:p>
        </w:tc>
        <w:tc>
          <w:tcPr>
            <w:tcW w:w="994" w:type="pct"/>
          </w:tcPr>
          <w:p w:rsidR="00260042" w:rsidRDefault="00260042" w:rsidP="00C32870">
            <w:pPr>
              <w:pStyle w:val="BodyText"/>
              <w:jc w:val="right"/>
            </w:pPr>
            <w:r>
              <w:t>$8.9 million</w:t>
            </w:r>
          </w:p>
        </w:tc>
      </w:tr>
    </w:tbl>
    <w:p w:rsidR="00260042" w:rsidRDefault="00260042" w:rsidP="00EA5510">
      <w:pPr>
        <w:pStyle w:val="BodyText"/>
      </w:pPr>
      <w:r>
        <w:t>(a)</w:t>
      </w:r>
      <w:r>
        <w:tab/>
        <w:t xml:space="preserve">Vaccine episodes: the number of vaccines administered by vaccination providers and recorded on the AIR. A vaccine can consist of multiple antigens. For example, the measles, mumps, rubella vaccine has </w:t>
      </w:r>
      <w:proofErr w:type="gramStart"/>
      <w:r>
        <w:t>3</w:t>
      </w:r>
      <w:proofErr w:type="gramEnd"/>
      <w:r>
        <w:t xml:space="preserve"> antigens.</w:t>
      </w:r>
    </w:p>
    <w:p w:rsidR="00260042" w:rsidRDefault="00260042" w:rsidP="00EA5510">
      <w:pPr>
        <w:pStyle w:val="BodyText"/>
      </w:pPr>
      <w:r>
        <w:t>(b)</w:t>
      </w:r>
      <w:r>
        <w:tab/>
        <w:t xml:space="preserve">Payments are made to eligible vaccination providers on completion of the childhood National Immunisation Program schedule for a child aged under 7 years, or for vaccinating a child </w:t>
      </w:r>
      <w:r>
        <w:lastRenderedPageBreak/>
        <w:t>aged under 7 years who is more than 2 months overdue for their childhood National Immunisation Program scheduled vaccines.</w:t>
      </w:r>
    </w:p>
    <w:p w:rsidR="00260042" w:rsidRDefault="00260042" w:rsidP="002E64CE">
      <w:pPr>
        <w:pStyle w:val="Heading3"/>
      </w:pPr>
      <w:r>
        <w:t>Australian Organ Donor Register</w:t>
      </w:r>
    </w:p>
    <w:p w:rsidR="00260042" w:rsidRDefault="00260042" w:rsidP="00260042">
      <w:pPr>
        <w:pStyle w:val="BodyText"/>
      </w:pPr>
      <w:r>
        <w:t>The national Australian Organ Donor Register records people’s decisions about becoming organ and/or tissue donors for transplantation after death.</w:t>
      </w:r>
    </w:p>
    <w:p w:rsidR="00260042" w:rsidRDefault="00260042" w:rsidP="00260042">
      <w:pPr>
        <w:pStyle w:val="BodyText"/>
      </w:pPr>
      <w:r>
        <w:t xml:space="preserve">The register enables authorised medical personnel to verify a person’s decision about donating their organs and/or tissue for transplantation. People can register their donation decision online using their Medicare online account through </w:t>
      </w:r>
      <w:proofErr w:type="spellStart"/>
      <w:r>
        <w:t>myGov</w:t>
      </w:r>
      <w:proofErr w:type="spellEnd"/>
      <w:r>
        <w:t xml:space="preserve"> or the Express </w:t>
      </w:r>
      <w:proofErr w:type="gramStart"/>
      <w:r>
        <w:t>Plus</w:t>
      </w:r>
      <w:proofErr w:type="gramEnd"/>
      <w:r>
        <w:t xml:space="preserve"> Medicare mobile app.</w:t>
      </w:r>
    </w:p>
    <w:p w:rsidR="00260042" w:rsidRDefault="00260042" w:rsidP="00260042">
      <w:pPr>
        <w:pStyle w:val="BodyText"/>
        <w:spacing w:after="57"/>
      </w:pPr>
      <w:r>
        <w:t xml:space="preserve">There are </w:t>
      </w:r>
      <w:proofErr w:type="gramStart"/>
      <w:r>
        <w:t>2</w:t>
      </w:r>
      <w:proofErr w:type="gramEnd"/>
      <w:r>
        <w:t xml:space="preserve"> types of organ donor registrations:</w:t>
      </w:r>
    </w:p>
    <w:p w:rsidR="00260042" w:rsidRDefault="00260042" w:rsidP="008930A3">
      <w:pPr>
        <w:pStyle w:val="ListBullet"/>
      </w:pPr>
      <w:r>
        <w:t xml:space="preserve">consent registration – when a person aged 18 years or older provides a signed registration form or submits a registration using their Medicare online account through </w:t>
      </w:r>
      <w:proofErr w:type="spellStart"/>
      <w:r>
        <w:t>myGov</w:t>
      </w:r>
      <w:proofErr w:type="spellEnd"/>
      <w:r>
        <w:t xml:space="preserve"> or the Express Plus Medicare mobile app</w:t>
      </w:r>
    </w:p>
    <w:p w:rsidR="00260042" w:rsidRDefault="00260042" w:rsidP="00EA5510">
      <w:pPr>
        <w:pStyle w:val="ListBullet"/>
      </w:pPr>
      <w:proofErr w:type="gramStart"/>
      <w:r>
        <w:t>intent</w:t>
      </w:r>
      <w:proofErr w:type="gramEnd"/>
      <w:r>
        <w:t xml:space="preserve"> registration – when a person registers their decision to donate through a channel that does not require a signature or electronic authentication – for example, by phone or email.</w:t>
      </w:r>
    </w:p>
    <w:p w:rsidR="00260042" w:rsidRDefault="00260042" w:rsidP="00260042">
      <w:pPr>
        <w:pStyle w:val="BodyText"/>
      </w:pPr>
      <w:r>
        <w:t xml:space="preserve">Whether registration is by consent or intent, approval </w:t>
      </w:r>
      <w:proofErr w:type="gramStart"/>
      <w:r>
        <w:t>will always be sought</w:t>
      </w:r>
      <w:proofErr w:type="gramEnd"/>
      <w:r>
        <w:t xml:space="preserve"> from the person’s family before proceeding with the donation process.</w:t>
      </w:r>
    </w:p>
    <w:p w:rsidR="00260042" w:rsidRDefault="00260042" w:rsidP="00260042">
      <w:pPr>
        <w:pStyle w:val="BodyText"/>
      </w:pPr>
      <w:r>
        <w:t>Table 21 shows the cumulative totals of the numbers of registrations since the inception of the register.</w:t>
      </w:r>
    </w:p>
    <w:p w:rsidR="00260042" w:rsidRPr="00EA5510" w:rsidRDefault="009B789E" w:rsidP="00EA5510">
      <w:pPr>
        <w:pStyle w:val="BodyText"/>
        <w:rPr>
          <w:b/>
        </w:rPr>
      </w:pPr>
      <w:r>
        <w:rPr>
          <w:b/>
        </w:rPr>
        <w:t>Table 2</w:t>
      </w:r>
      <w:r>
        <w:rPr>
          <w:b/>
        </w:rPr>
        <w:t>1</w:t>
      </w:r>
      <w:r w:rsidR="00260042" w:rsidRPr="00EA5510">
        <w:rPr>
          <w:b/>
        </w:rPr>
        <w:t xml:space="preserve"> Organ donor registrations </w:t>
      </w:r>
    </w:p>
    <w:tbl>
      <w:tblPr>
        <w:tblStyle w:val="TableGrid"/>
        <w:tblW w:w="5000" w:type="pct"/>
        <w:tblLook w:val="0000" w:firstRow="0" w:lastRow="0" w:firstColumn="0" w:lastColumn="0" w:noHBand="0" w:noVBand="0"/>
        <w:tblCaption w:val=" Organ donor registrations "/>
      </w:tblPr>
      <w:tblGrid>
        <w:gridCol w:w="4357"/>
        <w:gridCol w:w="2145"/>
        <w:gridCol w:w="2145"/>
        <w:gridCol w:w="2143"/>
      </w:tblGrid>
      <w:tr w:rsidR="00260042" w:rsidTr="00CC078E">
        <w:trPr>
          <w:trHeight w:val="60"/>
          <w:tblHeader/>
        </w:trPr>
        <w:tc>
          <w:tcPr>
            <w:tcW w:w="2019" w:type="pct"/>
          </w:tcPr>
          <w:p w:rsidR="00260042" w:rsidRDefault="00260042" w:rsidP="00CC078E">
            <w:pPr>
              <w:pStyle w:val="BodyText"/>
            </w:pPr>
          </w:p>
        </w:tc>
        <w:tc>
          <w:tcPr>
            <w:tcW w:w="994" w:type="pct"/>
          </w:tcPr>
          <w:p w:rsidR="00260042" w:rsidRPr="00CC078E" w:rsidRDefault="00260042" w:rsidP="00CC078E">
            <w:pPr>
              <w:pStyle w:val="BodyText"/>
              <w:jc w:val="right"/>
              <w:rPr>
                <w:b/>
              </w:rPr>
            </w:pPr>
            <w:r w:rsidRPr="00CC078E">
              <w:rPr>
                <w:b/>
              </w:rPr>
              <w:t>2018–19</w:t>
            </w:r>
          </w:p>
        </w:tc>
        <w:tc>
          <w:tcPr>
            <w:tcW w:w="994" w:type="pct"/>
          </w:tcPr>
          <w:p w:rsidR="00260042" w:rsidRPr="00CC078E" w:rsidRDefault="00260042" w:rsidP="00CC078E">
            <w:pPr>
              <w:pStyle w:val="BodyText"/>
              <w:jc w:val="right"/>
              <w:rPr>
                <w:b/>
              </w:rPr>
            </w:pPr>
            <w:r w:rsidRPr="00CC078E">
              <w:rPr>
                <w:b/>
              </w:rPr>
              <w:t>2019–20</w:t>
            </w:r>
          </w:p>
        </w:tc>
        <w:tc>
          <w:tcPr>
            <w:tcW w:w="994" w:type="pct"/>
          </w:tcPr>
          <w:p w:rsidR="00260042" w:rsidRPr="00CC078E" w:rsidRDefault="00260042" w:rsidP="00CC078E">
            <w:pPr>
              <w:pStyle w:val="BodyText"/>
              <w:jc w:val="right"/>
              <w:rPr>
                <w:b/>
              </w:rPr>
            </w:pPr>
            <w:r w:rsidRPr="00CC078E">
              <w:rPr>
                <w:b/>
              </w:rPr>
              <w:t>2020–21</w:t>
            </w:r>
          </w:p>
        </w:tc>
      </w:tr>
      <w:tr w:rsidR="00260042" w:rsidTr="00CC078E">
        <w:trPr>
          <w:trHeight w:val="60"/>
        </w:trPr>
        <w:tc>
          <w:tcPr>
            <w:tcW w:w="2019" w:type="pct"/>
          </w:tcPr>
          <w:p w:rsidR="00260042" w:rsidRDefault="00260042" w:rsidP="00CC078E">
            <w:pPr>
              <w:pStyle w:val="BodyText"/>
            </w:pPr>
            <w:r>
              <w:t>Consent registrations</w:t>
            </w:r>
            <w:r>
              <w:rPr>
                <w:vertAlign w:val="superscript"/>
              </w:rPr>
              <w:t>(a)</w:t>
            </w:r>
          </w:p>
        </w:tc>
        <w:tc>
          <w:tcPr>
            <w:tcW w:w="994" w:type="pct"/>
          </w:tcPr>
          <w:p w:rsidR="00260042" w:rsidRDefault="00260042" w:rsidP="00CC078E">
            <w:pPr>
              <w:pStyle w:val="BodyText"/>
              <w:jc w:val="right"/>
            </w:pPr>
            <w:r>
              <w:t>2,471,683</w:t>
            </w:r>
          </w:p>
        </w:tc>
        <w:tc>
          <w:tcPr>
            <w:tcW w:w="994" w:type="pct"/>
          </w:tcPr>
          <w:p w:rsidR="00260042" w:rsidRDefault="00260042" w:rsidP="00CC078E">
            <w:pPr>
              <w:pStyle w:val="BodyText"/>
              <w:jc w:val="right"/>
            </w:pPr>
            <w:r>
              <w:t>2,632,151</w:t>
            </w:r>
          </w:p>
        </w:tc>
        <w:tc>
          <w:tcPr>
            <w:tcW w:w="994" w:type="pct"/>
          </w:tcPr>
          <w:p w:rsidR="00260042" w:rsidRDefault="00260042" w:rsidP="00CC078E">
            <w:pPr>
              <w:pStyle w:val="BodyText"/>
              <w:jc w:val="right"/>
            </w:pPr>
            <w:r>
              <w:t>2,788,915</w:t>
            </w:r>
          </w:p>
        </w:tc>
      </w:tr>
      <w:tr w:rsidR="00260042" w:rsidTr="00CC078E">
        <w:trPr>
          <w:trHeight w:val="60"/>
        </w:trPr>
        <w:tc>
          <w:tcPr>
            <w:tcW w:w="2019" w:type="pct"/>
          </w:tcPr>
          <w:p w:rsidR="00260042" w:rsidRDefault="00260042" w:rsidP="00CC078E">
            <w:pPr>
              <w:pStyle w:val="BodyText"/>
            </w:pPr>
            <w:r>
              <w:t>Intent registrations</w:t>
            </w:r>
            <w:r>
              <w:rPr>
                <w:vertAlign w:val="superscript"/>
              </w:rPr>
              <w:t>(b)</w:t>
            </w:r>
            <w:r>
              <w:t xml:space="preserve"> at 30 June</w:t>
            </w:r>
          </w:p>
        </w:tc>
        <w:tc>
          <w:tcPr>
            <w:tcW w:w="994" w:type="pct"/>
          </w:tcPr>
          <w:p w:rsidR="00260042" w:rsidRDefault="00260042" w:rsidP="00CC078E">
            <w:pPr>
              <w:pStyle w:val="BodyText"/>
              <w:jc w:val="right"/>
            </w:pPr>
            <w:r>
              <w:t>4,294,301</w:t>
            </w:r>
          </w:p>
        </w:tc>
        <w:tc>
          <w:tcPr>
            <w:tcW w:w="994" w:type="pct"/>
          </w:tcPr>
          <w:p w:rsidR="00260042" w:rsidRDefault="00260042" w:rsidP="00CC078E">
            <w:pPr>
              <w:pStyle w:val="BodyText"/>
              <w:jc w:val="right"/>
            </w:pPr>
            <w:r>
              <w:t>4,321,011</w:t>
            </w:r>
          </w:p>
        </w:tc>
        <w:tc>
          <w:tcPr>
            <w:tcW w:w="994" w:type="pct"/>
          </w:tcPr>
          <w:p w:rsidR="00260042" w:rsidRDefault="00260042" w:rsidP="00CC078E">
            <w:pPr>
              <w:pStyle w:val="BodyText"/>
              <w:jc w:val="right"/>
            </w:pPr>
            <w:r>
              <w:t>4,338,052</w:t>
            </w:r>
          </w:p>
        </w:tc>
      </w:tr>
      <w:tr w:rsidR="00260042" w:rsidTr="00CC078E">
        <w:trPr>
          <w:trHeight w:val="60"/>
        </w:trPr>
        <w:tc>
          <w:tcPr>
            <w:tcW w:w="2019" w:type="pct"/>
          </w:tcPr>
          <w:p w:rsidR="00260042" w:rsidRDefault="00260042" w:rsidP="00CC078E">
            <w:pPr>
              <w:pStyle w:val="BodyText"/>
            </w:pPr>
            <w:r>
              <w:rPr>
                <w:rStyle w:val="Bold"/>
              </w:rPr>
              <w:t>Total registrations</w:t>
            </w:r>
          </w:p>
        </w:tc>
        <w:tc>
          <w:tcPr>
            <w:tcW w:w="994" w:type="pct"/>
          </w:tcPr>
          <w:p w:rsidR="00260042" w:rsidRDefault="00260042" w:rsidP="00CC078E">
            <w:pPr>
              <w:pStyle w:val="BodyText"/>
              <w:jc w:val="right"/>
            </w:pPr>
            <w:r>
              <w:rPr>
                <w:rStyle w:val="Bold"/>
              </w:rPr>
              <w:t>6,765,984</w:t>
            </w:r>
          </w:p>
        </w:tc>
        <w:tc>
          <w:tcPr>
            <w:tcW w:w="994" w:type="pct"/>
          </w:tcPr>
          <w:p w:rsidR="00260042" w:rsidRDefault="00260042" w:rsidP="00CC078E">
            <w:pPr>
              <w:pStyle w:val="BodyText"/>
              <w:jc w:val="right"/>
            </w:pPr>
            <w:r>
              <w:rPr>
                <w:rStyle w:val="Bold"/>
              </w:rPr>
              <w:t>6,953,162</w:t>
            </w:r>
          </w:p>
        </w:tc>
        <w:tc>
          <w:tcPr>
            <w:tcW w:w="994" w:type="pct"/>
          </w:tcPr>
          <w:p w:rsidR="00260042" w:rsidRDefault="00260042" w:rsidP="00CC078E">
            <w:pPr>
              <w:pStyle w:val="BodyText"/>
              <w:jc w:val="right"/>
            </w:pPr>
            <w:r>
              <w:rPr>
                <w:rStyle w:val="Bold"/>
              </w:rPr>
              <w:t>7,126,967</w:t>
            </w:r>
          </w:p>
        </w:tc>
      </w:tr>
      <w:tr w:rsidR="00260042" w:rsidTr="00CC078E">
        <w:trPr>
          <w:trHeight w:val="60"/>
        </w:trPr>
        <w:tc>
          <w:tcPr>
            <w:tcW w:w="2019" w:type="pct"/>
          </w:tcPr>
          <w:p w:rsidR="00260042" w:rsidRDefault="00260042" w:rsidP="00CC078E">
            <w:pPr>
              <w:pStyle w:val="BodyText"/>
            </w:pPr>
            <w:r>
              <w:t xml:space="preserve">Enquiry line calls received </w:t>
            </w:r>
          </w:p>
        </w:tc>
        <w:tc>
          <w:tcPr>
            <w:tcW w:w="994" w:type="pct"/>
          </w:tcPr>
          <w:p w:rsidR="00260042" w:rsidRDefault="00260042" w:rsidP="00CC078E">
            <w:pPr>
              <w:pStyle w:val="BodyText"/>
              <w:jc w:val="right"/>
            </w:pPr>
            <w:r>
              <w:t>14,750</w:t>
            </w:r>
          </w:p>
        </w:tc>
        <w:tc>
          <w:tcPr>
            <w:tcW w:w="994" w:type="pct"/>
          </w:tcPr>
          <w:p w:rsidR="00260042" w:rsidRDefault="00260042" w:rsidP="00CC078E">
            <w:pPr>
              <w:pStyle w:val="BodyText"/>
              <w:jc w:val="right"/>
            </w:pPr>
            <w:r>
              <w:t>12,216</w:t>
            </w:r>
          </w:p>
        </w:tc>
        <w:tc>
          <w:tcPr>
            <w:tcW w:w="994" w:type="pct"/>
          </w:tcPr>
          <w:p w:rsidR="00260042" w:rsidRDefault="00260042" w:rsidP="00CC078E">
            <w:pPr>
              <w:pStyle w:val="BodyText"/>
              <w:jc w:val="right"/>
            </w:pPr>
            <w:r>
              <w:t>10,130</w:t>
            </w:r>
          </w:p>
        </w:tc>
      </w:tr>
    </w:tbl>
    <w:p w:rsidR="00260042" w:rsidRDefault="00260042" w:rsidP="00EA5510">
      <w:pPr>
        <w:pStyle w:val="BodyText"/>
      </w:pPr>
      <w:r>
        <w:t>(a)</w:t>
      </w:r>
      <w:r>
        <w:tab/>
        <w:t xml:space="preserve">Consent via a signed registration form using </w:t>
      </w:r>
      <w:proofErr w:type="spellStart"/>
      <w:r>
        <w:t>myGov</w:t>
      </w:r>
      <w:proofErr w:type="spellEnd"/>
      <w:r>
        <w:t xml:space="preserve"> or the Express </w:t>
      </w:r>
      <w:proofErr w:type="gramStart"/>
      <w:r>
        <w:t>Plus</w:t>
      </w:r>
      <w:proofErr w:type="gramEnd"/>
      <w:r>
        <w:t xml:space="preserve"> Medicare mobile app.</w:t>
      </w:r>
    </w:p>
    <w:p w:rsidR="00260042" w:rsidRDefault="00260042" w:rsidP="00EA5510">
      <w:pPr>
        <w:pStyle w:val="BodyText"/>
      </w:pPr>
      <w:r>
        <w:t>(b)</w:t>
      </w:r>
      <w:r>
        <w:tab/>
        <w:t>Consent that does not require a signature or electronic authentication via phone or email.</w:t>
      </w:r>
    </w:p>
    <w:p w:rsidR="00260042" w:rsidRDefault="00260042" w:rsidP="002E64CE">
      <w:pPr>
        <w:pStyle w:val="Heading3"/>
      </w:pPr>
      <w:r>
        <w:t>Australian Thalidomide Survivors Support Program</w:t>
      </w:r>
    </w:p>
    <w:p w:rsidR="00260042" w:rsidRDefault="00260042" w:rsidP="00260042">
      <w:pPr>
        <w:pStyle w:val="BodyText"/>
      </w:pPr>
      <w:r>
        <w:t xml:space="preserve">The 2020–21 Budget included a lifetime support package for all recognised Australian thalidomide survivors, the Australian Thalidomide Survivors Support Program (ATSSP). The ATSSP went live on 29 March 2021. </w:t>
      </w:r>
    </w:p>
    <w:p w:rsidR="00260042" w:rsidRDefault="00260042" w:rsidP="00260042">
      <w:pPr>
        <w:pStyle w:val="BodyText"/>
        <w:spacing w:after="57"/>
      </w:pPr>
      <w:r>
        <w:lastRenderedPageBreak/>
        <w:t xml:space="preserve">The Department of Health has overall responsibility for ATSSP policy, communication and the lump sum and annual payments. Services Australia administers </w:t>
      </w:r>
      <w:proofErr w:type="gramStart"/>
      <w:r>
        <w:t>2</w:t>
      </w:r>
      <w:proofErr w:type="gramEnd"/>
      <w:r>
        <w:t xml:space="preserve"> components of the support package for claims made by survivors:</w:t>
      </w:r>
    </w:p>
    <w:p w:rsidR="00260042" w:rsidRDefault="00260042" w:rsidP="008930A3">
      <w:pPr>
        <w:pStyle w:val="ListBullet"/>
      </w:pPr>
      <w:r>
        <w:t xml:space="preserve">the Extraordinary Assistance Fund – for home and vehicle modifications </w:t>
      </w:r>
    </w:p>
    <w:p w:rsidR="00260042" w:rsidRDefault="00260042" w:rsidP="00EA5510">
      <w:pPr>
        <w:pStyle w:val="ListBullet"/>
      </w:pPr>
      <w:r>
        <w:t>Health Care Assistance Fund – for all out-of-pocket health care expenses.</w:t>
      </w:r>
    </w:p>
    <w:p w:rsidR="00260042" w:rsidRPr="00EA5510" w:rsidRDefault="009B789E" w:rsidP="00EA5510">
      <w:pPr>
        <w:pStyle w:val="BodyText"/>
        <w:rPr>
          <w:b/>
        </w:rPr>
      </w:pPr>
      <w:r>
        <w:rPr>
          <w:b/>
        </w:rPr>
        <w:t>Table 2</w:t>
      </w:r>
      <w:r>
        <w:rPr>
          <w:b/>
        </w:rPr>
        <w:t>2</w:t>
      </w:r>
      <w:r w:rsidR="00260042" w:rsidRPr="00EA5510">
        <w:rPr>
          <w:b/>
        </w:rPr>
        <w:t xml:space="preserve"> Extraordinary Assistance Fund and Health Care Assistance Fund</w:t>
      </w:r>
    </w:p>
    <w:tbl>
      <w:tblPr>
        <w:tblStyle w:val="TableGrid"/>
        <w:tblW w:w="5000" w:type="pct"/>
        <w:tblLook w:val="0000" w:firstRow="0" w:lastRow="0" w:firstColumn="0" w:lastColumn="0" w:noHBand="0" w:noVBand="0"/>
        <w:tblCaption w:val="Extraordinary Assistance Fund and Health Care Assistance Fund"/>
      </w:tblPr>
      <w:tblGrid>
        <w:gridCol w:w="8645"/>
        <w:gridCol w:w="2145"/>
      </w:tblGrid>
      <w:tr w:rsidR="00260042" w:rsidTr="00CC078E">
        <w:trPr>
          <w:trHeight w:val="60"/>
          <w:tblHeader/>
        </w:trPr>
        <w:tc>
          <w:tcPr>
            <w:tcW w:w="4006" w:type="pct"/>
          </w:tcPr>
          <w:p w:rsidR="00260042" w:rsidRDefault="00260042" w:rsidP="00CC078E">
            <w:pPr>
              <w:pStyle w:val="BodyText"/>
            </w:pPr>
          </w:p>
        </w:tc>
        <w:tc>
          <w:tcPr>
            <w:tcW w:w="994" w:type="pct"/>
          </w:tcPr>
          <w:p w:rsidR="00260042" w:rsidRPr="00CC078E" w:rsidRDefault="00260042" w:rsidP="00CC078E">
            <w:pPr>
              <w:pStyle w:val="BodyText"/>
              <w:jc w:val="right"/>
              <w:rPr>
                <w:b/>
              </w:rPr>
            </w:pPr>
            <w:r w:rsidRPr="00CC078E">
              <w:rPr>
                <w:b/>
              </w:rPr>
              <w:t>2020–21</w:t>
            </w:r>
          </w:p>
        </w:tc>
      </w:tr>
      <w:tr w:rsidR="00260042" w:rsidTr="00CC078E">
        <w:trPr>
          <w:trHeight w:val="60"/>
        </w:trPr>
        <w:tc>
          <w:tcPr>
            <w:tcW w:w="4006" w:type="pct"/>
          </w:tcPr>
          <w:p w:rsidR="00260042" w:rsidRDefault="00260042" w:rsidP="00CC078E">
            <w:pPr>
              <w:pStyle w:val="BodyText"/>
            </w:pPr>
            <w:r>
              <w:t>Extraordinary Assistance Fund</w:t>
            </w:r>
          </w:p>
        </w:tc>
        <w:tc>
          <w:tcPr>
            <w:tcW w:w="994" w:type="pct"/>
          </w:tcPr>
          <w:p w:rsidR="00260042" w:rsidRDefault="00260042" w:rsidP="00CC078E">
            <w:pPr>
              <w:pStyle w:val="BodyText"/>
              <w:jc w:val="right"/>
            </w:pPr>
            <w:r>
              <w:t>$7,537.49</w:t>
            </w:r>
          </w:p>
        </w:tc>
      </w:tr>
      <w:tr w:rsidR="00260042" w:rsidTr="00CC078E">
        <w:trPr>
          <w:trHeight w:val="60"/>
        </w:trPr>
        <w:tc>
          <w:tcPr>
            <w:tcW w:w="4006" w:type="pct"/>
          </w:tcPr>
          <w:p w:rsidR="00260042" w:rsidRDefault="00260042" w:rsidP="00CC078E">
            <w:pPr>
              <w:pStyle w:val="BodyText"/>
            </w:pPr>
            <w:r>
              <w:t xml:space="preserve">Health Care Assistance Fund </w:t>
            </w:r>
          </w:p>
        </w:tc>
        <w:tc>
          <w:tcPr>
            <w:tcW w:w="994" w:type="pct"/>
          </w:tcPr>
          <w:p w:rsidR="00260042" w:rsidRDefault="00260042" w:rsidP="00CC078E">
            <w:pPr>
              <w:pStyle w:val="BodyText"/>
              <w:jc w:val="right"/>
            </w:pPr>
            <w:r>
              <w:t>$9,182.36</w:t>
            </w:r>
          </w:p>
        </w:tc>
      </w:tr>
      <w:tr w:rsidR="00260042" w:rsidTr="00CC078E">
        <w:trPr>
          <w:trHeight w:val="60"/>
        </w:trPr>
        <w:tc>
          <w:tcPr>
            <w:tcW w:w="4006" w:type="pct"/>
          </w:tcPr>
          <w:p w:rsidR="00260042" w:rsidRDefault="00260042" w:rsidP="00CC078E">
            <w:pPr>
              <w:pStyle w:val="BodyText"/>
            </w:pPr>
            <w:r>
              <w:rPr>
                <w:rStyle w:val="Bold"/>
              </w:rPr>
              <w:t>Total claims</w:t>
            </w:r>
          </w:p>
        </w:tc>
        <w:tc>
          <w:tcPr>
            <w:tcW w:w="994" w:type="pct"/>
          </w:tcPr>
          <w:p w:rsidR="00260042" w:rsidRDefault="00260042" w:rsidP="00CC078E">
            <w:pPr>
              <w:pStyle w:val="BodyText"/>
              <w:jc w:val="right"/>
            </w:pPr>
            <w:r>
              <w:rPr>
                <w:rStyle w:val="Bold"/>
              </w:rPr>
              <w:t>102</w:t>
            </w:r>
          </w:p>
        </w:tc>
      </w:tr>
      <w:tr w:rsidR="00260042" w:rsidTr="00CC078E">
        <w:trPr>
          <w:trHeight w:val="60"/>
        </w:trPr>
        <w:tc>
          <w:tcPr>
            <w:tcW w:w="4006" w:type="pct"/>
          </w:tcPr>
          <w:p w:rsidR="00260042" w:rsidRDefault="00260042" w:rsidP="00CC078E">
            <w:pPr>
              <w:pStyle w:val="BodyText"/>
            </w:pPr>
            <w:r>
              <w:rPr>
                <w:rStyle w:val="Bold"/>
              </w:rPr>
              <w:t>Amount paid</w:t>
            </w:r>
          </w:p>
        </w:tc>
        <w:tc>
          <w:tcPr>
            <w:tcW w:w="994" w:type="pct"/>
          </w:tcPr>
          <w:p w:rsidR="00260042" w:rsidRDefault="00260042" w:rsidP="00CC078E">
            <w:pPr>
              <w:pStyle w:val="BodyText"/>
              <w:jc w:val="right"/>
            </w:pPr>
            <w:r>
              <w:rPr>
                <w:rStyle w:val="Bold"/>
              </w:rPr>
              <w:t>$16,719.85</w:t>
            </w:r>
          </w:p>
        </w:tc>
      </w:tr>
    </w:tbl>
    <w:p w:rsidR="00260042" w:rsidRDefault="00260042" w:rsidP="00C81689">
      <w:pPr>
        <w:pStyle w:val="Heading2"/>
      </w:pPr>
      <w:r>
        <w:t>Medical indemnity</w:t>
      </w:r>
    </w:p>
    <w:p w:rsidR="00260042" w:rsidRDefault="00260042" w:rsidP="00260042">
      <w:pPr>
        <w:pStyle w:val="BodyText"/>
      </w:pPr>
      <w:r>
        <w:t xml:space="preserve">The Government’s medical indemnity framework </w:t>
      </w:r>
      <w:proofErr w:type="gramStart"/>
      <w:r>
        <w:t>is designed</w:t>
      </w:r>
      <w:proofErr w:type="gramEnd"/>
      <w:r>
        <w:t xml:space="preserve"> to strengthen the longer-term viability and success of the medical insurance industry by indemnifying medical practitioners in certain circumstances.</w:t>
      </w:r>
    </w:p>
    <w:p w:rsidR="00260042" w:rsidRDefault="00260042" w:rsidP="002E64CE">
      <w:pPr>
        <w:pStyle w:val="Heading3"/>
      </w:pPr>
      <w:r>
        <w:t>High Cost Claims Indemnity Scheme</w:t>
      </w:r>
    </w:p>
    <w:p w:rsidR="00260042" w:rsidRDefault="00260042" w:rsidP="00260042">
      <w:pPr>
        <w:pStyle w:val="BodyText"/>
      </w:pPr>
      <w:r>
        <w:t>Under the High Cost Claims Indemnity Scheme, the Government funds 50% of the cost of medical indemnity insurance payouts that are greater than the threshold amount, up to the limit of the medical practitioner’s insurance cover.</w:t>
      </w:r>
    </w:p>
    <w:p w:rsidR="00260042" w:rsidRPr="00EA5510" w:rsidRDefault="009B789E" w:rsidP="00EA5510">
      <w:pPr>
        <w:pStyle w:val="BodyText"/>
        <w:rPr>
          <w:b/>
        </w:rPr>
      </w:pPr>
      <w:r>
        <w:rPr>
          <w:b/>
        </w:rPr>
        <w:t>Table 2</w:t>
      </w:r>
      <w:r>
        <w:rPr>
          <w:b/>
        </w:rPr>
        <w:t>3</w:t>
      </w:r>
      <w:r w:rsidR="00260042" w:rsidRPr="00EA5510">
        <w:rPr>
          <w:b/>
        </w:rPr>
        <w:t xml:space="preserve"> High Cost Claims Indemnity Scheme</w:t>
      </w:r>
    </w:p>
    <w:tbl>
      <w:tblPr>
        <w:tblStyle w:val="TableGrid"/>
        <w:tblW w:w="5000" w:type="pct"/>
        <w:tblLook w:val="0000" w:firstRow="0" w:lastRow="0" w:firstColumn="0" w:lastColumn="0" w:noHBand="0" w:noVBand="0"/>
        <w:tblCaption w:val="High Cost Claims Indemnity Scheme"/>
      </w:tblPr>
      <w:tblGrid>
        <w:gridCol w:w="4357"/>
        <w:gridCol w:w="2145"/>
        <w:gridCol w:w="2145"/>
        <w:gridCol w:w="2143"/>
      </w:tblGrid>
      <w:tr w:rsidR="00260042" w:rsidTr="00CC078E">
        <w:trPr>
          <w:trHeight w:val="60"/>
          <w:tblHeader/>
        </w:trPr>
        <w:tc>
          <w:tcPr>
            <w:tcW w:w="2019" w:type="pct"/>
          </w:tcPr>
          <w:p w:rsidR="00260042" w:rsidRDefault="00260042" w:rsidP="00CC078E">
            <w:pPr>
              <w:pStyle w:val="BodyText"/>
            </w:pPr>
            <w:r>
              <w:t xml:space="preserve"> </w:t>
            </w:r>
          </w:p>
        </w:tc>
        <w:tc>
          <w:tcPr>
            <w:tcW w:w="994" w:type="pct"/>
          </w:tcPr>
          <w:p w:rsidR="00260042" w:rsidRPr="00CC078E" w:rsidRDefault="00260042" w:rsidP="00CC078E">
            <w:pPr>
              <w:pStyle w:val="BodyText"/>
              <w:jc w:val="right"/>
              <w:rPr>
                <w:b/>
              </w:rPr>
            </w:pPr>
            <w:r w:rsidRPr="00CC078E">
              <w:rPr>
                <w:b/>
              </w:rPr>
              <w:t>2018–19</w:t>
            </w:r>
          </w:p>
        </w:tc>
        <w:tc>
          <w:tcPr>
            <w:tcW w:w="994" w:type="pct"/>
          </w:tcPr>
          <w:p w:rsidR="00260042" w:rsidRPr="00CC078E" w:rsidRDefault="00260042" w:rsidP="00CC078E">
            <w:pPr>
              <w:pStyle w:val="BodyText"/>
              <w:jc w:val="right"/>
              <w:rPr>
                <w:b/>
              </w:rPr>
            </w:pPr>
            <w:r w:rsidRPr="00CC078E">
              <w:rPr>
                <w:b/>
              </w:rPr>
              <w:t>2019–20</w:t>
            </w:r>
          </w:p>
        </w:tc>
        <w:tc>
          <w:tcPr>
            <w:tcW w:w="994" w:type="pct"/>
          </w:tcPr>
          <w:p w:rsidR="00260042" w:rsidRPr="00CC078E" w:rsidRDefault="00260042" w:rsidP="00CC078E">
            <w:pPr>
              <w:pStyle w:val="BodyText"/>
              <w:jc w:val="right"/>
              <w:rPr>
                <w:b/>
              </w:rPr>
            </w:pPr>
            <w:r w:rsidRPr="00CC078E">
              <w:rPr>
                <w:b/>
              </w:rPr>
              <w:t>2020–21</w:t>
            </w:r>
          </w:p>
        </w:tc>
      </w:tr>
      <w:tr w:rsidR="00260042" w:rsidTr="00CC078E">
        <w:trPr>
          <w:trHeight w:val="60"/>
        </w:trPr>
        <w:tc>
          <w:tcPr>
            <w:tcW w:w="2019" w:type="pct"/>
          </w:tcPr>
          <w:p w:rsidR="00260042" w:rsidRDefault="00260042" w:rsidP="00CC078E">
            <w:pPr>
              <w:pStyle w:val="BodyText"/>
            </w:pPr>
            <w:r>
              <w:t>Claims received</w:t>
            </w:r>
          </w:p>
        </w:tc>
        <w:tc>
          <w:tcPr>
            <w:tcW w:w="994" w:type="pct"/>
          </w:tcPr>
          <w:p w:rsidR="00260042" w:rsidRDefault="00260042" w:rsidP="00CC078E">
            <w:pPr>
              <w:pStyle w:val="BodyText"/>
              <w:jc w:val="right"/>
            </w:pPr>
            <w:r>
              <w:t>444</w:t>
            </w:r>
          </w:p>
        </w:tc>
        <w:tc>
          <w:tcPr>
            <w:tcW w:w="994" w:type="pct"/>
          </w:tcPr>
          <w:p w:rsidR="00260042" w:rsidRDefault="00260042" w:rsidP="00CC078E">
            <w:pPr>
              <w:pStyle w:val="BodyText"/>
              <w:jc w:val="right"/>
            </w:pPr>
            <w:r>
              <w:t>410</w:t>
            </w:r>
          </w:p>
        </w:tc>
        <w:tc>
          <w:tcPr>
            <w:tcW w:w="994" w:type="pct"/>
          </w:tcPr>
          <w:p w:rsidR="00260042" w:rsidRDefault="00260042" w:rsidP="00CC078E">
            <w:pPr>
              <w:pStyle w:val="BodyText"/>
              <w:jc w:val="right"/>
            </w:pPr>
            <w:r>
              <w:t>558</w:t>
            </w:r>
          </w:p>
        </w:tc>
      </w:tr>
      <w:tr w:rsidR="00260042" w:rsidTr="00CC078E">
        <w:trPr>
          <w:trHeight w:val="60"/>
        </w:trPr>
        <w:tc>
          <w:tcPr>
            <w:tcW w:w="2019" w:type="pct"/>
          </w:tcPr>
          <w:p w:rsidR="00260042" w:rsidRDefault="00260042" w:rsidP="00CC078E">
            <w:pPr>
              <w:pStyle w:val="BodyText"/>
            </w:pPr>
            <w:r>
              <w:t>Benefits paid</w:t>
            </w:r>
          </w:p>
        </w:tc>
        <w:tc>
          <w:tcPr>
            <w:tcW w:w="994" w:type="pct"/>
          </w:tcPr>
          <w:p w:rsidR="00260042" w:rsidRDefault="00260042" w:rsidP="00CC078E">
            <w:pPr>
              <w:pStyle w:val="BodyText"/>
              <w:jc w:val="right"/>
            </w:pPr>
            <w:r>
              <w:t>$70.4 million</w:t>
            </w:r>
          </w:p>
        </w:tc>
        <w:tc>
          <w:tcPr>
            <w:tcW w:w="994" w:type="pct"/>
          </w:tcPr>
          <w:p w:rsidR="00260042" w:rsidRDefault="00260042" w:rsidP="00CC078E">
            <w:pPr>
              <w:pStyle w:val="BodyText"/>
              <w:jc w:val="right"/>
            </w:pPr>
            <w:r>
              <w:t>$68.1 million</w:t>
            </w:r>
          </w:p>
        </w:tc>
        <w:tc>
          <w:tcPr>
            <w:tcW w:w="994" w:type="pct"/>
          </w:tcPr>
          <w:p w:rsidR="00260042" w:rsidRDefault="00260042" w:rsidP="00CC078E">
            <w:pPr>
              <w:pStyle w:val="BodyText"/>
              <w:jc w:val="right"/>
            </w:pPr>
            <w:r>
              <w:t>$73.0 million</w:t>
            </w:r>
          </w:p>
        </w:tc>
      </w:tr>
    </w:tbl>
    <w:p w:rsidR="00260042" w:rsidRDefault="00260042" w:rsidP="002E64CE">
      <w:pPr>
        <w:pStyle w:val="Heading3"/>
      </w:pPr>
      <w:r>
        <w:t>Premium Support Scheme</w:t>
      </w:r>
    </w:p>
    <w:p w:rsidR="00260042" w:rsidRDefault="00260042" w:rsidP="00260042">
      <w:pPr>
        <w:pStyle w:val="BodyText"/>
      </w:pPr>
      <w:r>
        <w:t xml:space="preserve">Under the Premium Support Scheme, eligible medical practitioners receive a subsidised reduction in their insurance premiums. Insurers </w:t>
      </w:r>
      <w:proofErr w:type="gramStart"/>
      <w:r>
        <w:t>are then reimbursed</w:t>
      </w:r>
      <w:proofErr w:type="gramEnd"/>
      <w:r>
        <w:t xml:space="preserve"> the subsidised amount.</w:t>
      </w:r>
    </w:p>
    <w:p w:rsidR="00260042" w:rsidRPr="00EA5510" w:rsidRDefault="009B789E" w:rsidP="00EA5510">
      <w:pPr>
        <w:pStyle w:val="BodyText"/>
        <w:rPr>
          <w:b/>
        </w:rPr>
      </w:pPr>
      <w:r>
        <w:rPr>
          <w:b/>
        </w:rPr>
        <w:t>Table 2</w:t>
      </w:r>
      <w:r>
        <w:rPr>
          <w:b/>
        </w:rPr>
        <w:t>4</w:t>
      </w:r>
      <w:r w:rsidR="00260042" w:rsidRPr="00EA5510">
        <w:rPr>
          <w:b/>
        </w:rPr>
        <w:t xml:space="preserve"> Premium Support Scheme</w:t>
      </w:r>
    </w:p>
    <w:tbl>
      <w:tblPr>
        <w:tblStyle w:val="TableGrid"/>
        <w:tblW w:w="5000" w:type="pct"/>
        <w:tblLook w:val="0000" w:firstRow="0" w:lastRow="0" w:firstColumn="0" w:lastColumn="0" w:noHBand="0" w:noVBand="0"/>
        <w:tblCaption w:val="Premium Support Scheme"/>
      </w:tblPr>
      <w:tblGrid>
        <w:gridCol w:w="4357"/>
        <w:gridCol w:w="2145"/>
        <w:gridCol w:w="2145"/>
        <w:gridCol w:w="2143"/>
      </w:tblGrid>
      <w:tr w:rsidR="00260042" w:rsidTr="00CC078E">
        <w:trPr>
          <w:trHeight w:val="60"/>
          <w:tblHeader/>
        </w:trPr>
        <w:tc>
          <w:tcPr>
            <w:tcW w:w="2019" w:type="pct"/>
          </w:tcPr>
          <w:p w:rsidR="00260042" w:rsidRPr="00CC078E" w:rsidRDefault="00260042" w:rsidP="00CC078E">
            <w:pPr>
              <w:pStyle w:val="BodyText"/>
              <w:rPr>
                <w:b/>
              </w:rPr>
            </w:pPr>
            <w:r w:rsidRPr="00CC078E">
              <w:rPr>
                <w:b/>
              </w:rPr>
              <w:lastRenderedPageBreak/>
              <w:t xml:space="preserve"> </w:t>
            </w:r>
          </w:p>
        </w:tc>
        <w:tc>
          <w:tcPr>
            <w:tcW w:w="994" w:type="pct"/>
          </w:tcPr>
          <w:p w:rsidR="00260042" w:rsidRPr="00CC078E" w:rsidRDefault="00260042" w:rsidP="00CC078E">
            <w:pPr>
              <w:pStyle w:val="BodyText"/>
              <w:jc w:val="right"/>
              <w:rPr>
                <w:b/>
              </w:rPr>
            </w:pPr>
            <w:r w:rsidRPr="00CC078E">
              <w:rPr>
                <w:b/>
              </w:rPr>
              <w:t>2018–19</w:t>
            </w:r>
          </w:p>
        </w:tc>
        <w:tc>
          <w:tcPr>
            <w:tcW w:w="994" w:type="pct"/>
          </w:tcPr>
          <w:p w:rsidR="00260042" w:rsidRPr="00CC078E" w:rsidRDefault="00260042" w:rsidP="00CC078E">
            <w:pPr>
              <w:pStyle w:val="BodyText"/>
              <w:jc w:val="right"/>
              <w:rPr>
                <w:b/>
              </w:rPr>
            </w:pPr>
            <w:r w:rsidRPr="00CC078E">
              <w:rPr>
                <w:b/>
              </w:rPr>
              <w:t>2019–20</w:t>
            </w:r>
          </w:p>
        </w:tc>
        <w:tc>
          <w:tcPr>
            <w:tcW w:w="994" w:type="pct"/>
          </w:tcPr>
          <w:p w:rsidR="00260042" w:rsidRPr="00CC078E" w:rsidRDefault="00260042" w:rsidP="00CC078E">
            <w:pPr>
              <w:pStyle w:val="BodyText"/>
              <w:jc w:val="right"/>
              <w:rPr>
                <w:b/>
              </w:rPr>
            </w:pPr>
            <w:r w:rsidRPr="00CC078E">
              <w:rPr>
                <w:b/>
              </w:rPr>
              <w:t>2020–21</w:t>
            </w:r>
          </w:p>
        </w:tc>
      </w:tr>
      <w:tr w:rsidR="00260042" w:rsidTr="00CC078E">
        <w:trPr>
          <w:trHeight w:val="60"/>
        </w:trPr>
        <w:tc>
          <w:tcPr>
            <w:tcW w:w="2019" w:type="pct"/>
          </w:tcPr>
          <w:p w:rsidR="00260042" w:rsidRDefault="00260042" w:rsidP="00CC078E">
            <w:pPr>
              <w:pStyle w:val="BodyText"/>
            </w:pPr>
            <w:r>
              <w:t>Eligible practitioners</w:t>
            </w:r>
          </w:p>
        </w:tc>
        <w:tc>
          <w:tcPr>
            <w:tcW w:w="994" w:type="pct"/>
          </w:tcPr>
          <w:p w:rsidR="00260042" w:rsidRDefault="00260042" w:rsidP="00CC078E">
            <w:pPr>
              <w:pStyle w:val="BodyText"/>
              <w:jc w:val="right"/>
            </w:pPr>
            <w:r>
              <w:t>1,004</w:t>
            </w:r>
          </w:p>
        </w:tc>
        <w:tc>
          <w:tcPr>
            <w:tcW w:w="994" w:type="pct"/>
          </w:tcPr>
          <w:p w:rsidR="00260042" w:rsidRDefault="00260042" w:rsidP="00CC078E">
            <w:pPr>
              <w:pStyle w:val="BodyText"/>
              <w:jc w:val="right"/>
            </w:pPr>
            <w:r>
              <w:t>1,060</w:t>
            </w:r>
          </w:p>
        </w:tc>
        <w:tc>
          <w:tcPr>
            <w:tcW w:w="994" w:type="pct"/>
          </w:tcPr>
          <w:p w:rsidR="00260042" w:rsidRDefault="00260042" w:rsidP="00CC078E">
            <w:pPr>
              <w:pStyle w:val="BodyText"/>
              <w:jc w:val="right"/>
            </w:pPr>
            <w:r>
              <w:t>943</w:t>
            </w:r>
          </w:p>
        </w:tc>
      </w:tr>
      <w:tr w:rsidR="00260042" w:rsidTr="00CC078E">
        <w:trPr>
          <w:trHeight w:val="60"/>
        </w:trPr>
        <w:tc>
          <w:tcPr>
            <w:tcW w:w="2019" w:type="pct"/>
          </w:tcPr>
          <w:p w:rsidR="00260042" w:rsidRDefault="00260042" w:rsidP="00CC078E">
            <w:pPr>
              <w:pStyle w:val="BodyText"/>
            </w:pPr>
            <w:r>
              <w:t>Amount paid</w:t>
            </w:r>
          </w:p>
        </w:tc>
        <w:tc>
          <w:tcPr>
            <w:tcW w:w="994" w:type="pct"/>
          </w:tcPr>
          <w:p w:rsidR="00260042" w:rsidRDefault="00260042" w:rsidP="00CC078E">
            <w:pPr>
              <w:pStyle w:val="BodyText"/>
              <w:jc w:val="right"/>
            </w:pPr>
            <w:r>
              <w:t>$7.2 million</w:t>
            </w:r>
          </w:p>
        </w:tc>
        <w:tc>
          <w:tcPr>
            <w:tcW w:w="994" w:type="pct"/>
          </w:tcPr>
          <w:p w:rsidR="00260042" w:rsidRDefault="00260042" w:rsidP="00CC078E">
            <w:pPr>
              <w:pStyle w:val="BodyText"/>
              <w:jc w:val="right"/>
            </w:pPr>
            <w:r>
              <w:t>$9.7 million</w:t>
            </w:r>
          </w:p>
        </w:tc>
        <w:tc>
          <w:tcPr>
            <w:tcW w:w="994" w:type="pct"/>
          </w:tcPr>
          <w:p w:rsidR="00260042" w:rsidRDefault="00260042" w:rsidP="00CC078E">
            <w:pPr>
              <w:pStyle w:val="BodyText"/>
              <w:jc w:val="right"/>
            </w:pPr>
            <w:r>
              <w:t>$6.2 million</w:t>
            </w:r>
          </w:p>
        </w:tc>
      </w:tr>
    </w:tbl>
    <w:p w:rsidR="00260042" w:rsidRDefault="00260042" w:rsidP="002E64CE">
      <w:pPr>
        <w:pStyle w:val="Heading3"/>
      </w:pPr>
      <w:r>
        <w:t>Run-off Cover Indemnity Scheme for Medical Practitioners</w:t>
      </w:r>
    </w:p>
    <w:p w:rsidR="00260042" w:rsidRDefault="00260042" w:rsidP="00260042">
      <w:pPr>
        <w:pStyle w:val="BodyText"/>
      </w:pPr>
      <w:r>
        <w:t xml:space="preserve">Under the Run-off Cover Indemnity Scheme, the Government covers the cost of claims for eligible medical practitioners who have left the private medical workforce. To pay for the scheme, the Government uses funds received through the Run-off Cover Support Payment which is a tax paid by medical indemnity insurers each year. </w:t>
      </w:r>
    </w:p>
    <w:p w:rsidR="00260042" w:rsidRPr="00EA5510" w:rsidRDefault="009B789E" w:rsidP="00EA5510">
      <w:pPr>
        <w:pStyle w:val="BodyText"/>
        <w:rPr>
          <w:b/>
        </w:rPr>
      </w:pPr>
      <w:r>
        <w:rPr>
          <w:b/>
        </w:rPr>
        <w:t>Table 2</w:t>
      </w:r>
      <w:r>
        <w:rPr>
          <w:b/>
        </w:rPr>
        <w:t>5</w:t>
      </w:r>
      <w:r w:rsidR="00260042" w:rsidRPr="00EA5510">
        <w:rPr>
          <w:b/>
        </w:rPr>
        <w:t xml:space="preserve"> Run-off Cover Indemnity Scheme for medical practitioners </w:t>
      </w:r>
    </w:p>
    <w:tbl>
      <w:tblPr>
        <w:tblStyle w:val="TableGrid"/>
        <w:tblW w:w="5000" w:type="pct"/>
        <w:tblLook w:val="0000" w:firstRow="0" w:lastRow="0" w:firstColumn="0" w:lastColumn="0" w:noHBand="0" w:noVBand="0"/>
        <w:tblCaption w:val=" Run-off Cover Indemnity Scheme for medical practitioners "/>
      </w:tblPr>
      <w:tblGrid>
        <w:gridCol w:w="3121"/>
        <w:gridCol w:w="2413"/>
        <w:gridCol w:w="2628"/>
        <w:gridCol w:w="2628"/>
      </w:tblGrid>
      <w:tr w:rsidR="00260042" w:rsidTr="006A6622">
        <w:trPr>
          <w:trHeight w:val="60"/>
          <w:tblHeader/>
        </w:trPr>
        <w:tc>
          <w:tcPr>
            <w:tcW w:w="1446" w:type="pct"/>
          </w:tcPr>
          <w:p w:rsidR="00260042" w:rsidRDefault="00260042" w:rsidP="006A6622">
            <w:pPr>
              <w:pStyle w:val="BodyText"/>
            </w:pPr>
            <w:r>
              <w:t xml:space="preserve"> </w:t>
            </w:r>
          </w:p>
        </w:tc>
        <w:tc>
          <w:tcPr>
            <w:tcW w:w="1118" w:type="pct"/>
          </w:tcPr>
          <w:p w:rsidR="00260042" w:rsidRPr="006A6622" w:rsidRDefault="00260042" w:rsidP="006A6622">
            <w:pPr>
              <w:pStyle w:val="BodyText"/>
              <w:jc w:val="right"/>
              <w:rPr>
                <w:b/>
              </w:rPr>
            </w:pPr>
            <w:r w:rsidRPr="006A6622">
              <w:rPr>
                <w:b/>
              </w:rPr>
              <w:t>2018–19</w:t>
            </w:r>
          </w:p>
        </w:tc>
        <w:tc>
          <w:tcPr>
            <w:tcW w:w="1218" w:type="pct"/>
          </w:tcPr>
          <w:p w:rsidR="00260042" w:rsidRPr="006A6622" w:rsidRDefault="00260042" w:rsidP="006A6622">
            <w:pPr>
              <w:pStyle w:val="BodyText"/>
              <w:jc w:val="right"/>
              <w:rPr>
                <w:b/>
              </w:rPr>
            </w:pPr>
            <w:r w:rsidRPr="006A6622">
              <w:rPr>
                <w:b/>
              </w:rPr>
              <w:t>2019–20</w:t>
            </w:r>
          </w:p>
        </w:tc>
        <w:tc>
          <w:tcPr>
            <w:tcW w:w="1218" w:type="pct"/>
          </w:tcPr>
          <w:p w:rsidR="00260042" w:rsidRPr="006A6622" w:rsidRDefault="00260042" w:rsidP="006A6622">
            <w:pPr>
              <w:pStyle w:val="BodyText"/>
              <w:jc w:val="right"/>
              <w:rPr>
                <w:b/>
              </w:rPr>
            </w:pPr>
            <w:r w:rsidRPr="006A6622">
              <w:rPr>
                <w:b/>
              </w:rPr>
              <w:t>2020–21</w:t>
            </w:r>
          </w:p>
        </w:tc>
      </w:tr>
      <w:tr w:rsidR="00260042" w:rsidTr="006A6622">
        <w:trPr>
          <w:trHeight w:val="60"/>
        </w:trPr>
        <w:tc>
          <w:tcPr>
            <w:tcW w:w="1446" w:type="pct"/>
          </w:tcPr>
          <w:p w:rsidR="00260042" w:rsidRDefault="00260042" w:rsidP="006A6622">
            <w:pPr>
              <w:pStyle w:val="BodyText"/>
            </w:pPr>
            <w:r>
              <w:t>Claims received</w:t>
            </w:r>
          </w:p>
        </w:tc>
        <w:tc>
          <w:tcPr>
            <w:tcW w:w="1118" w:type="pct"/>
          </w:tcPr>
          <w:p w:rsidR="00260042" w:rsidRDefault="00260042" w:rsidP="006A6622">
            <w:pPr>
              <w:pStyle w:val="BodyText"/>
              <w:jc w:val="right"/>
            </w:pPr>
            <w:r>
              <w:t>118</w:t>
            </w:r>
          </w:p>
        </w:tc>
        <w:tc>
          <w:tcPr>
            <w:tcW w:w="1218" w:type="pct"/>
          </w:tcPr>
          <w:p w:rsidR="00260042" w:rsidRDefault="00260042" w:rsidP="006A6622">
            <w:pPr>
              <w:pStyle w:val="BodyText"/>
              <w:jc w:val="right"/>
            </w:pPr>
            <w:r>
              <w:t>137</w:t>
            </w:r>
          </w:p>
        </w:tc>
        <w:tc>
          <w:tcPr>
            <w:tcW w:w="1218" w:type="pct"/>
          </w:tcPr>
          <w:p w:rsidR="00260042" w:rsidRDefault="00260042" w:rsidP="006A6622">
            <w:pPr>
              <w:pStyle w:val="BodyText"/>
              <w:jc w:val="right"/>
            </w:pPr>
            <w:r>
              <w:t>147</w:t>
            </w:r>
          </w:p>
        </w:tc>
      </w:tr>
      <w:tr w:rsidR="00260042" w:rsidTr="006A6622">
        <w:trPr>
          <w:trHeight w:val="60"/>
        </w:trPr>
        <w:tc>
          <w:tcPr>
            <w:tcW w:w="1446" w:type="pct"/>
          </w:tcPr>
          <w:p w:rsidR="00260042" w:rsidRDefault="00260042" w:rsidP="006A6622">
            <w:pPr>
              <w:pStyle w:val="BodyText"/>
            </w:pPr>
            <w:r>
              <w:t>Benefits paid</w:t>
            </w:r>
          </w:p>
        </w:tc>
        <w:tc>
          <w:tcPr>
            <w:tcW w:w="1118" w:type="pct"/>
          </w:tcPr>
          <w:p w:rsidR="00260042" w:rsidRDefault="00260042" w:rsidP="006A6622">
            <w:pPr>
              <w:pStyle w:val="BodyText"/>
              <w:jc w:val="right"/>
            </w:pPr>
            <w:r>
              <w:t>$6.7 million</w:t>
            </w:r>
          </w:p>
        </w:tc>
        <w:tc>
          <w:tcPr>
            <w:tcW w:w="1218" w:type="pct"/>
          </w:tcPr>
          <w:p w:rsidR="00260042" w:rsidRDefault="00260042" w:rsidP="006A6622">
            <w:pPr>
              <w:pStyle w:val="BodyText"/>
              <w:jc w:val="right"/>
            </w:pPr>
            <w:r>
              <w:t>$12.1 million</w:t>
            </w:r>
          </w:p>
        </w:tc>
        <w:tc>
          <w:tcPr>
            <w:tcW w:w="1218" w:type="pct"/>
          </w:tcPr>
          <w:p w:rsidR="00260042" w:rsidRDefault="00260042" w:rsidP="006A6622">
            <w:pPr>
              <w:pStyle w:val="BodyText"/>
              <w:jc w:val="right"/>
            </w:pPr>
            <w:r>
              <w:t>$10.6 million</w:t>
            </w:r>
          </w:p>
        </w:tc>
      </w:tr>
    </w:tbl>
    <w:p w:rsidR="00260042" w:rsidRDefault="00260042" w:rsidP="002E64CE">
      <w:pPr>
        <w:pStyle w:val="Heading3"/>
      </w:pPr>
      <w:r>
        <w:t xml:space="preserve">Incurred </w:t>
      </w:r>
      <w:proofErr w:type="gramStart"/>
      <w:r>
        <w:t>But</w:t>
      </w:r>
      <w:proofErr w:type="gramEnd"/>
      <w:r>
        <w:t xml:space="preserve"> Not Reported Indemnity Scheme</w:t>
      </w:r>
    </w:p>
    <w:p w:rsidR="00260042" w:rsidRDefault="00260042" w:rsidP="00260042">
      <w:pPr>
        <w:pStyle w:val="BodyText"/>
      </w:pPr>
      <w:r>
        <w:t xml:space="preserve">Under the Incurred </w:t>
      </w:r>
      <w:proofErr w:type="gramStart"/>
      <w:r>
        <w:t>But</w:t>
      </w:r>
      <w:proofErr w:type="gramEnd"/>
      <w:r>
        <w:t xml:space="preserve"> Not Reported Indemnity Scheme, the Government covers the costs of claims from medical defence organisations that do not have adequate reserves to cover their liabilities. United Medical Protection Limited is the only medical defence organisation actively participating in the scheme.</w:t>
      </w:r>
    </w:p>
    <w:p w:rsidR="00260042" w:rsidRPr="00EA5510" w:rsidRDefault="009B789E" w:rsidP="00EA5510">
      <w:pPr>
        <w:pStyle w:val="BodyText"/>
        <w:rPr>
          <w:b/>
        </w:rPr>
      </w:pPr>
      <w:r>
        <w:rPr>
          <w:b/>
        </w:rPr>
        <w:t>Table 2</w:t>
      </w:r>
      <w:r>
        <w:rPr>
          <w:b/>
        </w:rPr>
        <w:t>6</w:t>
      </w:r>
      <w:r w:rsidR="00260042" w:rsidRPr="00EA5510">
        <w:rPr>
          <w:b/>
        </w:rPr>
        <w:t xml:space="preserve"> Incurred </w:t>
      </w:r>
      <w:proofErr w:type="gramStart"/>
      <w:r w:rsidR="00260042" w:rsidRPr="00EA5510">
        <w:rPr>
          <w:b/>
        </w:rPr>
        <w:t>But</w:t>
      </w:r>
      <w:proofErr w:type="gramEnd"/>
      <w:r w:rsidR="00260042" w:rsidRPr="00EA5510">
        <w:rPr>
          <w:b/>
        </w:rPr>
        <w:t xml:space="preserve"> Not Reported Indemnity Scheme </w:t>
      </w:r>
    </w:p>
    <w:tbl>
      <w:tblPr>
        <w:tblStyle w:val="TableGrid"/>
        <w:tblW w:w="5000" w:type="pct"/>
        <w:tblLook w:val="0000" w:firstRow="0" w:lastRow="0" w:firstColumn="0" w:lastColumn="0" w:noHBand="0" w:noVBand="0"/>
        <w:tblCaption w:val="Incurred But Not Reported Indemnity Scheme "/>
      </w:tblPr>
      <w:tblGrid>
        <w:gridCol w:w="4357"/>
        <w:gridCol w:w="2145"/>
        <w:gridCol w:w="2145"/>
        <w:gridCol w:w="2143"/>
      </w:tblGrid>
      <w:tr w:rsidR="00260042" w:rsidTr="000475D9">
        <w:trPr>
          <w:trHeight w:val="60"/>
          <w:tblHeader/>
        </w:trPr>
        <w:tc>
          <w:tcPr>
            <w:tcW w:w="2019" w:type="pct"/>
          </w:tcPr>
          <w:p w:rsidR="00260042" w:rsidRDefault="00260042" w:rsidP="006A6622">
            <w:pPr>
              <w:pStyle w:val="BodyText"/>
            </w:pPr>
            <w:r>
              <w:t xml:space="preserve"> </w:t>
            </w:r>
          </w:p>
        </w:tc>
        <w:tc>
          <w:tcPr>
            <w:tcW w:w="994" w:type="pct"/>
          </w:tcPr>
          <w:p w:rsidR="00260042" w:rsidRPr="006A6622" w:rsidRDefault="00260042" w:rsidP="006A6622">
            <w:pPr>
              <w:pStyle w:val="BodyText"/>
              <w:jc w:val="right"/>
              <w:rPr>
                <w:b/>
              </w:rPr>
            </w:pPr>
            <w:r w:rsidRPr="006A6622">
              <w:rPr>
                <w:b/>
              </w:rPr>
              <w:t>2018–19</w:t>
            </w:r>
          </w:p>
        </w:tc>
        <w:tc>
          <w:tcPr>
            <w:tcW w:w="994" w:type="pct"/>
          </w:tcPr>
          <w:p w:rsidR="00260042" w:rsidRPr="006A6622" w:rsidRDefault="00260042" w:rsidP="006A6622">
            <w:pPr>
              <w:pStyle w:val="BodyText"/>
              <w:jc w:val="right"/>
              <w:rPr>
                <w:b/>
              </w:rPr>
            </w:pPr>
            <w:r w:rsidRPr="006A6622">
              <w:rPr>
                <w:b/>
              </w:rPr>
              <w:t>2019–20</w:t>
            </w:r>
          </w:p>
        </w:tc>
        <w:tc>
          <w:tcPr>
            <w:tcW w:w="994" w:type="pct"/>
          </w:tcPr>
          <w:p w:rsidR="00260042" w:rsidRPr="006A6622" w:rsidRDefault="00260042" w:rsidP="006A6622">
            <w:pPr>
              <w:pStyle w:val="BodyText"/>
              <w:jc w:val="right"/>
              <w:rPr>
                <w:b/>
              </w:rPr>
            </w:pPr>
            <w:r w:rsidRPr="006A6622">
              <w:rPr>
                <w:b/>
              </w:rPr>
              <w:t>2020–21</w:t>
            </w:r>
          </w:p>
        </w:tc>
      </w:tr>
      <w:tr w:rsidR="00260042" w:rsidTr="006A6622">
        <w:trPr>
          <w:trHeight w:val="60"/>
        </w:trPr>
        <w:tc>
          <w:tcPr>
            <w:tcW w:w="2019" w:type="pct"/>
          </w:tcPr>
          <w:p w:rsidR="00260042" w:rsidRDefault="00260042" w:rsidP="006A6622">
            <w:pPr>
              <w:pStyle w:val="BodyText"/>
            </w:pPr>
            <w:r>
              <w:t>Claims received</w:t>
            </w:r>
          </w:p>
        </w:tc>
        <w:tc>
          <w:tcPr>
            <w:tcW w:w="994" w:type="pct"/>
          </w:tcPr>
          <w:p w:rsidR="00260042" w:rsidRDefault="00260042" w:rsidP="006A6622">
            <w:pPr>
              <w:pStyle w:val="BodyText"/>
              <w:jc w:val="right"/>
            </w:pPr>
            <w:r>
              <w:t>24</w:t>
            </w:r>
          </w:p>
        </w:tc>
        <w:tc>
          <w:tcPr>
            <w:tcW w:w="994" w:type="pct"/>
          </w:tcPr>
          <w:p w:rsidR="00260042" w:rsidRDefault="00260042" w:rsidP="006A6622">
            <w:pPr>
              <w:pStyle w:val="BodyText"/>
              <w:jc w:val="right"/>
            </w:pPr>
            <w:r>
              <w:t>13</w:t>
            </w:r>
          </w:p>
        </w:tc>
        <w:tc>
          <w:tcPr>
            <w:tcW w:w="994" w:type="pct"/>
          </w:tcPr>
          <w:p w:rsidR="00260042" w:rsidRDefault="00260042" w:rsidP="006A6622">
            <w:pPr>
              <w:pStyle w:val="BodyText"/>
              <w:jc w:val="right"/>
            </w:pPr>
            <w:r>
              <w:t>13</w:t>
            </w:r>
          </w:p>
        </w:tc>
      </w:tr>
      <w:tr w:rsidR="00260042" w:rsidTr="006A6622">
        <w:trPr>
          <w:trHeight w:val="60"/>
        </w:trPr>
        <w:tc>
          <w:tcPr>
            <w:tcW w:w="2019" w:type="pct"/>
          </w:tcPr>
          <w:p w:rsidR="00260042" w:rsidRDefault="00260042" w:rsidP="006A6622">
            <w:pPr>
              <w:pStyle w:val="BodyText"/>
            </w:pPr>
            <w:r>
              <w:t>Benefits paid</w:t>
            </w:r>
          </w:p>
        </w:tc>
        <w:tc>
          <w:tcPr>
            <w:tcW w:w="994" w:type="pct"/>
          </w:tcPr>
          <w:p w:rsidR="00260042" w:rsidRDefault="00260042" w:rsidP="006A6622">
            <w:pPr>
              <w:pStyle w:val="BodyText"/>
              <w:jc w:val="right"/>
            </w:pPr>
            <w:r>
              <w:t>$6.2 million</w:t>
            </w:r>
          </w:p>
        </w:tc>
        <w:tc>
          <w:tcPr>
            <w:tcW w:w="994" w:type="pct"/>
          </w:tcPr>
          <w:p w:rsidR="00260042" w:rsidRDefault="00260042" w:rsidP="006A6622">
            <w:pPr>
              <w:pStyle w:val="BodyText"/>
              <w:jc w:val="right"/>
            </w:pPr>
            <w:r>
              <w:t>$0.8 million</w:t>
            </w:r>
          </w:p>
        </w:tc>
        <w:tc>
          <w:tcPr>
            <w:tcW w:w="994" w:type="pct"/>
          </w:tcPr>
          <w:p w:rsidR="00260042" w:rsidRDefault="00260042" w:rsidP="006A6622">
            <w:pPr>
              <w:pStyle w:val="BodyText"/>
              <w:jc w:val="right"/>
            </w:pPr>
            <w:r>
              <w:t>$1.0 million</w:t>
            </w:r>
          </w:p>
        </w:tc>
      </w:tr>
    </w:tbl>
    <w:p w:rsidR="00260042" w:rsidRDefault="00260042" w:rsidP="002E64CE">
      <w:pPr>
        <w:pStyle w:val="Heading3"/>
      </w:pPr>
      <w:r>
        <w:t>Midwife Professional Indemnity Scheme</w:t>
      </w:r>
    </w:p>
    <w:p w:rsidR="00260042" w:rsidRDefault="00260042" w:rsidP="00260042">
      <w:pPr>
        <w:pStyle w:val="BodyText"/>
      </w:pPr>
      <w:r>
        <w:t xml:space="preserve">Under the Midwife Professional Indemnity Scheme, the Government makes a financial contribution to administration costs to help eligible insurers who provide indemnity to eligible midwives. </w:t>
      </w:r>
    </w:p>
    <w:p w:rsidR="00260042" w:rsidRDefault="00260042" w:rsidP="00260042">
      <w:pPr>
        <w:pStyle w:val="BodyText"/>
      </w:pPr>
      <w:r>
        <w:t xml:space="preserve">In 2020–21, no claims </w:t>
      </w:r>
      <w:proofErr w:type="gramStart"/>
      <w:r>
        <w:t>were made</w:t>
      </w:r>
      <w:proofErr w:type="gramEnd"/>
      <w:r>
        <w:t xml:space="preserve"> under this scheme (and no claims were made in 2019–20).</w:t>
      </w:r>
    </w:p>
    <w:p w:rsidR="00260042" w:rsidRDefault="00260042" w:rsidP="002E64CE">
      <w:pPr>
        <w:pStyle w:val="Heading3"/>
      </w:pPr>
      <w:r>
        <w:lastRenderedPageBreak/>
        <w:t>Digital health</w:t>
      </w:r>
    </w:p>
    <w:p w:rsidR="00260042" w:rsidRDefault="00260042" w:rsidP="00260042">
      <w:pPr>
        <w:pStyle w:val="BodyText"/>
        <w:keepLines/>
        <w:spacing w:after="57"/>
      </w:pPr>
      <w:r>
        <w:t>In 2020–21, Services Australia continued to work with the Australian Digital Health Agency to deliver the following digital health services:</w:t>
      </w:r>
    </w:p>
    <w:p w:rsidR="00260042" w:rsidRDefault="00260042" w:rsidP="008930A3">
      <w:pPr>
        <w:pStyle w:val="ListBullet"/>
      </w:pPr>
      <w:r>
        <w:t xml:space="preserve">the Healthcare Identifiers Service </w:t>
      </w:r>
    </w:p>
    <w:p w:rsidR="00260042" w:rsidRDefault="00260042" w:rsidP="008930A3">
      <w:pPr>
        <w:pStyle w:val="ListBullet"/>
      </w:pPr>
      <w:r>
        <w:t>components of the My Health Record system</w:t>
      </w:r>
    </w:p>
    <w:p w:rsidR="00260042" w:rsidRDefault="00260042" w:rsidP="00EA5510">
      <w:pPr>
        <w:pStyle w:val="ListBullet"/>
      </w:pPr>
      <w:proofErr w:type="gramStart"/>
      <w:r>
        <w:t>the</w:t>
      </w:r>
      <w:proofErr w:type="gramEnd"/>
      <w:r>
        <w:t xml:space="preserve"> National Authentication Service for Health. </w:t>
      </w:r>
    </w:p>
    <w:p w:rsidR="00260042" w:rsidRDefault="00260042" w:rsidP="002E64CE">
      <w:pPr>
        <w:pStyle w:val="Heading3"/>
      </w:pPr>
      <w:r>
        <w:t>Supporting people not eligible for Medicare to access proof of COVID-19 vaccination</w:t>
      </w:r>
    </w:p>
    <w:p w:rsidR="00260042" w:rsidRDefault="00260042" w:rsidP="00260042">
      <w:pPr>
        <w:pStyle w:val="BodyText"/>
      </w:pPr>
      <w:r>
        <w:t>People who are not eligible for Medicare or DVA can apply for an Individual Healthcare Identifier (IHI) to access digital proof of their COVID-19 vaccinations. This was a manual process until early June 2021.</w:t>
      </w:r>
    </w:p>
    <w:p w:rsidR="00260042" w:rsidRDefault="00260042" w:rsidP="00260042">
      <w:pPr>
        <w:pStyle w:val="BodyText"/>
      </w:pPr>
      <w:r>
        <w:t xml:space="preserve">During 2020–21, the agency started receiving an increase in applications from individuals preparing to </w:t>
      </w:r>
      <w:proofErr w:type="gramStart"/>
      <w:r>
        <w:t>be vaccinated</w:t>
      </w:r>
      <w:proofErr w:type="gramEnd"/>
      <w:r>
        <w:t xml:space="preserve"> for COVID-19 and requesting an Immunisation History Statement to access digital evidence of their vaccinations via their My Health Record.</w:t>
      </w:r>
    </w:p>
    <w:p w:rsidR="00260042" w:rsidRDefault="00260042" w:rsidP="00260042">
      <w:pPr>
        <w:pStyle w:val="BodyText"/>
      </w:pPr>
      <w:r>
        <w:t xml:space="preserve">To support an increase in volumes due to the national COVID-19 vaccination rollout, Services Australia digitised the application process so individuals can apply for an IHI through a new </w:t>
      </w:r>
      <w:proofErr w:type="spellStart"/>
      <w:r>
        <w:t>myGov</w:t>
      </w:r>
      <w:proofErr w:type="spellEnd"/>
      <w:r>
        <w:t xml:space="preserve"> service. This has enabled individuals to access their Immunisation History Statement and COVID-19 digital certificate from the AIR using their IHI. For more information, see </w:t>
      </w:r>
      <w:proofErr w:type="gramStart"/>
      <w:r>
        <w:rPr>
          <w:rStyle w:val="Italic"/>
        </w:rPr>
        <w:t>Supporting</w:t>
      </w:r>
      <w:proofErr w:type="gramEnd"/>
      <w:r>
        <w:rPr>
          <w:rStyle w:val="Italic"/>
        </w:rPr>
        <w:t xml:space="preserve"> the COVID-19 vaccination rollout</w:t>
      </w:r>
      <w:r>
        <w:t xml:space="preserve"> on page 25.</w:t>
      </w:r>
    </w:p>
    <w:p w:rsidR="00260042" w:rsidRDefault="00260042" w:rsidP="00260042">
      <w:pPr>
        <w:pStyle w:val="BodyText"/>
      </w:pPr>
      <w:r>
        <w:t xml:space="preserve">Services Australia is also supporting additional online channels for consumers to access their COVID-19 vaccination information. </w:t>
      </w:r>
    </w:p>
    <w:p w:rsidR="00260042" w:rsidRDefault="00260042" w:rsidP="00260042">
      <w:pPr>
        <w:pStyle w:val="BodyText"/>
        <w:spacing w:after="57"/>
      </w:pPr>
      <w:r>
        <w:t xml:space="preserve">Information sent to My Health Record </w:t>
      </w:r>
      <w:proofErr w:type="gramStart"/>
      <w:r>
        <w:t>has been updated</w:t>
      </w:r>
      <w:proofErr w:type="gramEnd"/>
      <w:r>
        <w:t xml:space="preserve"> to include additional details relating to consumers’ vaccinations that are held in the AIR. This additional information will allow My Health Record to:</w:t>
      </w:r>
    </w:p>
    <w:p w:rsidR="00260042" w:rsidRDefault="00260042" w:rsidP="008930A3">
      <w:pPr>
        <w:pStyle w:val="ListBullet"/>
      </w:pPr>
      <w:r>
        <w:t>give providers the ability to view their patients’ vaccination information including the batch and vial numbers for COVID-19 vaccines</w:t>
      </w:r>
    </w:p>
    <w:p w:rsidR="00260042" w:rsidRDefault="00260042" w:rsidP="008930A3">
      <w:pPr>
        <w:pStyle w:val="ListBullet"/>
      </w:pPr>
      <w:r>
        <w:t>display reminders to consumers when their next vaccination is due</w:t>
      </w:r>
    </w:p>
    <w:p w:rsidR="00260042" w:rsidRDefault="00260042" w:rsidP="008930A3">
      <w:pPr>
        <w:pStyle w:val="ListBullet"/>
      </w:pPr>
      <w:r>
        <w:t>present a clear and concise COVID-19 vaccination status for consumers</w:t>
      </w:r>
    </w:p>
    <w:p w:rsidR="00260042" w:rsidRDefault="00260042" w:rsidP="00EA5510">
      <w:pPr>
        <w:pStyle w:val="ListBullet"/>
      </w:pPr>
      <w:proofErr w:type="gramStart"/>
      <w:r>
        <w:t>allow</w:t>
      </w:r>
      <w:proofErr w:type="gramEnd"/>
      <w:r>
        <w:t xml:space="preserve"> consumers to retrieve the ‘official’ AIR Immunisation History Statement through My Health Record for themselves or their dependants. This statement is the only source of documentation that state/territory bodies will accept to show proof of vaccinations.</w:t>
      </w:r>
    </w:p>
    <w:p w:rsidR="00260042" w:rsidRDefault="00260042" w:rsidP="00C81689">
      <w:pPr>
        <w:pStyle w:val="Heading2"/>
      </w:pPr>
      <w:r>
        <w:t>4.3 Child Support</w:t>
      </w:r>
    </w:p>
    <w:p w:rsidR="00260042" w:rsidRDefault="00260042" w:rsidP="008474A9">
      <w:pPr>
        <w:pStyle w:val="BodyText"/>
      </w:pPr>
      <w:r>
        <w:t xml:space="preserve">Services Australia delivers the Child Support Program, which aims to ensure that children receive an appropriate level of financial support from parents who </w:t>
      </w:r>
      <w:proofErr w:type="gramStart"/>
      <w:r>
        <w:t>are separated</w:t>
      </w:r>
      <w:proofErr w:type="gramEnd"/>
      <w:r>
        <w:t xml:space="preserve">. </w:t>
      </w:r>
    </w:p>
    <w:p w:rsidR="00260042" w:rsidRDefault="00260042" w:rsidP="00260042">
      <w:pPr>
        <w:pStyle w:val="BodyText"/>
      </w:pPr>
      <w:r>
        <w:t xml:space="preserve">The agency provides child support registration, assessment, collection and disbursement services to parents and non-parent carers such as grandparents, legal guardians or other family members. </w:t>
      </w:r>
    </w:p>
    <w:p w:rsidR="00260042" w:rsidRDefault="00260042" w:rsidP="00260042">
      <w:pPr>
        <w:pStyle w:val="BodyText"/>
      </w:pPr>
      <w:r>
        <w:lastRenderedPageBreak/>
        <w:t>The person entitled to receive child support can either elect to have child support payments transferred to them privately (Private Collect) or ask us to collect on their behalf (Child Support Collect). The agency has compliance and enforcement programs to maximise the timely collection and transfer of payments.</w:t>
      </w:r>
    </w:p>
    <w:p w:rsidR="00260042" w:rsidRDefault="00260042" w:rsidP="00260042">
      <w:pPr>
        <w:pStyle w:val="BodyText"/>
      </w:pPr>
      <w:r>
        <w:t xml:space="preserve">Services Australia works with parents to review and update child support assessments as circumstances change, to ensure the right levels of child support are paid. </w:t>
      </w:r>
    </w:p>
    <w:p w:rsidR="00260042" w:rsidRDefault="00260042" w:rsidP="00260042">
      <w:pPr>
        <w:pStyle w:val="BodyText"/>
        <w:spacing w:after="57"/>
      </w:pPr>
      <w:r>
        <w:t xml:space="preserve">In 2020–21, a number of ICT enhancements </w:t>
      </w:r>
      <w:proofErr w:type="gramStart"/>
      <w:r>
        <w:t>were made</w:t>
      </w:r>
      <w:proofErr w:type="gramEnd"/>
      <w:r>
        <w:t xml:space="preserve"> by the agency, including:</w:t>
      </w:r>
    </w:p>
    <w:p w:rsidR="00260042" w:rsidRDefault="00260042" w:rsidP="008930A3">
      <w:pPr>
        <w:pStyle w:val="ListBullet"/>
      </w:pPr>
      <w:r>
        <w:t xml:space="preserve">using STP data (see </w:t>
      </w:r>
      <w:r>
        <w:rPr>
          <w:rStyle w:val="Italic"/>
        </w:rPr>
        <w:t xml:space="preserve">Single Touch Payroll </w:t>
      </w:r>
      <w:r>
        <w:t>on page 17)</w:t>
      </w:r>
    </w:p>
    <w:p w:rsidR="00260042" w:rsidRDefault="00260042" w:rsidP="00EA5510">
      <w:pPr>
        <w:pStyle w:val="ListBullet"/>
      </w:pPr>
      <w:proofErr w:type="gramStart"/>
      <w:r>
        <w:t>sending</w:t>
      </w:r>
      <w:proofErr w:type="gramEnd"/>
      <w:r>
        <w:t xml:space="preserve"> SMS messages to child support customers.</w:t>
      </w:r>
    </w:p>
    <w:p w:rsidR="00260042" w:rsidRDefault="00260042" w:rsidP="00260042">
      <w:pPr>
        <w:pStyle w:val="BodyText"/>
      </w:pPr>
      <w:r>
        <w:t xml:space="preserve">For more information, see </w:t>
      </w:r>
      <w:r>
        <w:rPr>
          <w:rStyle w:val="Italic"/>
        </w:rPr>
        <w:t>Compliance and enforcement</w:t>
      </w:r>
      <w:r>
        <w:t xml:space="preserve"> on page </w:t>
      </w:r>
      <w:r w:rsidR="004E3486">
        <w:t>62</w:t>
      </w:r>
      <w:r>
        <w:t>.</w:t>
      </w:r>
    </w:p>
    <w:p w:rsidR="00260042" w:rsidRDefault="00260042" w:rsidP="000475D9">
      <w:pPr>
        <w:pStyle w:val="Heading3"/>
      </w:pPr>
      <w:r>
        <w:t>Child support transfers</w:t>
      </w:r>
    </w:p>
    <w:p w:rsidR="00260042" w:rsidRDefault="00260042" w:rsidP="00260042">
      <w:pPr>
        <w:pStyle w:val="BodyText"/>
      </w:pPr>
      <w:r>
        <w:t xml:space="preserve">In 2020–21, the agency worked with separated parents to facilitate the transfer of $3.81 billion to support approximately 1.2 million children. </w:t>
      </w:r>
    </w:p>
    <w:p w:rsidR="00260042" w:rsidRPr="00EA5510" w:rsidRDefault="009B789E" w:rsidP="00EA5510">
      <w:pPr>
        <w:pStyle w:val="BodyText"/>
        <w:rPr>
          <w:b/>
        </w:rPr>
      </w:pPr>
      <w:r>
        <w:rPr>
          <w:b/>
        </w:rPr>
        <w:t>Table 2</w:t>
      </w:r>
      <w:r>
        <w:rPr>
          <w:b/>
        </w:rPr>
        <w:t>7</w:t>
      </w:r>
      <w:r w:rsidR="00260042" w:rsidRPr="00EA5510">
        <w:rPr>
          <w:b/>
        </w:rPr>
        <w:t xml:space="preserve"> Child support transferred between parents </w:t>
      </w:r>
    </w:p>
    <w:tbl>
      <w:tblPr>
        <w:tblStyle w:val="TableGrid"/>
        <w:tblW w:w="5000" w:type="pct"/>
        <w:tblLook w:val="0000" w:firstRow="0" w:lastRow="0" w:firstColumn="0" w:lastColumn="0" w:noHBand="0" w:noVBand="0"/>
        <w:tblCaption w:val=" Child support transferred between parents "/>
      </w:tblPr>
      <w:tblGrid>
        <w:gridCol w:w="4357"/>
        <w:gridCol w:w="2145"/>
        <w:gridCol w:w="2145"/>
        <w:gridCol w:w="2143"/>
      </w:tblGrid>
      <w:tr w:rsidR="00260042" w:rsidTr="006143A4">
        <w:trPr>
          <w:trHeight w:val="60"/>
          <w:tblHeader/>
        </w:trPr>
        <w:tc>
          <w:tcPr>
            <w:tcW w:w="2019" w:type="pct"/>
          </w:tcPr>
          <w:p w:rsidR="00260042" w:rsidRDefault="00260042" w:rsidP="006143A4">
            <w:pPr>
              <w:pStyle w:val="BodyText"/>
            </w:pPr>
          </w:p>
        </w:tc>
        <w:tc>
          <w:tcPr>
            <w:tcW w:w="994" w:type="pct"/>
          </w:tcPr>
          <w:p w:rsidR="00260042" w:rsidRPr="006143A4" w:rsidRDefault="00260042" w:rsidP="006143A4">
            <w:pPr>
              <w:pStyle w:val="BodyText"/>
              <w:jc w:val="right"/>
              <w:rPr>
                <w:b/>
              </w:rPr>
            </w:pPr>
            <w:r w:rsidRPr="006143A4">
              <w:rPr>
                <w:b/>
              </w:rPr>
              <w:t>2018–19</w:t>
            </w:r>
          </w:p>
        </w:tc>
        <w:tc>
          <w:tcPr>
            <w:tcW w:w="994" w:type="pct"/>
          </w:tcPr>
          <w:p w:rsidR="00260042" w:rsidRPr="006143A4" w:rsidRDefault="00260042" w:rsidP="006143A4">
            <w:pPr>
              <w:pStyle w:val="BodyText"/>
              <w:jc w:val="right"/>
              <w:rPr>
                <w:b/>
              </w:rPr>
            </w:pPr>
            <w:r w:rsidRPr="006143A4">
              <w:rPr>
                <w:b/>
              </w:rPr>
              <w:t>2019–20</w:t>
            </w:r>
          </w:p>
        </w:tc>
        <w:tc>
          <w:tcPr>
            <w:tcW w:w="994" w:type="pct"/>
          </w:tcPr>
          <w:p w:rsidR="00260042" w:rsidRPr="006143A4" w:rsidRDefault="00260042" w:rsidP="006143A4">
            <w:pPr>
              <w:pStyle w:val="BodyText"/>
              <w:jc w:val="right"/>
              <w:rPr>
                <w:b/>
              </w:rPr>
            </w:pPr>
            <w:r w:rsidRPr="006143A4">
              <w:rPr>
                <w:b/>
              </w:rPr>
              <w:t>2020–21</w:t>
            </w:r>
          </w:p>
        </w:tc>
      </w:tr>
      <w:tr w:rsidR="00260042" w:rsidTr="006143A4">
        <w:trPr>
          <w:trHeight w:val="60"/>
        </w:trPr>
        <w:tc>
          <w:tcPr>
            <w:tcW w:w="2019" w:type="pct"/>
          </w:tcPr>
          <w:p w:rsidR="00260042" w:rsidRDefault="00260042" w:rsidP="006143A4">
            <w:pPr>
              <w:pStyle w:val="BodyText"/>
            </w:pPr>
            <w:r>
              <w:t>Child Support Collect</w:t>
            </w:r>
          </w:p>
        </w:tc>
        <w:tc>
          <w:tcPr>
            <w:tcW w:w="994" w:type="pct"/>
          </w:tcPr>
          <w:p w:rsidR="00260042" w:rsidRDefault="00260042" w:rsidP="006143A4">
            <w:pPr>
              <w:pStyle w:val="BodyText"/>
              <w:jc w:val="right"/>
            </w:pPr>
            <w:r>
              <w:t>$1.646 billion</w:t>
            </w:r>
          </w:p>
        </w:tc>
        <w:tc>
          <w:tcPr>
            <w:tcW w:w="994" w:type="pct"/>
          </w:tcPr>
          <w:p w:rsidR="00260042" w:rsidRDefault="00260042" w:rsidP="006143A4">
            <w:pPr>
              <w:pStyle w:val="BodyText"/>
              <w:jc w:val="right"/>
            </w:pPr>
            <w:r>
              <w:t>$1.698 billion</w:t>
            </w:r>
          </w:p>
        </w:tc>
        <w:tc>
          <w:tcPr>
            <w:tcW w:w="994" w:type="pct"/>
          </w:tcPr>
          <w:p w:rsidR="00260042" w:rsidRDefault="00260042" w:rsidP="006143A4">
            <w:pPr>
              <w:pStyle w:val="BodyText"/>
              <w:jc w:val="right"/>
            </w:pPr>
            <w:r>
              <w:t>$1.738 billion</w:t>
            </w:r>
          </w:p>
        </w:tc>
      </w:tr>
      <w:tr w:rsidR="00260042" w:rsidTr="006143A4">
        <w:trPr>
          <w:trHeight w:val="60"/>
        </w:trPr>
        <w:tc>
          <w:tcPr>
            <w:tcW w:w="2019" w:type="pct"/>
          </w:tcPr>
          <w:p w:rsidR="00260042" w:rsidRDefault="00260042" w:rsidP="006143A4">
            <w:pPr>
              <w:pStyle w:val="BodyText"/>
            </w:pPr>
            <w:r>
              <w:t>Private Collect</w:t>
            </w:r>
            <w:r>
              <w:rPr>
                <w:vertAlign w:val="superscript"/>
              </w:rPr>
              <w:t>(a)</w:t>
            </w:r>
          </w:p>
        </w:tc>
        <w:tc>
          <w:tcPr>
            <w:tcW w:w="994" w:type="pct"/>
          </w:tcPr>
          <w:p w:rsidR="00260042" w:rsidRDefault="00260042" w:rsidP="006143A4">
            <w:pPr>
              <w:pStyle w:val="BodyText"/>
              <w:jc w:val="right"/>
            </w:pPr>
            <w:r>
              <w:t>$2.037 billion</w:t>
            </w:r>
          </w:p>
        </w:tc>
        <w:tc>
          <w:tcPr>
            <w:tcW w:w="994" w:type="pct"/>
          </w:tcPr>
          <w:p w:rsidR="00260042" w:rsidRDefault="00260042" w:rsidP="006143A4">
            <w:pPr>
              <w:pStyle w:val="BodyText"/>
              <w:jc w:val="right"/>
            </w:pPr>
            <w:r>
              <w:t>$2.076 billion</w:t>
            </w:r>
          </w:p>
        </w:tc>
        <w:tc>
          <w:tcPr>
            <w:tcW w:w="994" w:type="pct"/>
          </w:tcPr>
          <w:p w:rsidR="00260042" w:rsidRDefault="00260042" w:rsidP="006143A4">
            <w:pPr>
              <w:pStyle w:val="BodyText"/>
              <w:jc w:val="right"/>
            </w:pPr>
            <w:r>
              <w:t>$2.076 billion</w:t>
            </w:r>
          </w:p>
        </w:tc>
      </w:tr>
      <w:tr w:rsidR="00260042" w:rsidTr="006143A4">
        <w:trPr>
          <w:trHeight w:val="60"/>
        </w:trPr>
        <w:tc>
          <w:tcPr>
            <w:tcW w:w="2019" w:type="pct"/>
          </w:tcPr>
          <w:p w:rsidR="00260042" w:rsidRDefault="00260042" w:rsidP="006143A4">
            <w:pPr>
              <w:pStyle w:val="BodyText"/>
            </w:pPr>
            <w:r>
              <w:rPr>
                <w:rStyle w:val="Bold"/>
              </w:rPr>
              <w:t>Total</w:t>
            </w:r>
          </w:p>
        </w:tc>
        <w:tc>
          <w:tcPr>
            <w:tcW w:w="994" w:type="pct"/>
          </w:tcPr>
          <w:p w:rsidR="00260042" w:rsidRDefault="00260042" w:rsidP="006143A4">
            <w:pPr>
              <w:pStyle w:val="BodyText"/>
              <w:jc w:val="right"/>
            </w:pPr>
            <w:r>
              <w:rPr>
                <w:rStyle w:val="Bold"/>
              </w:rPr>
              <w:t>$3.683 billion</w:t>
            </w:r>
          </w:p>
        </w:tc>
        <w:tc>
          <w:tcPr>
            <w:tcW w:w="994" w:type="pct"/>
          </w:tcPr>
          <w:p w:rsidR="00260042" w:rsidRDefault="00260042" w:rsidP="006143A4">
            <w:pPr>
              <w:pStyle w:val="BodyText"/>
              <w:jc w:val="right"/>
            </w:pPr>
            <w:r>
              <w:rPr>
                <w:rStyle w:val="Bold"/>
              </w:rPr>
              <w:t>$3.774 billion</w:t>
            </w:r>
          </w:p>
        </w:tc>
        <w:tc>
          <w:tcPr>
            <w:tcW w:w="994" w:type="pct"/>
          </w:tcPr>
          <w:p w:rsidR="00260042" w:rsidRDefault="00260042" w:rsidP="006143A4">
            <w:pPr>
              <w:pStyle w:val="BodyText"/>
              <w:jc w:val="right"/>
            </w:pPr>
            <w:r>
              <w:rPr>
                <w:rStyle w:val="Bold"/>
              </w:rPr>
              <w:t>$3.814 billion</w:t>
            </w:r>
          </w:p>
        </w:tc>
      </w:tr>
    </w:tbl>
    <w:p w:rsidR="00260042" w:rsidRDefault="00260042" w:rsidP="00EA5510">
      <w:pPr>
        <w:pStyle w:val="BodyText"/>
      </w:pPr>
      <w:r>
        <w:t>(a)</w:t>
      </w:r>
      <w:r>
        <w:tab/>
        <w:t xml:space="preserve">The amount of Private </w:t>
      </w:r>
      <w:proofErr w:type="gramStart"/>
      <w:r>
        <w:t>Collect</w:t>
      </w:r>
      <w:proofErr w:type="gramEnd"/>
      <w:r>
        <w:t xml:space="preserve"> transferred assumes 100% of Private Collect payments are collected.</w:t>
      </w:r>
    </w:p>
    <w:p w:rsidR="00260042" w:rsidRDefault="00260042" w:rsidP="00EA5510">
      <w:pPr>
        <w:pStyle w:val="BodyText"/>
      </w:pPr>
      <w:r>
        <w:t>Note: The amount of child support collected and transferred represents cash payments collected and transferred by the agency and other allowable payments (such as direct payment of school fees) that are credited as payments but are not collected and transferred by the agency. It does not include Private Collect transfers, when the agency assesses the amount payable but does not arrange for collection.</w:t>
      </w:r>
    </w:p>
    <w:p w:rsidR="00260042" w:rsidRDefault="00260042" w:rsidP="006143A4">
      <w:pPr>
        <w:pStyle w:val="Heading4"/>
      </w:pPr>
      <w:r>
        <w:t xml:space="preserve">Private </w:t>
      </w:r>
      <w:r w:rsidRPr="006143A4">
        <w:t>Collect</w:t>
      </w:r>
      <w:r>
        <w:t xml:space="preserve"> </w:t>
      </w:r>
    </w:p>
    <w:p w:rsidR="00260042" w:rsidRDefault="00260042" w:rsidP="00260042">
      <w:pPr>
        <w:pStyle w:val="BodyText"/>
      </w:pPr>
      <w:r>
        <w:t>When appropriate, separated parents can choose to manage their child support responsibilities through Private Collect arrangements. In Private Collect cases, Services Australia assesses the rate of child support payable, and the paying parent pays child support directly to the other parent or non-parent carer. In 2020–21, 51.2% of child support cases were Private Collect.</w:t>
      </w:r>
    </w:p>
    <w:p w:rsidR="00260042" w:rsidRDefault="00260042" w:rsidP="006143A4">
      <w:pPr>
        <w:pStyle w:val="Heading4"/>
      </w:pPr>
      <w:r>
        <w:t>Child Support Collect</w:t>
      </w:r>
    </w:p>
    <w:p w:rsidR="00260042" w:rsidRDefault="00260042" w:rsidP="00260042">
      <w:pPr>
        <w:pStyle w:val="BodyText"/>
      </w:pPr>
      <w:r>
        <w:t>If parents do not choose to make and receive child support payments directly between themselves, they can ask the agency to collect and transfer payments on their behalf. In 2020–21, the agency collected and transferred approximately $1.738 billion in child support payments.</w:t>
      </w:r>
    </w:p>
    <w:p w:rsidR="00260042" w:rsidRDefault="00260042" w:rsidP="006143A4">
      <w:pPr>
        <w:pStyle w:val="Heading3"/>
      </w:pPr>
      <w:r>
        <w:lastRenderedPageBreak/>
        <w:t>Change of assessment in special circumstances</w:t>
      </w:r>
    </w:p>
    <w:p w:rsidR="00260042" w:rsidRDefault="00260042" w:rsidP="00260042">
      <w:pPr>
        <w:pStyle w:val="BodyText"/>
      </w:pPr>
      <w:r>
        <w:t xml:space="preserve">The child support formula accommodates the majority of parents’ circumstances and provides flexibility for most changes that affect the assessment. A parent can apply to have their child support assessment reviewed if there are certain special circumstances that the formula cannot accommodate and that significantly affect either parent’s capacity to financially support the child or maintain </w:t>
      </w:r>
      <w:proofErr w:type="gramStart"/>
      <w:r>
        <w:t>themselves</w:t>
      </w:r>
      <w:proofErr w:type="gramEnd"/>
      <w:r>
        <w:t xml:space="preserve"> or a dependant. </w:t>
      </w:r>
    </w:p>
    <w:p w:rsidR="00260042" w:rsidRDefault="00260042" w:rsidP="00260042">
      <w:pPr>
        <w:pStyle w:val="BodyText"/>
      </w:pPr>
      <w:r>
        <w:t xml:space="preserve">In 2020–21, Services Australia received 14,556 change of assessment in special circumstances applications – 14,192 of finalised applications resulted in a change to the rate of child support </w:t>
      </w:r>
      <w:proofErr w:type="gramStart"/>
      <w:r>
        <w:t>to better reflect</w:t>
      </w:r>
      <w:proofErr w:type="gramEnd"/>
      <w:r>
        <w:t xml:space="preserve"> the special circumstances of parents and their children. In 60.56% of cases, the application related to a parent’s income, property, financial resources or earning capacity.</w:t>
      </w:r>
    </w:p>
    <w:p w:rsidR="00260042" w:rsidRDefault="00260042" w:rsidP="006143A4">
      <w:pPr>
        <w:pStyle w:val="Heading3"/>
      </w:pPr>
      <w:r>
        <w:t>Compliance and enforcement</w:t>
      </w:r>
    </w:p>
    <w:p w:rsidR="00260042" w:rsidRDefault="00260042" w:rsidP="00260042">
      <w:pPr>
        <w:pStyle w:val="BodyText"/>
      </w:pPr>
      <w:r>
        <w:t xml:space="preserve">Services Australia focuses on reducing child support debt through its compliance and enforcement programs. This includes setting up payment arrangements to repay child support debt in the shortest possible time based on a parent’s capacity to pay. Table 28 shows the percentage of active paying parents who do not have a child support debt. It also shows the percentage of active paying parents with a child support debt who have a payment arrangement in place to repay the debt. </w:t>
      </w:r>
    </w:p>
    <w:p w:rsidR="00260042" w:rsidRDefault="00260042" w:rsidP="00260042">
      <w:pPr>
        <w:pStyle w:val="BodyText"/>
      </w:pPr>
      <w:r>
        <w:t xml:space="preserve">An active paying parent is someone who is responsible for paying child support in at least one active child support case – that is, a case where there is a current or future liability. </w:t>
      </w:r>
    </w:p>
    <w:p w:rsidR="00260042" w:rsidRDefault="00260042" w:rsidP="00260042">
      <w:pPr>
        <w:pStyle w:val="BodyText"/>
      </w:pPr>
      <w:r>
        <w:t xml:space="preserve">Table 28 does not include parents whose cases have ended (meaning there is no current or </w:t>
      </w:r>
      <w:proofErr w:type="gramStart"/>
      <w:r>
        <w:t>future child support liability</w:t>
      </w:r>
      <w:proofErr w:type="gramEnd"/>
      <w:r>
        <w:t xml:space="preserve">) but who still have a child support debt. </w:t>
      </w:r>
    </w:p>
    <w:p w:rsidR="00260042" w:rsidRPr="00EA5510" w:rsidRDefault="009B789E" w:rsidP="00EA5510">
      <w:pPr>
        <w:pStyle w:val="BodyText"/>
        <w:rPr>
          <w:b/>
        </w:rPr>
      </w:pPr>
      <w:r>
        <w:rPr>
          <w:b/>
        </w:rPr>
        <w:t>Table 2</w:t>
      </w:r>
      <w:r>
        <w:rPr>
          <w:b/>
        </w:rPr>
        <w:t>8</w:t>
      </w:r>
      <w:r w:rsidR="00260042" w:rsidRPr="00EA5510">
        <w:rPr>
          <w:b/>
        </w:rPr>
        <w:t xml:space="preserve"> Active paying parents without debt and with debt under a payment arrangement </w:t>
      </w:r>
    </w:p>
    <w:tbl>
      <w:tblPr>
        <w:tblStyle w:val="TableGrid"/>
        <w:tblW w:w="5000" w:type="pct"/>
        <w:tblLook w:val="0000" w:firstRow="0" w:lastRow="0" w:firstColumn="0" w:lastColumn="0" w:noHBand="0" w:noVBand="0"/>
        <w:tblCaption w:val=" Active paying parents without debt and with debt under a payment arrangement "/>
      </w:tblPr>
      <w:tblGrid>
        <w:gridCol w:w="5843"/>
        <w:gridCol w:w="1649"/>
        <w:gridCol w:w="1649"/>
        <w:gridCol w:w="1649"/>
      </w:tblGrid>
      <w:tr w:rsidR="00260042" w:rsidTr="006143A4">
        <w:trPr>
          <w:trHeight w:val="60"/>
          <w:tblHeader/>
        </w:trPr>
        <w:tc>
          <w:tcPr>
            <w:tcW w:w="2707" w:type="pct"/>
          </w:tcPr>
          <w:p w:rsidR="00260042" w:rsidRDefault="00260042" w:rsidP="006143A4">
            <w:pPr>
              <w:pStyle w:val="BodyText"/>
            </w:pPr>
          </w:p>
        </w:tc>
        <w:tc>
          <w:tcPr>
            <w:tcW w:w="764" w:type="pct"/>
          </w:tcPr>
          <w:p w:rsidR="00260042" w:rsidRPr="006143A4" w:rsidRDefault="00260042" w:rsidP="006143A4">
            <w:pPr>
              <w:pStyle w:val="BodyText"/>
              <w:jc w:val="right"/>
              <w:rPr>
                <w:b/>
              </w:rPr>
            </w:pPr>
            <w:r w:rsidRPr="006143A4">
              <w:rPr>
                <w:b/>
              </w:rPr>
              <w:t>2018–19 %</w:t>
            </w:r>
          </w:p>
        </w:tc>
        <w:tc>
          <w:tcPr>
            <w:tcW w:w="764" w:type="pct"/>
          </w:tcPr>
          <w:p w:rsidR="00260042" w:rsidRPr="006143A4" w:rsidRDefault="00260042" w:rsidP="006143A4">
            <w:pPr>
              <w:pStyle w:val="BodyText"/>
              <w:jc w:val="right"/>
              <w:rPr>
                <w:b/>
              </w:rPr>
            </w:pPr>
            <w:r w:rsidRPr="006143A4">
              <w:rPr>
                <w:b/>
              </w:rPr>
              <w:t>2019–20 %</w:t>
            </w:r>
          </w:p>
        </w:tc>
        <w:tc>
          <w:tcPr>
            <w:tcW w:w="764" w:type="pct"/>
          </w:tcPr>
          <w:p w:rsidR="00260042" w:rsidRPr="006143A4" w:rsidRDefault="00260042" w:rsidP="006143A4">
            <w:pPr>
              <w:pStyle w:val="BodyText"/>
              <w:jc w:val="right"/>
              <w:rPr>
                <w:b/>
              </w:rPr>
            </w:pPr>
            <w:r w:rsidRPr="006143A4">
              <w:rPr>
                <w:b/>
              </w:rPr>
              <w:t>2021–21 %</w:t>
            </w:r>
          </w:p>
        </w:tc>
      </w:tr>
      <w:tr w:rsidR="00260042" w:rsidTr="006143A4">
        <w:trPr>
          <w:trHeight w:val="60"/>
        </w:trPr>
        <w:tc>
          <w:tcPr>
            <w:tcW w:w="2707" w:type="pct"/>
          </w:tcPr>
          <w:p w:rsidR="00260042" w:rsidRDefault="00260042" w:rsidP="006143A4">
            <w:pPr>
              <w:pStyle w:val="BodyText"/>
            </w:pPr>
            <w:r>
              <w:t>Active paying parents without debt</w:t>
            </w:r>
          </w:p>
        </w:tc>
        <w:tc>
          <w:tcPr>
            <w:tcW w:w="764" w:type="pct"/>
          </w:tcPr>
          <w:p w:rsidR="00260042" w:rsidRDefault="00260042" w:rsidP="006143A4">
            <w:pPr>
              <w:pStyle w:val="BodyText"/>
              <w:jc w:val="right"/>
            </w:pPr>
            <w:r>
              <w:t>74.7</w:t>
            </w:r>
          </w:p>
        </w:tc>
        <w:tc>
          <w:tcPr>
            <w:tcW w:w="764" w:type="pct"/>
          </w:tcPr>
          <w:p w:rsidR="00260042" w:rsidRDefault="00260042" w:rsidP="006143A4">
            <w:pPr>
              <w:pStyle w:val="BodyText"/>
              <w:jc w:val="right"/>
            </w:pPr>
            <w:r>
              <w:t>73.7</w:t>
            </w:r>
          </w:p>
        </w:tc>
        <w:tc>
          <w:tcPr>
            <w:tcW w:w="764" w:type="pct"/>
          </w:tcPr>
          <w:p w:rsidR="00260042" w:rsidRDefault="00260042" w:rsidP="006143A4">
            <w:pPr>
              <w:pStyle w:val="BodyText"/>
              <w:jc w:val="right"/>
            </w:pPr>
            <w:r>
              <w:t>75.8</w:t>
            </w:r>
          </w:p>
        </w:tc>
      </w:tr>
      <w:tr w:rsidR="00260042" w:rsidTr="006143A4">
        <w:trPr>
          <w:trHeight w:val="60"/>
        </w:trPr>
        <w:tc>
          <w:tcPr>
            <w:tcW w:w="2707" w:type="pct"/>
          </w:tcPr>
          <w:p w:rsidR="00260042" w:rsidRDefault="00260042" w:rsidP="006143A4">
            <w:pPr>
              <w:pStyle w:val="BodyText"/>
            </w:pPr>
            <w:r>
              <w:t>Active paying parents with a child support debt which is under a payment arrangement</w:t>
            </w:r>
          </w:p>
        </w:tc>
        <w:tc>
          <w:tcPr>
            <w:tcW w:w="764" w:type="pct"/>
          </w:tcPr>
          <w:p w:rsidR="00260042" w:rsidRDefault="00260042" w:rsidP="006143A4">
            <w:pPr>
              <w:pStyle w:val="BodyText"/>
              <w:jc w:val="right"/>
            </w:pPr>
            <w:r>
              <w:t>50.1</w:t>
            </w:r>
          </w:p>
        </w:tc>
        <w:tc>
          <w:tcPr>
            <w:tcW w:w="764" w:type="pct"/>
          </w:tcPr>
          <w:p w:rsidR="00260042" w:rsidRDefault="00260042" w:rsidP="006143A4">
            <w:pPr>
              <w:pStyle w:val="BodyText"/>
              <w:jc w:val="right"/>
            </w:pPr>
            <w:r>
              <w:t>62.5</w:t>
            </w:r>
          </w:p>
        </w:tc>
        <w:tc>
          <w:tcPr>
            <w:tcW w:w="764" w:type="pct"/>
          </w:tcPr>
          <w:p w:rsidR="00260042" w:rsidRDefault="00260042" w:rsidP="006143A4">
            <w:pPr>
              <w:pStyle w:val="BodyText"/>
              <w:jc w:val="right"/>
            </w:pPr>
            <w:r>
              <w:t>58.0</w:t>
            </w:r>
          </w:p>
        </w:tc>
      </w:tr>
    </w:tbl>
    <w:p w:rsidR="00260042" w:rsidRDefault="00260042" w:rsidP="00260042">
      <w:pPr>
        <w:pStyle w:val="BodyText"/>
      </w:pPr>
      <w:r>
        <w:t xml:space="preserve">Whenever possible, child support </w:t>
      </w:r>
      <w:proofErr w:type="gramStart"/>
      <w:r>
        <w:t>is collected</w:t>
      </w:r>
      <w:proofErr w:type="gramEnd"/>
      <w:r>
        <w:t xml:space="preserve"> via employer withholding and income support payments to ensure timely and sustainable payments are made – see Table 30: Employer withholding from wages and salaries on page </w:t>
      </w:r>
      <w:r w:rsidR="004E3486">
        <w:t>64</w:t>
      </w:r>
      <w:r>
        <w:t>. When voluntary compliance is not possible, the agency pursues collection. This could include seeking a Departure Prohibition Order (DPO) or pursuing collection from a paying parent through the courts.</w:t>
      </w:r>
    </w:p>
    <w:p w:rsidR="00260042" w:rsidRDefault="00260042" w:rsidP="00260042">
      <w:pPr>
        <w:pStyle w:val="BodyText"/>
      </w:pPr>
      <w:r>
        <w:t xml:space="preserve">DPOs stop child support debtors from leaving Australia without either paying, or arranging to pay, their child support. In 2020–21, 922 DPOs </w:t>
      </w:r>
      <w:proofErr w:type="gramStart"/>
      <w:r>
        <w:t>were issued</w:t>
      </w:r>
      <w:proofErr w:type="gramEnd"/>
      <w:r>
        <w:t xml:space="preserve">, resulting in $21.3 million being collected. </w:t>
      </w:r>
    </w:p>
    <w:p w:rsidR="00260042" w:rsidRDefault="00260042" w:rsidP="00260042">
      <w:pPr>
        <w:pStyle w:val="BodyText"/>
      </w:pPr>
      <w:r>
        <w:t xml:space="preserve">In 2020–21, Services Australia issued 33,686 ‘nudge’ letters to customers who had missed payments, which resulted in $43.6 million </w:t>
      </w:r>
      <w:proofErr w:type="gramStart"/>
      <w:r>
        <w:t>being paid</w:t>
      </w:r>
      <w:proofErr w:type="gramEnd"/>
      <w:r>
        <w:t xml:space="preserve">. The nudge letters also resulted in paying parents entering into arrangements to repay their child support debt (valued at $39.7 million). The wording of these letters </w:t>
      </w:r>
      <w:proofErr w:type="gramStart"/>
      <w:r>
        <w:t>is based</w:t>
      </w:r>
      <w:proofErr w:type="gramEnd"/>
      <w:r>
        <w:t xml:space="preserve"> on our behavioural analytics research, which helps Services Australia motivate positive customer responses.</w:t>
      </w:r>
    </w:p>
    <w:p w:rsidR="00260042" w:rsidRDefault="00260042" w:rsidP="00260042">
      <w:pPr>
        <w:pStyle w:val="BodyText"/>
      </w:pPr>
      <w:r>
        <w:lastRenderedPageBreak/>
        <w:t xml:space="preserve">During the year, the agency refined its child support compliance programs by using STP data to inform more timely collection of child support payments. For example, where a paying parent is not making timely child support payments and STP data suggests they are </w:t>
      </w:r>
      <w:proofErr w:type="gramStart"/>
      <w:r>
        <w:t>working,</w:t>
      </w:r>
      <w:proofErr w:type="gramEnd"/>
      <w:r>
        <w:t xml:space="preserve"> we will use this information to work with the parent to ensure regular child support payments are made.</w:t>
      </w:r>
    </w:p>
    <w:p w:rsidR="00260042" w:rsidRPr="00EA5510" w:rsidRDefault="009B789E" w:rsidP="00EA5510">
      <w:pPr>
        <w:pStyle w:val="BodyText"/>
        <w:rPr>
          <w:b/>
        </w:rPr>
      </w:pPr>
      <w:r>
        <w:rPr>
          <w:b/>
        </w:rPr>
        <w:t>Table 2</w:t>
      </w:r>
      <w:r>
        <w:rPr>
          <w:b/>
        </w:rPr>
        <w:t>9</w:t>
      </w:r>
      <w:r w:rsidR="00260042" w:rsidRPr="00EA5510">
        <w:rPr>
          <w:b/>
        </w:rPr>
        <w:t xml:space="preserve"> Child support compliance and enforcement actions</w:t>
      </w:r>
    </w:p>
    <w:tbl>
      <w:tblPr>
        <w:tblStyle w:val="TableGrid"/>
        <w:tblW w:w="5000" w:type="pct"/>
        <w:tblLook w:val="0000" w:firstRow="0" w:lastRow="0" w:firstColumn="0" w:lastColumn="0" w:noHBand="0" w:noVBand="0"/>
        <w:tblCaption w:val="Child support compliance and enforcement actions"/>
      </w:tblPr>
      <w:tblGrid>
        <w:gridCol w:w="2001"/>
        <w:gridCol w:w="1453"/>
        <w:gridCol w:w="1450"/>
        <w:gridCol w:w="1532"/>
        <w:gridCol w:w="1452"/>
        <w:gridCol w:w="1450"/>
        <w:gridCol w:w="1452"/>
      </w:tblGrid>
      <w:tr w:rsidR="00260042" w:rsidTr="009E74CB">
        <w:trPr>
          <w:trHeight w:val="60"/>
          <w:tblHeader/>
        </w:trPr>
        <w:tc>
          <w:tcPr>
            <w:tcW w:w="927" w:type="pct"/>
          </w:tcPr>
          <w:p w:rsidR="00260042" w:rsidRDefault="00260042" w:rsidP="009E74CB">
            <w:pPr>
              <w:pStyle w:val="BodyText"/>
            </w:pPr>
          </w:p>
        </w:tc>
        <w:tc>
          <w:tcPr>
            <w:tcW w:w="2055" w:type="pct"/>
            <w:gridSpan w:val="3"/>
          </w:tcPr>
          <w:p w:rsidR="00260042" w:rsidRPr="009E74CB" w:rsidRDefault="00260042" w:rsidP="009E74CB">
            <w:pPr>
              <w:pStyle w:val="BodyText"/>
              <w:jc w:val="center"/>
              <w:rPr>
                <w:b/>
              </w:rPr>
            </w:pPr>
            <w:r w:rsidRPr="009E74CB">
              <w:rPr>
                <w:b/>
              </w:rPr>
              <w:t>Number of actions</w:t>
            </w:r>
          </w:p>
        </w:tc>
        <w:tc>
          <w:tcPr>
            <w:tcW w:w="2018" w:type="pct"/>
            <w:gridSpan w:val="3"/>
          </w:tcPr>
          <w:p w:rsidR="00260042" w:rsidRPr="009E74CB" w:rsidRDefault="00260042" w:rsidP="009E74CB">
            <w:pPr>
              <w:pStyle w:val="BodyText"/>
              <w:jc w:val="center"/>
              <w:rPr>
                <w:b/>
              </w:rPr>
            </w:pPr>
            <w:r w:rsidRPr="009E74CB">
              <w:rPr>
                <w:b/>
              </w:rPr>
              <w:t>Child support collected/corrected $ million</w:t>
            </w:r>
          </w:p>
        </w:tc>
      </w:tr>
      <w:tr w:rsidR="00260042" w:rsidTr="009E74CB">
        <w:trPr>
          <w:trHeight w:val="60"/>
          <w:tblHeader/>
        </w:trPr>
        <w:tc>
          <w:tcPr>
            <w:tcW w:w="927" w:type="pct"/>
          </w:tcPr>
          <w:p w:rsidR="00260042" w:rsidRDefault="00260042" w:rsidP="009E74CB">
            <w:pPr>
              <w:pStyle w:val="BodyText"/>
            </w:pPr>
          </w:p>
        </w:tc>
        <w:tc>
          <w:tcPr>
            <w:tcW w:w="673" w:type="pct"/>
          </w:tcPr>
          <w:p w:rsidR="00260042" w:rsidRPr="009E74CB" w:rsidRDefault="00260042" w:rsidP="009E74CB">
            <w:pPr>
              <w:pStyle w:val="BodyText"/>
              <w:jc w:val="right"/>
              <w:rPr>
                <w:b/>
              </w:rPr>
            </w:pPr>
            <w:r w:rsidRPr="009E74CB">
              <w:rPr>
                <w:b/>
              </w:rPr>
              <w:t>2018–19</w:t>
            </w:r>
          </w:p>
        </w:tc>
        <w:tc>
          <w:tcPr>
            <w:tcW w:w="672" w:type="pct"/>
          </w:tcPr>
          <w:p w:rsidR="00260042" w:rsidRPr="009E74CB" w:rsidRDefault="00260042" w:rsidP="009E74CB">
            <w:pPr>
              <w:pStyle w:val="BodyText"/>
              <w:jc w:val="right"/>
              <w:rPr>
                <w:b/>
              </w:rPr>
            </w:pPr>
            <w:r w:rsidRPr="009E74CB">
              <w:rPr>
                <w:b/>
              </w:rPr>
              <w:t>2019–20</w:t>
            </w:r>
          </w:p>
        </w:tc>
        <w:tc>
          <w:tcPr>
            <w:tcW w:w="710" w:type="pct"/>
          </w:tcPr>
          <w:p w:rsidR="00260042" w:rsidRPr="009E74CB" w:rsidRDefault="00260042" w:rsidP="009E74CB">
            <w:pPr>
              <w:pStyle w:val="BodyText"/>
              <w:jc w:val="right"/>
              <w:rPr>
                <w:b/>
              </w:rPr>
            </w:pPr>
            <w:r w:rsidRPr="009E74CB">
              <w:rPr>
                <w:b/>
              </w:rPr>
              <w:t>2020–21</w:t>
            </w:r>
          </w:p>
        </w:tc>
        <w:tc>
          <w:tcPr>
            <w:tcW w:w="673" w:type="pct"/>
          </w:tcPr>
          <w:p w:rsidR="00260042" w:rsidRPr="009E74CB" w:rsidRDefault="00260042" w:rsidP="009E74CB">
            <w:pPr>
              <w:pStyle w:val="BodyText"/>
              <w:jc w:val="right"/>
              <w:rPr>
                <w:b/>
              </w:rPr>
            </w:pPr>
            <w:r w:rsidRPr="009E74CB">
              <w:rPr>
                <w:b/>
              </w:rPr>
              <w:t>2018–19</w:t>
            </w:r>
          </w:p>
        </w:tc>
        <w:tc>
          <w:tcPr>
            <w:tcW w:w="672" w:type="pct"/>
          </w:tcPr>
          <w:p w:rsidR="00260042" w:rsidRPr="009E74CB" w:rsidRDefault="00260042" w:rsidP="009E74CB">
            <w:pPr>
              <w:pStyle w:val="BodyText"/>
              <w:jc w:val="right"/>
              <w:rPr>
                <w:b/>
              </w:rPr>
            </w:pPr>
            <w:r w:rsidRPr="009E74CB">
              <w:rPr>
                <w:b/>
              </w:rPr>
              <w:t>2019–20</w:t>
            </w:r>
          </w:p>
        </w:tc>
        <w:tc>
          <w:tcPr>
            <w:tcW w:w="673" w:type="pct"/>
          </w:tcPr>
          <w:p w:rsidR="00260042" w:rsidRPr="009E74CB" w:rsidRDefault="00260042" w:rsidP="009E74CB">
            <w:pPr>
              <w:pStyle w:val="BodyText"/>
              <w:jc w:val="right"/>
              <w:rPr>
                <w:b/>
              </w:rPr>
            </w:pPr>
            <w:r w:rsidRPr="009E74CB">
              <w:rPr>
                <w:b/>
              </w:rPr>
              <w:t>2020–21</w:t>
            </w:r>
          </w:p>
        </w:tc>
      </w:tr>
      <w:tr w:rsidR="00260042" w:rsidTr="009E74CB">
        <w:trPr>
          <w:trHeight w:val="60"/>
        </w:trPr>
        <w:tc>
          <w:tcPr>
            <w:tcW w:w="927" w:type="pct"/>
          </w:tcPr>
          <w:p w:rsidR="00260042" w:rsidRDefault="00260042" w:rsidP="009E74CB">
            <w:pPr>
              <w:pStyle w:val="BodyText"/>
            </w:pPr>
            <w:r>
              <w:t>Lodgement of finalisations</w:t>
            </w:r>
            <w:r>
              <w:rPr>
                <w:vertAlign w:val="superscript"/>
              </w:rPr>
              <w:t>(a)</w:t>
            </w:r>
          </w:p>
        </w:tc>
        <w:tc>
          <w:tcPr>
            <w:tcW w:w="673" w:type="pct"/>
          </w:tcPr>
          <w:p w:rsidR="00260042" w:rsidRDefault="00260042" w:rsidP="009E74CB">
            <w:pPr>
              <w:pStyle w:val="BodyText"/>
              <w:jc w:val="right"/>
            </w:pPr>
            <w:r>
              <w:t>60,323</w:t>
            </w:r>
          </w:p>
        </w:tc>
        <w:tc>
          <w:tcPr>
            <w:tcW w:w="672" w:type="pct"/>
          </w:tcPr>
          <w:p w:rsidR="00260042" w:rsidRDefault="00260042" w:rsidP="009E74CB">
            <w:pPr>
              <w:pStyle w:val="BodyText"/>
              <w:jc w:val="right"/>
            </w:pPr>
            <w:r>
              <w:t>122,658</w:t>
            </w:r>
          </w:p>
        </w:tc>
        <w:tc>
          <w:tcPr>
            <w:tcW w:w="710" w:type="pct"/>
          </w:tcPr>
          <w:p w:rsidR="00260042" w:rsidRDefault="00260042" w:rsidP="009E74CB">
            <w:pPr>
              <w:pStyle w:val="BodyText"/>
              <w:jc w:val="right"/>
            </w:pPr>
            <w:r>
              <w:t>83,039</w:t>
            </w:r>
          </w:p>
        </w:tc>
        <w:tc>
          <w:tcPr>
            <w:tcW w:w="673" w:type="pct"/>
          </w:tcPr>
          <w:p w:rsidR="00260042" w:rsidRDefault="00260042" w:rsidP="009E74CB">
            <w:pPr>
              <w:pStyle w:val="BodyText"/>
              <w:jc w:val="right"/>
            </w:pPr>
            <w:r>
              <w:t>NA</w:t>
            </w:r>
          </w:p>
        </w:tc>
        <w:tc>
          <w:tcPr>
            <w:tcW w:w="672" w:type="pct"/>
          </w:tcPr>
          <w:p w:rsidR="00260042" w:rsidRDefault="00260042" w:rsidP="009E74CB">
            <w:pPr>
              <w:pStyle w:val="BodyText"/>
              <w:jc w:val="right"/>
            </w:pPr>
            <w:r>
              <w:t>NA</w:t>
            </w:r>
          </w:p>
        </w:tc>
        <w:tc>
          <w:tcPr>
            <w:tcW w:w="673" w:type="pct"/>
          </w:tcPr>
          <w:p w:rsidR="00260042" w:rsidRDefault="00260042" w:rsidP="009E74CB">
            <w:pPr>
              <w:pStyle w:val="BodyText"/>
              <w:jc w:val="right"/>
            </w:pPr>
            <w:r>
              <w:t>83,039</w:t>
            </w:r>
          </w:p>
        </w:tc>
      </w:tr>
      <w:tr w:rsidR="00260042" w:rsidTr="009E74CB">
        <w:trPr>
          <w:trHeight w:val="60"/>
        </w:trPr>
        <w:tc>
          <w:tcPr>
            <w:tcW w:w="927" w:type="pct"/>
          </w:tcPr>
          <w:p w:rsidR="00260042" w:rsidRDefault="00260042" w:rsidP="009E74CB">
            <w:pPr>
              <w:pStyle w:val="BodyText"/>
            </w:pPr>
            <w:r>
              <w:t>Tax refund intercept payment</w:t>
            </w:r>
            <w:r>
              <w:rPr>
                <w:vertAlign w:val="superscript"/>
              </w:rPr>
              <w:t>(b)</w:t>
            </w:r>
          </w:p>
        </w:tc>
        <w:tc>
          <w:tcPr>
            <w:tcW w:w="673" w:type="pct"/>
          </w:tcPr>
          <w:p w:rsidR="00260042" w:rsidRDefault="00260042" w:rsidP="009E74CB">
            <w:pPr>
              <w:pStyle w:val="BodyText"/>
              <w:jc w:val="right"/>
            </w:pPr>
            <w:r>
              <w:t>106,147</w:t>
            </w:r>
          </w:p>
        </w:tc>
        <w:tc>
          <w:tcPr>
            <w:tcW w:w="672" w:type="pct"/>
          </w:tcPr>
          <w:p w:rsidR="00260042" w:rsidRDefault="00260042" w:rsidP="009E74CB">
            <w:pPr>
              <w:pStyle w:val="BodyText"/>
              <w:jc w:val="right"/>
            </w:pPr>
            <w:r>
              <w:t>124,123</w:t>
            </w:r>
          </w:p>
        </w:tc>
        <w:tc>
          <w:tcPr>
            <w:tcW w:w="710" w:type="pct"/>
          </w:tcPr>
          <w:p w:rsidR="00260042" w:rsidRDefault="00260042" w:rsidP="009E74CB">
            <w:pPr>
              <w:pStyle w:val="BodyText"/>
              <w:jc w:val="right"/>
            </w:pPr>
            <w:r>
              <w:t>118,960</w:t>
            </w:r>
          </w:p>
        </w:tc>
        <w:tc>
          <w:tcPr>
            <w:tcW w:w="673" w:type="pct"/>
          </w:tcPr>
          <w:p w:rsidR="00260042" w:rsidRDefault="00260042" w:rsidP="009E74CB">
            <w:pPr>
              <w:pStyle w:val="BodyText"/>
              <w:jc w:val="right"/>
            </w:pPr>
            <w:r>
              <w:t>123.7</w:t>
            </w:r>
          </w:p>
        </w:tc>
        <w:tc>
          <w:tcPr>
            <w:tcW w:w="672" w:type="pct"/>
          </w:tcPr>
          <w:p w:rsidR="00260042" w:rsidRDefault="00260042" w:rsidP="009E74CB">
            <w:pPr>
              <w:pStyle w:val="BodyText"/>
              <w:jc w:val="right"/>
            </w:pPr>
            <w:r>
              <w:t>161.2</w:t>
            </w:r>
          </w:p>
        </w:tc>
        <w:tc>
          <w:tcPr>
            <w:tcW w:w="673" w:type="pct"/>
          </w:tcPr>
          <w:p w:rsidR="00260042" w:rsidRDefault="00260042" w:rsidP="009E74CB">
            <w:pPr>
              <w:pStyle w:val="BodyText"/>
              <w:jc w:val="right"/>
            </w:pPr>
            <w:r>
              <w:t>158.6</w:t>
            </w:r>
          </w:p>
        </w:tc>
      </w:tr>
      <w:tr w:rsidR="00260042" w:rsidTr="009E74CB">
        <w:trPr>
          <w:trHeight w:val="60"/>
        </w:trPr>
        <w:tc>
          <w:tcPr>
            <w:tcW w:w="927" w:type="pct"/>
          </w:tcPr>
          <w:p w:rsidR="00260042" w:rsidRDefault="00260042" w:rsidP="009E74CB">
            <w:pPr>
              <w:pStyle w:val="BodyText"/>
            </w:pPr>
            <w:r>
              <w:t>Departure Prohibition Orders</w:t>
            </w:r>
            <w:r>
              <w:rPr>
                <w:vertAlign w:val="superscript"/>
              </w:rPr>
              <w:t>(c)</w:t>
            </w:r>
          </w:p>
        </w:tc>
        <w:tc>
          <w:tcPr>
            <w:tcW w:w="673" w:type="pct"/>
          </w:tcPr>
          <w:p w:rsidR="00260042" w:rsidRDefault="00260042" w:rsidP="009E74CB">
            <w:pPr>
              <w:pStyle w:val="BodyText"/>
              <w:jc w:val="right"/>
            </w:pPr>
            <w:r>
              <w:t>1,921</w:t>
            </w:r>
          </w:p>
        </w:tc>
        <w:tc>
          <w:tcPr>
            <w:tcW w:w="672" w:type="pct"/>
          </w:tcPr>
          <w:p w:rsidR="00260042" w:rsidRDefault="00260042" w:rsidP="009E74CB">
            <w:pPr>
              <w:pStyle w:val="BodyText"/>
              <w:jc w:val="right"/>
            </w:pPr>
            <w:r>
              <w:t>741</w:t>
            </w:r>
          </w:p>
        </w:tc>
        <w:tc>
          <w:tcPr>
            <w:tcW w:w="710" w:type="pct"/>
          </w:tcPr>
          <w:p w:rsidR="00260042" w:rsidRDefault="00260042" w:rsidP="009E74CB">
            <w:pPr>
              <w:pStyle w:val="BodyText"/>
              <w:jc w:val="right"/>
            </w:pPr>
            <w:r>
              <w:t>922</w:t>
            </w:r>
          </w:p>
        </w:tc>
        <w:tc>
          <w:tcPr>
            <w:tcW w:w="673" w:type="pct"/>
          </w:tcPr>
          <w:p w:rsidR="00260042" w:rsidRDefault="00260042" w:rsidP="009E74CB">
            <w:pPr>
              <w:pStyle w:val="BodyText"/>
              <w:jc w:val="right"/>
            </w:pPr>
            <w:r>
              <w:t>28.0</w:t>
            </w:r>
          </w:p>
        </w:tc>
        <w:tc>
          <w:tcPr>
            <w:tcW w:w="672" w:type="pct"/>
          </w:tcPr>
          <w:p w:rsidR="00260042" w:rsidRDefault="00260042" w:rsidP="009E74CB">
            <w:pPr>
              <w:pStyle w:val="BodyText"/>
              <w:jc w:val="right"/>
            </w:pPr>
            <w:r>
              <w:t>25.0</w:t>
            </w:r>
          </w:p>
        </w:tc>
        <w:tc>
          <w:tcPr>
            <w:tcW w:w="673" w:type="pct"/>
          </w:tcPr>
          <w:p w:rsidR="00260042" w:rsidRDefault="00260042" w:rsidP="009E74CB">
            <w:pPr>
              <w:pStyle w:val="BodyText"/>
              <w:jc w:val="right"/>
            </w:pPr>
            <w:r>
              <w:t>21.3</w:t>
            </w:r>
          </w:p>
        </w:tc>
      </w:tr>
      <w:tr w:rsidR="00260042" w:rsidTr="009E74CB">
        <w:trPr>
          <w:trHeight w:val="60"/>
        </w:trPr>
        <w:tc>
          <w:tcPr>
            <w:tcW w:w="927" w:type="pct"/>
          </w:tcPr>
          <w:p w:rsidR="00260042" w:rsidRDefault="00260042" w:rsidP="009E74CB">
            <w:pPr>
              <w:pStyle w:val="BodyText"/>
            </w:pPr>
            <w:r>
              <w:t>Litigation</w:t>
            </w:r>
            <w:r>
              <w:rPr>
                <w:vertAlign w:val="superscript"/>
              </w:rPr>
              <w:t xml:space="preserve">(d) </w:t>
            </w:r>
          </w:p>
        </w:tc>
        <w:tc>
          <w:tcPr>
            <w:tcW w:w="673" w:type="pct"/>
          </w:tcPr>
          <w:p w:rsidR="00260042" w:rsidRDefault="00260042" w:rsidP="009E74CB">
            <w:pPr>
              <w:pStyle w:val="BodyText"/>
              <w:jc w:val="right"/>
            </w:pPr>
            <w:r>
              <w:t>75</w:t>
            </w:r>
          </w:p>
        </w:tc>
        <w:tc>
          <w:tcPr>
            <w:tcW w:w="672" w:type="pct"/>
          </w:tcPr>
          <w:p w:rsidR="00260042" w:rsidRDefault="00260042" w:rsidP="009E74CB">
            <w:pPr>
              <w:pStyle w:val="BodyText"/>
              <w:jc w:val="right"/>
            </w:pPr>
            <w:r>
              <w:t>53</w:t>
            </w:r>
          </w:p>
        </w:tc>
        <w:tc>
          <w:tcPr>
            <w:tcW w:w="710" w:type="pct"/>
          </w:tcPr>
          <w:p w:rsidR="00260042" w:rsidRDefault="00260042" w:rsidP="009E74CB">
            <w:pPr>
              <w:pStyle w:val="BodyText"/>
              <w:jc w:val="right"/>
            </w:pPr>
            <w:r>
              <w:t>76</w:t>
            </w:r>
          </w:p>
        </w:tc>
        <w:tc>
          <w:tcPr>
            <w:tcW w:w="673" w:type="pct"/>
          </w:tcPr>
          <w:p w:rsidR="00260042" w:rsidRDefault="00260042" w:rsidP="009E74CB">
            <w:pPr>
              <w:pStyle w:val="BodyText"/>
              <w:jc w:val="right"/>
            </w:pPr>
            <w:r>
              <w:t>15.0</w:t>
            </w:r>
          </w:p>
        </w:tc>
        <w:tc>
          <w:tcPr>
            <w:tcW w:w="672" w:type="pct"/>
          </w:tcPr>
          <w:p w:rsidR="00260042" w:rsidRDefault="00260042" w:rsidP="009E74CB">
            <w:pPr>
              <w:pStyle w:val="BodyText"/>
              <w:jc w:val="right"/>
            </w:pPr>
            <w:r>
              <w:t>12.0</w:t>
            </w:r>
          </w:p>
        </w:tc>
        <w:tc>
          <w:tcPr>
            <w:tcW w:w="673" w:type="pct"/>
          </w:tcPr>
          <w:p w:rsidR="00260042" w:rsidRDefault="00260042" w:rsidP="009E74CB">
            <w:pPr>
              <w:pStyle w:val="BodyText"/>
              <w:jc w:val="right"/>
            </w:pPr>
            <w:r>
              <w:t>13.3</w:t>
            </w:r>
          </w:p>
        </w:tc>
      </w:tr>
    </w:tbl>
    <w:p w:rsidR="00260042" w:rsidRDefault="00260042" w:rsidP="00EA5510">
      <w:pPr>
        <w:pStyle w:val="BodyText"/>
      </w:pPr>
      <w:r>
        <w:t>(a)</w:t>
      </w:r>
      <w:r>
        <w:tab/>
        <w:t xml:space="preserve">To ensure assessments for child support are accurate, the ATO takes lodgement enforcement action for mutual customers. A finalisation </w:t>
      </w:r>
      <w:proofErr w:type="gramStart"/>
      <w:r>
        <w:t>is defined</w:t>
      </w:r>
      <w:proofErr w:type="gramEnd"/>
      <w:r>
        <w:t xml:space="preserve"> as a tax return lodgement; an ATO determination that a return is not necessary; a further return is not necessary; or an ATO determined income. This definition has been updated to include all actions undertaken by the </w:t>
      </w:r>
      <w:proofErr w:type="gramStart"/>
      <w:r>
        <w:t>ATO,</w:t>
      </w:r>
      <w:proofErr w:type="gramEnd"/>
      <w:r>
        <w:t xml:space="preserve"> therefore this table will differ from previous published annual reports. </w:t>
      </w:r>
    </w:p>
    <w:p w:rsidR="00260042" w:rsidRDefault="00260042" w:rsidP="00EA5510">
      <w:pPr>
        <w:pStyle w:val="BodyText"/>
      </w:pPr>
      <w:r>
        <w:t>(b)</w:t>
      </w:r>
      <w:r>
        <w:tab/>
        <w:t xml:space="preserve">Tax refund intercepts resulting from actions taken to enforce ATO taxable incomes (lodgement enforcement) are included in this figure. </w:t>
      </w:r>
    </w:p>
    <w:p w:rsidR="00260042" w:rsidRDefault="00260042" w:rsidP="00EA5510">
      <w:pPr>
        <w:pStyle w:val="BodyText"/>
      </w:pPr>
      <w:r>
        <w:t>(c)</w:t>
      </w:r>
      <w:r>
        <w:tab/>
        <w:t xml:space="preserve">DPOs preventing overseas travel </w:t>
      </w:r>
      <w:proofErr w:type="gramStart"/>
      <w:r>
        <w:t>are issued</w:t>
      </w:r>
      <w:proofErr w:type="gramEnd"/>
      <w:r>
        <w:t xml:space="preserve"> to people who have not made satisfactory arrangements to clear substantial debts. </w:t>
      </w:r>
    </w:p>
    <w:p w:rsidR="00260042" w:rsidRDefault="00260042" w:rsidP="00EA5510">
      <w:pPr>
        <w:pStyle w:val="BodyText"/>
      </w:pPr>
      <w:r>
        <w:t>(d)</w:t>
      </w:r>
      <w:r>
        <w:tab/>
        <w:t xml:space="preserve">When other enforcement options have been unsuccessful and an assets or income stream </w:t>
      </w:r>
      <w:proofErr w:type="gramStart"/>
      <w:r>
        <w:t>is identified</w:t>
      </w:r>
      <w:proofErr w:type="gramEnd"/>
      <w:r>
        <w:t>, the agency takes litigation action against parents who repeatedly avoid paying their child support.</w:t>
      </w:r>
    </w:p>
    <w:p w:rsidR="00260042" w:rsidRPr="00EA5510" w:rsidRDefault="009B789E" w:rsidP="00EA5510">
      <w:pPr>
        <w:pStyle w:val="BodyText"/>
        <w:rPr>
          <w:b/>
        </w:rPr>
      </w:pPr>
      <w:r>
        <w:rPr>
          <w:b/>
        </w:rPr>
        <w:t xml:space="preserve">Table </w:t>
      </w:r>
      <w:r>
        <w:rPr>
          <w:b/>
        </w:rPr>
        <w:t>30</w:t>
      </w:r>
      <w:r w:rsidR="00260042" w:rsidRPr="00EA5510">
        <w:rPr>
          <w:b/>
        </w:rPr>
        <w:t xml:space="preserve"> Employer withholding from wages and salaries </w:t>
      </w:r>
    </w:p>
    <w:tbl>
      <w:tblPr>
        <w:tblStyle w:val="TableGrid"/>
        <w:tblW w:w="5000" w:type="pct"/>
        <w:tblLook w:val="0000" w:firstRow="0" w:lastRow="0" w:firstColumn="0" w:lastColumn="0" w:noHBand="0" w:noVBand="0"/>
        <w:tblCaption w:val=" Employer withholding from wages and salaries "/>
      </w:tblPr>
      <w:tblGrid>
        <w:gridCol w:w="4373"/>
        <w:gridCol w:w="2139"/>
        <w:gridCol w:w="2139"/>
        <w:gridCol w:w="2139"/>
      </w:tblGrid>
      <w:tr w:rsidR="00260042" w:rsidTr="00301A30">
        <w:trPr>
          <w:trHeight w:val="60"/>
          <w:tblHeader/>
        </w:trPr>
        <w:tc>
          <w:tcPr>
            <w:tcW w:w="2027" w:type="pct"/>
          </w:tcPr>
          <w:p w:rsidR="00260042" w:rsidRDefault="00260042" w:rsidP="009E74CB">
            <w:pPr>
              <w:pStyle w:val="BodyText"/>
            </w:pPr>
          </w:p>
        </w:tc>
        <w:tc>
          <w:tcPr>
            <w:tcW w:w="991" w:type="pct"/>
          </w:tcPr>
          <w:p w:rsidR="00260042" w:rsidRPr="00301A30" w:rsidRDefault="00260042" w:rsidP="00301A30">
            <w:pPr>
              <w:pStyle w:val="BodyText"/>
              <w:jc w:val="right"/>
              <w:rPr>
                <w:b/>
              </w:rPr>
            </w:pPr>
            <w:r w:rsidRPr="00301A30">
              <w:rPr>
                <w:b/>
              </w:rPr>
              <w:t>2018–19</w:t>
            </w:r>
          </w:p>
        </w:tc>
        <w:tc>
          <w:tcPr>
            <w:tcW w:w="991" w:type="pct"/>
          </w:tcPr>
          <w:p w:rsidR="00260042" w:rsidRPr="00301A30" w:rsidRDefault="00260042" w:rsidP="00301A30">
            <w:pPr>
              <w:pStyle w:val="BodyText"/>
              <w:jc w:val="right"/>
              <w:rPr>
                <w:b/>
              </w:rPr>
            </w:pPr>
            <w:r w:rsidRPr="00301A30">
              <w:rPr>
                <w:b/>
              </w:rPr>
              <w:t>2019–20</w:t>
            </w:r>
          </w:p>
        </w:tc>
        <w:tc>
          <w:tcPr>
            <w:tcW w:w="991" w:type="pct"/>
          </w:tcPr>
          <w:p w:rsidR="00260042" w:rsidRPr="00301A30" w:rsidRDefault="00260042" w:rsidP="00301A30">
            <w:pPr>
              <w:pStyle w:val="BodyText"/>
              <w:jc w:val="right"/>
              <w:rPr>
                <w:b/>
              </w:rPr>
            </w:pPr>
            <w:r w:rsidRPr="00301A30">
              <w:rPr>
                <w:b/>
              </w:rPr>
              <w:t>2020–21</w:t>
            </w:r>
          </w:p>
        </w:tc>
      </w:tr>
      <w:tr w:rsidR="00260042" w:rsidTr="00301A30">
        <w:trPr>
          <w:trHeight w:val="60"/>
        </w:trPr>
        <w:tc>
          <w:tcPr>
            <w:tcW w:w="2027" w:type="pct"/>
          </w:tcPr>
          <w:p w:rsidR="00260042" w:rsidRDefault="00260042" w:rsidP="009E74CB">
            <w:pPr>
              <w:pStyle w:val="BodyText"/>
            </w:pPr>
            <w:r>
              <w:t>Active paying parents with employer withholding payments set up</w:t>
            </w:r>
            <w:r>
              <w:rPr>
                <w:vertAlign w:val="superscript"/>
              </w:rPr>
              <w:t>(a)</w:t>
            </w:r>
          </w:p>
        </w:tc>
        <w:tc>
          <w:tcPr>
            <w:tcW w:w="991" w:type="pct"/>
          </w:tcPr>
          <w:p w:rsidR="00260042" w:rsidRDefault="00260042" w:rsidP="00301A30">
            <w:pPr>
              <w:pStyle w:val="BodyText"/>
              <w:jc w:val="right"/>
            </w:pPr>
            <w:r>
              <w:t>73,378</w:t>
            </w:r>
          </w:p>
        </w:tc>
        <w:tc>
          <w:tcPr>
            <w:tcW w:w="991" w:type="pct"/>
          </w:tcPr>
          <w:p w:rsidR="00260042" w:rsidRDefault="00260042" w:rsidP="00301A30">
            <w:pPr>
              <w:pStyle w:val="BodyText"/>
              <w:jc w:val="right"/>
            </w:pPr>
            <w:r>
              <w:t>73,663</w:t>
            </w:r>
          </w:p>
        </w:tc>
        <w:tc>
          <w:tcPr>
            <w:tcW w:w="991" w:type="pct"/>
          </w:tcPr>
          <w:p w:rsidR="00260042" w:rsidRDefault="00260042" w:rsidP="00301A30">
            <w:pPr>
              <w:pStyle w:val="BodyText"/>
              <w:jc w:val="right"/>
            </w:pPr>
            <w:r>
              <w:t>82,259</w:t>
            </w:r>
          </w:p>
        </w:tc>
      </w:tr>
    </w:tbl>
    <w:p w:rsidR="00260042" w:rsidRDefault="00260042" w:rsidP="00EA5510">
      <w:pPr>
        <w:pStyle w:val="BodyText"/>
      </w:pPr>
      <w:r>
        <w:lastRenderedPageBreak/>
        <w:t>(a)</w:t>
      </w:r>
      <w:r>
        <w:tab/>
        <w:t xml:space="preserve">The agency may initiate employer withholding for both current liability and child support debt. </w:t>
      </w:r>
    </w:p>
    <w:p w:rsidR="00260042" w:rsidRPr="00EA5510" w:rsidRDefault="009B789E" w:rsidP="00EA5510">
      <w:pPr>
        <w:pStyle w:val="BodyText"/>
        <w:rPr>
          <w:b/>
        </w:rPr>
      </w:pPr>
      <w:r>
        <w:rPr>
          <w:b/>
        </w:rPr>
        <w:t>Table 3</w:t>
      </w:r>
      <w:r>
        <w:rPr>
          <w:b/>
        </w:rPr>
        <w:t>1</w:t>
      </w:r>
      <w:r w:rsidR="00260042" w:rsidRPr="00EA5510">
        <w:rPr>
          <w:b/>
        </w:rPr>
        <w:t xml:space="preserve"> Deductions from Centrelink and DVA payments </w:t>
      </w:r>
    </w:p>
    <w:tbl>
      <w:tblPr>
        <w:tblStyle w:val="TableGrid"/>
        <w:tblW w:w="0" w:type="auto"/>
        <w:tblLook w:val="0000" w:firstRow="0" w:lastRow="0" w:firstColumn="0" w:lastColumn="0" w:noHBand="0" w:noVBand="0"/>
        <w:tblCaption w:val=" Deductions from Centrelink and DVA payments "/>
      </w:tblPr>
      <w:tblGrid>
        <w:gridCol w:w="6188"/>
        <w:gridCol w:w="1534"/>
        <w:gridCol w:w="1534"/>
        <w:gridCol w:w="1534"/>
      </w:tblGrid>
      <w:tr w:rsidR="00260042" w:rsidRPr="007002D8" w:rsidTr="007002D8">
        <w:trPr>
          <w:trHeight w:val="60"/>
          <w:tblHeader/>
        </w:trPr>
        <w:tc>
          <w:tcPr>
            <w:tcW w:w="0" w:type="auto"/>
          </w:tcPr>
          <w:p w:rsidR="00260042" w:rsidRDefault="00260042" w:rsidP="007002D8">
            <w:pPr>
              <w:pStyle w:val="BodyText"/>
            </w:pPr>
          </w:p>
        </w:tc>
        <w:tc>
          <w:tcPr>
            <w:tcW w:w="0" w:type="auto"/>
          </w:tcPr>
          <w:p w:rsidR="00260042" w:rsidRPr="007002D8" w:rsidRDefault="00260042" w:rsidP="007002D8">
            <w:pPr>
              <w:pStyle w:val="BodyText"/>
              <w:jc w:val="right"/>
              <w:rPr>
                <w:b/>
              </w:rPr>
            </w:pPr>
            <w:r w:rsidRPr="007002D8">
              <w:rPr>
                <w:b/>
              </w:rPr>
              <w:t>2018–19</w:t>
            </w:r>
          </w:p>
        </w:tc>
        <w:tc>
          <w:tcPr>
            <w:tcW w:w="0" w:type="auto"/>
          </w:tcPr>
          <w:p w:rsidR="00260042" w:rsidRPr="007002D8" w:rsidRDefault="00260042" w:rsidP="007002D8">
            <w:pPr>
              <w:pStyle w:val="BodyText"/>
              <w:jc w:val="right"/>
              <w:rPr>
                <w:b/>
              </w:rPr>
            </w:pPr>
            <w:r w:rsidRPr="007002D8">
              <w:rPr>
                <w:b/>
              </w:rPr>
              <w:t>2019–20</w:t>
            </w:r>
          </w:p>
        </w:tc>
        <w:tc>
          <w:tcPr>
            <w:tcW w:w="0" w:type="auto"/>
          </w:tcPr>
          <w:p w:rsidR="00260042" w:rsidRPr="007002D8" w:rsidRDefault="00260042" w:rsidP="007002D8">
            <w:pPr>
              <w:pStyle w:val="BodyText"/>
              <w:jc w:val="right"/>
              <w:rPr>
                <w:b/>
              </w:rPr>
            </w:pPr>
            <w:r w:rsidRPr="007002D8">
              <w:rPr>
                <w:b/>
              </w:rPr>
              <w:t>2020–21</w:t>
            </w:r>
          </w:p>
        </w:tc>
      </w:tr>
      <w:tr w:rsidR="00260042" w:rsidTr="007002D8">
        <w:trPr>
          <w:trHeight w:val="60"/>
        </w:trPr>
        <w:tc>
          <w:tcPr>
            <w:tcW w:w="0" w:type="auto"/>
          </w:tcPr>
          <w:p w:rsidR="00260042" w:rsidRDefault="00260042" w:rsidP="007002D8">
            <w:pPr>
              <w:pStyle w:val="BodyText"/>
            </w:pPr>
            <w:r>
              <w:t>Amounts collected from Centrelink and DVA payments</w:t>
            </w:r>
            <w:r>
              <w:rPr>
                <w:vertAlign w:val="superscript"/>
              </w:rPr>
              <w:t>(a)(b)</w:t>
            </w:r>
          </w:p>
        </w:tc>
        <w:tc>
          <w:tcPr>
            <w:tcW w:w="0" w:type="auto"/>
          </w:tcPr>
          <w:p w:rsidR="00260042" w:rsidRDefault="00260042" w:rsidP="007002D8">
            <w:pPr>
              <w:pStyle w:val="BodyText"/>
              <w:jc w:val="right"/>
            </w:pPr>
            <w:r>
              <w:t>$69.1 million</w:t>
            </w:r>
          </w:p>
        </w:tc>
        <w:tc>
          <w:tcPr>
            <w:tcW w:w="0" w:type="auto"/>
          </w:tcPr>
          <w:p w:rsidR="00260042" w:rsidRDefault="00260042" w:rsidP="007002D8">
            <w:pPr>
              <w:pStyle w:val="BodyText"/>
              <w:jc w:val="right"/>
            </w:pPr>
            <w:r>
              <w:t>$76.6 million</w:t>
            </w:r>
          </w:p>
        </w:tc>
        <w:tc>
          <w:tcPr>
            <w:tcW w:w="0" w:type="auto"/>
          </w:tcPr>
          <w:p w:rsidR="00260042" w:rsidRDefault="00260042" w:rsidP="007002D8">
            <w:pPr>
              <w:pStyle w:val="BodyText"/>
              <w:jc w:val="right"/>
            </w:pPr>
            <w:r>
              <w:t>$96.3 million</w:t>
            </w:r>
          </w:p>
        </w:tc>
      </w:tr>
    </w:tbl>
    <w:p w:rsidR="00260042" w:rsidRDefault="00260042" w:rsidP="00EA5510">
      <w:pPr>
        <w:pStyle w:val="BodyText"/>
      </w:pPr>
      <w:r>
        <w:t>(a)</w:t>
      </w:r>
      <w:r>
        <w:tab/>
        <w:t xml:space="preserve">Represents the total amount of deductions from both Centrelink and DVA payments. </w:t>
      </w:r>
    </w:p>
    <w:p w:rsidR="00260042" w:rsidRDefault="00260042" w:rsidP="00260042">
      <w:r>
        <w:t>(b)</w:t>
      </w:r>
      <w:r>
        <w:tab/>
        <w:t xml:space="preserve">These deductions </w:t>
      </w:r>
      <w:proofErr w:type="gramStart"/>
      <w:r>
        <w:t>may be made</w:t>
      </w:r>
      <w:proofErr w:type="gramEnd"/>
      <w:r>
        <w:t xml:space="preserve"> for both current liability and child support debt.</w:t>
      </w:r>
    </w:p>
    <w:p w:rsidR="00260042" w:rsidRDefault="00260042" w:rsidP="00BC1153">
      <w:pPr>
        <w:pStyle w:val="Heading1"/>
      </w:pPr>
      <w:r>
        <w:t xml:space="preserve">5 </w:t>
      </w:r>
      <w:r w:rsidRPr="007002D8">
        <w:t>Targeted</w:t>
      </w:r>
      <w:r>
        <w:t xml:space="preserve"> services and partnerships</w:t>
      </w:r>
    </w:p>
    <w:p w:rsidR="00260042" w:rsidRDefault="00260042" w:rsidP="00C81689">
      <w:pPr>
        <w:pStyle w:val="Heading2"/>
      </w:pPr>
      <w:r>
        <w:t>5.1 Help for vulnerable people</w:t>
      </w:r>
    </w:p>
    <w:p w:rsidR="00260042" w:rsidRDefault="00260042" w:rsidP="008474A9">
      <w:pPr>
        <w:pStyle w:val="BodyText"/>
      </w:pPr>
      <w:r>
        <w:t xml:space="preserve">Services Australia provides specialised and targeted </w:t>
      </w:r>
      <w:proofErr w:type="gramStart"/>
      <w:r>
        <w:t>services which</w:t>
      </w:r>
      <w:proofErr w:type="gramEnd"/>
      <w:r>
        <w:t xml:space="preserve"> support customers experiencing vulnerability.</w:t>
      </w:r>
    </w:p>
    <w:p w:rsidR="00260042" w:rsidRDefault="00260042" w:rsidP="00C81689">
      <w:pPr>
        <w:pStyle w:val="Heading2"/>
      </w:pPr>
      <w:r>
        <w:t xml:space="preserve">People </w:t>
      </w:r>
      <w:r w:rsidRPr="00260042">
        <w:t>affected</w:t>
      </w:r>
      <w:r>
        <w:t xml:space="preserve"> by family and domestic violence </w:t>
      </w:r>
    </w:p>
    <w:p w:rsidR="00260042" w:rsidRDefault="00260042" w:rsidP="00260042">
      <w:pPr>
        <w:pStyle w:val="BodyText"/>
      </w:pPr>
      <w:r>
        <w:t xml:space="preserve">In September 2020, Services Australia launched its </w:t>
      </w:r>
      <w:r>
        <w:rPr>
          <w:rStyle w:val="Italic"/>
        </w:rPr>
        <w:t>Family and Domestic Violence Strategy 2020–23</w:t>
      </w:r>
      <w:r>
        <w:t>. The strategy underpins the agency’s commitment to supporting people affected by family and domestic violence by providing information and assistance through payments and referrals to support services, such as social work services.</w:t>
      </w:r>
    </w:p>
    <w:p w:rsidR="00260042" w:rsidRDefault="00260042" w:rsidP="00260042">
      <w:pPr>
        <w:pStyle w:val="BodyText"/>
      </w:pPr>
      <w:r>
        <w:t>We recognise that some people are particularly vulnerable to family and domestic abuse, including Aboriginal and Torres Strait Islander peoples, older people, and women at particular stages of life, such as pregnant women and women separating from their partners.</w:t>
      </w:r>
    </w:p>
    <w:p w:rsidR="00260042" w:rsidRDefault="00260042" w:rsidP="00260042">
      <w:pPr>
        <w:pStyle w:val="BodyText"/>
        <w:spacing w:after="57"/>
      </w:pPr>
      <w:r>
        <w:t>The agency’s Risk Identification and Referral Model helps staff identify customers affected by family and domestic violence and offer them support. In 2020–21:</w:t>
      </w:r>
    </w:p>
    <w:p w:rsidR="00260042" w:rsidRDefault="00260042" w:rsidP="008930A3">
      <w:pPr>
        <w:pStyle w:val="ListBullet"/>
      </w:pPr>
      <w:r>
        <w:t>25,575 Crisis Payments were granted to support customers affected by family and domestic violence</w:t>
      </w:r>
    </w:p>
    <w:p w:rsidR="00260042" w:rsidRDefault="00260042" w:rsidP="008930A3">
      <w:pPr>
        <w:pStyle w:val="ListBullet"/>
      </w:pPr>
      <w:r>
        <w:t>our family and domestic violence web pages were viewed 311,306 times across 191,439 unique sessions</w:t>
      </w:r>
    </w:p>
    <w:p w:rsidR="00260042" w:rsidRDefault="00260042" w:rsidP="00EA5510">
      <w:pPr>
        <w:pStyle w:val="ListBullet"/>
      </w:pPr>
      <w:proofErr w:type="gramStart"/>
      <w:r>
        <w:t>the</w:t>
      </w:r>
      <w:proofErr w:type="gramEnd"/>
      <w:r>
        <w:t xml:space="preserve"> agency’s APS and non-APS staff completed approximately 27,950 training sessions to help customers and/or agency staff affected by family and domestic violence.</w:t>
      </w:r>
    </w:p>
    <w:p w:rsidR="00260042" w:rsidRDefault="00260042" w:rsidP="00260042">
      <w:pPr>
        <w:pStyle w:val="BodyText"/>
      </w:pPr>
      <w:r>
        <w:t xml:space="preserve">Leaving an abusive relationship can be a difficult and dangerous process, and the agency’s priority is to ensure customers feel supported through this. During the year, the agency commenced a Family and Domestic Violence Pilot to provide a more integrated service response for customers who are at risk of, or experiencing, family and domestic violence. The pilot </w:t>
      </w:r>
      <w:proofErr w:type="gramStart"/>
      <w:r>
        <w:t>has been extended</w:t>
      </w:r>
      <w:proofErr w:type="gramEnd"/>
      <w:r>
        <w:t xml:space="preserve"> for an additional 3 years from July 2021 and will initially focus on child support customers who require an intensive and collaborative whole-case management response where cases are identified that present significant, immediate risk. </w:t>
      </w:r>
    </w:p>
    <w:p w:rsidR="00260042" w:rsidRDefault="00260042" w:rsidP="00260042">
      <w:pPr>
        <w:pStyle w:val="BodyText"/>
      </w:pPr>
      <w:r>
        <w:lastRenderedPageBreak/>
        <w:t xml:space="preserve">The pilot will inform an enterprise-wide future Services Australia approach to managing customers who are at risk </w:t>
      </w:r>
      <w:proofErr w:type="gramStart"/>
      <w:r>
        <w:t>of,</w:t>
      </w:r>
      <w:proofErr w:type="gramEnd"/>
      <w:r>
        <w:t xml:space="preserve"> or experiencing, family and domestic violence. </w:t>
      </w:r>
    </w:p>
    <w:p w:rsidR="007002D8" w:rsidRPr="007002D8" w:rsidRDefault="007002D8" w:rsidP="007002D8">
      <w:pPr>
        <w:pStyle w:val="StoryHeading"/>
        <w:rPr>
          <w:color w:val="1F4E79" w:themeColor="accent1" w:themeShade="80"/>
        </w:rPr>
      </w:pPr>
      <w:r w:rsidRPr="007002D8">
        <w:rPr>
          <w:color w:val="1F4E79" w:themeColor="accent1" w:themeShade="80"/>
        </w:rPr>
        <w:t>Protecting victims of domestic violence</w:t>
      </w:r>
    </w:p>
    <w:p w:rsidR="007002D8" w:rsidRPr="007002D8" w:rsidRDefault="007002D8" w:rsidP="007002D8">
      <w:pPr>
        <w:pStyle w:val="BodyText"/>
        <w:rPr>
          <w:color w:val="1F4E79" w:themeColor="accent1" w:themeShade="80"/>
        </w:rPr>
      </w:pPr>
      <w:r w:rsidRPr="007002D8">
        <w:rPr>
          <w:color w:val="1F4E79" w:themeColor="accent1" w:themeShade="80"/>
        </w:rPr>
        <w:t>Before the COVID-19 pandemic, a person living with violence could get some comfort and support at their workplace, or by checking in with friends. Now people in isolation may have to spend much more time at risk of violence, and can feel trapped at home. It might not be safe for them to pick up the phone and ask for help. People in circumstances like these, need support now more than ever.</w:t>
      </w:r>
    </w:p>
    <w:p w:rsidR="007002D8" w:rsidRPr="007002D8" w:rsidRDefault="007002D8" w:rsidP="007002D8">
      <w:pPr>
        <w:pStyle w:val="BodyText"/>
        <w:rPr>
          <w:color w:val="1F4E79" w:themeColor="accent1" w:themeShade="80"/>
        </w:rPr>
      </w:pPr>
      <w:r w:rsidRPr="007002D8">
        <w:rPr>
          <w:color w:val="1F4E79" w:themeColor="accent1" w:themeShade="80"/>
        </w:rPr>
        <w:t>In response to this, Services Australia has worked to provide more support. Our website has more information about what to do if you are experiencing family or domestic violence. It also has steps people can take to keep themselves safe when they contact us.</w:t>
      </w:r>
    </w:p>
    <w:p w:rsidR="007002D8" w:rsidRPr="007002D8" w:rsidRDefault="007002D8" w:rsidP="007002D8">
      <w:pPr>
        <w:pStyle w:val="BodyText"/>
        <w:rPr>
          <w:color w:val="1F4E79" w:themeColor="accent1" w:themeShade="80"/>
        </w:rPr>
      </w:pPr>
      <w:r w:rsidRPr="007002D8">
        <w:rPr>
          <w:color w:val="1F4E79" w:themeColor="accent1" w:themeShade="80"/>
        </w:rPr>
        <w:t>Staff training is now more accessible, with updated courses on family and domestic violence readily available online.</w:t>
      </w:r>
    </w:p>
    <w:p w:rsidR="007002D8" w:rsidRPr="007002D8" w:rsidRDefault="007002D8" w:rsidP="007002D8">
      <w:pPr>
        <w:pStyle w:val="BodyText"/>
        <w:rPr>
          <w:color w:val="1F4E79" w:themeColor="accent1" w:themeShade="80"/>
        </w:rPr>
      </w:pPr>
      <w:r w:rsidRPr="007002D8">
        <w:rPr>
          <w:color w:val="1F4E79" w:themeColor="accent1" w:themeShade="80"/>
        </w:rPr>
        <w:t xml:space="preserve">We are also supporting staff working from home who </w:t>
      </w:r>
      <w:proofErr w:type="gramStart"/>
      <w:r w:rsidRPr="007002D8">
        <w:rPr>
          <w:color w:val="1F4E79" w:themeColor="accent1" w:themeShade="80"/>
        </w:rPr>
        <w:t>may be affected</w:t>
      </w:r>
      <w:proofErr w:type="gramEnd"/>
      <w:r w:rsidRPr="007002D8">
        <w:rPr>
          <w:color w:val="1F4E79" w:themeColor="accent1" w:themeShade="80"/>
        </w:rPr>
        <w:t xml:space="preserve"> by violence, for example, by giving information to their managers so they can help.</w:t>
      </w:r>
    </w:p>
    <w:p w:rsidR="007002D8" w:rsidRPr="007002D8" w:rsidRDefault="007002D8" w:rsidP="007002D8">
      <w:pPr>
        <w:pStyle w:val="BodyText"/>
        <w:rPr>
          <w:color w:val="1F4E79" w:themeColor="accent1" w:themeShade="80"/>
        </w:rPr>
      </w:pPr>
      <w:r w:rsidRPr="007002D8">
        <w:rPr>
          <w:color w:val="1F4E79" w:themeColor="accent1" w:themeShade="80"/>
        </w:rPr>
        <w:t>We continue to have strong relationships with referral services, other government agencies, and community service providers, so that we can link people to the best support and care services available.</w:t>
      </w:r>
    </w:p>
    <w:p w:rsidR="00260042" w:rsidRPr="007002D8" w:rsidRDefault="007002D8" w:rsidP="007002D8">
      <w:pPr>
        <w:pStyle w:val="BodyText"/>
        <w:rPr>
          <w:color w:val="1F4E79" w:themeColor="accent1" w:themeShade="80"/>
        </w:rPr>
      </w:pPr>
      <w:r w:rsidRPr="007002D8">
        <w:rPr>
          <w:color w:val="1F4E79" w:themeColor="accent1" w:themeShade="80"/>
        </w:rPr>
        <w:t xml:space="preserve">As an agency, we declare in one voice: ‘Family and domestic violence: </w:t>
      </w:r>
      <w:proofErr w:type="gramStart"/>
      <w:r w:rsidRPr="007002D8">
        <w:rPr>
          <w:color w:val="1F4E79" w:themeColor="accent1" w:themeShade="80"/>
        </w:rPr>
        <w:t>It’s</w:t>
      </w:r>
      <w:proofErr w:type="gramEnd"/>
      <w:r w:rsidRPr="007002D8">
        <w:rPr>
          <w:color w:val="1F4E79" w:themeColor="accent1" w:themeShade="80"/>
        </w:rPr>
        <w:t xml:space="preserve"> time to say enough’.</w:t>
      </w:r>
    </w:p>
    <w:p w:rsidR="00260042" w:rsidRDefault="00260042" w:rsidP="00C81689">
      <w:pPr>
        <w:pStyle w:val="Heading2"/>
      </w:pPr>
      <w:r>
        <w:t>Aboriginal and Torres Strait Islander peoples</w:t>
      </w:r>
    </w:p>
    <w:p w:rsidR="00260042" w:rsidRDefault="00260042" w:rsidP="00260042">
      <w:pPr>
        <w:pStyle w:val="BodyText"/>
      </w:pPr>
      <w:r>
        <w:t>Aboriginal and Torres Strait Islander peoples can often face particular challenges in accessing services, especially if they live in remote areas.</w:t>
      </w:r>
    </w:p>
    <w:p w:rsidR="00260042" w:rsidRDefault="00260042" w:rsidP="00260042">
      <w:pPr>
        <w:pStyle w:val="BodyText"/>
      </w:pPr>
      <w:r>
        <w:t xml:space="preserve">The Government’s July 2020 National Agreement on Closing the Gap (the National Agreement) is an important opportunity to reshape the agency’s approach to delivering programs and services in partnership with Aboriginal and Torres Strait Islander peoples. </w:t>
      </w:r>
    </w:p>
    <w:p w:rsidR="00260042" w:rsidRDefault="00260042" w:rsidP="00260042">
      <w:pPr>
        <w:pStyle w:val="BodyText"/>
      </w:pPr>
      <w:r>
        <w:t xml:space="preserve">As the Australian </w:t>
      </w:r>
      <w:proofErr w:type="gramStart"/>
      <w:r>
        <w:t>Government’s</w:t>
      </w:r>
      <w:proofErr w:type="gramEnd"/>
      <w:r>
        <w:t xml:space="preserve"> primary service delivery agency, Services Australia is committed to embedding the new approach outlined in the National Agreement. We are developing an enterprise-wide strategy to deliver to the National Agreement. </w:t>
      </w:r>
    </w:p>
    <w:p w:rsidR="00260042" w:rsidRDefault="00260042" w:rsidP="00260042">
      <w:pPr>
        <w:pStyle w:val="BodyText"/>
        <w:keepLines/>
      </w:pPr>
      <w:r>
        <w:t xml:space="preserve">Our strategy will articulate new approaches to the agency’s existing work and will include a broad commitment to Closing the Gap. It will also include specific actions to deliver on targets and priority reforms, a </w:t>
      </w:r>
      <w:proofErr w:type="gramStart"/>
      <w:r>
        <w:t>fully-developed</w:t>
      </w:r>
      <w:proofErr w:type="gramEnd"/>
      <w:r>
        <w:t xml:space="preserve"> set of guiding principles, reporting, accountability, governance and oversight arrangements, and a 10-year roadmap. </w:t>
      </w:r>
    </w:p>
    <w:p w:rsidR="00260042" w:rsidRDefault="00260042" w:rsidP="00260042">
      <w:pPr>
        <w:pStyle w:val="BodyText"/>
        <w:rPr>
          <w:spacing w:val="-1"/>
        </w:rPr>
      </w:pPr>
      <w:r>
        <w:rPr>
          <w:spacing w:val="-1"/>
        </w:rPr>
        <w:t xml:space="preserve">The internal Aboriginal and Torres Strait Islander voice is central to this process and includes meaningful engagement with Indigenous Senior Executive staff, program and service delivery representatives, the National Indigenous Coalition (NIC) and the Reconciliation Action Plan Working Group. </w:t>
      </w:r>
    </w:p>
    <w:p w:rsidR="00260042" w:rsidRDefault="00260042" w:rsidP="002E64CE">
      <w:pPr>
        <w:pStyle w:val="Heading3"/>
      </w:pPr>
      <w:r>
        <w:lastRenderedPageBreak/>
        <w:t>Indigenous Servicing Strategy</w:t>
      </w:r>
    </w:p>
    <w:p w:rsidR="00260042" w:rsidRDefault="00260042" w:rsidP="00260042">
      <w:pPr>
        <w:pStyle w:val="BodyText"/>
      </w:pPr>
      <w:r>
        <w:t xml:space="preserve">The </w:t>
      </w:r>
      <w:r>
        <w:rPr>
          <w:rStyle w:val="Italic"/>
        </w:rPr>
        <w:t>Indigenous Servicing Strategy 2018–22</w:t>
      </w:r>
      <w:r>
        <w:t xml:space="preserve"> outlines the agency’s commitment to improving outcomes for Aboriginal and Torres Strait Islander peoples by continuing our focus on effective service delivery. It provides clear direction to all agency staff who design and deliver services for Aboriginal and Torres Strait Islander peoples.</w:t>
      </w:r>
    </w:p>
    <w:p w:rsidR="00260042" w:rsidRDefault="00260042" w:rsidP="00260042">
      <w:pPr>
        <w:pStyle w:val="BodyText"/>
      </w:pPr>
      <w:r>
        <w:t xml:space="preserve">The strategy aligns with and supports the agency’s </w:t>
      </w:r>
      <w:r>
        <w:rPr>
          <w:rStyle w:val="Italic"/>
        </w:rPr>
        <w:t>Reconciliation Action Plan 2018–22</w:t>
      </w:r>
      <w:r>
        <w:t xml:space="preserve"> (see </w:t>
      </w:r>
      <w:r>
        <w:rPr>
          <w:rStyle w:val="Italic"/>
        </w:rPr>
        <w:t>Reconciliation</w:t>
      </w:r>
      <w:r>
        <w:t xml:space="preserve"> on page 170 and </w:t>
      </w:r>
      <w:r>
        <w:rPr>
          <w:rStyle w:val="Italic"/>
        </w:rPr>
        <w:t>Supporting Aboriginal and Torres Strait Islander staff</w:t>
      </w:r>
      <w:r>
        <w:t xml:space="preserve"> on page 179). </w:t>
      </w:r>
    </w:p>
    <w:p w:rsidR="00260042" w:rsidRDefault="00260042" w:rsidP="00260042">
      <w:pPr>
        <w:pStyle w:val="BodyText"/>
      </w:pPr>
      <w:r>
        <w:t xml:space="preserve">For more information about the plan and the strategy, see our website at </w:t>
      </w:r>
      <w:r>
        <w:rPr>
          <w:rStyle w:val="Bold"/>
        </w:rPr>
        <w:t>servicesaustralia.gov.au</w:t>
      </w:r>
    </w:p>
    <w:p w:rsidR="00260042" w:rsidRDefault="00260042" w:rsidP="002E64CE">
      <w:pPr>
        <w:pStyle w:val="Heading3"/>
      </w:pPr>
      <w:r>
        <w:t>Improving Indigenous services</w:t>
      </w:r>
    </w:p>
    <w:p w:rsidR="00260042" w:rsidRDefault="00260042" w:rsidP="00260042">
      <w:pPr>
        <w:pStyle w:val="BodyText"/>
      </w:pPr>
      <w:r>
        <w:t xml:space="preserve">A pilot </w:t>
      </w:r>
      <w:proofErr w:type="gramStart"/>
      <w:r>
        <w:t>was conducted</w:t>
      </w:r>
      <w:proofErr w:type="gramEnd"/>
      <w:r>
        <w:t xml:space="preserve"> in 2021 aimed at reducing the gap in MBS expenditure between Indigenous Australians and non-Indigenous Australians. This supports the Services Australia </w:t>
      </w:r>
      <w:r>
        <w:rPr>
          <w:rStyle w:val="Italic"/>
        </w:rPr>
        <w:t>Indigenous Servicing Strategy 2018–22</w:t>
      </w:r>
      <w:r>
        <w:t xml:space="preserve"> Theme 1.1 Medicare Benefit — Closing the Gap </w:t>
      </w:r>
    </w:p>
    <w:p w:rsidR="00260042" w:rsidRDefault="00260042" w:rsidP="00260042">
      <w:pPr>
        <w:pStyle w:val="BodyText"/>
      </w:pPr>
      <w:r>
        <w:t>This plays a vital role in improving Indigenous health outcomes. Correct Medicare enrolment ensures individuals have access to essential health care and plays a significant role in reducing the gap in the MBS dollar spend.</w:t>
      </w:r>
    </w:p>
    <w:p w:rsidR="00260042" w:rsidRDefault="00260042" w:rsidP="00260042">
      <w:pPr>
        <w:pStyle w:val="BodyText"/>
      </w:pPr>
      <w:r>
        <w:t xml:space="preserve">Key business areas across Services Australia collaborated in the pilot with a specific focus on updating Indigenous customer Medicare records. Comprehensive training materials </w:t>
      </w:r>
      <w:proofErr w:type="gramStart"/>
      <w:r>
        <w:t>were developed</w:t>
      </w:r>
      <w:proofErr w:type="gramEnd"/>
      <w:r>
        <w:t xml:space="preserve"> to support the agency’s service officers in delivering the new service offer. </w:t>
      </w:r>
    </w:p>
    <w:p w:rsidR="00260042" w:rsidRDefault="00260042" w:rsidP="00260042">
      <w:pPr>
        <w:pStyle w:val="BodyText"/>
      </w:pPr>
      <w:r>
        <w:t xml:space="preserve">In September 2020, the pilot </w:t>
      </w:r>
      <w:proofErr w:type="gramStart"/>
      <w:r>
        <w:t>was launched</w:t>
      </w:r>
      <w:proofErr w:type="gramEnd"/>
      <w:r>
        <w:t xml:space="preserve"> in the Kempsey and </w:t>
      </w:r>
      <w:proofErr w:type="spellStart"/>
      <w:r>
        <w:t>Lakehaven</w:t>
      </w:r>
      <w:proofErr w:type="spellEnd"/>
      <w:r>
        <w:t xml:space="preserve"> service centres in Service Zone North NSW. The success of the pilot saw its expansion into another </w:t>
      </w:r>
      <w:proofErr w:type="gramStart"/>
      <w:r>
        <w:t>8</w:t>
      </w:r>
      <w:proofErr w:type="gramEnd"/>
      <w:r>
        <w:t xml:space="preserve"> service centres. Service Zone North NSW has indicated an interest in incorporating the pilot into its service offer, and recently received an agency NAIDOC Award for Outstanding Service Improvements in 2021. </w:t>
      </w:r>
    </w:p>
    <w:p w:rsidR="00260042" w:rsidRDefault="00260042" w:rsidP="00260042">
      <w:pPr>
        <w:pStyle w:val="BodyText"/>
        <w:keepLines/>
      </w:pPr>
      <w:r>
        <w:t>The pilot has now expanded to Service Zone South Queensland, and as stories of success spread, other Service Zones have expressed interest in participating.</w:t>
      </w:r>
    </w:p>
    <w:p w:rsidR="00260042" w:rsidRDefault="00260042" w:rsidP="00260042">
      <w:pPr>
        <w:pStyle w:val="BodyText"/>
      </w:pPr>
      <w:r>
        <w:t>In 2018, the MBS dollar spend gap was approximately 27 per cent. At June 2021, the MBS dollar spend gap was 14.9 per cent.</w:t>
      </w:r>
    </w:p>
    <w:p w:rsidR="00260042" w:rsidRDefault="00260042" w:rsidP="002E64CE">
      <w:pPr>
        <w:pStyle w:val="Heading3"/>
      </w:pPr>
      <w:r>
        <w:t>Indigenous Service Officers</w:t>
      </w:r>
    </w:p>
    <w:p w:rsidR="00260042" w:rsidRDefault="00260042" w:rsidP="00260042">
      <w:pPr>
        <w:pStyle w:val="BodyText"/>
      </w:pPr>
      <w:r>
        <w:t>Indigenous Service Officers (ISOs) help support Aboriginal and Torres Strait Islander individuals, families and communities to connect with the agency’s payments, services and programs. ISOs work through their established stakeholder and community relationships to help address operational and strategic service delivery issues and identify customer and community service gaps and trends.</w:t>
      </w:r>
    </w:p>
    <w:p w:rsidR="00260042" w:rsidRDefault="00260042" w:rsidP="00260042">
      <w:pPr>
        <w:pStyle w:val="BodyText"/>
      </w:pPr>
      <w:r>
        <w:t>At 30 June 2021, there were 63 ISOs, compared to 61 at 30 June 2020.</w:t>
      </w:r>
    </w:p>
    <w:p w:rsidR="00260042" w:rsidRDefault="00260042" w:rsidP="002E64CE">
      <w:pPr>
        <w:pStyle w:val="Heading3"/>
      </w:pPr>
      <w:r>
        <w:t>National Indigenous Coalition</w:t>
      </w:r>
    </w:p>
    <w:p w:rsidR="00260042" w:rsidRDefault="00260042" w:rsidP="00260042">
      <w:pPr>
        <w:pStyle w:val="BodyText"/>
      </w:pPr>
      <w:r>
        <w:t xml:space="preserve">The NIC is the agency’s peak strategic and advisory forum on the effective delivery of payments and services for Aboriginal and Torres Strait Islander peoples. The NIC gives the agency’s Indigenous </w:t>
      </w:r>
      <w:r>
        <w:lastRenderedPageBreak/>
        <w:t xml:space="preserve">servicing network opportunities to engage with business areas on issues affecting Aboriginal and Torres Strait Islander customers, communities and staff. </w:t>
      </w:r>
    </w:p>
    <w:p w:rsidR="00260042" w:rsidRDefault="00260042" w:rsidP="00260042">
      <w:pPr>
        <w:pStyle w:val="BodyText"/>
      </w:pPr>
      <w:r>
        <w:t xml:space="preserve">Due to COVID-19 restrictions, during 2020–21 the agency held </w:t>
      </w:r>
      <w:proofErr w:type="gramStart"/>
      <w:r>
        <w:t>2</w:t>
      </w:r>
      <w:proofErr w:type="gramEnd"/>
      <w:r>
        <w:t xml:space="preserve"> virtual conferences and 7 virtual workshops with key stakeholders in place of the 2 face-to-face conferences that would normally occur. This engagement has ensured the agency continues to influence and provide strategic advice on matters affecting Aboriginal and Torres Strait Islander customers, communities and staff.</w:t>
      </w:r>
    </w:p>
    <w:p w:rsidR="00260042" w:rsidRDefault="00260042" w:rsidP="002E64CE">
      <w:pPr>
        <w:pStyle w:val="Heading3"/>
      </w:pPr>
      <w:r>
        <w:t>Indigenous Interpreting Services</w:t>
      </w:r>
    </w:p>
    <w:p w:rsidR="00260042" w:rsidRDefault="00260042" w:rsidP="00260042">
      <w:pPr>
        <w:pStyle w:val="BodyText"/>
      </w:pPr>
      <w:r>
        <w:t xml:space="preserve">Services Australia offers free access to interpreters for multilingual Aboriginal and Torres Strait Islander customers. </w:t>
      </w:r>
      <w:proofErr w:type="gramStart"/>
      <w:r>
        <w:t>Indigenous interpreters are provided by multiple language service providers including the Northern Territory Aboriginal Interpreter Service, Aboriginal Interpreting Western Australia and ABC Multilingual Pty Ltd</w:t>
      </w:r>
      <w:proofErr w:type="gramEnd"/>
      <w:r>
        <w:t>.</w:t>
      </w:r>
    </w:p>
    <w:p w:rsidR="00260042" w:rsidRDefault="00260042" w:rsidP="00260042">
      <w:pPr>
        <w:pStyle w:val="BodyText"/>
      </w:pPr>
      <w:r>
        <w:t xml:space="preserve">In 2020–21, over 1,800 calls </w:t>
      </w:r>
      <w:proofErr w:type="gramStart"/>
      <w:r>
        <w:t>were made</w:t>
      </w:r>
      <w:proofErr w:type="gramEnd"/>
      <w:r>
        <w:t xml:space="preserve"> to the Aboriginal Interpreter Service on-demand interpreter services, and over 800 hours of face-to-face Indigenous interpreting services were provided in service centres.</w:t>
      </w:r>
    </w:p>
    <w:p w:rsidR="00260042" w:rsidRDefault="00260042" w:rsidP="00C81689">
      <w:pPr>
        <w:pStyle w:val="Heading2"/>
      </w:pPr>
      <w:r>
        <w:t xml:space="preserve">Regional, rural and remote servicing </w:t>
      </w:r>
    </w:p>
    <w:p w:rsidR="00260042" w:rsidRDefault="00260042" w:rsidP="00260042">
      <w:pPr>
        <w:pStyle w:val="BodyText"/>
      </w:pPr>
      <w:r>
        <w:t xml:space="preserve">Services Australia provides face-to-face access to services in regional, rural and remote locations across Australia, including many remote Aboriginal and Torres Strait Islander communities. Services </w:t>
      </w:r>
      <w:proofErr w:type="gramStart"/>
      <w:r>
        <w:t>are provided</w:t>
      </w:r>
      <w:proofErr w:type="gramEnd"/>
      <w:r>
        <w:t xml:space="preserve"> through a mix of Agents, Access Points, service centres, and visits by remote servicing teams and mobile service centres.</w:t>
      </w:r>
    </w:p>
    <w:p w:rsidR="00260042" w:rsidRDefault="00260042" w:rsidP="002E64CE">
      <w:pPr>
        <w:pStyle w:val="Heading3"/>
      </w:pPr>
      <w:r>
        <w:t>Mobile Service Centre</w:t>
      </w:r>
    </w:p>
    <w:p w:rsidR="00260042" w:rsidRDefault="00260042" w:rsidP="00260042">
      <w:pPr>
        <w:pStyle w:val="BodyText"/>
        <w:spacing w:after="57"/>
      </w:pPr>
      <w:r>
        <w:t xml:space="preserve">The agency has </w:t>
      </w:r>
      <w:proofErr w:type="gramStart"/>
      <w:r>
        <w:t>3</w:t>
      </w:r>
      <w:proofErr w:type="gramEnd"/>
      <w:r>
        <w:t xml:space="preserve"> mobile service centres: Golden Wattle, Desert Rose and Blue Gum. Blue Gum is the newest mobile service centre, entering service in October 2020. Our mobile service centres travel to rural and regional communities to ensure that they have access to the same range of services that are available at any other service centre in Australia. In 2020–21, the mobile service centres: </w:t>
      </w:r>
    </w:p>
    <w:p w:rsidR="00260042" w:rsidRDefault="00260042" w:rsidP="008930A3">
      <w:pPr>
        <w:pStyle w:val="ListBullet"/>
      </w:pPr>
      <w:r>
        <w:t xml:space="preserve">visited 289 towns – 176 of which were greater than 50 kilometres from a service centre </w:t>
      </w:r>
    </w:p>
    <w:p w:rsidR="00260042" w:rsidRDefault="00260042" w:rsidP="008930A3">
      <w:pPr>
        <w:pStyle w:val="ListBullet"/>
      </w:pPr>
      <w:r>
        <w:t>helped 9,179 people</w:t>
      </w:r>
    </w:p>
    <w:p w:rsidR="00260042" w:rsidRDefault="00260042" w:rsidP="00EA5510">
      <w:pPr>
        <w:pStyle w:val="ListBullet"/>
      </w:pPr>
      <w:proofErr w:type="gramStart"/>
      <w:r>
        <w:t>spent</w:t>
      </w:r>
      <w:proofErr w:type="gramEnd"/>
      <w:r>
        <w:t xml:space="preserve"> 32 days in 42 flood-affected communities in New South Wales, helping over 2,000 people.</w:t>
      </w:r>
    </w:p>
    <w:p w:rsidR="00260042" w:rsidRDefault="00260042" w:rsidP="002E64CE">
      <w:pPr>
        <w:pStyle w:val="Heading3"/>
      </w:pPr>
      <w:r>
        <w:t xml:space="preserve">Agents and Access Points </w:t>
      </w:r>
    </w:p>
    <w:p w:rsidR="00260042" w:rsidRDefault="00260042" w:rsidP="00260042">
      <w:pPr>
        <w:pStyle w:val="BodyText"/>
      </w:pPr>
      <w:r>
        <w:t xml:space="preserve">Agents and Access Points help people in rural, regional and remote communities to access our services. </w:t>
      </w:r>
    </w:p>
    <w:p w:rsidR="00260042" w:rsidRDefault="00260042" w:rsidP="00260042">
      <w:pPr>
        <w:pStyle w:val="BodyText"/>
      </w:pPr>
      <w:r>
        <w:t xml:space="preserve">Access Points provide free self-service facilities for customers to conduct their business. Customers can access internet-enabled computers and printers, upload documents to their customer record, call us on the self-service phone, and access free </w:t>
      </w:r>
      <w:proofErr w:type="spellStart"/>
      <w:r>
        <w:t>wi-fi</w:t>
      </w:r>
      <w:proofErr w:type="spellEnd"/>
      <w:r>
        <w:t xml:space="preserve"> to use their own devices. </w:t>
      </w:r>
    </w:p>
    <w:p w:rsidR="00260042" w:rsidRDefault="00260042" w:rsidP="00260042">
      <w:pPr>
        <w:pStyle w:val="BodyText"/>
      </w:pPr>
      <w:r>
        <w:t xml:space="preserve">Agents also provide a face-to-face information service, identity document certification, and assist customers to use self-service. </w:t>
      </w:r>
    </w:p>
    <w:p w:rsidR="00260042" w:rsidRDefault="00260042" w:rsidP="00260042">
      <w:pPr>
        <w:pStyle w:val="BodyText"/>
      </w:pPr>
      <w:r>
        <w:lastRenderedPageBreak/>
        <w:t>At 30 June 2021, Services Australia had 352 Agents and 230 Access Points throughout regional, rural and remote Australia.</w:t>
      </w:r>
    </w:p>
    <w:p w:rsidR="007002D8" w:rsidRPr="007002D8" w:rsidRDefault="007002D8" w:rsidP="007002D8">
      <w:pPr>
        <w:pStyle w:val="StoryHeading"/>
        <w:rPr>
          <w:color w:val="1F4E79" w:themeColor="accent1" w:themeShade="80"/>
        </w:rPr>
      </w:pPr>
      <w:r w:rsidRPr="007002D8">
        <w:rPr>
          <w:color w:val="1F4E79" w:themeColor="accent1" w:themeShade="80"/>
        </w:rPr>
        <w:t>Agents supporting people to get the help they need</w:t>
      </w:r>
    </w:p>
    <w:p w:rsidR="007002D8" w:rsidRPr="007002D8" w:rsidRDefault="007002D8" w:rsidP="007002D8">
      <w:pPr>
        <w:pStyle w:val="BodyText"/>
        <w:rPr>
          <w:color w:val="1F4E79" w:themeColor="accent1" w:themeShade="80"/>
        </w:rPr>
      </w:pPr>
      <w:r w:rsidRPr="007002D8">
        <w:rPr>
          <w:color w:val="1F4E79" w:themeColor="accent1" w:themeShade="80"/>
        </w:rPr>
        <w:t>As the COVID-19 pandemic restrictions continued to affect communities across the country, many people who had never been on a Services Australia payment before needed support – including people in regional, rural and remote communities.</w:t>
      </w:r>
    </w:p>
    <w:p w:rsidR="007002D8" w:rsidRPr="007002D8" w:rsidRDefault="007002D8" w:rsidP="007002D8">
      <w:pPr>
        <w:pStyle w:val="BodyText"/>
        <w:rPr>
          <w:color w:val="1F4E79" w:themeColor="accent1" w:themeShade="80"/>
        </w:rPr>
      </w:pPr>
      <w:r w:rsidRPr="007002D8">
        <w:rPr>
          <w:color w:val="1F4E79" w:themeColor="accent1" w:themeShade="80"/>
        </w:rPr>
        <w:t xml:space="preserve">Our Agents and Access Points helped people in these communities to access our payments and services for the first time. Our Pottsville Beach Agent in NSW, for example, is the local contact for government services in Pottsville Beach and the surrounding area. </w:t>
      </w:r>
    </w:p>
    <w:p w:rsidR="007002D8" w:rsidRPr="007002D8" w:rsidRDefault="007002D8" w:rsidP="007002D8">
      <w:pPr>
        <w:pStyle w:val="BodyText"/>
        <w:rPr>
          <w:color w:val="1F4E79" w:themeColor="accent1" w:themeShade="80"/>
        </w:rPr>
      </w:pPr>
      <w:r w:rsidRPr="007002D8">
        <w:rPr>
          <w:color w:val="1F4E79" w:themeColor="accent1" w:themeShade="80"/>
        </w:rPr>
        <w:t>The Agent can coach customers through self-service processes to access support safely during the pandemic. For example, when a customer with literacy and numeracy problems and no experience with technology asked for help at Pottsville Beach, the Agent assisted with updating their details and used a priority phone line to make sure the person would not end up with a debt.</w:t>
      </w:r>
    </w:p>
    <w:p w:rsidR="00260042" w:rsidRPr="007002D8" w:rsidRDefault="007002D8" w:rsidP="007002D8">
      <w:pPr>
        <w:pStyle w:val="BodyText"/>
        <w:rPr>
          <w:color w:val="1F4E79" w:themeColor="accent1" w:themeShade="80"/>
        </w:rPr>
      </w:pPr>
      <w:r w:rsidRPr="007002D8">
        <w:rPr>
          <w:color w:val="1F4E79" w:themeColor="accent1" w:themeShade="80"/>
        </w:rPr>
        <w:t>In a nation as geographically dispersed as Australia, Agents and Access Points are playing a vital role in making sure we have the ability to deliver payments and services to customers, no matter where they live.</w:t>
      </w:r>
    </w:p>
    <w:p w:rsidR="00260042" w:rsidRDefault="00260042" w:rsidP="002E64CE">
      <w:pPr>
        <w:pStyle w:val="Heading3"/>
      </w:pPr>
      <w:r>
        <w:t>Remote Servicing Teams</w:t>
      </w:r>
    </w:p>
    <w:p w:rsidR="00260042" w:rsidRDefault="00260042" w:rsidP="00260042">
      <w:pPr>
        <w:pStyle w:val="BodyText"/>
        <w:spacing w:after="57"/>
      </w:pPr>
      <w:r>
        <w:t>Remote servicing teams provide equitable access to income support payments and services through a face-to-face and virtual service offer to people located in remote areas. This includes:</w:t>
      </w:r>
    </w:p>
    <w:p w:rsidR="00260042" w:rsidRDefault="00260042" w:rsidP="008930A3">
      <w:pPr>
        <w:pStyle w:val="ListBullet"/>
      </w:pPr>
      <w:r>
        <w:t>assisting people with complex needs to engage with services and other support</w:t>
      </w:r>
    </w:p>
    <w:p w:rsidR="00260042" w:rsidRDefault="00260042" w:rsidP="008930A3">
      <w:pPr>
        <w:pStyle w:val="ListBullet"/>
      </w:pPr>
      <w:r>
        <w:t>taking a digital-first approach for customers with digital capability and access</w:t>
      </w:r>
    </w:p>
    <w:p w:rsidR="00260042" w:rsidRDefault="00260042" w:rsidP="00EA5510">
      <w:pPr>
        <w:pStyle w:val="ListBullet"/>
      </w:pPr>
      <w:proofErr w:type="gramStart"/>
      <w:r>
        <w:t>using</w:t>
      </w:r>
      <w:proofErr w:type="gramEnd"/>
      <w:r>
        <w:t xml:space="preserve"> a collaborative model with specialist and professional services such as social work, assessment services and community-based service providers. </w:t>
      </w:r>
    </w:p>
    <w:p w:rsidR="00260042" w:rsidRDefault="00260042" w:rsidP="00260042">
      <w:pPr>
        <w:pStyle w:val="BodyText"/>
      </w:pPr>
      <w:r>
        <w:t>The agency strengthened its virtual service offer in response to travel suspensions to remote areas, given the risks that COVID-19 presents for remote and Indigenous communities and individuals.</w:t>
      </w:r>
    </w:p>
    <w:p w:rsidR="00260042" w:rsidRDefault="00260042" w:rsidP="002E64CE">
      <w:pPr>
        <w:pStyle w:val="Heading3"/>
      </w:pPr>
      <w:r>
        <w:t>Remote service centres</w:t>
      </w:r>
    </w:p>
    <w:p w:rsidR="00260042" w:rsidRDefault="00260042" w:rsidP="00260042">
      <w:pPr>
        <w:pStyle w:val="BodyText"/>
        <w:keepLines/>
      </w:pPr>
      <w:r>
        <w:t xml:space="preserve">Remote service centres offer a range of face-to-face services, as well as supported digital services from a single physical location. Remote service centres are located in communities – 9 in the Northern Territory, 5 in Western Australia and 3 in Queensland. </w:t>
      </w:r>
    </w:p>
    <w:p w:rsidR="00260042" w:rsidRDefault="00260042" w:rsidP="00260042">
      <w:pPr>
        <w:pStyle w:val="BodyText"/>
        <w:keepLines/>
      </w:pPr>
      <w:r>
        <w:t xml:space="preserve">Wherever possible we recruit local Aboriginal and Torres Strait Islander staff to work in these sites. Staff from remote communities are more likely to speak local Aboriginal or Torres Strait Islander languages and understand local customs, traditions and relationships. </w:t>
      </w:r>
    </w:p>
    <w:p w:rsidR="00260042" w:rsidRDefault="00260042" w:rsidP="002E64CE">
      <w:pPr>
        <w:pStyle w:val="Heading3"/>
      </w:pPr>
      <w:r>
        <w:t xml:space="preserve">Farm Household Allowance </w:t>
      </w:r>
    </w:p>
    <w:p w:rsidR="00260042" w:rsidRDefault="00260042" w:rsidP="00260042">
      <w:pPr>
        <w:pStyle w:val="BodyText"/>
      </w:pPr>
      <w:r>
        <w:t xml:space="preserve">Farm Household Allowance is a payment for farming families in financial hardship. </w:t>
      </w:r>
      <w:proofErr w:type="gramStart"/>
      <w:r>
        <w:t>It is a time-limited payment that customers can receive for up to 4 years in every 10-year period</w:t>
      </w:r>
      <w:proofErr w:type="gramEnd"/>
      <w:r>
        <w:t xml:space="preserve">. Help is also available for eligible farmers and their partners to improve their financial self-reliance. In 2020–21, the agency </w:t>
      </w:r>
      <w:r>
        <w:lastRenderedPageBreak/>
        <w:t>finalised more than 3,000 Farm Household Allowance claims. This compares to nearly 7,000 claims in 2019–20.</w:t>
      </w:r>
    </w:p>
    <w:p w:rsidR="00260042" w:rsidRDefault="00260042" w:rsidP="00260042">
      <w:pPr>
        <w:pStyle w:val="BodyText"/>
      </w:pPr>
      <w:r>
        <w:t>Remote customers calling to claim or update information for Farm Household Allowance can now register a voiceprint to authenticate and use IVR to get the information they need without waiting to speak to a service officer.</w:t>
      </w:r>
    </w:p>
    <w:p w:rsidR="00260042" w:rsidRDefault="00260042" w:rsidP="00C81689">
      <w:pPr>
        <w:pStyle w:val="Heading2"/>
      </w:pPr>
      <w:r>
        <w:t>Multicultural services</w:t>
      </w:r>
    </w:p>
    <w:p w:rsidR="00260042" w:rsidRDefault="00260042" w:rsidP="00260042">
      <w:pPr>
        <w:pStyle w:val="BodyText"/>
      </w:pPr>
      <w:r>
        <w:t>Services Australia is committed to ensuring our services respond effectively to the needs of CALD customers.</w:t>
      </w:r>
    </w:p>
    <w:p w:rsidR="00260042" w:rsidRDefault="00260042" w:rsidP="002E64CE">
      <w:pPr>
        <w:pStyle w:val="Heading3"/>
      </w:pPr>
      <w:r>
        <w:t xml:space="preserve">2019–22 Multicultural Servicing Strategy </w:t>
      </w:r>
    </w:p>
    <w:p w:rsidR="00260042" w:rsidRDefault="00260042" w:rsidP="00260042">
      <w:pPr>
        <w:pStyle w:val="BodyText"/>
      </w:pPr>
      <w:r>
        <w:t xml:space="preserve">The </w:t>
      </w:r>
      <w:r>
        <w:rPr>
          <w:rStyle w:val="Italic"/>
        </w:rPr>
        <w:t xml:space="preserve">2019–22 Multicultural Servicing Strategy </w:t>
      </w:r>
      <w:r>
        <w:t xml:space="preserve">supports the agency’s commitment to the Australian Government’s Multicultural Access and Equity Policy and our CALD staff, customers and communities. The strategy outlines 48 actions across 42 business areas to improve access and outcomes for CALD customers. </w:t>
      </w:r>
    </w:p>
    <w:p w:rsidR="00260042" w:rsidRDefault="00260042" w:rsidP="00260042">
      <w:pPr>
        <w:pStyle w:val="BodyText"/>
        <w:spacing w:after="57"/>
      </w:pPr>
      <w:r>
        <w:t>Some of the key actions in the strategy include:</w:t>
      </w:r>
    </w:p>
    <w:p w:rsidR="00260042" w:rsidRDefault="00260042" w:rsidP="008930A3">
      <w:pPr>
        <w:pStyle w:val="ListBullet"/>
      </w:pPr>
      <w:r>
        <w:t>establishing a set of mandatory multicultural service design standards across all initiatives, projects and programs that embed the voice of multicultural customers in all aspects of service delivery design and transformation</w:t>
      </w:r>
    </w:p>
    <w:p w:rsidR="00260042" w:rsidRDefault="00260042" w:rsidP="008930A3">
      <w:pPr>
        <w:pStyle w:val="ListBullet"/>
      </w:pPr>
      <w:r>
        <w:t>building on the translation of the Payment and Service Finder digital service and exploring opportunities to translate more online services</w:t>
      </w:r>
    </w:p>
    <w:p w:rsidR="00260042" w:rsidRDefault="00260042" w:rsidP="00EA5510">
      <w:pPr>
        <w:pStyle w:val="ListBullet"/>
      </w:pPr>
      <w:proofErr w:type="gramStart"/>
      <w:r>
        <w:t>ensuring</w:t>
      </w:r>
      <w:proofErr w:type="gramEnd"/>
      <w:r>
        <w:t xml:space="preserve"> multicultural communities benefit from our large transformation projects, including pre-filled data for claims, simpler forms, digital assistants on our online channels, and easy voice recognition when our customers need to call.</w:t>
      </w:r>
    </w:p>
    <w:p w:rsidR="00260042" w:rsidRDefault="00260042" w:rsidP="002E64CE">
      <w:pPr>
        <w:pStyle w:val="Heading3"/>
      </w:pPr>
      <w:r>
        <w:t>Multicultural Service Officers</w:t>
      </w:r>
    </w:p>
    <w:p w:rsidR="00260042" w:rsidRDefault="00260042" w:rsidP="00260042">
      <w:pPr>
        <w:pStyle w:val="BodyText"/>
      </w:pPr>
      <w:r>
        <w:t xml:space="preserve">Multicultural Service Officers (MSOs) play an integral role in connecting migrants and refugees to our information, payments and services. There are approximately 70 MSOs around the country, providing services to urban and regional CALD communities. </w:t>
      </w:r>
    </w:p>
    <w:p w:rsidR="00260042" w:rsidRDefault="00260042" w:rsidP="00260042">
      <w:pPr>
        <w:pStyle w:val="BodyText"/>
        <w:spacing w:after="57"/>
      </w:pPr>
      <w:r>
        <w:t>In 2020–21, the focus of the MSO program was to:</w:t>
      </w:r>
    </w:p>
    <w:p w:rsidR="00260042" w:rsidRDefault="00260042" w:rsidP="008930A3">
      <w:pPr>
        <w:pStyle w:val="ListBullet"/>
      </w:pPr>
      <w:r>
        <w:t>engage with CALD communities to ensure people have the information they need to access payments and services during the COVID-19 pandemic</w:t>
      </w:r>
    </w:p>
    <w:p w:rsidR="00260042" w:rsidRDefault="00260042" w:rsidP="008930A3">
      <w:pPr>
        <w:pStyle w:val="ListBullet"/>
      </w:pPr>
      <w:r>
        <w:t xml:space="preserve">support the COVID–19 vaccination rollout through promotion of translated information from Services Australia and the Department of Health </w:t>
      </w:r>
    </w:p>
    <w:p w:rsidR="00260042" w:rsidRDefault="00260042" w:rsidP="008930A3">
      <w:pPr>
        <w:pStyle w:val="ListBullet"/>
      </w:pPr>
      <w:r>
        <w:t>target information to the community about our digital channels, debt prevention, financial literacy and family and domestic violence</w:t>
      </w:r>
    </w:p>
    <w:p w:rsidR="00260042" w:rsidRDefault="00260042" w:rsidP="00EA5510">
      <w:pPr>
        <w:pStyle w:val="ListBullet"/>
      </w:pPr>
      <w:proofErr w:type="gramStart"/>
      <w:r>
        <w:t>build</w:t>
      </w:r>
      <w:proofErr w:type="gramEnd"/>
      <w:r>
        <w:t xml:space="preserve"> staff cultural capability and promote and support use of the interpreter and translation service.</w:t>
      </w:r>
    </w:p>
    <w:p w:rsidR="00260042" w:rsidRDefault="00260042" w:rsidP="00260042">
      <w:pPr>
        <w:pStyle w:val="BodyText"/>
      </w:pPr>
      <w:r>
        <w:t xml:space="preserve">In 2020–21, MSOs conducted 40,950 direct engagement activities with 2,200 community and </w:t>
      </w:r>
      <w:proofErr w:type="gramStart"/>
      <w:r>
        <w:t>third-party</w:t>
      </w:r>
      <w:proofErr w:type="gramEnd"/>
      <w:r>
        <w:t xml:space="preserve"> organisations.</w:t>
      </w:r>
    </w:p>
    <w:p w:rsidR="007002D8" w:rsidRPr="007002D8" w:rsidRDefault="007002D8" w:rsidP="007002D8">
      <w:pPr>
        <w:pStyle w:val="StoryHeading"/>
        <w:rPr>
          <w:color w:val="1F4E79" w:themeColor="accent1" w:themeShade="80"/>
        </w:rPr>
      </w:pPr>
      <w:r w:rsidRPr="007002D8">
        <w:rPr>
          <w:color w:val="1F4E79" w:themeColor="accent1" w:themeShade="80"/>
        </w:rPr>
        <w:lastRenderedPageBreak/>
        <w:t>Giving people support in their own language</w:t>
      </w:r>
    </w:p>
    <w:p w:rsidR="007002D8" w:rsidRPr="007002D8" w:rsidRDefault="007002D8" w:rsidP="007002D8">
      <w:pPr>
        <w:pStyle w:val="BodyText"/>
        <w:rPr>
          <w:color w:val="1F4E79" w:themeColor="accent1" w:themeShade="80"/>
        </w:rPr>
      </w:pPr>
      <w:r w:rsidRPr="007002D8">
        <w:rPr>
          <w:color w:val="1F4E79" w:themeColor="accent1" w:themeShade="80"/>
        </w:rPr>
        <w:t xml:space="preserve">More than 7 million people living in Australia come from a CALD background. </w:t>
      </w:r>
    </w:p>
    <w:p w:rsidR="007002D8" w:rsidRPr="007002D8" w:rsidRDefault="007002D8" w:rsidP="007002D8">
      <w:pPr>
        <w:pStyle w:val="BodyText"/>
        <w:rPr>
          <w:color w:val="1F4E79" w:themeColor="accent1" w:themeShade="80"/>
        </w:rPr>
      </w:pPr>
      <w:r w:rsidRPr="007002D8">
        <w:rPr>
          <w:color w:val="1F4E79" w:themeColor="accent1" w:themeShade="80"/>
        </w:rPr>
        <w:t>The COVID-19 pandemic has reinforced the importance of quickly communicating with people in their language. While for many it is simple to do a quick search online and find the information they need, this is usually not easy for people whose first language is not English.</w:t>
      </w:r>
    </w:p>
    <w:p w:rsidR="007002D8" w:rsidRPr="007002D8" w:rsidRDefault="007002D8" w:rsidP="007002D8">
      <w:pPr>
        <w:pStyle w:val="BodyText"/>
        <w:rPr>
          <w:color w:val="1F4E79" w:themeColor="accent1" w:themeShade="80"/>
        </w:rPr>
      </w:pPr>
      <w:r w:rsidRPr="007002D8">
        <w:rPr>
          <w:color w:val="1F4E79" w:themeColor="accent1" w:themeShade="80"/>
        </w:rPr>
        <w:t xml:space="preserve">Throughout the pandemic, it is essential that CALD communities have up-to-date information about COVID-19 related payments – particularly for migrants and refugees. </w:t>
      </w:r>
    </w:p>
    <w:p w:rsidR="007002D8" w:rsidRPr="007002D8" w:rsidRDefault="007002D8" w:rsidP="007002D8">
      <w:pPr>
        <w:pStyle w:val="BodyText"/>
        <w:rPr>
          <w:color w:val="1F4E79" w:themeColor="accent1" w:themeShade="80"/>
        </w:rPr>
      </w:pPr>
      <w:r w:rsidRPr="007002D8">
        <w:rPr>
          <w:color w:val="1F4E79" w:themeColor="accent1" w:themeShade="80"/>
        </w:rPr>
        <w:t xml:space="preserve">In response, the agency rapidly produced COVID-19 information into more than 65 languages. The information </w:t>
      </w:r>
      <w:proofErr w:type="gramStart"/>
      <w:r w:rsidRPr="007002D8">
        <w:rPr>
          <w:color w:val="1F4E79" w:themeColor="accent1" w:themeShade="80"/>
        </w:rPr>
        <w:t>was aired on SBS radio, multicultural news outlets and continually updated on our website</w:t>
      </w:r>
      <w:proofErr w:type="gramEnd"/>
      <w:r w:rsidRPr="007002D8">
        <w:rPr>
          <w:color w:val="1F4E79" w:themeColor="accent1" w:themeShade="80"/>
        </w:rPr>
        <w:t>. Our MSOs reached out to CALD leaders and their communities to share this information.</w:t>
      </w:r>
    </w:p>
    <w:p w:rsidR="00260042" w:rsidRPr="007002D8" w:rsidRDefault="007002D8" w:rsidP="007002D8">
      <w:pPr>
        <w:pStyle w:val="BodyText"/>
        <w:rPr>
          <w:color w:val="1F4E79" w:themeColor="accent1" w:themeShade="80"/>
        </w:rPr>
      </w:pPr>
      <w:r w:rsidRPr="007002D8">
        <w:rPr>
          <w:color w:val="1F4E79" w:themeColor="accent1" w:themeShade="80"/>
        </w:rPr>
        <w:t>This is only part of what the agency does to help CALD customers. The agency offers a national multilingual telephony service with staff who can assist customers in more than 20 languages. Language Services provide free interpreting and translating services in over 200 languages. In 2020–21, the team managed a huge increase in demand, translating over 6,000 documents and arranging more than 700,000 connections with interpreters.</w:t>
      </w:r>
    </w:p>
    <w:p w:rsidR="00260042" w:rsidRDefault="00260042" w:rsidP="002E64CE">
      <w:pPr>
        <w:pStyle w:val="Heading3"/>
      </w:pPr>
      <w:r>
        <w:t>Multicultural community engagement</w:t>
      </w:r>
    </w:p>
    <w:p w:rsidR="00260042" w:rsidRDefault="00260042" w:rsidP="00260042">
      <w:pPr>
        <w:pStyle w:val="BodyText"/>
      </w:pPr>
      <w:r>
        <w:t>As part of our commitment to the Multicultural Access and Equity Policy and CALD community engagement, the agency convenes representative groups.</w:t>
      </w:r>
    </w:p>
    <w:p w:rsidR="00260042" w:rsidRDefault="00260042" w:rsidP="00260042">
      <w:pPr>
        <w:pStyle w:val="BodyText"/>
        <w:spacing w:after="57"/>
      </w:pPr>
      <w:r>
        <w:t xml:space="preserve">The </w:t>
      </w:r>
      <w:r>
        <w:rPr>
          <w:rStyle w:val="Bold"/>
        </w:rPr>
        <w:t>National Multicultural Advisory Group</w:t>
      </w:r>
      <w:r>
        <w:t xml:space="preserve"> includes representatives from peak multicultural organisations and advises the agency on all aspects of service to CALD customers, including: </w:t>
      </w:r>
    </w:p>
    <w:p w:rsidR="00260042" w:rsidRDefault="00260042" w:rsidP="008930A3">
      <w:pPr>
        <w:pStyle w:val="ListBullet"/>
      </w:pPr>
      <w:r>
        <w:t>the quality and effectiveness of services</w:t>
      </w:r>
    </w:p>
    <w:p w:rsidR="00260042" w:rsidRDefault="00260042" w:rsidP="008930A3">
      <w:pPr>
        <w:pStyle w:val="ListBullet"/>
      </w:pPr>
      <w:r>
        <w:t xml:space="preserve">the impact of new and existing policies and/or legislation on customers </w:t>
      </w:r>
    </w:p>
    <w:p w:rsidR="00260042" w:rsidRDefault="00260042" w:rsidP="008930A3">
      <w:pPr>
        <w:pStyle w:val="ListBullet"/>
      </w:pPr>
      <w:r>
        <w:t xml:space="preserve">future service delivery developments </w:t>
      </w:r>
    </w:p>
    <w:p w:rsidR="00260042" w:rsidRDefault="00260042" w:rsidP="00EA5510">
      <w:pPr>
        <w:pStyle w:val="ListBullet"/>
      </w:pPr>
      <w:proofErr w:type="gramStart"/>
      <w:r>
        <w:t>opportunities</w:t>
      </w:r>
      <w:proofErr w:type="gramEnd"/>
      <w:r>
        <w:t xml:space="preserve"> to build stronger communities in partnership with the agency.</w:t>
      </w:r>
    </w:p>
    <w:p w:rsidR="00260042" w:rsidRDefault="00260042" w:rsidP="00260042">
      <w:pPr>
        <w:pStyle w:val="BodyText"/>
      </w:pPr>
      <w:r>
        <w:t xml:space="preserve">In 2020–21, membership </w:t>
      </w:r>
      <w:proofErr w:type="gramStart"/>
      <w:r>
        <w:t>was expanded</w:t>
      </w:r>
      <w:proofErr w:type="gramEnd"/>
      <w:r>
        <w:t xml:space="preserve"> to include Humanitarian Settlement Program service providers, the Australian Council of Social Service, the Australian GLBTIQ Multicultural Council and the National Refugee Advisory and Advocacy Group. </w:t>
      </w:r>
    </w:p>
    <w:p w:rsidR="00260042" w:rsidRDefault="00260042" w:rsidP="00260042">
      <w:pPr>
        <w:pStyle w:val="BodyText"/>
      </w:pPr>
      <w:r>
        <w:t xml:space="preserve">The </w:t>
      </w:r>
      <w:r>
        <w:rPr>
          <w:rStyle w:val="Bold"/>
        </w:rPr>
        <w:t>Multicultural Community Engagement Group</w:t>
      </w:r>
      <w:r>
        <w:t xml:space="preserve"> comprises government agencies with an operational focus on multicultural community engagement. </w:t>
      </w:r>
    </w:p>
    <w:p w:rsidR="00260042" w:rsidRDefault="00260042" w:rsidP="00260042">
      <w:pPr>
        <w:pStyle w:val="BodyText"/>
        <w:spacing w:after="57"/>
      </w:pPr>
      <w:r>
        <w:t xml:space="preserve">In 2020–21, the group focused its discussions on agency responses </w:t>
      </w:r>
      <w:proofErr w:type="gramStart"/>
      <w:r>
        <w:t>to</w:t>
      </w:r>
      <w:proofErr w:type="gramEnd"/>
      <w:r>
        <w:t>:</w:t>
      </w:r>
    </w:p>
    <w:p w:rsidR="00260042" w:rsidRDefault="00260042" w:rsidP="008930A3">
      <w:pPr>
        <w:pStyle w:val="ListBullet"/>
      </w:pPr>
      <w:r>
        <w:t>the COVID-19 pandemic, including the vaccination program</w:t>
      </w:r>
    </w:p>
    <w:p w:rsidR="00260042" w:rsidRDefault="00260042" w:rsidP="008930A3">
      <w:pPr>
        <w:pStyle w:val="ListBullet"/>
      </w:pPr>
      <w:r>
        <w:t>community engagement frameworks</w:t>
      </w:r>
    </w:p>
    <w:p w:rsidR="00260042" w:rsidRDefault="00260042" w:rsidP="00EA5510">
      <w:pPr>
        <w:pStyle w:val="ListBullet"/>
      </w:pPr>
      <w:proofErr w:type="gramStart"/>
      <w:r>
        <w:t>language</w:t>
      </w:r>
      <w:proofErr w:type="gramEnd"/>
      <w:r>
        <w:t xml:space="preserve"> services and translated information.</w:t>
      </w:r>
    </w:p>
    <w:p w:rsidR="00260042" w:rsidRDefault="00260042" w:rsidP="00260042">
      <w:pPr>
        <w:pStyle w:val="BodyText"/>
      </w:pPr>
      <w:r>
        <w:rPr>
          <w:rStyle w:val="Bold"/>
        </w:rPr>
        <w:t>Multicultural Advisory Forums</w:t>
      </w:r>
      <w:r>
        <w:t xml:space="preserve"> </w:t>
      </w:r>
      <w:proofErr w:type="gramStart"/>
      <w:r>
        <w:t>are held</w:t>
      </w:r>
      <w:proofErr w:type="gramEnd"/>
      <w:r>
        <w:t xml:space="preserve"> in areas with high multicultural populations across all states and territories. The forums </w:t>
      </w:r>
      <w:proofErr w:type="gramStart"/>
      <w:r>
        <w:t>are used</w:t>
      </w:r>
      <w:proofErr w:type="gramEnd"/>
      <w:r>
        <w:t xml:space="preserve"> by the agency to update participants on major changes to services and payments. The forums also help the agency to work more collaboratively across </w:t>
      </w:r>
      <w:r>
        <w:lastRenderedPageBreak/>
        <w:t xml:space="preserve">government and with the community and </w:t>
      </w:r>
      <w:proofErr w:type="gramStart"/>
      <w:r>
        <w:t>third-party</w:t>
      </w:r>
      <w:proofErr w:type="gramEnd"/>
      <w:r>
        <w:t xml:space="preserve"> organisations at a state, territory and local level to identify and address service delivery issues affecting people from CALD backgrounds. </w:t>
      </w:r>
    </w:p>
    <w:p w:rsidR="00260042" w:rsidRDefault="00260042" w:rsidP="00260042">
      <w:pPr>
        <w:pStyle w:val="BodyText"/>
      </w:pPr>
      <w:r>
        <w:t xml:space="preserve">In 2020–21, the agency used Multicultural Advisory Forums as a platform to discuss the agency’s response to COVID-19, our assistance with the vaccination rollout, and CALD community issues such as elder abuse and family and domestic violence, and challenges </w:t>
      </w:r>
      <w:proofErr w:type="gramStart"/>
      <w:r>
        <w:t>being experienced</w:t>
      </w:r>
      <w:proofErr w:type="gramEnd"/>
      <w:r>
        <w:t xml:space="preserve"> by refugees, people with disability, job seekers and carers.</w:t>
      </w:r>
    </w:p>
    <w:p w:rsidR="00260042" w:rsidRDefault="00260042" w:rsidP="002E64CE">
      <w:pPr>
        <w:pStyle w:val="Heading3"/>
      </w:pPr>
      <w:r>
        <w:t>Language services</w:t>
      </w:r>
    </w:p>
    <w:p w:rsidR="00260042" w:rsidRDefault="00260042" w:rsidP="00260042">
      <w:pPr>
        <w:pStyle w:val="BodyText"/>
      </w:pPr>
      <w:r>
        <w:t xml:space="preserve">The agency provides customers with limited or no English free interpreter and translation services in over 200 languages, including </w:t>
      </w:r>
      <w:proofErr w:type="spellStart"/>
      <w:r>
        <w:t>Auslan</w:t>
      </w:r>
      <w:proofErr w:type="spellEnd"/>
      <w:r>
        <w:t>, to help them conduct their business with us. Interpreters can help with phone and face-to-face customer contacts.</w:t>
      </w:r>
    </w:p>
    <w:p w:rsidR="00260042" w:rsidRDefault="00260042" w:rsidP="00260042">
      <w:pPr>
        <w:pStyle w:val="BodyText"/>
      </w:pPr>
      <w:r>
        <w:t xml:space="preserve">In 2020–21, there were over 740,000 interpreter interactions and more than 5,000 document translations were completed. More than 2,000 contracted interpreters and translators delivered these services on behalf of the agency. </w:t>
      </w:r>
    </w:p>
    <w:p w:rsidR="00260042" w:rsidRDefault="00260042" w:rsidP="00260042">
      <w:pPr>
        <w:pStyle w:val="BodyText"/>
      </w:pPr>
      <w:r>
        <w:t xml:space="preserve">Bilingual staff receiving the Community Language Allowance provide direct customer service in languages other than English. The Services Australia’s website also provides translated information, such as factsheets and audio files, about our payments and services. </w:t>
      </w:r>
    </w:p>
    <w:p w:rsidR="00260042" w:rsidRDefault="00260042" w:rsidP="00260042">
      <w:pPr>
        <w:pStyle w:val="BodyText"/>
      </w:pPr>
      <w:r>
        <w:t xml:space="preserve">The agency continues to explore innovative opportunities to provide online services in languages other than English. For example, the </w:t>
      </w:r>
      <w:r>
        <w:rPr>
          <w:rStyle w:val="Italic"/>
        </w:rPr>
        <w:t xml:space="preserve">About </w:t>
      </w:r>
      <w:proofErr w:type="spellStart"/>
      <w:r>
        <w:rPr>
          <w:rStyle w:val="Italic"/>
        </w:rPr>
        <w:t>myGov</w:t>
      </w:r>
      <w:proofErr w:type="spellEnd"/>
      <w:r>
        <w:rPr>
          <w:rStyle w:val="Italic"/>
        </w:rPr>
        <w:t xml:space="preserve"> </w:t>
      </w:r>
      <w:r>
        <w:t xml:space="preserve">video was translated into 9 international and 2 Indigenous languages to help customers who do not yet use </w:t>
      </w:r>
      <w:proofErr w:type="spellStart"/>
      <w:r>
        <w:t>myGov</w:t>
      </w:r>
      <w:proofErr w:type="spellEnd"/>
      <w:r>
        <w:t xml:space="preserve"> to access online government services. </w:t>
      </w:r>
    </w:p>
    <w:p w:rsidR="00260042" w:rsidRDefault="00260042" w:rsidP="00260042">
      <w:pPr>
        <w:pStyle w:val="BodyText"/>
      </w:pPr>
      <w:r>
        <w:t xml:space="preserve">During 2020–21, Services Australia supported the Department of Health with the rollout of the COVID-19 vaccination program by providing interpreter services and drawing on multicultural expertise and guidance. This included language recommendations for Aboriginal and Torres Strait Islander peoples and people from CALD backgrounds, to ensure COVID-19 messages </w:t>
      </w:r>
      <w:proofErr w:type="gramStart"/>
      <w:r>
        <w:t>were tailored and targeted</w:t>
      </w:r>
      <w:proofErr w:type="gramEnd"/>
      <w:r>
        <w:t xml:space="preserve">. </w:t>
      </w:r>
    </w:p>
    <w:p w:rsidR="00260042" w:rsidRDefault="00260042" w:rsidP="00C81689">
      <w:pPr>
        <w:pStyle w:val="Heading2"/>
      </w:pPr>
      <w:r>
        <w:t>Social work services</w:t>
      </w:r>
    </w:p>
    <w:p w:rsidR="00260042" w:rsidRDefault="00260042" w:rsidP="00260042">
      <w:pPr>
        <w:pStyle w:val="BodyText"/>
      </w:pPr>
      <w:r>
        <w:t xml:space="preserve">Services Australia social workers are located in service centres and smart centres across the country. At 30 June 2021, there were 681 social workers employed in 216 locations. </w:t>
      </w:r>
    </w:p>
    <w:p w:rsidR="00260042" w:rsidRDefault="00260042" w:rsidP="00260042">
      <w:pPr>
        <w:pStyle w:val="BodyText"/>
      </w:pPr>
      <w:r>
        <w:t xml:space="preserve">Social workers provide professional support, counselling and interventions to vulnerable Australians in crisis or those affected by natural disasters and emergencies. They also deliver training, and work with staff and the community to support individuals with multiple and complex needs. </w:t>
      </w:r>
    </w:p>
    <w:p w:rsidR="00260042" w:rsidRDefault="00260042" w:rsidP="00260042">
      <w:pPr>
        <w:pStyle w:val="BodyText"/>
        <w:spacing w:after="57"/>
      </w:pPr>
      <w:r>
        <w:t>In 2020–21, social workers responded to 256,392 referrals for support and delivered targeted services for priority customer groups, including:</w:t>
      </w:r>
    </w:p>
    <w:p w:rsidR="00260042" w:rsidRDefault="00260042" w:rsidP="008930A3">
      <w:pPr>
        <w:pStyle w:val="ListBullet"/>
      </w:pPr>
      <w:r>
        <w:t xml:space="preserve">5,692 people at risk of suicide and self-harm </w:t>
      </w:r>
    </w:p>
    <w:p w:rsidR="00260042" w:rsidRDefault="00260042" w:rsidP="008930A3">
      <w:pPr>
        <w:pStyle w:val="ListBullet"/>
      </w:pPr>
      <w:proofErr w:type="gramStart"/>
      <w:r>
        <w:t>young</w:t>
      </w:r>
      <w:proofErr w:type="gramEnd"/>
      <w:r>
        <w:t xml:space="preserve"> people without adequate support. Social workers engaged with 2,998 vulnerable and unsupported young people in targeted intervention</w:t>
      </w:r>
    </w:p>
    <w:p w:rsidR="00260042" w:rsidRDefault="00260042" w:rsidP="00EA5510">
      <w:pPr>
        <w:pStyle w:val="ListBullet"/>
      </w:pPr>
      <w:proofErr w:type="gramStart"/>
      <w:r>
        <w:t>107,934</w:t>
      </w:r>
      <w:proofErr w:type="gramEnd"/>
      <w:r>
        <w:t xml:space="preserve"> referrals to assist people affected by family and domestic violence.</w:t>
      </w:r>
    </w:p>
    <w:p w:rsidR="00260042" w:rsidRDefault="00260042" w:rsidP="00260042">
      <w:pPr>
        <w:pStyle w:val="BodyText"/>
      </w:pPr>
      <w:r>
        <w:t xml:space="preserve">In 2020–21, social workers also assisted people affected by disasters, including the Western Australian bushfires, the NSW floods, Tropical Cyclone </w:t>
      </w:r>
      <w:proofErr w:type="spellStart"/>
      <w:r>
        <w:t>Seroja</w:t>
      </w:r>
      <w:proofErr w:type="spellEnd"/>
      <w:r>
        <w:t xml:space="preserve"> and the ongoing COVID-19 response. </w:t>
      </w:r>
      <w:r>
        <w:lastRenderedPageBreak/>
        <w:t xml:space="preserve">Social workers provided alternative services and strategies to support vulnerable and at-risk customers, while maintaining business as usual agency work requirements. During any disaster, social workers </w:t>
      </w:r>
      <w:proofErr w:type="gramStart"/>
      <w:r>
        <w:t>can be deployed</w:t>
      </w:r>
      <w:proofErr w:type="gramEnd"/>
      <w:r>
        <w:t xml:space="preserve"> to mobile service teams, mobile service centres and to state/territory-based recovery centres to provide support to affected individuals and families. </w:t>
      </w:r>
    </w:p>
    <w:p w:rsidR="00260042" w:rsidRDefault="00260042" w:rsidP="00C81689">
      <w:pPr>
        <w:pStyle w:val="Heading2"/>
      </w:pPr>
      <w:r>
        <w:t xml:space="preserve">Community Engagement Officers </w:t>
      </w:r>
    </w:p>
    <w:p w:rsidR="00260042" w:rsidRDefault="00260042" w:rsidP="00260042">
      <w:pPr>
        <w:pStyle w:val="BodyText"/>
        <w:spacing w:after="57"/>
      </w:pPr>
      <w:r>
        <w:t xml:space="preserve">In 2020–21, the agency had 82 Community Engagement Officers (CEOs) who had relationships with over 2,400 community and </w:t>
      </w:r>
      <w:proofErr w:type="gramStart"/>
      <w:r>
        <w:t>third-party</w:t>
      </w:r>
      <w:proofErr w:type="gramEnd"/>
      <w:r>
        <w:t xml:space="preserve"> organisations. CEOs work collaboratively with other staff such as Multicultural and Indigenous Service Officers to support vulnerable customers with complex issues. CEOs:</w:t>
      </w:r>
    </w:p>
    <w:p w:rsidR="00260042" w:rsidRDefault="00260042" w:rsidP="008930A3">
      <w:pPr>
        <w:pStyle w:val="ListBullet"/>
      </w:pPr>
      <w:r>
        <w:t>work collaboratively with community and third-party organisations to support people who are experiencing vulnerability or have complex needs, to ensure they are aware of the range of agency services available</w:t>
      </w:r>
    </w:p>
    <w:p w:rsidR="00260042" w:rsidRDefault="00260042" w:rsidP="008930A3">
      <w:pPr>
        <w:pStyle w:val="ListBullet"/>
      </w:pPr>
      <w:r>
        <w:t>support customers to increase their capacity for greater self-sufficiency by promoting and demonstrating the agency’s digital services</w:t>
      </w:r>
    </w:p>
    <w:p w:rsidR="00260042" w:rsidRDefault="00260042" w:rsidP="00EA5510">
      <w:pPr>
        <w:pStyle w:val="ListBullet"/>
      </w:pPr>
      <w:proofErr w:type="gramStart"/>
      <w:r>
        <w:t>deliver</w:t>
      </w:r>
      <w:proofErr w:type="gramEnd"/>
      <w:r>
        <w:t xml:space="preserve"> agency services in locations such as mental health facilities, family and domestic violence services, general crisis/support services, drug and alcohol services, specialist accommodation services and youth services.</w:t>
      </w:r>
    </w:p>
    <w:p w:rsidR="00260042" w:rsidRDefault="00260042" w:rsidP="00260042">
      <w:pPr>
        <w:pStyle w:val="BodyText"/>
      </w:pPr>
      <w:r>
        <w:t xml:space="preserve">CEOs typically meet customers in their own environment where they feel most comfortable. However, through much of 2020–21, a virtual service offer was implemented </w:t>
      </w:r>
      <w:proofErr w:type="gramStart"/>
      <w:r>
        <w:t>as a consequence</w:t>
      </w:r>
      <w:proofErr w:type="gramEnd"/>
      <w:r>
        <w:t xml:space="preserve"> of COVID-19 restrictions. In 2020–21, CEOs also used their extensive networks to promote and educate customers about the Government’s COVID-19 vaccine strategy and other pandemic-related payments and services. </w:t>
      </w:r>
    </w:p>
    <w:p w:rsidR="00260042" w:rsidRDefault="00260042" w:rsidP="00C81689">
      <w:pPr>
        <w:pStyle w:val="Heading2"/>
      </w:pPr>
      <w:r>
        <w:t>Citizenship testing</w:t>
      </w:r>
    </w:p>
    <w:p w:rsidR="00260042" w:rsidRDefault="00260042" w:rsidP="00260042">
      <w:pPr>
        <w:pStyle w:val="BodyText"/>
      </w:pPr>
      <w:r>
        <w:t xml:space="preserve">The agency delivers citizenship tests on behalf of the Department of Home Affairs in 38 service centres in regional areas. In 2020–21, the agency conducted 15,691 citizenship tests. </w:t>
      </w:r>
    </w:p>
    <w:p w:rsidR="00260042" w:rsidRDefault="00260042" w:rsidP="00C81689">
      <w:pPr>
        <w:pStyle w:val="Heading2"/>
      </w:pPr>
      <w:r>
        <w:t>Support for refugees and humanitarian entrants</w:t>
      </w:r>
    </w:p>
    <w:p w:rsidR="00260042" w:rsidRDefault="00260042" w:rsidP="00260042">
      <w:pPr>
        <w:pStyle w:val="BodyText"/>
      </w:pPr>
      <w:r>
        <w:t xml:space="preserve">Services Australia assists refugees and humanitarian entrants in Australia by offering streamlined services, including payments, information and referrals, Medicare enrolment, language services, information seminars, and support for finding work. </w:t>
      </w:r>
    </w:p>
    <w:p w:rsidR="00260042" w:rsidRDefault="00260042" w:rsidP="00260042">
      <w:pPr>
        <w:pStyle w:val="BodyText"/>
      </w:pPr>
      <w:r>
        <w:t>The agency works closely with the Department of Home Affairs and Humanitarian Settlement Program providers, as well as community groups, to ensure that refugees receive appropriate services and support on arrival. A network of specialist teams and subject matter experts deliver the services at locations with high settlement populations, including in regional areas.</w:t>
      </w:r>
    </w:p>
    <w:p w:rsidR="00260042" w:rsidRDefault="00260042" w:rsidP="00C81689">
      <w:pPr>
        <w:pStyle w:val="Heading2"/>
      </w:pPr>
      <w:r>
        <w:t>Status Resolution Support Services Payment</w:t>
      </w:r>
    </w:p>
    <w:p w:rsidR="00260042" w:rsidRDefault="00260042" w:rsidP="00260042">
      <w:pPr>
        <w:pStyle w:val="BodyText"/>
      </w:pPr>
      <w:r>
        <w:t xml:space="preserve">The Status Resolution Support Services Payment provides temporary, needs-based support to asylum seekers who are unable to support themselves while resolving their immigration status. At 30 June 2021, approximately 1,200 customers were receiving the payment. </w:t>
      </w:r>
    </w:p>
    <w:p w:rsidR="00260042" w:rsidRDefault="00260042" w:rsidP="00C81689">
      <w:pPr>
        <w:pStyle w:val="Heading2"/>
      </w:pPr>
      <w:r>
        <w:lastRenderedPageBreak/>
        <w:t>Money management</w:t>
      </w:r>
    </w:p>
    <w:p w:rsidR="00260042" w:rsidRDefault="00260042" w:rsidP="00260042">
      <w:pPr>
        <w:pStyle w:val="BodyText"/>
      </w:pPr>
      <w:r>
        <w:t xml:space="preserve">Services Australia provides services to help customers in challenging circumstances to manage their money. </w:t>
      </w:r>
    </w:p>
    <w:p w:rsidR="00260042" w:rsidRDefault="00260042" w:rsidP="002E64CE">
      <w:pPr>
        <w:pStyle w:val="Heading3"/>
      </w:pPr>
      <w:r>
        <w:t xml:space="preserve">Financial Information Service </w:t>
      </w:r>
    </w:p>
    <w:p w:rsidR="00260042" w:rsidRDefault="00260042" w:rsidP="00260042">
      <w:pPr>
        <w:pStyle w:val="BodyText"/>
      </w:pPr>
      <w:r>
        <w:t xml:space="preserve">The Financial Information Service (FIS) offers free, independent and confidential information, tools and resources to help customers make informed decisions about their current and future financial needs. FIS can assist financially vulnerable people to improve their financial capability, and fosters self-sufficiency by looking at financial options beyond the payments offered by Services Australia. </w:t>
      </w:r>
    </w:p>
    <w:p w:rsidR="00260042" w:rsidRDefault="00260042" w:rsidP="00260042">
      <w:pPr>
        <w:pStyle w:val="BodyText"/>
      </w:pPr>
      <w:r>
        <w:t xml:space="preserve">FIS is available by phone, by appointment and through online resources. FIS face-to-face services have been restricted due to the COVID-19 pandemic. Seminars </w:t>
      </w:r>
      <w:proofErr w:type="gramStart"/>
      <w:r>
        <w:t>were not conducted</w:t>
      </w:r>
      <w:proofErr w:type="gramEnd"/>
      <w:r>
        <w:t xml:space="preserve"> in the financial year and most outreach was conducted through video conferencing. </w:t>
      </w:r>
    </w:p>
    <w:p w:rsidR="00260042" w:rsidRDefault="00260042" w:rsidP="00260042">
      <w:pPr>
        <w:pStyle w:val="BodyText"/>
      </w:pPr>
      <w:r>
        <w:t xml:space="preserve">All figures below are for the full financial year, with the majority of interview and outreach activities conducted between 1 January and 30 June 2021 due to COVID-19 servicing restrictions throughout most of 2020. </w:t>
      </w:r>
    </w:p>
    <w:p w:rsidR="00260042" w:rsidRDefault="00260042" w:rsidP="00260042">
      <w:pPr>
        <w:pStyle w:val="BodyText"/>
        <w:spacing w:after="57"/>
      </w:pPr>
      <w:r>
        <w:t xml:space="preserve">In 2020–21, FIS officers: </w:t>
      </w:r>
    </w:p>
    <w:p w:rsidR="00260042" w:rsidRDefault="00260042" w:rsidP="008930A3">
      <w:pPr>
        <w:pStyle w:val="ListBullet"/>
      </w:pPr>
      <w:r>
        <w:t xml:space="preserve">answered more than 64,000 phone calls </w:t>
      </w:r>
    </w:p>
    <w:p w:rsidR="00260042" w:rsidRDefault="00260042" w:rsidP="008930A3">
      <w:pPr>
        <w:pStyle w:val="ListBullet"/>
      </w:pPr>
      <w:r>
        <w:t>conducted more than 13,900 interviews</w:t>
      </w:r>
    </w:p>
    <w:p w:rsidR="00260042" w:rsidRDefault="00260042" w:rsidP="00EA5510">
      <w:pPr>
        <w:pStyle w:val="ListBullet"/>
      </w:pPr>
      <w:proofErr w:type="gramStart"/>
      <w:r>
        <w:t>delivered</w:t>
      </w:r>
      <w:proofErr w:type="gramEnd"/>
      <w:r>
        <w:t xml:space="preserve"> 2,400 hours of outreach services at more than 1,300 events.</w:t>
      </w:r>
    </w:p>
    <w:p w:rsidR="00260042" w:rsidRDefault="00260042" w:rsidP="002E64CE">
      <w:pPr>
        <w:pStyle w:val="Heading3"/>
      </w:pPr>
      <w:r>
        <w:t xml:space="preserve">Centrepay </w:t>
      </w:r>
    </w:p>
    <w:p w:rsidR="00260042" w:rsidRDefault="00260042" w:rsidP="00260042">
      <w:pPr>
        <w:pStyle w:val="BodyText"/>
      </w:pPr>
      <w:r>
        <w:t xml:space="preserve">Centrepay is a free voluntary bill-paying service for Centrelink customers. It helps them manage their expenses by giving the option of making regular deductions directly from their income support payment to an approved business. Businesses approved to use Centrepay </w:t>
      </w:r>
      <w:proofErr w:type="gramStart"/>
      <w:r>
        <w:t>are charged</w:t>
      </w:r>
      <w:proofErr w:type="gramEnd"/>
      <w:r>
        <w:t xml:space="preserve"> a fee to recover operating costs.</w:t>
      </w:r>
    </w:p>
    <w:p w:rsidR="00260042" w:rsidRDefault="00260042" w:rsidP="00260042">
      <w:pPr>
        <w:pStyle w:val="BodyText"/>
        <w:spacing w:after="57"/>
      </w:pPr>
      <w:r>
        <w:t>At 30 June 2021:</w:t>
      </w:r>
    </w:p>
    <w:p w:rsidR="00260042" w:rsidRDefault="00260042" w:rsidP="008930A3">
      <w:pPr>
        <w:pStyle w:val="ListBullet"/>
      </w:pPr>
      <w:r>
        <w:t>649,109 customers were using Centrepay</w:t>
      </w:r>
    </w:p>
    <w:p w:rsidR="00260042" w:rsidRDefault="00260042" w:rsidP="00EA5510">
      <w:pPr>
        <w:pStyle w:val="ListBullet"/>
      </w:pPr>
      <w:proofErr w:type="gramStart"/>
      <w:r>
        <w:t>11,085</w:t>
      </w:r>
      <w:proofErr w:type="gramEnd"/>
      <w:r>
        <w:t xml:space="preserve"> businesses received a Centrepay deduction.</w:t>
      </w:r>
    </w:p>
    <w:p w:rsidR="00260042" w:rsidRDefault="00260042" w:rsidP="00260042">
      <w:pPr>
        <w:pStyle w:val="BodyText"/>
      </w:pPr>
      <w:r>
        <w:t xml:space="preserve">In 2020–21, 25.6 million deductions </w:t>
      </w:r>
      <w:proofErr w:type="gramStart"/>
      <w:r>
        <w:t>were made</w:t>
      </w:r>
      <w:proofErr w:type="gramEnd"/>
      <w:r>
        <w:t xml:space="preserve"> to the value of $2.78 billion.</w:t>
      </w:r>
    </w:p>
    <w:p w:rsidR="00260042" w:rsidRDefault="00260042" w:rsidP="002E64CE">
      <w:pPr>
        <w:pStyle w:val="Heading3"/>
      </w:pPr>
      <w:r>
        <w:t xml:space="preserve">Centrelink Confirmation </w:t>
      </w:r>
      <w:proofErr w:type="spellStart"/>
      <w:r>
        <w:t>eServices</w:t>
      </w:r>
      <w:proofErr w:type="spellEnd"/>
    </w:p>
    <w:p w:rsidR="00260042" w:rsidRDefault="00260042" w:rsidP="00260042">
      <w:pPr>
        <w:pStyle w:val="BodyText"/>
      </w:pPr>
      <w:r>
        <w:t xml:space="preserve">Centrelink Confirmation </w:t>
      </w:r>
      <w:proofErr w:type="spellStart"/>
      <w:r>
        <w:t>eServices</w:t>
      </w:r>
      <w:proofErr w:type="spellEnd"/>
      <w:r>
        <w:t xml:space="preserve"> (</w:t>
      </w:r>
      <w:proofErr w:type="spellStart"/>
      <w:r>
        <w:t>CCeS</w:t>
      </w:r>
      <w:proofErr w:type="spellEnd"/>
      <w:r>
        <w:t xml:space="preserve">) is a secure online service that provides real-time customer information and allows approved businesses to confirm Centrelink or DVA customer entitlements for a concession, rebate or service. This service </w:t>
      </w:r>
      <w:proofErr w:type="gramStart"/>
      <w:r>
        <w:t>is also used</w:t>
      </w:r>
      <w:proofErr w:type="gramEnd"/>
      <w:r>
        <w:t xml:space="preserve"> to assist in determining the early release of a customer’s superannuation.</w:t>
      </w:r>
    </w:p>
    <w:p w:rsidR="00260042" w:rsidRDefault="00260042" w:rsidP="00260042">
      <w:pPr>
        <w:pStyle w:val="BodyText"/>
        <w:keepNext/>
        <w:spacing w:after="57"/>
      </w:pPr>
      <w:r>
        <w:t xml:space="preserve">Businesses must obtain customer consent before accessing any customer information via </w:t>
      </w:r>
      <w:proofErr w:type="spellStart"/>
      <w:r>
        <w:t>CCeS</w:t>
      </w:r>
      <w:proofErr w:type="spellEnd"/>
      <w:r>
        <w:t xml:space="preserve">. Businesses can use </w:t>
      </w:r>
      <w:proofErr w:type="spellStart"/>
      <w:r>
        <w:t>CCeS</w:t>
      </w:r>
      <w:proofErr w:type="spellEnd"/>
      <w:r>
        <w:t xml:space="preserve"> to:</w:t>
      </w:r>
    </w:p>
    <w:p w:rsidR="00260042" w:rsidRDefault="00260042" w:rsidP="008930A3">
      <w:pPr>
        <w:pStyle w:val="ListBullet"/>
      </w:pPr>
      <w:r>
        <w:t>confirm that a customer is eligible to receive a concession, rebate or service (Customer Confirmation)</w:t>
      </w:r>
    </w:p>
    <w:p w:rsidR="00260042" w:rsidRDefault="00260042" w:rsidP="008930A3">
      <w:pPr>
        <w:pStyle w:val="ListBullet"/>
      </w:pPr>
      <w:r>
        <w:lastRenderedPageBreak/>
        <w:t>confirm the customer’s income, assets and payment details (Income Confirmation)</w:t>
      </w:r>
    </w:p>
    <w:p w:rsidR="00260042" w:rsidRDefault="00260042" w:rsidP="00EA5510">
      <w:pPr>
        <w:pStyle w:val="ListBullet"/>
      </w:pPr>
      <w:proofErr w:type="gramStart"/>
      <w:r>
        <w:t>confirm</w:t>
      </w:r>
      <w:proofErr w:type="gramEnd"/>
      <w:r>
        <w:t xml:space="preserve"> that the customer meets the income support eligibility for superannuation to be released early due to financial hardship (Superannuation Confirmation).</w:t>
      </w:r>
    </w:p>
    <w:p w:rsidR="00260042" w:rsidRDefault="00260042" w:rsidP="002E64CE">
      <w:pPr>
        <w:pStyle w:val="Heading3"/>
      </w:pPr>
      <w:r>
        <w:t xml:space="preserve">Rent Deduction Scheme </w:t>
      </w:r>
    </w:p>
    <w:p w:rsidR="00260042" w:rsidRDefault="00260042" w:rsidP="00260042">
      <w:pPr>
        <w:pStyle w:val="BodyText"/>
      </w:pPr>
      <w:r>
        <w:t xml:space="preserve">The Rent Deduction Scheme gives customers the option of having their public housing payments deducted from their income support payment and sent directly to their state or territory housing authority. </w:t>
      </w:r>
    </w:p>
    <w:p w:rsidR="00260042" w:rsidRDefault="00260042" w:rsidP="00260042">
      <w:pPr>
        <w:pStyle w:val="BodyText"/>
      </w:pPr>
      <w:r>
        <w:t xml:space="preserve">At 30 June 2021, 319,072 customers were using the scheme. In 2020–21, 9.13 million rent deductions </w:t>
      </w:r>
      <w:proofErr w:type="gramStart"/>
      <w:r>
        <w:t>were made</w:t>
      </w:r>
      <w:proofErr w:type="gramEnd"/>
      <w:r>
        <w:t xml:space="preserve"> using the scheme.</w:t>
      </w:r>
    </w:p>
    <w:p w:rsidR="00260042" w:rsidRDefault="00260042" w:rsidP="002E64CE">
      <w:pPr>
        <w:pStyle w:val="Heading3"/>
      </w:pPr>
      <w:r>
        <w:t xml:space="preserve">Tax Deduction Service </w:t>
      </w:r>
    </w:p>
    <w:p w:rsidR="00260042" w:rsidRDefault="00260042" w:rsidP="00260042">
      <w:pPr>
        <w:pStyle w:val="BodyText"/>
      </w:pPr>
      <w:r>
        <w:t>The Tax Deduction Service allows customers who receive taxable Centrelink income support payments to choose to have tax withheld from their payments. The service is an easy and free way for customers to meet their tax obligations.</w:t>
      </w:r>
    </w:p>
    <w:p w:rsidR="00260042" w:rsidRDefault="00260042" w:rsidP="00260042">
      <w:pPr>
        <w:pStyle w:val="BodyText"/>
      </w:pPr>
      <w:r>
        <w:t xml:space="preserve">In 2020–21, $19,366,528 </w:t>
      </w:r>
      <w:proofErr w:type="gramStart"/>
      <w:r>
        <w:t>was withheld</w:t>
      </w:r>
      <w:proofErr w:type="gramEnd"/>
      <w:r>
        <w:t xml:space="preserve"> from customers who chose to use this service. </w:t>
      </w:r>
    </w:p>
    <w:p w:rsidR="00260042" w:rsidRDefault="00260042" w:rsidP="002E64CE">
      <w:pPr>
        <w:pStyle w:val="Heading3"/>
      </w:pPr>
      <w:r>
        <w:t xml:space="preserve">Income Management </w:t>
      </w:r>
    </w:p>
    <w:p w:rsidR="00260042" w:rsidRDefault="00260042" w:rsidP="00260042">
      <w:pPr>
        <w:pStyle w:val="BodyText"/>
      </w:pPr>
      <w:r>
        <w:t xml:space="preserve">Income Management helps groups of people in specific locations who receive income support to manage their money to meet essential household expenses. </w:t>
      </w:r>
    </w:p>
    <w:p w:rsidR="00260042" w:rsidRDefault="00260042" w:rsidP="00260042">
      <w:pPr>
        <w:pStyle w:val="BodyText"/>
      </w:pPr>
      <w:r>
        <w:t xml:space="preserve">Under Income Management, a percentage of a person’s income support and 100% of lump-sum payments </w:t>
      </w:r>
      <w:proofErr w:type="gramStart"/>
      <w:r>
        <w:t>are allocated</w:t>
      </w:r>
      <w:proofErr w:type="gramEnd"/>
      <w:r>
        <w:t xml:space="preserve"> to pay for priority items such as food, housing, clothing, utilities, education and medical care. The remaining percentage of the person’s payment </w:t>
      </w:r>
      <w:proofErr w:type="gramStart"/>
      <w:r>
        <w:t>is paid</w:t>
      </w:r>
      <w:proofErr w:type="gramEnd"/>
      <w:r>
        <w:t xml:space="preserve"> to them in the usual way to be used at their discretion. Money that is income managed cannot be spent on alcohol, tobacco, </w:t>
      </w:r>
      <w:proofErr w:type="gramStart"/>
      <w:r>
        <w:t>pornography</w:t>
      </w:r>
      <w:proofErr w:type="gramEnd"/>
      <w:r>
        <w:t xml:space="preserve"> or gambling. </w:t>
      </w:r>
    </w:p>
    <w:p w:rsidR="00260042" w:rsidRDefault="00260042" w:rsidP="00260042">
      <w:pPr>
        <w:pStyle w:val="Heading4"/>
      </w:pPr>
      <w:r>
        <w:t>Accessing income-managed money</w:t>
      </w:r>
    </w:p>
    <w:p w:rsidR="00260042" w:rsidRDefault="00260042" w:rsidP="00260042">
      <w:pPr>
        <w:pStyle w:val="BodyText"/>
      </w:pPr>
      <w:r>
        <w:t xml:space="preserve">Services Australia works with people on Income Management to identify how their income support </w:t>
      </w:r>
      <w:proofErr w:type="gramStart"/>
      <w:r>
        <w:t>can be used</w:t>
      </w:r>
      <w:proofErr w:type="gramEnd"/>
      <w:r>
        <w:t xml:space="preserve"> to pay organisations for items they and their families need. </w:t>
      </w:r>
    </w:p>
    <w:p w:rsidR="00260042" w:rsidRDefault="00260042" w:rsidP="00260042">
      <w:pPr>
        <w:pStyle w:val="BodyText"/>
      </w:pPr>
      <w:r>
        <w:t xml:space="preserve">Organisations </w:t>
      </w:r>
      <w:proofErr w:type="gramStart"/>
      <w:r>
        <w:t>can be paid</w:t>
      </w:r>
      <w:proofErr w:type="gramEnd"/>
      <w:r>
        <w:t xml:space="preserve"> in a variety of ways, including with a customer </w:t>
      </w:r>
      <w:proofErr w:type="spellStart"/>
      <w:r>
        <w:t>BasicsCard</w:t>
      </w:r>
      <w:proofErr w:type="spellEnd"/>
      <w:r>
        <w:t>, with the customer making a direct deposit via BPAY, the agency arranging a direct deposit, or in some urgent cases, making a credit card payment over the phone.</w:t>
      </w:r>
    </w:p>
    <w:p w:rsidR="00260042" w:rsidRDefault="00260042" w:rsidP="00260042">
      <w:pPr>
        <w:pStyle w:val="BodyText"/>
      </w:pPr>
      <w:r>
        <w:t xml:space="preserve">Customers can also access their Income Management money account through the Express </w:t>
      </w:r>
      <w:proofErr w:type="gramStart"/>
      <w:r>
        <w:t>Plus</w:t>
      </w:r>
      <w:proofErr w:type="gramEnd"/>
      <w:r>
        <w:t xml:space="preserve"> Centrelink mobile app and online services to complete transactions, such as transferring funds between their Income Management and </w:t>
      </w:r>
      <w:proofErr w:type="spellStart"/>
      <w:r>
        <w:t>BasicsCard</w:t>
      </w:r>
      <w:proofErr w:type="spellEnd"/>
      <w:r>
        <w:t xml:space="preserve"> account and checking their </w:t>
      </w:r>
      <w:proofErr w:type="spellStart"/>
      <w:r>
        <w:t>BasicsCard</w:t>
      </w:r>
      <w:proofErr w:type="spellEnd"/>
      <w:r>
        <w:t xml:space="preserve"> balance.</w:t>
      </w:r>
    </w:p>
    <w:p w:rsidR="00260042" w:rsidRDefault="00260042" w:rsidP="00260042">
      <w:pPr>
        <w:pStyle w:val="BodyText"/>
      </w:pPr>
      <w:r>
        <w:t xml:space="preserve">At 30 June 2021, 17,866 stores and businesses accepted the </w:t>
      </w:r>
      <w:proofErr w:type="spellStart"/>
      <w:r>
        <w:t>BasicsCard</w:t>
      </w:r>
      <w:proofErr w:type="spellEnd"/>
      <w:r>
        <w:t xml:space="preserve">. The agency investigates public complaints and conducts random sample reviews to ensure stores and businesses are complying with the </w:t>
      </w:r>
      <w:proofErr w:type="spellStart"/>
      <w:r>
        <w:t>BasicsCard</w:t>
      </w:r>
      <w:proofErr w:type="spellEnd"/>
      <w:r>
        <w:t xml:space="preserve"> terms and conditions.</w:t>
      </w:r>
    </w:p>
    <w:p w:rsidR="00260042" w:rsidRDefault="00260042" w:rsidP="00260042">
      <w:pPr>
        <w:pStyle w:val="BodyText"/>
        <w:spacing w:after="57"/>
      </w:pPr>
      <w:r>
        <w:t>In 2020–21:</w:t>
      </w:r>
    </w:p>
    <w:p w:rsidR="00260042" w:rsidRDefault="00260042" w:rsidP="008930A3">
      <w:pPr>
        <w:pStyle w:val="ListBullet"/>
      </w:pPr>
      <w:r>
        <w:t xml:space="preserve">97% of income-managed customers used the </w:t>
      </w:r>
      <w:proofErr w:type="spellStart"/>
      <w:r>
        <w:t>BasicsCard</w:t>
      </w:r>
      <w:proofErr w:type="spellEnd"/>
    </w:p>
    <w:p w:rsidR="00260042" w:rsidRDefault="00260042" w:rsidP="00EA5510">
      <w:pPr>
        <w:pStyle w:val="ListBullet"/>
      </w:pPr>
      <w:r>
        <w:lastRenderedPageBreak/>
        <w:t xml:space="preserve">$321.6 million </w:t>
      </w:r>
      <w:proofErr w:type="gramStart"/>
      <w:r>
        <w:t>was spent</w:t>
      </w:r>
      <w:proofErr w:type="gramEnd"/>
      <w:r>
        <w:t xml:space="preserve"> using the </w:t>
      </w:r>
      <w:proofErr w:type="spellStart"/>
      <w:r>
        <w:t>BasicsCard</w:t>
      </w:r>
      <w:proofErr w:type="spellEnd"/>
      <w:r>
        <w:t>.</w:t>
      </w:r>
    </w:p>
    <w:p w:rsidR="00260042" w:rsidRPr="00EA5510" w:rsidRDefault="009B789E" w:rsidP="00EA5510">
      <w:pPr>
        <w:pStyle w:val="BodyText"/>
        <w:rPr>
          <w:b/>
        </w:rPr>
      </w:pPr>
      <w:r>
        <w:rPr>
          <w:b/>
        </w:rPr>
        <w:t>Table 3</w:t>
      </w:r>
      <w:r>
        <w:rPr>
          <w:b/>
        </w:rPr>
        <w:t>2</w:t>
      </w:r>
      <w:r w:rsidR="00260042" w:rsidRPr="00EA5510">
        <w:rPr>
          <w:b/>
        </w:rPr>
        <w:t xml:space="preserve"> Numbers of Income Management </w:t>
      </w:r>
      <w:proofErr w:type="gramStart"/>
      <w:r w:rsidR="00260042" w:rsidRPr="00EA5510">
        <w:rPr>
          <w:b/>
        </w:rPr>
        <w:t>customers</w:t>
      </w:r>
      <w:r w:rsidR="00260042" w:rsidRPr="00EA5510">
        <w:rPr>
          <w:b/>
          <w:vertAlign w:val="superscript"/>
        </w:rPr>
        <w:t>(</w:t>
      </w:r>
      <w:proofErr w:type="gramEnd"/>
      <w:r w:rsidR="00260042" w:rsidRPr="00EA5510">
        <w:rPr>
          <w:b/>
          <w:vertAlign w:val="superscript"/>
        </w:rPr>
        <w:t>a)(b)</w:t>
      </w:r>
    </w:p>
    <w:tbl>
      <w:tblPr>
        <w:tblStyle w:val="TableGrid"/>
        <w:tblW w:w="5000" w:type="pct"/>
        <w:tblLook w:val="0000" w:firstRow="0" w:lastRow="0" w:firstColumn="0" w:lastColumn="0" w:noHBand="0" w:noVBand="0"/>
        <w:tblCaption w:val="Numbers of Income Management customers"/>
      </w:tblPr>
      <w:tblGrid>
        <w:gridCol w:w="4357"/>
        <w:gridCol w:w="2145"/>
        <w:gridCol w:w="2145"/>
        <w:gridCol w:w="2143"/>
      </w:tblGrid>
      <w:tr w:rsidR="00260042" w:rsidTr="007002D8">
        <w:trPr>
          <w:trHeight w:val="60"/>
          <w:tblHeader/>
        </w:trPr>
        <w:tc>
          <w:tcPr>
            <w:tcW w:w="2019" w:type="pct"/>
          </w:tcPr>
          <w:p w:rsidR="00260042" w:rsidRPr="007002D8" w:rsidRDefault="00260042" w:rsidP="007002D8">
            <w:pPr>
              <w:pStyle w:val="BodyText"/>
              <w:rPr>
                <w:b/>
              </w:rPr>
            </w:pPr>
            <w:r w:rsidRPr="007002D8">
              <w:rPr>
                <w:b/>
              </w:rPr>
              <w:t>Measure</w:t>
            </w:r>
          </w:p>
        </w:tc>
        <w:tc>
          <w:tcPr>
            <w:tcW w:w="994" w:type="pct"/>
          </w:tcPr>
          <w:p w:rsidR="00260042" w:rsidRPr="007002D8" w:rsidRDefault="00260042" w:rsidP="007002D8">
            <w:pPr>
              <w:pStyle w:val="BodyText"/>
              <w:jc w:val="right"/>
              <w:rPr>
                <w:b/>
              </w:rPr>
            </w:pPr>
            <w:r w:rsidRPr="007002D8">
              <w:rPr>
                <w:b/>
              </w:rPr>
              <w:t>2018–19</w:t>
            </w:r>
          </w:p>
        </w:tc>
        <w:tc>
          <w:tcPr>
            <w:tcW w:w="994" w:type="pct"/>
          </w:tcPr>
          <w:p w:rsidR="00260042" w:rsidRPr="007002D8" w:rsidRDefault="00260042" w:rsidP="007002D8">
            <w:pPr>
              <w:pStyle w:val="BodyText"/>
              <w:jc w:val="right"/>
              <w:rPr>
                <w:b/>
              </w:rPr>
            </w:pPr>
            <w:r w:rsidRPr="007002D8">
              <w:rPr>
                <w:b/>
              </w:rPr>
              <w:t>2019–20</w:t>
            </w:r>
          </w:p>
        </w:tc>
        <w:tc>
          <w:tcPr>
            <w:tcW w:w="994" w:type="pct"/>
          </w:tcPr>
          <w:p w:rsidR="00260042" w:rsidRPr="007002D8" w:rsidRDefault="00260042" w:rsidP="007002D8">
            <w:pPr>
              <w:pStyle w:val="BodyText"/>
              <w:jc w:val="right"/>
              <w:rPr>
                <w:b/>
              </w:rPr>
            </w:pPr>
            <w:r w:rsidRPr="007002D8">
              <w:rPr>
                <w:b/>
              </w:rPr>
              <w:t>2020–21</w:t>
            </w:r>
          </w:p>
        </w:tc>
      </w:tr>
      <w:tr w:rsidR="00260042" w:rsidTr="007002D8">
        <w:trPr>
          <w:trHeight w:val="60"/>
        </w:trPr>
        <w:tc>
          <w:tcPr>
            <w:tcW w:w="2019" w:type="pct"/>
          </w:tcPr>
          <w:p w:rsidR="00260042" w:rsidRDefault="00260042" w:rsidP="007002D8">
            <w:pPr>
              <w:pStyle w:val="BodyText"/>
            </w:pPr>
            <w:r>
              <w:t>Cape York Income Management</w:t>
            </w:r>
          </w:p>
        </w:tc>
        <w:tc>
          <w:tcPr>
            <w:tcW w:w="994" w:type="pct"/>
          </w:tcPr>
          <w:p w:rsidR="00260042" w:rsidRDefault="00260042" w:rsidP="007002D8">
            <w:pPr>
              <w:pStyle w:val="BodyText"/>
              <w:jc w:val="right"/>
            </w:pPr>
            <w:r>
              <w:t>129</w:t>
            </w:r>
          </w:p>
        </w:tc>
        <w:tc>
          <w:tcPr>
            <w:tcW w:w="994" w:type="pct"/>
          </w:tcPr>
          <w:p w:rsidR="00260042" w:rsidRDefault="00260042" w:rsidP="007002D8">
            <w:pPr>
              <w:pStyle w:val="BodyText"/>
              <w:jc w:val="right"/>
            </w:pPr>
            <w:r>
              <w:t>140</w:t>
            </w:r>
          </w:p>
        </w:tc>
        <w:tc>
          <w:tcPr>
            <w:tcW w:w="994" w:type="pct"/>
          </w:tcPr>
          <w:p w:rsidR="00260042" w:rsidRDefault="00260042" w:rsidP="007002D8">
            <w:pPr>
              <w:pStyle w:val="BodyText"/>
              <w:jc w:val="right"/>
            </w:pPr>
            <w:r>
              <w:t>0</w:t>
            </w:r>
          </w:p>
        </w:tc>
      </w:tr>
      <w:tr w:rsidR="00260042" w:rsidTr="007002D8">
        <w:trPr>
          <w:trHeight w:val="60"/>
        </w:trPr>
        <w:tc>
          <w:tcPr>
            <w:tcW w:w="2019" w:type="pct"/>
          </w:tcPr>
          <w:p w:rsidR="00260042" w:rsidRDefault="00260042" w:rsidP="007002D8">
            <w:pPr>
              <w:pStyle w:val="BodyText"/>
            </w:pPr>
            <w:r>
              <w:t>Child Protection Income Management</w:t>
            </w:r>
          </w:p>
        </w:tc>
        <w:tc>
          <w:tcPr>
            <w:tcW w:w="994" w:type="pct"/>
          </w:tcPr>
          <w:p w:rsidR="00260042" w:rsidRDefault="00260042" w:rsidP="007002D8">
            <w:pPr>
              <w:pStyle w:val="BodyText"/>
              <w:jc w:val="right"/>
            </w:pPr>
            <w:r>
              <w:t>147</w:t>
            </w:r>
          </w:p>
        </w:tc>
        <w:tc>
          <w:tcPr>
            <w:tcW w:w="994" w:type="pct"/>
          </w:tcPr>
          <w:p w:rsidR="00260042" w:rsidRDefault="00260042" w:rsidP="007002D8">
            <w:pPr>
              <w:pStyle w:val="BodyText"/>
              <w:jc w:val="right"/>
            </w:pPr>
            <w:r>
              <w:t>122</w:t>
            </w:r>
          </w:p>
        </w:tc>
        <w:tc>
          <w:tcPr>
            <w:tcW w:w="994" w:type="pct"/>
          </w:tcPr>
          <w:p w:rsidR="00260042" w:rsidRDefault="00260042" w:rsidP="007002D8">
            <w:pPr>
              <w:pStyle w:val="BodyText"/>
              <w:jc w:val="right"/>
            </w:pPr>
            <w:r>
              <w:t>69</w:t>
            </w:r>
          </w:p>
        </w:tc>
      </w:tr>
      <w:tr w:rsidR="00260042" w:rsidTr="007002D8">
        <w:trPr>
          <w:trHeight w:val="60"/>
        </w:trPr>
        <w:tc>
          <w:tcPr>
            <w:tcW w:w="2019" w:type="pct"/>
          </w:tcPr>
          <w:p w:rsidR="00260042" w:rsidRDefault="00260042" w:rsidP="007002D8">
            <w:pPr>
              <w:pStyle w:val="BodyText"/>
            </w:pPr>
            <w:r>
              <w:t xml:space="preserve">Disengaged Youth </w:t>
            </w:r>
          </w:p>
        </w:tc>
        <w:tc>
          <w:tcPr>
            <w:tcW w:w="994" w:type="pct"/>
          </w:tcPr>
          <w:p w:rsidR="00260042" w:rsidRDefault="00260042" w:rsidP="007002D8">
            <w:pPr>
              <w:pStyle w:val="BodyText"/>
              <w:jc w:val="right"/>
            </w:pPr>
            <w:r>
              <w:t>4,020</w:t>
            </w:r>
          </w:p>
        </w:tc>
        <w:tc>
          <w:tcPr>
            <w:tcW w:w="994" w:type="pct"/>
          </w:tcPr>
          <w:p w:rsidR="00260042" w:rsidRDefault="00260042" w:rsidP="007002D8">
            <w:pPr>
              <w:pStyle w:val="BodyText"/>
              <w:jc w:val="right"/>
            </w:pPr>
            <w:r>
              <w:t>4,592</w:t>
            </w:r>
          </w:p>
        </w:tc>
        <w:tc>
          <w:tcPr>
            <w:tcW w:w="994" w:type="pct"/>
          </w:tcPr>
          <w:p w:rsidR="00260042" w:rsidRDefault="00260042" w:rsidP="007002D8">
            <w:pPr>
              <w:pStyle w:val="BodyText"/>
              <w:jc w:val="right"/>
            </w:pPr>
            <w:r>
              <w:t>5,588</w:t>
            </w:r>
          </w:p>
        </w:tc>
      </w:tr>
      <w:tr w:rsidR="00260042" w:rsidTr="007002D8">
        <w:trPr>
          <w:trHeight w:val="60"/>
        </w:trPr>
        <w:tc>
          <w:tcPr>
            <w:tcW w:w="2019" w:type="pct"/>
          </w:tcPr>
          <w:p w:rsidR="00260042" w:rsidRDefault="00260042" w:rsidP="007002D8">
            <w:pPr>
              <w:pStyle w:val="BodyText"/>
            </w:pPr>
            <w:r>
              <w:t>Long Term Welfare Payment Recipient</w:t>
            </w:r>
          </w:p>
        </w:tc>
        <w:tc>
          <w:tcPr>
            <w:tcW w:w="994" w:type="pct"/>
          </w:tcPr>
          <w:p w:rsidR="00260042" w:rsidRDefault="00260042" w:rsidP="007002D8">
            <w:pPr>
              <w:pStyle w:val="BodyText"/>
              <w:jc w:val="right"/>
            </w:pPr>
            <w:r>
              <w:t>15,592</w:t>
            </w:r>
          </w:p>
        </w:tc>
        <w:tc>
          <w:tcPr>
            <w:tcW w:w="994" w:type="pct"/>
          </w:tcPr>
          <w:p w:rsidR="00260042" w:rsidRDefault="00260042" w:rsidP="007002D8">
            <w:pPr>
              <w:pStyle w:val="BodyText"/>
              <w:jc w:val="right"/>
            </w:pPr>
            <w:r>
              <w:t>16,868</w:t>
            </w:r>
          </w:p>
        </w:tc>
        <w:tc>
          <w:tcPr>
            <w:tcW w:w="994" w:type="pct"/>
          </w:tcPr>
          <w:p w:rsidR="00260042" w:rsidRDefault="00260042" w:rsidP="007002D8">
            <w:pPr>
              <w:pStyle w:val="BodyText"/>
              <w:jc w:val="right"/>
            </w:pPr>
            <w:r>
              <w:t>19,130</w:t>
            </w:r>
          </w:p>
        </w:tc>
      </w:tr>
      <w:tr w:rsidR="00260042" w:rsidTr="007002D8">
        <w:trPr>
          <w:trHeight w:val="60"/>
        </w:trPr>
        <w:tc>
          <w:tcPr>
            <w:tcW w:w="2019" w:type="pct"/>
          </w:tcPr>
          <w:p w:rsidR="00260042" w:rsidRDefault="00260042" w:rsidP="007002D8">
            <w:pPr>
              <w:pStyle w:val="BodyText"/>
            </w:pPr>
            <w:r>
              <w:t>Supporting People at Risk</w:t>
            </w:r>
          </w:p>
        </w:tc>
        <w:tc>
          <w:tcPr>
            <w:tcW w:w="994" w:type="pct"/>
          </w:tcPr>
          <w:p w:rsidR="00260042" w:rsidRDefault="00260042" w:rsidP="007002D8">
            <w:pPr>
              <w:pStyle w:val="BodyText"/>
              <w:jc w:val="right"/>
            </w:pPr>
            <w:r>
              <w:t>64</w:t>
            </w:r>
          </w:p>
        </w:tc>
        <w:tc>
          <w:tcPr>
            <w:tcW w:w="994" w:type="pct"/>
          </w:tcPr>
          <w:p w:rsidR="00260042" w:rsidRDefault="00260042" w:rsidP="007002D8">
            <w:pPr>
              <w:pStyle w:val="BodyText"/>
              <w:jc w:val="right"/>
            </w:pPr>
            <w:r>
              <w:t>50</w:t>
            </w:r>
          </w:p>
        </w:tc>
        <w:tc>
          <w:tcPr>
            <w:tcW w:w="994" w:type="pct"/>
          </w:tcPr>
          <w:p w:rsidR="00260042" w:rsidRDefault="00260042" w:rsidP="007002D8">
            <w:pPr>
              <w:pStyle w:val="BodyText"/>
              <w:jc w:val="right"/>
            </w:pPr>
            <w:r>
              <w:t>40</w:t>
            </w:r>
          </w:p>
        </w:tc>
      </w:tr>
      <w:tr w:rsidR="00260042" w:rsidTr="007002D8">
        <w:trPr>
          <w:trHeight w:val="60"/>
        </w:trPr>
        <w:tc>
          <w:tcPr>
            <w:tcW w:w="2019" w:type="pct"/>
          </w:tcPr>
          <w:p w:rsidR="00260042" w:rsidRDefault="00260042" w:rsidP="007002D8">
            <w:pPr>
              <w:pStyle w:val="BodyText"/>
            </w:pPr>
            <w:r>
              <w:t>Voluntary Income Management</w:t>
            </w:r>
          </w:p>
        </w:tc>
        <w:tc>
          <w:tcPr>
            <w:tcW w:w="994" w:type="pct"/>
          </w:tcPr>
          <w:p w:rsidR="00260042" w:rsidRDefault="00260042" w:rsidP="007002D8">
            <w:pPr>
              <w:pStyle w:val="BodyText"/>
              <w:jc w:val="right"/>
            </w:pPr>
            <w:r>
              <w:t>3,510</w:t>
            </w:r>
          </w:p>
        </w:tc>
        <w:tc>
          <w:tcPr>
            <w:tcW w:w="994" w:type="pct"/>
          </w:tcPr>
          <w:p w:rsidR="00260042" w:rsidRDefault="00260042" w:rsidP="007002D8">
            <w:pPr>
              <w:pStyle w:val="BodyText"/>
              <w:jc w:val="right"/>
            </w:pPr>
            <w:r>
              <w:t>3,155</w:t>
            </w:r>
          </w:p>
        </w:tc>
        <w:tc>
          <w:tcPr>
            <w:tcW w:w="994" w:type="pct"/>
          </w:tcPr>
          <w:p w:rsidR="00260042" w:rsidRDefault="00260042" w:rsidP="007002D8">
            <w:pPr>
              <w:pStyle w:val="BodyText"/>
              <w:jc w:val="right"/>
            </w:pPr>
            <w:r>
              <w:t>2,929</w:t>
            </w:r>
          </w:p>
        </w:tc>
      </w:tr>
      <w:tr w:rsidR="00260042" w:rsidTr="007002D8">
        <w:trPr>
          <w:trHeight w:val="60"/>
        </w:trPr>
        <w:tc>
          <w:tcPr>
            <w:tcW w:w="2019" w:type="pct"/>
          </w:tcPr>
          <w:p w:rsidR="00260042" w:rsidRDefault="00260042" w:rsidP="007002D8">
            <w:pPr>
              <w:pStyle w:val="BodyText"/>
            </w:pPr>
            <w:r>
              <w:t>Vulnerable Welfare Payment Recipient</w:t>
            </w:r>
          </w:p>
        </w:tc>
        <w:tc>
          <w:tcPr>
            <w:tcW w:w="994" w:type="pct"/>
          </w:tcPr>
          <w:p w:rsidR="00260042" w:rsidRDefault="00260042" w:rsidP="007002D8">
            <w:pPr>
              <w:pStyle w:val="BodyText"/>
              <w:jc w:val="right"/>
            </w:pPr>
            <w:r>
              <w:t>1,481</w:t>
            </w:r>
          </w:p>
        </w:tc>
        <w:tc>
          <w:tcPr>
            <w:tcW w:w="994" w:type="pct"/>
          </w:tcPr>
          <w:p w:rsidR="00260042" w:rsidRDefault="00260042" w:rsidP="007002D8">
            <w:pPr>
              <w:pStyle w:val="BodyText"/>
              <w:jc w:val="right"/>
            </w:pPr>
            <w:r>
              <w:t>1,762</w:t>
            </w:r>
          </w:p>
        </w:tc>
        <w:tc>
          <w:tcPr>
            <w:tcW w:w="994" w:type="pct"/>
          </w:tcPr>
          <w:p w:rsidR="00260042" w:rsidRDefault="00260042" w:rsidP="007002D8">
            <w:pPr>
              <w:pStyle w:val="BodyText"/>
              <w:jc w:val="right"/>
            </w:pPr>
            <w:r>
              <w:t>1,449</w:t>
            </w:r>
          </w:p>
        </w:tc>
      </w:tr>
    </w:tbl>
    <w:p w:rsidR="00260042" w:rsidRDefault="00260042" w:rsidP="00EA5510">
      <w:pPr>
        <w:pStyle w:val="BodyText"/>
      </w:pPr>
      <w:r>
        <w:t>(a)</w:t>
      </w:r>
      <w:r>
        <w:tab/>
        <w:t xml:space="preserve">The numbers are point-in-time and do not represent recipient movements between </w:t>
      </w:r>
      <w:proofErr w:type="gramStart"/>
      <w:r>
        <w:t>measures and on</w:t>
      </w:r>
      <w:proofErr w:type="gramEnd"/>
      <w:r>
        <w:t xml:space="preserve"> and off Income Management.</w:t>
      </w:r>
    </w:p>
    <w:p w:rsidR="00260042" w:rsidRDefault="00260042" w:rsidP="00EA5510">
      <w:pPr>
        <w:pStyle w:val="BodyText"/>
      </w:pPr>
      <w:r>
        <w:t>(b)</w:t>
      </w:r>
      <w:r>
        <w:tab/>
        <w:t xml:space="preserve">The </w:t>
      </w:r>
      <w:r>
        <w:rPr>
          <w:rStyle w:val="Italic"/>
        </w:rPr>
        <w:t>Social Security (Administration) Amendment (Continuation of Cashless Welfare) Act 2020</w:t>
      </w:r>
      <w:r>
        <w:t xml:space="preserve"> (the Act) received Royal Assent on 17 December 2020. On 17 March 2021, the Act allowed for:</w:t>
      </w:r>
    </w:p>
    <w:p w:rsidR="00260042" w:rsidRDefault="00260042" w:rsidP="00EA5510">
      <w:pPr>
        <w:pStyle w:val="BodyText"/>
      </w:pPr>
      <w:proofErr w:type="spellStart"/>
      <w:r>
        <w:t>i</w:t>
      </w:r>
      <w:proofErr w:type="spellEnd"/>
      <w:r>
        <w:t>.</w:t>
      </w:r>
      <w:r>
        <w:tab/>
        <w:t xml:space="preserve">Cape York Income Management recipients to transition to the Cashless Debit Card </w:t>
      </w:r>
    </w:p>
    <w:p w:rsidR="00260042" w:rsidRDefault="00260042" w:rsidP="00EA5510">
      <w:pPr>
        <w:pStyle w:val="BodyText"/>
      </w:pPr>
      <w:r>
        <w:t>ii.</w:t>
      </w:r>
      <w:r>
        <w:tab/>
      </w:r>
      <w:proofErr w:type="gramStart"/>
      <w:r>
        <w:t>introduction</w:t>
      </w:r>
      <w:proofErr w:type="gramEnd"/>
      <w:r>
        <w:t xml:space="preserve"> of the Cashless Debit Card in the Northern Territory on an opt-in (consent) basis. </w:t>
      </w:r>
    </w:p>
    <w:p w:rsidR="00260042" w:rsidRDefault="00260042" w:rsidP="002E64CE">
      <w:pPr>
        <w:pStyle w:val="Heading3"/>
      </w:pPr>
      <w:r>
        <w:t xml:space="preserve">Cashless Debit Card </w:t>
      </w:r>
    </w:p>
    <w:p w:rsidR="00260042" w:rsidRDefault="00260042" w:rsidP="00260042">
      <w:pPr>
        <w:pStyle w:val="BodyText"/>
      </w:pPr>
      <w:r>
        <w:t xml:space="preserve">The Cashless Debit Card provides customers with greater financial stability while reducing the social harm resulting from alcohol, drugs and gambling. When a customer is using a Cashless Debit Card, a percentage of regular fortnightly payments and 100% of lump sum payments </w:t>
      </w:r>
      <w:proofErr w:type="gramStart"/>
      <w:r>
        <w:t>are paid</w:t>
      </w:r>
      <w:proofErr w:type="gramEnd"/>
      <w:r>
        <w:t xml:space="preserve"> to their card.</w:t>
      </w:r>
    </w:p>
    <w:p w:rsidR="00260042" w:rsidRDefault="00260042" w:rsidP="00260042">
      <w:pPr>
        <w:pStyle w:val="BodyText"/>
      </w:pPr>
      <w:r>
        <w:t xml:space="preserve">The card </w:t>
      </w:r>
      <w:proofErr w:type="gramStart"/>
      <w:r>
        <w:t>can be used</w:t>
      </w:r>
      <w:proofErr w:type="gramEnd"/>
      <w:r>
        <w:t xml:space="preserve"> at most shops that accept EFTPOS or Visa. The card looks and operates like a normal </w:t>
      </w:r>
      <w:proofErr w:type="gramStart"/>
      <w:r>
        <w:t>bank card</w:t>
      </w:r>
      <w:proofErr w:type="gramEnd"/>
      <w:r>
        <w:t>, except that it cannot be used to buy alcohol, gambling products, cash-like products or to withdraw cash.</w:t>
      </w:r>
    </w:p>
    <w:p w:rsidR="00260042" w:rsidRDefault="00260042" w:rsidP="00260042">
      <w:pPr>
        <w:pStyle w:val="BodyText"/>
      </w:pPr>
      <w:r>
        <w:t>The card provider (</w:t>
      </w:r>
      <w:proofErr w:type="spellStart"/>
      <w:r>
        <w:t>Indue</w:t>
      </w:r>
      <w:proofErr w:type="spellEnd"/>
      <w:r>
        <w:t xml:space="preserve"> Ltd) issues the cards and delivers associated banking services to customers. </w:t>
      </w:r>
    </w:p>
    <w:p w:rsidR="00260042" w:rsidRDefault="00260042" w:rsidP="00260042">
      <w:pPr>
        <w:pStyle w:val="BodyText"/>
        <w:spacing w:after="57"/>
      </w:pPr>
      <w:r>
        <w:t>At 30 June 2021, the Cashless Debit Card operated in:</w:t>
      </w:r>
    </w:p>
    <w:p w:rsidR="00260042" w:rsidRDefault="00260042" w:rsidP="008930A3">
      <w:pPr>
        <w:pStyle w:val="ListBullet"/>
      </w:pPr>
      <w:r>
        <w:t xml:space="preserve">Ceduna and surrounding regions, South Australia </w:t>
      </w:r>
    </w:p>
    <w:p w:rsidR="00260042" w:rsidRDefault="00260042" w:rsidP="008930A3">
      <w:pPr>
        <w:pStyle w:val="ListBullet"/>
      </w:pPr>
      <w:r>
        <w:t>East Kimberley and the Goldfields regions, Western Australia</w:t>
      </w:r>
    </w:p>
    <w:p w:rsidR="00260042" w:rsidRDefault="00260042" w:rsidP="008930A3">
      <w:pPr>
        <w:pStyle w:val="ListBullet"/>
      </w:pPr>
      <w:r>
        <w:t>Bundaberg and Hervey Bay region, Queensland</w:t>
      </w:r>
    </w:p>
    <w:p w:rsidR="00260042" w:rsidRDefault="00260042" w:rsidP="008930A3">
      <w:pPr>
        <w:pStyle w:val="ListBullet"/>
      </w:pPr>
      <w:r>
        <w:lastRenderedPageBreak/>
        <w:t xml:space="preserve">Cape York and </w:t>
      </w:r>
      <w:proofErr w:type="spellStart"/>
      <w:r>
        <w:t>Doomagee</w:t>
      </w:r>
      <w:proofErr w:type="spellEnd"/>
      <w:r>
        <w:t>, Queensland</w:t>
      </w:r>
    </w:p>
    <w:p w:rsidR="00260042" w:rsidRDefault="00260042" w:rsidP="00EA5510">
      <w:pPr>
        <w:pStyle w:val="ListBullet"/>
      </w:pPr>
      <w:r>
        <w:t>Northern Territory, where Income Management recipients and eligible customers can elect to opt in to the Cashless Debit Card.</w:t>
      </w:r>
    </w:p>
    <w:p w:rsidR="00260042" w:rsidRDefault="00260042" w:rsidP="00260042">
      <w:pPr>
        <w:pStyle w:val="BodyText"/>
      </w:pPr>
      <w:r>
        <w:t>At 30 June 2021, 14,774 customers were using the Cashless Debit Card.</w:t>
      </w:r>
    </w:p>
    <w:p w:rsidR="00260042" w:rsidRPr="00EA5510" w:rsidRDefault="009B789E" w:rsidP="00EA5510">
      <w:pPr>
        <w:pStyle w:val="BodyText"/>
        <w:rPr>
          <w:b/>
        </w:rPr>
      </w:pPr>
      <w:r>
        <w:rPr>
          <w:b/>
        </w:rPr>
        <w:t>Table 3</w:t>
      </w:r>
      <w:r>
        <w:rPr>
          <w:b/>
        </w:rPr>
        <w:t>3</w:t>
      </w:r>
      <w:r w:rsidR="00260042" w:rsidRPr="00EA5510">
        <w:rPr>
          <w:b/>
        </w:rPr>
        <w:t xml:space="preserve"> Numbers of Cashless Debit Card </w:t>
      </w:r>
      <w:proofErr w:type="gramStart"/>
      <w:r w:rsidR="00260042" w:rsidRPr="00EA5510">
        <w:rPr>
          <w:b/>
        </w:rPr>
        <w:t>customers</w:t>
      </w:r>
      <w:r w:rsidR="00260042" w:rsidRPr="00EA5510">
        <w:rPr>
          <w:b/>
          <w:vertAlign w:val="superscript"/>
        </w:rPr>
        <w:t>(</w:t>
      </w:r>
      <w:proofErr w:type="gramEnd"/>
      <w:r w:rsidR="00260042" w:rsidRPr="00EA5510">
        <w:rPr>
          <w:b/>
          <w:vertAlign w:val="superscript"/>
        </w:rPr>
        <w:t>a)</w:t>
      </w:r>
    </w:p>
    <w:tbl>
      <w:tblPr>
        <w:tblStyle w:val="TableGrid"/>
        <w:tblW w:w="5000" w:type="pct"/>
        <w:tblLook w:val="0000" w:firstRow="0" w:lastRow="0" w:firstColumn="0" w:lastColumn="0" w:noHBand="0" w:noVBand="0"/>
        <w:tblCaption w:val="Numbers of Cashless Debit Card customers"/>
      </w:tblPr>
      <w:tblGrid>
        <w:gridCol w:w="4357"/>
        <w:gridCol w:w="2145"/>
        <w:gridCol w:w="2145"/>
        <w:gridCol w:w="2143"/>
      </w:tblGrid>
      <w:tr w:rsidR="00260042" w:rsidTr="007002D8">
        <w:trPr>
          <w:trHeight w:val="60"/>
          <w:tblHeader/>
        </w:trPr>
        <w:tc>
          <w:tcPr>
            <w:tcW w:w="2019" w:type="pct"/>
          </w:tcPr>
          <w:p w:rsidR="00260042" w:rsidRPr="007002D8" w:rsidRDefault="00260042" w:rsidP="007002D8">
            <w:pPr>
              <w:pStyle w:val="BodyText"/>
              <w:rPr>
                <w:b/>
              </w:rPr>
            </w:pPr>
            <w:r w:rsidRPr="007002D8">
              <w:rPr>
                <w:b/>
              </w:rPr>
              <w:t>Location</w:t>
            </w:r>
          </w:p>
        </w:tc>
        <w:tc>
          <w:tcPr>
            <w:tcW w:w="994" w:type="pct"/>
          </w:tcPr>
          <w:p w:rsidR="00260042" w:rsidRPr="007002D8" w:rsidRDefault="00260042" w:rsidP="007002D8">
            <w:pPr>
              <w:pStyle w:val="BodyText"/>
              <w:jc w:val="right"/>
              <w:rPr>
                <w:b/>
              </w:rPr>
            </w:pPr>
            <w:r w:rsidRPr="007002D8">
              <w:rPr>
                <w:b/>
              </w:rPr>
              <w:t>2018–19</w:t>
            </w:r>
          </w:p>
        </w:tc>
        <w:tc>
          <w:tcPr>
            <w:tcW w:w="994" w:type="pct"/>
          </w:tcPr>
          <w:p w:rsidR="00260042" w:rsidRPr="007002D8" w:rsidRDefault="00260042" w:rsidP="007002D8">
            <w:pPr>
              <w:pStyle w:val="BodyText"/>
              <w:jc w:val="right"/>
              <w:rPr>
                <w:b/>
              </w:rPr>
            </w:pPr>
            <w:r w:rsidRPr="007002D8">
              <w:rPr>
                <w:b/>
              </w:rPr>
              <w:t>2019–20</w:t>
            </w:r>
          </w:p>
        </w:tc>
        <w:tc>
          <w:tcPr>
            <w:tcW w:w="994" w:type="pct"/>
          </w:tcPr>
          <w:p w:rsidR="00260042" w:rsidRPr="007002D8" w:rsidRDefault="00260042" w:rsidP="007002D8">
            <w:pPr>
              <w:pStyle w:val="BodyText"/>
              <w:jc w:val="right"/>
              <w:rPr>
                <w:b/>
              </w:rPr>
            </w:pPr>
            <w:r w:rsidRPr="007002D8">
              <w:rPr>
                <w:b/>
              </w:rPr>
              <w:t>2020–21</w:t>
            </w:r>
          </w:p>
        </w:tc>
      </w:tr>
      <w:tr w:rsidR="00260042" w:rsidTr="007002D8">
        <w:trPr>
          <w:trHeight w:val="60"/>
        </w:trPr>
        <w:tc>
          <w:tcPr>
            <w:tcW w:w="2019" w:type="pct"/>
          </w:tcPr>
          <w:p w:rsidR="00260042" w:rsidRDefault="00260042" w:rsidP="007002D8">
            <w:pPr>
              <w:pStyle w:val="BodyText"/>
            </w:pPr>
            <w:r>
              <w:t>Ceduna region, South Australia</w:t>
            </w:r>
          </w:p>
        </w:tc>
        <w:tc>
          <w:tcPr>
            <w:tcW w:w="994" w:type="pct"/>
          </w:tcPr>
          <w:p w:rsidR="00260042" w:rsidRDefault="00260042" w:rsidP="007002D8">
            <w:pPr>
              <w:pStyle w:val="BodyText"/>
              <w:jc w:val="right"/>
            </w:pPr>
            <w:r>
              <w:t>927</w:t>
            </w:r>
          </w:p>
        </w:tc>
        <w:tc>
          <w:tcPr>
            <w:tcW w:w="994" w:type="pct"/>
          </w:tcPr>
          <w:p w:rsidR="00260042" w:rsidRDefault="00260042" w:rsidP="007002D8">
            <w:pPr>
              <w:pStyle w:val="BodyText"/>
              <w:jc w:val="right"/>
            </w:pPr>
            <w:r>
              <w:t>964</w:t>
            </w:r>
          </w:p>
        </w:tc>
        <w:tc>
          <w:tcPr>
            <w:tcW w:w="994" w:type="pct"/>
          </w:tcPr>
          <w:p w:rsidR="00260042" w:rsidRDefault="00260042" w:rsidP="007002D8">
            <w:pPr>
              <w:pStyle w:val="BodyText"/>
              <w:jc w:val="right"/>
            </w:pPr>
            <w:r>
              <w:t>1,090</w:t>
            </w:r>
          </w:p>
        </w:tc>
      </w:tr>
      <w:tr w:rsidR="00260042" w:rsidTr="007002D8">
        <w:trPr>
          <w:trHeight w:val="60"/>
        </w:trPr>
        <w:tc>
          <w:tcPr>
            <w:tcW w:w="2019" w:type="pct"/>
          </w:tcPr>
          <w:p w:rsidR="00260042" w:rsidRDefault="00260042" w:rsidP="007002D8">
            <w:pPr>
              <w:pStyle w:val="BodyText"/>
            </w:pPr>
            <w:r>
              <w:t>East Kimberley region, South Australia</w:t>
            </w:r>
          </w:p>
        </w:tc>
        <w:tc>
          <w:tcPr>
            <w:tcW w:w="994" w:type="pct"/>
          </w:tcPr>
          <w:p w:rsidR="00260042" w:rsidRDefault="00260042" w:rsidP="007002D8">
            <w:pPr>
              <w:pStyle w:val="BodyText"/>
              <w:jc w:val="right"/>
            </w:pPr>
            <w:r>
              <w:t>1,516</w:t>
            </w:r>
          </w:p>
        </w:tc>
        <w:tc>
          <w:tcPr>
            <w:tcW w:w="994" w:type="pct"/>
          </w:tcPr>
          <w:p w:rsidR="00260042" w:rsidRDefault="00260042" w:rsidP="007002D8">
            <w:pPr>
              <w:pStyle w:val="BodyText"/>
              <w:jc w:val="right"/>
            </w:pPr>
            <w:r>
              <w:t>1,684</w:t>
            </w:r>
          </w:p>
        </w:tc>
        <w:tc>
          <w:tcPr>
            <w:tcW w:w="994" w:type="pct"/>
          </w:tcPr>
          <w:p w:rsidR="00260042" w:rsidRDefault="00260042" w:rsidP="007002D8">
            <w:pPr>
              <w:pStyle w:val="BodyText"/>
              <w:jc w:val="right"/>
            </w:pPr>
            <w:r>
              <w:t>1,914</w:t>
            </w:r>
          </w:p>
        </w:tc>
      </w:tr>
      <w:tr w:rsidR="00260042" w:rsidTr="007002D8">
        <w:trPr>
          <w:trHeight w:val="60"/>
        </w:trPr>
        <w:tc>
          <w:tcPr>
            <w:tcW w:w="2019" w:type="pct"/>
          </w:tcPr>
          <w:p w:rsidR="00260042" w:rsidRDefault="00260042" w:rsidP="007002D8">
            <w:pPr>
              <w:pStyle w:val="BodyText"/>
            </w:pPr>
            <w:r>
              <w:t>Goldfields region, Western Australia</w:t>
            </w:r>
          </w:p>
        </w:tc>
        <w:tc>
          <w:tcPr>
            <w:tcW w:w="994" w:type="pct"/>
          </w:tcPr>
          <w:p w:rsidR="00260042" w:rsidRDefault="00260042" w:rsidP="007002D8">
            <w:pPr>
              <w:pStyle w:val="BodyText"/>
              <w:jc w:val="right"/>
            </w:pPr>
            <w:r>
              <w:t>3,334</w:t>
            </w:r>
          </w:p>
        </w:tc>
        <w:tc>
          <w:tcPr>
            <w:tcW w:w="994" w:type="pct"/>
          </w:tcPr>
          <w:p w:rsidR="00260042" w:rsidRDefault="00260042" w:rsidP="007002D8">
            <w:pPr>
              <w:pStyle w:val="BodyText"/>
              <w:jc w:val="right"/>
            </w:pPr>
            <w:r>
              <w:t>3,557</w:t>
            </w:r>
          </w:p>
        </w:tc>
        <w:tc>
          <w:tcPr>
            <w:tcW w:w="994" w:type="pct"/>
          </w:tcPr>
          <w:p w:rsidR="00260042" w:rsidRDefault="00260042" w:rsidP="007002D8">
            <w:pPr>
              <w:pStyle w:val="BodyText"/>
              <w:jc w:val="right"/>
            </w:pPr>
            <w:r>
              <w:t>4,131</w:t>
            </w:r>
          </w:p>
        </w:tc>
      </w:tr>
      <w:tr w:rsidR="00260042" w:rsidTr="007002D8">
        <w:trPr>
          <w:trHeight w:val="60"/>
        </w:trPr>
        <w:tc>
          <w:tcPr>
            <w:tcW w:w="2019" w:type="pct"/>
          </w:tcPr>
          <w:p w:rsidR="00260042" w:rsidRDefault="00260042" w:rsidP="007002D8">
            <w:pPr>
              <w:pStyle w:val="BodyText"/>
            </w:pPr>
            <w:r>
              <w:t>Bundaberg and Hervey Bay region, Queensland</w:t>
            </w:r>
          </w:p>
        </w:tc>
        <w:tc>
          <w:tcPr>
            <w:tcW w:w="994" w:type="pct"/>
          </w:tcPr>
          <w:p w:rsidR="00260042" w:rsidRDefault="00260042" w:rsidP="007002D8">
            <w:pPr>
              <w:pStyle w:val="BodyText"/>
              <w:jc w:val="right"/>
            </w:pPr>
            <w:r>
              <w:t>5,523</w:t>
            </w:r>
          </w:p>
        </w:tc>
        <w:tc>
          <w:tcPr>
            <w:tcW w:w="994" w:type="pct"/>
          </w:tcPr>
          <w:p w:rsidR="00260042" w:rsidRDefault="00260042" w:rsidP="007002D8">
            <w:pPr>
              <w:pStyle w:val="BodyText"/>
              <w:jc w:val="right"/>
            </w:pPr>
            <w:r>
              <w:t>6,303</w:t>
            </w:r>
          </w:p>
        </w:tc>
        <w:tc>
          <w:tcPr>
            <w:tcW w:w="994" w:type="pct"/>
          </w:tcPr>
          <w:p w:rsidR="00260042" w:rsidRDefault="00260042" w:rsidP="007002D8">
            <w:pPr>
              <w:pStyle w:val="BodyText"/>
              <w:jc w:val="right"/>
            </w:pPr>
            <w:r>
              <w:t>7,417</w:t>
            </w:r>
          </w:p>
        </w:tc>
      </w:tr>
      <w:tr w:rsidR="00260042" w:rsidTr="007002D8">
        <w:trPr>
          <w:trHeight w:val="60"/>
        </w:trPr>
        <w:tc>
          <w:tcPr>
            <w:tcW w:w="2019" w:type="pct"/>
          </w:tcPr>
          <w:p w:rsidR="00260042" w:rsidRDefault="00260042" w:rsidP="007002D8">
            <w:pPr>
              <w:pStyle w:val="BodyText"/>
            </w:pPr>
            <w:r>
              <w:t>Cape York region, Queensland</w:t>
            </w:r>
          </w:p>
        </w:tc>
        <w:tc>
          <w:tcPr>
            <w:tcW w:w="994" w:type="pct"/>
          </w:tcPr>
          <w:p w:rsidR="00260042" w:rsidRDefault="00260042" w:rsidP="007002D8">
            <w:pPr>
              <w:pStyle w:val="BodyText"/>
              <w:jc w:val="right"/>
            </w:pPr>
            <w:r>
              <w:t>0</w:t>
            </w:r>
          </w:p>
        </w:tc>
        <w:tc>
          <w:tcPr>
            <w:tcW w:w="994" w:type="pct"/>
          </w:tcPr>
          <w:p w:rsidR="00260042" w:rsidRDefault="00260042" w:rsidP="007002D8">
            <w:pPr>
              <w:pStyle w:val="BodyText"/>
              <w:jc w:val="right"/>
            </w:pPr>
            <w:r>
              <w:t>0</w:t>
            </w:r>
          </w:p>
        </w:tc>
        <w:tc>
          <w:tcPr>
            <w:tcW w:w="994" w:type="pct"/>
          </w:tcPr>
          <w:p w:rsidR="00260042" w:rsidRDefault="00260042" w:rsidP="007002D8">
            <w:pPr>
              <w:pStyle w:val="BodyText"/>
              <w:jc w:val="right"/>
            </w:pPr>
            <w:r>
              <w:t>135</w:t>
            </w:r>
          </w:p>
        </w:tc>
      </w:tr>
      <w:tr w:rsidR="00260042" w:rsidTr="007002D8">
        <w:trPr>
          <w:trHeight w:val="60"/>
        </w:trPr>
        <w:tc>
          <w:tcPr>
            <w:tcW w:w="2019" w:type="pct"/>
          </w:tcPr>
          <w:p w:rsidR="00260042" w:rsidRDefault="00260042" w:rsidP="007002D8">
            <w:pPr>
              <w:pStyle w:val="BodyText"/>
            </w:pPr>
            <w:r>
              <w:t xml:space="preserve">Northern Territory </w:t>
            </w:r>
          </w:p>
        </w:tc>
        <w:tc>
          <w:tcPr>
            <w:tcW w:w="994" w:type="pct"/>
          </w:tcPr>
          <w:p w:rsidR="00260042" w:rsidRDefault="00260042" w:rsidP="007002D8">
            <w:pPr>
              <w:pStyle w:val="BodyText"/>
              <w:jc w:val="right"/>
            </w:pPr>
            <w:r>
              <w:t>0</w:t>
            </w:r>
          </w:p>
        </w:tc>
        <w:tc>
          <w:tcPr>
            <w:tcW w:w="994" w:type="pct"/>
          </w:tcPr>
          <w:p w:rsidR="00260042" w:rsidRDefault="00260042" w:rsidP="007002D8">
            <w:pPr>
              <w:pStyle w:val="BodyText"/>
              <w:jc w:val="right"/>
            </w:pPr>
            <w:r>
              <w:t>0</w:t>
            </w:r>
          </w:p>
        </w:tc>
        <w:tc>
          <w:tcPr>
            <w:tcW w:w="994" w:type="pct"/>
          </w:tcPr>
          <w:p w:rsidR="00260042" w:rsidRDefault="00260042" w:rsidP="007002D8">
            <w:pPr>
              <w:pStyle w:val="BodyText"/>
              <w:jc w:val="right"/>
            </w:pPr>
            <w:r>
              <w:t>87</w:t>
            </w:r>
          </w:p>
        </w:tc>
      </w:tr>
    </w:tbl>
    <w:p w:rsidR="00260042" w:rsidRDefault="00260042" w:rsidP="00EA5510">
      <w:pPr>
        <w:pStyle w:val="BodyText"/>
      </w:pPr>
      <w:r>
        <w:t>(a)</w:t>
      </w:r>
      <w:r>
        <w:tab/>
        <w:t xml:space="preserve">The numbers are point-in-time and do not represent recipient movements between </w:t>
      </w:r>
      <w:proofErr w:type="gramStart"/>
      <w:r>
        <w:t>measures and on</w:t>
      </w:r>
      <w:proofErr w:type="gramEnd"/>
      <w:r>
        <w:t xml:space="preserve"> and off Cashless Debit Card.</w:t>
      </w:r>
    </w:p>
    <w:p w:rsidR="00260042" w:rsidRDefault="00260042" w:rsidP="00BC1153">
      <w:pPr>
        <w:pStyle w:val="Heading1"/>
      </w:pPr>
      <w:r>
        <w:t xml:space="preserve">5.2 </w:t>
      </w:r>
      <w:r w:rsidRPr="00260042">
        <w:t>Other</w:t>
      </w:r>
      <w:r>
        <w:t xml:space="preserve"> targeted support </w:t>
      </w:r>
    </w:p>
    <w:p w:rsidR="00260042" w:rsidRDefault="00260042" w:rsidP="00C81689">
      <w:pPr>
        <w:pStyle w:val="Heading2"/>
      </w:pPr>
      <w:r>
        <w:t xml:space="preserve">Special Benefit </w:t>
      </w:r>
    </w:p>
    <w:p w:rsidR="00260042" w:rsidRDefault="00260042" w:rsidP="00260042">
      <w:pPr>
        <w:pStyle w:val="BodyText"/>
      </w:pPr>
      <w:r>
        <w:t xml:space="preserve">Special Benefit payment helps people in severe financial hardship who are unable to support themselves and their dependants and are not eligible for another payment. </w:t>
      </w:r>
    </w:p>
    <w:p w:rsidR="00260042" w:rsidRDefault="00260042" w:rsidP="00C81689">
      <w:pPr>
        <w:pStyle w:val="Heading2"/>
      </w:pPr>
      <w:r>
        <w:t>Bereavement payments</w:t>
      </w:r>
    </w:p>
    <w:p w:rsidR="00260042" w:rsidRDefault="00260042" w:rsidP="00260042">
      <w:pPr>
        <w:pStyle w:val="BodyText"/>
      </w:pPr>
      <w:r>
        <w:t xml:space="preserve">Bereavement payments help customers adjust to changed financial circumstances following the death of their partner, child or care receiver. The type of bereavement payment a customer receives and the amount they can get depends on their individual circumstances and when Services Australia </w:t>
      </w:r>
      <w:proofErr w:type="gramStart"/>
      <w:r>
        <w:t>is notified</w:t>
      </w:r>
      <w:proofErr w:type="gramEnd"/>
      <w:r>
        <w:t xml:space="preserve"> of the death of their partner, child or care receiver. Bereavement payments </w:t>
      </w:r>
      <w:proofErr w:type="gramStart"/>
      <w:r>
        <w:t>are usually paid</w:t>
      </w:r>
      <w:proofErr w:type="gramEnd"/>
      <w:r>
        <w:t xml:space="preserve"> as a lump sum. However, some payments, such as the Family Tax Benefit Bereavement Payment, </w:t>
      </w:r>
      <w:proofErr w:type="gramStart"/>
      <w:r>
        <w:t>can be paid</w:t>
      </w:r>
      <w:proofErr w:type="gramEnd"/>
      <w:r>
        <w:t xml:space="preserve"> fortnightly. </w:t>
      </w:r>
    </w:p>
    <w:p w:rsidR="00260042" w:rsidRDefault="00260042" w:rsidP="00C81689">
      <w:pPr>
        <w:pStyle w:val="Heading2"/>
      </w:pPr>
      <w:r>
        <w:t>Payments while outside Australia</w:t>
      </w:r>
    </w:p>
    <w:p w:rsidR="00260042" w:rsidRDefault="00260042" w:rsidP="00260042">
      <w:pPr>
        <w:pStyle w:val="BodyText"/>
      </w:pPr>
      <w:r>
        <w:t xml:space="preserve">Called ‘portability’, some customers may continue receiving social security payments when they are outside Australia. A datalink between the agency and the Department of Home Affairs identifies social </w:t>
      </w:r>
      <w:r>
        <w:lastRenderedPageBreak/>
        <w:t xml:space="preserve">security customers who depart from or return to Australia. This information </w:t>
      </w:r>
      <w:proofErr w:type="gramStart"/>
      <w:r>
        <w:t>is used</w:t>
      </w:r>
      <w:proofErr w:type="gramEnd"/>
      <w:r>
        <w:t xml:space="preserve"> to automatically review payments for people who have departed from Australia. </w:t>
      </w:r>
    </w:p>
    <w:p w:rsidR="00260042" w:rsidRDefault="00260042" w:rsidP="00C81689">
      <w:pPr>
        <w:pStyle w:val="Heading2"/>
      </w:pPr>
      <w:r>
        <w:t xml:space="preserve">Tasmanian Transport Schemes </w:t>
      </w:r>
    </w:p>
    <w:p w:rsidR="00260042" w:rsidRDefault="00260042" w:rsidP="00260042">
      <w:pPr>
        <w:pStyle w:val="BodyText"/>
        <w:spacing w:after="57"/>
      </w:pPr>
      <w:r>
        <w:t xml:space="preserve">Services Australia administers </w:t>
      </w:r>
      <w:proofErr w:type="gramStart"/>
      <w:r>
        <w:t>2</w:t>
      </w:r>
      <w:proofErr w:type="gramEnd"/>
      <w:r>
        <w:t xml:space="preserve"> Tasmanian transport equalisation schemes: </w:t>
      </w:r>
    </w:p>
    <w:p w:rsidR="00260042" w:rsidRDefault="00260042" w:rsidP="008930A3">
      <w:pPr>
        <w:pStyle w:val="ListBullet"/>
      </w:pPr>
      <w:r>
        <w:t xml:space="preserve">the Tasmanian Freight Equalisation Scheme – which helps to alleviate the sea freight cost disadvantage for shippers of eligible non-bulk goods that are moved by sea between mainland Australia and Tasmania </w:t>
      </w:r>
    </w:p>
    <w:p w:rsidR="00260042" w:rsidRDefault="00260042" w:rsidP="00EA5510">
      <w:pPr>
        <w:pStyle w:val="ListBullet"/>
      </w:pPr>
      <w:proofErr w:type="gramStart"/>
      <w:r>
        <w:t>the</w:t>
      </w:r>
      <w:proofErr w:type="gramEnd"/>
      <w:r>
        <w:t xml:space="preserve"> Bass Strait Passenger Vehicle Equalisation Scheme – which helps to alleviate the cost of sea travel across Bass Strait between Tasmania and mainland Australia. </w:t>
      </w:r>
    </w:p>
    <w:p w:rsidR="00260042" w:rsidRDefault="00260042" w:rsidP="00260042">
      <w:pPr>
        <w:pStyle w:val="BodyText"/>
      </w:pPr>
      <w:r>
        <w:t xml:space="preserve">In 2020–21, the agency received 17,084 claims for assistance and processed $205.7 million in payments through the </w:t>
      </w:r>
      <w:proofErr w:type="gramStart"/>
      <w:r>
        <w:t>2</w:t>
      </w:r>
      <w:proofErr w:type="gramEnd"/>
      <w:r>
        <w:t xml:space="preserve"> schemes. This compares to 17,275 claims and $197.8 million in 2019–20.</w:t>
      </w:r>
    </w:p>
    <w:p w:rsidR="00260042" w:rsidRDefault="00260042" w:rsidP="00C81689">
      <w:pPr>
        <w:pStyle w:val="Heading2"/>
      </w:pPr>
      <w:r>
        <w:t>Services to incarcerated customers</w:t>
      </w:r>
    </w:p>
    <w:p w:rsidR="00260042" w:rsidRDefault="00260042" w:rsidP="00260042">
      <w:pPr>
        <w:pStyle w:val="BodyText"/>
      </w:pPr>
      <w:r>
        <w:t xml:space="preserve">Services Australia provides services to incarcerated Centrelink, Medicare and Child Support customers in approximately 150 correctional facilities (including youth justice centres, prison work camps and mental health units) across Australia. </w:t>
      </w:r>
    </w:p>
    <w:p w:rsidR="00260042" w:rsidRDefault="00260042" w:rsidP="00260042">
      <w:pPr>
        <w:pStyle w:val="BodyText"/>
        <w:spacing w:after="57"/>
      </w:pPr>
      <w:r>
        <w:t xml:space="preserve">The services offered are provided in consultation with state and territory correctional authorities and align with </w:t>
      </w:r>
      <w:proofErr w:type="gramStart"/>
      <w:r>
        <w:t>3</w:t>
      </w:r>
      <w:proofErr w:type="gramEnd"/>
      <w:r>
        <w:t xml:space="preserve"> stages of incarceration:</w:t>
      </w:r>
    </w:p>
    <w:p w:rsidR="00260042" w:rsidRDefault="00260042" w:rsidP="008930A3">
      <w:pPr>
        <w:pStyle w:val="ListBullet"/>
      </w:pPr>
      <w:r>
        <w:t>entry into custody – suspend or cancel payments to prevent debt and check that child support assessments are correct</w:t>
      </w:r>
    </w:p>
    <w:p w:rsidR="00260042" w:rsidRDefault="00260042" w:rsidP="008930A3">
      <w:pPr>
        <w:pStyle w:val="ListBullet"/>
      </w:pPr>
      <w:r>
        <w:t xml:space="preserve">during custody – help for customers who remain eligible for payments, assist with access to highly specialised drugs, and conduct child support reassessments </w:t>
      </w:r>
    </w:p>
    <w:p w:rsidR="00260042" w:rsidRDefault="00260042" w:rsidP="00EA5510">
      <w:pPr>
        <w:pStyle w:val="ListBullet"/>
      </w:pPr>
      <w:proofErr w:type="gramStart"/>
      <w:r>
        <w:t>release</w:t>
      </w:r>
      <w:proofErr w:type="gramEnd"/>
      <w:r>
        <w:t xml:space="preserve"> from custody – reconnect customers to appropriate payments and services.</w:t>
      </w:r>
    </w:p>
    <w:p w:rsidR="00260042" w:rsidRDefault="00260042" w:rsidP="00BC1153">
      <w:pPr>
        <w:pStyle w:val="Heading1"/>
      </w:pPr>
      <w:r>
        <w:t>6 Shared services and partnerships</w:t>
      </w:r>
    </w:p>
    <w:p w:rsidR="00260042" w:rsidRDefault="00260042" w:rsidP="00C81689">
      <w:pPr>
        <w:pStyle w:val="Heading2"/>
      </w:pPr>
      <w:r>
        <w:t>6. 1 Shared services</w:t>
      </w:r>
    </w:p>
    <w:p w:rsidR="00260042" w:rsidRDefault="00260042" w:rsidP="008474A9">
      <w:pPr>
        <w:pStyle w:val="BodyText"/>
      </w:pPr>
      <w:r>
        <w:t xml:space="preserve">During the year, Services Australia continued to offer shared services, with the agency providing corporate and ICT services to various government agencies including the National Disability Insurance Agency, the Department of Veterans’ Affairs, the Department of Social Services, the Department of Education, Skills and Employment, the Department of Home Affairs, and the National Disability Insurance Scheme Quality and Safeguards Commission. </w:t>
      </w:r>
    </w:p>
    <w:p w:rsidR="00260042" w:rsidRDefault="00260042" w:rsidP="00260042">
      <w:pPr>
        <w:pStyle w:val="BodyText"/>
      </w:pPr>
      <w:r>
        <w:t xml:space="preserve">The shared services can include procurement, assistive technology support, human resources and payroll services, credit card management, accounts payable and receivable, travel, fleet management, records management, co-located accommodation, security, ICT infrastructure and ICT application services. The agency also delivers internet gateway and/or data centre hosting services for </w:t>
      </w:r>
      <w:proofErr w:type="gramStart"/>
      <w:r>
        <w:t>9</w:t>
      </w:r>
      <w:proofErr w:type="gramEnd"/>
      <w:r>
        <w:t xml:space="preserve"> Australian Government entities.</w:t>
      </w:r>
    </w:p>
    <w:p w:rsidR="00260042" w:rsidRDefault="00260042" w:rsidP="00C81689">
      <w:pPr>
        <w:pStyle w:val="Heading2"/>
      </w:pPr>
      <w:r>
        <w:lastRenderedPageBreak/>
        <w:t>6.2 Partnerships</w:t>
      </w:r>
    </w:p>
    <w:p w:rsidR="00260042" w:rsidRDefault="00260042" w:rsidP="008474A9">
      <w:pPr>
        <w:pStyle w:val="BodyText"/>
      </w:pPr>
      <w:r>
        <w:t xml:space="preserve">Services Australia collaborates with other agencies, providers, businesses and customers to deliver convenient, accessible and efficient community services. </w:t>
      </w:r>
    </w:p>
    <w:p w:rsidR="00260042" w:rsidRDefault="00260042" w:rsidP="00C81689">
      <w:pPr>
        <w:pStyle w:val="Heading2"/>
      </w:pPr>
      <w:r>
        <w:t>Partnerships with Australian Government agencies</w:t>
      </w:r>
    </w:p>
    <w:p w:rsidR="00260042" w:rsidRDefault="00260042" w:rsidP="00260042">
      <w:pPr>
        <w:pStyle w:val="BodyText"/>
      </w:pPr>
      <w:r>
        <w:t xml:space="preserve">Services Australia delivers payments and services on behalf of a wide range of Australian Government agencies. This also supports collaboration between Australian Government agencies through policy co-design, delivery of insights and data exchange, shared expertise on customer-centric approaches and user testing, service delivery co-design, corporate shared services, co-location, </w:t>
      </w:r>
      <w:proofErr w:type="spellStart"/>
      <w:r>
        <w:t>myGov</w:t>
      </w:r>
      <w:proofErr w:type="spellEnd"/>
      <w:r>
        <w:t xml:space="preserve"> and ICT infrastructure support, and the National Emergency Call Centre Surge Capability. </w:t>
      </w:r>
    </w:p>
    <w:p w:rsidR="00260042" w:rsidRDefault="00260042" w:rsidP="00260042">
      <w:pPr>
        <w:pStyle w:val="BodyText"/>
      </w:pPr>
      <w:r>
        <w:t>Services Australia also supports assurance and integrity related to delivery of social services programs and reports regularly to Commonwealth agencies responsible for delivery of policy.</w:t>
      </w:r>
    </w:p>
    <w:p w:rsidR="00260042" w:rsidRDefault="00260042" w:rsidP="00C81689">
      <w:pPr>
        <w:pStyle w:val="Heading2"/>
      </w:pPr>
      <w:r>
        <w:t>Partnerships with state and territory governments and other organisations</w:t>
      </w:r>
    </w:p>
    <w:p w:rsidR="00260042" w:rsidRDefault="00260042" w:rsidP="00260042">
      <w:pPr>
        <w:pStyle w:val="BodyText"/>
      </w:pPr>
      <w:r>
        <w:t>The agency manages bilateral arrangements with state and territory government agencies and with some third-party organisations. These arrangements include services such as rent deduction, prison servicing, National Emergency Call Centre Surge Capability and shared premises arrangements.</w:t>
      </w:r>
    </w:p>
    <w:p w:rsidR="00260042" w:rsidRDefault="00260042" w:rsidP="00260042">
      <w:pPr>
        <w:pStyle w:val="BodyText"/>
      </w:pPr>
      <w:r>
        <w:t>In 2020–21, Services Australia worked with state and territory government agencies and the non-government sector to support Australians following a disaster or during an emergency, including people affected by COVID-19 lockdowns, floods, bushfires and drought.</w:t>
      </w:r>
    </w:p>
    <w:p w:rsidR="00260042" w:rsidRDefault="00260042" w:rsidP="00C81689">
      <w:pPr>
        <w:pStyle w:val="Heading2"/>
      </w:pPr>
      <w:r>
        <w:t xml:space="preserve">Partnerships with community peak bodies </w:t>
      </w:r>
    </w:p>
    <w:p w:rsidR="00260042" w:rsidRDefault="00260042" w:rsidP="00260042">
      <w:pPr>
        <w:pStyle w:val="BodyText"/>
      </w:pPr>
      <w:r>
        <w:t>Services Australia regularly engages with community peak organisations, including through the Civil Society Advisory Group (CSAG), which is a forum for advocacy groups and peak community organisations in the social security and welfare sector. CSAG members provide insights on customer experiences and advice on opportunities to improve service delivery.</w:t>
      </w:r>
    </w:p>
    <w:p w:rsidR="00260042" w:rsidRDefault="00260042" w:rsidP="00260042">
      <w:pPr>
        <w:pStyle w:val="BodyText"/>
      </w:pPr>
      <w:r>
        <w:t xml:space="preserve">CSAG currently comprises 15 peak body </w:t>
      </w:r>
      <w:proofErr w:type="gramStart"/>
      <w:r>
        <w:t>organisations which</w:t>
      </w:r>
      <w:proofErr w:type="gramEnd"/>
      <w:r>
        <w:t xml:space="preserve"> represent a rich and diverse network of communities across Australia, including people with disability, carers, seniors and young people, people from CALD backgrounds, and people affected by poverty, disadvantage and inequality. </w:t>
      </w:r>
    </w:p>
    <w:p w:rsidR="00260042" w:rsidRDefault="00260042" w:rsidP="00260042">
      <w:pPr>
        <w:pStyle w:val="BodyText"/>
      </w:pPr>
      <w:r>
        <w:t xml:space="preserve">The agency also hosts a number of other stakeholder forums with specific groups, including for people with disability, First Nations peoples, older Australians, people from CALD backgrounds, health and medical organisations and others. These forums are an important source of insights and advice about the unique experience of different customer cohorts, who </w:t>
      </w:r>
      <w:proofErr w:type="gramStart"/>
      <w:r>
        <w:t>are represented</w:t>
      </w:r>
      <w:proofErr w:type="gramEnd"/>
      <w:r>
        <w:t xml:space="preserve"> by over 150 participating community and peak organisations. </w:t>
      </w:r>
    </w:p>
    <w:p w:rsidR="00260042" w:rsidRDefault="00260042" w:rsidP="00C81689">
      <w:pPr>
        <w:pStyle w:val="Heading2"/>
      </w:pPr>
      <w:r>
        <w:lastRenderedPageBreak/>
        <w:t>International partnerships</w:t>
      </w:r>
    </w:p>
    <w:p w:rsidR="00260042" w:rsidRDefault="00260042" w:rsidP="00260042">
      <w:pPr>
        <w:pStyle w:val="BodyText"/>
      </w:pPr>
      <w:r>
        <w:t xml:space="preserve">Services Australia administers formal social security agreements with 31 countries. These agreements outline the shared responsibility for social security coverage and entitlements when people move between the agreement countries. </w:t>
      </w:r>
    </w:p>
    <w:p w:rsidR="00260042" w:rsidRDefault="00260042" w:rsidP="00260042">
      <w:pPr>
        <w:pStyle w:val="BodyText"/>
      </w:pPr>
      <w:r>
        <w:t>In 2020–21, 79,914 people received an Australian pension under international agreements.</w:t>
      </w:r>
    </w:p>
    <w:p w:rsidR="00260042" w:rsidRDefault="00260042" w:rsidP="00BC1153">
      <w:pPr>
        <w:pStyle w:val="Heading1"/>
      </w:pPr>
      <w:r>
        <w:t>7 Performance</w:t>
      </w:r>
    </w:p>
    <w:p w:rsidR="00260042" w:rsidRDefault="00260042" w:rsidP="00BC1153">
      <w:pPr>
        <w:pStyle w:val="Heading1"/>
      </w:pPr>
      <w:r>
        <w:t>7.1 Annual Performance Statement 2020–21</w:t>
      </w:r>
    </w:p>
    <w:p w:rsidR="00260042" w:rsidRDefault="00260042" w:rsidP="007002D8">
      <w:pPr>
        <w:pStyle w:val="BodyText"/>
      </w:pPr>
      <w:r>
        <w:t xml:space="preserve"> The 2020–21 annual performance statement outlines the agency’s performance against its outcome, programs and performance criteria, as published in the 2020–21 Services Australia Corporate Plan and the Social Services 2020–21 Portfolio Budget Statements (PBS). Our performance results show our achievements against our purpose:</w:t>
      </w:r>
    </w:p>
    <w:p w:rsidR="00260042" w:rsidRDefault="00260042" w:rsidP="00260042">
      <w:pPr>
        <w:pStyle w:val="BodyText"/>
        <w:ind w:left="567"/>
        <w:rPr>
          <w:rStyle w:val="Italic"/>
        </w:rPr>
      </w:pPr>
      <w:r>
        <w:rPr>
          <w:rStyle w:val="Italic"/>
        </w:rPr>
        <w:t>To support Australians by efficiently delivering high quality, accessible services and payments on behalf of government.</w:t>
      </w:r>
    </w:p>
    <w:p w:rsidR="00260042" w:rsidRDefault="00260042" w:rsidP="00260042">
      <w:pPr>
        <w:pStyle w:val="BodyText"/>
      </w:pPr>
      <w:r>
        <w:t xml:space="preserve">The agency’s outcome statement and program structure remained unchanged in 2020–21 (see Figure 2). However, in 2021–22 we are transitioning to a new outcome statement and key activity structure for performance reporting which better reflects the </w:t>
      </w:r>
      <w:proofErr w:type="spellStart"/>
      <w:r>
        <w:t>ageny’s</w:t>
      </w:r>
      <w:proofErr w:type="spellEnd"/>
      <w:r>
        <w:t xml:space="preserve"> function in delivering a broad range of services and payments on behalf of government.</w:t>
      </w:r>
    </w:p>
    <w:p w:rsidR="00260042" w:rsidRPr="007002D8" w:rsidRDefault="00260042" w:rsidP="007002D8">
      <w:pPr>
        <w:pStyle w:val="BodyText"/>
        <w:rPr>
          <w:b/>
        </w:rPr>
      </w:pPr>
      <w:r w:rsidRPr="007002D8">
        <w:rPr>
          <w:b/>
        </w:rPr>
        <w:t>Figure 2: 2020–21 Enterprise performance management framework</w:t>
      </w:r>
    </w:p>
    <w:p w:rsidR="00260042" w:rsidRDefault="00260042" w:rsidP="00C81689">
      <w:pPr>
        <w:pStyle w:val="Heading2"/>
      </w:pPr>
      <w:r>
        <w:t>Analysis of performance against purpose</w:t>
      </w:r>
    </w:p>
    <w:p w:rsidR="00260042" w:rsidRDefault="00260042" w:rsidP="00260042">
      <w:pPr>
        <w:pStyle w:val="BodyText"/>
      </w:pPr>
      <w:r>
        <w:t>In 2020–21, the agency achieved 26 of 27 performance measure targets, compared to 22 of 30 in the previous year.</w:t>
      </w:r>
    </w:p>
    <w:p w:rsidR="00260042" w:rsidRDefault="00260042" w:rsidP="00260042">
      <w:pPr>
        <w:pStyle w:val="BodyText"/>
      </w:pPr>
      <w:r>
        <w:t xml:space="preserve">This last year has been a time of significant challenge and adversity for many Australians, and our agency has demonstrated its flexibility and responsiveness to support people in need. The improvement in our performance results </w:t>
      </w:r>
      <w:proofErr w:type="gramStart"/>
      <w:r>
        <w:t>is attributed</w:t>
      </w:r>
      <w:proofErr w:type="gramEnd"/>
      <w:r>
        <w:t xml:space="preserve"> to our ability to implement significant policy changes, simplify processes and improve technology, including automation. It is a result of government, and our agency, redeploying staff to deal with the largest surge of telephony and claims processing in the history of our agency. Our dedicated and capable staff worked alongside the community to ensure the many people affected by the natural disasters or the COVID-19 pandemic were able to access support and payments with ease and efficiency.</w:t>
      </w:r>
    </w:p>
    <w:p w:rsidR="00260042" w:rsidRDefault="00260042" w:rsidP="00260042">
      <w:pPr>
        <w:pStyle w:val="BodyText"/>
        <w:spacing w:after="0"/>
      </w:pPr>
      <w:r>
        <w:t>The Annual Performance Statement highlights the agency’s efforts and results including:</w:t>
      </w:r>
    </w:p>
    <w:p w:rsidR="00260042" w:rsidRDefault="00260042" w:rsidP="008930A3">
      <w:pPr>
        <w:pStyle w:val="ListBullet"/>
      </w:pPr>
      <w:r>
        <w:t>improved customer satisfaction influenced by modernisation projects such as the expansion of voice biometrics to increase security and decrease call wait times (with around 1 million authenticated calls per month), and maturing our straight-through claims processing resulting in some claims being granted within minutes (4% of claims are now straight through processed)</w:t>
      </w:r>
    </w:p>
    <w:p w:rsidR="00260042" w:rsidRDefault="00260042" w:rsidP="008930A3">
      <w:pPr>
        <w:pStyle w:val="ListBullet"/>
      </w:pPr>
      <w:proofErr w:type="gramStart"/>
      <w:r>
        <w:t xml:space="preserve">achieving all four telephony service level standards, with a focus on connecting customers faster to the services they need, with an average speed of answer on our Social Security and Welfare lines of 6 minutes and 2 seconds (8 minutes and 9 seconds faster than in 2019–20), Health </w:t>
      </w:r>
      <w:r>
        <w:lastRenderedPageBreak/>
        <w:t>customer lines 6 minutes and 50 seconds (8 seconds faster than 2019–20) and Child Support 2 minutes and 50 seconds (11 minutes and 5 seconds faster than 2019–20).</w:t>
      </w:r>
      <w:proofErr w:type="gramEnd"/>
      <w:r>
        <w:t xml:space="preserve"> In achieving the telephony performance targets, we handled 56.6 million phone calls. To put this into perspective, we handled almost two calls every second of the year</w:t>
      </w:r>
    </w:p>
    <w:p w:rsidR="00260042" w:rsidRDefault="00260042" w:rsidP="008930A3">
      <w:pPr>
        <w:pStyle w:val="ListBullet"/>
      </w:pPr>
      <w:r>
        <w:t xml:space="preserve">achieving all processing service level standards, with over 5.2 million Social Security and Welfare claims, an increase of 5% (around 267,000 claims), around 471 million Health (Medicare) services, an increase of 9% (38 million claims), and around $3.81 billion in Child Support payments, an increase of 2% ($40 million), transferred between parents to support approximately 1.2 million children </w:t>
      </w:r>
    </w:p>
    <w:p w:rsidR="00260042" w:rsidRDefault="00260042" w:rsidP="008930A3">
      <w:pPr>
        <w:pStyle w:val="ListBullet"/>
      </w:pPr>
      <w:r>
        <w:t>faster processing times with most Social Security and Welfare claims processed in 8 days (13 days faster than 2019–20), most Medicare services processed in 0.6 of a day (0.2 of a day faster than 2019–20), and Child Support achieving its target by 0.2 percentage points. This was a significant improvement during a year where the agency processed 38 million more claims overall (476 million claims) than the previous financial year (438 million claims)</w:t>
      </w:r>
    </w:p>
    <w:p w:rsidR="00260042" w:rsidRDefault="00260042" w:rsidP="008930A3">
      <w:pPr>
        <w:pStyle w:val="ListBullet"/>
      </w:pPr>
      <w:r>
        <w:t>that Australians were able to access our ICT systems 99% of the time — with an increase in self-service digital transactions with an 8.7% (31.8 million transactions) increase for Social Security and Welfare, a 12.8% increase for Medicare (52 million transactions), and an 8.5% increase for Child Support (around 954,000 transactions)</w:t>
      </w:r>
    </w:p>
    <w:p w:rsidR="00260042" w:rsidRDefault="00260042" w:rsidP="00EA5510">
      <w:pPr>
        <w:pStyle w:val="ListBullet"/>
      </w:pPr>
      <w:proofErr w:type="gramStart"/>
      <w:r>
        <w:t>expanded</w:t>
      </w:r>
      <w:proofErr w:type="gramEnd"/>
      <w:r>
        <w:t xml:space="preserve"> appointment-based service (representing 25% of face-to-face contacts) and an increase in video chat appointments.</w:t>
      </w:r>
    </w:p>
    <w:p w:rsidR="00260042" w:rsidRDefault="00260042" w:rsidP="00260042">
      <w:pPr>
        <w:pStyle w:val="BodyText"/>
      </w:pPr>
      <w:r>
        <w:t xml:space="preserve">The results show we have built community confidence in the agency and the government, as we continue to deliver service excellence. Overall, the agency’s performance results in 2020–21 demonstrate our ability to transform and modernise our business to deliver needed changes quickly, to make services better for our customers all the time, not just in a crisis. The agency will continue on its modernisation </w:t>
      </w:r>
      <w:proofErr w:type="gramStart"/>
      <w:r>
        <w:t>journey</w:t>
      </w:r>
      <w:proofErr w:type="gramEnd"/>
      <w:r>
        <w:t xml:space="preserve"> as it becomes a world leader in service delivery. For more information on the agency’s service delivery modernisation, see page 10.</w:t>
      </w:r>
    </w:p>
    <w:p w:rsidR="00260042" w:rsidRDefault="00260042" w:rsidP="00C81689">
      <w:pPr>
        <w:pStyle w:val="Heading2"/>
      </w:pPr>
      <w:r>
        <w:t>Looking ahead</w:t>
      </w:r>
    </w:p>
    <w:p w:rsidR="00260042" w:rsidRDefault="00260042" w:rsidP="00260042">
      <w:pPr>
        <w:pStyle w:val="BodyText"/>
      </w:pPr>
      <w:r>
        <w:t xml:space="preserve">Throughout 2020–21, the agency implemented various strategies to meet an unprecedented surge in demand for our services, significantly improving our overall performance. These strategies included workforce reallocation (within the agency and across government), improved capability and increased capacity in our digital platforms and enhanced telephony operations. It is unlikely this improved performance </w:t>
      </w:r>
      <w:proofErr w:type="gramStart"/>
      <w:r>
        <w:t>will be sustained</w:t>
      </w:r>
      <w:proofErr w:type="gramEnd"/>
      <w:r>
        <w:t xml:space="preserve"> to the same levels in 2021–22, as record high levels of activity reduce over time, reallocated resources are returned and surge arrangements cease.</w:t>
      </w:r>
    </w:p>
    <w:p w:rsidR="00260042" w:rsidRDefault="00260042" w:rsidP="00260042">
      <w:pPr>
        <w:pStyle w:val="BodyText"/>
      </w:pPr>
      <w:r>
        <w:t xml:space="preserve">It </w:t>
      </w:r>
      <w:proofErr w:type="gramStart"/>
      <w:r>
        <w:t>is expected</w:t>
      </w:r>
      <w:proofErr w:type="gramEnd"/>
      <w:r>
        <w:t xml:space="preserve"> that while our results will shift, we will remain in a strong position to deliver on the current and emerging needs of the Australian people. We have demonstrated that we can bring services online and build digital capability, retrain and mobilise the workforce with speed, simplify processes and support customers. As part of the agency’s ongoing transformation, we will continue to build on these foundations to guide the services we offer to Australians, with emphasis on simplification. </w:t>
      </w:r>
    </w:p>
    <w:p w:rsidR="00260042" w:rsidRDefault="00260042" w:rsidP="00C81689">
      <w:pPr>
        <w:pStyle w:val="Heading2"/>
      </w:pPr>
      <w:r>
        <w:t>Performance measure summary of results</w:t>
      </w:r>
    </w:p>
    <w:p w:rsidR="00260042" w:rsidRDefault="00260042" w:rsidP="00260042">
      <w:pPr>
        <w:pStyle w:val="BodyText"/>
      </w:pPr>
      <w:r>
        <w:t xml:space="preserve">The table below provides a comparison of the number of performance measure targets that </w:t>
      </w:r>
      <w:proofErr w:type="gramStart"/>
      <w:r>
        <w:t>were achieved</w:t>
      </w:r>
      <w:proofErr w:type="gramEnd"/>
      <w:r>
        <w:t xml:space="preserve"> in 2018–19, 2019–20 and 2020–21.</w:t>
      </w:r>
    </w:p>
    <w:tbl>
      <w:tblPr>
        <w:tblStyle w:val="TableGrid"/>
        <w:tblW w:w="5000" w:type="pct"/>
        <w:tblLook w:val="0000" w:firstRow="0" w:lastRow="0" w:firstColumn="0" w:lastColumn="0" w:noHBand="0" w:noVBand="0"/>
        <w:tblCaption w:val="The table below provides a comparison of the number of performance measure targets that were achieved in 2018–19, 2019–20 and 2020–21."/>
      </w:tblPr>
      <w:tblGrid>
        <w:gridCol w:w="4480"/>
        <w:gridCol w:w="2104"/>
        <w:gridCol w:w="2104"/>
        <w:gridCol w:w="2102"/>
      </w:tblGrid>
      <w:tr w:rsidR="00260042" w:rsidTr="007002D8">
        <w:trPr>
          <w:trHeight w:val="60"/>
          <w:tblHeader/>
        </w:trPr>
        <w:tc>
          <w:tcPr>
            <w:tcW w:w="2076" w:type="pct"/>
          </w:tcPr>
          <w:p w:rsidR="00260042" w:rsidRDefault="00260042" w:rsidP="007002D8">
            <w:pPr>
              <w:pStyle w:val="BodyText"/>
            </w:pPr>
          </w:p>
        </w:tc>
        <w:tc>
          <w:tcPr>
            <w:tcW w:w="975" w:type="pct"/>
          </w:tcPr>
          <w:p w:rsidR="00260042" w:rsidRPr="007002D8" w:rsidRDefault="00260042" w:rsidP="007002D8">
            <w:pPr>
              <w:pStyle w:val="BodyText"/>
              <w:jc w:val="right"/>
              <w:rPr>
                <w:b/>
              </w:rPr>
            </w:pPr>
            <w:r w:rsidRPr="007002D8">
              <w:rPr>
                <w:rStyle w:val="Bulletcolour"/>
                <w:b/>
              </w:rPr>
              <w:t>2018–19</w:t>
            </w:r>
          </w:p>
        </w:tc>
        <w:tc>
          <w:tcPr>
            <w:tcW w:w="975" w:type="pct"/>
          </w:tcPr>
          <w:p w:rsidR="00260042" w:rsidRPr="007002D8" w:rsidRDefault="00260042" w:rsidP="007002D8">
            <w:pPr>
              <w:pStyle w:val="BodyText"/>
              <w:jc w:val="right"/>
              <w:rPr>
                <w:b/>
              </w:rPr>
            </w:pPr>
            <w:r w:rsidRPr="007002D8">
              <w:rPr>
                <w:rStyle w:val="Bulletcolour"/>
                <w:b/>
              </w:rPr>
              <w:t>2019–20</w:t>
            </w:r>
          </w:p>
        </w:tc>
        <w:tc>
          <w:tcPr>
            <w:tcW w:w="974" w:type="pct"/>
          </w:tcPr>
          <w:p w:rsidR="00260042" w:rsidRPr="007002D8" w:rsidRDefault="00260042" w:rsidP="007002D8">
            <w:pPr>
              <w:pStyle w:val="BodyText"/>
              <w:jc w:val="right"/>
              <w:rPr>
                <w:b/>
              </w:rPr>
            </w:pPr>
            <w:r w:rsidRPr="007002D8">
              <w:rPr>
                <w:rStyle w:val="Bulletcolour"/>
                <w:b/>
              </w:rPr>
              <w:t>2020–21</w:t>
            </w:r>
          </w:p>
        </w:tc>
      </w:tr>
      <w:tr w:rsidR="00260042" w:rsidTr="007002D8">
        <w:trPr>
          <w:trHeight w:val="60"/>
        </w:trPr>
        <w:tc>
          <w:tcPr>
            <w:tcW w:w="2076" w:type="pct"/>
          </w:tcPr>
          <w:p w:rsidR="00260042" w:rsidRDefault="00260042" w:rsidP="007002D8">
            <w:pPr>
              <w:pStyle w:val="BodyText"/>
            </w:pPr>
            <w:r>
              <w:rPr>
                <w:rStyle w:val="Bulletcolour"/>
              </w:rPr>
              <w:t>Achieved</w:t>
            </w:r>
          </w:p>
        </w:tc>
        <w:tc>
          <w:tcPr>
            <w:tcW w:w="975" w:type="pct"/>
          </w:tcPr>
          <w:p w:rsidR="00260042" w:rsidRDefault="00260042" w:rsidP="007002D8">
            <w:pPr>
              <w:pStyle w:val="BodyText"/>
              <w:jc w:val="right"/>
            </w:pPr>
            <w:r>
              <w:rPr>
                <w:rStyle w:val="Bulletcolour"/>
              </w:rPr>
              <w:t>20</w:t>
            </w:r>
          </w:p>
        </w:tc>
        <w:tc>
          <w:tcPr>
            <w:tcW w:w="975" w:type="pct"/>
          </w:tcPr>
          <w:p w:rsidR="00260042" w:rsidRDefault="00260042" w:rsidP="007002D8">
            <w:pPr>
              <w:pStyle w:val="BodyText"/>
              <w:jc w:val="right"/>
            </w:pPr>
            <w:r>
              <w:rPr>
                <w:rStyle w:val="Bulletcolour"/>
              </w:rPr>
              <w:t>22</w:t>
            </w:r>
          </w:p>
        </w:tc>
        <w:tc>
          <w:tcPr>
            <w:tcW w:w="974" w:type="pct"/>
          </w:tcPr>
          <w:p w:rsidR="00260042" w:rsidRDefault="00260042" w:rsidP="007002D8">
            <w:pPr>
              <w:pStyle w:val="BodyText"/>
              <w:jc w:val="right"/>
            </w:pPr>
            <w:r>
              <w:rPr>
                <w:rStyle w:val="Bulletcolour"/>
              </w:rPr>
              <w:t>26</w:t>
            </w:r>
          </w:p>
        </w:tc>
      </w:tr>
      <w:tr w:rsidR="00260042" w:rsidTr="007002D8">
        <w:trPr>
          <w:trHeight w:val="60"/>
        </w:trPr>
        <w:tc>
          <w:tcPr>
            <w:tcW w:w="2076" w:type="pct"/>
          </w:tcPr>
          <w:p w:rsidR="00260042" w:rsidRDefault="00260042" w:rsidP="007002D8">
            <w:pPr>
              <w:pStyle w:val="BodyText"/>
            </w:pPr>
            <w:r>
              <w:rPr>
                <w:rStyle w:val="Bulletcolour"/>
              </w:rPr>
              <w:t>Not achieved</w:t>
            </w:r>
          </w:p>
        </w:tc>
        <w:tc>
          <w:tcPr>
            <w:tcW w:w="975" w:type="pct"/>
          </w:tcPr>
          <w:p w:rsidR="00260042" w:rsidRDefault="00260042" w:rsidP="007002D8">
            <w:pPr>
              <w:pStyle w:val="BodyText"/>
              <w:jc w:val="right"/>
            </w:pPr>
            <w:r>
              <w:rPr>
                <w:rStyle w:val="Bulletcolour"/>
              </w:rPr>
              <w:t>7</w:t>
            </w:r>
          </w:p>
        </w:tc>
        <w:tc>
          <w:tcPr>
            <w:tcW w:w="975" w:type="pct"/>
          </w:tcPr>
          <w:p w:rsidR="00260042" w:rsidRDefault="00260042" w:rsidP="007002D8">
            <w:pPr>
              <w:pStyle w:val="BodyText"/>
              <w:jc w:val="right"/>
            </w:pPr>
            <w:r>
              <w:rPr>
                <w:rStyle w:val="Bulletcolour"/>
              </w:rPr>
              <w:t>5</w:t>
            </w:r>
          </w:p>
        </w:tc>
        <w:tc>
          <w:tcPr>
            <w:tcW w:w="974" w:type="pct"/>
          </w:tcPr>
          <w:p w:rsidR="00260042" w:rsidRDefault="00260042" w:rsidP="007002D8">
            <w:pPr>
              <w:pStyle w:val="BodyText"/>
              <w:jc w:val="right"/>
            </w:pPr>
            <w:r>
              <w:rPr>
                <w:rStyle w:val="Bulletcolour"/>
              </w:rPr>
              <w:t>1</w:t>
            </w:r>
          </w:p>
        </w:tc>
      </w:tr>
      <w:tr w:rsidR="00260042" w:rsidTr="007002D8">
        <w:trPr>
          <w:trHeight w:val="60"/>
        </w:trPr>
        <w:tc>
          <w:tcPr>
            <w:tcW w:w="2076" w:type="pct"/>
          </w:tcPr>
          <w:p w:rsidR="00260042" w:rsidRDefault="00260042" w:rsidP="007002D8">
            <w:pPr>
              <w:pStyle w:val="BodyText"/>
            </w:pPr>
            <w:r>
              <w:rPr>
                <w:rStyle w:val="Bulletcolour"/>
              </w:rPr>
              <w:t>No target</w:t>
            </w:r>
            <w:r>
              <w:rPr>
                <w:rStyle w:val="Bulletcolour"/>
                <w:vertAlign w:val="superscript"/>
              </w:rPr>
              <w:t>(a)</w:t>
            </w:r>
            <w:r>
              <w:rPr>
                <w:rStyle w:val="Bulletcolour"/>
              </w:rPr>
              <w:t xml:space="preserve"> </w:t>
            </w:r>
          </w:p>
        </w:tc>
        <w:tc>
          <w:tcPr>
            <w:tcW w:w="975" w:type="pct"/>
          </w:tcPr>
          <w:p w:rsidR="00260042" w:rsidRDefault="00260042" w:rsidP="007002D8">
            <w:pPr>
              <w:pStyle w:val="BodyText"/>
              <w:jc w:val="right"/>
            </w:pPr>
            <w:r>
              <w:rPr>
                <w:rStyle w:val="Bulletcolour"/>
              </w:rPr>
              <w:t>0</w:t>
            </w:r>
          </w:p>
        </w:tc>
        <w:tc>
          <w:tcPr>
            <w:tcW w:w="975" w:type="pct"/>
          </w:tcPr>
          <w:p w:rsidR="00260042" w:rsidRDefault="00260042" w:rsidP="007002D8">
            <w:pPr>
              <w:pStyle w:val="BodyText"/>
              <w:jc w:val="right"/>
            </w:pPr>
            <w:r>
              <w:rPr>
                <w:rStyle w:val="Bulletcolour"/>
              </w:rPr>
              <w:t>3</w:t>
            </w:r>
          </w:p>
        </w:tc>
        <w:tc>
          <w:tcPr>
            <w:tcW w:w="974" w:type="pct"/>
          </w:tcPr>
          <w:p w:rsidR="00260042" w:rsidRDefault="00260042" w:rsidP="007002D8">
            <w:pPr>
              <w:pStyle w:val="BodyText"/>
              <w:jc w:val="right"/>
            </w:pPr>
            <w:r>
              <w:rPr>
                <w:rStyle w:val="Bulletcolour"/>
              </w:rPr>
              <w:t>0</w:t>
            </w:r>
          </w:p>
        </w:tc>
      </w:tr>
      <w:tr w:rsidR="00260042" w:rsidTr="007002D8">
        <w:trPr>
          <w:trHeight w:val="60"/>
        </w:trPr>
        <w:tc>
          <w:tcPr>
            <w:tcW w:w="2076" w:type="pct"/>
          </w:tcPr>
          <w:p w:rsidR="00260042" w:rsidRDefault="00260042" w:rsidP="007002D8">
            <w:pPr>
              <w:pStyle w:val="BodyText"/>
            </w:pPr>
            <w:r>
              <w:rPr>
                <w:rStyle w:val="Bold"/>
              </w:rPr>
              <w:t>Total</w:t>
            </w:r>
          </w:p>
        </w:tc>
        <w:tc>
          <w:tcPr>
            <w:tcW w:w="975" w:type="pct"/>
          </w:tcPr>
          <w:p w:rsidR="00260042" w:rsidRDefault="00260042" w:rsidP="007002D8">
            <w:pPr>
              <w:pStyle w:val="BodyText"/>
              <w:jc w:val="right"/>
            </w:pPr>
            <w:r>
              <w:rPr>
                <w:rStyle w:val="Bold"/>
              </w:rPr>
              <w:t>27</w:t>
            </w:r>
          </w:p>
        </w:tc>
        <w:tc>
          <w:tcPr>
            <w:tcW w:w="975" w:type="pct"/>
          </w:tcPr>
          <w:p w:rsidR="00260042" w:rsidRDefault="00260042" w:rsidP="007002D8">
            <w:pPr>
              <w:pStyle w:val="BodyText"/>
              <w:jc w:val="right"/>
            </w:pPr>
            <w:r>
              <w:rPr>
                <w:rStyle w:val="Bold"/>
              </w:rPr>
              <w:t>30</w:t>
            </w:r>
          </w:p>
        </w:tc>
        <w:tc>
          <w:tcPr>
            <w:tcW w:w="974" w:type="pct"/>
          </w:tcPr>
          <w:p w:rsidR="00260042" w:rsidRDefault="00260042" w:rsidP="007002D8">
            <w:pPr>
              <w:pStyle w:val="BodyText"/>
              <w:jc w:val="right"/>
            </w:pPr>
            <w:r>
              <w:rPr>
                <w:rStyle w:val="Bold"/>
              </w:rPr>
              <w:t>27</w:t>
            </w:r>
          </w:p>
        </w:tc>
      </w:tr>
    </w:tbl>
    <w:p w:rsidR="00260042" w:rsidRDefault="00260042" w:rsidP="00EA5510">
      <w:pPr>
        <w:pStyle w:val="BodyText"/>
      </w:pPr>
      <w:r>
        <w:rPr>
          <w:spacing w:val="-2"/>
        </w:rPr>
        <w:t>(a)</w:t>
      </w:r>
      <w:r>
        <w:rPr>
          <w:spacing w:val="-2"/>
        </w:rPr>
        <w:tab/>
        <w:t xml:space="preserve">Three customer trust measures </w:t>
      </w:r>
      <w:proofErr w:type="gramStart"/>
      <w:r>
        <w:rPr>
          <w:spacing w:val="-2"/>
        </w:rPr>
        <w:t>were introduced</w:t>
      </w:r>
      <w:proofErr w:type="gramEnd"/>
      <w:r>
        <w:rPr>
          <w:spacing w:val="-2"/>
        </w:rPr>
        <w:t xml:space="preserve"> in 2019–20, with no set target to report against. </w:t>
      </w:r>
      <w:r>
        <w:t>For 2020–21, the agency elected to remove these measures from its enterprise performance reporting to allow more time to develop a multi-driver model for implementing in 2021–22.</w:t>
      </w:r>
    </w:p>
    <w:p w:rsidR="00260042" w:rsidRDefault="00260042" w:rsidP="00C81689">
      <w:pPr>
        <w:pStyle w:val="Heading2"/>
      </w:pPr>
      <w:r>
        <w:t>Performance measure results</w:t>
      </w:r>
    </w:p>
    <w:p w:rsidR="00260042" w:rsidRDefault="00260042" w:rsidP="002E64CE">
      <w:pPr>
        <w:pStyle w:val="Heading3"/>
      </w:pPr>
      <w:r>
        <w:t>Program 1.1: Services to the Community – Social Security and Welfare</w:t>
      </w:r>
    </w:p>
    <w:tbl>
      <w:tblPr>
        <w:tblStyle w:val="TableGrid"/>
        <w:tblW w:w="5000" w:type="pct"/>
        <w:tblLook w:val="0000" w:firstRow="0" w:lastRow="0" w:firstColumn="0" w:lastColumn="0" w:noHBand="0" w:noVBand="0"/>
        <w:tblCaption w:val="Program 1.1: Services to the Community – Social Security and Welfare"/>
      </w:tblPr>
      <w:tblGrid>
        <w:gridCol w:w="575"/>
        <w:gridCol w:w="5024"/>
        <w:gridCol w:w="1731"/>
        <w:gridCol w:w="1839"/>
        <w:gridCol w:w="1621"/>
      </w:tblGrid>
      <w:tr w:rsidR="00260042" w:rsidTr="00AA635B">
        <w:trPr>
          <w:trHeight w:val="60"/>
          <w:tblHeader/>
        </w:trPr>
        <w:tc>
          <w:tcPr>
            <w:tcW w:w="267" w:type="pct"/>
          </w:tcPr>
          <w:p w:rsidR="00260042" w:rsidRDefault="00260042" w:rsidP="00AA635B">
            <w:pPr>
              <w:pStyle w:val="BodyText"/>
            </w:pPr>
          </w:p>
        </w:tc>
        <w:tc>
          <w:tcPr>
            <w:tcW w:w="2328" w:type="pct"/>
          </w:tcPr>
          <w:p w:rsidR="00260042" w:rsidRPr="00AA635B" w:rsidRDefault="00260042" w:rsidP="00AA635B">
            <w:pPr>
              <w:pStyle w:val="BodyText"/>
              <w:rPr>
                <w:b/>
              </w:rPr>
            </w:pPr>
            <w:r w:rsidRPr="00AA635B">
              <w:rPr>
                <w:rStyle w:val="Bulletcolour"/>
                <w:b/>
              </w:rPr>
              <w:t xml:space="preserve">Performance measure </w:t>
            </w:r>
          </w:p>
        </w:tc>
        <w:tc>
          <w:tcPr>
            <w:tcW w:w="802" w:type="pct"/>
          </w:tcPr>
          <w:p w:rsidR="00260042" w:rsidRPr="00AA635B" w:rsidRDefault="00260042" w:rsidP="00AA635B">
            <w:pPr>
              <w:pStyle w:val="BodyText"/>
              <w:rPr>
                <w:b/>
              </w:rPr>
            </w:pPr>
            <w:r w:rsidRPr="00AA635B">
              <w:rPr>
                <w:rStyle w:val="Bulletcolour"/>
                <w:b/>
              </w:rPr>
              <w:t xml:space="preserve">Target </w:t>
            </w:r>
          </w:p>
        </w:tc>
        <w:tc>
          <w:tcPr>
            <w:tcW w:w="852" w:type="pct"/>
          </w:tcPr>
          <w:p w:rsidR="00260042" w:rsidRPr="00AA635B" w:rsidRDefault="00260042" w:rsidP="00AA635B">
            <w:pPr>
              <w:pStyle w:val="BodyText"/>
              <w:rPr>
                <w:b/>
              </w:rPr>
            </w:pPr>
            <w:r w:rsidRPr="00AA635B">
              <w:rPr>
                <w:rStyle w:val="Bulletcolour"/>
                <w:b/>
              </w:rPr>
              <w:t>Result</w:t>
            </w:r>
          </w:p>
        </w:tc>
        <w:tc>
          <w:tcPr>
            <w:tcW w:w="751" w:type="pct"/>
          </w:tcPr>
          <w:p w:rsidR="00260042" w:rsidRPr="00AA635B" w:rsidRDefault="00260042" w:rsidP="00AA635B">
            <w:pPr>
              <w:pStyle w:val="BodyText"/>
              <w:rPr>
                <w:b/>
              </w:rPr>
            </w:pPr>
            <w:r w:rsidRPr="00AA635B">
              <w:rPr>
                <w:rStyle w:val="Bulletcolour"/>
                <w:b/>
              </w:rPr>
              <w:t>Achieved</w:t>
            </w:r>
          </w:p>
        </w:tc>
      </w:tr>
      <w:tr w:rsidR="00260042" w:rsidTr="00AA635B">
        <w:trPr>
          <w:trHeight w:val="60"/>
        </w:trPr>
        <w:tc>
          <w:tcPr>
            <w:tcW w:w="267" w:type="pct"/>
          </w:tcPr>
          <w:p w:rsidR="00260042" w:rsidRDefault="00260042" w:rsidP="00AA635B">
            <w:pPr>
              <w:pStyle w:val="BodyText"/>
            </w:pPr>
            <w:r>
              <w:t>1.</w:t>
            </w:r>
          </w:p>
        </w:tc>
        <w:tc>
          <w:tcPr>
            <w:tcW w:w="2328" w:type="pct"/>
          </w:tcPr>
          <w:p w:rsidR="00260042" w:rsidRDefault="00260042" w:rsidP="00AA635B">
            <w:pPr>
              <w:pStyle w:val="BodyText"/>
            </w:pPr>
            <w:r>
              <w:rPr>
                <w:rStyle w:val="Bulletcolour"/>
              </w:rPr>
              <w:t xml:space="preserve">Customer satisfaction: achievement of customer satisfaction standards </w:t>
            </w:r>
          </w:p>
        </w:tc>
        <w:tc>
          <w:tcPr>
            <w:tcW w:w="802" w:type="pct"/>
          </w:tcPr>
          <w:p w:rsidR="00260042" w:rsidRDefault="00260042" w:rsidP="00AA635B">
            <w:pPr>
              <w:pStyle w:val="BodyText"/>
            </w:pPr>
            <w:r>
              <w:rPr>
                <w:rStyle w:val="Bulletcolour"/>
              </w:rPr>
              <w:t xml:space="preserve">≥85 </w:t>
            </w:r>
            <w:r>
              <w:rPr>
                <w:rStyle w:val="Bulletcolour"/>
              </w:rPr>
              <w:br/>
              <w:t>out of 100</w:t>
            </w:r>
          </w:p>
        </w:tc>
        <w:tc>
          <w:tcPr>
            <w:tcW w:w="852" w:type="pct"/>
          </w:tcPr>
          <w:p w:rsidR="00260042" w:rsidRDefault="00260042" w:rsidP="00AA635B">
            <w:pPr>
              <w:pStyle w:val="BodyText"/>
            </w:pPr>
            <w:r>
              <w:rPr>
                <w:rStyle w:val="Bulletcolour"/>
              </w:rPr>
              <w:t xml:space="preserve">82.6 </w:t>
            </w:r>
            <w:r>
              <w:rPr>
                <w:rStyle w:val="Bulletcolour"/>
              </w:rPr>
              <w:br/>
              <w:t>out of 100</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2.</w:t>
            </w:r>
          </w:p>
        </w:tc>
        <w:tc>
          <w:tcPr>
            <w:tcW w:w="2328" w:type="pct"/>
          </w:tcPr>
          <w:p w:rsidR="00260042" w:rsidRDefault="00260042" w:rsidP="00AA635B">
            <w:pPr>
              <w:pStyle w:val="BodyText"/>
            </w:pPr>
            <w:r>
              <w:rPr>
                <w:rStyle w:val="Bulletcolour"/>
              </w:rPr>
              <w:t>Achievement of payment quality standards: Centrelink: delivery of correct customer payments</w:t>
            </w:r>
          </w:p>
        </w:tc>
        <w:tc>
          <w:tcPr>
            <w:tcW w:w="802" w:type="pct"/>
          </w:tcPr>
          <w:p w:rsidR="00260042" w:rsidRDefault="00260042" w:rsidP="00AA635B">
            <w:pPr>
              <w:pStyle w:val="BodyText"/>
            </w:pPr>
            <w:r>
              <w:rPr>
                <w:rStyle w:val="Bulletcolour"/>
              </w:rPr>
              <w:t>≥95%</w:t>
            </w:r>
          </w:p>
        </w:tc>
        <w:tc>
          <w:tcPr>
            <w:tcW w:w="852" w:type="pct"/>
          </w:tcPr>
          <w:p w:rsidR="00260042" w:rsidRDefault="00260042" w:rsidP="00AA635B">
            <w:pPr>
              <w:pStyle w:val="BodyText"/>
            </w:pPr>
            <w:r>
              <w:rPr>
                <w:rStyle w:val="Bulletcolour"/>
              </w:rPr>
              <w:t>98.7%</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3.</w:t>
            </w:r>
          </w:p>
        </w:tc>
        <w:tc>
          <w:tcPr>
            <w:tcW w:w="2328" w:type="pct"/>
          </w:tcPr>
          <w:p w:rsidR="00260042" w:rsidRDefault="00260042" w:rsidP="00AA635B">
            <w:pPr>
              <w:pStyle w:val="BodyText"/>
            </w:pPr>
            <w:r>
              <w:rPr>
                <w:rStyle w:val="Bulletcolour"/>
              </w:rPr>
              <w:t>Internal reviews: percentage of decision reviews requested by Centrelink customers finalised within standard</w:t>
            </w:r>
          </w:p>
        </w:tc>
        <w:tc>
          <w:tcPr>
            <w:tcW w:w="802" w:type="pct"/>
          </w:tcPr>
          <w:p w:rsidR="00260042" w:rsidRDefault="00260042" w:rsidP="00AA635B">
            <w:pPr>
              <w:pStyle w:val="BodyText"/>
            </w:pPr>
            <w:r>
              <w:rPr>
                <w:rStyle w:val="Bulletcolour"/>
              </w:rPr>
              <w:t>≥70%</w:t>
            </w:r>
          </w:p>
        </w:tc>
        <w:tc>
          <w:tcPr>
            <w:tcW w:w="852" w:type="pct"/>
          </w:tcPr>
          <w:p w:rsidR="00260042" w:rsidRDefault="00260042" w:rsidP="00AA635B">
            <w:pPr>
              <w:pStyle w:val="BodyText"/>
            </w:pPr>
            <w:r>
              <w:rPr>
                <w:rStyle w:val="Bulletcolour"/>
              </w:rPr>
              <w:t>71.2%</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4.</w:t>
            </w:r>
          </w:p>
        </w:tc>
        <w:tc>
          <w:tcPr>
            <w:tcW w:w="2328" w:type="pct"/>
          </w:tcPr>
          <w:p w:rsidR="00260042" w:rsidRDefault="00260042" w:rsidP="00AA635B">
            <w:pPr>
              <w:pStyle w:val="BodyText"/>
            </w:pPr>
            <w:r>
              <w:t>Achievement of payment integrity standards: Centrelink: debt under recovery</w:t>
            </w:r>
          </w:p>
        </w:tc>
        <w:tc>
          <w:tcPr>
            <w:tcW w:w="802" w:type="pct"/>
          </w:tcPr>
          <w:p w:rsidR="00260042" w:rsidRDefault="00260042" w:rsidP="00AA635B">
            <w:pPr>
              <w:pStyle w:val="BodyText"/>
            </w:pPr>
            <w:r>
              <w:t>≥60%</w:t>
            </w:r>
          </w:p>
        </w:tc>
        <w:tc>
          <w:tcPr>
            <w:tcW w:w="852" w:type="pct"/>
          </w:tcPr>
          <w:p w:rsidR="00260042" w:rsidRDefault="00260042" w:rsidP="00AA635B">
            <w:pPr>
              <w:pStyle w:val="BodyText"/>
            </w:pPr>
            <w:r>
              <w:t>70.6%</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5.</w:t>
            </w:r>
          </w:p>
        </w:tc>
        <w:tc>
          <w:tcPr>
            <w:tcW w:w="2328" w:type="pct"/>
          </w:tcPr>
          <w:p w:rsidR="00260042" w:rsidRDefault="00260042" w:rsidP="00AA635B">
            <w:pPr>
              <w:pStyle w:val="BodyText"/>
            </w:pPr>
            <w:r>
              <w:t>Achievement of face-to-face service level standards: average wait time</w:t>
            </w:r>
          </w:p>
        </w:tc>
        <w:tc>
          <w:tcPr>
            <w:tcW w:w="802" w:type="pct"/>
          </w:tcPr>
          <w:p w:rsidR="00260042" w:rsidRDefault="00260042" w:rsidP="00AA635B">
            <w:pPr>
              <w:pStyle w:val="BodyText"/>
            </w:pPr>
            <w:r>
              <w:t>≤15 minutes</w:t>
            </w:r>
          </w:p>
        </w:tc>
        <w:tc>
          <w:tcPr>
            <w:tcW w:w="852" w:type="pct"/>
          </w:tcPr>
          <w:p w:rsidR="00260042" w:rsidRDefault="00260042" w:rsidP="00AA635B">
            <w:pPr>
              <w:pStyle w:val="BodyText"/>
            </w:pPr>
            <w:r>
              <w:t>8 minutes 58 seconds</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6.</w:t>
            </w:r>
          </w:p>
        </w:tc>
        <w:tc>
          <w:tcPr>
            <w:tcW w:w="2328" w:type="pct"/>
          </w:tcPr>
          <w:p w:rsidR="00260042" w:rsidRDefault="00260042" w:rsidP="00AA635B">
            <w:pPr>
              <w:pStyle w:val="BodyText"/>
            </w:pPr>
            <w:r>
              <w:t>Achievement of telephony service level standards: average speed of answer</w:t>
            </w:r>
          </w:p>
        </w:tc>
        <w:tc>
          <w:tcPr>
            <w:tcW w:w="802" w:type="pct"/>
          </w:tcPr>
          <w:p w:rsidR="00260042" w:rsidRDefault="00260042" w:rsidP="00AA635B">
            <w:pPr>
              <w:pStyle w:val="BodyText"/>
            </w:pPr>
            <w:r>
              <w:rPr>
                <w:spacing w:val="-4"/>
              </w:rPr>
              <w:t>≤16 minutes</w:t>
            </w:r>
          </w:p>
        </w:tc>
        <w:tc>
          <w:tcPr>
            <w:tcW w:w="852" w:type="pct"/>
          </w:tcPr>
          <w:p w:rsidR="00260042" w:rsidRDefault="00260042" w:rsidP="00AA635B">
            <w:pPr>
              <w:pStyle w:val="BodyText"/>
            </w:pPr>
            <w:r>
              <w:t>6 minutes 2 seconds</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7.</w:t>
            </w:r>
          </w:p>
        </w:tc>
        <w:tc>
          <w:tcPr>
            <w:tcW w:w="2328" w:type="pct"/>
          </w:tcPr>
          <w:p w:rsidR="00260042" w:rsidRDefault="00260042" w:rsidP="00AA635B">
            <w:pPr>
              <w:pStyle w:val="BodyText"/>
            </w:pPr>
            <w:r>
              <w:t>Achievement of processing service level standards: claims processed within standard</w:t>
            </w:r>
          </w:p>
        </w:tc>
        <w:tc>
          <w:tcPr>
            <w:tcW w:w="802" w:type="pct"/>
          </w:tcPr>
          <w:p w:rsidR="00260042" w:rsidRDefault="00260042" w:rsidP="00AA635B">
            <w:pPr>
              <w:pStyle w:val="BodyText"/>
            </w:pPr>
            <w:r>
              <w:t>≥82%</w:t>
            </w:r>
          </w:p>
        </w:tc>
        <w:tc>
          <w:tcPr>
            <w:tcW w:w="852" w:type="pct"/>
          </w:tcPr>
          <w:p w:rsidR="00260042" w:rsidRDefault="00260042" w:rsidP="00AA635B">
            <w:pPr>
              <w:pStyle w:val="BodyText"/>
            </w:pPr>
            <w:r>
              <w:t>91.4%</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lastRenderedPageBreak/>
              <w:t>8.</w:t>
            </w:r>
          </w:p>
        </w:tc>
        <w:tc>
          <w:tcPr>
            <w:tcW w:w="2328" w:type="pct"/>
          </w:tcPr>
          <w:p w:rsidR="00260042" w:rsidRDefault="00260042" w:rsidP="00AA635B">
            <w:pPr>
              <w:pStyle w:val="BodyText"/>
            </w:pPr>
            <w:r>
              <w:t>Achievement of digital service level standards: interactions completed through digital channels</w:t>
            </w:r>
          </w:p>
        </w:tc>
        <w:tc>
          <w:tcPr>
            <w:tcW w:w="802" w:type="pct"/>
          </w:tcPr>
          <w:p w:rsidR="00260042" w:rsidRDefault="00260042" w:rsidP="00AA635B">
            <w:pPr>
              <w:pStyle w:val="BodyText"/>
            </w:pPr>
            <w:r>
              <w:t>≥5% increase</w:t>
            </w:r>
          </w:p>
        </w:tc>
        <w:tc>
          <w:tcPr>
            <w:tcW w:w="852" w:type="pct"/>
          </w:tcPr>
          <w:p w:rsidR="00260042" w:rsidRDefault="00260042" w:rsidP="00AA635B">
            <w:pPr>
              <w:pStyle w:val="BodyText"/>
            </w:pPr>
            <w:r>
              <w:t xml:space="preserve">8.7% increase </w:t>
            </w:r>
          </w:p>
        </w:tc>
        <w:tc>
          <w:tcPr>
            <w:tcW w:w="751" w:type="pct"/>
          </w:tcPr>
          <w:p w:rsidR="00260042" w:rsidRDefault="00260042" w:rsidP="00AA635B">
            <w:pPr>
              <w:pStyle w:val="BodyText"/>
            </w:pPr>
            <w:r>
              <w:rPr>
                <w:rStyle w:val="Bulletcolour"/>
                <w:rFonts w:ascii="Wingdings" w:hAnsi="Wingdings" w:cs="Wingdings"/>
              </w:rPr>
              <w:t></w:t>
            </w:r>
          </w:p>
        </w:tc>
      </w:tr>
      <w:tr w:rsidR="00260042" w:rsidTr="00AA635B">
        <w:trPr>
          <w:trHeight w:val="60"/>
        </w:trPr>
        <w:tc>
          <w:tcPr>
            <w:tcW w:w="267" w:type="pct"/>
          </w:tcPr>
          <w:p w:rsidR="00260042" w:rsidRDefault="00260042" w:rsidP="00AA635B">
            <w:pPr>
              <w:pStyle w:val="BodyText"/>
            </w:pPr>
            <w:r>
              <w:t>9.</w:t>
            </w:r>
          </w:p>
        </w:tc>
        <w:tc>
          <w:tcPr>
            <w:tcW w:w="2328" w:type="pct"/>
          </w:tcPr>
          <w:p w:rsidR="00260042" w:rsidRDefault="00260042" w:rsidP="00AA635B">
            <w:pPr>
              <w:pStyle w:val="BodyText"/>
            </w:pPr>
            <w:r>
              <w:rPr>
                <w:spacing w:val="-2"/>
              </w:rPr>
              <w:t>Achievement of digital service level standards: availability of ICT services excluding scheduled maintenance periods that support 24/7 customer access</w:t>
            </w:r>
          </w:p>
        </w:tc>
        <w:tc>
          <w:tcPr>
            <w:tcW w:w="802" w:type="pct"/>
          </w:tcPr>
          <w:p w:rsidR="00260042" w:rsidRDefault="00260042" w:rsidP="00AA635B">
            <w:pPr>
              <w:pStyle w:val="BodyText"/>
            </w:pPr>
            <w:r>
              <w:t>≥98%</w:t>
            </w:r>
          </w:p>
        </w:tc>
        <w:tc>
          <w:tcPr>
            <w:tcW w:w="852" w:type="pct"/>
          </w:tcPr>
          <w:p w:rsidR="00260042" w:rsidRDefault="00260042" w:rsidP="00AA635B">
            <w:pPr>
              <w:pStyle w:val="BodyText"/>
            </w:pPr>
            <w:r>
              <w:t>99.2%</w:t>
            </w:r>
          </w:p>
        </w:tc>
        <w:tc>
          <w:tcPr>
            <w:tcW w:w="751" w:type="pct"/>
          </w:tcPr>
          <w:p w:rsidR="00260042" w:rsidRDefault="00260042" w:rsidP="00AA635B">
            <w:pPr>
              <w:pStyle w:val="BodyText"/>
            </w:pPr>
            <w:r>
              <w:rPr>
                <w:rStyle w:val="Bulletcolour"/>
                <w:rFonts w:ascii="Wingdings" w:hAnsi="Wingdings" w:cs="Wingdings"/>
              </w:rPr>
              <w:t></w:t>
            </w:r>
          </w:p>
        </w:tc>
      </w:tr>
    </w:tbl>
    <w:p w:rsidR="00260042" w:rsidRPr="00AA635B" w:rsidRDefault="00260042" w:rsidP="00AA635B">
      <w:pPr>
        <w:pStyle w:val="BodyText"/>
      </w:pPr>
      <w:r w:rsidRPr="00AA635B">
        <w:t xml:space="preserve">The agency achieved </w:t>
      </w:r>
      <w:proofErr w:type="gramStart"/>
      <w:r w:rsidRPr="00AA635B">
        <w:t>8</w:t>
      </w:r>
      <w:proofErr w:type="gramEnd"/>
      <w:r w:rsidRPr="00AA635B">
        <w:t xml:space="preserve"> of 9 Social Security and Welfare (SSW) performance measures in 2020–21, in comparison to 7 of 10 in 2019–20, noting there was no set target for the now removed Trust performance measure last year.</w:t>
      </w:r>
    </w:p>
    <w:p w:rsidR="00260042" w:rsidRPr="00AA635B" w:rsidRDefault="00260042" w:rsidP="00AA635B">
      <w:pPr>
        <w:pStyle w:val="BodyText"/>
      </w:pPr>
      <w:r w:rsidRPr="00AA635B">
        <w:t xml:space="preserve">Following on from 2019–20, the agency experienced an ongoing increase in demand for services, in response to natural disasters and the COVID-19 pandemic. The SSW Program achieved record performance results in the majority of measures, which </w:t>
      </w:r>
      <w:proofErr w:type="gramStart"/>
      <w:r w:rsidRPr="00AA635B">
        <w:t>is attributed</w:t>
      </w:r>
      <w:proofErr w:type="gramEnd"/>
      <w:r w:rsidRPr="00AA635B">
        <w:t xml:space="preserve"> to our ability to quickly adjust our workforce, processes and technology to meet surge demand. Under this </w:t>
      </w:r>
      <w:proofErr w:type="gramStart"/>
      <w:r w:rsidRPr="00AA635B">
        <w:t>program</w:t>
      </w:r>
      <w:proofErr w:type="gramEnd"/>
      <w:r w:rsidRPr="00AA635B">
        <w:t xml:space="preserve"> around 500,000 more claims were processed, and 1.6 million more calls answered compared to the previous year, while maintaining a record result for delivering correct customer payments.</w:t>
      </w:r>
    </w:p>
    <w:p w:rsidR="00260042" w:rsidRPr="00AA635B" w:rsidRDefault="00260042" w:rsidP="00AA635B">
      <w:pPr>
        <w:pStyle w:val="BodyText"/>
      </w:pPr>
      <w:r w:rsidRPr="00AA635B">
        <w:t>Overall, the 2020–21 performance measure results for the SSW Program demonstrates that the agency achieved its purpose to support Australians by efficiently delivering high quality, accessible services and payments on behalf of government.</w:t>
      </w:r>
    </w:p>
    <w:p w:rsidR="00260042" w:rsidRDefault="00260042" w:rsidP="00AA635B">
      <w:pPr>
        <w:pStyle w:val="Heading3"/>
      </w:pPr>
      <w:r>
        <w:t>Performance measure 1 — Customer satisfaction: achievement of customer satisfaction standards</w:t>
      </w:r>
    </w:p>
    <w:p w:rsidR="00260042" w:rsidRDefault="00260042" w:rsidP="00AA635B">
      <w:pPr>
        <w:pStyle w:val="Heading4"/>
      </w:pPr>
      <w:r>
        <w:rPr>
          <w:rStyle w:val="Bold"/>
          <w:caps/>
        </w:rPr>
        <w:t>Results</w:t>
      </w:r>
    </w:p>
    <w:tbl>
      <w:tblPr>
        <w:tblStyle w:val="TableGrid"/>
        <w:tblW w:w="5000" w:type="pct"/>
        <w:tblLook w:val="0000" w:firstRow="0" w:lastRow="0" w:firstColumn="0" w:lastColumn="0" w:noHBand="0" w:noVBand="0"/>
        <w:tblCaption w:val="Performance measure 1 — Customer satisfaction: achievement of customer satisfaction standards"/>
      </w:tblPr>
      <w:tblGrid>
        <w:gridCol w:w="1813"/>
        <w:gridCol w:w="2471"/>
        <w:gridCol w:w="1675"/>
        <w:gridCol w:w="1685"/>
        <w:gridCol w:w="3146"/>
      </w:tblGrid>
      <w:tr w:rsidR="00260042" w:rsidTr="00AA635B">
        <w:trPr>
          <w:trHeight w:val="376"/>
          <w:tblHeader/>
        </w:trPr>
        <w:tc>
          <w:tcPr>
            <w:tcW w:w="840" w:type="pct"/>
          </w:tcPr>
          <w:p w:rsidR="00260042" w:rsidRPr="00AA635B" w:rsidRDefault="00260042" w:rsidP="00AA635B">
            <w:pPr>
              <w:pStyle w:val="BodyText"/>
              <w:rPr>
                <w:b/>
              </w:rPr>
            </w:pPr>
            <w:r w:rsidRPr="00AA635B">
              <w:rPr>
                <w:b/>
              </w:rPr>
              <w:t>Year</w:t>
            </w:r>
          </w:p>
        </w:tc>
        <w:tc>
          <w:tcPr>
            <w:tcW w:w="1145" w:type="pct"/>
          </w:tcPr>
          <w:p w:rsidR="00260042" w:rsidRPr="00AA635B" w:rsidRDefault="00260042" w:rsidP="00AA635B">
            <w:pPr>
              <w:pStyle w:val="BodyText"/>
              <w:rPr>
                <w:b/>
              </w:rPr>
            </w:pPr>
            <w:r w:rsidRPr="00AA635B">
              <w:rPr>
                <w:b/>
              </w:rPr>
              <w:t>Target</w:t>
            </w:r>
          </w:p>
        </w:tc>
        <w:tc>
          <w:tcPr>
            <w:tcW w:w="776" w:type="pct"/>
          </w:tcPr>
          <w:p w:rsidR="00260042" w:rsidRPr="00AA635B" w:rsidRDefault="00260042" w:rsidP="00AA635B">
            <w:pPr>
              <w:pStyle w:val="BodyText"/>
              <w:rPr>
                <w:b/>
              </w:rPr>
            </w:pPr>
            <w:r w:rsidRPr="00AA635B">
              <w:rPr>
                <w:b/>
              </w:rPr>
              <w:t>Result</w:t>
            </w:r>
          </w:p>
        </w:tc>
        <w:tc>
          <w:tcPr>
            <w:tcW w:w="781" w:type="pct"/>
          </w:tcPr>
          <w:p w:rsidR="00260042" w:rsidRPr="00AA635B" w:rsidRDefault="00260042" w:rsidP="00AA635B">
            <w:pPr>
              <w:pStyle w:val="BodyText"/>
              <w:rPr>
                <w:b/>
              </w:rPr>
            </w:pPr>
            <w:r w:rsidRPr="00AA635B">
              <w:rPr>
                <w:b/>
              </w:rPr>
              <w:t>Achieved</w:t>
            </w:r>
          </w:p>
        </w:tc>
        <w:tc>
          <w:tcPr>
            <w:tcW w:w="1458" w:type="pct"/>
          </w:tcPr>
          <w:p w:rsidR="00260042" w:rsidRPr="00AA635B" w:rsidRDefault="00260042" w:rsidP="00AA635B">
            <w:pPr>
              <w:pStyle w:val="BodyText"/>
              <w:rPr>
                <w:b/>
              </w:rPr>
            </w:pPr>
            <w:r w:rsidRPr="00AA635B">
              <w:rPr>
                <w:b/>
              </w:rPr>
              <w:t>Change on previous year +/–</w:t>
            </w:r>
          </w:p>
        </w:tc>
      </w:tr>
      <w:tr w:rsidR="00260042" w:rsidTr="00AA635B">
        <w:trPr>
          <w:trHeight w:val="376"/>
        </w:trPr>
        <w:tc>
          <w:tcPr>
            <w:tcW w:w="840" w:type="pct"/>
          </w:tcPr>
          <w:p w:rsidR="00260042" w:rsidRDefault="00260042" w:rsidP="00AA635B">
            <w:pPr>
              <w:pStyle w:val="BodyText"/>
            </w:pPr>
            <w:r>
              <w:t>2020–21</w:t>
            </w:r>
          </w:p>
        </w:tc>
        <w:tc>
          <w:tcPr>
            <w:tcW w:w="1145" w:type="pct"/>
          </w:tcPr>
          <w:p w:rsidR="00260042" w:rsidRDefault="00260042" w:rsidP="00AA635B">
            <w:pPr>
              <w:pStyle w:val="BodyText"/>
            </w:pPr>
            <w:r>
              <w:t>≥85 out of 100</w:t>
            </w:r>
          </w:p>
        </w:tc>
        <w:tc>
          <w:tcPr>
            <w:tcW w:w="776" w:type="pct"/>
          </w:tcPr>
          <w:p w:rsidR="00260042" w:rsidRDefault="00260042" w:rsidP="00AA635B">
            <w:pPr>
              <w:pStyle w:val="BodyText"/>
            </w:pPr>
            <w:r>
              <w:t>82.6</w:t>
            </w:r>
          </w:p>
        </w:tc>
        <w:tc>
          <w:tcPr>
            <w:tcW w:w="781" w:type="pct"/>
          </w:tcPr>
          <w:p w:rsidR="00260042" w:rsidRDefault="00260042" w:rsidP="00AA635B">
            <w:pPr>
              <w:pStyle w:val="BodyText"/>
            </w:pPr>
            <w:r>
              <w:rPr>
                <w:rStyle w:val="Bulletcolour"/>
                <w:rFonts w:ascii="Wingdings" w:hAnsi="Wingdings" w:cs="Wingdings"/>
              </w:rPr>
              <w:t></w:t>
            </w:r>
          </w:p>
        </w:tc>
        <w:tc>
          <w:tcPr>
            <w:tcW w:w="1458" w:type="pct"/>
          </w:tcPr>
          <w:p w:rsidR="00260042" w:rsidRDefault="00260042" w:rsidP="00AA635B">
            <w:pPr>
              <w:pStyle w:val="BodyText"/>
            </w:pPr>
            <w:r>
              <w:t>+3.1</w:t>
            </w:r>
          </w:p>
        </w:tc>
      </w:tr>
      <w:tr w:rsidR="00260042" w:rsidTr="00AA635B">
        <w:trPr>
          <w:trHeight w:val="376"/>
        </w:trPr>
        <w:tc>
          <w:tcPr>
            <w:tcW w:w="840" w:type="pct"/>
          </w:tcPr>
          <w:p w:rsidR="00260042" w:rsidRDefault="00260042" w:rsidP="00AA635B">
            <w:pPr>
              <w:pStyle w:val="BodyText"/>
            </w:pPr>
            <w:r>
              <w:t>2019–20</w:t>
            </w:r>
          </w:p>
        </w:tc>
        <w:tc>
          <w:tcPr>
            <w:tcW w:w="1145" w:type="pct"/>
          </w:tcPr>
          <w:p w:rsidR="00260042" w:rsidRDefault="00260042" w:rsidP="00AA635B">
            <w:pPr>
              <w:pStyle w:val="BodyText"/>
            </w:pPr>
            <w:r>
              <w:t>≥85 out of 100</w:t>
            </w:r>
          </w:p>
        </w:tc>
        <w:tc>
          <w:tcPr>
            <w:tcW w:w="776" w:type="pct"/>
          </w:tcPr>
          <w:p w:rsidR="00260042" w:rsidRDefault="00260042" w:rsidP="00AA635B">
            <w:pPr>
              <w:pStyle w:val="BodyText"/>
            </w:pPr>
            <w:r>
              <w:t>79.5</w:t>
            </w:r>
          </w:p>
        </w:tc>
        <w:tc>
          <w:tcPr>
            <w:tcW w:w="781" w:type="pct"/>
          </w:tcPr>
          <w:p w:rsidR="00260042" w:rsidRDefault="00260042" w:rsidP="00AA635B">
            <w:pPr>
              <w:pStyle w:val="BodyText"/>
            </w:pPr>
            <w:r>
              <w:rPr>
                <w:rStyle w:val="Bulletcolour"/>
                <w:rFonts w:ascii="Wingdings" w:hAnsi="Wingdings" w:cs="Wingdings"/>
              </w:rPr>
              <w:t></w:t>
            </w:r>
          </w:p>
        </w:tc>
        <w:tc>
          <w:tcPr>
            <w:tcW w:w="1458" w:type="pct"/>
          </w:tcPr>
          <w:p w:rsidR="00260042" w:rsidRDefault="00260042" w:rsidP="00AA635B">
            <w:pPr>
              <w:pStyle w:val="BodyText"/>
            </w:pPr>
            <w:r>
              <w:t>+2.8</w:t>
            </w:r>
          </w:p>
        </w:tc>
      </w:tr>
      <w:tr w:rsidR="00260042" w:rsidTr="00AA635B">
        <w:trPr>
          <w:trHeight w:val="376"/>
        </w:trPr>
        <w:tc>
          <w:tcPr>
            <w:tcW w:w="840" w:type="pct"/>
          </w:tcPr>
          <w:p w:rsidR="00260042" w:rsidRDefault="00260042" w:rsidP="00AA635B">
            <w:pPr>
              <w:pStyle w:val="BodyText"/>
            </w:pPr>
            <w:r>
              <w:t>2018–19</w:t>
            </w:r>
          </w:p>
        </w:tc>
        <w:tc>
          <w:tcPr>
            <w:tcW w:w="1145" w:type="pct"/>
          </w:tcPr>
          <w:p w:rsidR="00260042" w:rsidRDefault="00260042" w:rsidP="00AA635B">
            <w:pPr>
              <w:pStyle w:val="BodyText"/>
            </w:pPr>
            <w:r>
              <w:t>≥85 out of 100</w:t>
            </w:r>
          </w:p>
        </w:tc>
        <w:tc>
          <w:tcPr>
            <w:tcW w:w="776" w:type="pct"/>
          </w:tcPr>
          <w:p w:rsidR="00260042" w:rsidRDefault="00260042" w:rsidP="00AA635B">
            <w:pPr>
              <w:pStyle w:val="BodyText"/>
            </w:pPr>
            <w:r>
              <w:t xml:space="preserve">76.7 </w:t>
            </w:r>
          </w:p>
        </w:tc>
        <w:tc>
          <w:tcPr>
            <w:tcW w:w="781" w:type="pct"/>
          </w:tcPr>
          <w:p w:rsidR="00260042" w:rsidRDefault="00260042" w:rsidP="00AA635B">
            <w:pPr>
              <w:pStyle w:val="BodyText"/>
            </w:pPr>
            <w:r>
              <w:rPr>
                <w:rStyle w:val="Bulletcolour"/>
                <w:rFonts w:ascii="Wingdings" w:hAnsi="Wingdings" w:cs="Wingdings"/>
              </w:rPr>
              <w:t></w:t>
            </w:r>
          </w:p>
        </w:tc>
        <w:tc>
          <w:tcPr>
            <w:tcW w:w="1458" w:type="pct"/>
          </w:tcPr>
          <w:p w:rsidR="00260042" w:rsidRDefault="00260042" w:rsidP="00AA635B">
            <w:pPr>
              <w:pStyle w:val="BodyText"/>
            </w:pPr>
            <w:r>
              <w:t>NA</w:t>
            </w:r>
            <w:r>
              <w:rPr>
                <w:vertAlign w:val="superscript"/>
              </w:rPr>
              <w:t>(a)</w:t>
            </w:r>
          </w:p>
        </w:tc>
      </w:tr>
    </w:tbl>
    <w:p w:rsidR="00260042" w:rsidRDefault="00260042" w:rsidP="00EA5510">
      <w:pPr>
        <w:pStyle w:val="BodyText"/>
      </w:pPr>
      <w:r>
        <w:t>(a)</w:t>
      </w:r>
      <w:r>
        <w:tab/>
        <w:t xml:space="preserve">Due to a change in how the measure </w:t>
      </w:r>
      <w:proofErr w:type="gramStart"/>
      <w:r>
        <w:t>is calculated</w:t>
      </w:r>
      <w:proofErr w:type="gramEnd"/>
      <w:r>
        <w:t>, the results for 2018–19 are not directly comparable with the previous year.</w:t>
      </w:r>
    </w:p>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Although the agency did not achieve the annual target, the customer satisfaction survey results reflect consistent improvement across the three financial years, showing a </w:t>
      </w:r>
      <w:proofErr w:type="gramStart"/>
      <w:r>
        <w:t>3.1 point</w:t>
      </w:r>
      <w:proofErr w:type="gramEnd"/>
      <w:r>
        <w:t xml:space="preserve"> increase from the 2019–20 result. </w:t>
      </w:r>
    </w:p>
    <w:p w:rsidR="00260042" w:rsidRDefault="00260042" w:rsidP="00260042">
      <w:pPr>
        <w:pStyle w:val="BodyText"/>
        <w:spacing w:after="57"/>
      </w:pPr>
      <w:r>
        <w:lastRenderedPageBreak/>
        <w:t xml:space="preserve">The result was driven by a multi-driver model (see the six satisfaction drivers on page </w:t>
      </w:r>
      <w:r w:rsidR="007764E8">
        <w:t>95</w:t>
      </w:r>
      <w:r>
        <w:t>), derived from customer survey responses from telephony, face-to-face, online and mobile application channels through an external provider survey.</w:t>
      </w:r>
    </w:p>
    <w:p w:rsidR="00260042" w:rsidRDefault="00260042" w:rsidP="008930A3">
      <w:pPr>
        <w:pStyle w:val="ListBullet"/>
      </w:pPr>
      <w:r>
        <w:t xml:space="preserve">telephony: 84.6 </w:t>
      </w:r>
    </w:p>
    <w:p w:rsidR="00260042" w:rsidRDefault="00260042" w:rsidP="008930A3">
      <w:pPr>
        <w:pStyle w:val="ListBullet"/>
      </w:pPr>
      <w:r>
        <w:t>face-to-face: 88.7</w:t>
      </w:r>
    </w:p>
    <w:p w:rsidR="00260042" w:rsidRDefault="00260042" w:rsidP="008930A3">
      <w:pPr>
        <w:pStyle w:val="ListBullet"/>
      </w:pPr>
      <w:r>
        <w:t>online: 75.4</w:t>
      </w:r>
    </w:p>
    <w:p w:rsidR="00260042" w:rsidRDefault="00260042" w:rsidP="00EA5510">
      <w:pPr>
        <w:pStyle w:val="ListBullet"/>
      </w:pPr>
      <w:proofErr w:type="gramStart"/>
      <w:r>
        <w:t>mobile</w:t>
      </w:r>
      <w:proofErr w:type="gramEnd"/>
      <w:r>
        <w:t xml:space="preserve"> applications: 87.9.</w:t>
      </w:r>
    </w:p>
    <w:p w:rsidR="00260042" w:rsidRDefault="00260042" w:rsidP="00260042">
      <w:pPr>
        <w:pStyle w:val="BodyText"/>
      </w:pPr>
      <w:r>
        <w:t>The results from the face-to-face and mobile application channels exceeded the target, driven by the agency’s ongoing focus on improving claim processing timeliness and making access to services simpler and faster for Australians through modernising our services across all channels.</w:t>
      </w:r>
    </w:p>
    <w:p w:rsidR="00260042" w:rsidRDefault="00260042" w:rsidP="00260042">
      <w:pPr>
        <w:pStyle w:val="BodyText"/>
      </w:pPr>
      <w:r>
        <w:t xml:space="preserve">While the result falls short of the target across telephony and online channels, a range of activities undertaken </w:t>
      </w:r>
      <w:proofErr w:type="gramStart"/>
      <w:r>
        <w:t>were aimed</w:t>
      </w:r>
      <w:proofErr w:type="gramEnd"/>
      <w:r>
        <w:t xml:space="preserve"> at reducing customer effort and improving customer experience. </w:t>
      </w:r>
    </w:p>
    <w:p w:rsidR="00260042" w:rsidRDefault="00260042" w:rsidP="008930A3">
      <w:pPr>
        <w:pStyle w:val="ListBullet"/>
      </w:pPr>
      <w:r>
        <w:t>The overall result for telephony has been on a downward trend since November 2020, with the main driver being time to receive service. The agency has continued to make strong progress to improve and modernise our telephony operations including the use of voice biometrics across our Centrelink business lines.</w:t>
      </w:r>
    </w:p>
    <w:p w:rsidR="00260042" w:rsidRDefault="00260042" w:rsidP="008930A3">
      <w:pPr>
        <w:pStyle w:val="ListBullet"/>
      </w:pPr>
      <w:r>
        <w:t>Although online was the lowest performing channel in 2020–21, satisfaction amongst online customers has increased from the previous financial year’s result (70.3).</w:t>
      </w:r>
    </w:p>
    <w:p w:rsidR="00260042" w:rsidRDefault="00260042" w:rsidP="008930A3">
      <w:pPr>
        <w:pStyle w:val="ListBullet"/>
      </w:pPr>
      <w:r>
        <w:t xml:space="preserve">In line with industry results, generally it is </w:t>
      </w:r>
      <w:proofErr w:type="gramStart"/>
      <w:r>
        <w:t>not unexpected</w:t>
      </w:r>
      <w:proofErr w:type="gramEnd"/>
      <w:r>
        <w:t xml:space="preserve"> for online satisfaction to be lower than for other channels. This is due in part to the lack of established relationship and uncertainty around outcome. Furthermore, online </w:t>
      </w:r>
      <w:proofErr w:type="gramStart"/>
      <w:r>
        <w:t>is used</w:t>
      </w:r>
      <w:proofErr w:type="gramEnd"/>
      <w:r>
        <w:t xml:space="preserve"> typically for more complex services than mobile applications, which impacts customer perception of the time and effort required, reducing overall satisfaction. </w:t>
      </w:r>
    </w:p>
    <w:p w:rsidR="00260042" w:rsidRDefault="00260042" w:rsidP="008930A3">
      <w:pPr>
        <w:pStyle w:val="ListBullet"/>
      </w:pPr>
      <w:r>
        <w:t xml:space="preserve">The agency is developing a digital plan, which will outline the key areas of focus to improve the digital experience for customers. The plan will work to enhance digital services to make it easier for customers to access and complete a range of services online including: </w:t>
      </w:r>
    </w:p>
    <w:p w:rsidR="00260042" w:rsidRDefault="00260042" w:rsidP="00260042">
      <w:pPr>
        <w:pStyle w:val="Bullet2"/>
      </w:pPr>
      <w:proofErr w:type="gramStart"/>
      <w:r>
        <w:t>simplified</w:t>
      </w:r>
      <w:proofErr w:type="gramEnd"/>
      <w:r>
        <w:t xml:space="preserve"> income reporting to make declaring income easier for customers and reducing the chance of overpayment</w:t>
      </w:r>
    </w:p>
    <w:p w:rsidR="00260042" w:rsidRDefault="00260042" w:rsidP="00260042">
      <w:pPr>
        <w:pStyle w:val="Bullet2"/>
        <w:spacing w:after="170"/>
      </w:pPr>
      <w:proofErr w:type="gramStart"/>
      <w:r>
        <w:t>digital</w:t>
      </w:r>
      <w:proofErr w:type="gramEnd"/>
      <w:r>
        <w:t xml:space="preserve"> identity in </w:t>
      </w:r>
      <w:proofErr w:type="spellStart"/>
      <w:r>
        <w:t>myGov</w:t>
      </w:r>
      <w:proofErr w:type="spellEnd"/>
      <w:r>
        <w:t xml:space="preserve"> and fast-tracked online claim processing.</w:t>
      </w:r>
    </w:p>
    <w:p w:rsidR="00260042" w:rsidRDefault="00260042" w:rsidP="00260042">
      <w:pPr>
        <w:pStyle w:val="BodyText"/>
      </w:pPr>
      <w:r>
        <w:t>For more information on Service delivery modernisation, see page 10.</w:t>
      </w:r>
    </w:p>
    <w:p w:rsidR="00260042" w:rsidRDefault="00260042" w:rsidP="00260042">
      <w:pPr>
        <w:pStyle w:val="BodyText"/>
        <w:spacing w:after="57"/>
      </w:pPr>
      <w:r>
        <w:t>The table below compares the satisfaction drivers across three financial years.</w:t>
      </w:r>
    </w:p>
    <w:tbl>
      <w:tblPr>
        <w:tblStyle w:val="TableGrid"/>
        <w:tblW w:w="5000" w:type="pct"/>
        <w:tblLook w:val="0000" w:firstRow="0" w:lastRow="0" w:firstColumn="0" w:lastColumn="0" w:noHBand="0" w:noVBand="0"/>
        <w:tblCaption w:val="satisfaction drivers across three financial years"/>
      </w:tblPr>
      <w:tblGrid>
        <w:gridCol w:w="4611"/>
        <w:gridCol w:w="2059"/>
        <w:gridCol w:w="2059"/>
        <w:gridCol w:w="2061"/>
      </w:tblGrid>
      <w:tr w:rsidR="00260042" w:rsidTr="0097713E">
        <w:trPr>
          <w:trHeight w:val="376"/>
          <w:tblHeader/>
        </w:trPr>
        <w:tc>
          <w:tcPr>
            <w:tcW w:w="2137" w:type="pct"/>
          </w:tcPr>
          <w:p w:rsidR="00260042" w:rsidRDefault="00260042" w:rsidP="00AA635B">
            <w:pPr>
              <w:pStyle w:val="BodyText"/>
            </w:pPr>
            <w:r>
              <w:rPr>
                <w:rStyle w:val="Bold"/>
              </w:rPr>
              <w:t>Satisfaction drivers</w:t>
            </w:r>
          </w:p>
        </w:tc>
        <w:tc>
          <w:tcPr>
            <w:tcW w:w="954" w:type="pct"/>
          </w:tcPr>
          <w:p w:rsidR="00260042" w:rsidRDefault="00260042" w:rsidP="00AA635B">
            <w:pPr>
              <w:pStyle w:val="BodyText"/>
              <w:jc w:val="right"/>
            </w:pPr>
            <w:r>
              <w:rPr>
                <w:rStyle w:val="Bold"/>
              </w:rPr>
              <w:t>2018–19</w:t>
            </w:r>
          </w:p>
        </w:tc>
        <w:tc>
          <w:tcPr>
            <w:tcW w:w="954" w:type="pct"/>
          </w:tcPr>
          <w:p w:rsidR="00260042" w:rsidRDefault="00260042" w:rsidP="00AA635B">
            <w:pPr>
              <w:pStyle w:val="BodyText"/>
              <w:jc w:val="right"/>
            </w:pPr>
            <w:r>
              <w:rPr>
                <w:rStyle w:val="Bold"/>
              </w:rPr>
              <w:t>2019–20</w:t>
            </w:r>
          </w:p>
        </w:tc>
        <w:tc>
          <w:tcPr>
            <w:tcW w:w="955" w:type="pct"/>
          </w:tcPr>
          <w:p w:rsidR="00260042" w:rsidRDefault="00260042" w:rsidP="00AA635B">
            <w:pPr>
              <w:pStyle w:val="BodyText"/>
              <w:jc w:val="right"/>
            </w:pPr>
            <w:r>
              <w:rPr>
                <w:rStyle w:val="Bold"/>
              </w:rPr>
              <w:t>2020–21</w:t>
            </w:r>
          </w:p>
        </w:tc>
      </w:tr>
      <w:tr w:rsidR="00260042" w:rsidTr="00AA635B">
        <w:trPr>
          <w:trHeight w:val="397"/>
        </w:trPr>
        <w:tc>
          <w:tcPr>
            <w:tcW w:w="2137" w:type="pct"/>
          </w:tcPr>
          <w:p w:rsidR="00260042" w:rsidRDefault="00260042" w:rsidP="00AA635B">
            <w:pPr>
              <w:pStyle w:val="BodyText"/>
            </w:pPr>
            <w:r>
              <w:t>Perceived quality</w:t>
            </w:r>
          </w:p>
        </w:tc>
        <w:tc>
          <w:tcPr>
            <w:tcW w:w="954" w:type="pct"/>
          </w:tcPr>
          <w:p w:rsidR="00260042" w:rsidRDefault="00260042" w:rsidP="00AA635B">
            <w:pPr>
              <w:pStyle w:val="BodyText"/>
              <w:jc w:val="right"/>
            </w:pPr>
            <w:r>
              <w:t>76.0</w:t>
            </w:r>
          </w:p>
        </w:tc>
        <w:tc>
          <w:tcPr>
            <w:tcW w:w="954" w:type="pct"/>
          </w:tcPr>
          <w:p w:rsidR="00260042" w:rsidRDefault="00260042" w:rsidP="00AA635B">
            <w:pPr>
              <w:pStyle w:val="BodyText"/>
              <w:jc w:val="right"/>
            </w:pPr>
            <w:r>
              <w:t>79.6</w:t>
            </w:r>
          </w:p>
        </w:tc>
        <w:tc>
          <w:tcPr>
            <w:tcW w:w="955" w:type="pct"/>
          </w:tcPr>
          <w:p w:rsidR="00260042" w:rsidRDefault="00260042" w:rsidP="00AA635B">
            <w:pPr>
              <w:pStyle w:val="BodyText"/>
              <w:jc w:val="right"/>
            </w:pPr>
            <w:r>
              <w:t>82.0</w:t>
            </w:r>
          </w:p>
        </w:tc>
      </w:tr>
      <w:tr w:rsidR="00260042" w:rsidTr="00AA635B">
        <w:trPr>
          <w:trHeight w:val="376"/>
        </w:trPr>
        <w:tc>
          <w:tcPr>
            <w:tcW w:w="2137" w:type="pct"/>
          </w:tcPr>
          <w:p w:rsidR="00260042" w:rsidRDefault="00260042" w:rsidP="00AA635B">
            <w:pPr>
              <w:pStyle w:val="BodyText"/>
            </w:pPr>
            <w:r>
              <w:t>Personalised service</w:t>
            </w:r>
          </w:p>
        </w:tc>
        <w:tc>
          <w:tcPr>
            <w:tcW w:w="954" w:type="pct"/>
          </w:tcPr>
          <w:p w:rsidR="00260042" w:rsidRDefault="00260042" w:rsidP="00AA635B">
            <w:pPr>
              <w:pStyle w:val="BodyText"/>
              <w:jc w:val="right"/>
            </w:pPr>
            <w:r>
              <w:t>82.2</w:t>
            </w:r>
          </w:p>
        </w:tc>
        <w:tc>
          <w:tcPr>
            <w:tcW w:w="954" w:type="pct"/>
          </w:tcPr>
          <w:p w:rsidR="00260042" w:rsidRDefault="00260042" w:rsidP="00AA635B">
            <w:pPr>
              <w:pStyle w:val="BodyText"/>
              <w:jc w:val="right"/>
            </w:pPr>
            <w:r>
              <w:t>85.9</w:t>
            </w:r>
          </w:p>
        </w:tc>
        <w:tc>
          <w:tcPr>
            <w:tcW w:w="955" w:type="pct"/>
          </w:tcPr>
          <w:p w:rsidR="00260042" w:rsidRDefault="00260042" w:rsidP="00AA635B">
            <w:pPr>
              <w:pStyle w:val="BodyText"/>
              <w:jc w:val="right"/>
            </w:pPr>
            <w:r>
              <w:t>88.5</w:t>
            </w:r>
          </w:p>
        </w:tc>
      </w:tr>
      <w:tr w:rsidR="00260042" w:rsidTr="00AA635B">
        <w:trPr>
          <w:trHeight w:val="376"/>
        </w:trPr>
        <w:tc>
          <w:tcPr>
            <w:tcW w:w="2137" w:type="pct"/>
          </w:tcPr>
          <w:p w:rsidR="00260042" w:rsidRDefault="00260042" w:rsidP="00AA635B">
            <w:pPr>
              <w:pStyle w:val="BodyText"/>
            </w:pPr>
            <w:r>
              <w:t>Communication</w:t>
            </w:r>
          </w:p>
        </w:tc>
        <w:tc>
          <w:tcPr>
            <w:tcW w:w="954" w:type="pct"/>
          </w:tcPr>
          <w:p w:rsidR="00260042" w:rsidRDefault="00260042" w:rsidP="00AA635B">
            <w:pPr>
              <w:pStyle w:val="BodyText"/>
              <w:jc w:val="right"/>
            </w:pPr>
            <w:r>
              <w:t>80.8</w:t>
            </w:r>
          </w:p>
        </w:tc>
        <w:tc>
          <w:tcPr>
            <w:tcW w:w="954" w:type="pct"/>
          </w:tcPr>
          <w:p w:rsidR="00260042" w:rsidRDefault="00260042" w:rsidP="00AA635B">
            <w:pPr>
              <w:pStyle w:val="BodyText"/>
              <w:jc w:val="right"/>
            </w:pPr>
            <w:r>
              <w:t>84.2</w:t>
            </w:r>
          </w:p>
        </w:tc>
        <w:tc>
          <w:tcPr>
            <w:tcW w:w="955" w:type="pct"/>
          </w:tcPr>
          <w:p w:rsidR="00260042" w:rsidRDefault="00260042" w:rsidP="00AA635B">
            <w:pPr>
              <w:pStyle w:val="BodyText"/>
              <w:jc w:val="right"/>
            </w:pPr>
            <w:r>
              <w:t>86.3</w:t>
            </w:r>
          </w:p>
        </w:tc>
      </w:tr>
      <w:tr w:rsidR="00260042" w:rsidTr="00AA635B">
        <w:trPr>
          <w:trHeight w:val="376"/>
        </w:trPr>
        <w:tc>
          <w:tcPr>
            <w:tcW w:w="2137" w:type="pct"/>
          </w:tcPr>
          <w:p w:rsidR="00260042" w:rsidRDefault="00260042" w:rsidP="00AA635B">
            <w:pPr>
              <w:pStyle w:val="BodyText"/>
            </w:pPr>
            <w:r>
              <w:t>Time to receive service</w:t>
            </w:r>
          </w:p>
        </w:tc>
        <w:tc>
          <w:tcPr>
            <w:tcW w:w="954" w:type="pct"/>
          </w:tcPr>
          <w:p w:rsidR="00260042" w:rsidRDefault="00260042" w:rsidP="00AA635B">
            <w:pPr>
              <w:pStyle w:val="BodyText"/>
              <w:jc w:val="right"/>
            </w:pPr>
            <w:r>
              <w:t>68.5</w:t>
            </w:r>
          </w:p>
        </w:tc>
        <w:tc>
          <w:tcPr>
            <w:tcW w:w="954" w:type="pct"/>
          </w:tcPr>
          <w:p w:rsidR="00260042" w:rsidRDefault="00260042" w:rsidP="00AA635B">
            <w:pPr>
              <w:pStyle w:val="BodyText"/>
              <w:jc w:val="right"/>
            </w:pPr>
            <w:r>
              <w:t>71.2</w:t>
            </w:r>
          </w:p>
        </w:tc>
        <w:tc>
          <w:tcPr>
            <w:tcW w:w="955" w:type="pct"/>
          </w:tcPr>
          <w:p w:rsidR="00260042" w:rsidRDefault="00260042" w:rsidP="00AA635B">
            <w:pPr>
              <w:pStyle w:val="BodyText"/>
              <w:jc w:val="right"/>
            </w:pPr>
            <w:r>
              <w:t>79.3</w:t>
            </w:r>
          </w:p>
        </w:tc>
      </w:tr>
      <w:tr w:rsidR="00260042" w:rsidTr="00AA635B">
        <w:trPr>
          <w:trHeight w:val="376"/>
        </w:trPr>
        <w:tc>
          <w:tcPr>
            <w:tcW w:w="2137" w:type="pct"/>
          </w:tcPr>
          <w:p w:rsidR="00260042" w:rsidRDefault="00260042" w:rsidP="00AA635B">
            <w:pPr>
              <w:pStyle w:val="BodyText"/>
            </w:pPr>
            <w:r>
              <w:lastRenderedPageBreak/>
              <w:t>Fair treatment</w:t>
            </w:r>
          </w:p>
        </w:tc>
        <w:tc>
          <w:tcPr>
            <w:tcW w:w="954" w:type="pct"/>
          </w:tcPr>
          <w:p w:rsidR="00260042" w:rsidRDefault="00260042" w:rsidP="00AA635B">
            <w:pPr>
              <w:pStyle w:val="BodyText"/>
              <w:jc w:val="right"/>
            </w:pPr>
            <w:r>
              <w:t>91.7</w:t>
            </w:r>
          </w:p>
        </w:tc>
        <w:tc>
          <w:tcPr>
            <w:tcW w:w="954" w:type="pct"/>
          </w:tcPr>
          <w:p w:rsidR="00260042" w:rsidRDefault="00260042" w:rsidP="00AA635B">
            <w:pPr>
              <w:pStyle w:val="BodyText"/>
              <w:jc w:val="right"/>
            </w:pPr>
            <w:r>
              <w:t>91.3</w:t>
            </w:r>
          </w:p>
        </w:tc>
        <w:tc>
          <w:tcPr>
            <w:tcW w:w="955" w:type="pct"/>
          </w:tcPr>
          <w:p w:rsidR="00260042" w:rsidRDefault="00260042" w:rsidP="00AA635B">
            <w:pPr>
              <w:pStyle w:val="BodyText"/>
              <w:jc w:val="right"/>
            </w:pPr>
            <w:r>
              <w:t>92.6</w:t>
            </w:r>
          </w:p>
        </w:tc>
      </w:tr>
      <w:tr w:rsidR="00260042" w:rsidTr="00AA635B">
        <w:trPr>
          <w:trHeight w:val="376"/>
        </w:trPr>
        <w:tc>
          <w:tcPr>
            <w:tcW w:w="2137" w:type="pct"/>
          </w:tcPr>
          <w:p w:rsidR="00260042" w:rsidRDefault="00260042" w:rsidP="00AA635B">
            <w:pPr>
              <w:pStyle w:val="BodyText"/>
            </w:pPr>
            <w:r>
              <w:t>Effort</w:t>
            </w:r>
          </w:p>
        </w:tc>
        <w:tc>
          <w:tcPr>
            <w:tcW w:w="954" w:type="pct"/>
          </w:tcPr>
          <w:p w:rsidR="00260042" w:rsidRDefault="00260042" w:rsidP="00AA635B">
            <w:pPr>
              <w:pStyle w:val="BodyText"/>
              <w:jc w:val="right"/>
            </w:pPr>
            <w:r>
              <w:t>73.0</w:t>
            </w:r>
          </w:p>
        </w:tc>
        <w:tc>
          <w:tcPr>
            <w:tcW w:w="954" w:type="pct"/>
          </w:tcPr>
          <w:p w:rsidR="00260042" w:rsidRDefault="00260042" w:rsidP="00AA635B">
            <w:pPr>
              <w:pStyle w:val="BodyText"/>
              <w:jc w:val="right"/>
            </w:pPr>
            <w:r>
              <w:t>76.3</w:t>
            </w:r>
          </w:p>
        </w:tc>
        <w:tc>
          <w:tcPr>
            <w:tcW w:w="955" w:type="pct"/>
          </w:tcPr>
          <w:p w:rsidR="00260042" w:rsidRDefault="00260042" w:rsidP="00AA635B">
            <w:pPr>
              <w:pStyle w:val="BodyText"/>
              <w:jc w:val="right"/>
            </w:pPr>
            <w:r>
              <w:t>80.2</w:t>
            </w:r>
          </w:p>
        </w:tc>
      </w:tr>
    </w:tbl>
    <w:p w:rsidR="00260042" w:rsidRDefault="00260042" w:rsidP="00260042">
      <w:pPr>
        <w:pStyle w:val="BodyText"/>
      </w:pPr>
    </w:p>
    <w:p w:rsidR="00260042" w:rsidRDefault="00260042" w:rsidP="00260042">
      <w:pPr>
        <w:pStyle w:val="BodyText"/>
        <w:spacing w:after="0"/>
        <w:rPr>
          <w:rStyle w:val="Bold"/>
        </w:rPr>
      </w:pPr>
      <w:r>
        <w:rPr>
          <w:rStyle w:val="Bold"/>
        </w:rPr>
        <w:t>REFERENCE</w:t>
      </w:r>
      <w:r>
        <w:rPr>
          <w:rStyle w:val="Bold"/>
        </w:rPr>
        <w:tab/>
      </w:r>
    </w:p>
    <w:p w:rsidR="00260042" w:rsidRDefault="00260042" w:rsidP="00260042">
      <w:pPr>
        <w:pStyle w:val="BodyText"/>
      </w:pPr>
      <w:r>
        <w:t>2020–21 Portfolio Budget Statements, page 233</w:t>
      </w:r>
      <w:r>
        <w:br/>
        <w:t>2020–21 Corporate Plan, page 15</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External survey provider</w:t>
      </w:r>
    </w:p>
    <w:p w:rsidR="00260042" w:rsidRDefault="00260042" w:rsidP="00260042">
      <w:pPr>
        <w:pStyle w:val="BodyText"/>
      </w:pPr>
      <w:r>
        <w:t xml:space="preserve">The margin of error is less than </w:t>
      </w:r>
      <w:proofErr w:type="gramStart"/>
      <w:r>
        <w:t>5</w:t>
      </w:r>
      <w:proofErr w:type="gramEnd"/>
      <w:r>
        <w:t xml:space="preserve"> index points.</w:t>
      </w:r>
    </w:p>
    <w:p w:rsidR="00260042" w:rsidRDefault="00260042" w:rsidP="00260042">
      <w:pPr>
        <w:pStyle w:val="BodyText"/>
        <w:spacing w:after="0"/>
        <w:rPr>
          <w:rStyle w:val="Bold"/>
          <w:caps/>
        </w:rPr>
      </w:pPr>
      <w:r>
        <w:rPr>
          <w:rStyle w:val="Bold"/>
          <w:caps/>
        </w:rPr>
        <w:t>Notes and DefinitionS</w:t>
      </w:r>
    </w:p>
    <w:p w:rsidR="00260042" w:rsidRDefault="00260042" w:rsidP="008930A3">
      <w:pPr>
        <w:pStyle w:val="ListBullet"/>
      </w:pPr>
      <w:r>
        <w:t xml:space="preserve">The satisfaction and experience survey is the agency’s primary measurement of customers’ satisfaction with their most recent interaction. </w:t>
      </w:r>
    </w:p>
    <w:p w:rsidR="00260042" w:rsidRDefault="00260042" w:rsidP="008930A3">
      <w:pPr>
        <w:pStyle w:val="ListBullet"/>
      </w:pPr>
      <w:r>
        <w:t xml:space="preserve">The survey </w:t>
      </w:r>
      <w:proofErr w:type="gramStart"/>
      <w:r>
        <w:t>is offered</w:t>
      </w:r>
      <w:proofErr w:type="gramEnd"/>
      <w:r>
        <w:t xml:space="preserve"> in real-time, next business day or weekly depending on the service channel used. </w:t>
      </w:r>
    </w:p>
    <w:p w:rsidR="00260042" w:rsidRDefault="00260042" w:rsidP="00EA5510">
      <w:pPr>
        <w:pStyle w:val="ListBullet"/>
      </w:pPr>
      <w:r>
        <w:t>Surveys are undertaken via automated interactive voice response (post-call survey), online or via outbound interviews conducted by the agency’s external provider.</w:t>
      </w:r>
    </w:p>
    <w:p w:rsidR="00260042" w:rsidRDefault="00260042" w:rsidP="00260042">
      <w:pPr>
        <w:pStyle w:val="Heading5"/>
      </w:pPr>
      <w:r>
        <w:t>Performance measure 2 — Achievement of payment quality standards: Centrelink: delivery of correct customer payments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2 — Achievement of payment quality standards: Centrelink: delivery of correct customer payments"/>
      </w:tblPr>
      <w:tblGrid>
        <w:gridCol w:w="1648"/>
        <w:gridCol w:w="2031"/>
        <w:gridCol w:w="2033"/>
        <w:gridCol w:w="2031"/>
        <w:gridCol w:w="3047"/>
      </w:tblGrid>
      <w:tr w:rsidR="00260042" w:rsidTr="00AB78C1">
        <w:trPr>
          <w:trHeight w:val="376"/>
          <w:tblHeader/>
        </w:trPr>
        <w:tc>
          <w:tcPr>
            <w:tcW w:w="763" w:type="pct"/>
          </w:tcPr>
          <w:p w:rsidR="00260042" w:rsidRPr="00AB78C1" w:rsidRDefault="00260042" w:rsidP="00AB78C1">
            <w:pPr>
              <w:pStyle w:val="BodyText"/>
              <w:rPr>
                <w:b/>
              </w:rPr>
            </w:pPr>
            <w:r w:rsidRPr="00AB78C1">
              <w:rPr>
                <w:b/>
              </w:rPr>
              <w:t>Year</w:t>
            </w:r>
          </w:p>
        </w:tc>
        <w:tc>
          <w:tcPr>
            <w:tcW w:w="941" w:type="pct"/>
          </w:tcPr>
          <w:p w:rsidR="00260042" w:rsidRPr="00AB78C1" w:rsidRDefault="00260042" w:rsidP="00AB78C1">
            <w:pPr>
              <w:pStyle w:val="BodyText"/>
              <w:rPr>
                <w:b/>
              </w:rPr>
            </w:pPr>
            <w:r w:rsidRPr="00AB78C1">
              <w:rPr>
                <w:b/>
              </w:rPr>
              <w:t>Target</w:t>
            </w:r>
          </w:p>
        </w:tc>
        <w:tc>
          <w:tcPr>
            <w:tcW w:w="942" w:type="pct"/>
          </w:tcPr>
          <w:p w:rsidR="00260042" w:rsidRPr="00AB78C1" w:rsidRDefault="00260042" w:rsidP="00AB78C1">
            <w:pPr>
              <w:pStyle w:val="BodyText"/>
              <w:rPr>
                <w:b/>
              </w:rPr>
            </w:pPr>
            <w:r w:rsidRPr="00AB78C1">
              <w:rPr>
                <w:b/>
              </w:rPr>
              <w:t>Result</w:t>
            </w:r>
          </w:p>
        </w:tc>
        <w:tc>
          <w:tcPr>
            <w:tcW w:w="941" w:type="pct"/>
          </w:tcPr>
          <w:p w:rsidR="00260042" w:rsidRPr="00AB78C1" w:rsidRDefault="00260042" w:rsidP="00AB78C1">
            <w:pPr>
              <w:pStyle w:val="BodyText"/>
              <w:rPr>
                <w:b/>
              </w:rPr>
            </w:pPr>
            <w:r w:rsidRPr="00AB78C1">
              <w:rPr>
                <w:b/>
              </w:rPr>
              <w:t>Achieved</w:t>
            </w:r>
          </w:p>
        </w:tc>
        <w:tc>
          <w:tcPr>
            <w:tcW w:w="1412" w:type="pct"/>
          </w:tcPr>
          <w:p w:rsidR="00260042" w:rsidRPr="00AB78C1" w:rsidRDefault="00260042" w:rsidP="00AB78C1">
            <w:pPr>
              <w:pStyle w:val="BodyText"/>
              <w:rPr>
                <w:b/>
              </w:rPr>
            </w:pPr>
            <w:r w:rsidRPr="00AB78C1">
              <w:rPr>
                <w:b/>
              </w:rPr>
              <w:t>Change on previous year +/–</w:t>
            </w:r>
          </w:p>
        </w:tc>
      </w:tr>
      <w:tr w:rsidR="00260042" w:rsidTr="00AB78C1">
        <w:trPr>
          <w:trHeight w:val="376"/>
        </w:trPr>
        <w:tc>
          <w:tcPr>
            <w:tcW w:w="763" w:type="pct"/>
          </w:tcPr>
          <w:p w:rsidR="00260042" w:rsidRDefault="00260042" w:rsidP="00AB78C1">
            <w:pPr>
              <w:pStyle w:val="BodyText"/>
            </w:pPr>
            <w:r>
              <w:t>2020–21</w:t>
            </w:r>
          </w:p>
        </w:tc>
        <w:tc>
          <w:tcPr>
            <w:tcW w:w="941" w:type="pct"/>
          </w:tcPr>
          <w:p w:rsidR="00260042" w:rsidRDefault="00260042" w:rsidP="00AB78C1">
            <w:pPr>
              <w:pStyle w:val="BodyText"/>
            </w:pPr>
            <w:r>
              <w:t>≥95%</w:t>
            </w:r>
          </w:p>
        </w:tc>
        <w:tc>
          <w:tcPr>
            <w:tcW w:w="942" w:type="pct"/>
          </w:tcPr>
          <w:p w:rsidR="00260042" w:rsidRDefault="00260042" w:rsidP="00AB78C1">
            <w:pPr>
              <w:pStyle w:val="BodyText"/>
            </w:pPr>
            <w:r>
              <w:t>98.7%</w:t>
            </w:r>
          </w:p>
        </w:tc>
        <w:tc>
          <w:tcPr>
            <w:tcW w:w="941" w:type="pct"/>
          </w:tcPr>
          <w:p w:rsidR="00260042" w:rsidRDefault="00260042" w:rsidP="00AB78C1">
            <w:pPr>
              <w:pStyle w:val="BodyText"/>
            </w:pPr>
            <w:r>
              <w:rPr>
                <w:rStyle w:val="Bulletcolour"/>
                <w:rFonts w:ascii="Wingdings" w:hAnsi="Wingdings" w:cs="Wingdings"/>
              </w:rPr>
              <w:t></w:t>
            </w:r>
          </w:p>
        </w:tc>
        <w:tc>
          <w:tcPr>
            <w:tcW w:w="1412" w:type="pct"/>
          </w:tcPr>
          <w:p w:rsidR="00260042" w:rsidRDefault="00260042" w:rsidP="00AB78C1">
            <w:pPr>
              <w:pStyle w:val="BodyText"/>
            </w:pPr>
            <w:r>
              <w:t>+0.2%</w:t>
            </w:r>
          </w:p>
        </w:tc>
      </w:tr>
      <w:tr w:rsidR="00260042" w:rsidTr="00AB78C1">
        <w:trPr>
          <w:trHeight w:val="376"/>
        </w:trPr>
        <w:tc>
          <w:tcPr>
            <w:tcW w:w="763" w:type="pct"/>
          </w:tcPr>
          <w:p w:rsidR="00260042" w:rsidRDefault="00260042" w:rsidP="00AB78C1">
            <w:pPr>
              <w:pStyle w:val="BodyText"/>
            </w:pPr>
            <w:r>
              <w:t>2019–20</w:t>
            </w:r>
          </w:p>
        </w:tc>
        <w:tc>
          <w:tcPr>
            <w:tcW w:w="941" w:type="pct"/>
          </w:tcPr>
          <w:p w:rsidR="00260042" w:rsidRDefault="00260042" w:rsidP="00AB78C1">
            <w:pPr>
              <w:pStyle w:val="BodyText"/>
            </w:pPr>
            <w:r>
              <w:t>≥95%</w:t>
            </w:r>
          </w:p>
        </w:tc>
        <w:tc>
          <w:tcPr>
            <w:tcW w:w="942" w:type="pct"/>
          </w:tcPr>
          <w:p w:rsidR="00260042" w:rsidRDefault="00260042" w:rsidP="00AB78C1">
            <w:pPr>
              <w:pStyle w:val="BodyText"/>
            </w:pPr>
            <w:r>
              <w:t>98.5%</w:t>
            </w:r>
          </w:p>
        </w:tc>
        <w:tc>
          <w:tcPr>
            <w:tcW w:w="941" w:type="pct"/>
          </w:tcPr>
          <w:p w:rsidR="00260042" w:rsidRDefault="00260042" w:rsidP="00AB78C1">
            <w:pPr>
              <w:pStyle w:val="BodyText"/>
            </w:pPr>
            <w:r>
              <w:rPr>
                <w:rStyle w:val="Bulletcolour"/>
                <w:rFonts w:ascii="Wingdings" w:hAnsi="Wingdings" w:cs="Wingdings"/>
              </w:rPr>
              <w:t></w:t>
            </w:r>
          </w:p>
        </w:tc>
        <w:tc>
          <w:tcPr>
            <w:tcW w:w="1412" w:type="pct"/>
          </w:tcPr>
          <w:p w:rsidR="00260042" w:rsidRDefault="00260042" w:rsidP="00AB78C1">
            <w:pPr>
              <w:pStyle w:val="BodyText"/>
            </w:pPr>
            <w:r>
              <w:t>+0.2%</w:t>
            </w:r>
          </w:p>
        </w:tc>
      </w:tr>
      <w:tr w:rsidR="00260042" w:rsidTr="00AB78C1">
        <w:trPr>
          <w:trHeight w:val="376"/>
        </w:trPr>
        <w:tc>
          <w:tcPr>
            <w:tcW w:w="763" w:type="pct"/>
          </w:tcPr>
          <w:p w:rsidR="00260042" w:rsidRDefault="00260042" w:rsidP="00AB78C1">
            <w:pPr>
              <w:pStyle w:val="BodyText"/>
            </w:pPr>
            <w:r>
              <w:t>2018–19</w:t>
            </w:r>
          </w:p>
        </w:tc>
        <w:tc>
          <w:tcPr>
            <w:tcW w:w="941" w:type="pct"/>
          </w:tcPr>
          <w:p w:rsidR="00260042" w:rsidRDefault="00260042" w:rsidP="00AB78C1">
            <w:pPr>
              <w:pStyle w:val="BodyText"/>
            </w:pPr>
            <w:r>
              <w:t>≥95%</w:t>
            </w:r>
          </w:p>
        </w:tc>
        <w:tc>
          <w:tcPr>
            <w:tcW w:w="942" w:type="pct"/>
          </w:tcPr>
          <w:p w:rsidR="00260042" w:rsidRDefault="00260042" w:rsidP="00AB78C1">
            <w:pPr>
              <w:pStyle w:val="BodyText"/>
            </w:pPr>
            <w:r>
              <w:t>98.3%</w:t>
            </w:r>
          </w:p>
        </w:tc>
        <w:tc>
          <w:tcPr>
            <w:tcW w:w="941" w:type="pct"/>
          </w:tcPr>
          <w:p w:rsidR="00260042" w:rsidRDefault="00260042" w:rsidP="00AB78C1">
            <w:pPr>
              <w:pStyle w:val="BodyText"/>
            </w:pPr>
            <w:r>
              <w:rPr>
                <w:rStyle w:val="Bulletcolour"/>
                <w:rFonts w:ascii="Wingdings" w:hAnsi="Wingdings" w:cs="Wingdings"/>
              </w:rPr>
              <w:t></w:t>
            </w:r>
          </w:p>
        </w:tc>
        <w:tc>
          <w:tcPr>
            <w:tcW w:w="1412" w:type="pct"/>
          </w:tcPr>
          <w:p w:rsidR="00260042" w:rsidRDefault="00260042" w:rsidP="00AB78C1">
            <w:pPr>
              <w:pStyle w:val="BodyText"/>
            </w:pPr>
            <w:r>
              <w:t>–0.2%</w:t>
            </w:r>
          </w:p>
        </w:tc>
      </w:tr>
    </w:tbl>
    <w:p w:rsidR="00260042" w:rsidRDefault="00260042" w:rsidP="00260042">
      <w:pPr>
        <w:pStyle w:val="BodyText"/>
        <w:spacing w:after="0"/>
      </w:pPr>
      <w:r>
        <w:rPr>
          <w:rStyle w:val="Bold"/>
          <w:caps/>
        </w:rPr>
        <w:t>ANAlysis</w:t>
      </w:r>
    </w:p>
    <w:p w:rsidR="00260042" w:rsidRDefault="00260042" w:rsidP="00260042">
      <w:pPr>
        <w:pStyle w:val="BodyText"/>
      </w:pPr>
      <w:r>
        <w:t>The agency continues to exceed its annual target of ≥</w:t>
      </w:r>
      <w:proofErr w:type="gramStart"/>
      <w:r>
        <w:t>95%</w:t>
      </w:r>
      <w:proofErr w:type="gramEnd"/>
      <w:r>
        <w:t xml:space="preserve">, with performance in 2020–21 consistent with previous year results. Payment correctness </w:t>
      </w:r>
      <w:proofErr w:type="gramStart"/>
      <w:r>
        <w:t>is expected</w:t>
      </w:r>
      <w:proofErr w:type="gramEnd"/>
      <w:r>
        <w:t xml:space="preserve"> to improve as the agency continues to expand on self-service options and automated actions, which reduce the opportunity for staff error, contributing to the upward trend in payment correctness performance.</w:t>
      </w:r>
    </w:p>
    <w:p w:rsidR="00260042" w:rsidRDefault="00260042" w:rsidP="00260042">
      <w:pPr>
        <w:pStyle w:val="BodyText"/>
      </w:pPr>
      <w:r>
        <w:t>The performance result demonstrates the agency’s ability to pay the right person, the right payment, at the right time</w:t>
      </w:r>
      <w:proofErr w:type="gramStart"/>
      <w:r>
        <w:t>—which</w:t>
      </w:r>
      <w:proofErr w:type="gramEnd"/>
      <w:r>
        <w:t xml:space="preserve"> has been achieved in a year of significant crises and challenges resulting in increased customer claims and reliance on government services. </w:t>
      </w:r>
    </w:p>
    <w:p w:rsidR="00260042" w:rsidRDefault="00260042" w:rsidP="00260042">
      <w:pPr>
        <w:pStyle w:val="BodyText"/>
      </w:pPr>
      <w:r>
        <w:lastRenderedPageBreak/>
        <w:t xml:space="preserve">The agency’s payment correctness result will continue to improve as we expand our self-service options and automated processes, which will reduce the risk of staff errors. </w:t>
      </w:r>
    </w:p>
    <w:p w:rsidR="00260042" w:rsidRDefault="00260042" w:rsidP="00260042">
      <w:pPr>
        <w:pStyle w:val="BodyText"/>
      </w:pPr>
      <w:r>
        <w:t xml:space="preserve">For more information on </w:t>
      </w:r>
      <w:r>
        <w:rPr>
          <w:rStyle w:val="Italic"/>
        </w:rPr>
        <w:t>Payment accuracy and correctness</w:t>
      </w:r>
      <w:r>
        <w:t>, see page 153.</w:t>
      </w:r>
    </w:p>
    <w:p w:rsidR="004E3486" w:rsidRDefault="00260042" w:rsidP="00260042">
      <w:pPr>
        <w:pStyle w:val="BodyText"/>
        <w:spacing w:after="57"/>
        <w:rPr>
          <w:rStyle w:val="Bold"/>
        </w:rPr>
      </w:pPr>
      <w:r>
        <w:rPr>
          <w:rStyle w:val="Bold"/>
        </w:rPr>
        <w:t>REFERENCE</w:t>
      </w:r>
    </w:p>
    <w:p w:rsidR="00260042" w:rsidRDefault="00260042" w:rsidP="00260042">
      <w:pPr>
        <w:pStyle w:val="BodyText"/>
        <w:spacing w:after="57"/>
      </w:pPr>
      <w:r>
        <w:t>2020–21 Portfolio Budget Statements, page 233</w:t>
      </w:r>
      <w:r>
        <w:br/>
        <w:t>2020–21 Corporate Plan, page 15</w:t>
      </w:r>
    </w:p>
    <w:p w:rsidR="004E3486" w:rsidRDefault="00260042" w:rsidP="00260042">
      <w:pPr>
        <w:pStyle w:val="BodyText"/>
        <w:keepNext/>
        <w:spacing w:after="0"/>
        <w:rPr>
          <w:rStyle w:val="Bold"/>
        </w:rPr>
      </w:pPr>
      <w:r>
        <w:rPr>
          <w:rStyle w:val="Bold"/>
        </w:rPr>
        <w:t>DATA SOURCE</w:t>
      </w:r>
    </w:p>
    <w:p w:rsidR="00260042" w:rsidRDefault="00260042" w:rsidP="00260042">
      <w:pPr>
        <w:pStyle w:val="BodyText"/>
        <w:keepNext/>
        <w:spacing w:after="0"/>
      </w:pPr>
      <w:r>
        <w:t>Extracts from the Random Review Results System and the Integrated Review System.</w:t>
      </w:r>
    </w:p>
    <w:p w:rsidR="00260042" w:rsidRDefault="00260042" w:rsidP="00260042">
      <w:pPr>
        <w:pStyle w:val="BodyText"/>
        <w:spacing w:before="113" w:after="0"/>
        <w:rPr>
          <w:rStyle w:val="Bold"/>
          <w:caps/>
        </w:rPr>
      </w:pPr>
      <w:r>
        <w:rPr>
          <w:rStyle w:val="Bold"/>
          <w:caps/>
        </w:rPr>
        <w:t>Notes and Definitions</w:t>
      </w:r>
    </w:p>
    <w:p w:rsidR="00260042" w:rsidRDefault="00260042" w:rsidP="008930A3">
      <w:pPr>
        <w:pStyle w:val="ListBullet"/>
      </w:pPr>
      <w:r>
        <w:t xml:space="preserve">Random Sample Reviews </w:t>
      </w:r>
      <w:proofErr w:type="gramStart"/>
      <w:r>
        <w:t>are classified</w:t>
      </w:r>
      <w:proofErr w:type="gramEnd"/>
      <w:r>
        <w:t xml:space="preserve"> into staff (administrative) error, system error or legislative error.</w:t>
      </w:r>
    </w:p>
    <w:p w:rsidR="00260042" w:rsidRDefault="00260042" w:rsidP="008930A3">
      <w:pPr>
        <w:pStyle w:val="ListBullet"/>
      </w:pPr>
      <w:r>
        <w:t>The Payment Quality result only relates to staff (administrative) error that resulted in a financial (dollar) impact to the basic rate of payment.</w:t>
      </w:r>
    </w:p>
    <w:p w:rsidR="00260042" w:rsidRDefault="00260042" w:rsidP="00EA5510">
      <w:pPr>
        <w:pStyle w:val="ListBullet"/>
      </w:pPr>
      <w:r>
        <w:t xml:space="preserve">The Random Sample Survey Program covers 15 social welfare payments representing 98% of social welfare outlays. </w:t>
      </w:r>
    </w:p>
    <w:tbl>
      <w:tblPr>
        <w:tblW w:w="5000" w:type="pct"/>
        <w:tblCellMar>
          <w:left w:w="0" w:type="dxa"/>
          <w:right w:w="0" w:type="dxa"/>
        </w:tblCellMar>
        <w:tblLook w:val="0000" w:firstRow="0" w:lastRow="0" w:firstColumn="0" w:lastColumn="0" w:noHBand="0" w:noVBand="0"/>
      </w:tblPr>
      <w:tblGrid>
        <w:gridCol w:w="2614"/>
        <w:gridCol w:w="4486"/>
        <w:gridCol w:w="3684"/>
      </w:tblGrid>
      <w:tr w:rsidR="00260042" w:rsidTr="00AB78C1">
        <w:trPr>
          <w:trHeight w:val="60"/>
        </w:trPr>
        <w:tc>
          <w:tcPr>
            <w:tcW w:w="1212"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ABSTUDY</w:t>
            </w:r>
          </w:p>
        </w:tc>
        <w:tc>
          <w:tcPr>
            <w:tcW w:w="2080"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Disability Support Pension</w:t>
            </w:r>
          </w:p>
        </w:tc>
        <w:tc>
          <w:tcPr>
            <w:tcW w:w="1708"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Partner Allowance</w:t>
            </w:r>
          </w:p>
        </w:tc>
      </w:tr>
      <w:tr w:rsidR="00260042" w:rsidTr="00AB78C1">
        <w:trPr>
          <w:trHeight w:val="60"/>
        </w:trPr>
        <w:tc>
          <w:tcPr>
            <w:tcW w:w="1212"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Age Pension</w:t>
            </w:r>
          </w:p>
        </w:tc>
        <w:tc>
          <w:tcPr>
            <w:tcW w:w="2080"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Family Tax Benefit</w:t>
            </w:r>
          </w:p>
        </w:tc>
        <w:tc>
          <w:tcPr>
            <w:tcW w:w="1708"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Special Benefit</w:t>
            </w:r>
          </w:p>
        </w:tc>
      </w:tr>
      <w:tr w:rsidR="00260042" w:rsidTr="00AB78C1">
        <w:trPr>
          <w:trHeight w:val="60"/>
        </w:trPr>
        <w:tc>
          <w:tcPr>
            <w:tcW w:w="1212"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proofErr w:type="spellStart"/>
            <w:r>
              <w:t>Austudy</w:t>
            </w:r>
            <w:proofErr w:type="spellEnd"/>
          </w:p>
        </w:tc>
        <w:tc>
          <w:tcPr>
            <w:tcW w:w="2080"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proofErr w:type="spellStart"/>
            <w:r>
              <w:t>JobSeeker</w:t>
            </w:r>
            <w:proofErr w:type="spellEnd"/>
            <w:r>
              <w:t xml:space="preserve"> Payment</w:t>
            </w:r>
          </w:p>
        </w:tc>
        <w:tc>
          <w:tcPr>
            <w:tcW w:w="1708"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Widow Allowance</w:t>
            </w:r>
          </w:p>
        </w:tc>
      </w:tr>
      <w:tr w:rsidR="00260042" w:rsidTr="00AB78C1">
        <w:trPr>
          <w:trHeight w:val="60"/>
        </w:trPr>
        <w:tc>
          <w:tcPr>
            <w:tcW w:w="1212"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Carer Payment</w:t>
            </w:r>
          </w:p>
        </w:tc>
        <w:tc>
          <w:tcPr>
            <w:tcW w:w="2080"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Parenting Payment Single</w:t>
            </w:r>
          </w:p>
        </w:tc>
        <w:tc>
          <w:tcPr>
            <w:tcW w:w="1708"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Youth Allowance (Other)</w:t>
            </w:r>
          </w:p>
        </w:tc>
      </w:tr>
      <w:tr w:rsidR="00260042" w:rsidTr="00AB78C1">
        <w:trPr>
          <w:trHeight w:val="60"/>
        </w:trPr>
        <w:tc>
          <w:tcPr>
            <w:tcW w:w="1212"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Carer Allowance</w:t>
            </w:r>
          </w:p>
        </w:tc>
        <w:tc>
          <w:tcPr>
            <w:tcW w:w="2080"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t>Parenting Payment Partnered</w:t>
            </w:r>
          </w:p>
        </w:tc>
        <w:tc>
          <w:tcPr>
            <w:tcW w:w="1708" w:type="pct"/>
            <w:tcBorders>
              <w:top w:val="single" w:sz="6" w:space="0" w:color="auto"/>
              <w:left w:val="single" w:sz="6" w:space="0" w:color="auto"/>
              <w:bottom w:val="single" w:sz="6" w:space="0" w:color="auto"/>
              <w:right w:val="single" w:sz="6" w:space="0" w:color="auto"/>
            </w:tcBorders>
            <w:tcMar>
              <w:top w:w="0" w:type="dxa"/>
              <w:left w:w="0" w:type="dxa"/>
              <w:bottom w:w="113" w:type="dxa"/>
              <w:right w:w="0" w:type="dxa"/>
            </w:tcMar>
            <w:vAlign w:val="center"/>
          </w:tcPr>
          <w:p w:rsidR="00260042" w:rsidRDefault="00260042">
            <w:pPr>
              <w:pStyle w:val="BodyText"/>
            </w:pPr>
            <w:r>
              <w:rPr>
                <w:spacing w:val="-4"/>
              </w:rPr>
              <w:t>Youth Allowance (Student)</w:t>
            </w:r>
          </w:p>
        </w:tc>
      </w:tr>
    </w:tbl>
    <w:p w:rsidR="00260042" w:rsidRDefault="00260042" w:rsidP="00260042">
      <w:pPr>
        <w:pStyle w:val="Heading5"/>
      </w:pPr>
      <w:r>
        <w:t>Performance measure 3 — Internal reviews: percentage of decision reviews requested by Centrelink customers finalised within standard</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3 — Internal reviews: percentage of decision reviews requested by Centrelink customers finalised within standard"/>
      </w:tblPr>
      <w:tblGrid>
        <w:gridCol w:w="1593"/>
        <w:gridCol w:w="2078"/>
        <w:gridCol w:w="2078"/>
        <w:gridCol w:w="2078"/>
        <w:gridCol w:w="2963"/>
      </w:tblGrid>
      <w:tr w:rsidR="00260042" w:rsidTr="00AB78C1">
        <w:trPr>
          <w:trHeight w:val="376"/>
          <w:tblHeader/>
        </w:trPr>
        <w:tc>
          <w:tcPr>
            <w:tcW w:w="738" w:type="pct"/>
          </w:tcPr>
          <w:p w:rsidR="00260042" w:rsidRPr="00AB78C1" w:rsidRDefault="00260042" w:rsidP="00AB78C1">
            <w:pPr>
              <w:pStyle w:val="BodyText"/>
              <w:rPr>
                <w:b/>
              </w:rPr>
            </w:pPr>
            <w:r w:rsidRPr="00AB78C1">
              <w:rPr>
                <w:b/>
              </w:rPr>
              <w:t>Year</w:t>
            </w:r>
          </w:p>
        </w:tc>
        <w:tc>
          <w:tcPr>
            <w:tcW w:w="963" w:type="pct"/>
          </w:tcPr>
          <w:p w:rsidR="00260042" w:rsidRPr="00AB78C1" w:rsidRDefault="00260042" w:rsidP="00AB78C1">
            <w:pPr>
              <w:pStyle w:val="BodyText"/>
              <w:rPr>
                <w:b/>
              </w:rPr>
            </w:pPr>
            <w:r w:rsidRPr="00AB78C1">
              <w:rPr>
                <w:b/>
              </w:rPr>
              <w:t>Target</w:t>
            </w:r>
          </w:p>
        </w:tc>
        <w:tc>
          <w:tcPr>
            <w:tcW w:w="963" w:type="pct"/>
          </w:tcPr>
          <w:p w:rsidR="00260042" w:rsidRPr="00AB78C1" w:rsidRDefault="00260042" w:rsidP="00AB78C1">
            <w:pPr>
              <w:pStyle w:val="BodyText"/>
              <w:rPr>
                <w:b/>
              </w:rPr>
            </w:pPr>
            <w:r w:rsidRPr="00AB78C1">
              <w:rPr>
                <w:b/>
              </w:rPr>
              <w:t>Result</w:t>
            </w:r>
          </w:p>
        </w:tc>
        <w:tc>
          <w:tcPr>
            <w:tcW w:w="963" w:type="pct"/>
          </w:tcPr>
          <w:p w:rsidR="00260042" w:rsidRPr="00AB78C1" w:rsidRDefault="00260042" w:rsidP="00AB78C1">
            <w:pPr>
              <w:pStyle w:val="BodyText"/>
              <w:rPr>
                <w:b/>
              </w:rPr>
            </w:pPr>
            <w:r w:rsidRPr="00AB78C1">
              <w:rPr>
                <w:b/>
              </w:rPr>
              <w:t>Achieved</w:t>
            </w:r>
          </w:p>
        </w:tc>
        <w:tc>
          <w:tcPr>
            <w:tcW w:w="1374" w:type="pct"/>
          </w:tcPr>
          <w:p w:rsidR="00260042" w:rsidRPr="00AB78C1" w:rsidRDefault="00260042" w:rsidP="00AB78C1">
            <w:pPr>
              <w:pStyle w:val="BodyText"/>
              <w:rPr>
                <w:b/>
              </w:rPr>
            </w:pPr>
            <w:r w:rsidRPr="00AB78C1">
              <w:rPr>
                <w:b/>
              </w:rPr>
              <w:t>Change on previous year +/–</w:t>
            </w:r>
          </w:p>
        </w:tc>
      </w:tr>
      <w:tr w:rsidR="00260042" w:rsidTr="00AB78C1">
        <w:trPr>
          <w:trHeight w:val="376"/>
        </w:trPr>
        <w:tc>
          <w:tcPr>
            <w:tcW w:w="738" w:type="pct"/>
          </w:tcPr>
          <w:p w:rsidR="00260042" w:rsidRDefault="00260042" w:rsidP="00AB78C1">
            <w:pPr>
              <w:pStyle w:val="BodyText"/>
            </w:pPr>
            <w:r>
              <w:t>2020–21</w:t>
            </w:r>
          </w:p>
        </w:tc>
        <w:tc>
          <w:tcPr>
            <w:tcW w:w="963" w:type="pct"/>
          </w:tcPr>
          <w:p w:rsidR="00260042" w:rsidRDefault="00260042" w:rsidP="00AB78C1">
            <w:pPr>
              <w:pStyle w:val="BodyText"/>
            </w:pPr>
            <w:r>
              <w:t>≥70%</w:t>
            </w:r>
          </w:p>
        </w:tc>
        <w:tc>
          <w:tcPr>
            <w:tcW w:w="963" w:type="pct"/>
          </w:tcPr>
          <w:p w:rsidR="00260042" w:rsidRDefault="00260042" w:rsidP="00AB78C1">
            <w:pPr>
              <w:pStyle w:val="BodyText"/>
            </w:pPr>
            <w:r>
              <w:t>71.2%</w:t>
            </w:r>
          </w:p>
        </w:tc>
        <w:tc>
          <w:tcPr>
            <w:tcW w:w="963" w:type="pct"/>
          </w:tcPr>
          <w:p w:rsidR="00260042" w:rsidRDefault="00260042" w:rsidP="00AB78C1">
            <w:pPr>
              <w:pStyle w:val="BodyText"/>
            </w:pPr>
            <w:r>
              <w:rPr>
                <w:rStyle w:val="Bulletcolour"/>
                <w:rFonts w:ascii="Wingdings" w:hAnsi="Wingdings" w:cs="Wingdings"/>
              </w:rPr>
              <w:t></w:t>
            </w:r>
          </w:p>
        </w:tc>
        <w:tc>
          <w:tcPr>
            <w:tcW w:w="1374" w:type="pct"/>
          </w:tcPr>
          <w:p w:rsidR="00260042" w:rsidRDefault="00260042" w:rsidP="00AB78C1">
            <w:pPr>
              <w:pStyle w:val="BodyText"/>
            </w:pPr>
            <w:r>
              <w:t>–1.2%</w:t>
            </w:r>
          </w:p>
        </w:tc>
      </w:tr>
      <w:tr w:rsidR="00260042" w:rsidTr="00AB78C1">
        <w:trPr>
          <w:trHeight w:val="376"/>
        </w:trPr>
        <w:tc>
          <w:tcPr>
            <w:tcW w:w="738" w:type="pct"/>
          </w:tcPr>
          <w:p w:rsidR="00260042" w:rsidRDefault="00260042" w:rsidP="00AB78C1">
            <w:pPr>
              <w:pStyle w:val="BodyText"/>
            </w:pPr>
            <w:r>
              <w:t>2019–20</w:t>
            </w:r>
          </w:p>
        </w:tc>
        <w:tc>
          <w:tcPr>
            <w:tcW w:w="963" w:type="pct"/>
          </w:tcPr>
          <w:p w:rsidR="00260042" w:rsidRDefault="00260042" w:rsidP="00AB78C1">
            <w:pPr>
              <w:pStyle w:val="BodyText"/>
            </w:pPr>
            <w:r>
              <w:t>≥70%</w:t>
            </w:r>
          </w:p>
        </w:tc>
        <w:tc>
          <w:tcPr>
            <w:tcW w:w="963" w:type="pct"/>
          </w:tcPr>
          <w:p w:rsidR="00260042" w:rsidRDefault="00260042" w:rsidP="00AB78C1">
            <w:pPr>
              <w:pStyle w:val="BodyText"/>
            </w:pPr>
            <w:r>
              <w:t>72.4%</w:t>
            </w:r>
          </w:p>
        </w:tc>
        <w:tc>
          <w:tcPr>
            <w:tcW w:w="963" w:type="pct"/>
          </w:tcPr>
          <w:p w:rsidR="00260042" w:rsidRDefault="00260042" w:rsidP="00AB78C1">
            <w:pPr>
              <w:pStyle w:val="BodyText"/>
            </w:pPr>
            <w:r>
              <w:rPr>
                <w:rStyle w:val="Bulletcolour"/>
                <w:rFonts w:ascii="Wingdings" w:hAnsi="Wingdings" w:cs="Wingdings"/>
              </w:rPr>
              <w:t></w:t>
            </w:r>
          </w:p>
        </w:tc>
        <w:tc>
          <w:tcPr>
            <w:tcW w:w="1374" w:type="pct"/>
          </w:tcPr>
          <w:p w:rsidR="00260042" w:rsidRDefault="00260042" w:rsidP="00AB78C1">
            <w:pPr>
              <w:pStyle w:val="BodyText"/>
            </w:pPr>
            <w:r>
              <w:t>–12.2%</w:t>
            </w:r>
          </w:p>
        </w:tc>
      </w:tr>
      <w:tr w:rsidR="00260042" w:rsidTr="00AB78C1">
        <w:trPr>
          <w:trHeight w:val="376"/>
        </w:trPr>
        <w:tc>
          <w:tcPr>
            <w:tcW w:w="738" w:type="pct"/>
          </w:tcPr>
          <w:p w:rsidR="00260042" w:rsidRDefault="00260042" w:rsidP="00AB78C1">
            <w:pPr>
              <w:pStyle w:val="BodyText"/>
            </w:pPr>
            <w:r>
              <w:t>2018–19</w:t>
            </w:r>
          </w:p>
        </w:tc>
        <w:tc>
          <w:tcPr>
            <w:tcW w:w="963" w:type="pct"/>
          </w:tcPr>
          <w:p w:rsidR="00260042" w:rsidRDefault="00260042" w:rsidP="00AB78C1">
            <w:pPr>
              <w:pStyle w:val="BodyText"/>
            </w:pPr>
            <w:r>
              <w:t>≥70%</w:t>
            </w:r>
          </w:p>
        </w:tc>
        <w:tc>
          <w:tcPr>
            <w:tcW w:w="963" w:type="pct"/>
          </w:tcPr>
          <w:p w:rsidR="00260042" w:rsidRDefault="00260042" w:rsidP="00AB78C1">
            <w:pPr>
              <w:pStyle w:val="BodyText"/>
            </w:pPr>
            <w:r>
              <w:t>84.6%</w:t>
            </w:r>
          </w:p>
        </w:tc>
        <w:tc>
          <w:tcPr>
            <w:tcW w:w="963" w:type="pct"/>
          </w:tcPr>
          <w:p w:rsidR="00260042" w:rsidRDefault="00260042" w:rsidP="00AB78C1">
            <w:pPr>
              <w:pStyle w:val="BodyText"/>
            </w:pPr>
            <w:r>
              <w:rPr>
                <w:rStyle w:val="Bulletcolour"/>
                <w:rFonts w:ascii="Wingdings" w:hAnsi="Wingdings" w:cs="Wingdings"/>
              </w:rPr>
              <w:t></w:t>
            </w:r>
          </w:p>
        </w:tc>
        <w:tc>
          <w:tcPr>
            <w:tcW w:w="1374" w:type="pct"/>
          </w:tcPr>
          <w:p w:rsidR="00260042" w:rsidRDefault="00260042" w:rsidP="00AB78C1">
            <w:pPr>
              <w:pStyle w:val="BodyText"/>
            </w:pPr>
            <w:r>
              <w:t>–12.5%</w:t>
            </w:r>
          </w:p>
        </w:tc>
      </w:tr>
    </w:tbl>
    <w:p w:rsidR="00260042" w:rsidRDefault="00260042" w:rsidP="00260042">
      <w:pPr>
        <w:pStyle w:val="BodyText"/>
        <w:spacing w:after="0"/>
      </w:pPr>
      <w:r>
        <w:rPr>
          <w:rStyle w:val="Bold"/>
          <w:caps/>
        </w:rPr>
        <w:t>ANAlysis</w:t>
      </w:r>
    </w:p>
    <w:p w:rsidR="00260042" w:rsidRDefault="00260042" w:rsidP="00260042">
      <w:pPr>
        <w:pStyle w:val="BodyText"/>
      </w:pPr>
      <w:r>
        <w:lastRenderedPageBreak/>
        <w:t xml:space="preserve">The agency achieved the annual target </w:t>
      </w:r>
      <w:proofErr w:type="gramStart"/>
      <w:r>
        <w:t>as a result</w:t>
      </w:r>
      <w:proofErr w:type="gramEnd"/>
      <w:r>
        <w:t xml:space="preserve"> of its flexible approach to workload management, which continued to influence results with the redeployment of staff as needed for priority work. </w:t>
      </w:r>
    </w:p>
    <w:p w:rsidR="00260042" w:rsidRDefault="00260042" w:rsidP="00260042">
      <w:pPr>
        <w:pStyle w:val="BodyText"/>
      </w:pPr>
      <w:r>
        <w:t xml:space="preserve">Work undertaken to reduce the age and number of reviews on hand during the first half of the year resulted in improved results despite staff being redeployed to assist in disaster recovery work as part of the agency’s response to the NSW floods. While the target </w:t>
      </w:r>
      <w:proofErr w:type="gramStart"/>
      <w:r>
        <w:t>was achieved</w:t>
      </w:r>
      <w:proofErr w:type="gramEnd"/>
      <w:r>
        <w:t>, this activity saw a reduction in the number of reviews finalised in the second half of 2020–21, as well as an increase in the average time taken to review these decisions.</w:t>
      </w:r>
    </w:p>
    <w:p w:rsidR="00260042" w:rsidRDefault="00260042" w:rsidP="00260042">
      <w:pPr>
        <w:pStyle w:val="BodyText"/>
      </w:pPr>
      <w:r>
        <w:t xml:space="preserve">A new internal review process for social welfare payments </w:t>
      </w:r>
      <w:proofErr w:type="gramStart"/>
      <w:r>
        <w:t>was implemented</w:t>
      </w:r>
      <w:proofErr w:type="gramEnd"/>
      <w:r>
        <w:t xml:space="preserve"> on 15 May 2021. Customers </w:t>
      </w:r>
      <w:proofErr w:type="gramStart"/>
      <w:r>
        <w:t>are now engaged</w:t>
      </w:r>
      <w:proofErr w:type="gramEnd"/>
      <w:r>
        <w:t xml:space="preserve"> with more clearly defined options on whether they would like a further explanation of a decision or a direct formal review. Prior to the new process, all review requests went through an explanation and/or quality check before proceeding to formal review. The refined process streamlines the pathway to formal review and enhances the customer experience. </w:t>
      </w:r>
    </w:p>
    <w:p w:rsidR="00260042" w:rsidRDefault="00260042" w:rsidP="00260042">
      <w:pPr>
        <w:pStyle w:val="BodyText"/>
        <w:spacing w:after="0"/>
        <w:rPr>
          <w:rStyle w:val="Bold"/>
        </w:rPr>
      </w:pPr>
      <w:r>
        <w:rPr>
          <w:rStyle w:val="Bold"/>
        </w:rPr>
        <w:t>REFERENCE</w:t>
      </w:r>
    </w:p>
    <w:p w:rsidR="00260042" w:rsidRDefault="00260042" w:rsidP="00260042">
      <w:pPr>
        <w:pStyle w:val="BodyText"/>
        <w:spacing w:after="0"/>
      </w:pPr>
      <w:r>
        <w:t>2020–21 Portfolio Budget Statements, page 233</w:t>
      </w:r>
    </w:p>
    <w:p w:rsidR="00260042" w:rsidRDefault="00260042" w:rsidP="00260042">
      <w:pPr>
        <w:pStyle w:val="BodyText"/>
        <w:spacing w:after="0"/>
      </w:pPr>
      <w:r>
        <w:t>2020–21 Corporate Plan, page 15</w:t>
      </w:r>
    </w:p>
    <w:p w:rsidR="00260042" w:rsidRDefault="00260042" w:rsidP="003A3F3F">
      <w:pPr>
        <w:pStyle w:val="BodyText"/>
        <w:spacing w:before="113" w:after="0"/>
      </w:pPr>
      <w:r>
        <w:rPr>
          <w:rStyle w:val="Bold"/>
        </w:rPr>
        <w:t>DATA SOURCE</w:t>
      </w:r>
      <w:r>
        <w:rPr>
          <w:rStyle w:val="Bold"/>
        </w:rPr>
        <w:tab/>
      </w:r>
      <w:r>
        <w:rPr>
          <w:rStyle w:val="Bold"/>
        </w:rPr>
        <w:br/>
      </w:r>
      <w:r>
        <w:t>Key date values in the appeals system, as captured in the Statistical Analysis System.</w:t>
      </w:r>
    </w:p>
    <w:p w:rsidR="00260042" w:rsidRDefault="00260042" w:rsidP="00260042">
      <w:pPr>
        <w:pStyle w:val="BodyText"/>
        <w:spacing w:before="113" w:after="0"/>
        <w:rPr>
          <w:rStyle w:val="Bold"/>
          <w:caps/>
        </w:rPr>
      </w:pPr>
      <w:r>
        <w:rPr>
          <w:rStyle w:val="Bold"/>
          <w:caps/>
        </w:rPr>
        <w:t>Notes and Definitions</w:t>
      </w:r>
    </w:p>
    <w:p w:rsidR="00260042" w:rsidRDefault="00260042" w:rsidP="008930A3">
      <w:pPr>
        <w:pStyle w:val="ListBullet"/>
      </w:pPr>
      <w:r>
        <w:t xml:space="preserve">An application for a formal review </w:t>
      </w:r>
      <w:proofErr w:type="gramStart"/>
      <w:r>
        <w:t>can be received</w:t>
      </w:r>
      <w:proofErr w:type="gramEnd"/>
      <w:r>
        <w:t xml:space="preserve"> from a customer or their nominee. </w:t>
      </w:r>
    </w:p>
    <w:p w:rsidR="00260042" w:rsidRDefault="00260042" w:rsidP="008930A3">
      <w:pPr>
        <w:pStyle w:val="ListBullet"/>
      </w:pPr>
      <w:r>
        <w:t>Reviews finalised refers to formal reviews finalised within the 2020–21 reporting period.</w:t>
      </w:r>
    </w:p>
    <w:p w:rsidR="00260042" w:rsidRDefault="00260042" w:rsidP="008930A3">
      <w:pPr>
        <w:pStyle w:val="ListBullet"/>
      </w:pPr>
      <w:proofErr w:type="gramStart"/>
      <w:r>
        <w:t>All formal reviews are completed by an authorised review officer</w:t>
      </w:r>
      <w:proofErr w:type="gramEnd"/>
      <w:r>
        <w:t>.</w:t>
      </w:r>
    </w:p>
    <w:p w:rsidR="00260042" w:rsidRDefault="00260042" w:rsidP="00EA5510">
      <w:pPr>
        <w:pStyle w:val="ListBullet"/>
      </w:pPr>
      <w:r>
        <w:t xml:space="preserve">A new internal review process </w:t>
      </w:r>
      <w:proofErr w:type="gramStart"/>
      <w:r>
        <w:t>was introduced</w:t>
      </w:r>
      <w:proofErr w:type="gramEnd"/>
      <w:r>
        <w:t xml:space="preserve"> on 15 May 2021. From this </w:t>
      </w:r>
      <w:proofErr w:type="gramStart"/>
      <w:r>
        <w:t>date</w:t>
      </w:r>
      <w:proofErr w:type="gramEnd"/>
      <w:r>
        <w:t xml:space="preserve"> the calculation of this performance measure commences once an application for a formal review is received by the agency.</w:t>
      </w:r>
    </w:p>
    <w:p w:rsidR="00260042" w:rsidRDefault="00260042" w:rsidP="00260042">
      <w:pPr>
        <w:pStyle w:val="Heading5"/>
      </w:pPr>
      <w:r>
        <w:t>Performance measure 4 — Achievement of payment integrity standards: Centrelink: debt under recovery</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4 — Achievement of payment integrity standards: Centrelink: debt under recovery"/>
      </w:tblPr>
      <w:tblGrid>
        <w:gridCol w:w="1622"/>
        <w:gridCol w:w="2041"/>
        <w:gridCol w:w="2039"/>
        <w:gridCol w:w="2041"/>
        <w:gridCol w:w="3047"/>
      </w:tblGrid>
      <w:tr w:rsidR="00260042" w:rsidTr="003A3F3F">
        <w:trPr>
          <w:trHeight w:val="376"/>
          <w:tblHeader/>
        </w:trPr>
        <w:tc>
          <w:tcPr>
            <w:tcW w:w="751" w:type="pct"/>
          </w:tcPr>
          <w:p w:rsidR="00260042" w:rsidRPr="003A3F3F" w:rsidRDefault="00260042" w:rsidP="003A3F3F">
            <w:pPr>
              <w:pStyle w:val="BodyText"/>
              <w:rPr>
                <w:b/>
              </w:rPr>
            </w:pPr>
            <w:r w:rsidRPr="003A3F3F">
              <w:rPr>
                <w:b/>
              </w:rPr>
              <w:t>Year</w:t>
            </w:r>
          </w:p>
        </w:tc>
        <w:tc>
          <w:tcPr>
            <w:tcW w:w="946" w:type="pct"/>
          </w:tcPr>
          <w:p w:rsidR="00260042" w:rsidRPr="003A3F3F" w:rsidRDefault="00260042" w:rsidP="003A3F3F">
            <w:pPr>
              <w:pStyle w:val="BodyText"/>
              <w:rPr>
                <w:b/>
              </w:rPr>
            </w:pPr>
            <w:r w:rsidRPr="003A3F3F">
              <w:rPr>
                <w:b/>
              </w:rPr>
              <w:t>Target</w:t>
            </w:r>
          </w:p>
        </w:tc>
        <w:tc>
          <w:tcPr>
            <w:tcW w:w="945" w:type="pct"/>
          </w:tcPr>
          <w:p w:rsidR="00260042" w:rsidRPr="003A3F3F" w:rsidRDefault="00260042" w:rsidP="003A3F3F">
            <w:pPr>
              <w:pStyle w:val="BodyText"/>
              <w:rPr>
                <w:b/>
              </w:rPr>
            </w:pPr>
            <w:r w:rsidRPr="003A3F3F">
              <w:rPr>
                <w:b/>
              </w:rPr>
              <w:t>Result</w:t>
            </w:r>
          </w:p>
        </w:tc>
        <w:tc>
          <w:tcPr>
            <w:tcW w:w="946" w:type="pct"/>
          </w:tcPr>
          <w:p w:rsidR="00260042" w:rsidRPr="003A3F3F" w:rsidRDefault="00260042" w:rsidP="003A3F3F">
            <w:pPr>
              <w:pStyle w:val="BodyText"/>
              <w:rPr>
                <w:b/>
              </w:rPr>
            </w:pPr>
            <w:r w:rsidRPr="003A3F3F">
              <w:rPr>
                <w:b/>
              </w:rPr>
              <w:t>Achieved</w:t>
            </w:r>
          </w:p>
        </w:tc>
        <w:tc>
          <w:tcPr>
            <w:tcW w:w="1412" w:type="pct"/>
          </w:tcPr>
          <w:p w:rsidR="00260042" w:rsidRPr="003A3F3F" w:rsidRDefault="00260042" w:rsidP="003A3F3F">
            <w:pPr>
              <w:pStyle w:val="BodyText"/>
              <w:rPr>
                <w:b/>
              </w:rPr>
            </w:pPr>
            <w:r w:rsidRPr="003A3F3F">
              <w:rPr>
                <w:b/>
              </w:rPr>
              <w:t>Change on previous year +/–</w:t>
            </w:r>
          </w:p>
        </w:tc>
      </w:tr>
      <w:tr w:rsidR="00260042" w:rsidTr="003A3F3F">
        <w:trPr>
          <w:trHeight w:val="376"/>
        </w:trPr>
        <w:tc>
          <w:tcPr>
            <w:tcW w:w="751" w:type="pct"/>
          </w:tcPr>
          <w:p w:rsidR="00260042" w:rsidRDefault="00260042" w:rsidP="003A3F3F">
            <w:pPr>
              <w:pStyle w:val="BodyText"/>
            </w:pPr>
            <w:r>
              <w:t>2020–21</w:t>
            </w:r>
          </w:p>
        </w:tc>
        <w:tc>
          <w:tcPr>
            <w:tcW w:w="946" w:type="pct"/>
          </w:tcPr>
          <w:p w:rsidR="00260042" w:rsidRDefault="00260042" w:rsidP="003A3F3F">
            <w:pPr>
              <w:pStyle w:val="BodyText"/>
            </w:pPr>
            <w:r>
              <w:t>≥60%</w:t>
            </w:r>
          </w:p>
        </w:tc>
        <w:tc>
          <w:tcPr>
            <w:tcW w:w="945" w:type="pct"/>
          </w:tcPr>
          <w:p w:rsidR="00260042" w:rsidRDefault="00260042" w:rsidP="003A3F3F">
            <w:pPr>
              <w:pStyle w:val="BodyText"/>
            </w:pPr>
            <w:r>
              <w:t>70.6%</w:t>
            </w:r>
          </w:p>
        </w:tc>
        <w:tc>
          <w:tcPr>
            <w:tcW w:w="946" w:type="pct"/>
          </w:tcPr>
          <w:p w:rsidR="00260042" w:rsidRDefault="00260042" w:rsidP="003A3F3F">
            <w:pPr>
              <w:pStyle w:val="BodyText"/>
            </w:pPr>
            <w:r>
              <w:rPr>
                <w:rStyle w:val="Bulletcolour"/>
                <w:rFonts w:ascii="Wingdings" w:hAnsi="Wingdings" w:cs="Wingdings"/>
              </w:rPr>
              <w:t></w:t>
            </w:r>
          </w:p>
        </w:tc>
        <w:tc>
          <w:tcPr>
            <w:tcW w:w="1412" w:type="pct"/>
          </w:tcPr>
          <w:p w:rsidR="00260042" w:rsidRDefault="00260042" w:rsidP="003A3F3F">
            <w:pPr>
              <w:pStyle w:val="BodyText"/>
            </w:pPr>
            <w:r>
              <w:t>–25.2%</w:t>
            </w:r>
          </w:p>
        </w:tc>
      </w:tr>
      <w:tr w:rsidR="00260042" w:rsidTr="003A3F3F">
        <w:trPr>
          <w:trHeight w:val="376"/>
        </w:trPr>
        <w:tc>
          <w:tcPr>
            <w:tcW w:w="751" w:type="pct"/>
          </w:tcPr>
          <w:p w:rsidR="00260042" w:rsidRDefault="00260042" w:rsidP="003A3F3F">
            <w:pPr>
              <w:pStyle w:val="BodyText"/>
            </w:pPr>
            <w:r>
              <w:t>2019–20</w:t>
            </w:r>
          </w:p>
        </w:tc>
        <w:tc>
          <w:tcPr>
            <w:tcW w:w="946" w:type="pct"/>
          </w:tcPr>
          <w:p w:rsidR="00260042" w:rsidRDefault="00260042" w:rsidP="003A3F3F">
            <w:pPr>
              <w:pStyle w:val="BodyText"/>
            </w:pPr>
            <w:r>
              <w:t>≥60%</w:t>
            </w:r>
          </w:p>
        </w:tc>
        <w:tc>
          <w:tcPr>
            <w:tcW w:w="945" w:type="pct"/>
          </w:tcPr>
          <w:p w:rsidR="00260042" w:rsidRDefault="00260042" w:rsidP="003A3F3F">
            <w:pPr>
              <w:pStyle w:val="BodyText"/>
            </w:pPr>
            <w:r>
              <w:t>95.8%</w:t>
            </w:r>
          </w:p>
        </w:tc>
        <w:tc>
          <w:tcPr>
            <w:tcW w:w="946" w:type="pct"/>
          </w:tcPr>
          <w:p w:rsidR="00260042" w:rsidRDefault="00260042" w:rsidP="003A3F3F">
            <w:pPr>
              <w:pStyle w:val="BodyText"/>
            </w:pPr>
            <w:r>
              <w:rPr>
                <w:rStyle w:val="Bulletcolour"/>
                <w:rFonts w:ascii="Wingdings" w:hAnsi="Wingdings" w:cs="Wingdings"/>
              </w:rPr>
              <w:t></w:t>
            </w:r>
          </w:p>
        </w:tc>
        <w:tc>
          <w:tcPr>
            <w:tcW w:w="1412" w:type="pct"/>
          </w:tcPr>
          <w:p w:rsidR="00260042" w:rsidRDefault="00260042" w:rsidP="003A3F3F">
            <w:pPr>
              <w:pStyle w:val="BodyText"/>
            </w:pPr>
            <w:r>
              <w:t>+26.3%</w:t>
            </w:r>
          </w:p>
        </w:tc>
      </w:tr>
      <w:tr w:rsidR="00260042" w:rsidTr="003A3F3F">
        <w:trPr>
          <w:trHeight w:val="376"/>
        </w:trPr>
        <w:tc>
          <w:tcPr>
            <w:tcW w:w="751" w:type="pct"/>
          </w:tcPr>
          <w:p w:rsidR="00260042" w:rsidRDefault="00260042" w:rsidP="003A3F3F">
            <w:pPr>
              <w:pStyle w:val="BodyText"/>
            </w:pPr>
            <w:r>
              <w:t>2018–19</w:t>
            </w:r>
          </w:p>
        </w:tc>
        <w:tc>
          <w:tcPr>
            <w:tcW w:w="946" w:type="pct"/>
          </w:tcPr>
          <w:p w:rsidR="00260042" w:rsidRDefault="00260042" w:rsidP="003A3F3F">
            <w:pPr>
              <w:pStyle w:val="BodyText"/>
            </w:pPr>
            <w:r>
              <w:t>≥60%</w:t>
            </w:r>
          </w:p>
        </w:tc>
        <w:tc>
          <w:tcPr>
            <w:tcW w:w="945" w:type="pct"/>
          </w:tcPr>
          <w:p w:rsidR="00260042" w:rsidRDefault="00260042" w:rsidP="003A3F3F">
            <w:pPr>
              <w:pStyle w:val="BodyText"/>
            </w:pPr>
            <w:r>
              <w:t>69.5%</w:t>
            </w:r>
          </w:p>
        </w:tc>
        <w:tc>
          <w:tcPr>
            <w:tcW w:w="946" w:type="pct"/>
          </w:tcPr>
          <w:p w:rsidR="00260042" w:rsidRDefault="00260042" w:rsidP="003A3F3F">
            <w:pPr>
              <w:pStyle w:val="BodyText"/>
            </w:pPr>
            <w:r>
              <w:rPr>
                <w:rStyle w:val="Bulletcolour"/>
                <w:rFonts w:ascii="Wingdings" w:hAnsi="Wingdings" w:cs="Wingdings"/>
              </w:rPr>
              <w:t></w:t>
            </w:r>
          </w:p>
        </w:tc>
        <w:tc>
          <w:tcPr>
            <w:tcW w:w="1412" w:type="pct"/>
          </w:tcPr>
          <w:p w:rsidR="00260042" w:rsidRDefault="00260042" w:rsidP="003A3F3F">
            <w:pPr>
              <w:pStyle w:val="BodyText"/>
            </w:pPr>
            <w:r>
              <w:t>NA</w:t>
            </w:r>
            <w:r>
              <w:rPr>
                <w:vertAlign w:val="superscript"/>
              </w:rPr>
              <w:t>(a)</w:t>
            </w:r>
          </w:p>
        </w:tc>
      </w:tr>
    </w:tbl>
    <w:p w:rsidR="00260042" w:rsidRDefault="00260042" w:rsidP="00EA5510">
      <w:pPr>
        <w:pStyle w:val="BodyText"/>
        <w:rPr>
          <w:rStyle w:val="Bold"/>
        </w:rPr>
      </w:pPr>
      <w:r>
        <w:t>(a)</w:t>
      </w:r>
      <w:r>
        <w:tab/>
        <w:t xml:space="preserve">Due to a change in how the measure </w:t>
      </w:r>
      <w:proofErr w:type="gramStart"/>
      <w:r>
        <w:t>was calculated</w:t>
      </w:r>
      <w:proofErr w:type="gramEnd"/>
      <w:r>
        <w:t xml:space="preserve"> in 2018–19, the results are not directly comparable with the previous year.</w:t>
      </w:r>
    </w:p>
    <w:p w:rsidR="00260042" w:rsidRDefault="00260042" w:rsidP="00260042">
      <w:pPr>
        <w:pStyle w:val="BodyText"/>
        <w:spacing w:before="57" w:after="0"/>
        <w:rPr>
          <w:rStyle w:val="Bold"/>
          <w:caps/>
        </w:rPr>
      </w:pPr>
      <w:r>
        <w:rPr>
          <w:rStyle w:val="Bold"/>
          <w:caps/>
        </w:rPr>
        <w:t>ANAlysis</w:t>
      </w:r>
    </w:p>
    <w:p w:rsidR="00260042" w:rsidRDefault="00260042" w:rsidP="00260042">
      <w:pPr>
        <w:pStyle w:val="BodyText"/>
      </w:pPr>
      <w:r>
        <w:t xml:space="preserve">The agency achieved the annual target despite performance </w:t>
      </w:r>
      <w:proofErr w:type="gramStart"/>
      <w:r>
        <w:t>being significantly impacted</w:t>
      </w:r>
      <w:proofErr w:type="gramEnd"/>
      <w:r>
        <w:t xml:space="preserve"> by the COVID-19 pandemic. Throughout the National Debt Pause (commencing in April 2020 with recovery </w:t>
      </w:r>
      <w:r>
        <w:lastRenderedPageBreak/>
        <w:t xml:space="preserve">activity resuming in February 2021) the vast majority of outstanding debts were temporarily paused, with 64,240 recoverable debts at 30 June 2020. </w:t>
      </w:r>
    </w:p>
    <w:p w:rsidR="00260042" w:rsidRDefault="00260042" w:rsidP="00260042">
      <w:pPr>
        <w:pStyle w:val="BodyText"/>
      </w:pPr>
      <w:r>
        <w:t xml:space="preserve">The number of recoverable debts of 982,110 at 30 June 2021 reflects new debts </w:t>
      </w:r>
      <w:proofErr w:type="gramStart"/>
      <w:r>
        <w:t>being raised</w:t>
      </w:r>
      <w:proofErr w:type="gramEnd"/>
      <w:r>
        <w:t xml:space="preserve"> and debt recovery re-commencing for debts that had previously been temporarily paused. It </w:t>
      </w:r>
      <w:proofErr w:type="gramStart"/>
      <w:r>
        <w:t>should be noted</w:t>
      </w:r>
      <w:proofErr w:type="gramEnd"/>
      <w:r>
        <w:t xml:space="preserve">, despite the end of the National Debt Pause, a significant number of debts remained temporarily paused due to natural disasters, such as the NSW floods. </w:t>
      </w:r>
    </w:p>
    <w:p w:rsidR="00260042" w:rsidRDefault="00260042" w:rsidP="00260042">
      <w:pPr>
        <w:pStyle w:val="BodyText"/>
      </w:pPr>
      <w:r>
        <w:rPr>
          <w:spacing w:val="-2"/>
        </w:rPr>
        <w:t xml:space="preserve">The calculation of debt under recovery performance measure does not include debts that are temporarily paused. As a result, the 2019–20 performance figure of 95.8% </w:t>
      </w:r>
      <w:proofErr w:type="gramStart"/>
      <w:r>
        <w:rPr>
          <w:spacing w:val="-2"/>
        </w:rPr>
        <w:t>was inflated</w:t>
      </w:r>
      <w:proofErr w:type="gramEnd"/>
      <w:r>
        <w:rPr>
          <w:spacing w:val="-2"/>
        </w:rPr>
        <w:t xml:space="preserve"> due to the very high number of debts temporarily paused due to the National Debt Pause. The 2020–21 performance figure </w:t>
      </w:r>
      <w:proofErr w:type="gramStart"/>
      <w:r>
        <w:rPr>
          <w:spacing w:val="-2"/>
        </w:rPr>
        <w:t>was also inflated</w:t>
      </w:r>
      <w:proofErr w:type="gramEnd"/>
      <w:r>
        <w:rPr>
          <w:spacing w:val="-2"/>
        </w:rPr>
        <w:t>, although less than the previous year, by the number of debts temporarily paused due to natural disasters, such as the NSW floods in March 2021.</w:t>
      </w:r>
    </w:p>
    <w:p w:rsidR="00260042" w:rsidRDefault="00260042" w:rsidP="00260042">
      <w:pPr>
        <w:pStyle w:val="BodyText"/>
      </w:pPr>
      <w:r>
        <w:t xml:space="preserve">For more information, see </w:t>
      </w:r>
      <w:r>
        <w:rPr>
          <w:rStyle w:val="Italic"/>
        </w:rPr>
        <w:t>Debt management</w:t>
      </w:r>
      <w:r>
        <w:t xml:space="preserve"> at page 154.</w:t>
      </w:r>
    </w:p>
    <w:p w:rsidR="00260042" w:rsidRDefault="00260042" w:rsidP="00260042">
      <w:pPr>
        <w:pStyle w:val="BodyText"/>
        <w:spacing w:after="0"/>
        <w:rPr>
          <w:rStyle w:val="Bold"/>
        </w:rPr>
      </w:pPr>
      <w:r>
        <w:rPr>
          <w:rStyle w:val="Bold"/>
        </w:rPr>
        <w:t>REFERENCE</w:t>
      </w:r>
    </w:p>
    <w:p w:rsidR="00260042" w:rsidRDefault="00260042" w:rsidP="00260042">
      <w:pPr>
        <w:pStyle w:val="BodyText"/>
        <w:spacing w:after="57"/>
      </w:pPr>
      <w:r>
        <w:t>2020–21 Portfolio Budget Statements, page 234</w:t>
      </w:r>
      <w:r>
        <w:br/>
        <w:t>2020–21 Corporate Plan, page 15</w:t>
      </w:r>
    </w:p>
    <w:p w:rsidR="00260042" w:rsidRDefault="00260042" w:rsidP="00260042">
      <w:pPr>
        <w:pStyle w:val="BodyText"/>
        <w:spacing w:before="57" w:after="0"/>
        <w:rPr>
          <w:rStyle w:val="Bold"/>
        </w:rPr>
      </w:pPr>
      <w:r>
        <w:rPr>
          <w:rStyle w:val="Bold"/>
        </w:rPr>
        <w:t>DATA SOURCE</w:t>
      </w:r>
    </w:p>
    <w:p w:rsidR="00260042" w:rsidRDefault="00260042" w:rsidP="00260042">
      <w:pPr>
        <w:pStyle w:val="BodyText"/>
        <w:spacing w:after="57"/>
      </w:pPr>
      <w:r>
        <w:t>Enterprise Data Warehouse.</w:t>
      </w:r>
    </w:p>
    <w:p w:rsidR="00260042" w:rsidRDefault="00260042" w:rsidP="00260042">
      <w:pPr>
        <w:pStyle w:val="BodyText"/>
        <w:keepNext/>
        <w:spacing w:before="57" w:after="0"/>
        <w:rPr>
          <w:rStyle w:val="Bold"/>
          <w:caps/>
        </w:rPr>
      </w:pPr>
      <w:r>
        <w:rPr>
          <w:rStyle w:val="Bold"/>
          <w:caps/>
        </w:rPr>
        <w:t>Notes and Definitions</w:t>
      </w:r>
    </w:p>
    <w:p w:rsidR="00260042" w:rsidRDefault="00260042" w:rsidP="00260042">
      <w:pPr>
        <w:pStyle w:val="BodyText"/>
        <w:spacing w:after="57"/>
      </w:pPr>
      <w:r>
        <w:t xml:space="preserve">The definition for a current debt recovery arrangement is that: </w:t>
      </w:r>
    </w:p>
    <w:p w:rsidR="00260042" w:rsidRDefault="00260042" w:rsidP="008930A3">
      <w:pPr>
        <w:pStyle w:val="ListBullet"/>
      </w:pPr>
      <w:r>
        <w:t>the debt has been determined and the customer owes the agency the current outstanding amount</w:t>
      </w:r>
    </w:p>
    <w:p w:rsidR="00260042" w:rsidRDefault="00260042" w:rsidP="00EA5510">
      <w:pPr>
        <w:pStyle w:val="ListBullet"/>
      </w:pPr>
      <w:proofErr w:type="gramStart"/>
      <w:r>
        <w:t>the</w:t>
      </w:r>
      <w:proofErr w:type="gramEnd"/>
      <w:r>
        <w:t xml:space="preserve"> customer has a current, pending, future or broken (recent) arrangement in place at the reporting date.</w:t>
      </w:r>
    </w:p>
    <w:p w:rsidR="00260042" w:rsidRDefault="00260042" w:rsidP="00260042">
      <w:pPr>
        <w:pStyle w:val="BodyText"/>
      </w:pPr>
      <w:r>
        <w:t xml:space="preserve">A broken arrangement is where a customer has a current payment arrangement in place, however, has missed their regular agreed ongoing payment. The system allows a </w:t>
      </w:r>
      <w:proofErr w:type="gramStart"/>
      <w:r>
        <w:t>period of time</w:t>
      </w:r>
      <w:proofErr w:type="gramEnd"/>
      <w:r>
        <w:t xml:space="preserve"> where the payment is overdue before it is no longer considered an agreed payment arrangement and it is cancelled. When this happens, the debt </w:t>
      </w:r>
      <w:proofErr w:type="gramStart"/>
      <w:r>
        <w:t>is no longer considered</w:t>
      </w:r>
      <w:proofErr w:type="gramEnd"/>
      <w:r>
        <w:t xml:space="preserve"> to be under arrangement.</w:t>
      </w:r>
    </w:p>
    <w:p w:rsidR="00260042" w:rsidRDefault="00260042" w:rsidP="003A3F3F">
      <w:pPr>
        <w:pStyle w:val="Heading5"/>
      </w:pPr>
      <w:r w:rsidRPr="003A3F3F">
        <w:t>Performance</w:t>
      </w:r>
      <w:r>
        <w:t xml:space="preserve"> measure 5 — Achievement of face-to-face service level standards: average wait time</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4 — Achievement of payment integrity standards: Centrelink: debt under recovery"/>
      </w:tblPr>
      <w:tblGrid>
        <w:gridCol w:w="1508"/>
        <w:gridCol w:w="2372"/>
        <w:gridCol w:w="2076"/>
        <w:gridCol w:w="1906"/>
        <w:gridCol w:w="2928"/>
      </w:tblGrid>
      <w:tr w:rsidR="00260042" w:rsidRPr="003A3F3F" w:rsidTr="003A3F3F">
        <w:trPr>
          <w:trHeight w:val="376"/>
          <w:tblHeader/>
        </w:trPr>
        <w:tc>
          <w:tcPr>
            <w:tcW w:w="699" w:type="pct"/>
          </w:tcPr>
          <w:p w:rsidR="00260042" w:rsidRPr="003A3F3F" w:rsidRDefault="00260042" w:rsidP="003A3F3F">
            <w:pPr>
              <w:pStyle w:val="BodyText"/>
              <w:rPr>
                <w:b/>
              </w:rPr>
            </w:pPr>
            <w:r w:rsidRPr="003A3F3F">
              <w:rPr>
                <w:b/>
              </w:rPr>
              <w:t>Year</w:t>
            </w:r>
          </w:p>
        </w:tc>
        <w:tc>
          <w:tcPr>
            <w:tcW w:w="1099" w:type="pct"/>
          </w:tcPr>
          <w:p w:rsidR="00260042" w:rsidRPr="003A3F3F" w:rsidRDefault="00260042" w:rsidP="003A3F3F">
            <w:pPr>
              <w:pStyle w:val="BodyText"/>
              <w:rPr>
                <w:b/>
              </w:rPr>
            </w:pPr>
            <w:r w:rsidRPr="003A3F3F">
              <w:rPr>
                <w:b/>
              </w:rPr>
              <w:t>Target</w:t>
            </w:r>
          </w:p>
        </w:tc>
        <w:tc>
          <w:tcPr>
            <w:tcW w:w="962" w:type="pct"/>
          </w:tcPr>
          <w:p w:rsidR="00260042" w:rsidRPr="003A3F3F" w:rsidRDefault="00260042" w:rsidP="003A3F3F">
            <w:pPr>
              <w:pStyle w:val="BodyText"/>
              <w:rPr>
                <w:b/>
              </w:rPr>
            </w:pPr>
            <w:r w:rsidRPr="003A3F3F">
              <w:rPr>
                <w:b/>
              </w:rPr>
              <w:t>Result</w:t>
            </w:r>
          </w:p>
        </w:tc>
        <w:tc>
          <w:tcPr>
            <w:tcW w:w="883" w:type="pct"/>
          </w:tcPr>
          <w:p w:rsidR="00260042" w:rsidRPr="003A3F3F" w:rsidRDefault="00260042" w:rsidP="003A3F3F">
            <w:pPr>
              <w:pStyle w:val="BodyText"/>
              <w:rPr>
                <w:b/>
              </w:rPr>
            </w:pPr>
            <w:r w:rsidRPr="003A3F3F">
              <w:rPr>
                <w:b/>
              </w:rPr>
              <w:t>Achieved</w:t>
            </w:r>
          </w:p>
        </w:tc>
        <w:tc>
          <w:tcPr>
            <w:tcW w:w="1357" w:type="pct"/>
          </w:tcPr>
          <w:p w:rsidR="00260042" w:rsidRPr="003A3F3F" w:rsidRDefault="00260042" w:rsidP="003A3F3F">
            <w:pPr>
              <w:pStyle w:val="BodyText"/>
              <w:rPr>
                <w:b/>
              </w:rPr>
            </w:pPr>
            <w:r w:rsidRPr="003A3F3F">
              <w:rPr>
                <w:b/>
              </w:rPr>
              <w:t>Change on previous year +/–</w:t>
            </w:r>
          </w:p>
        </w:tc>
      </w:tr>
      <w:tr w:rsidR="00260042" w:rsidTr="003A3F3F">
        <w:trPr>
          <w:trHeight w:val="376"/>
        </w:trPr>
        <w:tc>
          <w:tcPr>
            <w:tcW w:w="699" w:type="pct"/>
          </w:tcPr>
          <w:p w:rsidR="00260042" w:rsidRDefault="00260042" w:rsidP="003A3F3F">
            <w:pPr>
              <w:pStyle w:val="BodyText"/>
            </w:pPr>
            <w:r>
              <w:t>2020–21</w:t>
            </w:r>
          </w:p>
        </w:tc>
        <w:tc>
          <w:tcPr>
            <w:tcW w:w="1099" w:type="pct"/>
          </w:tcPr>
          <w:p w:rsidR="00260042" w:rsidRDefault="00260042" w:rsidP="003A3F3F">
            <w:pPr>
              <w:pStyle w:val="BodyText"/>
            </w:pPr>
            <w:r>
              <w:t>≤15 minutes</w:t>
            </w:r>
          </w:p>
        </w:tc>
        <w:tc>
          <w:tcPr>
            <w:tcW w:w="962" w:type="pct"/>
          </w:tcPr>
          <w:p w:rsidR="00260042" w:rsidRDefault="00260042" w:rsidP="003A3F3F">
            <w:pPr>
              <w:pStyle w:val="BodyText"/>
            </w:pPr>
            <w:r>
              <w:t>8 minutes 58 seconds</w:t>
            </w:r>
          </w:p>
        </w:tc>
        <w:tc>
          <w:tcPr>
            <w:tcW w:w="883" w:type="pct"/>
          </w:tcPr>
          <w:p w:rsidR="00260042" w:rsidRDefault="00260042" w:rsidP="003A3F3F">
            <w:pPr>
              <w:pStyle w:val="BodyText"/>
            </w:pPr>
            <w:r>
              <w:rPr>
                <w:rStyle w:val="Bulletcolour"/>
                <w:rFonts w:ascii="Wingdings" w:hAnsi="Wingdings" w:cs="Wingdings"/>
              </w:rPr>
              <w:t></w:t>
            </w:r>
          </w:p>
        </w:tc>
        <w:tc>
          <w:tcPr>
            <w:tcW w:w="1357" w:type="pct"/>
          </w:tcPr>
          <w:p w:rsidR="00260042" w:rsidRDefault="00260042" w:rsidP="003A3F3F">
            <w:pPr>
              <w:pStyle w:val="BodyText"/>
            </w:pPr>
            <w:r>
              <w:t>–5 minutes 18 seconds</w:t>
            </w:r>
          </w:p>
        </w:tc>
      </w:tr>
      <w:tr w:rsidR="00260042" w:rsidTr="003A3F3F">
        <w:trPr>
          <w:trHeight w:val="376"/>
        </w:trPr>
        <w:tc>
          <w:tcPr>
            <w:tcW w:w="699" w:type="pct"/>
          </w:tcPr>
          <w:p w:rsidR="00260042" w:rsidRDefault="00260042" w:rsidP="003A3F3F">
            <w:pPr>
              <w:pStyle w:val="BodyText"/>
            </w:pPr>
            <w:r>
              <w:t>2019–20</w:t>
            </w:r>
          </w:p>
        </w:tc>
        <w:tc>
          <w:tcPr>
            <w:tcW w:w="1099" w:type="pct"/>
          </w:tcPr>
          <w:p w:rsidR="00260042" w:rsidRDefault="00260042" w:rsidP="003A3F3F">
            <w:pPr>
              <w:pStyle w:val="BodyText"/>
            </w:pPr>
            <w:r>
              <w:t>≤15 minutes</w:t>
            </w:r>
          </w:p>
        </w:tc>
        <w:tc>
          <w:tcPr>
            <w:tcW w:w="962" w:type="pct"/>
          </w:tcPr>
          <w:p w:rsidR="00260042" w:rsidRDefault="00260042" w:rsidP="003A3F3F">
            <w:pPr>
              <w:pStyle w:val="BodyText"/>
            </w:pPr>
            <w:r>
              <w:t>14 minutes 16 seconds</w:t>
            </w:r>
          </w:p>
        </w:tc>
        <w:tc>
          <w:tcPr>
            <w:tcW w:w="883" w:type="pct"/>
          </w:tcPr>
          <w:p w:rsidR="00260042" w:rsidRDefault="00260042" w:rsidP="003A3F3F">
            <w:pPr>
              <w:pStyle w:val="BodyText"/>
            </w:pPr>
            <w:r>
              <w:rPr>
                <w:rStyle w:val="Bulletcolour"/>
                <w:rFonts w:ascii="Wingdings" w:hAnsi="Wingdings" w:cs="Wingdings"/>
              </w:rPr>
              <w:t></w:t>
            </w:r>
          </w:p>
        </w:tc>
        <w:tc>
          <w:tcPr>
            <w:tcW w:w="1357" w:type="pct"/>
          </w:tcPr>
          <w:p w:rsidR="00260042" w:rsidRDefault="00260042" w:rsidP="003A3F3F">
            <w:pPr>
              <w:pStyle w:val="BodyText"/>
            </w:pPr>
            <w:r>
              <w:rPr>
                <w:spacing w:val="-6"/>
              </w:rPr>
              <w:t>–54 seconds</w:t>
            </w:r>
          </w:p>
        </w:tc>
      </w:tr>
      <w:tr w:rsidR="00260042" w:rsidTr="003A3F3F">
        <w:trPr>
          <w:trHeight w:val="376"/>
        </w:trPr>
        <w:tc>
          <w:tcPr>
            <w:tcW w:w="699" w:type="pct"/>
          </w:tcPr>
          <w:p w:rsidR="00260042" w:rsidRDefault="00260042" w:rsidP="003A3F3F">
            <w:pPr>
              <w:pStyle w:val="BodyText"/>
            </w:pPr>
            <w:r>
              <w:t>2018–19</w:t>
            </w:r>
          </w:p>
        </w:tc>
        <w:tc>
          <w:tcPr>
            <w:tcW w:w="1099" w:type="pct"/>
          </w:tcPr>
          <w:p w:rsidR="00260042" w:rsidRDefault="00260042" w:rsidP="003A3F3F">
            <w:pPr>
              <w:pStyle w:val="BodyText"/>
            </w:pPr>
            <w:r>
              <w:t>≤15 minutes</w:t>
            </w:r>
          </w:p>
        </w:tc>
        <w:tc>
          <w:tcPr>
            <w:tcW w:w="962" w:type="pct"/>
          </w:tcPr>
          <w:p w:rsidR="00260042" w:rsidRDefault="00260042" w:rsidP="003A3F3F">
            <w:pPr>
              <w:pStyle w:val="BodyText"/>
            </w:pPr>
            <w:r>
              <w:t>15 minutes 10 seconds</w:t>
            </w:r>
          </w:p>
        </w:tc>
        <w:tc>
          <w:tcPr>
            <w:tcW w:w="883" w:type="pct"/>
          </w:tcPr>
          <w:p w:rsidR="00260042" w:rsidRDefault="00260042" w:rsidP="003A3F3F">
            <w:pPr>
              <w:pStyle w:val="BodyText"/>
            </w:pPr>
            <w:r>
              <w:rPr>
                <w:rStyle w:val="Bulletcolour"/>
                <w:rFonts w:ascii="Wingdings" w:hAnsi="Wingdings" w:cs="Wingdings"/>
              </w:rPr>
              <w:t></w:t>
            </w:r>
          </w:p>
        </w:tc>
        <w:tc>
          <w:tcPr>
            <w:tcW w:w="1357" w:type="pct"/>
          </w:tcPr>
          <w:p w:rsidR="00260042" w:rsidRDefault="00260042" w:rsidP="003A3F3F">
            <w:pPr>
              <w:pStyle w:val="BodyText"/>
            </w:pPr>
            <w:r>
              <w:rPr>
                <w:spacing w:val="-4"/>
              </w:rPr>
              <w:t>+21 seconds</w:t>
            </w:r>
          </w:p>
        </w:tc>
      </w:tr>
    </w:tbl>
    <w:p w:rsidR="00260042" w:rsidRDefault="00260042" w:rsidP="00260042">
      <w:pPr>
        <w:pStyle w:val="BodyText"/>
        <w:spacing w:after="0"/>
      </w:pPr>
      <w:r>
        <w:rPr>
          <w:rStyle w:val="Bold"/>
          <w:caps/>
        </w:rPr>
        <w:lastRenderedPageBreak/>
        <w:t>Analysis</w:t>
      </w:r>
    </w:p>
    <w:p w:rsidR="00260042" w:rsidRDefault="00260042" w:rsidP="00260042">
      <w:pPr>
        <w:pStyle w:val="BodyText"/>
      </w:pPr>
      <w:r>
        <w:t xml:space="preserve">The agency achieved the annual target with substantial improvement on the 2019–20 wait time result. The reduction in the wait time was due to a number of reasons, such as the effect of COVID-19 pandemic temporary lockdowns across the country, as well as face-to-face transformation improvements and digital enhancements, including appointment-based servicing and voice biometrics. For more information, see </w:t>
      </w:r>
      <w:r>
        <w:rPr>
          <w:rStyle w:val="Italic"/>
        </w:rPr>
        <w:t>Service delivery modernisation</w:t>
      </w:r>
      <w:r>
        <w:t xml:space="preserve"> at page 10. </w:t>
      </w:r>
    </w:p>
    <w:p w:rsidR="00260042" w:rsidRDefault="00260042" w:rsidP="00260042">
      <w:pPr>
        <w:pStyle w:val="BodyText"/>
      </w:pPr>
      <w:r>
        <w:t xml:space="preserve">Resourcing levels for face-to-face were maintained and the reduction in customer contacts provided the agency the opportunity to divert staff to other workload priorities such as telephony and processing. </w:t>
      </w:r>
    </w:p>
    <w:p w:rsidR="00260042" w:rsidRDefault="00260042" w:rsidP="00260042">
      <w:pPr>
        <w:pStyle w:val="BodyText"/>
      </w:pPr>
      <w:r>
        <w:t>The agency will continue to focus on balancing face-to-face service demand with other workload priorities to ensure we continue to support Australians in their times of need.</w:t>
      </w:r>
    </w:p>
    <w:p w:rsidR="00260042" w:rsidRDefault="00260042" w:rsidP="00260042">
      <w:pPr>
        <w:pStyle w:val="BodyText"/>
      </w:pPr>
      <w:r>
        <w:t xml:space="preserve">For more information on the agency’s modernisation agenda for </w:t>
      </w:r>
      <w:r>
        <w:rPr>
          <w:rStyle w:val="Italic"/>
        </w:rPr>
        <w:t>Service centres</w:t>
      </w:r>
      <w:r>
        <w:t>, see page 13.</w:t>
      </w:r>
    </w:p>
    <w:tbl>
      <w:tblPr>
        <w:tblStyle w:val="TableGrid"/>
        <w:tblW w:w="5000" w:type="pct"/>
        <w:tblLook w:val="0000" w:firstRow="0" w:lastRow="0" w:firstColumn="0" w:lastColumn="0" w:noHBand="0" w:noVBand="0"/>
        <w:tblCaption w:val="Customers wait time "/>
      </w:tblPr>
      <w:tblGrid>
        <w:gridCol w:w="4611"/>
        <w:gridCol w:w="2059"/>
        <w:gridCol w:w="2059"/>
        <w:gridCol w:w="2061"/>
      </w:tblGrid>
      <w:tr w:rsidR="00260042" w:rsidTr="00254EA6">
        <w:trPr>
          <w:trHeight w:val="376"/>
          <w:tblHeader/>
        </w:trPr>
        <w:tc>
          <w:tcPr>
            <w:tcW w:w="2137" w:type="pct"/>
          </w:tcPr>
          <w:p w:rsidR="00260042" w:rsidRDefault="00260042" w:rsidP="00254EA6">
            <w:pPr>
              <w:pStyle w:val="BodyText"/>
            </w:pPr>
          </w:p>
        </w:tc>
        <w:tc>
          <w:tcPr>
            <w:tcW w:w="954" w:type="pct"/>
          </w:tcPr>
          <w:p w:rsidR="00260042" w:rsidRDefault="00260042" w:rsidP="00254EA6">
            <w:pPr>
              <w:pStyle w:val="BodyText"/>
              <w:jc w:val="right"/>
            </w:pPr>
            <w:r>
              <w:rPr>
                <w:rStyle w:val="Bold"/>
              </w:rPr>
              <w:t>2018–19</w:t>
            </w:r>
          </w:p>
        </w:tc>
        <w:tc>
          <w:tcPr>
            <w:tcW w:w="954" w:type="pct"/>
          </w:tcPr>
          <w:p w:rsidR="00260042" w:rsidRDefault="00260042" w:rsidP="00254EA6">
            <w:pPr>
              <w:pStyle w:val="BodyText"/>
              <w:jc w:val="right"/>
            </w:pPr>
            <w:r>
              <w:rPr>
                <w:rStyle w:val="Bold"/>
              </w:rPr>
              <w:t>2019–20</w:t>
            </w:r>
          </w:p>
        </w:tc>
        <w:tc>
          <w:tcPr>
            <w:tcW w:w="955" w:type="pct"/>
          </w:tcPr>
          <w:p w:rsidR="00260042" w:rsidRDefault="00260042" w:rsidP="00254EA6">
            <w:pPr>
              <w:pStyle w:val="BodyText"/>
              <w:jc w:val="right"/>
            </w:pPr>
            <w:r>
              <w:rPr>
                <w:rStyle w:val="Bold"/>
              </w:rPr>
              <w:t>2020–21</w:t>
            </w:r>
          </w:p>
        </w:tc>
      </w:tr>
      <w:tr w:rsidR="00260042" w:rsidTr="00254EA6">
        <w:trPr>
          <w:trHeight w:val="397"/>
        </w:trPr>
        <w:tc>
          <w:tcPr>
            <w:tcW w:w="2137" w:type="pct"/>
          </w:tcPr>
          <w:p w:rsidR="00260042" w:rsidRDefault="00260042" w:rsidP="00254EA6">
            <w:pPr>
              <w:pStyle w:val="BodyText"/>
            </w:pPr>
            <w:r>
              <w:t>Customers wait time less than or equal to 15 minutes</w:t>
            </w:r>
          </w:p>
        </w:tc>
        <w:tc>
          <w:tcPr>
            <w:tcW w:w="954" w:type="pct"/>
          </w:tcPr>
          <w:p w:rsidR="00260042" w:rsidRDefault="00260042" w:rsidP="00254EA6">
            <w:pPr>
              <w:pStyle w:val="BodyText"/>
              <w:jc w:val="right"/>
            </w:pPr>
            <w:r>
              <w:t>8.2 million</w:t>
            </w:r>
          </w:p>
        </w:tc>
        <w:tc>
          <w:tcPr>
            <w:tcW w:w="954" w:type="pct"/>
          </w:tcPr>
          <w:p w:rsidR="00260042" w:rsidRDefault="00260042" w:rsidP="00254EA6">
            <w:pPr>
              <w:pStyle w:val="BodyText"/>
              <w:jc w:val="right"/>
            </w:pPr>
            <w:r>
              <w:t>7.8 million</w:t>
            </w:r>
          </w:p>
        </w:tc>
        <w:tc>
          <w:tcPr>
            <w:tcW w:w="955" w:type="pct"/>
          </w:tcPr>
          <w:p w:rsidR="00260042" w:rsidRDefault="00260042" w:rsidP="00254EA6">
            <w:pPr>
              <w:pStyle w:val="BodyText"/>
              <w:jc w:val="right"/>
            </w:pPr>
            <w:r>
              <w:t>6.4 million</w:t>
            </w:r>
          </w:p>
        </w:tc>
      </w:tr>
      <w:tr w:rsidR="00260042" w:rsidTr="00254EA6">
        <w:trPr>
          <w:trHeight w:val="376"/>
        </w:trPr>
        <w:tc>
          <w:tcPr>
            <w:tcW w:w="2137" w:type="pct"/>
          </w:tcPr>
          <w:p w:rsidR="00260042" w:rsidRDefault="00260042" w:rsidP="00254EA6">
            <w:pPr>
              <w:pStyle w:val="BodyText"/>
            </w:pPr>
            <w:r>
              <w:t>Customers wait time more than 15 minutes</w:t>
            </w:r>
          </w:p>
        </w:tc>
        <w:tc>
          <w:tcPr>
            <w:tcW w:w="954" w:type="pct"/>
          </w:tcPr>
          <w:p w:rsidR="00260042" w:rsidRDefault="00260042" w:rsidP="00254EA6">
            <w:pPr>
              <w:pStyle w:val="BodyText"/>
              <w:jc w:val="right"/>
            </w:pPr>
            <w:r>
              <w:t>5.3 million</w:t>
            </w:r>
          </w:p>
        </w:tc>
        <w:tc>
          <w:tcPr>
            <w:tcW w:w="954" w:type="pct"/>
          </w:tcPr>
          <w:p w:rsidR="00260042" w:rsidRDefault="00260042" w:rsidP="00254EA6">
            <w:pPr>
              <w:pStyle w:val="BodyText"/>
              <w:jc w:val="right"/>
            </w:pPr>
            <w:r>
              <w:t>4.4 million</w:t>
            </w:r>
          </w:p>
        </w:tc>
        <w:tc>
          <w:tcPr>
            <w:tcW w:w="955" w:type="pct"/>
          </w:tcPr>
          <w:p w:rsidR="00260042" w:rsidRDefault="00260042" w:rsidP="00254EA6">
            <w:pPr>
              <w:pStyle w:val="BodyText"/>
              <w:jc w:val="right"/>
            </w:pPr>
            <w:r>
              <w:t>1.9 million</w:t>
            </w:r>
          </w:p>
        </w:tc>
      </w:tr>
      <w:tr w:rsidR="00260042" w:rsidTr="00254EA6">
        <w:trPr>
          <w:trHeight w:val="376"/>
        </w:trPr>
        <w:tc>
          <w:tcPr>
            <w:tcW w:w="2137" w:type="pct"/>
          </w:tcPr>
          <w:p w:rsidR="00260042" w:rsidRDefault="00260042" w:rsidP="00254EA6">
            <w:pPr>
              <w:pStyle w:val="BodyText"/>
            </w:pPr>
            <w:r>
              <w:rPr>
                <w:rStyle w:val="Bold"/>
              </w:rPr>
              <w:t>Total recorded contacts</w:t>
            </w:r>
          </w:p>
        </w:tc>
        <w:tc>
          <w:tcPr>
            <w:tcW w:w="954" w:type="pct"/>
          </w:tcPr>
          <w:p w:rsidR="00260042" w:rsidRDefault="00260042" w:rsidP="00254EA6">
            <w:pPr>
              <w:pStyle w:val="BodyText"/>
              <w:jc w:val="right"/>
            </w:pPr>
            <w:r>
              <w:rPr>
                <w:rStyle w:val="Bold"/>
              </w:rPr>
              <w:t>13.8 million</w:t>
            </w:r>
          </w:p>
        </w:tc>
        <w:tc>
          <w:tcPr>
            <w:tcW w:w="954" w:type="pct"/>
          </w:tcPr>
          <w:p w:rsidR="00260042" w:rsidRDefault="00260042" w:rsidP="00254EA6">
            <w:pPr>
              <w:pStyle w:val="BodyText"/>
              <w:jc w:val="right"/>
            </w:pPr>
            <w:r>
              <w:rPr>
                <w:rStyle w:val="Bold"/>
              </w:rPr>
              <w:t>12.3 million</w:t>
            </w:r>
          </w:p>
        </w:tc>
        <w:tc>
          <w:tcPr>
            <w:tcW w:w="955" w:type="pct"/>
          </w:tcPr>
          <w:p w:rsidR="00260042" w:rsidRDefault="00260042" w:rsidP="00254EA6">
            <w:pPr>
              <w:pStyle w:val="BodyText"/>
              <w:jc w:val="right"/>
            </w:pPr>
            <w:r>
              <w:rPr>
                <w:rStyle w:val="Bold"/>
              </w:rPr>
              <w:t>8.4 million</w:t>
            </w:r>
          </w:p>
        </w:tc>
      </w:tr>
      <w:tr w:rsidR="00260042" w:rsidTr="00254EA6">
        <w:trPr>
          <w:trHeight w:val="376"/>
        </w:trPr>
        <w:tc>
          <w:tcPr>
            <w:tcW w:w="2137" w:type="pct"/>
          </w:tcPr>
          <w:p w:rsidR="00260042" w:rsidRDefault="00260042" w:rsidP="00254EA6">
            <w:pPr>
              <w:pStyle w:val="BodyText"/>
            </w:pPr>
            <w:r>
              <w:t>Abandoned contacts</w:t>
            </w:r>
          </w:p>
        </w:tc>
        <w:tc>
          <w:tcPr>
            <w:tcW w:w="954" w:type="pct"/>
          </w:tcPr>
          <w:p w:rsidR="00260042" w:rsidRDefault="00260042" w:rsidP="00254EA6">
            <w:pPr>
              <w:pStyle w:val="BodyText"/>
              <w:jc w:val="right"/>
            </w:pPr>
            <w:r>
              <w:t xml:space="preserve"> 0.3 million</w:t>
            </w:r>
          </w:p>
        </w:tc>
        <w:tc>
          <w:tcPr>
            <w:tcW w:w="954" w:type="pct"/>
          </w:tcPr>
          <w:p w:rsidR="00260042" w:rsidRDefault="00260042" w:rsidP="00254EA6">
            <w:pPr>
              <w:pStyle w:val="BodyText"/>
              <w:jc w:val="right"/>
            </w:pPr>
            <w:r>
              <w:t xml:space="preserve"> 0.2 million</w:t>
            </w:r>
          </w:p>
        </w:tc>
        <w:tc>
          <w:tcPr>
            <w:tcW w:w="955" w:type="pct"/>
          </w:tcPr>
          <w:p w:rsidR="00260042" w:rsidRDefault="00260042" w:rsidP="00254EA6">
            <w:pPr>
              <w:pStyle w:val="BodyText"/>
              <w:jc w:val="right"/>
            </w:pPr>
            <w:r>
              <w:t xml:space="preserve"> 0.07 million</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234</w:t>
      </w:r>
      <w:r>
        <w:br/>
        <w:t>2020–21 Corporate Plan, page 15</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SAPUI5 Front of House application.</w:t>
      </w:r>
    </w:p>
    <w:p w:rsidR="00260042" w:rsidRDefault="00260042" w:rsidP="00260042">
      <w:pPr>
        <w:pStyle w:val="BodyText"/>
        <w:spacing w:after="0"/>
        <w:rPr>
          <w:rStyle w:val="Bold"/>
          <w:caps/>
        </w:rPr>
      </w:pPr>
      <w:r>
        <w:rPr>
          <w:rStyle w:val="Bold"/>
          <w:caps/>
        </w:rPr>
        <w:t>Notes and Definitions</w:t>
      </w:r>
    </w:p>
    <w:p w:rsidR="00260042" w:rsidRDefault="00260042" w:rsidP="008930A3">
      <w:pPr>
        <w:pStyle w:val="ListBullet"/>
      </w:pPr>
      <w:r>
        <w:t>SAPUI5 Front of House application is a single browser-based application that operates on both desktop and mobile devices to manage front-of-house customer contacts.</w:t>
      </w:r>
    </w:p>
    <w:p w:rsidR="00260042" w:rsidRDefault="00260042" w:rsidP="008930A3">
      <w:pPr>
        <w:pStyle w:val="ListBullet"/>
      </w:pPr>
      <w:r>
        <w:t xml:space="preserve">Abandoned contacts refers to the count of customers booked into the Virtual Wait Room that left the service centre before </w:t>
      </w:r>
      <w:proofErr w:type="gramStart"/>
      <w:r>
        <w:t>being served</w:t>
      </w:r>
      <w:proofErr w:type="gramEnd"/>
      <w:r>
        <w:t xml:space="preserve">. </w:t>
      </w:r>
    </w:p>
    <w:p w:rsidR="00260042" w:rsidRDefault="00260042" w:rsidP="00EA5510">
      <w:pPr>
        <w:pStyle w:val="ListBullet"/>
      </w:pPr>
      <w:r>
        <w:t xml:space="preserve">Abandoned contacts are not included in the calculation, as the measure calculates how long customers have waited to </w:t>
      </w:r>
      <w:proofErr w:type="gramStart"/>
      <w:r>
        <w:t>be served</w:t>
      </w:r>
      <w:proofErr w:type="gramEnd"/>
      <w:r>
        <w:t xml:space="preserve"> by a service officer.</w:t>
      </w:r>
    </w:p>
    <w:p w:rsidR="00260042" w:rsidRDefault="00260042" w:rsidP="00254EA6">
      <w:pPr>
        <w:pStyle w:val="Heading5"/>
      </w:pPr>
      <w:r>
        <w:t xml:space="preserve">Performance </w:t>
      </w:r>
      <w:r w:rsidRPr="00254EA6">
        <w:t>measure</w:t>
      </w:r>
      <w:r>
        <w:t xml:space="preserve"> 6 — Achievement of telephony service level standards: average speed of answer</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6 — Achievement of telephony service level standards: average speed of answer"/>
      </w:tblPr>
      <w:tblGrid>
        <w:gridCol w:w="1661"/>
        <w:gridCol w:w="2372"/>
        <w:gridCol w:w="2076"/>
        <w:gridCol w:w="1729"/>
        <w:gridCol w:w="2952"/>
      </w:tblGrid>
      <w:tr w:rsidR="00260042" w:rsidTr="00254EA6">
        <w:trPr>
          <w:trHeight w:val="376"/>
          <w:tblHeader/>
        </w:trPr>
        <w:tc>
          <w:tcPr>
            <w:tcW w:w="769" w:type="pct"/>
          </w:tcPr>
          <w:p w:rsidR="00260042" w:rsidRPr="00254EA6" w:rsidRDefault="00260042" w:rsidP="00254EA6">
            <w:pPr>
              <w:pStyle w:val="BodyText"/>
              <w:rPr>
                <w:b/>
              </w:rPr>
            </w:pPr>
            <w:r w:rsidRPr="00254EA6">
              <w:rPr>
                <w:b/>
              </w:rPr>
              <w:lastRenderedPageBreak/>
              <w:t>Year</w:t>
            </w:r>
          </w:p>
        </w:tc>
        <w:tc>
          <w:tcPr>
            <w:tcW w:w="1099" w:type="pct"/>
          </w:tcPr>
          <w:p w:rsidR="00260042" w:rsidRPr="00254EA6" w:rsidRDefault="00260042" w:rsidP="00254EA6">
            <w:pPr>
              <w:pStyle w:val="BodyText"/>
              <w:rPr>
                <w:b/>
              </w:rPr>
            </w:pPr>
            <w:r w:rsidRPr="00254EA6">
              <w:rPr>
                <w:b/>
              </w:rPr>
              <w:t>Target</w:t>
            </w:r>
          </w:p>
        </w:tc>
        <w:tc>
          <w:tcPr>
            <w:tcW w:w="962" w:type="pct"/>
          </w:tcPr>
          <w:p w:rsidR="00260042" w:rsidRPr="00254EA6" w:rsidRDefault="00260042" w:rsidP="00254EA6">
            <w:pPr>
              <w:pStyle w:val="BodyText"/>
              <w:rPr>
                <w:b/>
              </w:rPr>
            </w:pPr>
            <w:r w:rsidRPr="00254EA6">
              <w:rPr>
                <w:b/>
              </w:rPr>
              <w:t>Result</w:t>
            </w:r>
          </w:p>
        </w:tc>
        <w:tc>
          <w:tcPr>
            <w:tcW w:w="801" w:type="pct"/>
          </w:tcPr>
          <w:p w:rsidR="00260042" w:rsidRPr="00254EA6" w:rsidRDefault="00260042" w:rsidP="00254EA6">
            <w:pPr>
              <w:pStyle w:val="BodyText"/>
              <w:rPr>
                <w:b/>
              </w:rPr>
            </w:pPr>
            <w:r w:rsidRPr="00254EA6">
              <w:rPr>
                <w:b/>
              </w:rPr>
              <w:t>Achieved</w:t>
            </w:r>
          </w:p>
        </w:tc>
        <w:tc>
          <w:tcPr>
            <w:tcW w:w="1368" w:type="pct"/>
          </w:tcPr>
          <w:p w:rsidR="00260042" w:rsidRPr="00254EA6" w:rsidRDefault="00260042" w:rsidP="00254EA6">
            <w:pPr>
              <w:pStyle w:val="BodyText"/>
              <w:rPr>
                <w:b/>
              </w:rPr>
            </w:pPr>
            <w:r w:rsidRPr="00254EA6">
              <w:rPr>
                <w:b/>
              </w:rPr>
              <w:t>Change on previous year +/–</w:t>
            </w:r>
          </w:p>
        </w:tc>
      </w:tr>
      <w:tr w:rsidR="00260042" w:rsidTr="00254EA6">
        <w:trPr>
          <w:trHeight w:val="376"/>
        </w:trPr>
        <w:tc>
          <w:tcPr>
            <w:tcW w:w="769" w:type="pct"/>
          </w:tcPr>
          <w:p w:rsidR="00260042" w:rsidRDefault="00260042" w:rsidP="00254EA6">
            <w:pPr>
              <w:pStyle w:val="BodyText"/>
            </w:pPr>
            <w:r>
              <w:t>2020–21</w:t>
            </w:r>
          </w:p>
        </w:tc>
        <w:tc>
          <w:tcPr>
            <w:tcW w:w="1099" w:type="pct"/>
          </w:tcPr>
          <w:p w:rsidR="00260042" w:rsidRDefault="00260042" w:rsidP="00254EA6">
            <w:pPr>
              <w:pStyle w:val="BodyText"/>
            </w:pPr>
            <w:r>
              <w:t>≤16 minutes</w:t>
            </w:r>
          </w:p>
        </w:tc>
        <w:tc>
          <w:tcPr>
            <w:tcW w:w="962" w:type="pct"/>
          </w:tcPr>
          <w:p w:rsidR="00260042" w:rsidRDefault="00260042" w:rsidP="00254EA6">
            <w:pPr>
              <w:pStyle w:val="BodyText"/>
            </w:pPr>
            <w:r>
              <w:t>6 minutes 2 seconds</w:t>
            </w:r>
          </w:p>
        </w:tc>
        <w:tc>
          <w:tcPr>
            <w:tcW w:w="801" w:type="pct"/>
          </w:tcPr>
          <w:p w:rsidR="00260042" w:rsidRDefault="00260042" w:rsidP="00254EA6">
            <w:pPr>
              <w:pStyle w:val="BodyText"/>
            </w:pPr>
            <w:r>
              <w:rPr>
                <w:rStyle w:val="Bulletcolour"/>
                <w:rFonts w:ascii="Wingdings" w:hAnsi="Wingdings" w:cs="Wingdings"/>
              </w:rPr>
              <w:t></w:t>
            </w:r>
          </w:p>
        </w:tc>
        <w:tc>
          <w:tcPr>
            <w:tcW w:w="1368" w:type="pct"/>
          </w:tcPr>
          <w:p w:rsidR="00260042" w:rsidRDefault="00260042" w:rsidP="00254EA6">
            <w:pPr>
              <w:pStyle w:val="BodyText"/>
            </w:pPr>
            <w:r>
              <w:t>–8 minutes 9 seconds</w:t>
            </w:r>
          </w:p>
        </w:tc>
      </w:tr>
      <w:tr w:rsidR="00260042" w:rsidTr="00254EA6">
        <w:trPr>
          <w:trHeight w:val="376"/>
        </w:trPr>
        <w:tc>
          <w:tcPr>
            <w:tcW w:w="769" w:type="pct"/>
          </w:tcPr>
          <w:p w:rsidR="00260042" w:rsidRDefault="00260042" w:rsidP="00254EA6">
            <w:pPr>
              <w:pStyle w:val="BodyText"/>
            </w:pPr>
            <w:r>
              <w:t>2019–20</w:t>
            </w:r>
          </w:p>
        </w:tc>
        <w:tc>
          <w:tcPr>
            <w:tcW w:w="1099" w:type="pct"/>
          </w:tcPr>
          <w:p w:rsidR="00260042" w:rsidRDefault="00260042" w:rsidP="00254EA6">
            <w:pPr>
              <w:pStyle w:val="BodyText"/>
            </w:pPr>
            <w:r>
              <w:t>≤16 minutes</w:t>
            </w:r>
          </w:p>
        </w:tc>
        <w:tc>
          <w:tcPr>
            <w:tcW w:w="962" w:type="pct"/>
          </w:tcPr>
          <w:p w:rsidR="00260042" w:rsidRDefault="00260042" w:rsidP="00254EA6">
            <w:pPr>
              <w:pStyle w:val="BodyText"/>
            </w:pPr>
            <w:r>
              <w:t>14 minutes 11 seconds</w:t>
            </w:r>
          </w:p>
        </w:tc>
        <w:tc>
          <w:tcPr>
            <w:tcW w:w="801" w:type="pct"/>
          </w:tcPr>
          <w:p w:rsidR="00260042" w:rsidRDefault="00260042" w:rsidP="00254EA6">
            <w:pPr>
              <w:pStyle w:val="BodyText"/>
            </w:pPr>
            <w:r>
              <w:rPr>
                <w:rStyle w:val="Bulletcolour"/>
                <w:rFonts w:ascii="Wingdings" w:hAnsi="Wingdings" w:cs="Wingdings"/>
              </w:rPr>
              <w:t></w:t>
            </w:r>
          </w:p>
        </w:tc>
        <w:tc>
          <w:tcPr>
            <w:tcW w:w="1368" w:type="pct"/>
          </w:tcPr>
          <w:p w:rsidR="00260042" w:rsidRDefault="00260042" w:rsidP="00254EA6">
            <w:pPr>
              <w:pStyle w:val="BodyText"/>
            </w:pPr>
            <w:r>
              <w:t>–1 minute 21 seconds</w:t>
            </w:r>
          </w:p>
        </w:tc>
      </w:tr>
      <w:tr w:rsidR="00260042" w:rsidTr="00254EA6">
        <w:trPr>
          <w:trHeight w:val="376"/>
        </w:trPr>
        <w:tc>
          <w:tcPr>
            <w:tcW w:w="769" w:type="pct"/>
          </w:tcPr>
          <w:p w:rsidR="00260042" w:rsidRDefault="00260042" w:rsidP="00254EA6">
            <w:pPr>
              <w:pStyle w:val="BodyText"/>
            </w:pPr>
            <w:r>
              <w:t>2018–19</w:t>
            </w:r>
          </w:p>
        </w:tc>
        <w:tc>
          <w:tcPr>
            <w:tcW w:w="1099" w:type="pct"/>
          </w:tcPr>
          <w:p w:rsidR="00260042" w:rsidRDefault="00260042" w:rsidP="00254EA6">
            <w:pPr>
              <w:pStyle w:val="BodyText"/>
            </w:pPr>
            <w:r>
              <w:t>≤16 minutes</w:t>
            </w:r>
          </w:p>
        </w:tc>
        <w:tc>
          <w:tcPr>
            <w:tcW w:w="962" w:type="pct"/>
          </w:tcPr>
          <w:p w:rsidR="00260042" w:rsidRDefault="00260042" w:rsidP="00254EA6">
            <w:pPr>
              <w:pStyle w:val="BodyText"/>
            </w:pPr>
            <w:r>
              <w:t>15 minutes 32 seconds</w:t>
            </w:r>
          </w:p>
        </w:tc>
        <w:tc>
          <w:tcPr>
            <w:tcW w:w="801" w:type="pct"/>
          </w:tcPr>
          <w:p w:rsidR="00260042" w:rsidRDefault="00260042" w:rsidP="00254EA6">
            <w:pPr>
              <w:pStyle w:val="BodyText"/>
            </w:pPr>
            <w:r>
              <w:rPr>
                <w:rStyle w:val="Bulletcolour"/>
                <w:rFonts w:ascii="Wingdings" w:hAnsi="Wingdings" w:cs="Wingdings"/>
              </w:rPr>
              <w:t></w:t>
            </w:r>
          </w:p>
        </w:tc>
        <w:tc>
          <w:tcPr>
            <w:tcW w:w="1368" w:type="pct"/>
          </w:tcPr>
          <w:p w:rsidR="00260042" w:rsidRDefault="00260042" w:rsidP="00254EA6">
            <w:pPr>
              <w:pStyle w:val="BodyText"/>
            </w:pPr>
            <w:r>
              <w:rPr>
                <w:spacing w:val="-6"/>
              </w:rPr>
              <w:t>–26 seconds</w:t>
            </w:r>
          </w:p>
        </w:tc>
      </w:tr>
    </w:tbl>
    <w:p w:rsidR="00260042" w:rsidRDefault="00260042" w:rsidP="00260042">
      <w:pPr>
        <w:pStyle w:val="BodyText"/>
        <w:spacing w:after="0"/>
      </w:pPr>
      <w:r>
        <w:rPr>
          <w:rStyle w:val="Bold"/>
          <w:caps/>
        </w:rPr>
        <w:t>Analysis</w:t>
      </w:r>
    </w:p>
    <w:p w:rsidR="00260042" w:rsidRDefault="00260042" w:rsidP="00260042">
      <w:pPr>
        <w:pStyle w:val="BodyText"/>
      </w:pPr>
      <w:r>
        <w:t xml:space="preserve">The agency achieved the annual target despite demand for telephony services remaining high </w:t>
      </w:r>
      <w:proofErr w:type="gramStart"/>
      <w:r>
        <w:t>as a result</w:t>
      </w:r>
      <w:proofErr w:type="gramEnd"/>
      <w:r>
        <w:t xml:space="preserve"> of the COVID-19 pandemic. The 2020–21 result is the best the agency has achieved since reporting on this measure commenced in 2012–13.</w:t>
      </w:r>
    </w:p>
    <w:p w:rsidR="00260042" w:rsidRDefault="00260042" w:rsidP="00260042">
      <w:pPr>
        <w:pStyle w:val="BodyText"/>
      </w:pPr>
      <w:r>
        <w:t>In 2020–21, the agency answered 19 million SSW calls with the average speed of answer (ASA) for customers reducing by over 8 minutes compared to the previous year.</w:t>
      </w:r>
    </w:p>
    <w:p w:rsidR="00260042" w:rsidRDefault="00260042" w:rsidP="00260042">
      <w:pPr>
        <w:pStyle w:val="BodyText"/>
        <w:rPr>
          <w:spacing w:val="-3"/>
        </w:rPr>
      </w:pPr>
      <w:proofErr w:type="gramStart"/>
      <w:r>
        <w:t xml:space="preserve">Performance was aided by additional staff from within the agency and across </w:t>
      </w:r>
      <w:r>
        <w:rPr>
          <w:spacing w:val="-3"/>
        </w:rPr>
        <w:t>government supporting the initial COVID-19 pandemic response</w:t>
      </w:r>
      <w:proofErr w:type="gramEnd"/>
      <w:r>
        <w:rPr>
          <w:spacing w:val="-3"/>
        </w:rPr>
        <w:t xml:space="preserve">. This momentum </w:t>
      </w:r>
      <w:r>
        <w:t xml:space="preserve">continued throughout the </w:t>
      </w:r>
      <w:proofErr w:type="gramStart"/>
      <w:r>
        <w:t>year and the results were achieved by using a mature planning and forecasting model</w:t>
      </w:r>
      <w:proofErr w:type="gramEnd"/>
      <w:r>
        <w:t xml:space="preserve"> and ensuring there was sufficient workforce available to manage the workload.</w:t>
      </w:r>
    </w:p>
    <w:p w:rsidR="00260042" w:rsidRDefault="00260042" w:rsidP="00260042">
      <w:pPr>
        <w:pStyle w:val="BodyText"/>
      </w:pPr>
      <w:r>
        <w:t xml:space="preserve">High customer contact through telephony channels was due to a number of natural disasters and the ongoing economic impacts of the COVID-19 pandemic exacerbated by reduced face-to-face capacity. The agency successfully balanced its role in assisting with disaster responses against its business-as-usual workload, in addition to </w:t>
      </w:r>
      <w:proofErr w:type="gramStart"/>
      <w:r>
        <w:t>being supported</w:t>
      </w:r>
      <w:proofErr w:type="gramEnd"/>
      <w:r>
        <w:t xml:space="preserve"> by innovative solutions such as voice biometrics. For more information on</w:t>
      </w:r>
      <w:r>
        <w:rPr>
          <w:rStyle w:val="Italic"/>
        </w:rPr>
        <w:t xml:space="preserve"> voice biometrics</w:t>
      </w:r>
      <w:r>
        <w:t>, see page 15.</w:t>
      </w:r>
    </w:p>
    <w:p w:rsidR="00260042" w:rsidRDefault="00260042" w:rsidP="00260042">
      <w:pPr>
        <w:pStyle w:val="BodyText"/>
      </w:pPr>
      <w:r>
        <w:t>The table below provides a comparison of SSW calls the agency answered across the three financial years.</w:t>
      </w:r>
    </w:p>
    <w:tbl>
      <w:tblPr>
        <w:tblStyle w:val="TableGrid"/>
        <w:tblW w:w="5000" w:type="pct"/>
        <w:tblLook w:val="0000" w:firstRow="0" w:lastRow="0" w:firstColumn="0" w:lastColumn="0" w:noHBand="0" w:noVBand="0"/>
        <w:tblCaption w:val="comparison of SSW calls the agency answered across the three financial years."/>
      </w:tblPr>
      <w:tblGrid>
        <w:gridCol w:w="4611"/>
        <w:gridCol w:w="2059"/>
        <w:gridCol w:w="2059"/>
        <w:gridCol w:w="2061"/>
      </w:tblGrid>
      <w:tr w:rsidR="00260042" w:rsidTr="00B56650">
        <w:trPr>
          <w:trHeight w:val="376"/>
          <w:tblHeader/>
        </w:trPr>
        <w:tc>
          <w:tcPr>
            <w:tcW w:w="2137" w:type="pct"/>
          </w:tcPr>
          <w:p w:rsidR="00260042" w:rsidRDefault="00260042" w:rsidP="00B56650">
            <w:pPr>
              <w:pStyle w:val="BodyText"/>
            </w:pPr>
          </w:p>
        </w:tc>
        <w:tc>
          <w:tcPr>
            <w:tcW w:w="954" w:type="pct"/>
          </w:tcPr>
          <w:p w:rsidR="00260042" w:rsidRDefault="00260042" w:rsidP="00B56650">
            <w:pPr>
              <w:pStyle w:val="BodyText"/>
              <w:jc w:val="right"/>
            </w:pPr>
            <w:r>
              <w:rPr>
                <w:rStyle w:val="Bold"/>
              </w:rPr>
              <w:t>2018–19</w:t>
            </w:r>
          </w:p>
        </w:tc>
        <w:tc>
          <w:tcPr>
            <w:tcW w:w="954" w:type="pct"/>
          </w:tcPr>
          <w:p w:rsidR="00260042" w:rsidRDefault="00260042" w:rsidP="00B56650">
            <w:pPr>
              <w:pStyle w:val="BodyText"/>
              <w:jc w:val="right"/>
            </w:pPr>
            <w:r>
              <w:rPr>
                <w:rStyle w:val="Bold"/>
              </w:rPr>
              <w:t>2019–20</w:t>
            </w:r>
          </w:p>
        </w:tc>
        <w:tc>
          <w:tcPr>
            <w:tcW w:w="955" w:type="pct"/>
          </w:tcPr>
          <w:p w:rsidR="00260042" w:rsidRDefault="00260042" w:rsidP="00B56650">
            <w:pPr>
              <w:pStyle w:val="BodyText"/>
              <w:jc w:val="right"/>
            </w:pPr>
            <w:r>
              <w:rPr>
                <w:rStyle w:val="Bold"/>
              </w:rPr>
              <w:t>2020–21</w:t>
            </w:r>
          </w:p>
        </w:tc>
      </w:tr>
      <w:tr w:rsidR="00260042" w:rsidTr="00B56650">
        <w:trPr>
          <w:trHeight w:val="397"/>
        </w:trPr>
        <w:tc>
          <w:tcPr>
            <w:tcW w:w="2137" w:type="pct"/>
          </w:tcPr>
          <w:p w:rsidR="00260042" w:rsidRDefault="00260042" w:rsidP="00B56650">
            <w:pPr>
              <w:pStyle w:val="BodyText"/>
            </w:pPr>
            <w:r>
              <w:t>Disability, Sickness and Carers answered</w:t>
            </w:r>
          </w:p>
        </w:tc>
        <w:tc>
          <w:tcPr>
            <w:tcW w:w="954" w:type="pct"/>
          </w:tcPr>
          <w:p w:rsidR="00260042" w:rsidRDefault="00260042" w:rsidP="00B56650">
            <w:pPr>
              <w:pStyle w:val="BodyText"/>
              <w:jc w:val="right"/>
            </w:pPr>
            <w:r>
              <w:t>1.1 million</w:t>
            </w:r>
          </w:p>
        </w:tc>
        <w:tc>
          <w:tcPr>
            <w:tcW w:w="954" w:type="pct"/>
          </w:tcPr>
          <w:p w:rsidR="00260042" w:rsidRDefault="00260042" w:rsidP="00B56650">
            <w:pPr>
              <w:pStyle w:val="BodyText"/>
              <w:jc w:val="right"/>
            </w:pPr>
            <w:r>
              <w:t>1.2 million</w:t>
            </w:r>
          </w:p>
        </w:tc>
        <w:tc>
          <w:tcPr>
            <w:tcW w:w="955" w:type="pct"/>
          </w:tcPr>
          <w:p w:rsidR="00260042" w:rsidRDefault="00260042" w:rsidP="00B56650">
            <w:pPr>
              <w:pStyle w:val="BodyText"/>
              <w:jc w:val="right"/>
            </w:pPr>
            <w:r>
              <w:t>1.5 million</w:t>
            </w:r>
          </w:p>
        </w:tc>
      </w:tr>
      <w:tr w:rsidR="00260042" w:rsidTr="00B56650">
        <w:trPr>
          <w:trHeight w:val="376"/>
        </w:trPr>
        <w:tc>
          <w:tcPr>
            <w:tcW w:w="2137" w:type="pct"/>
          </w:tcPr>
          <w:p w:rsidR="00260042" w:rsidRDefault="00260042" w:rsidP="00B56650">
            <w:pPr>
              <w:pStyle w:val="BodyText"/>
            </w:pPr>
            <w:r>
              <w:t>Employment Services answered</w:t>
            </w:r>
          </w:p>
        </w:tc>
        <w:tc>
          <w:tcPr>
            <w:tcW w:w="954" w:type="pct"/>
          </w:tcPr>
          <w:p w:rsidR="00260042" w:rsidRDefault="00260042" w:rsidP="00B56650">
            <w:pPr>
              <w:pStyle w:val="BodyText"/>
              <w:jc w:val="right"/>
            </w:pPr>
            <w:r>
              <w:t>1.8 million</w:t>
            </w:r>
          </w:p>
        </w:tc>
        <w:tc>
          <w:tcPr>
            <w:tcW w:w="954" w:type="pct"/>
          </w:tcPr>
          <w:p w:rsidR="00260042" w:rsidRDefault="00260042" w:rsidP="00B56650">
            <w:pPr>
              <w:pStyle w:val="BodyText"/>
              <w:jc w:val="right"/>
            </w:pPr>
            <w:r>
              <w:t>2.5 million</w:t>
            </w:r>
          </w:p>
        </w:tc>
        <w:tc>
          <w:tcPr>
            <w:tcW w:w="955" w:type="pct"/>
          </w:tcPr>
          <w:p w:rsidR="00260042" w:rsidRDefault="00260042" w:rsidP="00B56650">
            <w:pPr>
              <w:pStyle w:val="BodyText"/>
              <w:jc w:val="right"/>
            </w:pPr>
            <w:r>
              <w:t>3.1 million</w:t>
            </w:r>
          </w:p>
        </w:tc>
      </w:tr>
      <w:tr w:rsidR="00260042" w:rsidTr="00B56650">
        <w:trPr>
          <w:trHeight w:val="376"/>
        </w:trPr>
        <w:tc>
          <w:tcPr>
            <w:tcW w:w="2137" w:type="pct"/>
          </w:tcPr>
          <w:p w:rsidR="00260042" w:rsidRDefault="00260042" w:rsidP="00B56650">
            <w:pPr>
              <w:pStyle w:val="BodyText"/>
            </w:pPr>
            <w:r>
              <w:t>Families and Parenting answered</w:t>
            </w:r>
          </w:p>
        </w:tc>
        <w:tc>
          <w:tcPr>
            <w:tcW w:w="954" w:type="pct"/>
          </w:tcPr>
          <w:p w:rsidR="00260042" w:rsidRDefault="00260042" w:rsidP="00B56650">
            <w:pPr>
              <w:pStyle w:val="BodyText"/>
              <w:jc w:val="right"/>
            </w:pPr>
            <w:r>
              <w:t>3.8 million</w:t>
            </w:r>
          </w:p>
        </w:tc>
        <w:tc>
          <w:tcPr>
            <w:tcW w:w="954" w:type="pct"/>
          </w:tcPr>
          <w:p w:rsidR="00260042" w:rsidRDefault="00260042" w:rsidP="00B56650">
            <w:pPr>
              <w:pStyle w:val="BodyText"/>
              <w:jc w:val="right"/>
            </w:pPr>
            <w:r>
              <w:t>3.4 million</w:t>
            </w:r>
          </w:p>
        </w:tc>
        <w:tc>
          <w:tcPr>
            <w:tcW w:w="955" w:type="pct"/>
          </w:tcPr>
          <w:p w:rsidR="00260042" w:rsidRDefault="00260042" w:rsidP="00B56650">
            <w:pPr>
              <w:pStyle w:val="BodyText"/>
              <w:jc w:val="right"/>
            </w:pPr>
            <w:r>
              <w:t>3.7 million</w:t>
            </w:r>
          </w:p>
        </w:tc>
      </w:tr>
      <w:tr w:rsidR="00260042" w:rsidTr="00B56650">
        <w:trPr>
          <w:trHeight w:val="376"/>
        </w:trPr>
        <w:tc>
          <w:tcPr>
            <w:tcW w:w="2137" w:type="pct"/>
          </w:tcPr>
          <w:p w:rsidR="00260042" w:rsidRDefault="00260042" w:rsidP="00B56650">
            <w:pPr>
              <w:pStyle w:val="BodyText"/>
            </w:pPr>
            <w:r>
              <w:t>Older Australians answered</w:t>
            </w:r>
          </w:p>
        </w:tc>
        <w:tc>
          <w:tcPr>
            <w:tcW w:w="954" w:type="pct"/>
          </w:tcPr>
          <w:p w:rsidR="00260042" w:rsidRDefault="00260042" w:rsidP="00B56650">
            <w:pPr>
              <w:pStyle w:val="BodyText"/>
              <w:jc w:val="right"/>
            </w:pPr>
            <w:r>
              <w:t>0.8 million</w:t>
            </w:r>
          </w:p>
        </w:tc>
        <w:tc>
          <w:tcPr>
            <w:tcW w:w="954" w:type="pct"/>
          </w:tcPr>
          <w:p w:rsidR="00260042" w:rsidRDefault="00260042" w:rsidP="00B56650">
            <w:pPr>
              <w:pStyle w:val="BodyText"/>
              <w:jc w:val="right"/>
            </w:pPr>
            <w:r>
              <w:t>0.8 million</w:t>
            </w:r>
          </w:p>
        </w:tc>
        <w:tc>
          <w:tcPr>
            <w:tcW w:w="955" w:type="pct"/>
          </w:tcPr>
          <w:p w:rsidR="00260042" w:rsidRDefault="00260042" w:rsidP="00B56650">
            <w:pPr>
              <w:pStyle w:val="BodyText"/>
              <w:jc w:val="right"/>
            </w:pPr>
            <w:r>
              <w:t>1.2 million</w:t>
            </w:r>
          </w:p>
        </w:tc>
      </w:tr>
      <w:tr w:rsidR="00260042" w:rsidTr="00B56650">
        <w:trPr>
          <w:trHeight w:val="376"/>
        </w:trPr>
        <w:tc>
          <w:tcPr>
            <w:tcW w:w="2137" w:type="pct"/>
          </w:tcPr>
          <w:p w:rsidR="00260042" w:rsidRDefault="00260042" w:rsidP="00B56650">
            <w:pPr>
              <w:pStyle w:val="BodyText"/>
            </w:pPr>
            <w:r>
              <w:t>Youth and Students answered</w:t>
            </w:r>
          </w:p>
        </w:tc>
        <w:tc>
          <w:tcPr>
            <w:tcW w:w="954" w:type="pct"/>
          </w:tcPr>
          <w:p w:rsidR="00260042" w:rsidRDefault="00260042" w:rsidP="00B56650">
            <w:pPr>
              <w:pStyle w:val="BodyText"/>
              <w:jc w:val="right"/>
            </w:pPr>
            <w:r>
              <w:t>0.8 million</w:t>
            </w:r>
          </w:p>
        </w:tc>
        <w:tc>
          <w:tcPr>
            <w:tcW w:w="954" w:type="pct"/>
          </w:tcPr>
          <w:p w:rsidR="00260042" w:rsidRDefault="00260042" w:rsidP="00B56650">
            <w:pPr>
              <w:pStyle w:val="BodyText"/>
              <w:jc w:val="right"/>
            </w:pPr>
            <w:r>
              <w:t>1.0 million</w:t>
            </w:r>
          </w:p>
        </w:tc>
        <w:tc>
          <w:tcPr>
            <w:tcW w:w="955" w:type="pct"/>
          </w:tcPr>
          <w:p w:rsidR="00260042" w:rsidRDefault="00260042" w:rsidP="00B56650">
            <w:pPr>
              <w:pStyle w:val="BodyText"/>
              <w:jc w:val="right"/>
            </w:pPr>
            <w:r>
              <w:t>1.2 million</w:t>
            </w:r>
          </w:p>
        </w:tc>
      </w:tr>
      <w:tr w:rsidR="00260042" w:rsidTr="00B56650">
        <w:trPr>
          <w:trHeight w:val="376"/>
        </w:trPr>
        <w:tc>
          <w:tcPr>
            <w:tcW w:w="2137" w:type="pct"/>
          </w:tcPr>
          <w:p w:rsidR="00260042" w:rsidRDefault="00260042" w:rsidP="00B56650">
            <w:pPr>
              <w:pStyle w:val="BodyText"/>
            </w:pPr>
            <w:r>
              <w:lastRenderedPageBreak/>
              <w:t>All other answered</w:t>
            </w:r>
          </w:p>
        </w:tc>
        <w:tc>
          <w:tcPr>
            <w:tcW w:w="954" w:type="pct"/>
          </w:tcPr>
          <w:p w:rsidR="00260042" w:rsidRDefault="00260042" w:rsidP="00B56650">
            <w:pPr>
              <w:pStyle w:val="BodyText"/>
              <w:jc w:val="right"/>
            </w:pPr>
            <w:r>
              <w:t>8.0 million</w:t>
            </w:r>
          </w:p>
        </w:tc>
        <w:tc>
          <w:tcPr>
            <w:tcW w:w="954" w:type="pct"/>
          </w:tcPr>
          <w:p w:rsidR="00260042" w:rsidRDefault="00260042" w:rsidP="00B56650">
            <w:pPr>
              <w:pStyle w:val="BodyText"/>
              <w:jc w:val="right"/>
            </w:pPr>
            <w:r>
              <w:t>8.5 million</w:t>
            </w:r>
          </w:p>
        </w:tc>
        <w:tc>
          <w:tcPr>
            <w:tcW w:w="955" w:type="pct"/>
          </w:tcPr>
          <w:p w:rsidR="00260042" w:rsidRDefault="00260042" w:rsidP="00B56650">
            <w:pPr>
              <w:pStyle w:val="BodyText"/>
              <w:jc w:val="right"/>
            </w:pPr>
            <w:r>
              <w:t>8.2 million</w:t>
            </w:r>
          </w:p>
        </w:tc>
      </w:tr>
      <w:tr w:rsidR="00260042" w:rsidTr="00B56650">
        <w:trPr>
          <w:trHeight w:val="376"/>
        </w:trPr>
        <w:tc>
          <w:tcPr>
            <w:tcW w:w="2137" w:type="pct"/>
          </w:tcPr>
          <w:p w:rsidR="00260042" w:rsidRDefault="00260042" w:rsidP="00B56650">
            <w:pPr>
              <w:pStyle w:val="BodyText"/>
            </w:pPr>
            <w:r>
              <w:rPr>
                <w:rStyle w:val="Bold"/>
              </w:rPr>
              <w:t>Total calls answered</w:t>
            </w:r>
          </w:p>
        </w:tc>
        <w:tc>
          <w:tcPr>
            <w:tcW w:w="954" w:type="pct"/>
          </w:tcPr>
          <w:p w:rsidR="00260042" w:rsidRDefault="00260042" w:rsidP="00B56650">
            <w:pPr>
              <w:pStyle w:val="BodyText"/>
              <w:jc w:val="right"/>
            </w:pPr>
            <w:r>
              <w:rPr>
                <w:rStyle w:val="Bold"/>
              </w:rPr>
              <w:t>16.2 million</w:t>
            </w:r>
          </w:p>
        </w:tc>
        <w:tc>
          <w:tcPr>
            <w:tcW w:w="954" w:type="pct"/>
          </w:tcPr>
          <w:p w:rsidR="00260042" w:rsidRDefault="00260042" w:rsidP="00B56650">
            <w:pPr>
              <w:pStyle w:val="BodyText"/>
              <w:jc w:val="right"/>
            </w:pPr>
            <w:r>
              <w:rPr>
                <w:rStyle w:val="Bold"/>
              </w:rPr>
              <w:t>17.4 million</w:t>
            </w:r>
          </w:p>
        </w:tc>
        <w:tc>
          <w:tcPr>
            <w:tcW w:w="955" w:type="pct"/>
          </w:tcPr>
          <w:p w:rsidR="00260042" w:rsidRDefault="00260042" w:rsidP="00B56650">
            <w:pPr>
              <w:pStyle w:val="BodyText"/>
              <w:jc w:val="right"/>
            </w:pPr>
            <w:r>
              <w:rPr>
                <w:rStyle w:val="Bold"/>
              </w:rPr>
              <w:t>19.0 million</w:t>
            </w:r>
          </w:p>
        </w:tc>
      </w:tr>
      <w:tr w:rsidR="00260042" w:rsidTr="00B56650">
        <w:trPr>
          <w:trHeight w:val="376"/>
        </w:trPr>
        <w:tc>
          <w:tcPr>
            <w:tcW w:w="2137" w:type="pct"/>
          </w:tcPr>
          <w:p w:rsidR="00260042" w:rsidRDefault="00260042" w:rsidP="00B56650">
            <w:pPr>
              <w:pStyle w:val="BodyText"/>
            </w:pPr>
            <w:r>
              <w:rPr>
                <w:rStyle w:val="Bold"/>
                <w:spacing w:val="-6"/>
              </w:rPr>
              <w:t>Total customer terminated calls</w:t>
            </w:r>
          </w:p>
        </w:tc>
        <w:tc>
          <w:tcPr>
            <w:tcW w:w="954" w:type="pct"/>
          </w:tcPr>
          <w:p w:rsidR="00260042" w:rsidRDefault="00260042" w:rsidP="00B56650">
            <w:pPr>
              <w:pStyle w:val="BodyText"/>
              <w:jc w:val="right"/>
            </w:pPr>
            <w:r>
              <w:rPr>
                <w:rStyle w:val="Bold"/>
              </w:rPr>
              <w:t>4.2 million</w:t>
            </w:r>
          </w:p>
        </w:tc>
        <w:tc>
          <w:tcPr>
            <w:tcW w:w="954" w:type="pct"/>
          </w:tcPr>
          <w:p w:rsidR="00260042" w:rsidRDefault="00260042" w:rsidP="00B56650">
            <w:pPr>
              <w:pStyle w:val="BodyText"/>
              <w:jc w:val="right"/>
            </w:pPr>
            <w:r>
              <w:rPr>
                <w:rStyle w:val="Bold"/>
              </w:rPr>
              <w:t>4.1 million</w:t>
            </w:r>
          </w:p>
        </w:tc>
        <w:tc>
          <w:tcPr>
            <w:tcW w:w="955" w:type="pct"/>
          </w:tcPr>
          <w:p w:rsidR="00260042" w:rsidRDefault="00260042" w:rsidP="00B56650">
            <w:pPr>
              <w:pStyle w:val="BodyText"/>
              <w:jc w:val="right"/>
            </w:pPr>
            <w:r>
              <w:rPr>
                <w:rStyle w:val="Bold"/>
              </w:rPr>
              <w:t>2.0 million</w:t>
            </w:r>
          </w:p>
        </w:tc>
      </w:tr>
      <w:tr w:rsidR="00260042" w:rsidTr="00B56650">
        <w:trPr>
          <w:trHeight w:val="376"/>
        </w:trPr>
        <w:tc>
          <w:tcPr>
            <w:tcW w:w="2137" w:type="pct"/>
          </w:tcPr>
          <w:p w:rsidR="00260042" w:rsidRDefault="00260042" w:rsidP="00B56650">
            <w:pPr>
              <w:pStyle w:val="BodyText"/>
            </w:pPr>
            <w:r>
              <w:t>Disability, Sickness and Carers ASA</w:t>
            </w:r>
          </w:p>
        </w:tc>
        <w:tc>
          <w:tcPr>
            <w:tcW w:w="954" w:type="pct"/>
          </w:tcPr>
          <w:p w:rsidR="00260042" w:rsidRDefault="00260042" w:rsidP="00B56650">
            <w:pPr>
              <w:pStyle w:val="BodyText"/>
              <w:jc w:val="right"/>
            </w:pPr>
            <w:r>
              <w:t>26 minutes 0 seconds</w:t>
            </w:r>
          </w:p>
        </w:tc>
        <w:tc>
          <w:tcPr>
            <w:tcW w:w="954" w:type="pct"/>
          </w:tcPr>
          <w:p w:rsidR="00260042" w:rsidRDefault="00260042" w:rsidP="00B56650">
            <w:pPr>
              <w:pStyle w:val="BodyText"/>
              <w:jc w:val="right"/>
            </w:pPr>
            <w:r>
              <w:t>22 minutes 54 seconds</w:t>
            </w:r>
          </w:p>
        </w:tc>
        <w:tc>
          <w:tcPr>
            <w:tcW w:w="955" w:type="pct"/>
          </w:tcPr>
          <w:p w:rsidR="00260042" w:rsidRDefault="00260042" w:rsidP="00B56650">
            <w:pPr>
              <w:pStyle w:val="BodyText"/>
              <w:jc w:val="right"/>
            </w:pPr>
            <w:r>
              <w:t>6 minutes 47 seconds</w:t>
            </w:r>
          </w:p>
        </w:tc>
      </w:tr>
      <w:tr w:rsidR="00260042" w:rsidTr="00B56650">
        <w:trPr>
          <w:trHeight w:val="376"/>
        </w:trPr>
        <w:tc>
          <w:tcPr>
            <w:tcW w:w="2137" w:type="pct"/>
          </w:tcPr>
          <w:p w:rsidR="00260042" w:rsidRDefault="00260042" w:rsidP="00B56650">
            <w:pPr>
              <w:pStyle w:val="BodyText"/>
            </w:pPr>
            <w:r>
              <w:t>Employment Services ASA</w:t>
            </w:r>
          </w:p>
        </w:tc>
        <w:tc>
          <w:tcPr>
            <w:tcW w:w="954" w:type="pct"/>
          </w:tcPr>
          <w:p w:rsidR="00260042" w:rsidRDefault="00260042" w:rsidP="00B56650">
            <w:pPr>
              <w:pStyle w:val="BodyText"/>
              <w:jc w:val="right"/>
            </w:pPr>
            <w:r>
              <w:t>21 minutes 32 seconds</w:t>
            </w:r>
          </w:p>
        </w:tc>
        <w:tc>
          <w:tcPr>
            <w:tcW w:w="954" w:type="pct"/>
          </w:tcPr>
          <w:p w:rsidR="00260042" w:rsidRDefault="00260042" w:rsidP="00B56650">
            <w:pPr>
              <w:pStyle w:val="BodyText"/>
              <w:jc w:val="right"/>
            </w:pPr>
            <w:r>
              <w:t>19 minutes 29 seconds</w:t>
            </w:r>
          </w:p>
        </w:tc>
        <w:tc>
          <w:tcPr>
            <w:tcW w:w="955" w:type="pct"/>
          </w:tcPr>
          <w:p w:rsidR="00260042" w:rsidRDefault="00260042" w:rsidP="00B56650">
            <w:pPr>
              <w:pStyle w:val="BodyText"/>
              <w:jc w:val="right"/>
            </w:pPr>
            <w:r>
              <w:t>7 minutes 41 seconds</w:t>
            </w:r>
          </w:p>
        </w:tc>
      </w:tr>
      <w:tr w:rsidR="00260042" w:rsidTr="00B56650">
        <w:trPr>
          <w:trHeight w:val="376"/>
        </w:trPr>
        <w:tc>
          <w:tcPr>
            <w:tcW w:w="2137" w:type="pct"/>
          </w:tcPr>
          <w:p w:rsidR="00260042" w:rsidRDefault="00260042" w:rsidP="00B56650">
            <w:pPr>
              <w:pStyle w:val="BodyText"/>
            </w:pPr>
            <w:r>
              <w:t>Families and Parenting ASA</w:t>
            </w:r>
          </w:p>
        </w:tc>
        <w:tc>
          <w:tcPr>
            <w:tcW w:w="954" w:type="pct"/>
          </w:tcPr>
          <w:p w:rsidR="00260042" w:rsidRDefault="00260042" w:rsidP="00B56650">
            <w:pPr>
              <w:pStyle w:val="BodyText"/>
              <w:jc w:val="right"/>
            </w:pPr>
            <w:r>
              <w:t>20 minutes 4 seconds</w:t>
            </w:r>
          </w:p>
        </w:tc>
        <w:tc>
          <w:tcPr>
            <w:tcW w:w="954" w:type="pct"/>
          </w:tcPr>
          <w:p w:rsidR="00260042" w:rsidRDefault="00260042" w:rsidP="00B56650">
            <w:pPr>
              <w:pStyle w:val="BodyText"/>
              <w:jc w:val="right"/>
            </w:pPr>
            <w:r>
              <w:t>19 minutes 50 seconds</w:t>
            </w:r>
          </w:p>
        </w:tc>
        <w:tc>
          <w:tcPr>
            <w:tcW w:w="955" w:type="pct"/>
          </w:tcPr>
          <w:p w:rsidR="00260042" w:rsidRDefault="00260042" w:rsidP="00B56650">
            <w:pPr>
              <w:pStyle w:val="BodyText"/>
              <w:jc w:val="right"/>
            </w:pPr>
            <w:r>
              <w:t>8 minutes 0 seconds</w:t>
            </w:r>
          </w:p>
        </w:tc>
      </w:tr>
      <w:tr w:rsidR="00260042" w:rsidTr="00B56650">
        <w:trPr>
          <w:trHeight w:val="376"/>
        </w:trPr>
        <w:tc>
          <w:tcPr>
            <w:tcW w:w="2137" w:type="pct"/>
          </w:tcPr>
          <w:p w:rsidR="00260042" w:rsidRDefault="00260042" w:rsidP="00B56650">
            <w:pPr>
              <w:pStyle w:val="BodyText"/>
            </w:pPr>
            <w:r>
              <w:t>Older Australians ASA</w:t>
            </w:r>
          </w:p>
        </w:tc>
        <w:tc>
          <w:tcPr>
            <w:tcW w:w="954" w:type="pct"/>
          </w:tcPr>
          <w:p w:rsidR="00260042" w:rsidRDefault="00260042" w:rsidP="00B56650">
            <w:pPr>
              <w:pStyle w:val="BodyText"/>
              <w:jc w:val="right"/>
            </w:pPr>
            <w:r>
              <w:t>24 minutes 45 seconds</w:t>
            </w:r>
          </w:p>
        </w:tc>
        <w:tc>
          <w:tcPr>
            <w:tcW w:w="954" w:type="pct"/>
          </w:tcPr>
          <w:p w:rsidR="00260042" w:rsidRDefault="00260042" w:rsidP="00B56650">
            <w:pPr>
              <w:pStyle w:val="BodyText"/>
              <w:jc w:val="right"/>
            </w:pPr>
            <w:r>
              <w:t xml:space="preserve">20 minutes </w:t>
            </w:r>
            <w:r>
              <w:br/>
              <w:t>17 seconds</w:t>
            </w:r>
          </w:p>
        </w:tc>
        <w:tc>
          <w:tcPr>
            <w:tcW w:w="955" w:type="pct"/>
          </w:tcPr>
          <w:p w:rsidR="00260042" w:rsidRDefault="00260042" w:rsidP="00B56650">
            <w:pPr>
              <w:pStyle w:val="BodyText"/>
              <w:jc w:val="right"/>
            </w:pPr>
            <w:r>
              <w:t>8 minutes 5 seconds</w:t>
            </w:r>
          </w:p>
        </w:tc>
      </w:tr>
      <w:tr w:rsidR="00260042" w:rsidTr="00B56650">
        <w:trPr>
          <w:trHeight w:val="376"/>
        </w:trPr>
        <w:tc>
          <w:tcPr>
            <w:tcW w:w="2137" w:type="pct"/>
          </w:tcPr>
          <w:p w:rsidR="00260042" w:rsidRDefault="00260042" w:rsidP="00B56650">
            <w:pPr>
              <w:pStyle w:val="BodyText"/>
            </w:pPr>
            <w:r>
              <w:t>Youth and Students ASA</w:t>
            </w:r>
          </w:p>
        </w:tc>
        <w:tc>
          <w:tcPr>
            <w:tcW w:w="954" w:type="pct"/>
          </w:tcPr>
          <w:p w:rsidR="00260042" w:rsidRDefault="00260042" w:rsidP="00B56650">
            <w:pPr>
              <w:pStyle w:val="BodyText"/>
              <w:jc w:val="right"/>
            </w:pPr>
            <w:r>
              <w:t>25 minutes 20 seconds</w:t>
            </w:r>
          </w:p>
        </w:tc>
        <w:tc>
          <w:tcPr>
            <w:tcW w:w="954" w:type="pct"/>
          </w:tcPr>
          <w:p w:rsidR="00260042" w:rsidRDefault="00260042" w:rsidP="00B56650">
            <w:pPr>
              <w:pStyle w:val="BodyText"/>
              <w:jc w:val="right"/>
            </w:pPr>
            <w:r>
              <w:t>18 minutes 44 seconds</w:t>
            </w:r>
          </w:p>
        </w:tc>
        <w:tc>
          <w:tcPr>
            <w:tcW w:w="955" w:type="pct"/>
          </w:tcPr>
          <w:p w:rsidR="00260042" w:rsidRDefault="00260042" w:rsidP="00B56650">
            <w:pPr>
              <w:pStyle w:val="BodyText"/>
              <w:jc w:val="right"/>
            </w:pPr>
            <w:r>
              <w:t>6 minutes 7 seconds</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234</w:t>
      </w:r>
      <w:r>
        <w:br/>
        <w:t>2020–21 Corporate Plan, page 15</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Telstra Computer Telephony Interface files.</w:t>
      </w:r>
    </w:p>
    <w:p w:rsidR="00260042" w:rsidRDefault="00260042" w:rsidP="00260042">
      <w:pPr>
        <w:pStyle w:val="BodyText"/>
        <w:spacing w:after="0"/>
        <w:rPr>
          <w:rStyle w:val="Bold"/>
          <w:caps/>
        </w:rPr>
      </w:pPr>
      <w:r>
        <w:rPr>
          <w:rStyle w:val="Bold"/>
          <w:caps/>
        </w:rPr>
        <w:t>Notes and Definitions</w:t>
      </w:r>
    </w:p>
    <w:p w:rsidR="00260042" w:rsidRDefault="00260042" w:rsidP="008930A3">
      <w:pPr>
        <w:pStyle w:val="ListBullet"/>
      </w:pPr>
      <w:r>
        <w:t xml:space="preserve">Average speed of answer </w:t>
      </w:r>
      <w:proofErr w:type="gramStart"/>
      <w:r>
        <w:t>is measured</w:t>
      </w:r>
      <w:proofErr w:type="gramEnd"/>
      <w:r>
        <w:t xml:space="preserve"> from the time a customer enters the queue to the time their call is answered by a service officer.</w:t>
      </w:r>
    </w:p>
    <w:p w:rsidR="00260042" w:rsidRDefault="00260042" w:rsidP="008930A3">
      <w:pPr>
        <w:pStyle w:val="ListBullet"/>
      </w:pPr>
      <w:r>
        <w:t xml:space="preserve">Calls transferred internally between queues </w:t>
      </w:r>
      <w:proofErr w:type="gramStart"/>
      <w:r>
        <w:t>are counted</w:t>
      </w:r>
      <w:proofErr w:type="gramEnd"/>
      <w:r>
        <w:t xml:space="preserve"> as separate calls with separate wait times and are included in this calculation. </w:t>
      </w:r>
    </w:p>
    <w:p w:rsidR="00260042" w:rsidRDefault="00260042" w:rsidP="00EA5510">
      <w:pPr>
        <w:pStyle w:val="ListBullet"/>
      </w:pPr>
      <w:r>
        <w:t>Customer terminated calls are not included in the calculation as the calculation measures how long customers have waited to be answered only.</w:t>
      </w:r>
    </w:p>
    <w:p w:rsidR="00260042" w:rsidRDefault="00260042" w:rsidP="00B56650">
      <w:pPr>
        <w:pStyle w:val="Heading5"/>
      </w:pPr>
      <w:r>
        <w:t>Performance measure 7 — Achievement of processing service level standards: claims processed within standard</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7 — Achievement of processing service level standards: claims processed within standard"/>
      </w:tblPr>
      <w:tblGrid>
        <w:gridCol w:w="1564"/>
        <w:gridCol w:w="2372"/>
        <w:gridCol w:w="2076"/>
        <w:gridCol w:w="1757"/>
        <w:gridCol w:w="3021"/>
      </w:tblGrid>
      <w:tr w:rsidR="00260042" w:rsidRPr="00B56650" w:rsidTr="00B56650">
        <w:trPr>
          <w:trHeight w:val="376"/>
          <w:tblHeader/>
        </w:trPr>
        <w:tc>
          <w:tcPr>
            <w:tcW w:w="725" w:type="pct"/>
          </w:tcPr>
          <w:p w:rsidR="00260042" w:rsidRPr="00B56650" w:rsidRDefault="00260042" w:rsidP="00B56650">
            <w:pPr>
              <w:pStyle w:val="BodyText"/>
              <w:rPr>
                <w:b/>
              </w:rPr>
            </w:pPr>
            <w:r w:rsidRPr="00B56650">
              <w:rPr>
                <w:b/>
              </w:rPr>
              <w:t>Year</w:t>
            </w:r>
          </w:p>
        </w:tc>
        <w:tc>
          <w:tcPr>
            <w:tcW w:w="1099" w:type="pct"/>
          </w:tcPr>
          <w:p w:rsidR="00260042" w:rsidRPr="00B56650" w:rsidRDefault="00260042" w:rsidP="00B56650">
            <w:pPr>
              <w:pStyle w:val="BodyText"/>
              <w:rPr>
                <w:b/>
              </w:rPr>
            </w:pPr>
            <w:r w:rsidRPr="00B56650">
              <w:rPr>
                <w:b/>
              </w:rPr>
              <w:t>Target</w:t>
            </w:r>
          </w:p>
        </w:tc>
        <w:tc>
          <w:tcPr>
            <w:tcW w:w="962" w:type="pct"/>
          </w:tcPr>
          <w:p w:rsidR="00260042" w:rsidRPr="00B56650" w:rsidRDefault="00260042" w:rsidP="00B56650">
            <w:pPr>
              <w:pStyle w:val="BodyText"/>
              <w:rPr>
                <w:b/>
              </w:rPr>
            </w:pPr>
            <w:r w:rsidRPr="00B56650">
              <w:rPr>
                <w:b/>
              </w:rPr>
              <w:t>Result</w:t>
            </w:r>
          </w:p>
        </w:tc>
        <w:tc>
          <w:tcPr>
            <w:tcW w:w="814" w:type="pct"/>
          </w:tcPr>
          <w:p w:rsidR="00260042" w:rsidRPr="00B56650" w:rsidRDefault="00260042" w:rsidP="00B56650">
            <w:pPr>
              <w:pStyle w:val="BodyText"/>
              <w:rPr>
                <w:b/>
              </w:rPr>
            </w:pPr>
            <w:r w:rsidRPr="00B56650">
              <w:rPr>
                <w:b/>
              </w:rPr>
              <w:t>Achieved</w:t>
            </w:r>
          </w:p>
        </w:tc>
        <w:tc>
          <w:tcPr>
            <w:tcW w:w="1400" w:type="pct"/>
          </w:tcPr>
          <w:p w:rsidR="00260042" w:rsidRPr="00B56650" w:rsidRDefault="00260042" w:rsidP="00B56650">
            <w:pPr>
              <w:pStyle w:val="BodyText"/>
              <w:rPr>
                <w:b/>
              </w:rPr>
            </w:pPr>
            <w:r w:rsidRPr="00B56650">
              <w:rPr>
                <w:b/>
              </w:rPr>
              <w:t>Change on previous year +/–</w:t>
            </w:r>
          </w:p>
        </w:tc>
      </w:tr>
      <w:tr w:rsidR="00260042" w:rsidTr="00B56650">
        <w:trPr>
          <w:trHeight w:val="376"/>
        </w:trPr>
        <w:tc>
          <w:tcPr>
            <w:tcW w:w="725" w:type="pct"/>
          </w:tcPr>
          <w:p w:rsidR="00260042" w:rsidRDefault="00260042" w:rsidP="00B56650">
            <w:pPr>
              <w:pStyle w:val="BodyText"/>
            </w:pPr>
            <w:r>
              <w:t>2020–21</w:t>
            </w:r>
          </w:p>
        </w:tc>
        <w:tc>
          <w:tcPr>
            <w:tcW w:w="1099" w:type="pct"/>
          </w:tcPr>
          <w:p w:rsidR="00260042" w:rsidRDefault="00260042" w:rsidP="00B56650">
            <w:pPr>
              <w:pStyle w:val="BodyText"/>
            </w:pPr>
            <w:r>
              <w:t>≥82%</w:t>
            </w:r>
          </w:p>
        </w:tc>
        <w:tc>
          <w:tcPr>
            <w:tcW w:w="962" w:type="pct"/>
          </w:tcPr>
          <w:p w:rsidR="00260042" w:rsidRDefault="00260042" w:rsidP="00B56650">
            <w:pPr>
              <w:pStyle w:val="BodyText"/>
            </w:pPr>
            <w:r>
              <w:t>91.4%</w:t>
            </w:r>
          </w:p>
        </w:tc>
        <w:tc>
          <w:tcPr>
            <w:tcW w:w="814" w:type="pct"/>
          </w:tcPr>
          <w:p w:rsidR="00260042" w:rsidRDefault="00260042" w:rsidP="00B56650">
            <w:pPr>
              <w:pStyle w:val="BodyText"/>
            </w:pPr>
            <w:r>
              <w:rPr>
                <w:rStyle w:val="Bulletcolour"/>
                <w:rFonts w:ascii="Wingdings" w:hAnsi="Wingdings" w:cs="Wingdings"/>
              </w:rPr>
              <w:t></w:t>
            </w:r>
          </w:p>
        </w:tc>
        <w:tc>
          <w:tcPr>
            <w:tcW w:w="1400" w:type="pct"/>
          </w:tcPr>
          <w:p w:rsidR="00260042" w:rsidRDefault="00260042" w:rsidP="00B56650">
            <w:pPr>
              <w:pStyle w:val="BodyText"/>
            </w:pPr>
            <w:r>
              <w:t>+11.6%</w:t>
            </w:r>
          </w:p>
        </w:tc>
      </w:tr>
      <w:tr w:rsidR="00260042" w:rsidTr="00B56650">
        <w:trPr>
          <w:trHeight w:val="376"/>
        </w:trPr>
        <w:tc>
          <w:tcPr>
            <w:tcW w:w="725" w:type="pct"/>
          </w:tcPr>
          <w:p w:rsidR="00260042" w:rsidRDefault="00260042" w:rsidP="00B56650">
            <w:pPr>
              <w:pStyle w:val="BodyText"/>
            </w:pPr>
            <w:r>
              <w:lastRenderedPageBreak/>
              <w:t>2019–20</w:t>
            </w:r>
          </w:p>
        </w:tc>
        <w:tc>
          <w:tcPr>
            <w:tcW w:w="1099" w:type="pct"/>
          </w:tcPr>
          <w:p w:rsidR="00260042" w:rsidRDefault="00260042" w:rsidP="00B56650">
            <w:pPr>
              <w:pStyle w:val="BodyText"/>
            </w:pPr>
            <w:r>
              <w:t>≥82%</w:t>
            </w:r>
          </w:p>
        </w:tc>
        <w:tc>
          <w:tcPr>
            <w:tcW w:w="962" w:type="pct"/>
          </w:tcPr>
          <w:p w:rsidR="00260042" w:rsidRDefault="00260042" w:rsidP="00B56650">
            <w:pPr>
              <w:pStyle w:val="BodyText"/>
            </w:pPr>
            <w:r>
              <w:t>79.8%</w:t>
            </w:r>
          </w:p>
        </w:tc>
        <w:tc>
          <w:tcPr>
            <w:tcW w:w="814" w:type="pct"/>
          </w:tcPr>
          <w:p w:rsidR="00260042" w:rsidRDefault="00260042" w:rsidP="00B56650">
            <w:pPr>
              <w:pStyle w:val="BodyText"/>
            </w:pPr>
            <w:r>
              <w:rPr>
                <w:rStyle w:val="Bulletcolour"/>
                <w:rFonts w:ascii="Wingdings" w:hAnsi="Wingdings" w:cs="Wingdings"/>
              </w:rPr>
              <w:t></w:t>
            </w:r>
          </w:p>
        </w:tc>
        <w:tc>
          <w:tcPr>
            <w:tcW w:w="1400" w:type="pct"/>
          </w:tcPr>
          <w:p w:rsidR="00260042" w:rsidRDefault="00260042" w:rsidP="00B56650">
            <w:pPr>
              <w:pStyle w:val="BodyText"/>
            </w:pPr>
            <w:r>
              <w:t>+11.8%</w:t>
            </w:r>
          </w:p>
        </w:tc>
      </w:tr>
      <w:tr w:rsidR="00260042" w:rsidTr="00B56650">
        <w:trPr>
          <w:trHeight w:val="376"/>
        </w:trPr>
        <w:tc>
          <w:tcPr>
            <w:tcW w:w="725" w:type="pct"/>
          </w:tcPr>
          <w:p w:rsidR="00260042" w:rsidRDefault="00260042" w:rsidP="00B56650">
            <w:pPr>
              <w:pStyle w:val="BodyText"/>
            </w:pPr>
            <w:r>
              <w:t>2018–19</w:t>
            </w:r>
          </w:p>
        </w:tc>
        <w:tc>
          <w:tcPr>
            <w:tcW w:w="1099" w:type="pct"/>
          </w:tcPr>
          <w:p w:rsidR="00260042" w:rsidRDefault="00260042" w:rsidP="00B56650">
            <w:pPr>
              <w:pStyle w:val="BodyText"/>
            </w:pPr>
            <w:r>
              <w:t>≥82%</w:t>
            </w:r>
          </w:p>
        </w:tc>
        <w:tc>
          <w:tcPr>
            <w:tcW w:w="962" w:type="pct"/>
          </w:tcPr>
          <w:p w:rsidR="00260042" w:rsidRDefault="00260042" w:rsidP="00B56650">
            <w:pPr>
              <w:pStyle w:val="BodyText"/>
            </w:pPr>
            <w:r>
              <w:t>68.0%</w:t>
            </w:r>
          </w:p>
        </w:tc>
        <w:tc>
          <w:tcPr>
            <w:tcW w:w="814" w:type="pct"/>
          </w:tcPr>
          <w:p w:rsidR="00260042" w:rsidRDefault="00260042" w:rsidP="00B56650">
            <w:pPr>
              <w:pStyle w:val="BodyText"/>
            </w:pPr>
            <w:r>
              <w:rPr>
                <w:rStyle w:val="Bulletcolour"/>
                <w:rFonts w:ascii="Wingdings" w:hAnsi="Wingdings" w:cs="Wingdings"/>
              </w:rPr>
              <w:t></w:t>
            </w:r>
          </w:p>
        </w:tc>
        <w:tc>
          <w:tcPr>
            <w:tcW w:w="1400" w:type="pct"/>
          </w:tcPr>
          <w:p w:rsidR="00260042" w:rsidRDefault="00260042" w:rsidP="00B56650">
            <w:pPr>
              <w:pStyle w:val="BodyText"/>
            </w:pPr>
            <w:r>
              <w:t>–14.1%</w:t>
            </w:r>
          </w:p>
        </w:tc>
      </w:tr>
    </w:tbl>
    <w:p w:rsidR="00260042" w:rsidRDefault="00260042" w:rsidP="00260042">
      <w:pPr>
        <w:pStyle w:val="BodyText"/>
        <w:spacing w:after="0"/>
      </w:pPr>
      <w:r>
        <w:rPr>
          <w:rStyle w:val="Bold"/>
          <w:caps/>
        </w:rPr>
        <w:t>Analysis</w:t>
      </w:r>
    </w:p>
    <w:p w:rsidR="00260042" w:rsidRDefault="00260042" w:rsidP="00260042">
      <w:pPr>
        <w:pStyle w:val="BodyText"/>
      </w:pPr>
      <w:r>
        <w:t>The agency achieved the annual target with a substantial improvement on the 2019–20 result. This is the agency’s best result since reporting on this measure commenced in 2012–13.</w:t>
      </w:r>
    </w:p>
    <w:p w:rsidR="00260042" w:rsidRDefault="00260042" w:rsidP="00260042">
      <w:pPr>
        <w:pStyle w:val="BodyText"/>
      </w:pPr>
      <w:r>
        <w:t xml:space="preserve">The ongoing economic impacts of the COVID-19 pandemic saw the agency process around 500,000 more SSW claims than in 2019–20, and on average almost two weeks faster than the previous year. The results </w:t>
      </w:r>
      <w:proofErr w:type="gramStart"/>
      <w:r>
        <w:t>were achieved</w:t>
      </w:r>
      <w:proofErr w:type="gramEnd"/>
      <w:r>
        <w:t xml:space="preserve"> through a mature planning and forecasting model and prioritising resources to manage workload. </w:t>
      </w:r>
      <w:proofErr w:type="gramStart"/>
      <w:r>
        <w:t>Performance was also aided by the additional staff from within the agency and across government supporting the initial COVID-19 pandemic response</w:t>
      </w:r>
      <w:proofErr w:type="gramEnd"/>
      <w:r>
        <w:t xml:space="preserve">. </w:t>
      </w:r>
    </w:p>
    <w:p w:rsidR="00260042" w:rsidRDefault="00260042" w:rsidP="00260042">
      <w:pPr>
        <w:pStyle w:val="BodyText"/>
      </w:pPr>
      <w:r>
        <w:t>The agency continues to explore automation opportunities, system improvements and enhancements to digital services to process claims as quickly as possible, delivering a simple, helpful and transparent experience for Australians claiming a SSW payment.</w:t>
      </w:r>
    </w:p>
    <w:p w:rsidR="00260042" w:rsidRDefault="00260042" w:rsidP="00260042">
      <w:pPr>
        <w:pStyle w:val="BodyText"/>
        <w:spacing w:after="0"/>
      </w:pPr>
      <w:r>
        <w:t>The table below provides a comparison of the total SSW claims processed by the agency across the three financial years.</w:t>
      </w:r>
    </w:p>
    <w:tbl>
      <w:tblPr>
        <w:tblStyle w:val="TableGrid"/>
        <w:tblW w:w="5000" w:type="pct"/>
        <w:tblLook w:val="0000" w:firstRow="0" w:lastRow="0" w:firstColumn="0" w:lastColumn="0" w:noHBand="0" w:noVBand="0"/>
        <w:tblCaption w:val="comparison of the total SSW claims processed by the agency across the three financial years."/>
      </w:tblPr>
      <w:tblGrid>
        <w:gridCol w:w="4611"/>
        <w:gridCol w:w="2059"/>
        <w:gridCol w:w="2059"/>
        <w:gridCol w:w="2061"/>
      </w:tblGrid>
      <w:tr w:rsidR="00260042" w:rsidTr="00B56650">
        <w:trPr>
          <w:trHeight w:val="376"/>
          <w:tblHeader/>
        </w:trPr>
        <w:tc>
          <w:tcPr>
            <w:tcW w:w="2137" w:type="pct"/>
          </w:tcPr>
          <w:p w:rsidR="00260042" w:rsidRDefault="00260042" w:rsidP="00B56650">
            <w:pPr>
              <w:pStyle w:val="BodyText"/>
            </w:pPr>
          </w:p>
        </w:tc>
        <w:tc>
          <w:tcPr>
            <w:tcW w:w="954" w:type="pct"/>
          </w:tcPr>
          <w:p w:rsidR="00260042" w:rsidRDefault="00260042" w:rsidP="00B56650">
            <w:pPr>
              <w:pStyle w:val="BodyText"/>
              <w:jc w:val="right"/>
            </w:pPr>
            <w:r>
              <w:rPr>
                <w:rStyle w:val="Bold"/>
              </w:rPr>
              <w:t>2018–19</w:t>
            </w:r>
          </w:p>
        </w:tc>
        <w:tc>
          <w:tcPr>
            <w:tcW w:w="954" w:type="pct"/>
          </w:tcPr>
          <w:p w:rsidR="00260042" w:rsidRDefault="00260042" w:rsidP="00B56650">
            <w:pPr>
              <w:pStyle w:val="BodyText"/>
              <w:jc w:val="right"/>
            </w:pPr>
            <w:r>
              <w:rPr>
                <w:rStyle w:val="Bold"/>
              </w:rPr>
              <w:t>2019–20</w:t>
            </w:r>
          </w:p>
        </w:tc>
        <w:tc>
          <w:tcPr>
            <w:tcW w:w="955" w:type="pct"/>
          </w:tcPr>
          <w:p w:rsidR="00260042" w:rsidRDefault="00260042" w:rsidP="00B56650">
            <w:pPr>
              <w:pStyle w:val="BodyText"/>
              <w:jc w:val="right"/>
            </w:pPr>
            <w:r>
              <w:rPr>
                <w:rStyle w:val="Bold"/>
              </w:rPr>
              <w:t>2020–21</w:t>
            </w:r>
          </w:p>
        </w:tc>
      </w:tr>
      <w:tr w:rsidR="00260042" w:rsidTr="00B56650">
        <w:trPr>
          <w:trHeight w:val="397"/>
        </w:trPr>
        <w:tc>
          <w:tcPr>
            <w:tcW w:w="2137" w:type="pct"/>
          </w:tcPr>
          <w:p w:rsidR="00260042" w:rsidRDefault="00260042" w:rsidP="00B56650">
            <w:pPr>
              <w:pStyle w:val="BodyText"/>
            </w:pPr>
            <w:r>
              <w:t>Claims processed within standard</w:t>
            </w:r>
          </w:p>
        </w:tc>
        <w:tc>
          <w:tcPr>
            <w:tcW w:w="954" w:type="pct"/>
          </w:tcPr>
          <w:p w:rsidR="00260042" w:rsidRDefault="00260042" w:rsidP="00B56650">
            <w:pPr>
              <w:pStyle w:val="BodyText"/>
              <w:jc w:val="right"/>
            </w:pPr>
            <w:r>
              <w:t>2.0 million</w:t>
            </w:r>
          </w:p>
        </w:tc>
        <w:tc>
          <w:tcPr>
            <w:tcW w:w="954" w:type="pct"/>
          </w:tcPr>
          <w:p w:rsidR="00260042" w:rsidRDefault="00260042" w:rsidP="00B56650">
            <w:pPr>
              <w:pStyle w:val="BodyText"/>
              <w:jc w:val="right"/>
            </w:pPr>
            <w:r>
              <w:t>3.4 million</w:t>
            </w:r>
          </w:p>
        </w:tc>
        <w:tc>
          <w:tcPr>
            <w:tcW w:w="955" w:type="pct"/>
          </w:tcPr>
          <w:p w:rsidR="00260042" w:rsidRDefault="00260042" w:rsidP="00B56650">
            <w:pPr>
              <w:pStyle w:val="BodyText"/>
              <w:jc w:val="right"/>
            </w:pPr>
            <w:r>
              <w:t>4.4 million</w:t>
            </w:r>
          </w:p>
        </w:tc>
      </w:tr>
      <w:tr w:rsidR="00260042" w:rsidTr="00B56650">
        <w:trPr>
          <w:trHeight w:val="376"/>
        </w:trPr>
        <w:tc>
          <w:tcPr>
            <w:tcW w:w="2137" w:type="pct"/>
          </w:tcPr>
          <w:p w:rsidR="00260042" w:rsidRDefault="00260042" w:rsidP="00B56650">
            <w:pPr>
              <w:pStyle w:val="BodyText"/>
            </w:pPr>
            <w:r>
              <w:t>Claims not processed within standard</w:t>
            </w:r>
          </w:p>
        </w:tc>
        <w:tc>
          <w:tcPr>
            <w:tcW w:w="954" w:type="pct"/>
          </w:tcPr>
          <w:p w:rsidR="00260042" w:rsidRDefault="00260042" w:rsidP="00B56650">
            <w:pPr>
              <w:pStyle w:val="BodyText"/>
              <w:jc w:val="right"/>
            </w:pPr>
            <w:r>
              <w:t>1.0 million</w:t>
            </w:r>
          </w:p>
        </w:tc>
        <w:tc>
          <w:tcPr>
            <w:tcW w:w="954" w:type="pct"/>
          </w:tcPr>
          <w:p w:rsidR="00260042" w:rsidRDefault="00260042" w:rsidP="00B56650">
            <w:pPr>
              <w:pStyle w:val="BodyText"/>
              <w:jc w:val="right"/>
            </w:pPr>
            <w:r>
              <w:t>0.9 million</w:t>
            </w:r>
          </w:p>
        </w:tc>
        <w:tc>
          <w:tcPr>
            <w:tcW w:w="955" w:type="pct"/>
          </w:tcPr>
          <w:p w:rsidR="00260042" w:rsidRDefault="00260042" w:rsidP="00B56650">
            <w:pPr>
              <w:pStyle w:val="BodyText"/>
              <w:jc w:val="right"/>
            </w:pPr>
            <w:r>
              <w:t>0.4 million</w:t>
            </w:r>
          </w:p>
        </w:tc>
      </w:tr>
      <w:tr w:rsidR="00260042" w:rsidTr="00B56650">
        <w:trPr>
          <w:trHeight w:val="376"/>
        </w:trPr>
        <w:tc>
          <w:tcPr>
            <w:tcW w:w="2137" w:type="pct"/>
          </w:tcPr>
          <w:p w:rsidR="00260042" w:rsidRDefault="00260042" w:rsidP="00B56650">
            <w:pPr>
              <w:pStyle w:val="BodyText"/>
            </w:pPr>
            <w:r>
              <w:rPr>
                <w:rStyle w:val="Bold"/>
              </w:rPr>
              <w:t>Total claims processed</w:t>
            </w:r>
          </w:p>
        </w:tc>
        <w:tc>
          <w:tcPr>
            <w:tcW w:w="954" w:type="pct"/>
          </w:tcPr>
          <w:p w:rsidR="00260042" w:rsidRDefault="00260042" w:rsidP="00B56650">
            <w:pPr>
              <w:pStyle w:val="BodyText"/>
              <w:jc w:val="right"/>
            </w:pPr>
            <w:r>
              <w:rPr>
                <w:rStyle w:val="Bold"/>
              </w:rPr>
              <w:t>3.0 million</w:t>
            </w:r>
          </w:p>
        </w:tc>
        <w:tc>
          <w:tcPr>
            <w:tcW w:w="954" w:type="pct"/>
          </w:tcPr>
          <w:p w:rsidR="00260042" w:rsidRDefault="00260042" w:rsidP="00B56650">
            <w:pPr>
              <w:pStyle w:val="BodyText"/>
              <w:jc w:val="right"/>
            </w:pPr>
            <w:r>
              <w:rPr>
                <w:rStyle w:val="Bold"/>
              </w:rPr>
              <w:t>4.3 million</w:t>
            </w:r>
          </w:p>
        </w:tc>
        <w:tc>
          <w:tcPr>
            <w:tcW w:w="955" w:type="pct"/>
          </w:tcPr>
          <w:p w:rsidR="00260042" w:rsidRDefault="00260042" w:rsidP="00B56650">
            <w:pPr>
              <w:pStyle w:val="BodyText"/>
              <w:jc w:val="right"/>
            </w:pPr>
            <w:r>
              <w:rPr>
                <w:rStyle w:val="Bold"/>
              </w:rPr>
              <w:t>4.8 million</w:t>
            </w:r>
          </w:p>
        </w:tc>
      </w:tr>
      <w:tr w:rsidR="00260042" w:rsidTr="00B56650">
        <w:trPr>
          <w:trHeight w:val="376"/>
        </w:trPr>
        <w:tc>
          <w:tcPr>
            <w:tcW w:w="2137" w:type="pct"/>
          </w:tcPr>
          <w:p w:rsidR="00260042" w:rsidRDefault="00260042" w:rsidP="00B56650">
            <w:pPr>
              <w:pStyle w:val="BodyText"/>
            </w:pPr>
            <w:r>
              <w:t>Average days to process</w:t>
            </w:r>
          </w:p>
        </w:tc>
        <w:tc>
          <w:tcPr>
            <w:tcW w:w="954" w:type="pct"/>
          </w:tcPr>
          <w:p w:rsidR="00260042" w:rsidRDefault="00260042" w:rsidP="00B56650">
            <w:pPr>
              <w:pStyle w:val="BodyText"/>
              <w:jc w:val="right"/>
            </w:pPr>
            <w:r>
              <w:t>34 days</w:t>
            </w:r>
          </w:p>
        </w:tc>
        <w:tc>
          <w:tcPr>
            <w:tcW w:w="954" w:type="pct"/>
          </w:tcPr>
          <w:p w:rsidR="00260042" w:rsidRDefault="00260042" w:rsidP="00B56650">
            <w:pPr>
              <w:pStyle w:val="BodyText"/>
              <w:jc w:val="right"/>
            </w:pPr>
            <w:r>
              <w:t>21 days</w:t>
            </w:r>
          </w:p>
        </w:tc>
        <w:tc>
          <w:tcPr>
            <w:tcW w:w="955" w:type="pct"/>
          </w:tcPr>
          <w:p w:rsidR="00260042" w:rsidRDefault="00260042" w:rsidP="00B56650">
            <w:pPr>
              <w:pStyle w:val="BodyText"/>
              <w:jc w:val="right"/>
            </w:pPr>
            <w:r>
              <w:t>7.5 days</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234</w:t>
      </w:r>
      <w:r>
        <w:br/>
        <w:t>2020–21 Corporate Plan, page 16</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Enterprise Data Warehouse/SAS Enterprise Guide.</w:t>
      </w:r>
    </w:p>
    <w:p w:rsidR="00260042" w:rsidRDefault="00260042" w:rsidP="00260042">
      <w:pPr>
        <w:pStyle w:val="BodyText"/>
        <w:spacing w:after="57"/>
        <w:rPr>
          <w:rStyle w:val="Bold"/>
          <w:caps/>
        </w:rPr>
      </w:pPr>
      <w:r>
        <w:rPr>
          <w:rStyle w:val="Bold"/>
          <w:caps/>
        </w:rPr>
        <w:t>Notes and Definitions</w:t>
      </w:r>
    </w:p>
    <w:p w:rsidR="00260042" w:rsidRDefault="00260042" w:rsidP="00260042">
      <w:pPr>
        <w:pStyle w:val="BodyText"/>
      </w:pPr>
      <w:r>
        <w:t xml:space="preserve">SSW claims that contribute to the overall performance measure result as follows: (For information on the agency’s performance against each claim type, see </w:t>
      </w:r>
      <w:r>
        <w:rPr>
          <w:rStyle w:val="Italic"/>
        </w:rPr>
        <w:t>Social Security and Welfare</w:t>
      </w:r>
      <w:r>
        <w:t xml:space="preserve"> on page 36.)</w:t>
      </w:r>
    </w:p>
    <w:tbl>
      <w:tblPr>
        <w:tblStyle w:val="TableGrid"/>
        <w:tblW w:w="5000" w:type="pct"/>
        <w:tblLook w:val="0000" w:firstRow="0" w:lastRow="0" w:firstColumn="0" w:lastColumn="0" w:noHBand="0" w:noVBand="0"/>
        <w:tblCaption w:val="SSW claims that contribute to the overall performance measure result "/>
      </w:tblPr>
      <w:tblGrid>
        <w:gridCol w:w="3459"/>
        <w:gridCol w:w="7331"/>
      </w:tblGrid>
      <w:tr w:rsidR="00260042" w:rsidTr="000745B5">
        <w:trPr>
          <w:trHeight w:val="376"/>
          <w:tblHeader/>
        </w:trPr>
        <w:tc>
          <w:tcPr>
            <w:tcW w:w="1603" w:type="pct"/>
          </w:tcPr>
          <w:p w:rsidR="00260042" w:rsidRPr="000745B5" w:rsidRDefault="00260042" w:rsidP="000745B5">
            <w:pPr>
              <w:pStyle w:val="BodyText"/>
              <w:rPr>
                <w:b/>
              </w:rPr>
            </w:pPr>
            <w:r w:rsidRPr="000745B5">
              <w:rPr>
                <w:b/>
              </w:rPr>
              <w:lastRenderedPageBreak/>
              <w:t>Standard</w:t>
            </w:r>
          </w:p>
        </w:tc>
        <w:tc>
          <w:tcPr>
            <w:tcW w:w="3397" w:type="pct"/>
          </w:tcPr>
          <w:p w:rsidR="00260042" w:rsidRPr="000745B5" w:rsidRDefault="00260042" w:rsidP="000745B5">
            <w:pPr>
              <w:pStyle w:val="BodyText"/>
              <w:rPr>
                <w:b/>
              </w:rPr>
            </w:pPr>
            <w:r w:rsidRPr="000745B5">
              <w:rPr>
                <w:b/>
              </w:rPr>
              <w:t>Claim Type</w:t>
            </w:r>
          </w:p>
        </w:tc>
      </w:tr>
      <w:tr w:rsidR="00260042" w:rsidTr="000745B5">
        <w:trPr>
          <w:trHeight w:val="376"/>
        </w:trPr>
        <w:tc>
          <w:tcPr>
            <w:tcW w:w="1603" w:type="pct"/>
          </w:tcPr>
          <w:p w:rsidR="00260042" w:rsidRDefault="00260042" w:rsidP="000745B5">
            <w:pPr>
              <w:pStyle w:val="BodyText"/>
            </w:pPr>
            <w:r>
              <w:t>100% within 28 days</w:t>
            </w:r>
          </w:p>
        </w:tc>
        <w:tc>
          <w:tcPr>
            <w:tcW w:w="3397" w:type="pct"/>
          </w:tcPr>
          <w:p w:rsidR="00260042" w:rsidRDefault="00260042" w:rsidP="000745B5">
            <w:pPr>
              <w:pStyle w:val="BodyText"/>
            </w:pPr>
            <w:r>
              <w:t>Additional Child Care Subsidy (ACCS)—Child Wellbeing Application; ACCS—Temporary Financial Hardship</w:t>
            </w:r>
          </w:p>
        </w:tc>
      </w:tr>
      <w:tr w:rsidR="00260042" w:rsidTr="000745B5">
        <w:trPr>
          <w:trHeight w:val="376"/>
        </w:trPr>
        <w:tc>
          <w:tcPr>
            <w:tcW w:w="1603" w:type="pct"/>
          </w:tcPr>
          <w:p w:rsidR="00260042" w:rsidRDefault="00260042" w:rsidP="000745B5">
            <w:pPr>
              <w:pStyle w:val="BodyText"/>
            </w:pPr>
            <w:r>
              <w:t>≥90% within 2 days</w:t>
            </w:r>
          </w:p>
        </w:tc>
        <w:tc>
          <w:tcPr>
            <w:tcW w:w="3397" w:type="pct"/>
          </w:tcPr>
          <w:p w:rsidR="00260042" w:rsidRDefault="00260042" w:rsidP="000745B5">
            <w:pPr>
              <w:pStyle w:val="BodyText"/>
            </w:pPr>
            <w:r>
              <w:t>Crisis Payment</w:t>
            </w:r>
          </w:p>
        </w:tc>
      </w:tr>
      <w:tr w:rsidR="00260042" w:rsidTr="000745B5">
        <w:trPr>
          <w:trHeight w:val="376"/>
        </w:trPr>
        <w:tc>
          <w:tcPr>
            <w:tcW w:w="1603" w:type="pct"/>
          </w:tcPr>
          <w:p w:rsidR="00260042" w:rsidRDefault="00260042" w:rsidP="000745B5">
            <w:pPr>
              <w:pStyle w:val="BodyText"/>
            </w:pPr>
            <w:r>
              <w:t>≥90% within 21 days</w:t>
            </w:r>
          </w:p>
        </w:tc>
        <w:tc>
          <w:tcPr>
            <w:tcW w:w="3397" w:type="pct"/>
          </w:tcPr>
          <w:p w:rsidR="00260042" w:rsidRDefault="00260042" w:rsidP="000745B5">
            <w:pPr>
              <w:pStyle w:val="BodyText"/>
            </w:pPr>
            <w:r>
              <w:t>Parenting Payment Single</w:t>
            </w:r>
          </w:p>
        </w:tc>
      </w:tr>
      <w:tr w:rsidR="00260042" w:rsidTr="000745B5">
        <w:trPr>
          <w:trHeight w:val="376"/>
        </w:trPr>
        <w:tc>
          <w:tcPr>
            <w:tcW w:w="1603" w:type="pct"/>
          </w:tcPr>
          <w:p w:rsidR="00260042" w:rsidRDefault="00260042" w:rsidP="000745B5">
            <w:pPr>
              <w:pStyle w:val="BodyText"/>
            </w:pPr>
            <w:r>
              <w:t>≥85% within 14 days</w:t>
            </w:r>
          </w:p>
        </w:tc>
        <w:tc>
          <w:tcPr>
            <w:tcW w:w="3397" w:type="pct"/>
          </w:tcPr>
          <w:p w:rsidR="00260042" w:rsidRDefault="00260042" w:rsidP="000745B5">
            <w:pPr>
              <w:pStyle w:val="BodyText"/>
            </w:pPr>
            <w:r>
              <w:t xml:space="preserve">Child Care Benefit </w:t>
            </w:r>
            <w:r>
              <w:br/>
              <w:t>(Registered Care)</w:t>
            </w:r>
          </w:p>
        </w:tc>
      </w:tr>
      <w:tr w:rsidR="00260042" w:rsidTr="000745B5">
        <w:trPr>
          <w:trHeight w:val="376"/>
        </w:trPr>
        <w:tc>
          <w:tcPr>
            <w:tcW w:w="1603" w:type="pct"/>
          </w:tcPr>
          <w:p w:rsidR="00260042" w:rsidRDefault="00260042" w:rsidP="000745B5">
            <w:pPr>
              <w:pStyle w:val="BodyText"/>
            </w:pPr>
            <w:r>
              <w:t>≥85% within 21 days</w:t>
            </w:r>
          </w:p>
        </w:tc>
        <w:tc>
          <w:tcPr>
            <w:tcW w:w="3397" w:type="pct"/>
          </w:tcPr>
          <w:p w:rsidR="00260042" w:rsidRDefault="00260042" w:rsidP="000745B5">
            <w:pPr>
              <w:pStyle w:val="BodyText"/>
            </w:pPr>
            <w:r>
              <w:t>Child Care Benefit (Approved Care) Lump Sum Claims Only; Dad and Partner Pay; Paid Parental Leave</w:t>
            </w:r>
          </w:p>
        </w:tc>
      </w:tr>
      <w:tr w:rsidR="00260042" w:rsidTr="000745B5">
        <w:trPr>
          <w:trHeight w:val="376"/>
        </w:trPr>
        <w:tc>
          <w:tcPr>
            <w:tcW w:w="1603" w:type="pct"/>
          </w:tcPr>
          <w:p w:rsidR="00260042" w:rsidRDefault="00260042" w:rsidP="000745B5">
            <w:pPr>
              <w:pStyle w:val="BodyText"/>
            </w:pPr>
            <w:r>
              <w:t>≥85% within 42 days</w:t>
            </w:r>
          </w:p>
        </w:tc>
        <w:tc>
          <w:tcPr>
            <w:tcW w:w="3397" w:type="pct"/>
          </w:tcPr>
          <w:p w:rsidR="00260042" w:rsidRDefault="00260042" w:rsidP="000745B5">
            <w:pPr>
              <w:pStyle w:val="BodyText"/>
            </w:pPr>
            <w:proofErr w:type="spellStart"/>
            <w:r>
              <w:t>Austudy</w:t>
            </w:r>
            <w:proofErr w:type="spellEnd"/>
            <w:r>
              <w:t>; Mobility Allowance</w:t>
            </w:r>
          </w:p>
        </w:tc>
      </w:tr>
      <w:tr w:rsidR="00260042" w:rsidTr="000745B5">
        <w:trPr>
          <w:trHeight w:val="376"/>
        </w:trPr>
        <w:tc>
          <w:tcPr>
            <w:tcW w:w="1603" w:type="pct"/>
          </w:tcPr>
          <w:p w:rsidR="00260042" w:rsidRDefault="00260042" w:rsidP="000745B5">
            <w:pPr>
              <w:pStyle w:val="BodyText"/>
            </w:pPr>
            <w:r>
              <w:t xml:space="preserve">≥85% within 49 days </w:t>
            </w:r>
          </w:p>
        </w:tc>
        <w:tc>
          <w:tcPr>
            <w:tcW w:w="3397" w:type="pct"/>
          </w:tcPr>
          <w:p w:rsidR="00260042" w:rsidRDefault="00260042" w:rsidP="000745B5">
            <w:pPr>
              <w:pStyle w:val="BodyText"/>
            </w:pPr>
            <w:r>
              <w:t xml:space="preserve">Carer Allowance </w:t>
            </w:r>
            <w:r>
              <w:br/>
              <w:t>(excluding claims older than 84 days)</w:t>
            </w:r>
          </w:p>
        </w:tc>
      </w:tr>
      <w:tr w:rsidR="00260042" w:rsidTr="000745B5">
        <w:trPr>
          <w:trHeight w:val="376"/>
        </w:trPr>
        <w:tc>
          <w:tcPr>
            <w:tcW w:w="1603" w:type="pct"/>
          </w:tcPr>
          <w:p w:rsidR="00260042" w:rsidRDefault="00260042" w:rsidP="000745B5">
            <w:pPr>
              <w:pStyle w:val="BodyText"/>
            </w:pPr>
            <w:r>
              <w:t>≥70% within 21 days</w:t>
            </w:r>
          </w:p>
        </w:tc>
        <w:tc>
          <w:tcPr>
            <w:tcW w:w="3397" w:type="pct"/>
          </w:tcPr>
          <w:p w:rsidR="00260042" w:rsidRDefault="00260042" w:rsidP="000745B5">
            <w:pPr>
              <w:pStyle w:val="BodyText"/>
            </w:pPr>
            <w:r>
              <w:t>ABSTUDY; Pensioner Education Supplement; Youth Allowance (Other); Assistance for Isolated Children Student</w:t>
            </w:r>
          </w:p>
        </w:tc>
      </w:tr>
      <w:tr w:rsidR="00260042" w:rsidTr="000745B5">
        <w:trPr>
          <w:trHeight w:val="376"/>
        </w:trPr>
        <w:tc>
          <w:tcPr>
            <w:tcW w:w="1603" w:type="pct"/>
          </w:tcPr>
          <w:p w:rsidR="00260042" w:rsidRDefault="00260042" w:rsidP="000745B5">
            <w:pPr>
              <w:pStyle w:val="BodyText"/>
            </w:pPr>
            <w:r>
              <w:t>≥80% within 16 days</w:t>
            </w:r>
          </w:p>
        </w:tc>
        <w:tc>
          <w:tcPr>
            <w:tcW w:w="3397" w:type="pct"/>
          </w:tcPr>
          <w:p w:rsidR="00260042" w:rsidRDefault="00260042" w:rsidP="000745B5">
            <w:pPr>
              <w:pStyle w:val="BodyText"/>
            </w:pPr>
            <w:proofErr w:type="spellStart"/>
            <w:r>
              <w:t>Newstart</w:t>
            </w:r>
            <w:proofErr w:type="spellEnd"/>
            <w:r>
              <w:t xml:space="preserve"> Allowance; </w:t>
            </w:r>
            <w:proofErr w:type="spellStart"/>
            <w:r>
              <w:t>JobSeeker</w:t>
            </w:r>
            <w:proofErr w:type="spellEnd"/>
            <w:r>
              <w:t xml:space="preserve"> Payment</w:t>
            </w:r>
          </w:p>
        </w:tc>
      </w:tr>
      <w:tr w:rsidR="00260042" w:rsidTr="000745B5">
        <w:trPr>
          <w:trHeight w:val="376"/>
        </w:trPr>
        <w:tc>
          <w:tcPr>
            <w:tcW w:w="1603" w:type="pct"/>
          </w:tcPr>
          <w:p w:rsidR="00260042" w:rsidRDefault="00260042" w:rsidP="000745B5">
            <w:pPr>
              <w:pStyle w:val="BodyText"/>
            </w:pPr>
            <w:r>
              <w:t>≥80% within 21 days</w:t>
            </w:r>
          </w:p>
        </w:tc>
        <w:tc>
          <w:tcPr>
            <w:tcW w:w="3397" w:type="pct"/>
          </w:tcPr>
          <w:p w:rsidR="00260042" w:rsidRDefault="00260042" w:rsidP="000745B5">
            <w:pPr>
              <w:pStyle w:val="BodyText"/>
            </w:pPr>
            <w:r>
              <w:t>Bereavement Allowance; Special Benefit; Stillborn Baby Payment</w:t>
            </w:r>
          </w:p>
        </w:tc>
      </w:tr>
      <w:tr w:rsidR="00260042" w:rsidTr="000745B5">
        <w:trPr>
          <w:trHeight w:val="376"/>
        </w:trPr>
        <w:tc>
          <w:tcPr>
            <w:tcW w:w="1603" w:type="pct"/>
          </w:tcPr>
          <w:p w:rsidR="00260042" w:rsidRDefault="00260042" w:rsidP="000745B5">
            <w:pPr>
              <w:pStyle w:val="BodyText"/>
            </w:pPr>
            <w:r>
              <w:t>≥80% within 28 days</w:t>
            </w:r>
          </w:p>
        </w:tc>
        <w:tc>
          <w:tcPr>
            <w:tcW w:w="3397" w:type="pct"/>
          </w:tcPr>
          <w:p w:rsidR="00260042" w:rsidRDefault="00260042" w:rsidP="000745B5">
            <w:pPr>
              <w:pStyle w:val="BodyText"/>
            </w:pPr>
            <w:r>
              <w:t>Low Income Card; Parenting Payment Partnered; Seniors Health Care Card</w:t>
            </w:r>
          </w:p>
        </w:tc>
      </w:tr>
      <w:tr w:rsidR="00260042" w:rsidTr="000745B5">
        <w:trPr>
          <w:trHeight w:val="376"/>
        </w:trPr>
        <w:tc>
          <w:tcPr>
            <w:tcW w:w="1603" w:type="pct"/>
          </w:tcPr>
          <w:p w:rsidR="00260042" w:rsidRDefault="00260042" w:rsidP="000745B5">
            <w:pPr>
              <w:pStyle w:val="BodyText"/>
            </w:pPr>
            <w:r>
              <w:t>≥80% within 42 days</w:t>
            </w:r>
          </w:p>
        </w:tc>
        <w:tc>
          <w:tcPr>
            <w:tcW w:w="3397" w:type="pct"/>
          </w:tcPr>
          <w:p w:rsidR="00260042" w:rsidRDefault="00260042" w:rsidP="000745B5">
            <w:pPr>
              <w:pStyle w:val="BodyText"/>
            </w:pPr>
            <w:r>
              <w:t>Youth Allowance (Full-time student and Apprentice)</w:t>
            </w:r>
          </w:p>
        </w:tc>
      </w:tr>
      <w:tr w:rsidR="00260042" w:rsidTr="000745B5">
        <w:trPr>
          <w:trHeight w:val="376"/>
        </w:trPr>
        <w:tc>
          <w:tcPr>
            <w:tcW w:w="1603" w:type="pct"/>
          </w:tcPr>
          <w:p w:rsidR="00260042" w:rsidRDefault="00260042" w:rsidP="000745B5">
            <w:pPr>
              <w:pStyle w:val="BodyText"/>
            </w:pPr>
            <w:r>
              <w:t>≥80% within 49 days</w:t>
            </w:r>
          </w:p>
        </w:tc>
        <w:tc>
          <w:tcPr>
            <w:tcW w:w="3397" w:type="pct"/>
          </w:tcPr>
          <w:p w:rsidR="00260042" w:rsidRDefault="00260042" w:rsidP="000745B5">
            <w:pPr>
              <w:pStyle w:val="BodyText"/>
            </w:pPr>
            <w:r>
              <w:t xml:space="preserve">Age Pension; Carer Payment </w:t>
            </w:r>
            <w:r>
              <w:br/>
              <w:t>(excluding claims older than 84 days)</w:t>
            </w:r>
          </w:p>
        </w:tc>
      </w:tr>
      <w:tr w:rsidR="00260042" w:rsidTr="000745B5">
        <w:trPr>
          <w:trHeight w:val="376"/>
        </w:trPr>
        <w:tc>
          <w:tcPr>
            <w:tcW w:w="1603" w:type="pct"/>
          </w:tcPr>
          <w:p w:rsidR="00260042" w:rsidRDefault="00260042" w:rsidP="000745B5">
            <w:pPr>
              <w:pStyle w:val="BodyText"/>
            </w:pPr>
            <w:r>
              <w:t>≥80% within 56 days</w:t>
            </w:r>
          </w:p>
        </w:tc>
        <w:tc>
          <w:tcPr>
            <w:tcW w:w="3397" w:type="pct"/>
          </w:tcPr>
          <w:p w:rsidR="00260042" w:rsidRDefault="00260042" w:rsidP="000745B5">
            <w:pPr>
              <w:pStyle w:val="BodyText"/>
            </w:pPr>
            <w:r>
              <w:t>Double Orphan Pension</w:t>
            </w:r>
          </w:p>
        </w:tc>
      </w:tr>
      <w:tr w:rsidR="00260042" w:rsidTr="000745B5">
        <w:trPr>
          <w:trHeight w:val="376"/>
        </w:trPr>
        <w:tc>
          <w:tcPr>
            <w:tcW w:w="1603" w:type="pct"/>
          </w:tcPr>
          <w:p w:rsidR="00260042" w:rsidRDefault="00260042" w:rsidP="000745B5">
            <w:pPr>
              <w:pStyle w:val="BodyText"/>
            </w:pPr>
            <w:r>
              <w:t>≥75% within 16 days</w:t>
            </w:r>
          </w:p>
        </w:tc>
        <w:tc>
          <w:tcPr>
            <w:tcW w:w="3397" w:type="pct"/>
          </w:tcPr>
          <w:p w:rsidR="00260042" w:rsidRDefault="00260042" w:rsidP="000745B5">
            <w:pPr>
              <w:pStyle w:val="BodyText"/>
            </w:pPr>
            <w:r>
              <w:t>Widow Allowance</w:t>
            </w:r>
          </w:p>
        </w:tc>
      </w:tr>
      <w:tr w:rsidR="00260042" w:rsidTr="000745B5">
        <w:trPr>
          <w:trHeight w:val="376"/>
        </w:trPr>
        <w:tc>
          <w:tcPr>
            <w:tcW w:w="1603" w:type="pct"/>
          </w:tcPr>
          <w:p w:rsidR="00260042" w:rsidRDefault="00260042" w:rsidP="000745B5">
            <w:pPr>
              <w:pStyle w:val="BodyText"/>
            </w:pPr>
            <w:r>
              <w:t>≥70% within 33 days</w:t>
            </w:r>
          </w:p>
        </w:tc>
        <w:tc>
          <w:tcPr>
            <w:tcW w:w="3397" w:type="pct"/>
          </w:tcPr>
          <w:p w:rsidR="00260042" w:rsidRDefault="00260042" w:rsidP="000745B5">
            <w:pPr>
              <w:pStyle w:val="BodyText"/>
            </w:pPr>
            <w:r>
              <w:t>Family Tax Benefit</w:t>
            </w:r>
          </w:p>
        </w:tc>
      </w:tr>
      <w:tr w:rsidR="00260042" w:rsidTr="000745B5">
        <w:trPr>
          <w:trHeight w:val="376"/>
        </w:trPr>
        <w:tc>
          <w:tcPr>
            <w:tcW w:w="1603" w:type="pct"/>
          </w:tcPr>
          <w:p w:rsidR="00260042" w:rsidRDefault="00260042" w:rsidP="000745B5">
            <w:pPr>
              <w:pStyle w:val="BodyText"/>
            </w:pPr>
            <w:r>
              <w:t>≥70% within 35 days</w:t>
            </w:r>
          </w:p>
        </w:tc>
        <w:tc>
          <w:tcPr>
            <w:tcW w:w="3397" w:type="pct"/>
          </w:tcPr>
          <w:p w:rsidR="00260042" w:rsidRDefault="00260042" w:rsidP="000745B5">
            <w:pPr>
              <w:pStyle w:val="BodyText"/>
            </w:pPr>
            <w:r>
              <w:t>Sickness Allowance</w:t>
            </w:r>
          </w:p>
        </w:tc>
      </w:tr>
      <w:tr w:rsidR="00260042" w:rsidTr="000745B5">
        <w:trPr>
          <w:trHeight w:val="376"/>
        </w:trPr>
        <w:tc>
          <w:tcPr>
            <w:tcW w:w="1603" w:type="pct"/>
          </w:tcPr>
          <w:p w:rsidR="00260042" w:rsidRDefault="00260042" w:rsidP="000745B5">
            <w:pPr>
              <w:pStyle w:val="BodyText"/>
            </w:pPr>
            <w:r>
              <w:t>≥70% within 49 days</w:t>
            </w:r>
          </w:p>
        </w:tc>
        <w:tc>
          <w:tcPr>
            <w:tcW w:w="3397" w:type="pct"/>
          </w:tcPr>
          <w:p w:rsidR="00260042" w:rsidRDefault="00260042" w:rsidP="000745B5">
            <w:pPr>
              <w:pStyle w:val="BodyText"/>
            </w:pPr>
            <w:r>
              <w:t xml:space="preserve">Disability Support Pension </w:t>
            </w:r>
            <w:r>
              <w:br/>
              <w:t>(excluding claims older than 84 days)</w:t>
            </w:r>
          </w:p>
        </w:tc>
      </w:tr>
    </w:tbl>
    <w:p w:rsidR="00260042" w:rsidRDefault="00260042" w:rsidP="00260042">
      <w:pPr>
        <w:pStyle w:val="Heading5"/>
      </w:pPr>
      <w:r>
        <w:lastRenderedPageBreak/>
        <w:t>Performance measure 8 — Achievement of digital service level standards: interactions completed through digital channels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8 — Achievement of digital service level standards: interactions completed through digital channels"/>
      </w:tblPr>
      <w:tblGrid>
        <w:gridCol w:w="1648"/>
        <w:gridCol w:w="2372"/>
        <w:gridCol w:w="1772"/>
        <w:gridCol w:w="1813"/>
        <w:gridCol w:w="3185"/>
      </w:tblGrid>
      <w:tr w:rsidR="00260042" w:rsidTr="000745B5">
        <w:trPr>
          <w:trHeight w:val="376"/>
          <w:tblHeader/>
        </w:trPr>
        <w:tc>
          <w:tcPr>
            <w:tcW w:w="763" w:type="pct"/>
          </w:tcPr>
          <w:p w:rsidR="00260042" w:rsidRPr="000745B5" w:rsidRDefault="00260042" w:rsidP="000745B5">
            <w:pPr>
              <w:pStyle w:val="BodyText"/>
              <w:rPr>
                <w:b/>
              </w:rPr>
            </w:pPr>
            <w:r w:rsidRPr="000745B5">
              <w:rPr>
                <w:b/>
              </w:rPr>
              <w:t>Year</w:t>
            </w:r>
          </w:p>
        </w:tc>
        <w:tc>
          <w:tcPr>
            <w:tcW w:w="1099" w:type="pct"/>
          </w:tcPr>
          <w:p w:rsidR="00260042" w:rsidRPr="000745B5" w:rsidRDefault="00260042" w:rsidP="000745B5">
            <w:pPr>
              <w:pStyle w:val="BodyText"/>
              <w:rPr>
                <w:b/>
              </w:rPr>
            </w:pPr>
            <w:r w:rsidRPr="000745B5">
              <w:rPr>
                <w:b/>
              </w:rPr>
              <w:t>Target</w:t>
            </w:r>
          </w:p>
        </w:tc>
        <w:tc>
          <w:tcPr>
            <w:tcW w:w="821" w:type="pct"/>
          </w:tcPr>
          <w:p w:rsidR="00260042" w:rsidRPr="000745B5" w:rsidRDefault="00260042" w:rsidP="000745B5">
            <w:pPr>
              <w:pStyle w:val="BodyText"/>
              <w:rPr>
                <w:b/>
              </w:rPr>
            </w:pPr>
            <w:r w:rsidRPr="000745B5">
              <w:rPr>
                <w:b/>
              </w:rPr>
              <w:t>Result</w:t>
            </w:r>
          </w:p>
        </w:tc>
        <w:tc>
          <w:tcPr>
            <w:tcW w:w="840" w:type="pct"/>
          </w:tcPr>
          <w:p w:rsidR="00260042" w:rsidRPr="000745B5" w:rsidRDefault="00260042" w:rsidP="000745B5">
            <w:pPr>
              <w:pStyle w:val="BodyText"/>
              <w:rPr>
                <w:b/>
              </w:rPr>
            </w:pPr>
            <w:r w:rsidRPr="000745B5">
              <w:rPr>
                <w:b/>
              </w:rPr>
              <w:t>Achieved</w:t>
            </w:r>
          </w:p>
        </w:tc>
        <w:tc>
          <w:tcPr>
            <w:tcW w:w="1476" w:type="pct"/>
          </w:tcPr>
          <w:p w:rsidR="00260042" w:rsidRPr="000745B5" w:rsidRDefault="00260042" w:rsidP="000745B5">
            <w:pPr>
              <w:pStyle w:val="BodyText"/>
              <w:rPr>
                <w:b/>
              </w:rPr>
            </w:pPr>
            <w:r w:rsidRPr="000745B5">
              <w:rPr>
                <w:b/>
              </w:rPr>
              <w:t>Change on previous year +/–</w:t>
            </w:r>
          </w:p>
        </w:tc>
      </w:tr>
      <w:tr w:rsidR="00260042" w:rsidTr="000745B5">
        <w:trPr>
          <w:trHeight w:val="376"/>
        </w:trPr>
        <w:tc>
          <w:tcPr>
            <w:tcW w:w="763" w:type="pct"/>
          </w:tcPr>
          <w:p w:rsidR="00260042" w:rsidRDefault="00260042" w:rsidP="000745B5">
            <w:pPr>
              <w:pStyle w:val="BodyText"/>
            </w:pPr>
            <w:r>
              <w:t>2020–21</w:t>
            </w:r>
          </w:p>
        </w:tc>
        <w:tc>
          <w:tcPr>
            <w:tcW w:w="1099" w:type="pct"/>
          </w:tcPr>
          <w:p w:rsidR="00260042" w:rsidRDefault="00260042" w:rsidP="000745B5">
            <w:pPr>
              <w:pStyle w:val="BodyText"/>
            </w:pPr>
            <w:r>
              <w:t>≥5% increase</w:t>
            </w:r>
          </w:p>
        </w:tc>
        <w:tc>
          <w:tcPr>
            <w:tcW w:w="821" w:type="pct"/>
          </w:tcPr>
          <w:p w:rsidR="00260042" w:rsidRDefault="00260042" w:rsidP="000745B5">
            <w:pPr>
              <w:pStyle w:val="BodyText"/>
            </w:pPr>
            <w:r>
              <w:t>8.7%</w:t>
            </w:r>
          </w:p>
        </w:tc>
        <w:tc>
          <w:tcPr>
            <w:tcW w:w="840" w:type="pct"/>
          </w:tcPr>
          <w:p w:rsidR="00260042" w:rsidRDefault="00260042" w:rsidP="000745B5">
            <w:pPr>
              <w:pStyle w:val="BodyText"/>
            </w:pPr>
            <w:r>
              <w:rPr>
                <w:rStyle w:val="Bulletcolour"/>
                <w:rFonts w:ascii="Wingdings" w:hAnsi="Wingdings" w:cs="Wingdings"/>
              </w:rPr>
              <w:t></w:t>
            </w:r>
          </w:p>
        </w:tc>
        <w:tc>
          <w:tcPr>
            <w:tcW w:w="1476" w:type="pct"/>
          </w:tcPr>
          <w:p w:rsidR="00260042" w:rsidRDefault="00260042" w:rsidP="000745B5">
            <w:pPr>
              <w:pStyle w:val="BodyText"/>
            </w:pPr>
            <w:r>
              <w:t>NA</w:t>
            </w:r>
            <w:r>
              <w:rPr>
                <w:vertAlign w:val="superscript"/>
              </w:rPr>
              <w:t>(a)</w:t>
            </w:r>
          </w:p>
        </w:tc>
      </w:tr>
      <w:tr w:rsidR="00260042" w:rsidTr="000745B5">
        <w:trPr>
          <w:trHeight w:val="376"/>
        </w:trPr>
        <w:tc>
          <w:tcPr>
            <w:tcW w:w="763" w:type="pct"/>
          </w:tcPr>
          <w:p w:rsidR="00260042" w:rsidRDefault="00260042" w:rsidP="000745B5">
            <w:pPr>
              <w:pStyle w:val="BodyText"/>
            </w:pPr>
            <w:r>
              <w:t>2019–20</w:t>
            </w:r>
          </w:p>
        </w:tc>
        <w:tc>
          <w:tcPr>
            <w:tcW w:w="1099" w:type="pct"/>
          </w:tcPr>
          <w:p w:rsidR="00260042" w:rsidRDefault="00260042" w:rsidP="000745B5">
            <w:pPr>
              <w:pStyle w:val="BodyText"/>
            </w:pPr>
            <w:r>
              <w:t>≥5% increase</w:t>
            </w:r>
          </w:p>
        </w:tc>
        <w:tc>
          <w:tcPr>
            <w:tcW w:w="821" w:type="pct"/>
          </w:tcPr>
          <w:p w:rsidR="00260042" w:rsidRDefault="00260042" w:rsidP="000745B5">
            <w:pPr>
              <w:pStyle w:val="BodyText"/>
            </w:pPr>
            <w:r>
              <w:t>31.0%</w:t>
            </w:r>
          </w:p>
        </w:tc>
        <w:tc>
          <w:tcPr>
            <w:tcW w:w="840" w:type="pct"/>
          </w:tcPr>
          <w:p w:rsidR="00260042" w:rsidRDefault="00260042" w:rsidP="000745B5">
            <w:pPr>
              <w:pStyle w:val="BodyText"/>
            </w:pPr>
            <w:r>
              <w:rPr>
                <w:rStyle w:val="Bulletcolour"/>
                <w:rFonts w:ascii="Wingdings" w:hAnsi="Wingdings" w:cs="Wingdings"/>
              </w:rPr>
              <w:t></w:t>
            </w:r>
          </w:p>
        </w:tc>
        <w:tc>
          <w:tcPr>
            <w:tcW w:w="1476" w:type="pct"/>
          </w:tcPr>
          <w:p w:rsidR="00260042" w:rsidRDefault="00260042" w:rsidP="000745B5">
            <w:pPr>
              <w:pStyle w:val="BodyText"/>
            </w:pPr>
            <w:r>
              <w:t>+19.6%</w:t>
            </w:r>
          </w:p>
        </w:tc>
      </w:tr>
      <w:tr w:rsidR="00260042" w:rsidTr="000745B5">
        <w:trPr>
          <w:trHeight w:val="376"/>
        </w:trPr>
        <w:tc>
          <w:tcPr>
            <w:tcW w:w="763" w:type="pct"/>
          </w:tcPr>
          <w:p w:rsidR="00260042" w:rsidRDefault="00260042" w:rsidP="000745B5">
            <w:pPr>
              <w:pStyle w:val="BodyText"/>
            </w:pPr>
            <w:r>
              <w:t>2018–19</w:t>
            </w:r>
          </w:p>
        </w:tc>
        <w:tc>
          <w:tcPr>
            <w:tcW w:w="1099" w:type="pct"/>
          </w:tcPr>
          <w:p w:rsidR="00260042" w:rsidRDefault="00260042" w:rsidP="000745B5">
            <w:pPr>
              <w:pStyle w:val="BodyText"/>
            </w:pPr>
            <w:r>
              <w:t>≥5% increase</w:t>
            </w:r>
          </w:p>
        </w:tc>
        <w:tc>
          <w:tcPr>
            <w:tcW w:w="821" w:type="pct"/>
          </w:tcPr>
          <w:p w:rsidR="00260042" w:rsidRDefault="00260042" w:rsidP="000745B5">
            <w:pPr>
              <w:pStyle w:val="BodyText"/>
            </w:pPr>
            <w:r>
              <w:t>11.4%</w:t>
            </w:r>
          </w:p>
        </w:tc>
        <w:tc>
          <w:tcPr>
            <w:tcW w:w="840" w:type="pct"/>
          </w:tcPr>
          <w:p w:rsidR="00260042" w:rsidRDefault="00260042" w:rsidP="000745B5">
            <w:pPr>
              <w:pStyle w:val="BodyText"/>
            </w:pPr>
            <w:r>
              <w:rPr>
                <w:rStyle w:val="Bulletcolour"/>
                <w:rFonts w:ascii="Wingdings" w:hAnsi="Wingdings" w:cs="Wingdings"/>
              </w:rPr>
              <w:t></w:t>
            </w:r>
          </w:p>
        </w:tc>
        <w:tc>
          <w:tcPr>
            <w:tcW w:w="1476" w:type="pct"/>
          </w:tcPr>
          <w:p w:rsidR="00260042" w:rsidRDefault="00260042" w:rsidP="000745B5">
            <w:pPr>
              <w:pStyle w:val="BodyText"/>
            </w:pPr>
            <w:r>
              <w:t>+4.6%</w:t>
            </w:r>
          </w:p>
        </w:tc>
      </w:tr>
    </w:tbl>
    <w:p w:rsidR="00260042" w:rsidRDefault="00260042" w:rsidP="00EA5510">
      <w:pPr>
        <w:pStyle w:val="BodyText"/>
      </w:pPr>
      <w:r>
        <w:t>(a)</w:t>
      </w:r>
      <w:r>
        <w:tab/>
        <w:t xml:space="preserve">In 2020–21, the primary data source used in the calculation </w:t>
      </w:r>
      <w:proofErr w:type="gramStart"/>
      <w:r>
        <w:t>was updated</w:t>
      </w:r>
      <w:proofErr w:type="gramEnd"/>
      <w:r>
        <w:t xml:space="preserve"> after improvements to data collection methods. A common data set </w:t>
      </w:r>
      <w:proofErr w:type="gramStart"/>
      <w:r>
        <w:t>has been used</w:t>
      </w:r>
      <w:proofErr w:type="gramEnd"/>
      <w:r>
        <w:t xml:space="preserve"> across the 2019–20 and 2020–21 years to enable accurate calculation of the 2020–21 results, being an 8.7% increase between the two years. However, this is a different data set to that used in 2018–19 and 2019–20.</w:t>
      </w:r>
    </w:p>
    <w:p w:rsidR="00260042" w:rsidRDefault="00260042" w:rsidP="00260042">
      <w:pPr>
        <w:pStyle w:val="BodyText"/>
        <w:spacing w:after="0"/>
      </w:pPr>
      <w:r>
        <w:rPr>
          <w:rStyle w:val="Bold"/>
          <w:caps/>
        </w:rPr>
        <w:t>Analysis</w:t>
      </w:r>
    </w:p>
    <w:p w:rsidR="00260042" w:rsidRDefault="00260042" w:rsidP="00260042">
      <w:pPr>
        <w:pStyle w:val="BodyText"/>
        <w:spacing w:after="57"/>
      </w:pPr>
      <w:r>
        <w:t>The agency achieved the annual target with continued high demand for digital services resulting in an 8.7% increase in digital interactions, including:</w:t>
      </w:r>
    </w:p>
    <w:p w:rsidR="00260042" w:rsidRDefault="00260042" w:rsidP="008930A3">
      <w:pPr>
        <w:pStyle w:val="ListBullet"/>
      </w:pPr>
      <w:r>
        <w:t>287 million online and mobile application interactions—an increase of 26.1 million</w:t>
      </w:r>
    </w:p>
    <w:p w:rsidR="00260042" w:rsidRDefault="00260042" w:rsidP="008930A3">
      <w:pPr>
        <w:pStyle w:val="ListBullet"/>
      </w:pPr>
      <w:r>
        <w:t>63 million online letters – an increase of 1.5 million</w:t>
      </w:r>
    </w:p>
    <w:p w:rsidR="00260042" w:rsidRDefault="00260042" w:rsidP="008930A3">
      <w:pPr>
        <w:pStyle w:val="ListBullet"/>
      </w:pPr>
      <w:r>
        <w:t>59 million electronic data exchange transactions—an increase of 2.8 million</w:t>
      </w:r>
    </w:p>
    <w:p w:rsidR="00260042" w:rsidRDefault="00260042" w:rsidP="00EA5510">
      <w:pPr>
        <w:pStyle w:val="ListBullet"/>
      </w:pPr>
      <w:r>
        <w:t>4 million phone self-service interactions—an increase of 1.4 million.</w:t>
      </w:r>
    </w:p>
    <w:p w:rsidR="00260042" w:rsidRDefault="00260042" w:rsidP="00260042">
      <w:pPr>
        <w:pStyle w:val="BodyText"/>
        <w:rPr>
          <w:spacing w:val="-2"/>
        </w:rPr>
      </w:pPr>
      <w:r>
        <w:rPr>
          <w:spacing w:val="-2"/>
        </w:rPr>
        <w:t xml:space="preserve">In response to the COVID-19 </w:t>
      </w:r>
      <w:proofErr w:type="gramStart"/>
      <w:r>
        <w:rPr>
          <w:spacing w:val="-2"/>
        </w:rPr>
        <w:t>pandemic</w:t>
      </w:r>
      <w:proofErr w:type="gramEnd"/>
      <w:r>
        <w:rPr>
          <w:spacing w:val="-2"/>
        </w:rPr>
        <w:t xml:space="preserve"> the increased demand for online support required the agency to improve its digital products and services. This resulted in easier and more secure ways for customers to verify and authenticate their identity online. It used IVR technology in combination with voice biometrics authentication to gather information from customers to provide personalised and targeted information, reducing the need to speak to a service officer. </w:t>
      </w:r>
    </w:p>
    <w:p w:rsidR="00260042" w:rsidRDefault="00260042" w:rsidP="00260042">
      <w:pPr>
        <w:pStyle w:val="BodyText"/>
      </w:pPr>
      <w:r>
        <w:t xml:space="preserve">For more information on </w:t>
      </w:r>
      <w:r>
        <w:rPr>
          <w:rStyle w:val="Italic"/>
        </w:rPr>
        <w:t>Digital services</w:t>
      </w:r>
      <w:r>
        <w:t>, see page 12.</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234</w:t>
      </w:r>
      <w:r>
        <w:br/>
        <w:t>2020–21 Corporate Plan, page 16</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rPr>
          <w:spacing w:val="-5"/>
        </w:rPr>
        <w:t>Enterprise Data Warehouse, Business Activity Reporting and Analytics and COGNOS.</w:t>
      </w:r>
    </w:p>
    <w:p w:rsidR="00260042" w:rsidRDefault="00260042" w:rsidP="00260042">
      <w:pPr>
        <w:pStyle w:val="BodyText"/>
        <w:spacing w:after="0"/>
        <w:rPr>
          <w:rStyle w:val="Bold"/>
          <w:caps/>
        </w:rPr>
      </w:pPr>
      <w:r>
        <w:rPr>
          <w:rStyle w:val="Bold"/>
          <w:caps/>
        </w:rPr>
        <w:t>Notes and Definitions</w:t>
      </w:r>
    </w:p>
    <w:p w:rsidR="00260042" w:rsidRDefault="00260042" w:rsidP="00260042">
      <w:pPr>
        <w:pStyle w:val="BodyText"/>
        <w:spacing w:after="57"/>
      </w:pPr>
      <w:r>
        <w:t xml:space="preserve">Self-managed interactions </w:t>
      </w:r>
      <w:proofErr w:type="gramStart"/>
      <w:r>
        <w:t>are defined</w:t>
      </w:r>
      <w:proofErr w:type="gramEnd"/>
      <w:r>
        <w:t xml:space="preserve"> as:</w:t>
      </w:r>
    </w:p>
    <w:p w:rsidR="00260042" w:rsidRDefault="00260042" w:rsidP="008930A3">
      <w:pPr>
        <w:pStyle w:val="ListBullet"/>
      </w:pPr>
      <w:r>
        <w:t xml:space="preserve">online and mobile applications </w:t>
      </w:r>
    </w:p>
    <w:p w:rsidR="00260042" w:rsidRDefault="00260042" w:rsidP="008930A3">
      <w:pPr>
        <w:pStyle w:val="ListBullet"/>
      </w:pPr>
      <w:r>
        <w:t>phone self-service (interactive voice response)</w:t>
      </w:r>
    </w:p>
    <w:p w:rsidR="00260042" w:rsidRDefault="00260042" w:rsidP="008930A3">
      <w:pPr>
        <w:pStyle w:val="ListBullet"/>
      </w:pPr>
      <w:r>
        <w:t>online letters</w:t>
      </w:r>
    </w:p>
    <w:p w:rsidR="00260042" w:rsidRDefault="00260042" w:rsidP="00EA5510">
      <w:pPr>
        <w:pStyle w:val="ListBullet"/>
      </w:pPr>
      <w:proofErr w:type="gramStart"/>
      <w:r>
        <w:lastRenderedPageBreak/>
        <w:t>electronic</w:t>
      </w:r>
      <w:proofErr w:type="gramEnd"/>
      <w:r>
        <w:t xml:space="preserve"> data interchange transaction.</w:t>
      </w:r>
    </w:p>
    <w:p w:rsidR="00260042" w:rsidRDefault="00260042" w:rsidP="00260042">
      <w:pPr>
        <w:pStyle w:val="Heading5"/>
      </w:pPr>
      <w:r>
        <w:t>Performance measure 9 — Achievement of digital service level standards: availability of ICT services excluding scheduled maintenance periods that support 24/7 customer access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9 — Achievement of digital service level standards: availability of ICT services excluding scheduled maintenance periods that support 24/7 customer access"/>
      </w:tblPr>
      <w:tblGrid>
        <w:gridCol w:w="1594"/>
        <w:gridCol w:w="1949"/>
        <w:gridCol w:w="1949"/>
        <w:gridCol w:w="1949"/>
        <w:gridCol w:w="3349"/>
      </w:tblGrid>
      <w:tr w:rsidR="00260042" w:rsidTr="000745B5">
        <w:trPr>
          <w:trHeight w:val="376"/>
          <w:tblHeader/>
        </w:trPr>
        <w:tc>
          <w:tcPr>
            <w:tcW w:w="738" w:type="pct"/>
          </w:tcPr>
          <w:p w:rsidR="00260042" w:rsidRPr="000745B5" w:rsidRDefault="00260042" w:rsidP="000745B5">
            <w:pPr>
              <w:pStyle w:val="BodyText"/>
              <w:rPr>
                <w:b/>
              </w:rPr>
            </w:pPr>
            <w:r w:rsidRPr="000745B5">
              <w:rPr>
                <w:b/>
              </w:rPr>
              <w:t>Year</w:t>
            </w:r>
          </w:p>
        </w:tc>
        <w:tc>
          <w:tcPr>
            <w:tcW w:w="903" w:type="pct"/>
          </w:tcPr>
          <w:p w:rsidR="00260042" w:rsidRPr="000745B5" w:rsidRDefault="00260042" w:rsidP="000745B5">
            <w:pPr>
              <w:pStyle w:val="BodyText"/>
              <w:rPr>
                <w:b/>
              </w:rPr>
            </w:pPr>
            <w:r w:rsidRPr="000745B5">
              <w:rPr>
                <w:b/>
              </w:rPr>
              <w:t>Target</w:t>
            </w:r>
          </w:p>
        </w:tc>
        <w:tc>
          <w:tcPr>
            <w:tcW w:w="903" w:type="pct"/>
          </w:tcPr>
          <w:p w:rsidR="00260042" w:rsidRPr="000745B5" w:rsidRDefault="00260042" w:rsidP="000745B5">
            <w:pPr>
              <w:pStyle w:val="BodyText"/>
              <w:rPr>
                <w:b/>
              </w:rPr>
            </w:pPr>
            <w:r w:rsidRPr="000745B5">
              <w:rPr>
                <w:b/>
              </w:rPr>
              <w:t>Result</w:t>
            </w:r>
          </w:p>
        </w:tc>
        <w:tc>
          <w:tcPr>
            <w:tcW w:w="903" w:type="pct"/>
          </w:tcPr>
          <w:p w:rsidR="00260042" w:rsidRPr="000745B5" w:rsidRDefault="00260042" w:rsidP="000745B5">
            <w:pPr>
              <w:pStyle w:val="BodyText"/>
              <w:rPr>
                <w:b/>
              </w:rPr>
            </w:pPr>
            <w:r w:rsidRPr="000745B5">
              <w:rPr>
                <w:b/>
              </w:rPr>
              <w:t>Achieved</w:t>
            </w:r>
          </w:p>
        </w:tc>
        <w:tc>
          <w:tcPr>
            <w:tcW w:w="1552" w:type="pct"/>
          </w:tcPr>
          <w:p w:rsidR="00260042" w:rsidRPr="000745B5" w:rsidRDefault="00260042" w:rsidP="000745B5">
            <w:pPr>
              <w:pStyle w:val="BodyText"/>
              <w:rPr>
                <w:b/>
              </w:rPr>
            </w:pPr>
            <w:r w:rsidRPr="000745B5">
              <w:rPr>
                <w:b/>
              </w:rPr>
              <w:t>Change on previous year +/–</w:t>
            </w:r>
          </w:p>
        </w:tc>
      </w:tr>
      <w:tr w:rsidR="00260042" w:rsidTr="000745B5">
        <w:trPr>
          <w:trHeight w:val="376"/>
        </w:trPr>
        <w:tc>
          <w:tcPr>
            <w:tcW w:w="738" w:type="pct"/>
          </w:tcPr>
          <w:p w:rsidR="00260042" w:rsidRDefault="00260042" w:rsidP="000745B5">
            <w:pPr>
              <w:pStyle w:val="BodyText"/>
            </w:pPr>
            <w:r>
              <w:t>2020–21</w:t>
            </w:r>
          </w:p>
        </w:tc>
        <w:tc>
          <w:tcPr>
            <w:tcW w:w="903" w:type="pct"/>
          </w:tcPr>
          <w:p w:rsidR="00260042" w:rsidRDefault="00260042" w:rsidP="000745B5">
            <w:pPr>
              <w:pStyle w:val="BodyText"/>
            </w:pPr>
            <w:r>
              <w:t>≥98%</w:t>
            </w:r>
          </w:p>
        </w:tc>
        <w:tc>
          <w:tcPr>
            <w:tcW w:w="903" w:type="pct"/>
          </w:tcPr>
          <w:p w:rsidR="00260042" w:rsidRDefault="00260042" w:rsidP="000745B5">
            <w:pPr>
              <w:pStyle w:val="BodyText"/>
            </w:pPr>
            <w:r>
              <w:t>99.2%</w:t>
            </w:r>
          </w:p>
        </w:tc>
        <w:tc>
          <w:tcPr>
            <w:tcW w:w="903" w:type="pct"/>
          </w:tcPr>
          <w:p w:rsidR="00260042" w:rsidRDefault="00260042" w:rsidP="000745B5">
            <w:pPr>
              <w:pStyle w:val="BodyText"/>
            </w:pPr>
            <w:r>
              <w:rPr>
                <w:rStyle w:val="Bulletcolour"/>
                <w:rFonts w:ascii="Wingdings" w:hAnsi="Wingdings" w:cs="Wingdings"/>
              </w:rPr>
              <w:t></w:t>
            </w:r>
          </w:p>
        </w:tc>
        <w:tc>
          <w:tcPr>
            <w:tcW w:w="1552" w:type="pct"/>
          </w:tcPr>
          <w:p w:rsidR="00260042" w:rsidRDefault="00260042" w:rsidP="000745B5">
            <w:pPr>
              <w:pStyle w:val="BodyText"/>
            </w:pPr>
            <w:r>
              <w:t>+0.2%</w:t>
            </w:r>
          </w:p>
        </w:tc>
      </w:tr>
      <w:tr w:rsidR="00260042" w:rsidTr="000745B5">
        <w:trPr>
          <w:trHeight w:val="376"/>
        </w:trPr>
        <w:tc>
          <w:tcPr>
            <w:tcW w:w="738" w:type="pct"/>
          </w:tcPr>
          <w:p w:rsidR="00260042" w:rsidRDefault="00260042" w:rsidP="000745B5">
            <w:pPr>
              <w:pStyle w:val="BodyText"/>
            </w:pPr>
            <w:r>
              <w:t>2019–20</w:t>
            </w:r>
          </w:p>
        </w:tc>
        <w:tc>
          <w:tcPr>
            <w:tcW w:w="903" w:type="pct"/>
          </w:tcPr>
          <w:p w:rsidR="00260042" w:rsidRDefault="00260042" w:rsidP="000745B5">
            <w:pPr>
              <w:pStyle w:val="BodyText"/>
            </w:pPr>
            <w:r>
              <w:t>≥98%</w:t>
            </w:r>
          </w:p>
        </w:tc>
        <w:tc>
          <w:tcPr>
            <w:tcW w:w="903" w:type="pct"/>
          </w:tcPr>
          <w:p w:rsidR="00260042" w:rsidRDefault="00260042" w:rsidP="000745B5">
            <w:pPr>
              <w:pStyle w:val="BodyText"/>
            </w:pPr>
            <w:r>
              <w:t>99.0%</w:t>
            </w:r>
          </w:p>
        </w:tc>
        <w:tc>
          <w:tcPr>
            <w:tcW w:w="903" w:type="pct"/>
          </w:tcPr>
          <w:p w:rsidR="00260042" w:rsidRDefault="00260042" w:rsidP="000745B5">
            <w:pPr>
              <w:pStyle w:val="BodyText"/>
            </w:pPr>
            <w:r>
              <w:rPr>
                <w:rStyle w:val="Bulletcolour"/>
                <w:rFonts w:ascii="Wingdings" w:hAnsi="Wingdings" w:cs="Wingdings"/>
              </w:rPr>
              <w:t></w:t>
            </w:r>
          </w:p>
        </w:tc>
        <w:tc>
          <w:tcPr>
            <w:tcW w:w="1552" w:type="pct"/>
          </w:tcPr>
          <w:p w:rsidR="00260042" w:rsidRDefault="00260042" w:rsidP="000745B5">
            <w:pPr>
              <w:pStyle w:val="BodyText"/>
            </w:pPr>
            <w:r>
              <w:t>No change</w:t>
            </w:r>
          </w:p>
        </w:tc>
      </w:tr>
      <w:tr w:rsidR="00260042" w:rsidTr="000745B5">
        <w:trPr>
          <w:trHeight w:val="376"/>
        </w:trPr>
        <w:tc>
          <w:tcPr>
            <w:tcW w:w="738" w:type="pct"/>
          </w:tcPr>
          <w:p w:rsidR="00260042" w:rsidRDefault="00260042" w:rsidP="000745B5">
            <w:pPr>
              <w:pStyle w:val="BodyText"/>
            </w:pPr>
            <w:r>
              <w:t>2018–19</w:t>
            </w:r>
          </w:p>
        </w:tc>
        <w:tc>
          <w:tcPr>
            <w:tcW w:w="903" w:type="pct"/>
          </w:tcPr>
          <w:p w:rsidR="00260042" w:rsidRDefault="00260042" w:rsidP="000745B5">
            <w:pPr>
              <w:pStyle w:val="BodyText"/>
            </w:pPr>
            <w:r>
              <w:t>≥98%</w:t>
            </w:r>
          </w:p>
        </w:tc>
        <w:tc>
          <w:tcPr>
            <w:tcW w:w="903" w:type="pct"/>
          </w:tcPr>
          <w:p w:rsidR="00260042" w:rsidRDefault="00260042" w:rsidP="000745B5">
            <w:pPr>
              <w:pStyle w:val="BodyText"/>
            </w:pPr>
            <w:r>
              <w:t>99.0%</w:t>
            </w:r>
          </w:p>
        </w:tc>
        <w:tc>
          <w:tcPr>
            <w:tcW w:w="903" w:type="pct"/>
          </w:tcPr>
          <w:p w:rsidR="00260042" w:rsidRDefault="00260042" w:rsidP="000745B5">
            <w:pPr>
              <w:pStyle w:val="BodyText"/>
            </w:pPr>
            <w:r>
              <w:rPr>
                <w:rStyle w:val="Bulletcolour"/>
                <w:rFonts w:ascii="Wingdings" w:hAnsi="Wingdings" w:cs="Wingdings"/>
              </w:rPr>
              <w:t></w:t>
            </w:r>
          </w:p>
        </w:tc>
        <w:tc>
          <w:tcPr>
            <w:tcW w:w="1552" w:type="pct"/>
          </w:tcPr>
          <w:p w:rsidR="00260042" w:rsidRDefault="00260042" w:rsidP="000745B5">
            <w:pPr>
              <w:pStyle w:val="BodyText"/>
            </w:pPr>
            <w:r>
              <w:t>–0.1%</w:t>
            </w:r>
          </w:p>
        </w:tc>
      </w:tr>
    </w:tbl>
    <w:p w:rsidR="00260042" w:rsidRDefault="00260042" w:rsidP="00260042">
      <w:pPr>
        <w:pStyle w:val="BodyText"/>
        <w:spacing w:after="0"/>
      </w:pPr>
      <w:r>
        <w:rPr>
          <w:rStyle w:val="Bold"/>
          <w:caps/>
        </w:rPr>
        <w:t>Analysis</w:t>
      </w:r>
    </w:p>
    <w:p w:rsidR="00260042" w:rsidRDefault="00260042" w:rsidP="00260042">
      <w:pPr>
        <w:pStyle w:val="BodyText"/>
      </w:pPr>
      <w:r>
        <w:t xml:space="preserve">The digital experience of self-service customers using Centrelink online accounts and Express Plus Centrelink mobile applications achieved the availability target for 24/7 customer access. </w:t>
      </w:r>
    </w:p>
    <w:p w:rsidR="00260042" w:rsidRDefault="00260042" w:rsidP="00260042">
      <w:pPr>
        <w:pStyle w:val="BodyText"/>
      </w:pPr>
      <w:r>
        <w:t xml:space="preserve">The agency implemented a number of significant changes and service enhancements, especially in response to the COVID-19 pandemic, to ensure as many people as possible were able to use the digital channel. </w:t>
      </w:r>
      <w:proofErr w:type="gramStart"/>
      <w:r>
        <w:t>This included the ability for customers to book and attend video call appointments to confirm their identity as part of their claim submission.</w:t>
      </w:r>
      <w:proofErr w:type="gramEnd"/>
      <w:r>
        <w:t xml:space="preserve"> The solution allowed customers to confirm their identity using their mobile device or computer. </w:t>
      </w:r>
    </w:p>
    <w:p w:rsidR="00260042" w:rsidRDefault="00260042" w:rsidP="00260042">
      <w:pPr>
        <w:pStyle w:val="BodyText"/>
        <w:rPr>
          <w:spacing w:val="-2"/>
        </w:rPr>
      </w:pPr>
      <w:r>
        <w:rPr>
          <w:spacing w:val="-2"/>
        </w:rPr>
        <w:t xml:space="preserve">The SSW program also released a new claim called COVID-19 Disaster Payment. This payment is claimable online via Centrelink Online accounts. By allowing a new channel for customers to claim this payment online, in addition to the normal telephone calling process, payments </w:t>
      </w:r>
      <w:proofErr w:type="gramStart"/>
      <w:r>
        <w:rPr>
          <w:spacing w:val="-2"/>
        </w:rPr>
        <w:t>were made</w:t>
      </w:r>
      <w:proofErr w:type="gramEnd"/>
      <w:r>
        <w:rPr>
          <w:spacing w:val="-2"/>
        </w:rPr>
        <w:t xml:space="preserve"> more quickly.</w:t>
      </w:r>
    </w:p>
    <w:p w:rsidR="00260042" w:rsidRDefault="00260042" w:rsidP="00260042">
      <w:pPr>
        <w:pStyle w:val="BodyText"/>
      </w:pPr>
      <w:r>
        <w:t xml:space="preserve">For more information on </w:t>
      </w:r>
      <w:r>
        <w:rPr>
          <w:rStyle w:val="Italic"/>
        </w:rPr>
        <w:t>Digital services</w:t>
      </w:r>
      <w:r>
        <w:t>, see page 12.</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234</w:t>
      </w:r>
      <w:r>
        <w:br/>
        <w:t>2020–21 Corporate Plan, page 16</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 xml:space="preserve">Internal data sources including incident records, problem records, and scheduled maintenance periods </w:t>
      </w:r>
      <w:proofErr w:type="gramStart"/>
      <w:r>
        <w:t>are used</w:t>
      </w:r>
      <w:proofErr w:type="gramEnd"/>
      <w:r>
        <w:t xml:space="preserve"> to calculate the availability result.</w:t>
      </w:r>
    </w:p>
    <w:p w:rsidR="00260042" w:rsidRDefault="00260042" w:rsidP="00260042">
      <w:pPr>
        <w:pStyle w:val="BodyText"/>
        <w:spacing w:after="0"/>
        <w:rPr>
          <w:rStyle w:val="Bold"/>
          <w:caps/>
        </w:rPr>
      </w:pPr>
      <w:r>
        <w:rPr>
          <w:rStyle w:val="Bold"/>
          <w:caps/>
        </w:rPr>
        <w:t>Notes and Definitions</w:t>
      </w:r>
    </w:p>
    <w:p w:rsidR="00260042" w:rsidRDefault="00260042" w:rsidP="008930A3">
      <w:pPr>
        <w:pStyle w:val="ListBullet"/>
      </w:pPr>
      <w:r>
        <w:t>Customer means the public, in particular customers using online services and mobile applications.</w:t>
      </w:r>
    </w:p>
    <w:p w:rsidR="00260042" w:rsidRDefault="00260042" w:rsidP="00EA5510">
      <w:pPr>
        <w:pStyle w:val="ListBullet"/>
      </w:pPr>
      <w:r>
        <w:t>Data sources reflect the use of agency endorsed data collection or visualisation applications that are relevant to service outcomes.</w:t>
      </w:r>
    </w:p>
    <w:p w:rsidR="00260042" w:rsidRDefault="00260042" w:rsidP="002E64CE">
      <w:pPr>
        <w:pStyle w:val="Heading3"/>
      </w:pPr>
      <w:r>
        <w:lastRenderedPageBreak/>
        <w:t>Program 1.2: Services to the Community – HEALTH</w:t>
      </w:r>
    </w:p>
    <w:tbl>
      <w:tblPr>
        <w:tblStyle w:val="TableGrid"/>
        <w:tblW w:w="5000" w:type="pct"/>
        <w:tblLook w:val="0000" w:firstRow="0" w:lastRow="0" w:firstColumn="0" w:lastColumn="0" w:noHBand="0" w:noVBand="0"/>
        <w:tblCaption w:val="Program 1.2: Services to the Community – HEALTH"/>
      </w:tblPr>
      <w:tblGrid>
        <w:gridCol w:w="745"/>
        <w:gridCol w:w="4996"/>
        <w:gridCol w:w="1737"/>
        <w:gridCol w:w="1739"/>
        <w:gridCol w:w="1573"/>
      </w:tblGrid>
      <w:tr w:rsidR="00260042" w:rsidTr="000745B5">
        <w:trPr>
          <w:trHeight w:val="60"/>
          <w:tblHeader/>
        </w:trPr>
        <w:tc>
          <w:tcPr>
            <w:tcW w:w="345" w:type="pct"/>
          </w:tcPr>
          <w:p w:rsidR="00260042" w:rsidRPr="000745B5" w:rsidRDefault="00260042" w:rsidP="000745B5">
            <w:pPr>
              <w:pStyle w:val="BodyText"/>
              <w:rPr>
                <w:b/>
              </w:rPr>
            </w:pPr>
          </w:p>
        </w:tc>
        <w:tc>
          <w:tcPr>
            <w:tcW w:w="2315" w:type="pct"/>
          </w:tcPr>
          <w:p w:rsidR="00260042" w:rsidRPr="000745B5" w:rsidRDefault="00260042" w:rsidP="000745B5">
            <w:pPr>
              <w:pStyle w:val="BodyText"/>
              <w:rPr>
                <w:b/>
              </w:rPr>
            </w:pPr>
            <w:r w:rsidRPr="000745B5">
              <w:rPr>
                <w:rStyle w:val="Bulletcolour"/>
                <w:b/>
              </w:rPr>
              <w:t xml:space="preserve">Performance measure </w:t>
            </w:r>
          </w:p>
        </w:tc>
        <w:tc>
          <w:tcPr>
            <w:tcW w:w="805" w:type="pct"/>
          </w:tcPr>
          <w:p w:rsidR="00260042" w:rsidRPr="000745B5" w:rsidRDefault="00260042" w:rsidP="000745B5">
            <w:pPr>
              <w:pStyle w:val="BodyText"/>
              <w:rPr>
                <w:b/>
              </w:rPr>
            </w:pPr>
            <w:r w:rsidRPr="000745B5">
              <w:rPr>
                <w:rStyle w:val="Bulletcolour"/>
                <w:b/>
              </w:rPr>
              <w:t xml:space="preserve">Target </w:t>
            </w:r>
          </w:p>
        </w:tc>
        <w:tc>
          <w:tcPr>
            <w:tcW w:w="806" w:type="pct"/>
          </w:tcPr>
          <w:p w:rsidR="00260042" w:rsidRPr="000745B5" w:rsidRDefault="00260042" w:rsidP="000745B5">
            <w:pPr>
              <w:pStyle w:val="BodyText"/>
              <w:rPr>
                <w:b/>
              </w:rPr>
            </w:pPr>
            <w:r w:rsidRPr="000745B5">
              <w:rPr>
                <w:rStyle w:val="Bulletcolour"/>
                <w:b/>
              </w:rPr>
              <w:t>Result</w:t>
            </w:r>
          </w:p>
        </w:tc>
        <w:tc>
          <w:tcPr>
            <w:tcW w:w="729" w:type="pct"/>
          </w:tcPr>
          <w:p w:rsidR="00260042" w:rsidRPr="000745B5" w:rsidRDefault="00260042" w:rsidP="000745B5">
            <w:pPr>
              <w:pStyle w:val="BodyText"/>
              <w:rPr>
                <w:b/>
              </w:rPr>
            </w:pPr>
            <w:r w:rsidRPr="000745B5">
              <w:rPr>
                <w:rStyle w:val="Bulletcolour"/>
                <w:b/>
              </w:rPr>
              <w:t>Achieved</w:t>
            </w:r>
          </w:p>
        </w:tc>
      </w:tr>
      <w:tr w:rsidR="00260042" w:rsidTr="000745B5">
        <w:trPr>
          <w:trHeight w:val="60"/>
        </w:trPr>
        <w:tc>
          <w:tcPr>
            <w:tcW w:w="345" w:type="pct"/>
          </w:tcPr>
          <w:p w:rsidR="00260042" w:rsidRDefault="00260042" w:rsidP="000745B5">
            <w:pPr>
              <w:pStyle w:val="BodyText"/>
            </w:pPr>
            <w:r>
              <w:t>1.</w:t>
            </w:r>
          </w:p>
        </w:tc>
        <w:tc>
          <w:tcPr>
            <w:tcW w:w="2315" w:type="pct"/>
          </w:tcPr>
          <w:p w:rsidR="00260042" w:rsidRDefault="00260042" w:rsidP="000745B5">
            <w:pPr>
              <w:pStyle w:val="BodyText"/>
            </w:pPr>
            <w:r>
              <w:rPr>
                <w:rStyle w:val="Bulletcolour"/>
              </w:rPr>
              <w:t>Satisfaction with Medicare provider service delivery: practitioners, pharmacists and practice managers</w:t>
            </w:r>
          </w:p>
        </w:tc>
        <w:tc>
          <w:tcPr>
            <w:tcW w:w="805" w:type="pct"/>
          </w:tcPr>
          <w:p w:rsidR="00260042" w:rsidRDefault="00260042" w:rsidP="000745B5">
            <w:pPr>
              <w:pStyle w:val="BodyText"/>
            </w:pPr>
            <w:r>
              <w:rPr>
                <w:rStyle w:val="Bulletcolour"/>
              </w:rPr>
              <w:t>≥70%</w:t>
            </w:r>
          </w:p>
        </w:tc>
        <w:tc>
          <w:tcPr>
            <w:tcW w:w="806" w:type="pct"/>
          </w:tcPr>
          <w:p w:rsidR="00260042" w:rsidRDefault="00260042" w:rsidP="000745B5">
            <w:pPr>
              <w:pStyle w:val="BodyText"/>
            </w:pPr>
            <w:r>
              <w:rPr>
                <w:rStyle w:val="Bulletcolour"/>
              </w:rPr>
              <w:t>89.2%</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2.</w:t>
            </w:r>
          </w:p>
        </w:tc>
        <w:tc>
          <w:tcPr>
            <w:tcW w:w="2315" w:type="pct"/>
          </w:tcPr>
          <w:p w:rsidR="00260042" w:rsidRDefault="00260042" w:rsidP="000745B5">
            <w:pPr>
              <w:pStyle w:val="BodyText"/>
            </w:pPr>
            <w:r>
              <w:rPr>
                <w:rStyle w:val="Bulletcolour"/>
              </w:rPr>
              <w:t>Customer satisfaction: achievement of customer satisfaction standards</w:t>
            </w:r>
          </w:p>
        </w:tc>
        <w:tc>
          <w:tcPr>
            <w:tcW w:w="805" w:type="pct"/>
          </w:tcPr>
          <w:p w:rsidR="00260042" w:rsidRDefault="00260042" w:rsidP="000745B5">
            <w:pPr>
              <w:pStyle w:val="BodyText"/>
            </w:pPr>
            <w:r>
              <w:rPr>
                <w:rStyle w:val="Bulletcolour"/>
              </w:rPr>
              <w:t xml:space="preserve">≥85 </w:t>
            </w:r>
            <w:r>
              <w:rPr>
                <w:rStyle w:val="Bulletcolour"/>
              </w:rPr>
              <w:br/>
              <w:t>out of 100</w:t>
            </w:r>
          </w:p>
        </w:tc>
        <w:tc>
          <w:tcPr>
            <w:tcW w:w="806" w:type="pct"/>
          </w:tcPr>
          <w:p w:rsidR="00260042" w:rsidRDefault="00260042" w:rsidP="000745B5">
            <w:pPr>
              <w:pStyle w:val="BodyText"/>
            </w:pPr>
            <w:r>
              <w:rPr>
                <w:rStyle w:val="Bulletcolour"/>
              </w:rPr>
              <w:t xml:space="preserve">86.6 </w:t>
            </w:r>
            <w:r>
              <w:rPr>
                <w:rStyle w:val="Bulletcolour"/>
              </w:rPr>
              <w:br/>
              <w:t>out of 100</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3.</w:t>
            </w:r>
          </w:p>
        </w:tc>
        <w:tc>
          <w:tcPr>
            <w:tcW w:w="2315" w:type="pct"/>
          </w:tcPr>
          <w:p w:rsidR="00260042" w:rsidRDefault="00260042" w:rsidP="000745B5">
            <w:pPr>
              <w:pStyle w:val="BodyText"/>
            </w:pPr>
            <w:r>
              <w:rPr>
                <w:rStyle w:val="Bulletcolour"/>
              </w:rPr>
              <w:t>Achievement of payment quality standards: Medicare: delivery of accurate medical benefits and services</w:t>
            </w:r>
          </w:p>
        </w:tc>
        <w:tc>
          <w:tcPr>
            <w:tcW w:w="805" w:type="pct"/>
          </w:tcPr>
          <w:p w:rsidR="00260042" w:rsidRDefault="00260042" w:rsidP="000745B5">
            <w:pPr>
              <w:pStyle w:val="BodyText"/>
            </w:pPr>
            <w:r>
              <w:rPr>
                <w:rStyle w:val="Bulletcolour"/>
              </w:rPr>
              <w:t>≥98%</w:t>
            </w:r>
          </w:p>
        </w:tc>
        <w:tc>
          <w:tcPr>
            <w:tcW w:w="806" w:type="pct"/>
          </w:tcPr>
          <w:p w:rsidR="00260042" w:rsidRDefault="00260042" w:rsidP="000745B5">
            <w:pPr>
              <w:pStyle w:val="BodyText"/>
            </w:pPr>
            <w:r>
              <w:rPr>
                <w:rStyle w:val="Bulletcolour"/>
              </w:rPr>
              <w:t>98.8%</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4.</w:t>
            </w:r>
          </w:p>
        </w:tc>
        <w:tc>
          <w:tcPr>
            <w:tcW w:w="2315" w:type="pct"/>
          </w:tcPr>
          <w:p w:rsidR="00260042" w:rsidRDefault="00260042" w:rsidP="000745B5">
            <w:pPr>
              <w:pStyle w:val="BodyText"/>
            </w:pPr>
            <w:r>
              <w:t>Achievement of face-to-face service level standards: average wait time</w:t>
            </w:r>
          </w:p>
        </w:tc>
        <w:tc>
          <w:tcPr>
            <w:tcW w:w="805" w:type="pct"/>
          </w:tcPr>
          <w:p w:rsidR="00260042" w:rsidRDefault="00260042" w:rsidP="000745B5">
            <w:pPr>
              <w:pStyle w:val="BodyText"/>
            </w:pPr>
            <w:r>
              <w:t>≤15 minutes</w:t>
            </w:r>
          </w:p>
        </w:tc>
        <w:tc>
          <w:tcPr>
            <w:tcW w:w="806" w:type="pct"/>
          </w:tcPr>
          <w:p w:rsidR="00260042" w:rsidRDefault="00260042" w:rsidP="000745B5">
            <w:pPr>
              <w:pStyle w:val="BodyText"/>
            </w:pPr>
            <w:r>
              <w:t>6 minutes 40 seconds</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5.</w:t>
            </w:r>
          </w:p>
        </w:tc>
        <w:tc>
          <w:tcPr>
            <w:tcW w:w="2315" w:type="pct"/>
          </w:tcPr>
          <w:p w:rsidR="00260042" w:rsidRDefault="00260042" w:rsidP="000745B5">
            <w:pPr>
              <w:pStyle w:val="BodyText"/>
            </w:pPr>
            <w:r>
              <w:t>Achievement of telephony service level standards: average speed of answer—Pharmaceutical Benefits Scheme authorities</w:t>
            </w:r>
          </w:p>
        </w:tc>
        <w:tc>
          <w:tcPr>
            <w:tcW w:w="805" w:type="pct"/>
          </w:tcPr>
          <w:p w:rsidR="00260042" w:rsidRDefault="00260042" w:rsidP="000745B5">
            <w:pPr>
              <w:pStyle w:val="BodyText"/>
            </w:pPr>
            <w:r>
              <w:rPr>
                <w:spacing w:val="-4"/>
              </w:rPr>
              <w:t>≤30 seconds</w:t>
            </w:r>
          </w:p>
        </w:tc>
        <w:tc>
          <w:tcPr>
            <w:tcW w:w="806" w:type="pct"/>
          </w:tcPr>
          <w:p w:rsidR="00260042" w:rsidRDefault="00260042" w:rsidP="000745B5">
            <w:pPr>
              <w:pStyle w:val="BodyText"/>
            </w:pPr>
            <w:r>
              <w:t>27 seconds</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6.</w:t>
            </w:r>
          </w:p>
        </w:tc>
        <w:tc>
          <w:tcPr>
            <w:tcW w:w="2315" w:type="pct"/>
          </w:tcPr>
          <w:p w:rsidR="00260042" w:rsidRDefault="00260042" w:rsidP="000745B5">
            <w:pPr>
              <w:pStyle w:val="BodyText"/>
            </w:pPr>
            <w:r>
              <w:t>Achievement of telephony service level standards: Average speed of answer—providers</w:t>
            </w:r>
          </w:p>
        </w:tc>
        <w:tc>
          <w:tcPr>
            <w:tcW w:w="805" w:type="pct"/>
          </w:tcPr>
          <w:p w:rsidR="00260042" w:rsidRDefault="00260042" w:rsidP="000745B5">
            <w:pPr>
              <w:pStyle w:val="BodyText"/>
            </w:pPr>
            <w:r>
              <w:t>≤2 minutes</w:t>
            </w:r>
          </w:p>
        </w:tc>
        <w:tc>
          <w:tcPr>
            <w:tcW w:w="806" w:type="pct"/>
          </w:tcPr>
          <w:p w:rsidR="00260042" w:rsidRDefault="00260042" w:rsidP="000745B5">
            <w:pPr>
              <w:pStyle w:val="BodyText"/>
            </w:pPr>
            <w:r>
              <w:t xml:space="preserve">1 minute </w:t>
            </w:r>
            <w:r>
              <w:rPr>
                <w:spacing w:val="-8"/>
              </w:rPr>
              <w:t>57 seconds</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7.</w:t>
            </w:r>
          </w:p>
        </w:tc>
        <w:tc>
          <w:tcPr>
            <w:tcW w:w="2315" w:type="pct"/>
          </w:tcPr>
          <w:p w:rsidR="00260042" w:rsidRDefault="00260042" w:rsidP="000745B5">
            <w:pPr>
              <w:pStyle w:val="BodyText"/>
            </w:pPr>
            <w:r>
              <w:rPr>
                <w:spacing w:val="-2"/>
              </w:rPr>
              <w:t>Achievement of telephony service level standards: Average speed of answer—customers</w:t>
            </w:r>
          </w:p>
        </w:tc>
        <w:tc>
          <w:tcPr>
            <w:tcW w:w="805" w:type="pct"/>
          </w:tcPr>
          <w:p w:rsidR="00260042" w:rsidRDefault="00260042" w:rsidP="000745B5">
            <w:pPr>
              <w:pStyle w:val="BodyText"/>
            </w:pPr>
            <w:r>
              <w:t>≤7 minutes</w:t>
            </w:r>
          </w:p>
        </w:tc>
        <w:tc>
          <w:tcPr>
            <w:tcW w:w="806" w:type="pct"/>
          </w:tcPr>
          <w:p w:rsidR="00260042" w:rsidRDefault="00260042" w:rsidP="000745B5">
            <w:pPr>
              <w:pStyle w:val="BodyText"/>
            </w:pPr>
            <w:r>
              <w:t xml:space="preserve">6 minutes </w:t>
            </w:r>
            <w:r>
              <w:rPr>
                <w:spacing w:val="-8"/>
              </w:rPr>
              <w:t>50 seconds</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8.</w:t>
            </w:r>
          </w:p>
        </w:tc>
        <w:tc>
          <w:tcPr>
            <w:tcW w:w="2315" w:type="pct"/>
          </w:tcPr>
          <w:p w:rsidR="00260042" w:rsidRDefault="00260042" w:rsidP="000745B5">
            <w:pPr>
              <w:pStyle w:val="BodyText"/>
            </w:pPr>
            <w:r>
              <w:rPr>
                <w:spacing w:val="-2"/>
              </w:rPr>
              <w:t>Achievement of processing service level standards: claims processed within standard</w:t>
            </w:r>
          </w:p>
        </w:tc>
        <w:tc>
          <w:tcPr>
            <w:tcW w:w="805" w:type="pct"/>
          </w:tcPr>
          <w:p w:rsidR="00260042" w:rsidRDefault="00260042" w:rsidP="000745B5">
            <w:pPr>
              <w:pStyle w:val="BodyText"/>
            </w:pPr>
            <w:r>
              <w:t>≥82%</w:t>
            </w:r>
          </w:p>
        </w:tc>
        <w:tc>
          <w:tcPr>
            <w:tcW w:w="806" w:type="pct"/>
          </w:tcPr>
          <w:p w:rsidR="00260042" w:rsidRDefault="00260042" w:rsidP="000745B5">
            <w:pPr>
              <w:pStyle w:val="BodyText"/>
            </w:pPr>
            <w:r>
              <w:t>94.2%</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9.</w:t>
            </w:r>
          </w:p>
        </w:tc>
        <w:tc>
          <w:tcPr>
            <w:tcW w:w="2315" w:type="pct"/>
          </w:tcPr>
          <w:p w:rsidR="00260042" w:rsidRDefault="00260042" w:rsidP="000745B5">
            <w:pPr>
              <w:pStyle w:val="BodyText"/>
            </w:pPr>
            <w:r>
              <w:rPr>
                <w:spacing w:val="-2"/>
              </w:rPr>
              <w:t>Achievement of digital service level standards: Medicare Benefits Schedule digital claiming rate</w:t>
            </w:r>
          </w:p>
        </w:tc>
        <w:tc>
          <w:tcPr>
            <w:tcW w:w="805" w:type="pct"/>
          </w:tcPr>
          <w:p w:rsidR="00260042" w:rsidRDefault="00260042" w:rsidP="000745B5">
            <w:pPr>
              <w:pStyle w:val="BodyText"/>
            </w:pPr>
            <w:r>
              <w:t>≥97%</w:t>
            </w:r>
          </w:p>
        </w:tc>
        <w:tc>
          <w:tcPr>
            <w:tcW w:w="806" w:type="pct"/>
          </w:tcPr>
          <w:p w:rsidR="00260042" w:rsidRDefault="00260042" w:rsidP="000745B5">
            <w:pPr>
              <w:pStyle w:val="BodyText"/>
            </w:pPr>
            <w:r>
              <w:t>99.5%</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10.</w:t>
            </w:r>
          </w:p>
        </w:tc>
        <w:tc>
          <w:tcPr>
            <w:tcW w:w="2315" w:type="pct"/>
          </w:tcPr>
          <w:p w:rsidR="00260042" w:rsidRDefault="00260042" w:rsidP="000745B5">
            <w:pPr>
              <w:pStyle w:val="BodyText"/>
            </w:pPr>
            <w:r>
              <w:rPr>
                <w:spacing w:val="-2"/>
              </w:rPr>
              <w:t>Achievement of digital service level standards: interactions completed via digital channels</w:t>
            </w:r>
          </w:p>
        </w:tc>
        <w:tc>
          <w:tcPr>
            <w:tcW w:w="805" w:type="pct"/>
          </w:tcPr>
          <w:p w:rsidR="00260042" w:rsidRDefault="00260042" w:rsidP="000745B5">
            <w:pPr>
              <w:pStyle w:val="BodyText"/>
            </w:pPr>
            <w:r>
              <w:t>≥5% increase</w:t>
            </w:r>
          </w:p>
        </w:tc>
        <w:tc>
          <w:tcPr>
            <w:tcW w:w="806" w:type="pct"/>
          </w:tcPr>
          <w:p w:rsidR="00260042" w:rsidRDefault="00260042" w:rsidP="000745B5">
            <w:pPr>
              <w:pStyle w:val="BodyText"/>
            </w:pPr>
            <w:r>
              <w:t>12.8% increase</w:t>
            </w:r>
          </w:p>
        </w:tc>
        <w:tc>
          <w:tcPr>
            <w:tcW w:w="729" w:type="pct"/>
          </w:tcPr>
          <w:p w:rsidR="00260042" w:rsidRDefault="00260042" w:rsidP="000745B5">
            <w:pPr>
              <w:pStyle w:val="BodyText"/>
            </w:pPr>
            <w:r>
              <w:rPr>
                <w:rStyle w:val="Bulletcolour"/>
                <w:rFonts w:ascii="Wingdings" w:hAnsi="Wingdings" w:cs="Wingdings"/>
              </w:rPr>
              <w:t></w:t>
            </w:r>
          </w:p>
        </w:tc>
      </w:tr>
      <w:tr w:rsidR="00260042" w:rsidTr="000745B5">
        <w:trPr>
          <w:trHeight w:val="60"/>
        </w:trPr>
        <w:tc>
          <w:tcPr>
            <w:tcW w:w="345" w:type="pct"/>
          </w:tcPr>
          <w:p w:rsidR="00260042" w:rsidRDefault="00260042" w:rsidP="000745B5">
            <w:pPr>
              <w:pStyle w:val="BodyText"/>
            </w:pPr>
            <w:r>
              <w:t>11.</w:t>
            </w:r>
          </w:p>
        </w:tc>
        <w:tc>
          <w:tcPr>
            <w:tcW w:w="2315" w:type="pct"/>
          </w:tcPr>
          <w:p w:rsidR="00260042" w:rsidRDefault="00260042" w:rsidP="000745B5">
            <w:pPr>
              <w:pStyle w:val="BodyText"/>
            </w:pPr>
            <w:r>
              <w:rPr>
                <w:spacing w:val="-2"/>
              </w:rPr>
              <w:t>Achievement of digital service level standards: availability of ICT services excluding scheduled maintenance periods that support 24/7 customer access</w:t>
            </w:r>
          </w:p>
        </w:tc>
        <w:tc>
          <w:tcPr>
            <w:tcW w:w="805" w:type="pct"/>
          </w:tcPr>
          <w:p w:rsidR="00260042" w:rsidRDefault="00260042" w:rsidP="000745B5">
            <w:pPr>
              <w:pStyle w:val="BodyText"/>
            </w:pPr>
            <w:r>
              <w:t>≥98%</w:t>
            </w:r>
          </w:p>
        </w:tc>
        <w:tc>
          <w:tcPr>
            <w:tcW w:w="806" w:type="pct"/>
          </w:tcPr>
          <w:p w:rsidR="00260042" w:rsidRDefault="00260042" w:rsidP="000745B5">
            <w:pPr>
              <w:pStyle w:val="BodyText"/>
            </w:pPr>
            <w:r>
              <w:t>99.6%</w:t>
            </w:r>
          </w:p>
        </w:tc>
        <w:tc>
          <w:tcPr>
            <w:tcW w:w="729" w:type="pct"/>
          </w:tcPr>
          <w:p w:rsidR="00260042" w:rsidRDefault="00260042" w:rsidP="000745B5">
            <w:pPr>
              <w:pStyle w:val="BodyText"/>
            </w:pPr>
            <w:r>
              <w:rPr>
                <w:rStyle w:val="Bulletcolour"/>
                <w:rFonts w:ascii="Wingdings" w:hAnsi="Wingdings" w:cs="Wingdings"/>
              </w:rPr>
              <w:t></w:t>
            </w:r>
          </w:p>
        </w:tc>
      </w:tr>
    </w:tbl>
    <w:p w:rsidR="00260042" w:rsidRDefault="00260042" w:rsidP="00260042">
      <w:pPr>
        <w:pStyle w:val="BodyText"/>
        <w:keepLines/>
      </w:pPr>
      <w:r>
        <w:lastRenderedPageBreak/>
        <w:t xml:space="preserve">The agency achieved all </w:t>
      </w:r>
      <w:proofErr w:type="gramStart"/>
      <w:r>
        <w:t>11 performance</w:t>
      </w:r>
      <w:proofErr w:type="gramEnd"/>
      <w:r>
        <w:t xml:space="preserve"> measures for the Health (Medicare) Program, which demonstrates that the agency achieved its purpose to support Australians by efficiently delivering high quality, accessible services and payments on behalf of government. </w:t>
      </w:r>
    </w:p>
    <w:p w:rsidR="00260042" w:rsidRDefault="00260042" w:rsidP="00260042">
      <w:pPr>
        <w:pStyle w:val="BodyText"/>
      </w:pPr>
      <w:r>
        <w:t>The program achieved a consistent increase in results across several measures. For example, satisfaction with Medicare provider service delivery continued to improve as we implemented changes to support Australians accessing essential Medicare subsidised health services and support.</w:t>
      </w:r>
    </w:p>
    <w:p w:rsidR="00260042" w:rsidRDefault="00260042" w:rsidP="00260042">
      <w:pPr>
        <w:pStyle w:val="BodyText"/>
        <w:rPr>
          <w:spacing w:val="-2"/>
        </w:rPr>
      </w:pPr>
      <w:r>
        <w:rPr>
          <w:spacing w:val="-2"/>
        </w:rPr>
        <w:t xml:space="preserve">In response to the COVID-19 pandemic, all of the Health Program’s business </w:t>
      </w:r>
      <w:proofErr w:type="gramStart"/>
      <w:r>
        <w:rPr>
          <w:spacing w:val="-2"/>
        </w:rPr>
        <w:t>was moved</w:t>
      </w:r>
      <w:proofErr w:type="gramEnd"/>
      <w:r>
        <w:rPr>
          <w:spacing w:val="-2"/>
        </w:rPr>
        <w:t xml:space="preserve"> to digital channels, with an increase in the range of self-service functions becoming digitally available to customers. In 2020–21, more than 99.5% of claims </w:t>
      </w:r>
      <w:proofErr w:type="gramStart"/>
      <w:r>
        <w:rPr>
          <w:spacing w:val="-2"/>
        </w:rPr>
        <w:t>were lodged</w:t>
      </w:r>
      <w:proofErr w:type="gramEnd"/>
      <w:r>
        <w:rPr>
          <w:spacing w:val="-2"/>
        </w:rPr>
        <w:t xml:space="preserve"> through digital channels, resulting in customers receiving their Medicare rebates faster. This saw an increase to customer satisfaction. </w:t>
      </w:r>
    </w:p>
    <w:p w:rsidR="00260042" w:rsidRDefault="00260042" w:rsidP="000745B5">
      <w:pPr>
        <w:pStyle w:val="Heading5"/>
      </w:pPr>
      <w:r>
        <w:t xml:space="preserve">Performance measure 1 — Satisfaction with Medicare provider service delivery: </w:t>
      </w:r>
      <w:r w:rsidRPr="000745B5">
        <w:t>practitioners</w:t>
      </w:r>
      <w:r>
        <w:t>, pharmacists and practice managers</w:t>
      </w:r>
    </w:p>
    <w:p w:rsidR="00260042" w:rsidRDefault="00260042" w:rsidP="000745B5">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1 — Satisfaction with Medicare provider service delivery: practitioners, pharmacists and practice managers"/>
      </w:tblPr>
      <w:tblGrid>
        <w:gridCol w:w="1594"/>
        <w:gridCol w:w="2041"/>
        <w:gridCol w:w="2041"/>
        <w:gridCol w:w="2039"/>
        <w:gridCol w:w="3075"/>
      </w:tblGrid>
      <w:tr w:rsidR="00260042" w:rsidTr="000745B5">
        <w:trPr>
          <w:trHeight w:val="376"/>
          <w:tblHeader/>
        </w:trPr>
        <w:tc>
          <w:tcPr>
            <w:tcW w:w="738" w:type="pct"/>
          </w:tcPr>
          <w:p w:rsidR="00260042" w:rsidRPr="000745B5" w:rsidRDefault="00260042" w:rsidP="000745B5">
            <w:pPr>
              <w:pStyle w:val="BodyText"/>
              <w:rPr>
                <w:b/>
              </w:rPr>
            </w:pPr>
            <w:r w:rsidRPr="000745B5">
              <w:rPr>
                <w:b/>
              </w:rPr>
              <w:t>Year</w:t>
            </w:r>
          </w:p>
        </w:tc>
        <w:tc>
          <w:tcPr>
            <w:tcW w:w="946" w:type="pct"/>
          </w:tcPr>
          <w:p w:rsidR="00260042" w:rsidRPr="000745B5" w:rsidRDefault="00260042" w:rsidP="000745B5">
            <w:pPr>
              <w:pStyle w:val="BodyText"/>
              <w:rPr>
                <w:b/>
              </w:rPr>
            </w:pPr>
            <w:r w:rsidRPr="000745B5">
              <w:rPr>
                <w:b/>
              </w:rPr>
              <w:t>Target</w:t>
            </w:r>
          </w:p>
        </w:tc>
        <w:tc>
          <w:tcPr>
            <w:tcW w:w="946" w:type="pct"/>
          </w:tcPr>
          <w:p w:rsidR="00260042" w:rsidRPr="000745B5" w:rsidRDefault="00260042" w:rsidP="000745B5">
            <w:pPr>
              <w:pStyle w:val="BodyText"/>
              <w:rPr>
                <w:b/>
              </w:rPr>
            </w:pPr>
            <w:r w:rsidRPr="000745B5">
              <w:rPr>
                <w:b/>
              </w:rPr>
              <w:t>Result</w:t>
            </w:r>
          </w:p>
        </w:tc>
        <w:tc>
          <w:tcPr>
            <w:tcW w:w="945" w:type="pct"/>
          </w:tcPr>
          <w:p w:rsidR="00260042" w:rsidRPr="000745B5" w:rsidRDefault="00260042" w:rsidP="000745B5">
            <w:pPr>
              <w:pStyle w:val="BodyText"/>
              <w:rPr>
                <w:b/>
              </w:rPr>
            </w:pPr>
            <w:r w:rsidRPr="000745B5">
              <w:rPr>
                <w:b/>
              </w:rPr>
              <w:t>Achieved</w:t>
            </w:r>
          </w:p>
        </w:tc>
        <w:tc>
          <w:tcPr>
            <w:tcW w:w="1425" w:type="pct"/>
          </w:tcPr>
          <w:p w:rsidR="00260042" w:rsidRPr="000745B5" w:rsidRDefault="00260042" w:rsidP="000745B5">
            <w:pPr>
              <w:pStyle w:val="BodyText"/>
              <w:rPr>
                <w:b/>
              </w:rPr>
            </w:pPr>
            <w:r w:rsidRPr="000745B5">
              <w:rPr>
                <w:b/>
              </w:rPr>
              <w:t>Change on previous year +/–</w:t>
            </w:r>
          </w:p>
        </w:tc>
      </w:tr>
      <w:tr w:rsidR="00260042" w:rsidTr="000745B5">
        <w:trPr>
          <w:trHeight w:val="376"/>
        </w:trPr>
        <w:tc>
          <w:tcPr>
            <w:tcW w:w="738" w:type="pct"/>
          </w:tcPr>
          <w:p w:rsidR="00260042" w:rsidRDefault="00260042" w:rsidP="000745B5">
            <w:pPr>
              <w:pStyle w:val="BodyText"/>
            </w:pPr>
            <w:r>
              <w:t>2020–21</w:t>
            </w:r>
          </w:p>
        </w:tc>
        <w:tc>
          <w:tcPr>
            <w:tcW w:w="946" w:type="pct"/>
          </w:tcPr>
          <w:p w:rsidR="00260042" w:rsidRDefault="00260042" w:rsidP="000745B5">
            <w:pPr>
              <w:pStyle w:val="BodyText"/>
            </w:pPr>
            <w:r>
              <w:t>≥70%</w:t>
            </w:r>
          </w:p>
        </w:tc>
        <w:tc>
          <w:tcPr>
            <w:tcW w:w="946" w:type="pct"/>
          </w:tcPr>
          <w:p w:rsidR="00260042" w:rsidRDefault="00260042" w:rsidP="000745B5">
            <w:pPr>
              <w:pStyle w:val="BodyText"/>
            </w:pPr>
            <w:r>
              <w:t>89.2%</w:t>
            </w:r>
          </w:p>
        </w:tc>
        <w:tc>
          <w:tcPr>
            <w:tcW w:w="945" w:type="pct"/>
          </w:tcPr>
          <w:p w:rsidR="00260042" w:rsidRDefault="00260042" w:rsidP="000745B5">
            <w:pPr>
              <w:pStyle w:val="BodyText"/>
            </w:pPr>
            <w:r>
              <w:rPr>
                <w:rStyle w:val="Bulletcolour"/>
                <w:rFonts w:ascii="Wingdings" w:hAnsi="Wingdings" w:cs="Wingdings"/>
              </w:rPr>
              <w:t></w:t>
            </w:r>
          </w:p>
        </w:tc>
        <w:tc>
          <w:tcPr>
            <w:tcW w:w="1425" w:type="pct"/>
          </w:tcPr>
          <w:p w:rsidR="00260042" w:rsidRDefault="00260042" w:rsidP="000745B5">
            <w:pPr>
              <w:pStyle w:val="BodyText"/>
            </w:pPr>
            <w:r>
              <w:t>+4.0%</w:t>
            </w:r>
          </w:p>
        </w:tc>
      </w:tr>
      <w:tr w:rsidR="00260042" w:rsidTr="000745B5">
        <w:trPr>
          <w:trHeight w:val="376"/>
        </w:trPr>
        <w:tc>
          <w:tcPr>
            <w:tcW w:w="738" w:type="pct"/>
          </w:tcPr>
          <w:p w:rsidR="00260042" w:rsidRDefault="00260042" w:rsidP="000745B5">
            <w:pPr>
              <w:pStyle w:val="BodyText"/>
            </w:pPr>
            <w:r>
              <w:t>2019–20</w:t>
            </w:r>
          </w:p>
        </w:tc>
        <w:tc>
          <w:tcPr>
            <w:tcW w:w="946" w:type="pct"/>
          </w:tcPr>
          <w:p w:rsidR="00260042" w:rsidRDefault="00260042" w:rsidP="000745B5">
            <w:pPr>
              <w:pStyle w:val="BodyText"/>
            </w:pPr>
            <w:r>
              <w:t>≥70%</w:t>
            </w:r>
          </w:p>
        </w:tc>
        <w:tc>
          <w:tcPr>
            <w:tcW w:w="946" w:type="pct"/>
          </w:tcPr>
          <w:p w:rsidR="00260042" w:rsidRDefault="00260042" w:rsidP="000745B5">
            <w:pPr>
              <w:pStyle w:val="BodyText"/>
            </w:pPr>
            <w:r>
              <w:t>85.2%</w:t>
            </w:r>
          </w:p>
        </w:tc>
        <w:tc>
          <w:tcPr>
            <w:tcW w:w="945" w:type="pct"/>
          </w:tcPr>
          <w:p w:rsidR="00260042" w:rsidRDefault="00260042" w:rsidP="000745B5">
            <w:pPr>
              <w:pStyle w:val="BodyText"/>
            </w:pPr>
            <w:r>
              <w:rPr>
                <w:rStyle w:val="Bulletcolour"/>
                <w:rFonts w:ascii="Wingdings" w:hAnsi="Wingdings" w:cs="Wingdings"/>
              </w:rPr>
              <w:t></w:t>
            </w:r>
          </w:p>
        </w:tc>
        <w:tc>
          <w:tcPr>
            <w:tcW w:w="1425" w:type="pct"/>
          </w:tcPr>
          <w:p w:rsidR="00260042" w:rsidRDefault="00260042" w:rsidP="000745B5">
            <w:pPr>
              <w:pStyle w:val="BodyText"/>
            </w:pPr>
            <w:r>
              <w:t>–11.6%</w:t>
            </w:r>
          </w:p>
        </w:tc>
      </w:tr>
      <w:tr w:rsidR="00260042" w:rsidTr="000745B5">
        <w:trPr>
          <w:trHeight w:val="376"/>
        </w:trPr>
        <w:tc>
          <w:tcPr>
            <w:tcW w:w="738" w:type="pct"/>
          </w:tcPr>
          <w:p w:rsidR="00260042" w:rsidRDefault="00260042" w:rsidP="000745B5">
            <w:pPr>
              <w:pStyle w:val="BodyText"/>
            </w:pPr>
            <w:r>
              <w:t>2018–19</w:t>
            </w:r>
          </w:p>
        </w:tc>
        <w:tc>
          <w:tcPr>
            <w:tcW w:w="946" w:type="pct"/>
          </w:tcPr>
          <w:p w:rsidR="00260042" w:rsidRDefault="00260042" w:rsidP="000745B5">
            <w:pPr>
              <w:pStyle w:val="BodyText"/>
            </w:pPr>
            <w:r>
              <w:t>≥70%</w:t>
            </w:r>
          </w:p>
        </w:tc>
        <w:tc>
          <w:tcPr>
            <w:tcW w:w="946" w:type="pct"/>
          </w:tcPr>
          <w:p w:rsidR="00260042" w:rsidRDefault="00260042" w:rsidP="000745B5">
            <w:pPr>
              <w:pStyle w:val="BodyText"/>
            </w:pPr>
            <w:r>
              <w:t>96.8%</w:t>
            </w:r>
          </w:p>
        </w:tc>
        <w:tc>
          <w:tcPr>
            <w:tcW w:w="945" w:type="pct"/>
          </w:tcPr>
          <w:p w:rsidR="00260042" w:rsidRDefault="00260042" w:rsidP="000745B5">
            <w:pPr>
              <w:pStyle w:val="BodyText"/>
            </w:pPr>
            <w:r>
              <w:rPr>
                <w:rStyle w:val="Bulletcolour"/>
                <w:rFonts w:ascii="Wingdings" w:hAnsi="Wingdings" w:cs="Wingdings"/>
              </w:rPr>
              <w:t></w:t>
            </w:r>
          </w:p>
        </w:tc>
        <w:tc>
          <w:tcPr>
            <w:tcW w:w="1425" w:type="pct"/>
          </w:tcPr>
          <w:p w:rsidR="00260042" w:rsidRDefault="00260042" w:rsidP="000745B5">
            <w:pPr>
              <w:pStyle w:val="BodyText"/>
            </w:pPr>
            <w:r>
              <w:t>NA</w:t>
            </w:r>
            <w:r>
              <w:rPr>
                <w:vertAlign w:val="superscript"/>
              </w:rPr>
              <w:t>(a)</w:t>
            </w:r>
          </w:p>
        </w:tc>
      </w:tr>
    </w:tbl>
    <w:p w:rsidR="00260042" w:rsidRDefault="00260042" w:rsidP="00EA5510">
      <w:pPr>
        <w:pStyle w:val="BodyText"/>
        <w:rPr>
          <w:rStyle w:val="Bold"/>
        </w:rPr>
      </w:pPr>
      <w:r>
        <w:t>(a)</w:t>
      </w:r>
      <w:r>
        <w:tab/>
        <w:t xml:space="preserve">The three Medicare provider performance measures </w:t>
      </w:r>
      <w:proofErr w:type="gramStart"/>
      <w:r>
        <w:t>were consolidated</w:t>
      </w:r>
      <w:proofErr w:type="gramEnd"/>
      <w:r>
        <w:t xml:space="preserve"> into a single performance measure in 2018–19. Therefore, results are not directly comparable to the previous year.</w:t>
      </w:r>
    </w:p>
    <w:p w:rsidR="00260042" w:rsidRDefault="00260042" w:rsidP="00260042">
      <w:pPr>
        <w:pStyle w:val="BodyText"/>
        <w:spacing w:after="0"/>
      </w:pPr>
      <w:r>
        <w:rPr>
          <w:rStyle w:val="Bold"/>
          <w:caps/>
        </w:rPr>
        <w:t>Analysis</w:t>
      </w:r>
    </w:p>
    <w:p w:rsidR="00260042" w:rsidRDefault="00260042" w:rsidP="003824D8">
      <w:pPr>
        <w:pStyle w:val="BodyText"/>
      </w:pPr>
      <w:r>
        <w:t xml:space="preserve">The agency achieved the annual target, while continuing to implement changes to the Medicare Benefits Scheme (MBS) to support Australians’ accessing essential Medicare subsidised health services and support. </w:t>
      </w:r>
    </w:p>
    <w:p w:rsidR="00260042" w:rsidRDefault="00260042" w:rsidP="003824D8">
      <w:pPr>
        <w:pStyle w:val="BodyText"/>
      </w:pPr>
      <w:r>
        <w:t xml:space="preserve">For 2020–21, the provider survey </w:t>
      </w:r>
      <w:proofErr w:type="gramStart"/>
      <w:r>
        <w:t>was conducted</w:t>
      </w:r>
      <w:proofErr w:type="gramEnd"/>
      <w:r>
        <w:t xml:space="preserve"> online and via a computer assisted telephone interview from February to March 2021. The results show an increase in the provider satisfaction result of 4% from 2019–20, with practice managers having the highest increase of 11.4%. </w:t>
      </w:r>
    </w:p>
    <w:p w:rsidR="00260042" w:rsidRDefault="00260042" w:rsidP="003824D8">
      <w:pPr>
        <w:pStyle w:val="BodyText"/>
      </w:pPr>
      <w:r>
        <w:t xml:space="preserve">In future years, the survey will operate quarterly to provide more regular, real-time results to inform and drive improvement to service delivery across the financial year. </w:t>
      </w:r>
    </w:p>
    <w:p w:rsidR="00260042" w:rsidRDefault="00260042" w:rsidP="00260042">
      <w:pPr>
        <w:pStyle w:val="BodyText"/>
        <w:spacing w:after="0"/>
        <w:rPr>
          <w:spacing w:val="-2"/>
        </w:rPr>
      </w:pPr>
      <w:r>
        <w:t>The table below compares the satisfaction results across three financial years.</w:t>
      </w:r>
    </w:p>
    <w:tbl>
      <w:tblPr>
        <w:tblStyle w:val="TableGrid"/>
        <w:tblW w:w="5000" w:type="pct"/>
        <w:tblLook w:val="0000" w:firstRow="0" w:lastRow="0" w:firstColumn="0" w:lastColumn="0" w:noHBand="0" w:noVBand="0"/>
        <w:tblCaption w:val="satisfaction results across three financial years"/>
      </w:tblPr>
      <w:tblGrid>
        <w:gridCol w:w="4611"/>
        <w:gridCol w:w="2059"/>
        <w:gridCol w:w="2059"/>
        <w:gridCol w:w="2061"/>
      </w:tblGrid>
      <w:tr w:rsidR="00260042" w:rsidTr="000745B5">
        <w:trPr>
          <w:trHeight w:val="376"/>
          <w:tblHeader/>
        </w:trPr>
        <w:tc>
          <w:tcPr>
            <w:tcW w:w="2137" w:type="pct"/>
          </w:tcPr>
          <w:p w:rsidR="00260042" w:rsidRDefault="00260042" w:rsidP="000745B5">
            <w:pPr>
              <w:pStyle w:val="BodyText"/>
            </w:pPr>
            <w:r>
              <w:rPr>
                <w:rStyle w:val="Bold"/>
              </w:rPr>
              <w:t>Satisfaction</w:t>
            </w:r>
          </w:p>
        </w:tc>
        <w:tc>
          <w:tcPr>
            <w:tcW w:w="954" w:type="pct"/>
          </w:tcPr>
          <w:p w:rsidR="00260042" w:rsidRDefault="00260042" w:rsidP="000745B5">
            <w:pPr>
              <w:pStyle w:val="BodyText"/>
              <w:jc w:val="right"/>
            </w:pPr>
            <w:r>
              <w:rPr>
                <w:rStyle w:val="Bold"/>
              </w:rPr>
              <w:t>2018–19</w:t>
            </w:r>
          </w:p>
        </w:tc>
        <w:tc>
          <w:tcPr>
            <w:tcW w:w="954" w:type="pct"/>
          </w:tcPr>
          <w:p w:rsidR="00260042" w:rsidRDefault="00260042" w:rsidP="000745B5">
            <w:pPr>
              <w:pStyle w:val="BodyText"/>
              <w:jc w:val="right"/>
            </w:pPr>
            <w:r>
              <w:rPr>
                <w:rStyle w:val="Bold"/>
              </w:rPr>
              <w:t>2019–20</w:t>
            </w:r>
          </w:p>
        </w:tc>
        <w:tc>
          <w:tcPr>
            <w:tcW w:w="955" w:type="pct"/>
          </w:tcPr>
          <w:p w:rsidR="00260042" w:rsidRDefault="00260042" w:rsidP="000745B5">
            <w:pPr>
              <w:pStyle w:val="BodyText"/>
              <w:jc w:val="right"/>
            </w:pPr>
            <w:r>
              <w:rPr>
                <w:rStyle w:val="Bold"/>
              </w:rPr>
              <w:t>2020–21</w:t>
            </w:r>
          </w:p>
        </w:tc>
      </w:tr>
      <w:tr w:rsidR="00260042" w:rsidTr="000745B5">
        <w:trPr>
          <w:trHeight w:val="397"/>
        </w:trPr>
        <w:tc>
          <w:tcPr>
            <w:tcW w:w="2137" w:type="pct"/>
          </w:tcPr>
          <w:p w:rsidR="00260042" w:rsidRDefault="00260042" w:rsidP="000745B5">
            <w:pPr>
              <w:pStyle w:val="BodyText"/>
            </w:pPr>
            <w:r>
              <w:t>Practitioners</w:t>
            </w:r>
          </w:p>
        </w:tc>
        <w:tc>
          <w:tcPr>
            <w:tcW w:w="954" w:type="pct"/>
          </w:tcPr>
          <w:p w:rsidR="00260042" w:rsidRDefault="00260042" w:rsidP="000745B5">
            <w:pPr>
              <w:pStyle w:val="BodyText"/>
              <w:jc w:val="right"/>
            </w:pPr>
            <w:r>
              <w:t>100%</w:t>
            </w:r>
          </w:p>
        </w:tc>
        <w:tc>
          <w:tcPr>
            <w:tcW w:w="954" w:type="pct"/>
          </w:tcPr>
          <w:p w:rsidR="00260042" w:rsidRDefault="00260042" w:rsidP="000745B5">
            <w:pPr>
              <w:pStyle w:val="BodyText"/>
              <w:jc w:val="right"/>
            </w:pPr>
            <w:r>
              <w:t>78.6%</w:t>
            </w:r>
          </w:p>
        </w:tc>
        <w:tc>
          <w:tcPr>
            <w:tcW w:w="955" w:type="pct"/>
          </w:tcPr>
          <w:p w:rsidR="00260042" w:rsidRDefault="00260042" w:rsidP="000745B5">
            <w:pPr>
              <w:pStyle w:val="BodyText"/>
              <w:jc w:val="right"/>
            </w:pPr>
            <w:r>
              <w:t>83.0%</w:t>
            </w:r>
          </w:p>
        </w:tc>
      </w:tr>
      <w:tr w:rsidR="00260042" w:rsidTr="000745B5">
        <w:trPr>
          <w:trHeight w:val="376"/>
        </w:trPr>
        <w:tc>
          <w:tcPr>
            <w:tcW w:w="2137" w:type="pct"/>
          </w:tcPr>
          <w:p w:rsidR="00260042" w:rsidRDefault="00260042" w:rsidP="000745B5">
            <w:pPr>
              <w:pStyle w:val="BodyText"/>
            </w:pPr>
            <w:r>
              <w:t>Practice managers</w:t>
            </w:r>
          </w:p>
        </w:tc>
        <w:tc>
          <w:tcPr>
            <w:tcW w:w="954" w:type="pct"/>
          </w:tcPr>
          <w:p w:rsidR="00260042" w:rsidRDefault="00260042" w:rsidP="000745B5">
            <w:pPr>
              <w:pStyle w:val="BodyText"/>
              <w:jc w:val="right"/>
            </w:pPr>
            <w:r>
              <w:t>91.1%</w:t>
            </w:r>
          </w:p>
        </w:tc>
        <w:tc>
          <w:tcPr>
            <w:tcW w:w="954" w:type="pct"/>
          </w:tcPr>
          <w:p w:rsidR="00260042" w:rsidRDefault="00260042" w:rsidP="000745B5">
            <w:pPr>
              <w:pStyle w:val="BodyText"/>
              <w:jc w:val="right"/>
            </w:pPr>
            <w:r>
              <w:t>77.4%</w:t>
            </w:r>
          </w:p>
        </w:tc>
        <w:tc>
          <w:tcPr>
            <w:tcW w:w="955" w:type="pct"/>
          </w:tcPr>
          <w:p w:rsidR="00260042" w:rsidRDefault="00260042" w:rsidP="000745B5">
            <w:pPr>
              <w:pStyle w:val="BodyText"/>
              <w:jc w:val="right"/>
            </w:pPr>
            <w:r>
              <w:t>88.8%</w:t>
            </w:r>
          </w:p>
        </w:tc>
      </w:tr>
      <w:tr w:rsidR="00260042" w:rsidTr="000745B5">
        <w:trPr>
          <w:trHeight w:val="376"/>
        </w:trPr>
        <w:tc>
          <w:tcPr>
            <w:tcW w:w="2137" w:type="pct"/>
          </w:tcPr>
          <w:p w:rsidR="00260042" w:rsidRDefault="00260042" w:rsidP="000745B5">
            <w:pPr>
              <w:pStyle w:val="BodyText"/>
            </w:pPr>
            <w:r>
              <w:lastRenderedPageBreak/>
              <w:t>Pharmacists</w:t>
            </w:r>
          </w:p>
        </w:tc>
        <w:tc>
          <w:tcPr>
            <w:tcW w:w="954" w:type="pct"/>
          </w:tcPr>
          <w:p w:rsidR="00260042" w:rsidRDefault="00260042" w:rsidP="000745B5">
            <w:pPr>
              <w:pStyle w:val="BodyText"/>
              <w:jc w:val="right"/>
            </w:pPr>
            <w:r>
              <w:t>100%</w:t>
            </w:r>
          </w:p>
        </w:tc>
        <w:tc>
          <w:tcPr>
            <w:tcW w:w="954" w:type="pct"/>
          </w:tcPr>
          <w:p w:rsidR="00260042" w:rsidRDefault="00260042" w:rsidP="000745B5">
            <w:pPr>
              <w:pStyle w:val="BodyText"/>
              <w:jc w:val="right"/>
            </w:pPr>
            <w:r>
              <w:t>99.6%</w:t>
            </w:r>
          </w:p>
        </w:tc>
        <w:tc>
          <w:tcPr>
            <w:tcW w:w="955" w:type="pct"/>
          </w:tcPr>
          <w:p w:rsidR="00260042" w:rsidRDefault="00260042" w:rsidP="000745B5">
            <w:pPr>
              <w:pStyle w:val="BodyText"/>
              <w:jc w:val="right"/>
            </w:pPr>
            <w:r>
              <w:t>98.2%</w:t>
            </w:r>
          </w:p>
        </w:tc>
      </w:tr>
    </w:tbl>
    <w:p w:rsidR="00260042" w:rsidRDefault="00260042" w:rsidP="00260042">
      <w:pPr>
        <w:pStyle w:val="BodyText"/>
        <w:spacing w:after="0"/>
        <w:rPr>
          <w:rStyle w:val="Bold"/>
        </w:rPr>
      </w:pPr>
      <w:r>
        <w:rPr>
          <w:rStyle w:val="Bold"/>
        </w:rPr>
        <w:t>REFERENCE</w:t>
      </w:r>
      <w:r>
        <w:rPr>
          <w:rStyle w:val="Bold"/>
        </w:rPr>
        <w:tab/>
      </w:r>
    </w:p>
    <w:p w:rsidR="00260042" w:rsidRDefault="00260042" w:rsidP="003824D8">
      <w:pPr>
        <w:pStyle w:val="BodyText"/>
      </w:pPr>
      <w:r>
        <w:t>2020–21 Portfolio Budget Statements, page 235</w:t>
      </w:r>
      <w:r>
        <w:br/>
        <w:t>2020–21 Corporate Plan, page 16</w:t>
      </w:r>
    </w:p>
    <w:p w:rsidR="00260042" w:rsidRDefault="00260042" w:rsidP="00260042">
      <w:pPr>
        <w:pStyle w:val="BodyText"/>
        <w:spacing w:after="0"/>
        <w:rPr>
          <w:rStyle w:val="Bold"/>
        </w:rPr>
      </w:pPr>
      <w:r>
        <w:rPr>
          <w:rStyle w:val="Bold"/>
        </w:rPr>
        <w:t>DATA SOURCE</w:t>
      </w:r>
    </w:p>
    <w:p w:rsidR="00260042" w:rsidRDefault="00260042" w:rsidP="00260042">
      <w:pPr>
        <w:pStyle w:val="BodyText"/>
        <w:spacing w:after="0"/>
      </w:pPr>
      <w:r>
        <w:t>External survey provider</w:t>
      </w:r>
    </w:p>
    <w:p w:rsidR="00260042" w:rsidRDefault="00260042" w:rsidP="008930A3">
      <w:pPr>
        <w:pStyle w:val="ListBullet"/>
      </w:pPr>
      <w:r>
        <w:t>The margin of error for practitioners is less than 4.5%.</w:t>
      </w:r>
    </w:p>
    <w:p w:rsidR="00260042" w:rsidRDefault="00260042" w:rsidP="008930A3">
      <w:pPr>
        <w:pStyle w:val="ListBullet"/>
      </w:pPr>
      <w:r>
        <w:t>The margin of error for pharmacists is less than 5.4%.</w:t>
      </w:r>
    </w:p>
    <w:p w:rsidR="00260042" w:rsidRDefault="00260042" w:rsidP="00EA5510">
      <w:pPr>
        <w:pStyle w:val="ListBullet"/>
      </w:pPr>
      <w:r>
        <w:t>The margin of error for practice managers is less than 5.9%.</w:t>
      </w:r>
    </w:p>
    <w:p w:rsidR="00260042" w:rsidRDefault="00260042" w:rsidP="00260042">
      <w:pPr>
        <w:pStyle w:val="BodyText"/>
        <w:spacing w:after="0"/>
        <w:rPr>
          <w:rStyle w:val="Bold"/>
          <w:caps/>
        </w:rPr>
      </w:pPr>
      <w:r>
        <w:rPr>
          <w:rStyle w:val="Bold"/>
          <w:caps/>
        </w:rPr>
        <w:t>Notes and Definitions</w:t>
      </w:r>
    </w:p>
    <w:p w:rsidR="00260042" w:rsidRDefault="00260042" w:rsidP="00EA5510">
      <w:pPr>
        <w:pStyle w:val="ListBullet"/>
      </w:pPr>
      <w:r>
        <w:t xml:space="preserve">Respondents who respond ‘don’t know’, ‘not applicable’ or refuse to answer the question </w:t>
      </w:r>
      <w:proofErr w:type="gramStart"/>
      <w:r>
        <w:t>are excluded</w:t>
      </w:r>
      <w:proofErr w:type="gramEnd"/>
      <w:r>
        <w:t xml:space="preserve"> from the calculation.</w:t>
      </w:r>
    </w:p>
    <w:p w:rsidR="00260042" w:rsidRDefault="00260042" w:rsidP="00260042">
      <w:pPr>
        <w:pStyle w:val="Heading5"/>
      </w:pPr>
      <w:r>
        <w:t>Performance measure 2 — Customer satisfaction: achievement of customer satisfaction standards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2 — Customer satisfaction: achievement of customer satisfaction standards"/>
      </w:tblPr>
      <w:tblGrid>
        <w:gridCol w:w="1593"/>
        <w:gridCol w:w="2372"/>
        <w:gridCol w:w="1821"/>
        <w:gridCol w:w="1821"/>
        <w:gridCol w:w="3183"/>
      </w:tblGrid>
      <w:tr w:rsidR="00260042" w:rsidRPr="000745B5" w:rsidTr="000745B5">
        <w:trPr>
          <w:trHeight w:val="376"/>
          <w:tblHeader/>
        </w:trPr>
        <w:tc>
          <w:tcPr>
            <w:tcW w:w="738" w:type="pct"/>
          </w:tcPr>
          <w:p w:rsidR="00260042" w:rsidRPr="000745B5" w:rsidRDefault="00260042" w:rsidP="000745B5">
            <w:pPr>
              <w:pStyle w:val="BodyText"/>
              <w:rPr>
                <w:b/>
              </w:rPr>
            </w:pPr>
            <w:r w:rsidRPr="000745B5">
              <w:rPr>
                <w:b/>
              </w:rPr>
              <w:t>Year</w:t>
            </w:r>
          </w:p>
        </w:tc>
        <w:tc>
          <w:tcPr>
            <w:tcW w:w="1099" w:type="pct"/>
          </w:tcPr>
          <w:p w:rsidR="00260042" w:rsidRPr="000745B5" w:rsidRDefault="00260042" w:rsidP="000745B5">
            <w:pPr>
              <w:pStyle w:val="BodyText"/>
              <w:rPr>
                <w:b/>
              </w:rPr>
            </w:pPr>
            <w:r w:rsidRPr="000745B5">
              <w:rPr>
                <w:b/>
              </w:rPr>
              <w:t>Target</w:t>
            </w:r>
          </w:p>
        </w:tc>
        <w:tc>
          <w:tcPr>
            <w:tcW w:w="844" w:type="pct"/>
          </w:tcPr>
          <w:p w:rsidR="00260042" w:rsidRPr="000745B5" w:rsidRDefault="00260042" w:rsidP="000745B5">
            <w:pPr>
              <w:pStyle w:val="BodyText"/>
              <w:rPr>
                <w:b/>
              </w:rPr>
            </w:pPr>
            <w:r w:rsidRPr="000745B5">
              <w:rPr>
                <w:b/>
              </w:rPr>
              <w:t>Result</w:t>
            </w:r>
          </w:p>
        </w:tc>
        <w:tc>
          <w:tcPr>
            <w:tcW w:w="844" w:type="pct"/>
          </w:tcPr>
          <w:p w:rsidR="00260042" w:rsidRPr="000745B5" w:rsidRDefault="00260042" w:rsidP="000745B5">
            <w:pPr>
              <w:pStyle w:val="BodyText"/>
              <w:rPr>
                <w:b/>
              </w:rPr>
            </w:pPr>
            <w:r w:rsidRPr="000745B5">
              <w:rPr>
                <w:b/>
              </w:rPr>
              <w:t>Achieved</w:t>
            </w:r>
          </w:p>
        </w:tc>
        <w:tc>
          <w:tcPr>
            <w:tcW w:w="1476" w:type="pct"/>
          </w:tcPr>
          <w:p w:rsidR="00260042" w:rsidRPr="000745B5" w:rsidRDefault="00260042" w:rsidP="000745B5">
            <w:pPr>
              <w:pStyle w:val="BodyText"/>
              <w:rPr>
                <w:b/>
              </w:rPr>
            </w:pPr>
            <w:r w:rsidRPr="000745B5">
              <w:rPr>
                <w:b/>
              </w:rPr>
              <w:t>Change on previous year +/–</w:t>
            </w:r>
          </w:p>
        </w:tc>
      </w:tr>
      <w:tr w:rsidR="00260042" w:rsidTr="000745B5">
        <w:trPr>
          <w:trHeight w:val="376"/>
        </w:trPr>
        <w:tc>
          <w:tcPr>
            <w:tcW w:w="738" w:type="pct"/>
          </w:tcPr>
          <w:p w:rsidR="00260042" w:rsidRDefault="00260042" w:rsidP="000745B5">
            <w:pPr>
              <w:pStyle w:val="BodyText"/>
            </w:pPr>
            <w:r>
              <w:t>2020–21</w:t>
            </w:r>
          </w:p>
        </w:tc>
        <w:tc>
          <w:tcPr>
            <w:tcW w:w="1099" w:type="pct"/>
          </w:tcPr>
          <w:p w:rsidR="00260042" w:rsidRDefault="00260042" w:rsidP="000745B5">
            <w:pPr>
              <w:pStyle w:val="BodyText"/>
            </w:pPr>
            <w:r>
              <w:t>85 out of 100</w:t>
            </w:r>
          </w:p>
        </w:tc>
        <w:tc>
          <w:tcPr>
            <w:tcW w:w="844" w:type="pct"/>
          </w:tcPr>
          <w:p w:rsidR="00260042" w:rsidRDefault="00260042" w:rsidP="000745B5">
            <w:pPr>
              <w:pStyle w:val="BodyText"/>
            </w:pPr>
            <w:r>
              <w:t>86.6</w:t>
            </w:r>
          </w:p>
        </w:tc>
        <w:tc>
          <w:tcPr>
            <w:tcW w:w="844" w:type="pct"/>
          </w:tcPr>
          <w:p w:rsidR="00260042" w:rsidRDefault="00260042" w:rsidP="000745B5">
            <w:pPr>
              <w:pStyle w:val="BodyText"/>
            </w:pPr>
            <w:r>
              <w:rPr>
                <w:rStyle w:val="Bulletcolour"/>
                <w:rFonts w:ascii="Wingdings" w:hAnsi="Wingdings" w:cs="Wingdings"/>
              </w:rPr>
              <w:t></w:t>
            </w:r>
          </w:p>
        </w:tc>
        <w:tc>
          <w:tcPr>
            <w:tcW w:w="1476" w:type="pct"/>
          </w:tcPr>
          <w:p w:rsidR="00260042" w:rsidRDefault="00260042" w:rsidP="000745B5">
            <w:pPr>
              <w:pStyle w:val="BodyText"/>
            </w:pPr>
            <w:r>
              <w:t>+0.5</w:t>
            </w:r>
          </w:p>
        </w:tc>
      </w:tr>
      <w:tr w:rsidR="00260042" w:rsidTr="000745B5">
        <w:trPr>
          <w:trHeight w:val="376"/>
        </w:trPr>
        <w:tc>
          <w:tcPr>
            <w:tcW w:w="738" w:type="pct"/>
          </w:tcPr>
          <w:p w:rsidR="00260042" w:rsidRDefault="00260042" w:rsidP="000745B5">
            <w:pPr>
              <w:pStyle w:val="BodyText"/>
            </w:pPr>
            <w:r>
              <w:t>2019–20</w:t>
            </w:r>
          </w:p>
        </w:tc>
        <w:tc>
          <w:tcPr>
            <w:tcW w:w="1099" w:type="pct"/>
          </w:tcPr>
          <w:p w:rsidR="00260042" w:rsidRDefault="00260042" w:rsidP="000745B5">
            <w:pPr>
              <w:pStyle w:val="BodyText"/>
            </w:pPr>
            <w:r>
              <w:t>85 out of 100</w:t>
            </w:r>
          </w:p>
        </w:tc>
        <w:tc>
          <w:tcPr>
            <w:tcW w:w="844" w:type="pct"/>
          </w:tcPr>
          <w:p w:rsidR="00260042" w:rsidRDefault="00260042" w:rsidP="000745B5">
            <w:pPr>
              <w:pStyle w:val="BodyText"/>
            </w:pPr>
            <w:r>
              <w:t>86.1</w:t>
            </w:r>
          </w:p>
        </w:tc>
        <w:tc>
          <w:tcPr>
            <w:tcW w:w="844" w:type="pct"/>
          </w:tcPr>
          <w:p w:rsidR="00260042" w:rsidRDefault="00260042" w:rsidP="000745B5">
            <w:pPr>
              <w:pStyle w:val="BodyText"/>
            </w:pPr>
            <w:r>
              <w:rPr>
                <w:rStyle w:val="Bulletcolour"/>
                <w:rFonts w:ascii="Wingdings" w:hAnsi="Wingdings" w:cs="Wingdings"/>
              </w:rPr>
              <w:t></w:t>
            </w:r>
          </w:p>
        </w:tc>
        <w:tc>
          <w:tcPr>
            <w:tcW w:w="1476" w:type="pct"/>
          </w:tcPr>
          <w:p w:rsidR="00260042" w:rsidRDefault="00260042" w:rsidP="000745B5">
            <w:pPr>
              <w:pStyle w:val="BodyText"/>
            </w:pPr>
            <w:r>
              <w:t>No change</w:t>
            </w:r>
          </w:p>
        </w:tc>
      </w:tr>
      <w:tr w:rsidR="00260042" w:rsidTr="000745B5">
        <w:trPr>
          <w:trHeight w:val="376"/>
        </w:trPr>
        <w:tc>
          <w:tcPr>
            <w:tcW w:w="738" w:type="pct"/>
          </w:tcPr>
          <w:p w:rsidR="00260042" w:rsidRDefault="00260042" w:rsidP="000745B5">
            <w:pPr>
              <w:pStyle w:val="BodyText"/>
            </w:pPr>
            <w:r>
              <w:t>2018–19</w:t>
            </w:r>
          </w:p>
        </w:tc>
        <w:tc>
          <w:tcPr>
            <w:tcW w:w="1099" w:type="pct"/>
          </w:tcPr>
          <w:p w:rsidR="00260042" w:rsidRDefault="00260042" w:rsidP="000745B5">
            <w:pPr>
              <w:pStyle w:val="BodyText"/>
            </w:pPr>
            <w:r>
              <w:t>85 out of 100</w:t>
            </w:r>
          </w:p>
        </w:tc>
        <w:tc>
          <w:tcPr>
            <w:tcW w:w="844" w:type="pct"/>
          </w:tcPr>
          <w:p w:rsidR="00260042" w:rsidRDefault="00260042" w:rsidP="000745B5">
            <w:pPr>
              <w:pStyle w:val="BodyText"/>
            </w:pPr>
            <w:r>
              <w:t>86.1</w:t>
            </w:r>
          </w:p>
        </w:tc>
        <w:tc>
          <w:tcPr>
            <w:tcW w:w="844" w:type="pct"/>
          </w:tcPr>
          <w:p w:rsidR="00260042" w:rsidRDefault="00260042" w:rsidP="000745B5">
            <w:pPr>
              <w:pStyle w:val="BodyText"/>
            </w:pPr>
            <w:r>
              <w:rPr>
                <w:rStyle w:val="Bulletcolour"/>
                <w:rFonts w:ascii="Wingdings" w:hAnsi="Wingdings" w:cs="Wingdings"/>
              </w:rPr>
              <w:t></w:t>
            </w:r>
          </w:p>
        </w:tc>
        <w:tc>
          <w:tcPr>
            <w:tcW w:w="1476" w:type="pct"/>
          </w:tcPr>
          <w:p w:rsidR="00260042" w:rsidRDefault="00260042" w:rsidP="000745B5">
            <w:pPr>
              <w:pStyle w:val="BodyText"/>
            </w:pPr>
            <w:r>
              <w:t>NA</w:t>
            </w:r>
            <w:r>
              <w:rPr>
                <w:vertAlign w:val="superscript"/>
              </w:rPr>
              <w:t>(a)</w:t>
            </w:r>
          </w:p>
        </w:tc>
      </w:tr>
    </w:tbl>
    <w:p w:rsidR="00260042" w:rsidRDefault="00260042" w:rsidP="00EA5510">
      <w:pPr>
        <w:pStyle w:val="BodyText"/>
      </w:pPr>
      <w:r>
        <w:t>(a)</w:t>
      </w:r>
      <w:r>
        <w:tab/>
        <w:t xml:space="preserve">Due to a change in how the measure </w:t>
      </w:r>
      <w:proofErr w:type="gramStart"/>
      <w:r>
        <w:t>is calculated</w:t>
      </w:r>
      <w:proofErr w:type="gramEnd"/>
      <w:r>
        <w:t>, the results for 2018–19 are not directly comparable with the previous year.</w:t>
      </w:r>
    </w:p>
    <w:p w:rsidR="00260042" w:rsidRDefault="00260042" w:rsidP="00260042">
      <w:pPr>
        <w:pStyle w:val="BodyText"/>
        <w:spacing w:after="0"/>
        <w:rPr>
          <w:caps/>
        </w:rPr>
      </w:pPr>
      <w:r>
        <w:rPr>
          <w:rStyle w:val="Bold"/>
          <w:caps/>
        </w:rPr>
        <w:t>Analysis</w:t>
      </w:r>
    </w:p>
    <w:p w:rsidR="00260042" w:rsidRDefault="00260042" w:rsidP="00260042">
      <w:pPr>
        <w:pStyle w:val="BodyText"/>
      </w:pPr>
      <w:r>
        <w:t xml:space="preserve">The agency achieved the annual target with a </w:t>
      </w:r>
      <w:proofErr w:type="gramStart"/>
      <w:r>
        <w:t>0.5 point</w:t>
      </w:r>
      <w:proofErr w:type="gramEnd"/>
      <w:r>
        <w:t xml:space="preserve"> increase over the previous year.</w:t>
      </w:r>
    </w:p>
    <w:p w:rsidR="00260042" w:rsidRDefault="00260042" w:rsidP="00260042">
      <w:pPr>
        <w:pStyle w:val="BodyText"/>
      </w:pPr>
      <w:r>
        <w:t xml:space="preserve">Across all three channels–mobile applications, </w:t>
      </w:r>
      <w:proofErr w:type="gramStart"/>
      <w:r>
        <w:t>online, and face-to-face–the</w:t>
      </w:r>
      <w:proofErr w:type="gramEnd"/>
      <w:r>
        <w:t xml:space="preserve"> customer satisfaction target has been exceeded. The improvement in overall satisfaction </w:t>
      </w:r>
      <w:proofErr w:type="gramStart"/>
      <w:r>
        <w:t>was driven</w:t>
      </w:r>
      <w:proofErr w:type="gramEnd"/>
      <w:r>
        <w:t xml:space="preserve"> by improvements to digital channels making it easier for customers to engage with the agency.</w:t>
      </w:r>
    </w:p>
    <w:p w:rsidR="00260042" w:rsidRDefault="00260042" w:rsidP="00260042">
      <w:pPr>
        <w:pStyle w:val="BodyText"/>
      </w:pPr>
      <w:r>
        <w:t xml:space="preserve">In response to the COVID-19 pandemic, all of the agency’s health business moved to digital channels, and the range of self-service functions </w:t>
      </w:r>
      <w:proofErr w:type="gramStart"/>
      <w:r>
        <w:t>was expanded</w:t>
      </w:r>
      <w:proofErr w:type="gramEnd"/>
      <w:r>
        <w:t xml:space="preserve"> to support customers in engaging with the agency. This resulted in an increase in customer satisfaction.</w:t>
      </w:r>
    </w:p>
    <w:p w:rsidR="00260042" w:rsidRDefault="00260042" w:rsidP="00260042">
      <w:pPr>
        <w:pStyle w:val="BodyText"/>
        <w:spacing w:after="57"/>
        <w:rPr>
          <w:caps/>
        </w:rPr>
      </w:pPr>
      <w:r>
        <w:rPr>
          <w:spacing w:val="-2"/>
        </w:rPr>
        <w:t>The table below compares the satisfaction drivers across three financial years</w:t>
      </w:r>
      <w:proofErr w:type="gramStart"/>
      <w:r>
        <w:rPr>
          <w:spacing w:val="-2"/>
        </w:rPr>
        <w:t>.</w:t>
      </w:r>
      <w:r>
        <w:rPr>
          <w:spacing w:val="-2"/>
          <w:vertAlign w:val="superscript"/>
        </w:rPr>
        <w:t>(</w:t>
      </w:r>
      <w:proofErr w:type="gramEnd"/>
      <w:r>
        <w:rPr>
          <w:spacing w:val="-2"/>
          <w:vertAlign w:val="superscript"/>
        </w:rPr>
        <w:t>a)</w:t>
      </w:r>
    </w:p>
    <w:tbl>
      <w:tblPr>
        <w:tblStyle w:val="TableGrid"/>
        <w:tblW w:w="5000" w:type="pct"/>
        <w:tblLook w:val="0000" w:firstRow="0" w:lastRow="0" w:firstColumn="0" w:lastColumn="0" w:noHBand="0" w:noVBand="0"/>
        <w:tblCaption w:val="satisfaction drivers across three financial years"/>
      </w:tblPr>
      <w:tblGrid>
        <w:gridCol w:w="4611"/>
        <w:gridCol w:w="2059"/>
        <w:gridCol w:w="2059"/>
        <w:gridCol w:w="2061"/>
      </w:tblGrid>
      <w:tr w:rsidR="00260042" w:rsidTr="00863E9F">
        <w:trPr>
          <w:trHeight w:val="376"/>
          <w:tblHeader/>
        </w:trPr>
        <w:tc>
          <w:tcPr>
            <w:tcW w:w="2137" w:type="pct"/>
          </w:tcPr>
          <w:p w:rsidR="00260042" w:rsidRDefault="00260042" w:rsidP="00863E9F">
            <w:pPr>
              <w:pStyle w:val="BodyText"/>
            </w:pPr>
            <w:r>
              <w:rPr>
                <w:rStyle w:val="Bold"/>
              </w:rPr>
              <w:lastRenderedPageBreak/>
              <w:t>Satisfaction</w:t>
            </w:r>
          </w:p>
        </w:tc>
        <w:tc>
          <w:tcPr>
            <w:tcW w:w="954" w:type="pct"/>
          </w:tcPr>
          <w:p w:rsidR="00260042" w:rsidRDefault="00260042" w:rsidP="00863E9F">
            <w:pPr>
              <w:pStyle w:val="BodyText"/>
              <w:jc w:val="right"/>
            </w:pPr>
            <w:r>
              <w:rPr>
                <w:rStyle w:val="Bold"/>
              </w:rPr>
              <w:t>2018–19</w:t>
            </w:r>
          </w:p>
        </w:tc>
        <w:tc>
          <w:tcPr>
            <w:tcW w:w="954" w:type="pct"/>
          </w:tcPr>
          <w:p w:rsidR="00260042" w:rsidRDefault="00260042" w:rsidP="00863E9F">
            <w:pPr>
              <w:pStyle w:val="BodyText"/>
              <w:jc w:val="right"/>
            </w:pPr>
            <w:r>
              <w:rPr>
                <w:rStyle w:val="Bold"/>
              </w:rPr>
              <w:t>2019–20</w:t>
            </w:r>
          </w:p>
        </w:tc>
        <w:tc>
          <w:tcPr>
            <w:tcW w:w="955" w:type="pct"/>
          </w:tcPr>
          <w:p w:rsidR="00260042" w:rsidRDefault="00260042" w:rsidP="00863E9F">
            <w:pPr>
              <w:pStyle w:val="BodyText"/>
              <w:jc w:val="right"/>
            </w:pPr>
            <w:r>
              <w:rPr>
                <w:rStyle w:val="Bold"/>
              </w:rPr>
              <w:t>2020–21</w:t>
            </w:r>
          </w:p>
        </w:tc>
      </w:tr>
      <w:tr w:rsidR="00260042" w:rsidTr="00863E9F">
        <w:trPr>
          <w:trHeight w:val="397"/>
        </w:trPr>
        <w:tc>
          <w:tcPr>
            <w:tcW w:w="2137" w:type="pct"/>
          </w:tcPr>
          <w:p w:rsidR="00260042" w:rsidRDefault="00260042" w:rsidP="00863E9F">
            <w:pPr>
              <w:pStyle w:val="BodyText"/>
            </w:pPr>
            <w:r>
              <w:t>Perceived quality</w:t>
            </w:r>
          </w:p>
        </w:tc>
        <w:tc>
          <w:tcPr>
            <w:tcW w:w="954" w:type="pct"/>
          </w:tcPr>
          <w:p w:rsidR="00260042" w:rsidRDefault="00260042" w:rsidP="00863E9F">
            <w:pPr>
              <w:pStyle w:val="BodyText"/>
              <w:jc w:val="right"/>
            </w:pPr>
            <w:r>
              <w:t>84.6</w:t>
            </w:r>
          </w:p>
        </w:tc>
        <w:tc>
          <w:tcPr>
            <w:tcW w:w="954" w:type="pct"/>
          </w:tcPr>
          <w:p w:rsidR="00260042" w:rsidRDefault="00260042" w:rsidP="00863E9F">
            <w:pPr>
              <w:pStyle w:val="BodyText"/>
              <w:jc w:val="right"/>
            </w:pPr>
            <w:r>
              <w:t>84.5</w:t>
            </w:r>
          </w:p>
        </w:tc>
        <w:tc>
          <w:tcPr>
            <w:tcW w:w="955" w:type="pct"/>
          </w:tcPr>
          <w:p w:rsidR="00260042" w:rsidRDefault="00260042" w:rsidP="00863E9F">
            <w:pPr>
              <w:pStyle w:val="BodyText"/>
              <w:jc w:val="right"/>
            </w:pPr>
            <w:r>
              <w:t>87.0</w:t>
            </w:r>
          </w:p>
        </w:tc>
      </w:tr>
      <w:tr w:rsidR="00260042" w:rsidTr="00863E9F">
        <w:trPr>
          <w:trHeight w:val="376"/>
        </w:trPr>
        <w:tc>
          <w:tcPr>
            <w:tcW w:w="2137" w:type="pct"/>
          </w:tcPr>
          <w:p w:rsidR="00260042" w:rsidRDefault="00260042" w:rsidP="00863E9F">
            <w:pPr>
              <w:pStyle w:val="BodyText"/>
            </w:pPr>
            <w:r>
              <w:t>Personalised service</w:t>
            </w:r>
          </w:p>
        </w:tc>
        <w:tc>
          <w:tcPr>
            <w:tcW w:w="954" w:type="pct"/>
          </w:tcPr>
          <w:p w:rsidR="00260042" w:rsidRDefault="00260042" w:rsidP="00863E9F">
            <w:pPr>
              <w:pStyle w:val="BodyText"/>
              <w:jc w:val="right"/>
            </w:pPr>
            <w:r>
              <w:t>91.4</w:t>
            </w:r>
          </w:p>
        </w:tc>
        <w:tc>
          <w:tcPr>
            <w:tcW w:w="954" w:type="pct"/>
          </w:tcPr>
          <w:p w:rsidR="00260042" w:rsidRDefault="00260042" w:rsidP="00863E9F">
            <w:pPr>
              <w:pStyle w:val="BodyText"/>
              <w:jc w:val="right"/>
            </w:pPr>
            <w:r>
              <w:t>91.1</w:t>
            </w:r>
          </w:p>
        </w:tc>
        <w:tc>
          <w:tcPr>
            <w:tcW w:w="955" w:type="pct"/>
          </w:tcPr>
          <w:p w:rsidR="00260042" w:rsidRDefault="00260042" w:rsidP="00863E9F">
            <w:pPr>
              <w:pStyle w:val="BodyText"/>
              <w:jc w:val="right"/>
            </w:pPr>
            <w:r>
              <w:t>90.7</w:t>
            </w:r>
          </w:p>
        </w:tc>
      </w:tr>
      <w:tr w:rsidR="00260042" w:rsidTr="00863E9F">
        <w:trPr>
          <w:trHeight w:val="376"/>
        </w:trPr>
        <w:tc>
          <w:tcPr>
            <w:tcW w:w="2137" w:type="pct"/>
          </w:tcPr>
          <w:p w:rsidR="00260042" w:rsidRDefault="00260042" w:rsidP="00863E9F">
            <w:pPr>
              <w:pStyle w:val="BodyText"/>
            </w:pPr>
            <w:r>
              <w:t>Communication</w:t>
            </w:r>
          </w:p>
        </w:tc>
        <w:tc>
          <w:tcPr>
            <w:tcW w:w="954" w:type="pct"/>
          </w:tcPr>
          <w:p w:rsidR="00260042" w:rsidRDefault="00260042" w:rsidP="00863E9F">
            <w:pPr>
              <w:pStyle w:val="BodyText"/>
              <w:jc w:val="right"/>
            </w:pPr>
            <w:r>
              <w:t>92.6</w:t>
            </w:r>
          </w:p>
        </w:tc>
        <w:tc>
          <w:tcPr>
            <w:tcW w:w="954" w:type="pct"/>
          </w:tcPr>
          <w:p w:rsidR="00260042" w:rsidRDefault="00260042" w:rsidP="00863E9F">
            <w:pPr>
              <w:pStyle w:val="BodyText"/>
              <w:jc w:val="right"/>
            </w:pPr>
            <w:r>
              <w:t>92.2</w:t>
            </w:r>
          </w:p>
        </w:tc>
        <w:tc>
          <w:tcPr>
            <w:tcW w:w="955" w:type="pct"/>
          </w:tcPr>
          <w:p w:rsidR="00260042" w:rsidRDefault="00260042" w:rsidP="00863E9F">
            <w:pPr>
              <w:pStyle w:val="BodyText"/>
              <w:jc w:val="right"/>
            </w:pPr>
            <w:r>
              <w:t>89.9</w:t>
            </w:r>
          </w:p>
        </w:tc>
      </w:tr>
      <w:tr w:rsidR="00260042" w:rsidTr="00863E9F">
        <w:trPr>
          <w:trHeight w:val="376"/>
        </w:trPr>
        <w:tc>
          <w:tcPr>
            <w:tcW w:w="2137" w:type="pct"/>
          </w:tcPr>
          <w:p w:rsidR="00260042" w:rsidRDefault="00260042" w:rsidP="00863E9F">
            <w:pPr>
              <w:pStyle w:val="BodyText"/>
            </w:pPr>
            <w:r>
              <w:t>Time to receive service</w:t>
            </w:r>
          </w:p>
        </w:tc>
        <w:tc>
          <w:tcPr>
            <w:tcW w:w="954" w:type="pct"/>
          </w:tcPr>
          <w:p w:rsidR="00260042" w:rsidRDefault="00260042" w:rsidP="00863E9F">
            <w:pPr>
              <w:pStyle w:val="BodyText"/>
              <w:jc w:val="right"/>
            </w:pPr>
            <w:r>
              <w:t>71.0</w:t>
            </w:r>
          </w:p>
        </w:tc>
        <w:tc>
          <w:tcPr>
            <w:tcW w:w="954" w:type="pct"/>
          </w:tcPr>
          <w:p w:rsidR="00260042" w:rsidRDefault="00260042" w:rsidP="00863E9F">
            <w:pPr>
              <w:pStyle w:val="BodyText"/>
              <w:jc w:val="right"/>
            </w:pPr>
            <w:r>
              <w:t>71.6</w:t>
            </w:r>
          </w:p>
        </w:tc>
        <w:tc>
          <w:tcPr>
            <w:tcW w:w="955" w:type="pct"/>
          </w:tcPr>
          <w:p w:rsidR="00260042" w:rsidRDefault="00260042" w:rsidP="00863E9F">
            <w:pPr>
              <w:pStyle w:val="BodyText"/>
              <w:jc w:val="right"/>
            </w:pPr>
            <w:r>
              <w:t>81.8</w:t>
            </w:r>
          </w:p>
        </w:tc>
      </w:tr>
      <w:tr w:rsidR="00260042" w:rsidTr="00863E9F">
        <w:trPr>
          <w:trHeight w:val="376"/>
        </w:trPr>
        <w:tc>
          <w:tcPr>
            <w:tcW w:w="2137" w:type="pct"/>
          </w:tcPr>
          <w:p w:rsidR="00260042" w:rsidRDefault="00260042" w:rsidP="00863E9F">
            <w:pPr>
              <w:pStyle w:val="BodyText"/>
            </w:pPr>
            <w:r>
              <w:t>Fair treatment</w:t>
            </w:r>
          </w:p>
        </w:tc>
        <w:tc>
          <w:tcPr>
            <w:tcW w:w="954" w:type="pct"/>
          </w:tcPr>
          <w:p w:rsidR="00260042" w:rsidRDefault="00260042" w:rsidP="00863E9F">
            <w:pPr>
              <w:pStyle w:val="BodyText"/>
              <w:jc w:val="right"/>
            </w:pPr>
            <w:r>
              <w:t>94.5</w:t>
            </w:r>
          </w:p>
        </w:tc>
        <w:tc>
          <w:tcPr>
            <w:tcW w:w="954" w:type="pct"/>
          </w:tcPr>
          <w:p w:rsidR="00260042" w:rsidRDefault="00260042" w:rsidP="00863E9F">
            <w:pPr>
              <w:pStyle w:val="BodyText"/>
              <w:jc w:val="right"/>
            </w:pPr>
            <w:r>
              <w:t>94.6</w:t>
            </w:r>
          </w:p>
        </w:tc>
        <w:tc>
          <w:tcPr>
            <w:tcW w:w="955" w:type="pct"/>
          </w:tcPr>
          <w:p w:rsidR="00260042" w:rsidRDefault="00260042" w:rsidP="00863E9F">
            <w:pPr>
              <w:pStyle w:val="BodyText"/>
              <w:jc w:val="right"/>
            </w:pPr>
            <w:r>
              <w:t>93.1</w:t>
            </w:r>
          </w:p>
        </w:tc>
      </w:tr>
      <w:tr w:rsidR="00260042" w:rsidTr="00863E9F">
        <w:trPr>
          <w:trHeight w:val="376"/>
        </w:trPr>
        <w:tc>
          <w:tcPr>
            <w:tcW w:w="2137" w:type="pct"/>
          </w:tcPr>
          <w:p w:rsidR="00260042" w:rsidRDefault="00260042" w:rsidP="00863E9F">
            <w:pPr>
              <w:pStyle w:val="BodyText"/>
            </w:pPr>
            <w:r>
              <w:t>Effort</w:t>
            </w:r>
          </w:p>
        </w:tc>
        <w:tc>
          <w:tcPr>
            <w:tcW w:w="954" w:type="pct"/>
          </w:tcPr>
          <w:p w:rsidR="00260042" w:rsidRDefault="00260042" w:rsidP="00863E9F">
            <w:pPr>
              <w:pStyle w:val="BodyText"/>
              <w:jc w:val="right"/>
            </w:pPr>
            <w:r>
              <w:t>83.2</w:t>
            </w:r>
          </w:p>
        </w:tc>
        <w:tc>
          <w:tcPr>
            <w:tcW w:w="954" w:type="pct"/>
          </w:tcPr>
          <w:p w:rsidR="00260042" w:rsidRDefault="00260042" w:rsidP="00863E9F">
            <w:pPr>
              <w:pStyle w:val="BodyText"/>
              <w:jc w:val="right"/>
            </w:pPr>
            <w:r>
              <w:t>83.4</w:t>
            </w:r>
          </w:p>
        </w:tc>
        <w:tc>
          <w:tcPr>
            <w:tcW w:w="955" w:type="pct"/>
          </w:tcPr>
          <w:p w:rsidR="00260042" w:rsidRDefault="00260042" w:rsidP="00863E9F">
            <w:pPr>
              <w:pStyle w:val="BodyText"/>
              <w:jc w:val="right"/>
            </w:pPr>
            <w:r>
              <w:t>84.9</w:t>
            </w:r>
          </w:p>
        </w:tc>
      </w:tr>
    </w:tbl>
    <w:p w:rsidR="00260042" w:rsidRDefault="00260042" w:rsidP="00EA5510">
      <w:pPr>
        <w:pStyle w:val="BodyText"/>
        <w:rPr>
          <w:rStyle w:val="Bold"/>
        </w:rPr>
      </w:pPr>
      <w:r>
        <w:t>(a)</w:t>
      </w:r>
      <w:r>
        <w:tab/>
        <w:t xml:space="preserve">Direct comparisons </w:t>
      </w:r>
      <w:proofErr w:type="gramStart"/>
      <w:r>
        <w:t>cannot be made</w:t>
      </w:r>
      <w:proofErr w:type="gramEnd"/>
      <w:r>
        <w:t xml:space="preserve"> between the last two financial years due to the shift from face-to-face surveying in 2019–20, to multi-channel surveying in 2020–21.</w:t>
      </w:r>
    </w:p>
    <w:p w:rsidR="00260042" w:rsidRDefault="00260042" w:rsidP="00260042">
      <w:pPr>
        <w:pStyle w:val="BodyText"/>
        <w:keepN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16</w:t>
      </w:r>
    </w:p>
    <w:p w:rsidR="00260042" w:rsidRDefault="00260042" w:rsidP="00260042">
      <w:pPr>
        <w:pStyle w:val="BodyText"/>
        <w:spacing w:after="0"/>
        <w:rPr>
          <w:rStyle w:val="Bold"/>
        </w:rPr>
      </w:pPr>
      <w:r>
        <w:rPr>
          <w:rStyle w:val="Bold"/>
        </w:rPr>
        <w:t>DATA SOURCE</w:t>
      </w:r>
    </w:p>
    <w:p w:rsidR="00260042" w:rsidRDefault="00260042" w:rsidP="00260042">
      <w:pPr>
        <w:pStyle w:val="BodyText"/>
        <w:spacing w:after="57"/>
      </w:pPr>
      <w:r>
        <w:t>External survey provider</w:t>
      </w:r>
    </w:p>
    <w:p w:rsidR="00260042" w:rsidRDefault="00260042" w:rsidP="00EA5510">
      <w:pPr>
        <w:pStyle w:val="ListBullet"/>
      </w:pPr>
      <w:r>
        <w:t xml:space="preserve">The margin of error is less than </w:t>
      </w:r>
      <w:proofErr w:type="gramStart"/>
      <w:r>
        <w:t>5</w:t>
      </w:r>
      <w:proofErr w:type="gramEnd"/>
      <w:r>
        <w:t xml:space="preserve"> index points.</w:t>
      </w:r>
    </w:p>
    <w:p w:rsidR="00260042" w:rsidRDefault="00260042" w:rsidP="00260042">
      <w:pPr>
        <w:pStyle w:val="BodyText"/>
        <w:spacing w:after="0"/>
        <w:rPr>
          <w:rStyle w:val="Bold"/>
          <w:caps/>
        </w:rPr>
      </w:pPr>
      <w:r>
        <w:rPr>
          <w:rStyle w:val="Bold"/>
          <w:caps/>
        </w:rPr>
        <w:t>Notes and Definitions</w:t>
      </w:r>
    </w:p>
    <w:p w:rsidR="00260042" w:rsidRDefault="00260042" w:rsidP="008930A3">
      <w:pPr>
        <w:pStyle w:val="ListBullet"/>
      </w:pPr>
      <w:r>
        <w:t xml:space="preserve">The Satisfaction and Experience Survey is the agency’s primary measurement of customers’ satisfaction with their most recent interaction. </w:t>
      </w:r>
    </w:p>
    <w:p w:rsidR="00260042" w:rsidRDefault="00260042" w:rsidP="008930A3">
      <w:pPr>
        <w:pStyle w:val="ListBullet"/>
      </w:pPr>
      <w:r>
        <w:t xml:space="preserve">The survey </w:t>
      </w:r>
      <w:proofErr w:type="gramStart"/>
      <w:r>
        <w:t>is offered</w:t>
      </w:r>
      <w:proofErr w:type="gramEnd"/>
      <w:r>
        <w:t xml:space="preserve"> in real-time, next business day or weekly depending on the service channel used. </w:t>
      </w:r>
    </w:p>
    <w:p w:rsidR="00260042" w:rsidRDefault="00260042" w:rsidP="00EA5510">
      <w:pPr>
        <w:pStyle w:val="ListBullet"/>
      </w:pPr>
      <w:r>
        <w:t>Surveys are undertaken via automated interactive voice response (post-call survey), online or via outbound interviews conducted by the agency’s external provider.</w:t>
      </w:r>
    </w:p>
    <w:p w:rsidR="00260042" w:rsidRDefault="00260042" w:rsidP="00260042">
      <w:pPr>
        <w:pStyle w:val="Heading5"/>
        <w:pageBreakBefore/>
      </w:pPr>
      <w:r>
        <w:lastRenderedPageBreak/>
        <w:t>Performance measure 3 — Achievement of payment quality standards: Medicare: delivery of accurate medical benefits and services</w:t>
      </w:r>
    </w:p>
    <w:p w:rsidR="00260042" w:rsidRDefault="00260042" w:rsidP="00260042">
      <w:pPr>
        <w:pStyle w:val="BodyText"/>
        <w:keepNext/>
        <w:spacing w:after="0"/>
      </w:pPr>
      <w:r>
        <w:rPr>
          <w:rStyle w:val="Bold"/>
          <w:caps/>
        </w:rPr>
        <w:t>Results</w:t>
      </w:r>
    </w:p>
    <w:tbl>
      <w:tblPr>
        <w:tblStyle w:val="TableGrid"/>
        <w:tblW w:w="5000" w:type="pct"/>
        <w:tblLook w:val="0000" w:firstRow="0" w:lastRow="0" w:firstColumn="0" w:lastColumn="0" w:noHBand="0" w:noVBand="0"/>
        <w:tblCaption w:val="Performance measure 3 — Achievement of payment quality standards: Medicare: delivery of accurate medical benefits and services"/>
      </w:tblPr>
      <w:tblGrid>
        <w:gridCol w:w="1564"/>
        <w:gridCol w:w="1977"/>
        <w:gridCol w:w="1977"/>
        <w:gridCol w:w="1977"/>
        <w:gridCol w:w="3295"/>
      </w:tblGrid>
      <w:tr w:rsidR="00260042" w:rsidTr="00863E9F">
        <w:trPr>
          <w:trHeight w:val="376"/>
          <w:tblHeader/>
        </w:trPr>
        <w:tc>
          <w:tcPr>
            <w:tcW w:w="725" w:type="pct"/>
          </w:tcPr>
          <w:p w:rsidR="00260042" w:rsidRPr="00863E9F" w:rsidRDefault="00260042" w:rsidP="00863E9F">
            <w:pPr>
              <w:pStyle w:val="BodyText"/>
              <w:rPr>
                <w:b/>
              </w:rPr>
            </w:pPr>
            <w:r w:rsidRPr="00863E9F">
              <w:rPr>
                <w:b/>
              </w:rPr>
              <w:t>Year</w:t>
            </w:r>
          </w:p>
        </w:tc>
        <w:tc>
          <w:tcPr>
            <w:tcW w:w="916" w:type="pct"/>
          </w:tcPr>
          <w:p w:rsidR="00260042" w:rsidRPr="00863E9F" w:rsidRDefault="00260042" w:rsidP="00863E9F">
            <w:pPr>
              <w:pStyle w:val="BodyText"/>
              <w:rPr>
                <w:b/>
              </w:rPr>
            </w:pPr>
            <w:r w:rsidRPr="00863E9F">
              <w:rPr>
                <w:b/>
              </w:rPr>
              <w:t>Target</w:t>
            </w:r>
          </w:p>
        </w:tc>
        <w:tc>
          <w:tcPr>
            <w:tcW w:w="916" w:type="pct"/>
          </w:tcPr>
          <w:p w:rsidR="00260042" w:rsidRPr="00863E9F" w:rsidRDefault="00260042" w:rsidP="00863E9F">
            <w:pPr>
              <w:pStyle w:val="BodyText"/>
              <w:rPr>
                <w:b/>
              </w:rPr>
            </w:pPr>
            <w:r w:rsidRPr="00863E9F">
              <w:rPr>
                <w:b/>
              </w:rPr>
              <w:t>Result</w:t>
            </w:r>
          </w:p>
        </w:tc>
        <w:tc>
          <w:tcPr>
            <w:tcW w:w="916" w:type="pct"/>
          </w:tcPr>
          <w:p w:rsidR="00260042" w:rsidRPr="00863E9F" w:rsidRDefault="00260042" w:rsidP="00863E9F">
            <w:pPr>
              <w:pStyle w:val="BodyText"/>
              <w:rPr>
                <w:b/>
              </w:rPr>
            </w:pPr>
            <w:r w:rsidRPr="00863E9F">
              <w:rPr>
                <w:b/>
              </w:rPr>
              <w:t>Achieved</w:t>
            </w:r>
          </w:p>
        </w:tc>
        <w:tc>
          <w:tcPr>
            <w:tcW w:w="1527" w:type="pct"/>
          </w:tcPr>
          <w:p w:rsidR="00260042" w:rsidRPr="00863E9F" w:rsidRDefault="00260042" w:rsidP="00863E9F">
            <w:pPr>
              <w:pStyle w:val="BodyText"/>
              <w:rPr>
                <w:b/>
              </w:rPr>
            </w:pPr>
            <w:r w:rsidRPr="00863E9F">
              <w:rPr>
                <w:b/>
              </w:rPr>
              <w:t>Change on previous year +/–</w:t>
            </w:r>
          </w:p>
        </w:tc>
      </w:tr>
      <w:tr w:rsidR="00260042" w:rsidTr="00863E9F">
        <w:trPr>
          <w:trHeight w:val="376"/>
        </w:trPr>
        <w:tc>
          <w:tcPr>
            <w:tcW w:w="725" w:type="pct"/>
          </w:tcPr>
          <w:p w:rsidR="00260042" w:rsidRDefault="00260042" w:rsidP="00863E9F">
            <w:pPr>
              <w:pStyle w:val="BodyText"/>
            </w:pPr>
            <w:r>
              <w:t>2020–21</w:t>
            </w:r>
          </w:p>
        </w:tc>
        <w:tc>
          <w:tcPr>
            <w:tcW w:w="916" w:type="pct"/>
          </w:tcPr>
          <w:p w:rsidR="00260042" w:rsidRDefault="00260042" w:rsidP="00863E9F">
            <w:pPr>
              <w:pStyle w:val="BodyText"/>
            </w:pPr>
            <w:r>
              <w:t>≥98%</w:t>
            </w:r>
          </w:p>
        </w:tc>
        <w:tc>
          <w:tcPr>
            <w:tcW w:w="916" w:type="pct"/>
          </w:tcPr>
          <w:p w:rsidR="00260042" w:rsidRDefault="00260042" w:rsidP="00863E9F">
            <w:pPr>
              <w:pStyle w:val="BodyText"/>
            </w:pPr>
            <w:r>
              <w:t>98.8%</w:t>
            </w:r>
          </w:p>
        </w:tc>
        <w:tc>
          <w:tcPr>
            <w:tcW w:w="916" w:type="pct"/>
          </w:tcPr>
          <w:p w:rsidR="00260042" w:rsidRDefault="00260042" w:rsidP="00863E9F">
            <w:pPr>
              <w:pStyle w:val="BodyText"/>
            </w:pPr>
            <w:r>
              <w:rPr>
                <w:rStyle w:val="Bulletcolour"/>
                <w:rFonts w:ascii="Wingdings" w:hAnsi="Wingdings" w:cs="Wingdings"/>
              </w:rPr>
              <w:t></w:t>
            </w:r>
          </w:p>
        </w:tc>
        <w:tc>
          <w:tcPr>
            <w:tcW w:w="1527" w:type="pct"/>
          </w:tcPr>
          <w:p w:rsidR="00260042" w:rsidRDefault="00260042" w:rsidP="00863E9F">
            <w:pPr>
              <w:pStyle w:val="BodyText"/>
            </w:pPr>
            <w:r>
              <w:t>–0.1%</w:t>
            </w:r>
          </w:p>
        </w:tc>
      </w:tr>
      <w:tr w:rsidR="00260042" w:rsidTr="00863E9F">
        <w:trPr>
          <w:trHeight w:val="376"/>
        </w:trPr>
        <w:tc>
          <w:tcPr>
            <w:tcW w:w="725" w:type="pct"/>
          </w:tcPr>
          <w:p w:rsidR="00260042" w:rsidRDefault="00260042" w:rsidP="00863E9F">
            <w:pPr>
              <w:pStyle w:val="BodyText"/>
            </w:pPr>
            <w:r>
              <w:t>2019–20</w:t>
            </w:r>
          </w:p>
        </w:tc>
        <w:tc>
          <w:tcPr>
            <w:tcW w:w="916" w:type="pct"/>
          </w:tcPr>
          <w:p w:rsidR="00260042" w:rsidRDefault="00260042" w:rsidP="00863E9F">
            <w:pPr>
              <w:pStyle w:val="BodyText"/>
            </w:pPr>
            <w:r>
              <w:t>≥98%</w:t>
            </w:r>
          </w:p>
        </w:tc>
        <w:tc>
          <w:tcPr>
            <w:tcW w:w="916" w:type="pct"/>
          </w:tcPr>
          <w:p w:rsidR="00260042" w:rsidRDefault="00260042" w:rsidP="00863E9F">
            <w:pPr>
              <w:pStyle w:val="BodyText"/>
            </w:pPr>
            <w:r>
              <w:t>98.9%</w:t>
            </w:r>
          </w:p>
        </w:tc>
        <w:tc>
          <w:tcPr>
            <w:tcW w:w="916" w:type="pct"/>
          </w:tcPr>
          <w:p w:rsidR="00260042" w:rsidRDefault="00260042" w:rsidP="00863E9F">
            <w:pPr>
              <w:pStyle w:val="BodyText"/>
            </w:pPr>
            <w:r>
              <w:rPr>
                <w:rStyle w:val="Bulletcolour"/>
                <w:rFonts w:ascii="Wingdings" w:hAnsi="Wingdings" w:cs="Wingdings"/>
              </w:rPr>
              <w:t></w:t>
            </w:r>
          </w:p>
        </w:tc>
        <w:tc>
          <w:tcPr>
            <w:tcW w:w="1527" w:type="pct"/>
          </w:tcPr>
          <w:p w:rsidR="00260042" w:rsidRDefault="00260042" w:rsidP="00863E9F">
            <w:pPr>
              <w:pStyle w:val="BodyText"/>
            </w:pPr>
            <w:r>
              <w:t>+0.1%</w:t>
            </w:r>
          </w:p>
        </w:tc>
      </w:tr>
      <w:tr w:rsidR="00260042" w:rsidTr="00863E9F">
        <w:trPr>
          <w:trHeight w:val="376"/>
        </w:trPr>
        <w:tc>
          <w:tcPr>
            <w:tcW w:w="725" w:type="pct"/>
          </w:tcPr>
          <w:p w:rsidR="00260042" w:rsidRDefault="00260042" w:rsidP="00863E9F">
            <w:pPr>
              <w:pStyle w:val="BodyText"/>
            </w:pPr>
            <w:r>
              <w:t>2018–19</w:t>
            </w:r>
          </w:p>
        </w:tc>
        <w:tc>
          <w:tcPr>
            <w:tcW w:w="916" w:type="pct"/>
          </w:tcPr>
          <w:p w:rsidR="00260042" w:rsidRDefault="00260042" w:rsidP="00863E9F">
            <w:pPr>
              <w:pStyle w:val="BodyText"/>
            </w:pPr>
            <w:r>
              <w:t>≥98%</w:t>
            </w:r>
          </w:p>
        </w:tc>
        <w:tc>
          <w:tcPr>
            <w:tcW w:w="916" w:type="pct"/>
          </w:tcPr>
          <w:p w:rsidR="00260042" w:rsidRDefault="00260042" w:rsidP="00863E9F">
            <w:pPr>
              <w:pStyle w:val="BodyText"/>
            </w:pPr>
            <w:r>
              <w:t>98.8%</w:t>
            </w:r>
          </w:p>
        </w:tc>
        <w:tc>
          <w:tcPr>
            <w:tcW w:w="916" w:type="pct"/>
          </w:tcPr>
          <w:p w:rsidR="00260042" w:rsidRDefault="00260042" w:rsidP="00863E9F">
            <w:pPr>
              <w:pStyle w:val="BodyText"/>
            </w:pPr>
            <w:r>
              <w:rPr>
                <w:rStyle w:val="Bulletcolour"/>
                <w:rFonts w:ascii="Wingdings" w:hAnsi="Wingdings" w:cs="Wingdings"/>
              </w:rPr>
              <w:t></w:t>
            </w:r>
          </w:p>
        </w:tc>
        <w:tc>
          <w:tcPr>
            <w:tcW w:w="1527" w:type="pct"/>
          </w:tcPr>
          <w:p w:rsidR="00260042" w:rsidRDefault="00260042" w:rsidP="00863E9F">
            <w:pPr>
              <w:pStyle w:val="BodyText"/>
            </w:pPr>
            <w:r>
              <w:t>No change</w:t>
            </w:r>
          </w:p>
        </w:tc>
      </w:tr>
    </w:tbl>
    <w:p w:rsidR="00260042" w:rsidRDefault="00260042" w:rsidP="00260042">
      <w:pPr>
        <w:pStyle w:val="BodyText"/>
        <w:spacing w:after="0"/>
        <w:rPr>
          <w:caps/>
        </w:rPr>
      </w:pPr>
      <w:r>
        <w:rPr>
          <w:rStyle w:val="Bold"/>
          <w:caps/>
        </w:rPr>
        <w:t>Analysis</w:t>
      </w:r>
    </w:p>
    <w:p w:rsidR="00260042" w:rsidRDefault="00260042" w:rsidP="00260042">
      <w:pPr>
        <w:pStyle w:val="BodyText"/>
      </w:pPr>
      <w:r>
        <w:t>The agency achieved the annual target with performance remaining consistent with previous years.</w:t>
      </w:r>
    </w:p>
    <w:p w:rsidR="00260042" w:rsidRDefault="00260042" w:rsidP="00260042">
      <w:pPr>
        <w:pStyle w:val="BodyText"/>
      </w:pPr>
      <w:r>
        <w:t>In response to the ongoing pressures from disaster events and the COVID-19 pandemic during 2020–21, the agency invested in training and developing additional staff to support the increased demands being placed on Medicare telephony and processing services.</w:t>
      </w:r>
    </w:p>
    <w:p w:rsidR="00260042" w:rsidRDefault="00260042" w:rsidP="00260042">
      <w:pPr>
        <w:pStyle w:val="BodyText"/>
      </w:pPr>
      <w:r>
        <w:t xml:space="preserve">Despite the pressures of 2020–21, the agency ensured that the delivery of accurate Medicare benefits and services </w:t>
      </w:r>
      <w:proofErr w:type="gramStart"/>
      <w:r>
        <w:t>was not compromised</w:t>
      </w:r>
      <w:proofErr w:type="gramEnd"/>
      <w:r>
        <w:t>.</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17</w:t>
      </w:r>
    </w:p>
    <w:p w:rsidR="00260042" w:rsidRDefault="00260042" w:rsidP="00260042">
      <w:pPr>
        <w:pStyle w:val="BodyText"/>
        <w:keepNext/>
        <w:spacing w:after="0"/>
        <w:rPr>
          <w:rStyle w:val="Bold"/>
        </w:rPr>
      </w:pPr>
      <w:r>
        <w:rPr>
          <w:rStyle w:val="Bold"/>
        </w:rPr>
        <w:t>DATA SOURCE</w:t>
      </w:r>
    </w:p>
    <w:p w:rsidR="00260042" w:rsidRDefault="00260042" w:rsidP="00260042">
      <w:pPr>
        <w:pStyle w:val="BodyText"/>
      </w:pPr>
      <w:r>
        <w:t>Enterprise Data Warehouse</w:t>
      </w:r>
    </w:p>
    <w:p w:rsidR="00260042" w:rsidRDefault="00260042" w:rsidP="00260042">
      <w:pPr>
        <w:pStyle w:val="BodyText"/>
        <w:spacing w:after="0"/>
        <w:rPr>
          <w:rStyle w:val="Bold"/>
        </w:rPr>
      </w:pPr>
      <w:r>
        <w:rPr>
          <w:rStyle w:val="Bold"/>
          <w:caps/>
        </w:rPr>
        <w:t>Notes and Definitions</w:t>
      </w:r>
    </w:p>
    <w:p w:rsidR="00260042" w:rsidRDefault="00260042" w:rsidP="00260042">
      <w:pPr>
        <w:pStyle w:val="BodyText"/>
        <w:spacing w:after="57"/>
      </w:pPr>
      <w:r>
        <w:t>The 0.1% change this financial year compared to last year relates to manually processed and paid services. Manually processed and paid services include:</w:t>
      </w:r>
    </w:p>
    <w:p w:rsidR="00260042" w:rsidRDefault="00260042" w:rsidP="008930A3">
      <w:pPr>
        <w:pStyle w:val="ListBullet"/>
      </w:pPr>
      <w:r>
        <w:t>Medicare Manual and those submitted digitally requiring operator intervention</w:t>
      </w:r>
    </w:p>
    <w:p w:rsidR="00260042" w:rsidRDefault="00260042" w:rsidP="008930A3">
      <w:pPr>
        <w:pStyle w:val="ListBullet"/>
      </w:pPr>
      <w:r>
        <w:t>Medicare Eligibility Enrolments</w:t>
      </w:r>
    </w:p>
    <w:p w:rsidR="00260042" w:rsidRDefault="00260042" w:rsidP="00EA5510">
      <w:pPr>
        <w:pStyle w:val="ListBullet"/>
      </w:pPr>
      <w:r>
        <w:t>Medicare Safety Net Registrations.</w:t>
      </w:r>
    </w:p>
    <w:p w:rsidR="00260042" w:rsidRDefault="00260042" w:rsidP="00260042">
      <w:pPr>
        <w:pStyle w:val="BodyText"/>
        <w:spacing w:after="57"/>
      </w:pPr>
      <w:r>
        <w:t>Automatically processed and paid services include:</w:t>
      </w:r>
    </w:p>
    <w:p w:rsidR="00260042" w:rsidRDefault="00260042" w:rsidP="00EA5510">
      <w:pPr>
        <w:pStyle w:val="ListBullet"/>
      </w:pPr>
      <w:r>
        <w:t>Bulk Bill, Patient Claim and Simplified Billing Services submitted digitally.</w:t>
      </w:r>
    </w:p>
    <w:p w:rsidR="00260042" w:rsidRPr="00863E9F" w:rsidRDefault="00260042" w:rsidP="00863E9F">
      <w:pPr>
        <w:pStyle w:val="Heading5"/>
      </w:pPr>
      <w:r>
        <w:t>Performance measure 4 — Achievement of face-to-face service level standards: average wait time</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4 — Achievement of face-to-face service level standards: average wait time"/>
      </w:tblPr>
      <w:tblGrid>
        <w:gridCol w:w="1648"/>
        <w:gridCol w:w="2372"/>
        <w:gridCol w:w="2074"/>
        <w:gridCol w:w="1647"/>
        <w:gridCol w:w="3049"/>
      </w:tblGrid>
      <w:tr w:rsidR="00260042" w:rsidTr="00863E9F">
        <w:trPr>
          <w:trHeight w:val="376"/>
          <w:tblHeader/>
        </w:trPr>
        <w:tc>
          <w:tcPr>
            <w:tcW w:w="763" w:type="pct"/>
          </w:tcPr>
          <w:p w:rsidR="00260042" w:rsidRPr="00863E9F" w:rsidRDefault="00260042" w:rsidP="00863E9F">
            <w:pPr>
              <w:pStyle w:val="BodyText"/>
              <w:rPr>
                <w:b/>
              </w:rPr>
            </w:pPr>
            <w:r w:rsidRPr="00863E9F">
              <w:rPr>
                <w:b/>
              </w:rPr>
              <w:lastRenderedPageBreak/>
              <w:t>Year</w:t>
            </w:r>
          </w:p>
        </w:tc>
        <w:tc>
          <w:tcPr>
            <w:tcW w:w="1099" w:type="pct"/>
          </w:tcPr>
          <w:p w:rsidR="00260042" w:rsidRPr="00863E9F" w:rsidRDefault="00260042" w:rsidP="00863E9F">
            <w:pPr>
              <w:pStyle w:val="BodyText"/>
              <w:rPr>
                <w:b/>
              </w:rPr>
            </w:pPr>
            <w:r w:rsidRPr="00863E9F">
              <w:rPr>
                <w:b/>
              </w:rPr>
              <w:t>Target</w:t>
            </w:r>
          </w:p>
        </w:tc>
        <w:tc>
          <w:tcPr>
            <w:tcW w:w="961" w:type="pct"/>
          </w:tcPr>
          <w:p w:rsidR="00260042" w:rsidRPr="00863E9F" w:rsidRDefault="00260042" w:rsidP="00863E9F">
            <w:pPr>
              <w:pStyle w:val="BodyText"/>
              <w:rPr>
                <w:b/>
              </w:rPr>
            </w:pPr>
            <w:r w:rsidRPr="00863E9F">
              <w:rPr>
                <w:b/>
              </w:rPr>
              <w:t>Result</w:t>
            </w:r>
          </w:p>
        </w:tc>
        <w:tc>
          <w:tcPr>
            <w:tcW w:w="763" w:type="pct"/>
          </w:tcPr>
          <w:p w:rsidR="00260042" w:rsidRPr="00863E9F" w:rsidRDefault="00260042" w:rsidP="00863E9F">
            <w:pPr>
              <w:pStyle w:val="BodyText"/>
              <w:rPr>
                <w:b/>
              </w:rPr>
            </w:pPr>
            <w:r w:rsidRPr="00863E9F">
              <w:rPr>
                <w:b/>
              </w:rPr>
              <w:t>Achieved</w:t>
            </w:r>
          </w:p>
        </w:tc>
        <w:tc>
          <w:tcPr>
            <w:tcW w:w="1412" w:type="pct"/>
          </w:tcPr>
          <w:p w:rsidR="00260042" w:rsidRPr="00863E9F" w:rsidRDefault="00260042" w:rsidP="00863E9F">
            <w:pPr>
              <w:pStyle w:val="BodyText"/>
              <w:rPr>
                <w:b/>
              </w:rPr>
            </w:pPr>
            <w:r w:rsidRPr="00863E9F">
              <w:rPr>
                <w:b/>
              </w:rPr>
              <w:t>Change on previous year +/–</w:t>
            </w:r>
          </w:p>
        </w:tc>
      </w:tr>
      <w:tr w:rsidR="00260042" w:rsidTr="00863E9F">
        <w:trPr>
          <w:trHeight w:val="376"/>
        </w:trPr>
        <w:tc>
          <w:tcPr>
            <w:tcW w:w="763" w:type="pct"/>
          </w:tcPr>
          <w:p w:rsidR="00260042" w:rsidRDefault="00260042" w:rsidP="00863E9F">
            <w:pPr>
              <w:pStyle w:val="BodyText"/>
            </w:pPr>
            <w:r>
              <w:t>2020–21</w:t>
            </w:r>
          </w:p>
        </w:tc>
        <w:tc>
          <w:tcPr>
            <w:tcW w:w="1099" w:type="pct"/>
          </w:tcPr>
          <w:p w:rsidR="00260042" w:rsidRDefault="00260042" w:rsidP="00863E9F">
            <w:pPr>
              <w:pStyle w:val="BodyText"/>
            </w:pPr>
            <w:r>
              <w:t>≤15 minutes</w:t>
            </w:r>
          </w:p>
        </w:tc>
        <w:tc>
          <w:tcPr>
            <w:tcW w:w="961" w:type="pct"/>
          </w:tcPr>
          <w:p w:rsidR="00260042" w:rsidRDefault="00260042" w:rsidP="00863E9F">
            <w:pPr>
              <w:pStyle w:val="BodyText"/>
            </w:pPr>
            <w:r>
              <w:t>6 minutes 40 seconds</w:t>
            </w:r>
          </w:p>
        </w:tc>
        <w:tc>
          <w:tcPr>
            <w:tcW w:w="763" w:type="pct"/>
          </w:tcPr>
          <w:p w:rsidR="00260042" w:rsidRDefault="00260042" w:rsidP="00863E9F">
            <w:pPr>
              <w:pStyle w:val="BodyText"/>
            </w:pPr>
            <w:r>
              <w:rPr>
                <w:rStyle w:val="Bulletcolour"/>
                <w:rFonts w:ascii="Wingdings" w:hAnsi="Wingdings" w:cs="Wingdings"/>
              </w:rPr>
              <w:t></w:t>
            </w:r>
          </w:p>
        </w:tc>
        <w:tc>
          <w:tcPr>
            <w:tcW w:w="1412" w:type="pct"/>
          </w:tcPr>
          <w:p w:rsidR="00260042" w:rsidRDefault="00260042" w:rsidP="00863E9F">
            <w:pPr>
              <w:pStyle w:val="BodyText"/>
            </w:pPr>
            <w:r>
              <w:t>–7 minutes 8 seconds</w:t>
            </w:r>
          </w:p>
        </w:tc>
      </w:tr>
      <w:tr w:rsidR="00260042" w:rsidTr="00863E9F">
        <w:trPr>
          <w:trHeight w:val="376"/>
        </w:trPr>
        <w:tc>
          <w:tcPr>
            <w:tcW w:w="763" w:type="pct"/>
          </w:tcPr>
          <w:p w:rsidR="00260042" w:rsidRDefault="00260042" w:rsidP="00863E9F">
            <w:pPr>
              <w:pStyle w:val="BodyText"/>
            </w:pPr>
            <w:r>
              <w:t>2019–20</w:t>
            </w:r>
          </w:p>
        </w:tc>
        <w:tc>
          <w:tcPr>
            <w:tcW w:w="1099" w:type="pct"/>
          </w:tcPr>
          <w:p w:rsidR="00260042" w:rsidRDefault="00260042" w:rsidP="00863E9F">
            <w:pPr>
              <w:pStyle w:val="BodyText"/>
            </w:pPr>
            <w:r>
              <w:t>≤15 minutes</w:t>
            </w:r>
          </w:p>
        </w:tc>
        <w:tc>
          <w:tcPr>
            <w:tcW w:w="961" w:type="pct"/>
          </w:tcPr>
          <w:p w:rsidR="00260042" w:rsidRDefault="00260042" w:rsidP="00863E9F">
            <w:pPr>
              <w:pStyle w:val="BodyText"/>
            </w:pPr>
            <w:r>
              <w:t>13 minutes 48 seconds</w:t>
            </w:r>
          </w:p>
        </w:tc>
        <w:tc>
          <w:tcPr>
            <w:tcW w:w="763" w:type="pct"/>
          </w:tcPr>
          <w:p w:rsidR="00260042" w:rsidRDefault="00260042" w:rsidP="00863E9F">
            <w:pPr>
              <w:pStyle w:val="BodyText"/>
            </w:pPr>
            <w:r>
              <w:rPr>
                <w:rStyle w:val="Bulletcolour"/>
                <w:rFonts w:ascii="Wingdings" w:hAnsi="Wingdings" w:cs="Wingdings"/>
              </w:rPr>
              <w:t></w:t>
            </w:r>
          </w:p>
        </w:tc>
        <w:tc>
          <w:tcPr>
            <w:tcW w:w="1412" w:type="pct"/>
          </w:tcPr>
          <w:p w:rsidR="00260042" w:rsidRDefault="00260042" w:rsidP="00863E9F">
            <w:pPr>
              <w:pStyle w:val="BodyText"/>
            </w:pPr>
            <w:r>
              <w:rPr>
                <w:spacing w:val="-4"/>
              </w:rPr>
              <w:t>+39 seconds</w:t>
            </w:r>
          </w:p>
        </w:tc>
      </w:tr>
      <w:tr w:rsidR="00260042" w:rsidTr="00863E9F">
        <w:trPr>
          <w:trHeight w:val="376"/>
        </w:trPr>
        <w:tc>
          <w:tcPr>
            <w:tcW w:w="763" w:type="pct"/>
          </w:tcPr>
          <w:p w:rsidR="00260042" w:rsidRDefault="00260042" w:rsidP="00863E9F">
            <w:pPr>
              <w:pStyle w:val="BodyText"/>
            </w:pPr>
            <w:r>
              <w:t>2018–19</w:t>
            </w:r>
          </w:p>
        </w:tc>
        <w:tc>
          <w:tcPr>
            <w:tcW w:w="1099" w:type="pct"/>
          </w:tcPr>
          <w:p w:rsidR="00260042" w:rsidRDefault="00260042" w:rsidP="00863E9F">
            <w:pPr>
              <w:pStyle w:val="BodyText"/>
            </w:pPr>
            <w:r>
              <w:t>≤15 minutes</w:t>
            </w:r>
          </w:p>
        </w:tc>
        <w:tc>
          <w:tcPr>
            <w:tcW w:w="961" w:type="pct"/>
          </w:tcPr>
          <w:p w:rsidR="00260042" w:rsidRDefault="00260042" w:rsidP="00863E9F">
            <w:pPr>
              <w:pStyle w:val="BodyText"/>
            </w:pPr>
            <w:r>
              <w:t>13 minutes 9 seconds</w:t>
            </w:r>
          </w:p>
        </w:tc>
        <w:tc>
          <w:tcPr>
            <w:tcW w:w="763" w:type="pct"/>
          </w:tcPr>
          <w:p w:rsidR="00260042" w:rsidRDefault="00260042" w:rsidP="00863E9F">
            <w:pPr>
              <w:pStyle w:val="BodyText"/>
            </w:pPr>
            <w:r>
              <w:rPr>
                <w:rStyle w:val="Bulletcolour"/>
                <w:rFonts w:ascii="Wingdings" w:hAnsi="Wingdings" w:cs="Wingdings"/>
              </w:rPr>
              <w:t></w:t>
            </w:r>
          </w:p>
        </w:tc>
        <w:tc>
          <w:tcPr>
            <w:tcW w:w="1412" w:type="pct"/>
          </w:tcPr>
          <w:p w:rsidR="00260042" w:rsidRDefault="00260042" w:rsidP="00863E9F">
            <w:pPr>
              <w:pStyle w:val="BodyText"/>
            </w:pPr>
            <w:r>
              <w:t>–5 seconds</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The agency achieved the target with a substantial improvement on the previous year’s result. This was mainly due to the effect of temporary lockdowns across the country that had a significant impact on demand compared to the previous year.</w:t>
      </w:r>
    </w:p>
    <w:p w:rsidR="00260042" w:rsidRDefault="00260042" w:rsidP="00260042">
      <w:pPr>
        <w:pStyle w:val="BodyText"/>
      </w:pPr>
      <w:r>
        <w:t xml:space="preserve">The ongoing impact of the COVID-19 pandemic required the continuation of a number of health and safety measures to ensure social distancing </w:t>
      </w:r>
      <w:proofErr w:type="gramStart"/>
      <w:r>
        <w:t>was maintained</w:t>
      </w:r>
      <w:proofErr w:type="gramEnd"/>
      <w:r>
        <w:t xml:space="preserve"> within the service centre environment, including limiting customer numbers due to social distancing requirements. These influences on the face-to-face operating environment saw a decline in people presenting at service centres and as a result led to a reduction in wait times. </w:t>
      </w:r>
    </w:p>
    <w:p w:rsidR="00260042" w:rsidRDefault="00260042" w:rsidP="00260042">
      <w:pPr>
        <w:pStyle w:val="BodyText"/>
        <w:spacing w:after="57"/>
      </w:pPr>
      <w:r>
        <w:t xml:space="preserve">The agency adapted to the shift in demand from face-to-face to online channels by ensuring that self-service channels were available for customers. </w:t>
      </w:r>
    </w:p>
    <w:tbl>
      <w:tblPr>
        <w:tblStyle w:val="TableGrid"/>
        <w:tblW w:w="5000" w:type="pct"/>
        <w:tblLook w:val="0000" w:firstRow="0" w:lastRow="0" w:firstColumn="0" w:lastColumn="0" w:noHBand="0" w:noVBand="0"/>
        <w:tblCaption w:val="Customers wait time "/>
      </w:tblPr>
      <w:tblGrid>
        <w:gridCol w:w="4611"/>
        <w:gridCol w:w="2059"/>
        <w:gridCol w:w="2059"/>
        <w:gridCol w:w="2061"/>
      </w:tblGrid>
      <w:tr w:rsidR="00260042" w:rsidTr="00863E9F">
        <w:trPr>
          <w:trHeight w:val="376"/>
          <w:tblHeader/>
        </w:trPr>
        <w:tc>
          <w:tcPr>
            <w:tcW w:w="2137" w:type="pct"/>
          </w:tcPr>
          <w:p w:rsidR="00260042" w:rsidRDefault="00260042" w:rsidP="00863E9F">
            <w:pPr>
              <w:pStyle w:val="BodyText"/>
            </w:pPr>
          </w:p>
        </w:tc>
        <w:tc>
          <w:tcPr>
            <w:tcW w:w="954" w:type="pct"/>
          </w:tcPr>
          <w:p w:rsidR="00260042" w:rsidRDefault="00260042" w:rsidP="00863E9F">
            <w:pPr>
              <w:pStyle w:val="BodyText"/>
              <w:jc w:val="right"/>
            </w:pPr>
            <w:r>
              <w:rPr>
                <w:rStyle w:val="Bold"/>
              </w:rPr>
              <w:t>2018–19</w:t>
            </w:r>
          </w:p>
        </w:tc>
        <w:tc>
          <w:tcPr>
            <w:tcW w:w="954" w:type="pct"/>
          </w:tcPr>
          <w:p w:rsidR="00260042" w:rsidRDefault="00260042" w:rsidP="00863E9F">
            <w:pPr>
              <w:pStyle w:val="BodyText"/>
              <w:jc w:val="right"/>
            </w:pPr>
            <w:r>
              <w:rPr>
                <w:rStyle w:val="Bold"/>
              </w:rPr>
              <w:t>2019–20</w:t>
            </w:r>
          </w:p>
        </w:tc>
        <w:tc>
          <w:tcPr>
            <w:tcW w:w="955" w:type="pct"/>
          </w:tcPr>
          <w:p w:rsidR="00260042" w:rsidRDefault="00260042" w:rsidP="00863E9F">
            <w:pPr>
              <w:pStyle w:val="BodyText"/>
              <w:jc w:val="right"/>
            </w:pPr>
            <w:r>
              <w:rPr>
                <w:rStyle w:val="Bold"/>
              </w:rPr>
              <w:t>2020–21</w:t>
            </w:r>
          </w:p>
        </w:tc>
      </w:tr>
      <w:tr w:rsidR="00260042" w:rsidTr="00863E9F">
        <w:trPr>
          <w:trHeight w:val="397"/>
        </w:trPr>
        <w:tc>
          <w:tcPr>
            <w:tcW w:w="2137" w:type="pct"/>
          </w:tcPr>
          <w:p w:rsidR="00260042" w:rsidRDefault="00260042" w:rsidP="00863E9F">
            <w:pPr>
              <w:pStyle w:val="BodyText"/>
            </w:pPr>
            <w:r>
              <w:t>Customers wait time less than or equal to 15 minutes</w:t>
            </w:r>
          </w:p>
        </w:tc>
        <w:tc>
          <w:tcPr>
            <w:tcW w:w="954" w:type="pct"/>
          </w:tcPr>
          <w:p w:rsidR="00260042" w:rsidRDefault="00260042" w:rsidP="00863E9F">
            <w:pPr>
              <w:pStyle w:val="BodyText"/>
              <w:jc w:val="right"/>
            </w:pPr>
            <w:r>
              <w:t>1.8 million</w:t>
            </w:r>
          </w:p>
        </w:tc>
        <w:tc>
          <w:tcPr>
            <w:tcW w:w="954" w:type="pct"/>
          </w:tcPr>
          <w:p w:rsidR="00260042" w:rsidRDefault="00260042" w:rsidP="00863E9F">
            <w:pPr>
              <w:pStyle w:val="BodyText"/>
              <w:jc w:val="right"/>
            </w:pPr>
            <w:r>
              <w:t>1.4 million</w:t>
            </w:r>
          </w:p>
        </w:tc>
        <w:tc>
          <w:tcPr>
            <w:tcW w:w="955" w:type="pct"/>
          </w:tcPr>
          <w:p w:rsidR="00260042" w:rsidRDefault="00260042" w:rsidP="00863E9F">
            <w:pPr>
              <w:pStyle w:val="BodyText"/>
              <w:jc w:val="right"/>
            </w:pPr>
            <w:r>
              <w:t>1.1 million</w:t>
            </w:r>
          </w:p>
        </w:tc>
      </w:tr>
      <w:tr w:rsidR="00260042" w:rsidTr="00863E9F">
        <w:trPr>
          <w:trHeight w:val="376"/>
        </w:trPr>
        <w:tc>
          <w:tcPr>
            <w:tcW w:w="2137" w:type="pct"/>
          </w:tcPr>
          <w:p w:rsidR="00260042" w:rsidRDefault="00260042" w:rsidP="00863E9F">
            <w:pPr>
              <w:pStyle w:val="BodyText"/>
            </w:pPr>
            <w:r>
              <w:t>Customers wait time more than 15 minutes</w:t>
            </w:r>
          </w:p>
        </w:tc>
        <w:tc>
          <w:tcPr>
            <w:tcW w:w="954" w:type="pct"/>
          </w:tcPr>
          <w:p w:rsidR="00260042" w:rsidRDefault="00260042" w:rsidP="00863E9F">
            <w:pPr>
              <w:pStyle w:val="BodyText"/>
              <w:jc w:val="right"/>
            </w:pPr>
            <w:r>
              <w:t>1.0 million</w:t>
            </w:r>
          </w:p>
        </w:tc>
        <w:tc>
          <w:tcPr>
            <w:tcW w:w="954" w:type="pct"/>
          </w:tcPr>
          <w:p w:rsidR="00260042" w:rsidRDefault="00260042" w:rsidP="00863E9F">
            <w:pPr>
              <w:pStyle w:val="BodyText"/>
              <w:jc w:val="right"/>
            </w:pPr>
            <w:r>
              <w:t>0.7 million</w:t>
            </w:r>
          </w:p>
        </w:tc>
        <w:tc>
          <w:tcPr>
            <w:tcW w:w="955" w:type="pct"/>
          </w:tcPr>
          <w:p w:rsidR="00260042" w:rsidRDefault="00260042" w:rsidP="00863E9F">
            <w:pPr>
              <w:pStyle w:val="BodyText"/>
              <w:jc w:val="right"/>
            </w:pPr>
            <w:r>
              <w:t>0.2 million</w:t>
            </w:r>
          </w:p>
        </w:tc>
      </w:tr>
      <w:tr w:rsidR="00260042" w:rsidTr="00863E9F">
        <w:trPr>
          <w:trHeight w:val="376"/>
        </w:trPr>
        <w:tc>
          <w:tcPr>
            <w:tcW w:w="2137" w:type="pct"/>
          </w:tcPr>
          <w:p w:rsidR="00260042" w:rsidRDefault="00260042" w:rsidP="00863E9F">
            <w:pPr>
              <w:pStyle w:val="BodyText"/>
            </w:pPr>
            <w:r>
              <w:rPr>
                <w:rStyle w:val="Bold"/>
              </w:rPr>
              <w:t>Total recorded contacts</w:t>
            </w:r>
          </w:p>
        </w:tc>
        <w:tc>
          <w:tcPr>
            <w:tcW w:w="954" w:type="pct"/>
          </w:tcPr>
          <w:p w:rsidR="00260042" w:rsidRDefault="00260042" w:rsidP="00863E9F">
            <w:pPr>
              <w:pStyle w:val="BodyText"/>
              <w:jc w:val="right"/>
            </w:pPr>
            <w:r>
              <w:rPr>
                <w:rStyle w:val="Bold"/>
              </w:rPr>
              <w:t>2.9 million</w:t>
            </w:r>
          </w:p>
        </w:tc>
        <w:tc>
          <w:tcPr>
            <w:tcW w:w="954" w:type="pct"/>
          </w:tcPr>
          <w:p w:rsidR="00260042" w:rsidRDefault="00260042" w:rsidP="00863E9F">
            <w:pPr>
              <w:pStyle w:val="BodyText"/>
              <w:jc w:val="right"/>
            </w:pPr>
            <w:r>
              <w:rPr>
                <w:rStyle w:val="Bold"/>
              </w:rPr>
              <w:t>2.2 million</w:t>
            </w:r>
          </w:p>
        </w:tc>
        <w:tc>
          <w:tcPr>
            <w:tcW w:w="955" w:type="pct"/>
          </w:tcPr>
          <w:p w:rsidR="00260042" w:rsidRDefault="00260042" w:rsidP="00863E9F">
            <w:pPr>
              <w:pStyle w:val="BodyText"/>
              <w:jc w:val="right"/>
            </w:pPr>
            <w:r>
              <w:rPr>
                <w:rStyle w:val="Bold"/>
              </w:rPr>
              <w:t>1.4 million</w:t>
            </w:r>
          </w:p>
        </w:tc>
      </w:tr>
      <w:tr w:rsidR="00260042" w:rsidTr="00863E9F">
        <w:trPr>
          <w:trHeight w:val="376"/>
        </w:trPr>
        <w:tc>
          <w:tcPr>
            <w:tcW w:w="2137" w:type="pct"/>
          </w:tcPr>
          <w:p w:rsidR="00260042" w:rsidRDefault="00260042" w:rsidP="00863E9F">
            <w:pPr>
              <w:pStyle w:val="BodyText"/>
            </w:pPr>
            <w:r>
              <w:t>Abandoned contacts</w:t>
            </w:r>
          </w:p>
        </w:tc>
        <w:tc>
          <w:tcPr>
            <w:tcW w:w="954" w:type="pct"/>
          </w:tcPr>
          <w:p w:rsidR="00260042" w:rsidRDefault="00260042" w:rsidP="00863E9F">
            <w:pPr>
              <w:pStyle w:val="BodyText"/>
              <w:jc w:val="right"/>
            </w:pPr>
            <w:r>
              <w:t>60,000</w:t>
            </w:r>
          </w:p>
        </w:tc>
        <w:tc>
          <w:tcPr>
            <w:tcW w:w="954" w:type="pct"/>
          </w:tcPr>
          <w:p w:rsidR="00260042" w:rsidRDefault="00260042" w:rsidP="00863E9F">
            <w:pPr>
              <w:pStyle w:val="BodyText"/>
              <w:jc w:val="right"/>
            </w:pPr>
            <w:r>
              <w:t>50,000</w:t>
            </w:r>
          </w:p>
        </w:tc>
        <w:tc>
          <w:tcPr>
            <w:tcW w:w="955" w:type="pct"/>
          </w:tcPr>
          <w:p w:rsidR="00260042" w:rsidRDefault="00260042" w:rsidP="00863E9F">
            <w:pPr>
              <w:pStyle w:val="BodyText"/>
              <w:jc w:val="right"/>
            </w:pPr>
            <w:r>
              <w:t>10,000</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17</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SAPUI5 Front of House application.</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SAPUI5 Front of House application is a single browser based application that operates on both desktop and mobile devices to manage front-of-house customer contacts.</w:t>
      </w:r>
    </w:p>
    <w:p w:rsidR="00260042" w:rsidRDefault="00260042" w:rsidP="008930A3">
      <w:pPr>
        <w:pStyle w:val="ListBullet"/>
      </w:pPr>
      <w:r>
        <w:lastRenderedPageBreak/>
        <w:t xml:space="preserve">Abandoned contacts refers to the number of customers booked into the Virtual Wait Room that left the service centre before </w:t>
      </w:r>
      <w:proofErr w:type="gramStart"/>
      <w:r>
        <w:t>being served</w:t>
      </w:r>
      <w:proofErr w:type="gramEnd"/>
      <w:r>
        <w:t xml:space="preserve"> by a service officer.</w:t>
      </w:r>
    </w:p>
    <w:p w:rsidR="00260042" w:rsidRDefault="00260042" w:rsidP="00EA5510">
      <w:pPr>
        <w:pStyle w:val="ListBullet"/>
      </w:pPr>
      <w:r>
        <w:t xml:space="preserve">Abandoned contacts are not included in the calculation, as the measure calculates how long customers have waited to </w:t>
      </w:r>
      <w:proofErr w:type="gramStart"/>
      <w:r>
        <w:t>be served</w:t>
      </w:r>
      <w:proofErr w:type="gramEnd"/>
      <w:r>
        <w:t xml:space="preserve"> by a service officer.</w:t>
      </w:r>
    </w:p>
    <w:p w:rsidR="00260042" w:rsidRDefault="00260042" w:rsidP="00260042">
      <w:pPr>
        <w:pStyle w:val="Heading5"/>
        <w:pageBreakBefore/>
      </w:pPr>
      <w:r>
        <w:rPr>
          <w:spacing w:val="-5"/>
        </w:rPr>
        <w:lastRenderedPageBreak/>
        <w:t xml:space="preserve">Performance measure 5 — Achievement of telephony service level standards: </w:t>
      </w:r>
      <w:r>
        <w:t>average speed of answer — Pharmaceutical Benefits Scheme authorities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5 — Achievement of telephony service level standards: average speed of answer — Pharmaceutical Benefits Scheme authorities"/>
      </w:tblPr>
      <w:tblGrid>
        <w:gridCol w:w="1566"/>
        <w:gridCol w:w="2372"/>
        <w:gridCol w:w="2076"/>
        <w:gridCol w:w="1729"/>
        <w:gridCol w:w="3047"/>
      </w:tblGrid>
      <w:tr w:rsidR="00260042" w:rsidTr="00863E9F">
        <w:trPr>
          <w:trHeight w:val="376"/>
          <w:tblHeader/>
        </w:trPr>
        <w:tc>
          <w:tcPr>
            <w:tcW w:w="725" w:type="pct"/>
          </w:tcPr>
          <w:p w:rsidR="00260042" w:rsidRPr="00863E9F" w:rsidRDefault="00260042" w:rsidP="00863E9F">
            <w:pPr>
              <w:pStyle w:val="BodyText"/>
              <w:rPr>
                <w:b/>
              </w:rPr>
            </w:pPr>
            <w:r w:rsidRPr="00863E9F">
              <w:rPr>
                <w:b/>
              </w:rPr>
              <w:t>Year</w:t>
            </w:r>
          </w:p>
        </w:tc>
        <w:tc>
          <w:tcPr>
            <w:tcW w:w="1099" w:type="pct"/>
          </w:tcPr>
          <w:p w:rsidR="00260042" w:rsidRPr="00863E9F" w:rsidRDefault="00260042" w:rsidP="00863E9F">
            <w:pPr>
              <w:pStyle w:val="BodyText"/>
              <w:rPr>
                <w:b/>
              </w:rPr>
            </w:pPr>
            <w:r w:rsidRPr="00863E9F">
              <w:rPr>
                <w:b/>
              </w:rPr>
              <w:t>Target</w:t>
            </w:r>
          </w:p>
        </w:tc>
        <w:tc>
          <w:tcPr>
            <w:tcW w:w="962" w:type="pct"/>
          </w:tcPr>
          <w:p w:rsidR="00260042" w:rsidRPr="00863E9F" w:rsidRDefault="00260042" w:rsidP="00863E9F">
            <w:pPr>
              <w:pStyle w:val="BodyText"/>
              <w:rPr>
                <w:b/>
              </w:rPr>
            </w:pPr>
            <w:r w:rsidRPr="00863E9F">
              <w:rPr>
                <w:b/>
              </w:rPr>
              <w:t>Result</w:t>
            </w:r>
          </w:p>
        </w:tc>
        <w:tc>
          <w:tcPr>
            <w:tcW w:w="801" w:type="pct"/>
          </w:tcPr>
          <w:p w:rsidR="00260042" w:rsidRPr="00863E9F" w:rsidRDefault="00260042" w:rsidP="00863E9F">
            <w:pPr>
              <w:pStyle w:val="BodyText"/>
              <w:rPr>
                <w:b/>
              </w:rPr>
            </w:pPr>
            <w:r w:rsidRPr="00863E9F">
              <w:rPr>
                <w:b/>
              </w:rPr>
              <w:t>Achieved</w:t>
            </w:r>
          </w:p>
        </w:tc>
        <w:tc>
          <w:tcPr>
            <w:tcW w:w="1412" w:type="pct"/>
          </w:tcPr>
          <w:p w:rsidR="00260042" w:rsidRPr="00863E9F" w:rsidRDefault="00260042" w:rsidP="00863E9F">
            <w:pPr>
              <w:pStyle w:val="BodyText"/>
              <w:rPr>
                <w:b/>
              </w:rPr>
            </w:pPr>
            <w:r w:rsidRPr="00863E9F">
              <w:rPr>
                <w:b/>
              </w:rPr>
              <w:t>Change on previous year +/–</w:t>
            </w:r>
          </w:p>
        </w:tc>
      </w:tr>
      <w:tr w:rsidR="00260042" w:rsidTr="00863E9F">
        <w:trPr>
          <w:trHeight w:val="376"/>
        </w:trPr>
        <w:tc>
          <w:tcPr>
            <w:tcW w:w="725" w:type="pct"/>
          </w:tcPr>
          <w:p w:rsidR="00260042" w:rsidRDefault="00260042" w:rsidP="00863E9F">
            <w:pPr>
              <w:pStyle w:val="BodyText"/>
            </w:pPr>
            <w:r>
              <w:t>2020–21</w:t>
            </w:r>
          </w:p>
        </w:tc>
        <w:tc>
          <w:tcPr>
            <w:tcW w:w="1099" w:type="pct"/>
          </w:tcPr>
          <w:p w:rsidR="00260042" w:rsidRDefault="00260042" w:rsidP="00863E9F">
            <w:pPr>
              <w:pStyle w:val="BodyText"/>
            </w:pPr>
            <w:r>
              <w:t>≤30 seconds</w:t>
            </w:r>
          </w:p>
        </w:tc>
        <w:tc>
          <w:tcPr>
            <w:tcW w:w="962" w:type="pct"/>
          </w:tcPr>
          <w:p w:rsidR="00260042" w:rsidRDefault="00260042" w:rsidP="00863E9F">
            <w:pPr>
              <w:pStyle w:val="BodyText"/>
            </w:pPr>
            <w:r>
              <w:t>27 seconds</w:t>
            </w:r>
          </w:p>
        </w:tc>
        <w:tc>
          <w:tcPr>
            <w:tcW w:w="801" w:type="pct"/>
          </w:tcPr>
          <w:p w:rsidR="00260042" w:rsidRDefault="00260042" w:rsidP="00863E9F">
            <w:pPr>
              <w:pStyle w:val="BodyText"/>
            </w:pPr>
            <w:r>
              <w:rPr>
                <w:rStyle w:val="Bulletcolour"/>
                <w:rFonts w:ascii="Wingdings" w:hAnsi="Wingdings" w:cs="Wingdings"/>
              </w:rPr>
              <w:t></w:t>
            </w:r>
          </w:p>
        </w:tc>
        <w:tc>
          <w:tcPr>
            <w:tcW w:w="1412" w:type="pct"/>
          </w:tcPr>
          <w:p w:rsidR="00260042" w:rsidRDefault="00260042" w:rsidP="00863E9F">
            <w:pPr>
              <w:pStyle w:val="BodyText"/>
            </w:pPr>
            <w:r>
              <w:t>–7 seconds</w:t>
            </w:r>
          </w:p>
        </w:tc>
      </w:tr>
      <w:tr w:rsidR="00260042" w:rsidTr="00863E9F">
        <w:trPr>
          <w:trHeight w:val="376"/>
        </w:trPr>
        <w:tc>
          <w:tcPr>
            <w:tcW w:w="725" w:type="pct"/>
          </w:tcPr>
          <w:p w:rsidR="00260042" w:rsidRDefault="00260042" w:rsidP="00863E9F">
            <w:pPr>
              <w:pStyle w:val="BodyText"/>
            </w:pPr>
            <w:r>
              <w:t>2019–20</w:t>
            </w:r>
          </w:p>
        </w:tc>
        <w:tc>
          <w:tcPr>
            <w:tcW w:w="1099" w:type="pct"/>
          </w:tcPr>
          <w:p w:rsidR="00260042" w:rsidRDefault="00260042" w:rsidP="00863E9F">
            <w:pPr>
              <w:pStyle w:val="BodyText"/>
            </w:pPr>
            <w:r>
              <w:t>≤30 seconds</w:t>
            </w:r>
          </w:p>
        </w:tc>
        <w:tc>
          <w:tcPr>
            <w:tcW w:w="962" w:type="pct"/>
          </w:tcPr>
          <w:p w:rsidR="00260042" w:rsidRDefault="00260042" w:rsidP="00863E9F">
            <w:pPr>
              <w:pStyle w:val="BodyText"/>
            </w:pPr>
            <w:r>
              <w:t>34 seconds</w:t>
            </w:r>
          </w:p>
        </w:tc>
        <w:tc>
          <w:tcPr>
            <w:tcW w:w="801" w:type="pct"/>
          </w:tcPr>
          <w:p w:rsidR="00260042" w:rsidRDefault="00260042" w:rsidP="00863E9F">
            <w:pPr>
              <w:pStyle w:val="BodyText"/>
            </w:pPr>
            <w:r>
              <w:rPr>
                <w:rStyle w:val="Bulletcolour"/>
                <w:rFonts w:ascii="Wingdings" w:hAnsi="Wingdings" w:cs="Wingdings"/>
              </w:rPr>
              <w:t></w:t>
            </w:r>
          </w:p>
        </w:tc>
        <w:tc>
          <w:tcPr>
            <w:tcW w:w="1412" w:type="pct"/>
          </w:tcPr>
          <w:p w:rsidR="00260042" w:rsidRDefault="00260042" w:rsidP="00863E9F">
            <w:pPr>
              <w:pStyle w:val="BodyText"/>
            </w:pPr>
            <w:r>
              <w:t>+6 seconds</w:t>
            </w:r>
          </w:p>
        </w:tc>
      </w:tr>
      <w:tr w:rsidR="00260042" w:rsidTr="00863E9F">
        <w:trPr>
          <w:trHeight w:val="376"/>
        </w:trPr>
        <w:tc>
          <w:tcPr>
            <w:tcW w:w="725" w:type="pct"/>
          </w:tcPr>
          <w:p w:rsidR="00260042" w:rsidRDefault="00260042" w:rsidP="00863E9F">
            <w:pPr>
              <w:pStyle w:val="BodyText"/>
            </w:pPr>
            <w:r>
              <w:t>2018–19</w:t>
            </w:r>
          </w:p>
        </w:tc>
        <w:tc>
          <w:tcPr>
            <w:tcW w:w="1099" w:type="pct"/>
          </w:tcPr>
          <w:p w:rsidR="00260042" w:rsidRDefault="00260042" w:rsidP="00863E9F">
            <w:pPr>
              <w:pStyle w:val="BodyText"/>
            </w:pPr>
            <w:r>
              <w:t>≤30 seconds</w:t>
            </w:r>
          </w:p>
        </w:tc>
        <w:tc>
          <w:tcPr>
            <w:tcW w:w="962" w:type="pct"/>
          </w:tcPr>
          <w:p w:rsidR="00260042" w:rsidRDefault="00260042" w:rsidP="00863E9F">
            <w:pPr>
              <w:pStyle w:val="BodyText"/>
            </w:pPr>
            <w:r>
              <w:t>28 seconds</w:t>
            </w:r>
          </w:p>
        </w:tc>
        <w:tc>
          <w:tcPr>
            <w:tcW w:w="801" w:type="pct"/>
          </w:tcPr>
          <w:p w:rsidR="00260042" w:rsidRDefault="00260042" w:rsidP="00863E9F">
            <w:pPr>
              <w:pStyle w:val="BodyText"/>
            </w:pPr>
            <w:r>
              <w:rPr>
                <w:rStyle w:val="Bulletcolour"/>
                <w:rFonts w:ascii="Wingdings" w:hAnsi="Wingdings" w:cs="Wingdings"/>
              </w:rPr>
              <w:t></w:t>
            </w:r>
          </w:p>
        </w:tc>
        <w:tc>
          <w:tcPr>
            <w:tcW w:w="1412" w:type="pct"/>
          </w:tcPr>
          <w:p w:rsidR="00260042" w:rsidRDefault="00260042" w:rsidP="00863E9F">
            <w:pPr>
              <w:pStyle w:val="BodyText"/>
            </w:pPr>
            <w:r>
              <w:t>–2 seconds</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The agency achieved the annual target, with a </w:t>
      </w:r>
      <w:proofErr w:type="gramStart"/>
      <w:r>
        <w:t>7 second</w:t>
      </w:r>
      <w:proofErr w:type="gramEnd"/>
      <w:r>
        <w:t xml:space="preserve"> improvement over the previous year’s result. </w:t>
      </w:r>
    </w:p>
    <w:p w:rsidR="00260042" w:rsidRDefault="00260042" w:rsidP="00260042">
      <w:pPr>
        <w:pStyle w:val="BodyText"/>
      </w:pPr>
      <w:r>
        <w:t xml:space="preserve">Through promotional and education activities by the agency, there has been a shift in provider behaviour to self-service through the PBS Online Authorities system, which contributed to the 4.2% decrease in the number of calls answered this year. Agency staff continued to educate and assist providers to increase awareness and access to self-service channels. </w:t>
      </w:r>
    </w:p>
    <w:tbl>
      <w:tblPr>
        <w:tblStyle w:val="TableGrid"/>
        <w:tblW w:w="5000" w:type="pct"/>
        <w:tblLook w:val="0000" w:firstRow="0" w:lastRow="0" w:firstColumn="0" w:lastColumn="0" w:noHBand="0" w:noVBand="0"/>
        <w:tblCaption w:val="Calls"/>
      </w:tblPr>
      <w:tblGrid>
        <w:gridCol w:w="4611"/>
        <w:gridCol w:w="2059"/>
        <w:gridCol w:w="2059"/>
        <w:gridCol w:w="2061"/>
      </w:tblGrid>
      <w:tr w:rsidR="00260042" w:rsidTr="00863E9F">
        <w:trPr>
          <w:trHeight w:val="376"/>
          <w:tblHeader/>
        </w:trPr>
        <w:tc>
          <w:tcPr>
            <w:tcW w:w="2137" w:type="pct"/>
          </w:tcPr>
          <w:p w:rsidR="00260042" w:rsidRDefault="00260042" w:rsidP="00863E9F">
            <w:pPr>
              <w:pStyle w:val="BodyText"/>
            </w:pPr>
          </w:p>
        </w:tc>
        <w:tc>
          <w:tcPr>
            <w:tcW w:w="954" w:type="pct"/>
          </w:tcPr>
          <w:p w:rsidR="00260042" w:rsidRDefault="00260042" w:rsidP="00863E9F">
            <w:pPr>
              <w:pStyle w:val="BodyText"/>
              <w:jc w:val="right"/>
            </w:pPr>
            <w:r>
              <w:rPr>
                <w:rStyle w:val="Bold"/>
              </w:rPr>
              <w:t>2018–19</w:t>
            </w:r>
          </w:p>
        </w:tc>
        <w:tc>
          <w:tcPr>
            <w:tcW w:w="954" w:type="pct"/>
          </w:tcPr>
          <w:p w:rsidR="00260042" w:rsidRDefault="00260042" w:rsidP="00863E9F">
            <w:pPr>
              <w:pStyle w:val="BodyText"/>
              <w:jc w:val="right"/>
            </w:pPr>
            <w:r>
              <w:rPr>
                <w:rStyle w:val="Bold"/>
              </w:rPr>
              <w:t>2019–20</w:t>
            </w:r>
          </w:p>
        </w:tc>
        <w:tc>
          <w:tcPr>
            <w:tcW w:w="955" w:type="pct"/>
          </w:tcPr>
          <w:p w:rsidR="00260042" w:rsidRDefault="00260042" w:rsidP="00863E9F">
            <w:pPr>
              <w:pStyle w:val="BodyText"/>
              <w:jc w:val="right"/>
            </w:pPr>
            <w:r>
              <w:rPr>
                <w:rStyle w:val="Bold"/>
              </w:rPr>
              <w:t>2020–21</w:t>
            </w:r>
          </w:p>
        </w:tc>
      </w:tr>
      <w:tr w:rsidR="00260042" w:rsidTr="00863E9F">
        <w:trPr>
          <w:trHeight w:val="397"/>
        </w:trPr>
        <w:tc>
          <w:tcPr>
            <w:tcW w:w="2137" w:type="pct"/>
          </w:tcPr>
          <w:p w:rsidR="00260042" w:rsidRDefault="00260042" w:rsidP="00863E9F">
            <w:pPr>
              <w:pStyle w:val="BodyText"/>
            </w:pPr>
            <w:r>
              <w:t>Calls answered</w:t>
            </w:r>
          </w:p>
        </w:tc>
        <w:tc>
          <w:tcPr>
            <w:tcW w:w="954" w:type="pct"/>
          </w:tcPr>
          <w:p w:rsidR="00260042" w:rsidRDefault="00260042" w:rsidP="00863E9F">
            <w:pPr>
              <w:pStyle w:val="BodyText"/>
              <w:jc w:val="right"/>
            </w:pPr>
            <w:r>
              <w:t>5,079,203</w:t>
            </w:r>
          </w:p>
        </w:tc>
        <w:tc>
          <w:tcPr>
            <w:tcW w:w="954" w:type="pct"/>
          </w:tcPr>
          <w:p w:rsidR="00260042" w:rsidRDefault="00260042" w:rsidP="00863E9F">
            <w:pPr>
              <w:pStyle w:val="BodyText"/>
              <w:jc w:val="right"/>
            </w:pPr>
            <w:r>
              <w:t>5,394,090</w:t>
            </w:r>
          </w:p>
        </w:tc>
        <w:tc>
          <w:tcPr>
            <w:tcW w:w="955" w:type="pct"/>
          </w:tcPr>
          <w:p w:rsidR="00260042" w:rsidRDefault="00260042" w:rsidP="00863E9F">
            <w:pPr>
              <w:pStyle w:val="BodyText"/>
              <w:jc w:val="right"/>
            </w:pPr>
            <w:r>
              <w:t>5,169,177</w:t>
            </w:r>
          </w:p>
        </w:tc>
      </w:tr>
      <w:tr w:rsidR="00260042" w:rsidTr="00863E9F">
        <w:trPr>
          <w:trHeight w:val="376"/>
        </w:trPr>
        <w:tc>
          <w:tcPr>
            <w:tcW w:w="2137" w:type="pct"/>
          </w:tcPr>
          <w:p w:rsidR="00260042" w:rsidRDefault="00260042" w:rsidP="00863E9F">
            <w:pPr>
              <w:pStyle w:val="BodyText"/>
            </w:pPr>
            <w:r>
              <w:t>Terminated calls</w:t>
            </w:r>
          </w:p>
        </w:tc>
        <w:tc>
          <w:tcPr>
            <w:tcW w:w="954" w:type="pct"/>
          </w:tcPr>
          <w:p w:rsidR="00260042" w:rsidRDefault="00260042" w:rsidP="00863E9F">
            <w:pPr>
              <w:pStyle w:val="BodyText"/>
              <w:jc w:val="right"/>
            </w:pPr>
            <w:r>
              <w:t>105,661</w:t>
            </w:r>
          </w:p>
        </w:tc>
        <w:tc>
          <w:tcPr>
            <w:tcW w:w="954" w:type="pct"/>
          </w:tcPr>
          <w:p w:rsidR="00260042" w:rsidRDefault="00260042" w:rsidP="00863E9F">
            <w:pPr>
              <w:pStyle w:val="BodyText"/>
              <w:jc w:val="right"/>
            </w:pPr>
            <w:r>
              <w:t>114,967</w:t>
            </w:r>
          </w:p>
        </w:tc>
        <w:tc>
          <w:tcPr>
            <w:tcW w:w="955" w:type="pct"/>
          </w:tcPr>
          <w:p w:rsidR="00260042" w:rsidRDefault="00260042" w:rsidP="00863E9F">
            <w:pPr>
              <w:pStyle w:val="BodyText"/>
              <w:jc w:val="right"/>
            </w:pPr>
            <w:r>
              <w:t>79,200</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17</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Telstra Computer Telephony Interface (CTI) files.</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 xml:space="preserve">Average speed of answer </w:t>
      </w:r>
      <w:proofErr w:type="gramStart"/>
      <w:r>
        <w:t>is measured</w:t>
      </w:r>
      <w:proofErr w:type="gramEnd"/>
      <w:r>
        <w:t xml:space="preserve"> from the time a provider enters the queue to the time their call is answered by a service officer.</w:t>
      </w:r>
    </w:p>
    <w:p w:rsidR="00260042" w:rsidRDefault="00260042" w:rsidP="00EA5510">
      <w:pPr>
        <w:pStyle w:val="ListBullet"/>
      </w:pPr>
      <w:r>
        <w:t xml:space="preserve">Terminated calls are not included in the calculation as the calculation measures how long providers have waited to </w:t>
      </w:r>
      <w:proofErr w:type="gramStart"/>
      <w:r>
        <w:t>be answered</w:t>
      </w:r>
      <w:proofErr w:type="gramEnd"/>
      <w:r>
        <w:t xml:space="preserve"> by a service officer only.</w:t>
      </w:r>
    </w:p>
    <w:p w:rsidR="00260042" w:rsidRDefault="00260042" w:rsidP="00863E9F">
      <w:pPr>
        <w:pStyle w:val="Heading5"/>
      </w:pPr>
      <w:r>
        <w:t xml:space="preserve">Performance measure 6 — Achievement of telephony service level standards: average speed of </w:t>
      </w:r>
      <w:r w:rsidRPr="00863E9F">
        <w:t>answer</w:t>
      </w:r>
      <w:r>
        <w:t xml:space="preserve"> — providers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6 — Achievement of telephony service level standards: average speed of answer — providers"/>
      </w:tblPr>
      <w:tblGrid>
        <w:gridCol w:w="1509"/>
        <w:gridCol w:w="2155"/>
        <w:gridCol w:w="2156"/>
        <w:gridCol w:w="1867"/>
        <w:gridCol w:w="3103"/>
      </w:tblGrid>
      <w:tr w:rsidR="00260042" w:rsidTr="00863E9F">
        <w:trPr>
          <w:trHeight w:val="376"/>
          <w:tblHeader/>
        </w:trPr>
        <w:tc>
          <w:tcPr>
            <w:tcW w:w="699" w:type="pct"/>
          </w:tcPr>
          <w:p w:rsidR="00260042" w:rsidRPr="00863E9F" w:rsidRDefault="00260042" w:rsidP="00863E9F">
            <w:pPr>
              <w:pStyle w:val="BodyText"/>
              <w:rPr>
                <w:b/>
              </w:rPr>
            </w:pPr>
            <w:r w:rsidRPr="00863E9F">
              <w:rPr>
                <w:b/>
              </w:rPr>
              <w:lastRenderedPageBreak/>
              <w:t>Year</w:t>
            </w:r>
          </w:p>
        </w:tc>
        <w:tc>
          <w:tcPr>
            <w:tcW w:w="998" w:type="pct"/>
          </w:tcPr>
          <w:p w:rsidR="00260042" w:rsidRPr="00863E9F" w:rsidRDefault="00260042" w:rsidP="00863E9F">
            <w:pPr>
              <w:pStyle w:val="BodyText"/>
              <w:rPr>
                <w:b/>
              </w:rPr>
            </w:pPr>
            <w:r w:rsidRPr="00863E9F">
              <w:rPr>
                <w:b/>
              </w:rPr>
              <w:t>Target</w:t>
            </w:r>
          </w:p>
        </w:tc>
        <w:tc>
          <w:tcPr>
            <w:tcW w:w="999" w:type="pct"/>
          </w:tcPr>
          <w:p w:rsidR="00260042" w:rsidRPr="00863E9F" w:rsidRDefault="00260042" w:rsidP="00863E9F">
            <w:pPr>
              <w:pStyle w:val="BodyText"/>
              <w:rPr>
                <w:b/>
              </w:rPr>
            </w:pPr>
            <w:r w:rsidRPr="00863E9F">
              <w:rPr>
                <w:b/>
              </w:rPr>
              <w:t>Result</w:t>
            </w:r>
          </w:p>
        </w:tc>
        <w:tc>
          <w:tcPr>
            <w:tcW w:w="865" w:type="pct"/>
          </w:tcPr>
          <w:p w:rsidR="00260042" w:rsidRPr="00863E9F" w:rsidRDefault="00260042" w:rsidP="00863E9F">
            <w:pPr>
              <w:pStyle w:val="BodyText"/>
              <w:rPr>
                <w:b/>
              </w:rPr>
            </w:pPr>
            <w:r w:rsidRPr="00863E9F">
              <w:rPr>
                <w:b/>
              </w:rPr>
              <w:t>Achieved</w:t>
            </w:r>
          </w:p>
        </w:tc>
        <w:tc>
          <w:tcPr>
            <w:tcW w:w="1438" w:type="pct"/>
          </w:tcPr>
          <w:p w:rsidR="00260042" w:rsidRPr="00863E9F" w:rsidRDefault="00260042" w:rsidP="00863E9F">
            <w:pPr>
              <w:pStyle w:val="BodyText"/>
              <w:rPr>
                <w:b/>
              </w:rPr>
            </w:pPr>
            <w:r w:rsidRPr="00863E9F">
              <w:rPr>
                <w:b/>
              </w:rPr>
              <w:t>Change on previous year +/–</w:t>
            </w:r>
          </w:p>
        </w:tc>
      </w:tr>
      <w:tr w:rsidR="00260042" w:rsidTr="00863E9F">
        <w:trPr>
          <w:trHeight w:val="376"/>
        </w:trPr>
        <w:tc>
          <w:tcPr>
            <w:tcW w:w="699" w:type="pct"/>
          </w:tcPr>
          <w:p w:rsidR="00260042" w:rsidRDefault="00260042" w:rsidP="00863E9F">
            <w:pPr>
              <w:pStyle w:val="BodyText"/>
            </w:pPr>
            <w:r>
              <w:t>2020–21</w:t>
            </w:r>
          </w:p>
        </w:tc>
        <w:tc>
          <w:tcPr>
            <w:tcW w:w="998" w:type="pct"/>
          </w:tcPr>
          <w:p w:rsidR="00260042" w:rsidRDefault="00260042" w:rsidP="00863E9F">
            <w:pPr>
              <w:pStyle w:val="BodyText"/>
            </w:pPr>
            <w:r>
              <w:t>≤2 minutes</w:t>
            </w:r>
          </w:p>
        </w:tc>
        <w:tc>
          <w:tcPr>
            <w:tcW w:w="999" w:type="pct"/>
          </w:tcPr>
          <w:p w:rsidR="00260042" w:rsidRDefault="00260042" w:rsidP="00863E9F">
            <w:pPr>
              <w:pStyle w:val="BodyText"/>
            </w:pPr>
            <w:r>
              <w:t>1 minute 57 seconds</w:t>
            </w:r>
          </w:p>
        </w:tc>
        <w:tc>
          <w:tcPr>
            <w:tcW w:w="865" w:type="pct"/>
          </w:tcPr>
          <w:p w:rsidR="00260042" w:rsidRDefault="00260042" w:rsidP="00863E9F">
            <w:pPr>
              <w:pStyle w:val="BodyText"/>
            </w:pPr>
            <w:r>
              <w:rPr>
                <w:rStyle w:val="Bulletcolour"/>
                <w:rFonts w:ascii="Wingdings" w:hAnsi="Wingdings" w:cs="Wingdings"/>
              </w:rPr>
              <w:t></w:t>
            </w:r>
          </w:p>
        </w:tc>
        <w:tc>
          <w:tcPr>
            <w:tcW w:w="1438" w:type="pct"/>
          </w:tcPr>
          <w:p w:rsidR="00260042" w:rsidRDefault="00260042" w:rsidP="00863E9F">
            <w:pPr>
              <w:pStyle w:val="BodyText"/>
            </w:pPr>
            <w:r>
              <w:t>–2 seconds</w:t>
            </w:r>
          </w:p>
        </w:tc>
      </w:tr>
      <w:tr w:rsidR="00260042" w:rsidTr="00863E9F">
        <w:trPr>
          <w:trHeight w:val="376"/>
        </w:trPr>
        <w:tc>
          <w:tcPr>
            <w:tcW w:w="699" w:type="pct"/>
          </w:tcPr>
          <w:p w:rsidR="00260042" w:rsidRDefault="00260042" w:rsidP="00863E9F">
            <w:pPr>
              <w:pStyle w:val="BodyText"/>
            </w:pPr>
            <w:r>
              <w:t>2019–20</w:t>
            </w:r>
          </w:p>
        </w:tc>
        <w:tc>
          <w:tcPr>
            <w:tcW w:w="998" w:type="pct"/>
          </w:tcPr>
          <w:p w:rsidR="00260042" w:rsidRDefault="00260042" w:rsidP="00863E9F">
            <w:pPr>
              <w:pStyle w:val="BodyText"/>
            </w:pPr>
            <w:r>
              <w:t>≤2 minutes</w:t>
            </w:r>
          </w:p>
        </w:tc>
        <w:tc>
          <w:tcPr>
            <w:tcW w:w="999" w:type="pct"/>
          </w:tcPr>
          <w:p w:rsidR="00260042" w:rsidRDefault="00260042" w:rsidP="00863E9F">
            <w:pPr>
              <w:pStyle w:val="BodyText"/>
            </w:pPr>
            <w:r>
              <w:t>1 minute 59 seconds</w:t>
            </w:r>
          </w:p>
        </w:tc>
        <w:tc>
          <w:tcPr>
            <w:tcW w:w="865" w:type="pct"/>
          </w:tcPr>
          <w:p w:rsidR="00260042" w:rsidRDefault="00260042" w:rsidP="00863E9F">
            <w:pPr>
              <w:pStyle w:val="BodyText"/>
            </w:pPr>
            <w:r>
              <w:rPr>
                <w:rStyle w:val="Bulletcolour"/>
                <w:rFonts w:ascii="Wingdings" w:hAnsi="Wingdings" w:cs="Wingdings"/>
              </w:rPr>
              <w:t></w:t>
            </w:r>
          </w:p>
        </w:tc>
        <w:tc>
          <w:tcPr>
            <w:tcW w:w="1438" w:type="pct"/>
          </w:tcPr>
          <w:p w:rsidR="00260042" w:rsidRDefault="00260042" w:rsidP="00863E9F">
            <w:pPr>
              <w:pStyle w:val="BodyText"/>
            </w:pPr>
            <w:r>
              <w:t>+5 seconds</w:t>
            </w:r>
          </w:p>
        </w:tc>
      </w:tr>
      <w:tr w:rsidR="00260042" w:rsidTr="00863E9F">
        <w:trPr>
          <w:trHeight w:val="376"/>
        </w:trPr>
        <w:tc>
          <w:tcPr>
            <w:tcW w:w="699" w:type="pct"/>
          </w:tcPr>
          <w:p w:rsidR="00260042" w:rsidRDefault="00260042" w:rsidP="00863E9F">
            <w:pPr>
              <w:pStyle w:val="BodyText"/>
            </w:pPr>
            <w:r>
              <w:t>2018–19</w:t>
            </w:r>
          </w:p>
        </w:tc>
        <w:tc>
          <w:tcPr>
            <w:tcW w:w="998" w:type="pct"/>
          </w:tcPr>
          <w:p w:rsidR="00260042" w:rsidRDefault="00260042" w:rsidP="00863E9F">
            <w:pPr>
              <w:pStyle w:val="BodyText"/>
            </w:pPr>
            <w:r>
              <w:t>≤2 minutes</w:t>
            </w:r>
          </w:p>
        </w:tc>
        <w:tc>
          <w:tcPr>
            <w:tcW w:w="999" w:type="pct"/>
          </w:tcPr>
          <w:p w:rsidR="00260042" w:rsidRDefault="00260042" w:rsidP="00863E9F">
            <w:pPr>
              <w:pStyle w:val="BodyText"/>
            </w:pPr>
            <w:r>
              <w:t>1 minute 54 seconds</w:t>
            </w:r>
          </w:p>
        </w:tc>
        <w:tc>
          <w:tcPr>
            <w:tcW w:w="865" w:type="pct"/>
          </w:tcPr>
          <w:p w:rsidR="00260042" w:rsidRDefault="00260042" w:rsidP="00863E9F">
            <w:pPr>
              <w:pStyle w:val="BodyText"/>
            </w:pPr>
            <w:r>
              <w:rPr>
                <w:rStyle w:val="Bulletcolour"/>
                <w:rFonts w:ascii="Wingdings" w:hAnsi="Wingdings" w:cs="Wingdings"/>
              </w:rPr>
              <w:t></w:t>
            </w:r>
          </w:p>
        </w:tc>
        <w:tc>
          <w:tcPr>
            <w:tcW w:w="1438" w:type="pct"/>
          </w:tcPr>
          <w:p w:rsidR="00260042" w:rsidRDefault="00260042" w:rsidP="00863E9F">
            <w:pPr>
              <w:pStyle w:val="BodyText"/>
            </w:pPr>
            <w:r>
              <w:t>+1 seconds</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The agency achieved the annual target with performance remaining consistent with previous years.</w:t>
      </w:r>
    </w:p>
    <w:p w:rsidR="00260042" w:rsidRDefault="00260042" w:rsidP="00260042">
      <w:pPr>
        <w:pStyle w:val="BodyText"/>
        <w:rPr>
          <w:spacing w:val="-2"/>
        </w:rPr>
      </w:pPr>
      <w:r>
        <w:rPr>
          <w:spacing w:val="-2"/>
        </w:rPr>
        <w:t xml:space="preserve">During 2020–21, in response to the demand for information when key changes </w:t>
      </w:r>
      <w:proofErr w:type="gramStart"/>
      <w:r>
        <w:rPr>
          <w:spacing w:val="-2"/>
        </w:rPr>
        <w:t>were made</w:t>
      </w:r>
      <w:proofErr w:type="gramEnd"/>
      <w:r>
        <w:rPr>
          <w:spacing w:val="-2"/>
        </w:rPr>
        <w:t xml:space="preserve"> to the Medicare Benefits Schedule (MBS) and other health policies, the agency increased education and communication to providers and expanded the use of virtual support through business development officers and Medicare liaison officers. </w:t>
      </w:r>
    </w:p>
    <w:p w:rsidR="00260042" w:rsidRDefault="00260042" w:rsidP="00260042">
      <w:pPr>
        <w:pStyle w:val="BodyText"/>
        <w:spacing w:after="57"/>
        <w:rPr>
          <w:spacing w:val="-2"/>
        </w:rPr>
      </w:pPr>
      <w:r>
        <w:rPr>
          <w:spacing w:val="-2"/>
        </w:rPr>
        <w:t xml:space="preserve">In comparison to 2019–20, there was a 7.3% decrease in the number of calls entering and answered on the Health Provider line. The reduction in calls </w:t>
      </w:r>
      <w:proofErr w:type="gramStart"/>
      <w:r>
        <w:rPr>
          <w:spacing w:val="-2"/>
        </w:rPr>
        <w:t>can be attributed</w:t>
      </w:r>
      <w:proofErr w:type="gramEnd"/>
      <w:r>
        <w:rPr>
          <w:spacing w:val="-2"/>
        </w:rPr>
        <w:t xml:space="preserve"> to the suspension of elective surgery and many allied health face-to-face services as part of the COVID-19 pandemic lockdown. The reduction in rendered health services during that </w:t>
      </w:r>
      <w:proofErr w:type="gramStart"/>
      <w:r>
        <w:rPr>
          <w:spacing w:val="-2"/>
        </w:rPr>
        <w:t>period,</w:t>
      </w:r>
      <w:proofErr w:type="gramEnd"/>
      <w:r>
        <w:rPr>
          <w:spacing w:val="-2"/>
        </w:rPr>
        <w:t xml:space="preserve"> resulted in a reduction in the need for follow-up calls by providers to the Health Provider line.</w:t>
      </w:r>
    </w:p>
    <w:tbl>
      <w:tblPr>
        <w:tblStyle w:val="TableGrid"/>
        <w:tblW w:w="5000" w:type="pct"/>
        <w:tblLook w:val="0000" w:firstRow="0" w:lastRow="0" w:firstColumn="0" w:lastColumn="0" w:noHBand="0" w:noVBand="0"/>
        <w:tblCaption w:val="Calls"/>
      </w:tblPr>
      <w:tblGrid>
        <w:gridCol w:w="4199"/>
        <w:gridCol w:w="2197"/>
        <w:gridCol w:w="2197"/>
        <w:gridCol w:w="2197"/>
      </w:tblGrid>
      <w:tr w:rsidR="00260042" w:rsidTr="00806208">
        <w:trPr>
          <w:trHeight w:val="376"/>
          <w:tblHeader/>
        </w:trPr>
        <w:tc>
          <w:tcPr>
            <w:tcW w:w="1946" w:type="pct"/>
          </w:tcPr>
          <w:p w:rsidR="00260042" w:rsidRDefault="00260042" w:rsidP="00806208">
            <w:pPr>
              <w:pStyle w:val="BodyText"/>
            </w:pPr>
          </w:p>
        </w:tc>
        <w:tc>
          <w:tcPr>
            <w:tcW w:w="1018" w:type="pct"/>
          </w:tcPr>
          <w:p w:rsidR="00260042" w:rsidRDefault="00260042" w:rsidP="00806208">
            <w:pPr>
              <w:pStyle w:val="BodyText"/>
              <w:jc w:val="right"/>
            </w:pPr>
            <w:r>
              <w:rPr>
                <w:rStyle w:val="Bold"/>
              </w:rPr>
              <w:t>2018–19</w:t>
            </w:r>
          </w:p>
        </w:tc>
        <w:tc>
          <w:tcPr>
            <w:tcW w:w="1018" w:type="pct"/>
          </w:tcPr>
          <w:p w:rsidR="00260042" w:rsidRDefault="00260042" w:rsidP="00806208">
            <w:pPr>
              <w:pStyle w:val="BodyText"/>
              <w:jc w:val="right"/>
            </w:pPr>
            <w:r>
              <w:rPr>
                <w:rStyle w:val="Bold"/>
              </w:rPr>
              <w:t>2019–20</w:t>
            </w:r>
          </w:p>
        </w:tc>
        <w:tc>
          <w:tcPr>
            <w:tcW w:w="1018" w:type="pct"/>
          </w:tcPr>
          <w:p w:rsidR="00260042" w:rsidRDefault="00260042" w:rsidP="00806208">
            <w:pPr>
              <w:pStyle w:val="BodyText"/>
              <w:jc w:val="right"/>
            </w:pPr>
            <w:r>
              <w:rPr>
                <w:rStyle w:val="Bold"/>
              </w:rPr>
              <w:t>2020–21</w:t>
            </w:r>
          </w:p>
        </w:tc>
      </w:tr>
      <w:tr w:rsidR="00260042" w:rsidTr="00806208">
        <w:trPr>
          <w:trHeight w:val="397"/>
        </w:trPr>
        <w:tc>
          <w:tcPr>
            <w:tcW w:w="1946" w:type="pct"/>
          </w:tcPr>
          <w:p w:rsidR="00260042" w:rsidRDefault="00260042" w:rsidP="00806208">
            <w:pPr>
              <w:pStyle w:val="BodyText"/>
            </w:pPr>
            <w:r>
              <w:t>Calls answered</w:t>
            </w:r>
          </w:p>
        </w:tc>
        <w:tc>
          <w:tcPr>
            <w:tcW w:w="1018" w:type="pct"/>
          </w:tcPr>
          <w:p w:rsidR="00260042" w:rsidRDefault="00260042" w:rsidP="00806208">
            <w:pPr>
              <w:pStyle w:val="BodyText"/>
              <w:jc w:val="right"/>
            </w:pPr>
            <w:r>
              <w:t>3,009,927</w:t>
            </w:r>
          </w:p>
        </w:tc>
        <w:tc>
          <w:tcPr>
            <w:tcW w:w="1018" w:type="pct"/>
          </w:tcPr>
          <w:p w:rsidR="00260042" w:rsidRDefault="00260042" w:rsidP="00806208">
            <w:pPr>
              <w:pStyle w:val="BodyText"/>
              <w:jc w:val="right"/>
            </w:pPr>
            <w:r>
              <w:t>2,561,462</w:t>
            </w:r>
          </w:p>
        </w:tc>
        <w:tc>
          <w:tcPr>
            <w:tcW w:w="1018" w:type="pct"/>
          </w:tcPr>
          <w:p w:rsidR="00260042" w:rsidRDefault="00260042" w:rsidP="00806208">
            <w:pPr>
              <w:pStyle w:val="BodyText"/>
              <w:jc w:val="right"/>
            </w:pPr>
            <w:r>
              <w:t>2,375,132</w:t>
            </w:r>
          </w:p>
        </w:tc>
      </w:tr>
      <w:tr w:rsidR="00260042" w:rsidTr="00806208">
        <w:trPr>
          <w:trHeight w:val="376"/>
        </w:trPr>
        <w:tc>
          <w:tcPr>
            <w:tcW w:w="1946" w:type="pct"/>
          </w:tcPr>
          <w:p w:rsidR="00260042" w:rsidRDefault="00260042" w:rsidP="00806208">
            <w:pPr>
              <w:pStyle w:val="BodyText"/>
            </w:pPr>
            <w:r>
              <w:t>Terminated calls</w:t>
            </w:r>
          </w:p>
        </w:tc>
        <w:tc>
          <w:tcPr>
            <w:tcW w:w="1018" w:type="pct"/>
          </w:tcPr>
          <w:p w:rsidR="00260042" w:rsidRDefault="00260042" w:rsidP="00806208">
            <w:pPr>
              <w:pStyle w:val="BodyText"/>
              <w:jc w:val="right"/>
            </w:pPr>
            <w:r>
              <w:t>252,889</w:t>
            </w:r>
          </w:p>
        </w:tc>
        <w:tc>
          <w:tcPr>
            <w:tcW w:w="1018" w:type="pct"/>
          </w:tcPr>
          <w:p w:rsidR="00260042" w:rsidRDefault="00260042" w:rsidP="00806208">
            <w:pPr>
              <w:pStyle w:val="BodyText"/>
              <w:jc w:val="right"/>
            </w:pPr>
            <w:r>
              <w:t>221,262</w:t>
            </w:r>
          </w:p>
        </w:tc>
        <w:tc>
          <w:tcPr>
            <w:tcW w:w="1018" w:type="pct"/>
          </w:tcPr>
          <w:p w:rsidR="00260042" w:rsidRDefault="00260042" w:rsidP="00806208">
            <w:pPr>
              <w:pStyle w:val="BodyText"/>
              <w:jc w:val="right"/>
            </w:pPr>
            <w:r>
              <w:t>213,177</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17</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Telstra Computer Telephony Interface (CTI) files.</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 xml:space="preserve">Average speed of answer </w:t>
      </w:r>
      <w:proofErr w:type="gramStart"/>
      <w:r>
        <w:t>is measured</w:t>
      </w:r>
      <w:proofErr w:type="gramEnd"/>
      <w:r>
        <w:t xml:space="preserve"> from the time a provider enters the queue to the time their call is answered by a service officer.</w:t>
      </w:r>
    </w:p>
    <w:p w:rsidR="00260042" w:rsidRDefault="00260042" w:rsidP="00EA5510">
      <w:pPr>
        <w:pStyle w:val="ListBullet"/>
      </w:pPr>
      <w:r>
        <w:t xml:space="preserve">Terminated calls are not included in the calculation as the calculation measures how long providers have waited to </w:t>
      </w:r>
      <w:proofErr w:type="gramStart"/>
      <w:r>
        <w:t>be answered</w:t>
      </w:r>
      <w:proofErr w:type="gramEnd"/>
      <w:r>
        <w:t xml:space="preserve"> by a service officer only.</w:t>
      </w:r>
    </w:p>
    <w:p w:rsidR="00260042" w:rsidRDefault="00260042" w:rsidP="00260042">
      <w:pPr>
        <w:pStyle w:val="Heading5"/>
      </w:pPr>
      <w:r>
        <w:t>Performance measure 7 — Achievement of telephony service level standards: average speed of answer — customers</w:t>
      </w:r>
    </w:p>
    <w:p w:rsidR="00260042" w:rsidRDefault="00260042" w:rsidP="00260042">
      <w:pPr>
        <w:pStyle w:val="BodyText"/>
        <w:spacing w:after="0"/>
      </w:pPr>
      <w:r>
        <w:rPr>
          <w:rStyle w:val="Bold"/>
          <w:caps/>
        </w:rPr>
        <w:lastRenderedPageBreak/>
        <w:t>Results</w:t>
      </w:r>
    </w:p>
    <w:tbl>
      <w:tblPr>
        <w:tblStyle w:val="TableGrid"/>
        <w:tblW w:w="5000" w:type="pct"/>
        <w:tblLook w:val="0000" w:firstRow="0" w:lastRow="0" w:firstColumn="0" w:lastColumn="0" w:noHBand="0" w:noVBand="0"/>
        <w:tblCaption w:val="Performance measure 7 — Achievement of telephony service level standards: average speed of answer — customers"/>
      </w:tblPr>
      <w:tblGrid>
        <w:gridCol w:w="1648"/>
        <w:gridCol w:w="2161"/>
        <w:gridCol w:w="2160"/>
        <w:gridCol w:w="1856"/>
        <w:gridCol w:w="2965"/>
      </w:tblGrid>
      <w:tr w:rsidR="00260042" w:rsidTr="00806208">
        <w:trPr>
          <w:trHeight w:val="376"/>
          <w:tblHeader/>
        </w:trPr>
        <w:tc>
          <w:tcPr>
            <w:tcW w:w="763" w:type="pct"/>
          </w:tcPr>
          <w:p w:rsidR="00260042" w:rsidRPr="00806208" w:rsidRDefault="00260042" w:rsidP="00806208">
            <w:pPr>
              <w:pStyle w:val="BodyText"/>
              <w:rPr>
                <w:b/>
              </w:rPr>
            </w:pPr>
            <w:r w:rsidRPr="00806208">
              <w:rPr>
                <w:b/>
              </w:rPr>
              <w:t>Year</w:t>
            </w:r>
          </w:p>
        </w:tc>
        <w:tc>
          <w:tcPr>
            <w:tcW w:w="1001" w:type="pct"/>
          </w:tcPr>
          <w:p w:rsidR="00260042" w:rsidRPr="00806208" w:rsidRDefault="00260042" w:rsidP="00806208">
            <w:pPr>
              <w:pStyle w:val="BodyText"/>
              <w:rPr>
                <w:b/>
              </w:rPr>
            </w:pPr>
            <w:r w:rsidRPr="00806208">
              <w:rPr>
                <w:b/>
              </w:rPr>
              <w:t>Target</w:t>
            </w:r>
          </w:p>
        </w:tc>
        <w:tc>
          <w:tcPr>
            <w:tcW w:w="1001" w:type="pct"/>
          </w:tcPr>
          <w:p w:rsidR="00260042" w:rsidRPr="00806208" w:rsidRDefault="00260042" w:rsidP="00806208">
            <w:pPr>
              <w:pStyle w:val="BodyText"/>
              <w:rPr>
                <w:b/>
              </w:rPr>
            </w:pPr>
            <w:r w:rsidRPr="00806208">
              <w:rPr>
                <w:b/>
              </w:rPr>
              <w:t>Result</w:t>
            </w:r>
          </w:p>
        </w:tc>
        <w:tc>
          <w:tcPr>
            <w:tcW w:w="860" w:type="pct"/>
          </w:tcPr>
          <w:p w:rsidR="00260042" w:rsidRPr="00806208" w:rsidRDefault="00260042" w:rsidP="00806208">
            <w:pPr>
              <w:pStyle w:val="BodyText"/>
              <w:rPr>
                <w:b/>
              </w:rPr>
            </w:pPr>
            <w:r w:rsidRPr="00806208">
              <w:rPr>
                <w:b/>
              </w:rPr>
              <w:t>Achieved</w:t>
            </w:r>
          </w:p>
        </w:tc>
        <w:tc>
          <w:tcPr>
            <w:tcW w:w="1374" w:type="pct"/>
          </w:tcPr>
          <w:p w:rsidR="00260042" w:rsidRPr="00806208" w:rsidRDefault="00260042" w:rsidP="00806208">
            <w:pPr>
              <w:pStyle w:val="BodyText"/>
              <w:rPr>
                <w:b/>
              </w:rPr>
            </w:pPr>
            <w:r w:rsidRPr="00806208">
              <w:rPr>
                <w:b/>
              </w:rPr>
              <w:t>Change on previous year +/–</w:t>
            </w:r>
          </w:p>
        </w:tc>
      </w:tr>
      <w:tr w:rsidR="00260042" w:rsidTr="00806208">
        <w:trPr>
          <w:trHeight w:val="376"/>
        </w:trPr>
        <w:tc>
          <w:tcPr>
            <w:tcW w:w="763" w:type="pct"/>
          </w:tcPr>
          <w:p w:rsidR="00260042" w:rsidRDefault="00260042" w:rsidP="00806208">
            <w:pPr>
              <w:pStyle w:val="BodyText"/>
            </w:pPr>
            <w:r>
              <w:t>2020–21</w:t>
            </w:r>
          </w:p>
        </w:tc>
        <w:tc>
          <w:tcPr>
            <w:tcW w:w="1001" w:type="pct"/>
          </w:tcPr>
          <w:p w:rsidR="00260042" w:rsidRDefault="00260042" w:rsidP="00806208">
            <w:pPr>
              <w:pStyle w:val="BodyText"/>
            </w:pPr>
            <w:r>
              <w:t>≤7 minutes</w:t>
            </w:r>
          </w:p>
        </w:tc>
        <w:tc>
          <w:tcPr>
            <w:tcW w:w="1001" w:type="pct"/>
          </w:tcPr>
          <w:p w:rsidR="00260042" w:rsidRDefault="00260042" w:rsidP="00806208">
            <w:pPr>
              <w:pStyle w:val="BodyText"/>
            </w:pPr>
            <w:r>
              <w:t>6 minutes 50 seconds</w:t>
            </w:r>
          </w:p>
        </w:tc>
        <w:tc>
          <w:tcPr>
            <w:tcW w:w="860" w:type="pct"/>
          </w:tcPr>
          <w:p w:rsidR="00260042" w:rsidRDefault="00260042" w:rsidP="00806208">
            <w:pPr>
              <w:pStyle w:val="BodyText"/>
            </w:pPr>
            <w:r>
              <w:rPr>
                <w:rStyle w:val="Bulletcolour"/>
                <w:rFonts w:ascii="Wingdings" w:hAnsi="Wingdings" w:cs="Wingdings"/>
              </w:rPr>
              <w:t></w:t>
            </w:r>
          </w:p>
        </w:tc>
        <w:tc>
          <w:tcPr>
            <w:tcW w:w="1374" w:type="pct"/>
          </w:tcPr>
          <w:p w:rsidR="00260042" w:rsidRDefault="00260042" w:rsidP="00806208">
            <w:pPr>
              <w:pStyle w:val="BodyText"/>
            </w:pPr>
            <w:r>
              <w:t>–8 seconds</w:t>
            </w:r>
          </w:p>
        </w:tc>
      </w:tr>
      <w:tr w:rsidR="00260042" w:rsidTr="00806208">
        <w:trPr>
          <w:trHeight w:val="376"/>
        </w:trPr>
        <w:tc>
          <w:tcPr>
            <w:tcW w:w="763" w:type="pct"/>
          </w:tcPr>
          <w:p w:rsidR="00260042" w:rsidRDefault="00260042" w:rsidP="00806208">
            <w:pPr>
              <w:pStyle w:val="BodyText"/>
            </w:pPr>
            <w:r>
              <w:t>2019–20</w:t>
            </w:r>
          </w:p>
        </w:tc>
        <w:tc>
          <w:tcPr>
            <w:tcW w:w="1001" w:type="pct"/>
          </w:tcPr>
          <w:p w:rsidR="00260042" w:rsidRDefault="00260042" w:rsidP="00806208">
            <w:pPr>
              <w:pStyle w:val="BodyText"/>
            </w:pPr>
            <w:r>
              <w:t>≤7 minutes</w:t>
            </w:r>
          </w:p>
        </w:tc>
        <w:tc>
          <w:tcPr>
            <w:tcW w:w="1001" w:type="pct"/>
          </w:tcPr>
          <w:p w:rsidR="00260042" w:rsidRDefault="00260042" w:rsidP="00806208">
            <w:pPr>
              <w:pStyle w:val="BodyText"/>
            </w:pPr>
            <w:r>
              <w:t>6 minutes 58 seconds</w:t>
            </w:r>
          </w:p>
        </w:tc>
        <w:tc>
          <w:tcPr>
            <w:tcW w:w="860" w:type="pct"/>
          </w:tcPr>
          <w:p w:rsidR="00260042" w:rsidRDefault="00260042" w:rsidP="00806208">
            <w:pPr>
              <w:pStyle w:val="BodyText"/>
            </w:pPr>
            <w:r>
              <w:rPr>
                <w:rStyle w:val="Bulletcolour"/>
                <w:rFonts w:ascii="Wingdings" w:hAnsi="Wingdings" w:cs="Wingdings"/>
              </w:rPr>
              <w:t></w:t>
            </w:r>
          </w:p>
        </w:tc>
        <w:tc>
          <w:tcPr>
            <w:tcW w:w="1374" w:type="pct"/>
          </w:tcPr>
          <w:p w:rsidR="00260042" w:rsidRDefault="00260042" w:rsidP="00806208">
            <w:pPr>
              <w:pStyle w:val="BodyText"/>
            </w:pPr>
            <w:r>
              <w:t>–1 second</w:t>
            </w:r>
          </w:p>
        </w:tc>
      </w:tr>
      <w:tr w:rsidR="00260042" w:rsidTr="00806208">
        <w:trPr>
          <w:trHeight w:val="376"/>
        </w:trPr>
        <w:tc>
          <w:tcPr>
            <w:tcW w:w="763" w:type="pct"/>
          </w:tcPr>
          <w:p w:rsidR="00260042" w:rsidRDefault="00260042" w:rsidP="00806208">
            <w:pPr>
              <w:pStyle w:val="BodyText"/>
            </w:pPr>
            <w:r>
              <w:t>2018–19</w:t>
            </w:r>
          </w:p>
        </w:tc>
        <w:tc>
          <w:tcPr>
            <w:tcW w:w="1001" w:type="pct"/>
          </w:tcPr>
          <w:p w:rsidR="00260042" w:rsidRDefault="00260042" w:rsidP="00806208">
            <w:pPr>
              <w:pStyle w:val="BodyText"/>
            </w:pPr>
            <w:r>
              <w:t>≤7 minutes</w:t>
            </w:r>
          </w:p>
        </w:tc>
        <w:tc>
          <w:tcPr>
            <w:tcW w:w="1001" w:type="pct"/>
          </w:tcPr>
          <w:p w:rsidR="00260042" w:rsidRDefault="00260042" w:rsidP="00806208">
            <w:pPr>
              <w:pStyle w:val="BodyText"/>
            </w:pPr>
            <w:r>
              <w:t>6 minutes 59 seconds</w:t>
            </w:r>
          </w:p>
        </w:tc>
        <w:tc>
          <w:tcPr>
            <w:tcW w:w="860" w:type="pct"/>
          </w:tcPr>
          <w:p w:rsidR="00260042" w:rsidRDefault="00260042" w:rsidP="00806208">
            <w:pPr>
              <w:pStyle w:val="BodyText"/>
            </w:pPr>
            <w:r>
              <w:rPr>
                <w:rStyle w:val="Bulletcolour"/>
                <w:rFonts w:ascii="Wingdings" w:hAnsi="Wingdings" w:cs="Wingdings"/>
              </w:rPr>
              <w:t></w:t>
            </w:r>
          </w:p>
        </w:tc>
        <w:tc>
          <w:tcPr>
            <w:tcW w:w="1374" w:type="pct"/>
          </w:tcPr>
          <w:p w:rsidR="00260042" w:rsidRDefault="00260042" w:rsidP="00806208">
            <w:pPr>
              <w:pStyle w:val="BodyText"/>
            </w:pPr>
            <w:r>
              <w:t>+3 seconds</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The agency achieved the annual target and compared to 2019–20, there was a 26.3% increase in the number of calls answered. </w:t>
      </w:r>
    </w:p>
    <w:p w:rsidR="00260042" w:rsidRDefault="00260042" w:rsidP="00260042">
      <w:pPr>
        <w:pStyle w:val="BodyText"/>
        <w:rPr>
          <w:spacing w:val="-2"/>
        </w:rPr>
      </w:pPr>
      <w:r>
        <w:t xml:space="preserve">In the face of significant pressure in 2020–21 from disaster events, the COVID-19 pandemic and the vaccination rollout, more customers than ever have accessed the telephony channel for assistance. The agency established additional support, such as routing calls for unique enquiries in relation to COVID-19 vaccination and enabling the workforce to </w:t>
      </w:r>
      <w:proofErr w:type="gramStart"/>
      <w:r>
        <w:t>be redirected</w:t>
      </w:r>
      <w:proofErr w:type="gramEnd"/>
      <w:r>
        <w:t xml:space="preserve"> to phone lines to meet the increased demand. </w:t>
      </w:r>
    </w:p>
    <w:tbl>
      <w:tblPr>
        <w:tblStyle w:val="TableGrid"/>
        <w:tblW w:w="5000" w:type="pct"/>
        <w:tblLook w:val="0000" w:firstRow="0" w:lastRow="0" w:firstColumn="0" w:lastColumn="0" w:noHBand="0" w:noVBand="0"/>
        <w:tblCaption w:val="Calls"/>
      </w:tblPr>
      <w:tblGrid>
        <w:gridCol w:w="4611"/>
        <w:gridCol w:w="2059"/>
        <w:gridCol w:w="2059"/>
        <w:gridCol w:w="2061"/>
      </w:tblGrid>
      <w:tr w:rsidR="00260042" w:rsidTr="00806208">
        <w:trPr>
          <w:trHeight w:val="376"/>
          <w:tblHeader/>
        </w:trPr>
        <w:tc>
          <w:tcPr>
            <w:tcW w:w="2137" w:type="pct"/>
          </w:tcPr>
          <w:p w:rsidR="00260042" w:rsidRDefault="00260042" w:rsidP="00806208">
            <w:pPr>
              <w:pStyle w:val="BodyText"/>
            </w:pPr>
          </w:p>
        </w:tc>
        <w:tc>
          <w:tcPr>
            <w:tcW w:w="954" w:type="pct"/>
          </w:tcPr>
          <w:p w:rsidR="00260042" w:rsidRDefault="00260042" w:rsidP="00806208">
            <w:pPr>
              <w:pStyle w:val="BodyText"/>
              <w:jc w:val="right"/>
            </w:pPr>
            <w:r>
              <w:rPr>
                <w:rStyle w:val="Bold"/>
              </w:rPr>
              <w:t>2018–19</w:t>
            </w:r>
          </w:p>
        </w:tc>
        <w:tc>
          <w:tcPr>
            <w:tcW w:w="954" w:type="pct"/>
          </w:tcPr>
          <w:p w:rsidR="00260042" w:rsidRDefault="00260042" w:rsidP="00806208">
            <w:pPr>
              <w:pStyle w:val="BodyText"/>
              <w:jc w:val="right"/>
            </w:pPr>
            <w:r>
              <w:rPr>
                <w:rStyle w:val="Bold"/>
              </w:rPr>
              <w:t>2019–20</w:t>
            </w:r>
          </w:p>
        </w:tc>
        <w:tc>
          <w:tcPr>
            <w:tcW w:w="955" w:type="pct"/>
          </w:tcPr>
          <w:p w:rsidR="00260042" w:rsidRDefault="00260042" w:rsidP="00806208">
            <w:pPr>
              <w:pStyle w:val="BodyText"/>
              <w:jc w:val="right"/>
            </w:pPr>
            <w:r>
              <w:rPr>
                <w:rStyle w:val="Bold"/>
              </w:rPr>
              <w:t>2020–21</w:t>
            </w:r>
          </w:p>
        </w:tc>
      </w:tr>
      <w:tr w:rsidR="00260042" w:rsidTr="00806208">
        <w:trPr>
          <w:trHeight w:val="397"/>
        </w:trPr>
        <w:tc>
          <w:tcPr>
            <w:tcW w:w="2137" w:type="pct"/>
          </w:tcPr>
          <w:p w:rsidR="00260042" w:rsidRDefault="00260042" w:rsidP="00806208">
            <w:pPr>
              <w:pStyle w:val="BodyText"/>
            </w:pPr>
            <w:r>
              <w:t>Calls answered</w:t>
            </w:r>
          </w:p>
        </w:tc>
        <w:tc>
          <w:tcPr>
            <w:tcW w:w="954" w:type="pct"/>
          </w:tcPr>
          <w:p w:rsidR="00260042" w:rsidRDefault="00260042" w:rsidP="00806208">
            <w:pPr>
              <w:pStyle w:val="BodyText"/>
              <w:jc w:val="right"/>
            </w:pPr>
            <w:r>
              <w:t>2,370,489</w:t>
            </w:r>
          </w:p>
        </w:tc>
        <w:tc>
          <w:tcPr>
            <w:tcW w:w="954" w:type="pct"/>
          </w:tcPr>
          <w:p w:rsidR="00260042" w:rsidRDefault="00260042" w:rsidP="00806208">
            <w:pPr>
              <w:pStyle w:val="BodyText"/>
              <w:jc w:val="right"/>
            </w:pPr>
            <w:r>
              <w:t>2,314,931</w:t>
            </w:r>
          </w:p>
        </w:tc>
        <w:tc>
          <w:tcPr>
            <w:tcW w:w="955" w:type="pct"/>
          </w:tcPr>
          <w:p w:rsidR="00260042" w:rsidRDefault="00260042" w:rsidP="00806208">
            <w:pPr>
              <w:pStyle w:val="BodyText"/>
              <w:jc w:val="right"/>
            </w:pPr>
            <w:r>
              <w:t>2,924,602</w:t>
            </w:r>
          </w:p>
        </w:tc>
      </w:tr>
      <w:tr w:rsidR="00260042" w:rsidTr="00806208">
        <w:trPr>
          <w:trHeight w:val="376"/>
        </w:trPr>
        <w:tc>
          <w:tcPr>
            <w:tcW w:w="2137" w:type="pct"/>
          </w:tcPr>
          <w:p w:rsidR="00260042" w:rsidRDefault="00260042" w:rsidP="00806208">
            <w:pPr>
              <w:pStyle w:val="BodyText"/>
            </w:pPr>
            <w:r>
              <w:t>Terminated calls</w:t>
            </w:r>
          </w:p>
        </w:tc>
        <w:tc>
          <w:tcPr>
            <w:tcW w:w="954" w:type="pct"/>
          </w:tcPr>
          <w:p w:rsidR="00260042" w:rsidRDefault="00260042" w:rsidP="00806208">
            <w:pPr>
              <w:pStyle w:val="BodyText"/>
              <w:jc w:val="right"/>
            </w:pPr>
            <w:r>
              <w:t>603,792</w:t>
            </w:r>
          </w:p>
        </w:tc>
        <w:tc>
          <w:tcPr>
            <w:tcW w:w="954" w:type="pct"/>
          </w:tcPr>
          <w:p w:rsidR="00260042" w:rsidRDefault="00260042" w:rsidP="00806208">
            <w:pPr>
              <w:pStyle w:val="BodyText"/>
              <w:jc w:val="right"/>
            </w:pPr>
            <w:r>
              <w:t>505,806</w:t>
            </w:r>
          </w:p>
        </w:tc>
        <w:tc>
          <w:tcPr>
            <w:tcW w:w="955" w:type="pct"/>
          </w:tcPr>
          <w:p w:rsidR="00260042" w:rsidRDefault="00260042" w:rsidP="00806208">
            <w:pPr>
              <w:pStyle w:val="BodyText"/>
              <w:jc w:val="right"/>
            </w:pPr>
            <w:r>
              <w:t>575,746</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17</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Telstra Computer Telephony Interface (CTI) files.</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Health customer refers to a member of the public only, not businesses or health practitioners.</w:t>
      </w:r>
    </w:p>
    <w:p w:rsidR="00260042" w:rsidRDefault="00260042" w:rsidP="008930A3">
      <w:pPr>
        <w:pStyle w:val="ListBullet"/>
      </w:pPr>
      <w:r>
        <w:t xml:space="preserve">Average speed of answer </w:t>
      </w:r>
      <w:proofErr w:type="gramStart"/>
      <w:r>
        <w:t>is measured</w:t>
      </w:r>
      <w:proofErr w:type="gramEnd"/>
      <w:r>
        <w:t xml:space="preserve"> from the time a customer enters the queue to the time their call is answered by a service officer.</w:t>
      </w:r>
    </w:p>
    <w:p w:rsidR="00260042" w:rsidRDefault="00260042" w:rsidP="00EA5510">
      <w:pPr>
        <w:pStyle w:val="ListBullet"/>
      </w:pPr>
      <w:r>
        <w:t xml:space="preserve">Terminated calls are not included in the calculation as the calculation measures how long customers have waited to </w:t>
      </w:r>
      <w:proofErr w:type="gramStart"/>
      <w:r>
        <w:t>be answered</w:t>
      </w:r>
      <w:proofErr w:type="gramEnd"/>
      <w:r>
        <w:t xml:space="preserve"> by a service officer only.</w:t>
      </w:r>
    </w:p>
    <w:p w:rsidR="00260042" w:rsidRDefault="00260042" w:rsidP="00260042">
      <w:pPr>
        <w:pStyle w:val="Heading5"/>
      </w:pPr>
      <w:r>
        <w:t>Performance measure 8 — Achievement of processing service level standards: claims processed within standard</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8 — Achievement of processing service level standards: claims processed within standard"/>
      </w:tblPr>
      <w:tblGrid>
        <w:gridCol w:w="1620"/>
        <w:gridCol w:w="1867"/>
        <w:gridCol w:w="2076"/>
        <w:gridCol w:w="1906"/>
        <w:gridCol w:w="3321"/>
      </w:tblGrid>
      <w:tr w:rsidR="00260042" w:rsidTr="00806208">
        <w:trPr>
          <w:trHeight w:val="376"/>
          <w:tblHeader/>
        </w:trPr>
        <w:tc>
          <w:tcPr>
            <w:tcW w:w="751" w:type="pct"/>
          </w:tcPr>
          <w:p w:rsidR="00260042" w:rsidRPr="00806208" w:rsidRDefault="00260042" w:rsidP="00806208">
            <w:pPr>
              <w:pStyle w:val="BodyText"/>
              <w:rPr>
                <w:b/>
              </w:rPr>
            </w:pPr>
            <w:r w:rsidRPr="00806208">
              <w:rPr>
                <w:b/>
              </w:rPr>
              <w:lastRenderedPageBreak/>
              <w:t>Year</w:t>
            </w:r>
          </w:p>
        </w:tc>
        <w:tc>
          <w:tcPr>
            <w:tcW w:w="865" w:type="pct"/>
          </w:tcPr>
          <w:p w:rsidR="00260042" w:rsidRPr="00806208" w:rsidRDefault="00260042" w:rsidP="00806208">
            <w:pPr>
              <w:pStyle w:val="BodyText"/>
              <w:rPr>
                <w:b/>
              </w:rPr>
            </w:pPr>
            <w:r w:rsidRPr="00806208">
              <w:rPr>
                <w:b/>
              </w:rPr>
              <w:t>Target</w:t>
            </w:r>
          </w:p>
        </w:tc>
        <w:tc>
          <w:tcPr>
            <w:tcW w:w="962" w:type="pct"/>
          </w:tcPr>
          <w:p w:rsidR="00260042" w:rsidRPr="00806208" w:rsidRDefault="00260042" w:rsidP="00806208">
            <w:pPr>
              <w:pStyle w:val="BodyText"/>
              <w:rPr>
                <w:b/>
              </w:rPr>
            </w:pPr>
            <w:r w:rsidRPr="00806208">
              <w:rPr>
                <w:b/>
              </w:rPr>
              <w:t>Result</w:t>
            </w:r>
          </w:p>
        </w:tc>
        <w:tc>
          <w:tcPr>
            <w:tcW w:w="883" w:type="pct"/>
          </w:tcPr>
          <w:p w:rsidR="00260042" w:rsidRPr="00806208" w:rsidRDefault="00260042" w:rsidP="00806208">
            <w:pPr>
              <w:pStyle w:val="BodyText"/>
              <w:rPr>
                <w:b/>
              </w:rPr>
            </w:pPr>
            <w:r w:rsidRPr="00806208">
              <w:rPr>
                <w:b/>
              </w:rPr>
              <w:t>Achieved</w:t>
            </w:r>
          </w:p>
        </w:tc>
        <w:tc>
          <w:tcPr>
            <w:tcW w:w="1540" w:type="pct"/>
          </w:tcPr>
          <w:p w:rsidR="00260042" w:rsidRPr="00806208" w:rsidRDefault="00260042" w:rsidP="00806208">
            <w:pPr>
              <w:pStyle w:val="BodyText"/>
              <w:rPr>
                <w:b/>
              </w:rPr>
            </w:pPr>
            <w:r w:rsidRPr="00806208">
              <w:rPr>
                <w:b/>
              </w:rPr>
              <w:t>Change on previous year +/–</w:t>
            </w:r>
          </w:p>
        </w:tc>
      </w:tr>
      <w:tr w:rsidR="00260042" w:rsidTr="00806208">
        <w:trPr>
          <w:trHeight w:val="376"/>
        </w:trPr>
        <w:tc>
          <w:tcPr>
            <w:tcW w:w="751" w:type="pct"/>
          </w:tcPr>
          <w:p w:rsidR="00260042" w:rsidRDefault="00260042" w:rsidP="00806208">
            <w:pPr>
              <w:pStyle w:val="BodyText"/>
            </w:pPr>
            <w:r>
              <w:t>2020–21</w:t>
            </w:r>
          </w:p>
        </w:tc>
        <w:tc>
          <w:tcPr>
            <w:tcW w:w="865" w:type="pct"/>
          </w:tcPr>
          <w:p w:rsidR="00260042" w:rsidRDefault="00260042" w:rsidP="00806208">
            <w:pPr>
              <w:pStyle w:val="BodyText"/>
            </w:pPr>
            <w:r>
              <w:t>≥82%</w:t>
            </w:r>
          </w:p>
        </w:tc>
        <w:tc>
          <w:tcPr>
            <w:tcW w:w="962" w:type="pct"/>
          </w:tcPr>
          <w:p w:rsidR="00260042" w:rsidRDefault="00260042" w:rsidP="00806208">
            <w:pPr>
              <w:pStyle w:val="BodyText"/>
            </w:pPr>
            <w:r>
              <w:t>94.2%</w:t>
            </w:r>
          </w:p>
        </w:tc>
        <w:tc>
          <w:tcPr>
            <w:tcW w:w="883" w:type="pct"/>
          </w:tcPr>
          <w:p w:rsidR="00260042" w:rsidRDefault="00260042" w:rsidP="00806208">
            <w:pPr>
              <w:pStyle w:val="BodyText"/>
            </w:pPr>
            <w:r>
              <w:rPr>
                <w:rStyle w:val="Bulletcolour"/>
                <w:rFonts w:ascii="Wingdings" w:hAnsi="Wingdings" w:cs="Wingdings"/>
              </w:rPr>
              <w:t></w:t>
            </w:r>
          </w:p>
        </w:tc>
        <w:tc>
          <w:tcPr>
            <w:tcW w:w="1540" w:type="pct"/>
          </w:tcPr>
          <w:p w:rsidR="00260042" w:rsidRDefault="00260042" w:rsidP="00806208">
            <w:pPr>
              <w:pStyle w:val="BodyText"/>
            </w:pPr>
            <w:r>
              <w:t>+3.8%</w:t>
            </w:r>
          </w:p>
        </w:tc>
      </w:tr>
      <w:tr w:rsidR="00260042" w:rsidTr="00806208">
        <w:trPr>
          <w:trHeight w:val="376"/>
        </w:trPr>
        <w:tc>
          <w:tcPr>
            <w:tcW w:w="751" w:type="pct"/>
          </w:tcPr>
          <w:p w:rsidR="00260042" w:rsidRDefault="00260042" w:rsidP="00806208">
            <w:pPr>
              <w:pStyle w:val="BodyText"/>
            </w:pPr>
            <w:r>
              <w:t>2019–20</w:t>
            </w:r>
          </w:p>
        </w:tc>
        <w:tc>
          <w:tcPr>
            <w:tcW w:w="865" w:type="pct"/>
          </w:tcPr>
          <w:p w:rsidR="00260042" w:rsidRDefault="00260042" w:rsidP="00806208">
            <w:pPr>
              <w:pStyle w:val="BodyText"/>
            </w:pPr>
            <w:r>
              <w:t>≥82%</w:t>
            </w:r>
          </w:p>
        </w:tc>
        <w:tc>
          <w:tcPr>
            <w:tcW w:w="962" w:type="pct"/>
          </w:tcPr>
          <w:p w:rsidR="00260042" w:rsidRDefault="00260042" w:rsidP="00806208">
            <w:pPr>
              <w:pStyle w:val="BodyText"/>
            </w:pPr>
            <w:r>
              <w:t>90.4%</w:t>
            </w:r>
          </w:p>
        </w:tc>
        <w:tc>
          <w:tcPr>
            <w:tcW w:w="883" w:type="pct"/>
          </w:tcPr>
          <w:p w:rsidR="00260042" w:rsidRDefault="00260042" w:rsidP="00806208">
            <w:pPr>
              <w:pStyle w:val="BodyText"/>
            </w:pPr>
            <w:r>
              <w:rPr>
                <w:rStyle w:val="Bulletcolour"/>
                <w:rFonts w:ascii="Wingdings" w:hAnsi="Wingdings" w:cs="Wingdings"/>
              </w:rPr>
              <w:t></w:t>
            </w:r>
          </w:p>
        </w:tc>
        <w:tc>
          <w:tcPr>
            <w:tcW w:w="1540" w:type="pct"/>
          </w:tcPr>
          <w:p w:rsidR="00260042" w:rsidRDefault="00260042" w:rsidP="00806208">
            <w:pPr>
              <w:pStyle w:val="BodyText"/>
            </w:pPr>
            <w:r>
              <w:t>+0.1%</w:t>
            </w:r>
          </w:p>
        </w:tc>
      </w:tr>
      <w:tr w:rsidR="00260042" w:rsidTr="00806208">
        <w:trPr>
          <w:trHeight w:val="376"/>
        </w:trPr>
        <w:tc>
          <w:tcPr>
            <w:tcW w:w="751" w:type="pct"/>
          </w:tcPr>
          <w:p w:rsidR="00260042" w:rsidRDefault="00260042" w:rsidP="00806208">
            <w:pPr>
              <w:pStyle w:val="BodyText"/>
            </w:pPr>
            <w:r>
              <w:t>2018–19</w:t>
            </w:r>
          </w:p>
        </w:tc>
        <w:tc>
          <w:tcPr>
            <w:tcW w:w="865" w:type="pct"/>
          </w:tcPr>
          <w:p w:rsidR="00260042" w:rsidRDefault="00260042" w:rsidP="00806208">
            <w:pPr>
              <w:pStyle w:val="BodyText"/>
            </w:pPr>
            <w:r>
              <w:t>≥82%</w:t>
            </w:r>
          </w:p>
        </w:tc>
        <w:tc>
          <w:tcPr>
            <w:tcW w:w="962" w:type="pct"/>
          </w:tcPr>
          <w:p w:rsidR="00260042" w:rsidRDefault="00260042" w:rsidP="00806208">
            <w:pPr>
              <w:pStyle w:val="BodyText"/>
            </w:pPr>
            <w:r>
              <w:t>90.3%</w:t>
            </w:r>
          </w:p>
        </w:tc>
        <w:tc>
          <w:tcPr>
            <w:tcW w:w="883" w:type="pct"/>
          </w:tcPr>
          <w:p w:rsidR="00260042" w:rsidRDefault="00260042" w:rsidP="00806208">
            <w:pPr>
              <w:pStyle w:val="BodyText"/>
            </w:pPr>
            <w:r>
              <w:rPr>
                <w:rStyle w:val="Bulletcolour"/>
                <w:rFonts w:ascii="Wingdings" w:hAnsi="Wingdings" w:cs="Wingdings"/>
              </w:rPr>
              <w:t></w:t>
            </w:r>
          </w:p>
        </w:tc>
        <w:tc>
          <w:tcPr>
            <w:tcW w:w="1540" w:type="pct"/>
          </w:tcPr>
          <w:p w:rsidR="00260042" w:rsidRDefault="00260042" w:rsidP="00806208">
            <w:pPr>
              <w:pStyle w:val="BodyText"/>
            </w:pPr>
            <w:r>
              <w:t>–7.1%</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The agency achieved the annual target by processing 471.1 million claims for Medicare services, 38 million more than 2019–20. Of these, 443.6 million </w:t>
      </w:r>
      <w:proofErr w:type="gramStart"/>
      <w:r>
        <w:t>were processed</w:t>
      </w:r>
      <w:proofErr w:type="gramEnd"/>
      <w:r>
        <w:t xml:space="preserve"> within the performance target. This is an increase from 391.5 million in 2019–20.</w:t>
      </w:r>
    </w:p>
    <w:p w:rsidR="00260042" w:rsidRDefault="00260042" w:rsidP="00260042">
      <w:pPr>
        <w:pStyle w:val="BodyText"/>
      </w:pPr>
      <w:r>
        <w:t xml:space="preserve">With more than 99.5% of claims lodged through digital channels, customers are receiving their Medicare rebates faster than ever. The agency recognises the importance of this in the current environment of the COVID-19 pandemic and has ensured the workforce </w:t>
      </w:r>
      <w:proofErr w:type="gramStart"/>
      <w:r>
        <w:t>is focussed</w:t>
      </w:r>
      <w:proofErr w:type="gramEnd"/>
      <w:r>
        <w:t xml:space="preserve"> on delivering the services for our customers, with the claim processing timeframe reduced from 0.81 days in 2019–20 to 0.56 days in 2020–21. For more information on</w:t>
      </w:r>
      <w:r>
        <w:rPr>
          <w:rStyle w:val="Italic"/>
        </w:rPr>
        <w:t xml:space="preserve"> Medicare services and benefits by claim type</w:t>
      </w:r>
      <w:r>
        <w:t>, see page 47.</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235</w:t>
      </w:r>
      <w:r>
        <w:br/>
        <w:t>2020–21 Corporate Plan, page 17</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Enterprise Data Warehouse.</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The measure only includes MBS processed service items.</w:t>
      </w:r>
    </w:p>
    <w:p w:rsidR="00260042" w:rsidRDefault="00260042" w:rsidP="008930A3">
      <w:pPr>
        <w:pStyle w:val="ListBullet"/>
      </w:pPr>
      <w:r>
        <w:t>The data includes both manually and digitally lodged MBS services.</w:t>
      </w:r>
    </w:p>
    <w:p w:rsidR="00260042" w:rsidRDefault="00260042" w:rsidP="00EA5510">
      <w:pPr>
        <w:pStyle w:val="ListBullet"/>
      </w:pPr>
      <w:r>
        <w:t>The data measures the timeframe from the date of lodgement to the date that processing is complete.</w:t>
      </w:r>
    </w:p>
    <w:p w:rsidR="00260042" w:rsidRDefault="00260042" w:rsidP="00260042">
      <w:pPr>
        <w:pStyle w:val="BodyText"/>
        <w:keepNext/>
        <w:spacing w:after="0"/>
      </w:pPr>
      <w:r>
        <w:t>MBS services include:</w:t>
      </w:r>
    </w:p>
    <w:p w:rsidR="00260042" w:rsidRDefault="00260042" w:rsidP="00EA5510">
      <w:pPr>
        <w:pStyle w:val="ListBullet"/>
      </w:pPr>
      <w:r>
        <w:t>Bulk Billing, Patient Claiming and Simplified Billing.</w:t>
      </w:r>
    </w:p>
    <w:p w:rsidR="00260042" w:rsidRDefault="00260042" w:rsidP="00260042">
      <w:pPr>
        <w:pStyle w:val="BodyText"/>
        <w:spacing w:after="0"/>
      </w:pPr>
      <w:r>
        <w:t>MBS lodgement channels and standards are as follows:</w:t>
      </w:r>
    </w:p>
    <w:p w:rsidR="00260042" w:rsidRDefault="00260042" w:rsidP="008930A3">
      <w:pPr>
        <w:pStyle w:val="ListBullet"/>
      </w:pPr>
      <w:r>
        <w:t xml:space="preserve">standard of 2 days: Digital lodgement: Medicare Online, Medicare </w:t>
      </w:r>
      <w:proofErr w:type="spellStart"/>
      <w:r>
        <w:t>Easyclaim</w:t>
      </w:r>
      <w:proofErr w:type="spellEnd"/>
      <w:r>
        <w:t xml:space="preserve">, </w:t>
      </w:r>
      <w:proofErr w:type="spellStart"/>
      <w:r>
        <w:t>Webclaim</w:t>
      </w:r>
      <w:proofErr w:type="spellEnd"/>
      <w:r>
        <w:t xml:space="preserve"> (Health Provider Online Services), Electronic Claim Lodgement and Information Processing Service Environment</w:t>
      </w:r>
    </w:p>
    <w:p w:rsidR="00260042" w:rsidRDefault="00260042" w:rsidP="008930A3">
      <w:pPr>
        <w:pStyle w:val="ListBullet"/>
      </w:pPr>
      <w:r>
        <w:t>standard of 7 days: Digital lodgement: Medicare Online Accounts, Express Plus Medicare App, Electronic Data Interchange</w:t>
      </w:r>
    </w:p>
    <w:p w:rsidR="00260042" w:rsidRDefault="00260042" w:rsidP="00EA5510">
      <w:pPr>
        <w:pStyle w:val="ListBullet"/>
      </w:pPr>
      <w:proofErr w:type="gramStart"/>
      <w:r>
        <w:t>standard</w:t>
      </w:r>
      <w:proofErr w:type="gramEnd"/>
      <w:r>
        <w:t xml:space="preserve"> of 21 days: Non-digital lodgement: post, </w:t>
      </w:r>
      <w:proofErr w:type="spellStart"/>
      <w:r>
        <w:t>dropbox</w:t>
      </w:r>
      <w:proofErr w:type="spellEnd"/>
      <w:r>
        <w:t xml:space="preserve"> (via service centres), face-to-face (via service centres), </w:t>
      </w:r>
      <w:proofErr w:type="spellStart"/>
      <w:r>
        <w:t>teleclaims</w:t>
      </w:r>
      <w:proofErr w:type="spellEnd"/>
      <w:r>
        <w:t>, two-way (via health funds), scanned.</w:t>
      </w:r>
    </w:p>
    <w:p w:rsidR="00260042" w:rsidRDefault="00260042" w:rsidP="00260042">
      <w:pPr>
        <w:pStyle w:val="Heading5"/>
      </w:pPr>
      <w:r>
        <w:t>Performance measure 9 — Achievement of digital service level standards: Medicare Benefits Schedule digital claiming rate</w:t>
      </w:r>
    </w:p>
    <w:p w:rsidR="00260042" w:rsidRDefault="00260042" w:rsidP="00260042">
      <w:pPr>
        <w:pStyle w:val="BodyText"/>
        <w:spacing w:after="0"/>
      </w:pPr>
      <w:r>
        <w:rPr>
          <w:rStyle w:val="Bold"/>
          <w:caps/>
        </w:rPr>
        <w:lastRenderedPageBreak/>
        <w:t>Results</w:t>
      </w:r>
    </w:p>
    <w:tbl>
      <w:tblPr>
        <w:tblStyle w:val="TableGrid"/>
        <w:tblW w:w="5000" w:type="pct"/>
        <w:tblLook w:val="0000" w:firstRow="0" w:lastRow="0" w:firstColumn="0" w:lastColumn="0" w:noHBand="0" w:noVBand="0"/>
        <w:tblCaption w:val="Performance measure 9 — Achievement of digital service level standards: Medicare Benefits Schedule digital claiming rate"/>
      </w:tblPr>
      <w:tblGrid>
        <w:gridCol w:w="1566"/>
        <w:gridCol w:w="2033"/>
        <w:gridCol w:w="2074"/>
        <w:gridCol w:w="1906"/>
        <w:gridCol w:w="3211"/>
      </w:tblGrid>
      <w:tr w:rsidR="00260042" w:rsidTr="00FE6852">
        <w:trPr>
          <w:trHeight w:val="376"/>
          <w:tblHeader/>
        </w:trPr>
        <w:tc>
          <w:tcPr>
            <w:tcW w:w="725" w:type="pct"/>
          </w:tcPr>
          <w:p w:rsidR="00260042" w:rsidRPr="00FE6852" w:rsidRDefault="00260042" w:rsidP="00FE6852">
            <w:pPr>
              <w:pStyle w:val="BodyText"/>
              <w:rPr>
                <w:b/>
              </w:rPr>
            </w:pPr>
            <w:r w:rsidRPr="00FE6852">
              <w:rPr>
                <w:b/>
              </w:rPr>
              <w:t>Year</w:t>
            </w:r>
          </w:p>
        </w:tc>
        <w:tc>
          <w:tcPr>
            <w:tcW w:w="942" w:type="pct"/>
          </w:tcPr>
          <w:p w:rsidR="00260042" w:rsidRPr="00FE6852" w:rsidRDefault="00260042" w:rsidP="00FE6852">
            <w:pPr>
              <w:pStyle w:val="BodyText"/>
              <w:rPr>
                <w:b/>
              </w:rPr>
            </w:pPr>
            <w:r w:rsidRPr="00FE6852">
              <w:rPr>
                <w:b/>
              </w:rPr>
              <w:t>Target</w:t>
            </w:r>
          </w:p>
        </w:tc>
        <w:tc>
          <w:tcPr>
            <w:tcW w:w="961" w:type="pct"/>
          </w:tcPr>
          <w:p w:rsidR="00260042" w:rsidRPr="00FE6852" w:rsidRDefault="00260042" w:rsidP="00FE6852">
            <w:pPr>
              <w:pStyle w:val="BodyText"/>
              <w:rPr>
                <w:b/>
              </w:rPr>
            </w:pPr>
            <w:r w:rsidRPr="00FE6852">
              <w:rPr>
                <w:b/>
              </w:rPr>
              <w:t>Result</w:t>
            </w:r>
          </w:p>
        </w:tc>
        <w:tc>
          <w:tcPr>
            <w:tcW w:w="883" w:type="pct"/>
          </w:tcPr>
          <w:p w:rsidR="00260042" w:rsidRPr="00FE6852" w:rsidRDefault="00260042" w:rsidP="00FE6852">
            <w:pPr>
              <w:pStyle w:val="BodyText"/>
              <w:rPr>
                <w:b/>
              </w:rPr>
            </w:pPr>
            <w:r w:rsidRPr="00FE6852">
              <w:rPr>
                <w:b/>
              </w:rPr>
              <w:t>Achieved</w:t>
            </w:r>
          </w:p>
        </w:tc>
        <w:tc>
          <w:tcPr>
            <w:tcW w:w="1488" w:type="pct"/>
          </w:tcPr>
          <w:p w:rsidR="00260042" w:rsidRPr="00FE6852" w:rsidRDefault="00260042" w:rsidP="00FE6852">
            <w:pPr>
              <w:pStyle w:val="BodyText"/>
              <w:rPr>
                <w:b/>
              </w:rPr>
            </w:pPr>
            <w:r w:rsidRPr="00FE6852">
              <w:rPr>
                <w:b/>
              </w:rPr>
              <w:t>Change on previous year +/–</w:t>
            </w:r>
          </w:p>
        </w:tc>
      </w:tr>
      <w:tr w:rsidR="00260042" w:rsidTr="00FE6852">
        <w:trPr>
          <w:trHeight w:val="376"/>
        </w:trPr>
        <w:tc>
          <w:tcPr>
            <w:tcW w:w="725" w:type="pct"/>
          </w:tcPr>
          <w:p w:rsidR="00260042" w:rsidRDefault="00260042" w:rsidP="00FE6852">
            <w:pPr>
              <w:pStyle w:val="BodyText"/>
            </w:pPr>
            <w:r>
              <w:t>2020–21</w:t>
            </w:r>
          </w:p>
        </w:tc>
        <w:tc>
          <w:tcPr>
            <w:tcW w:w="942" w:type="pct"/>
          </w:tcPr>
          <w:p w:rsidR="00260042" w:rsidRDefault="00260042" w:rsidP="00FE6852">
            <w:pPr>
              <w:pStyle w:val="BodyText"/>
            </w:pPr>
            <w:r>
              <w:t>≥97%</w:t>
            </w:r>
          </w:p>
        </w:tc>
        <w:tc>
          <w:tcPr>
            <w:tcW w:w="961" w:type="pct"/>
          </w:tcPr>
          <w:p w:rsidR="00260042" w:rsidRDefault="00260042" w:rsidP="00FE6852">
            <w:pPr>
              <w:pStyle w:val="BodyText"/>
            </w:pPr>
            <w:r>
              <w:t>99.5%</w:t>
            </w:r>
          </w:p>
        </w:tc>
        <w:tc>
          <w:tcPr>
            <w:tcW w:w="883" w:type="pct"/>
          </w:tcPr>
          <w:p w:rsidR="00260042" w:rsidRDefault="00260042" w:rsidP="00FE6852">
            <w:pPr>
              <w:pStyle w:val="BodyText"/>
            </w:pPr>
            <w:r>
              <w:rPr>
                <w:rStyle w:val="Bulletcolour"/>
                <w:rFonts w:ascii="Wingdings" w:hAnsi="Wingdings" w:cs="Wingdings"/>
              </w:rPr>
              <w:t></w:t>
            </w:r>
          </w:p>
        </w:tc>
        <w:tc>
          <w:tcPr>
            <w:tcW w:w="1488" w:type="pct"/>
          </w:tcPr>
          <w:p w:rsidR="00260042" w:rsidRDefault="00260042" w:rsidP="00FE6852">
            <w:pPr>
              <w:pStyle w:val="BodyText"/>
            </w:pPr>
            <w:r>
              <w:t>+0.3%</w:t>
            </w:r>
          </w:p>
        </w:tc>
      </w:tr>
      <w:tr w:rsidR="00260042" w:rsidTr="00FE6852">
        <w:trPr>
          <w:trHeight w:val="376"/>
        </w:trPr>
        <w:tc>
          <w:tcPr>
            <w:tcW w:w="725" w:type="pct"/>
          </w:tcPr>
          <w:p w:rsidR="00260042" w:rsidRDefault="00260042" w:rsidP="00FE6852">
            <w:pPr>
              <w:pStyle w:val="BodyText"/>
            </w:pPr>
            <w:r>
              <w:t>2019–20</w:t>
            </w:r>
          </w:p>
        </w:tc>
        <w:tc>
          <w:tcPr>
            <w:tcW w:w="942" w:type="pct"/>
          </w:tcPr>
          <w:p w:rsidR="00260042" w:rsidRDefault="00260042" w:rsidP="00FE6852">
            <w:pPr>
              <w:pStyle w:val="BodyText"/>
            </w:pPr>
            <w:r>
              <w:t>≥97%</w:t>
            </w:r>
          </w:p>
        </w:tc>
        <w:tc>
          <w:tcPr>
            <w:tcW w:w="961" w:type="pct"/>
          </w:tcPr>
          <w:p w:rsidR="00260042" w:rsidRDefault="00260042" w:rsidP="00FE6852">
            <w:pPr>
              <w:pStyle w:val="BodyText"/>
            </w:pPr>
            <w:r>
              <w:t>99.2%</w:t>
            </w:r>
          </w:p>
        </w:tc>
        <w:tc>
          <w:tcPr>
            <w:tcW w:w="883" w:type="pct"/>
          </w:tcPr>
          <w:p w:rsidR="00260042" w:rsidRDefault="00260042" w:rsidP="00FE6852">
            <w:pPr>
              <w:pStyle w:val="BodyText"/>
            </w:pPr>
            <w:r>
              <w:rPr>
                <w:rStyle w:val="Bulletcolour"/>
                <w:rFonts w:ascii="Wingdings" w:hAnsi="Wingdings" w:cs="Wingdings"/>
              </w:rPr>
              <w:t></w:t>
            </w:r>
          </w:p>
        </w:tc>
        <w:tc>
          <w:tcPr>
            <w:tcW w:w="1488" w:type="pct"/>
          </w:tcPr>
          <w:p w:rsidR="00260042" w:rsidRDefault="00260042" w:rsidP="00FE6852">
            <w:pPr>
              <w:pStyle w:val="BodyText"/>
            </w:pPr>
            <w:r>
              <w:t>+0.6%</w:t>
            </w:r>
          </w:p>
        </w:tc>
      </w:tr>
      <w:tr w:rsidR="00260042" w:rsidTr="00FE6852">
        <w:trPr>
          <w:trHeight w:val="376"/>
        </w:trPr>
        <w:tc>
          <w:tcPr>
            <w:tcW w:w="725" w:type="pct"/>
          </w:tcPr>
          <w:p w:rsidR="00260042" w:rsidRDefault="00260042" w:rsidP="00FE6852">
            <w:pPr>
              <w:pStyle w:val="BodyText"/>
            </w:pPr>
            <w:r>
              <w:t>2018–19</w:t>
            </w:r>
          </w:p>
        </w:tc>
        <w:tc>
          <w:tcPr>
            <w:tcW w:w="942" w:type="pct"/>
          </w:tcPr>
          <w:p w:rsidR="00260042" w:rsidRDefault="00260042" w:rsidP="00FE6852">
            <w:pPr>
              <w:pStyle w:val="BodyText"/>
            </w:pPr>
            <w:r>
              <w:t>≥97%</w:t>
            </w:r>
          </w:p>
        </w:tc>
        <w:tc>
          <w:tcPr>
            <w:tcW w:w="961" w:type="pct"/>
          </w:tcPr>
          <w:p w:rsidR="00260042" w:rsidRDefault="00260042" w:rsidP="00FE6852">
            <w:pPr>
              <w:pStyle w:val="BodyText"/>
            </w:pPr>
            <w:r>
              <w:t>98.6%</w:t>
            </w:r>
          </w:p>
        </w:tc>
        <w:tc>
          <w:tcPr>
            <w:tcW w:w="883" w:type="pct"/>
          </w:tcPr>
          <w:p w:rsidR="00260042" w:rsidRDefault="00260042" w:rsidP="00FE6852">
            <w:pPr>
              <w:pStyle w:val="BodyText"/>
            </w:pPr>
            <w:r>
              <w:rPr>
                <w:rStyle w:val="Bulletcolour"/>
                <w:rFonts w:ascii="Wingdings" w:hAnsi="Wingdings" w:cs="Wingdings"/>
              </w:rPr>
              <w:t></w:t>
            </w:r>
          </w:p>
        </w:tc>
        <w:tc>
          <w:tcPr>
            <w:tcW w:w="1488" w:type="pct"/>
          </w:tcPr>
          <w:p w:rsidR="00260042" w:rsidRDefault="00260042" w:rsidP="00FE6852">
            <w:pPr>
              <w:pStyle w:val="BodyText"/>
            </w:pPr>
            <w:r>
              <w:t>+0.7%</w:t>
            </w:r>
          </w:p>
        </w:tc>
      </w:tr>
    </w:tbl>
    <w:p w:rsidR="00260042" w:rsidRDefault="00260042" w:rsidP="00260042">
      <w:pPr>
        <w:pStyle w:val="BodyText"/>
        <w:keepNext/>
        <w:spacing w:after="0"/>
        <w:rPr>
          <w:rStyle w:val="Bold"/>
          <w:caps/>
        </w:rPr>
      </w:pPr>
      <w:r>
        <w:rPr>
          <w:rStyle w:val="Bold"/>
          <w:caps/>
        </w:rPr>
        <w:t>Analysis</w:t>
      </w:r>
    </w:p>
    <w:p w:rsidR="00260042" w:rsidRDefault="00260042" w:rsidP="00260042">
      <w:pPr>
        <w:pStyle w:val="BodyText"/>
        <w:spacing w:after="57"/>
      </w:pPr>
      <w:r>
        <w:t>The Medicare digital claiming rate for 2020–21 of 99.5% has exceeded the annual target of 97%. All claim types performed above the annual target each month. The results by claim type are:</w:t>
      </w:r>
    </w:p>
    <w:p w:rsidR="00260042" w:rsidRDefault="00260042" w:rsidP="008930A3">
      <w:pPr>
        <w:pStyle w:val="ListBullet"/>
      </w:pPr>
      <w:r>
        <w:t>99.9% of Simplified Billing claims were lodged digitally</w:t>
      </w:r>
    </w:p>
    <w:p w:rsidR="00260042" w:rsidRDefault="00260042" w:rsidP="008930A3">
      <w:pPr>
        <w:pStyle w:val="ListBullet"/>
      </w:pPr>
      <w:r>
        <w:t>99.7% of Bulk Billing claims were lodged digitally</w:t>
      </w:r>
    </w:p>
    <w:p w:rsidR="00260042" w:rsidRDefault="00260042" w:rsidP="00EA5510">
      <w:pPr>
        <w:pStyle w:val="ListBullet"/>
      </w:pPr>
      <w:r>
        <w:t xml:space="preserve">98.0% of Patient claims </w:t>
      </w:r>
      <w:proofErr w:type="gramStart"/>
      <w:r>
        <w:t>were lodged</w:t>
      </w:r>
      <w:proofErr w:type="gramEnd"/>
      <w:r>
        <w:t xml:space="preserve"> digitally.</w:t>
      </w:r>
    </w:p>
    <w:p w:rsidR="00260042" w:rsidRDefault="00260042" w:rsidP="00260042">
      <w:pPr>
        <w:pStyle w:val="BodyText"/>
      </w:pPr>
      <w:r>
        <w:t xml:space="preserve">To support improvements to digital services, the agency will roll out new web-based service products to provide </w:t>
      </w:r>
      <w:proofErr w:type="gramStart"/>
      <w:r>
        <w:t>more convenient options</w:t>
      </w:r>
      <w:proofErr w:type="gramEnd"/>
      <w:r>
        <w:t xml:space="preserve"> for providers to lodge claims digitally on behalf of customers. The agency will work closely with health providers, vendors and private health insurers to ensure a smooth rollout to maintain a positive customer and provider experience.</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236</w:t>
      </w:r>
      <w:r>
        <w:br/>
        <w:t>2020–21 Corporate Plan, page 18</w:t>
      </w:r>
    </w:p>
    <w:p w:rsidR="00260042" w:rsidRDefault="00260042" w:rsidP="00260042">
      <w:pPr>
        <w:pStyle w:val="BodyText"/>
        <w:keepNext/>
        <w:spacing w:after="0"/>
        <w:rPr>
          <w:rStyle w:val="Bold"/>
        </w:rPr>
      </w:pPr>
      <w:r>
        <w:rPr>
          <w:rStyle w:val="Bold"/>
        </w:rPr>
        <w:t>DATA SOURCE</w:t>
      </w:r>
    </w:p>
    <w:p w:rsidR="00260042" w:rsidRDefault="00260042" w:rsidP="00260042">
      <w:pPr>
        <w:pStyle w:val="BodyText"/>
      </w:pPr>
      <w:r>
        <w:t>Enterprise Data Warehouse.</w:t>
      </w:r>
    </w:p>
    <w:p w:rsidR="00260042" w:rsidRDefault="00260042" w:rsidP="00260042">
      <w:pPr>
        <w:pStyle w:val="BodyText"/>
        <w:spacing w:after="0"/>
        <w:rPr>
          <w:rStyle w:val="Bold"/>
        </w:rPr>
      </w:pPr>
      <w:r>
        <w:rPr>
          <w:rStyle w:val="Bold"/>
          <w:caps/>
        </w:rPr>
        <w:t>Notes and Definitions</w:t>
      </w:r>
    </w:p>
    <w:p w:rsidR="00260042" w:rsidRDefault="00260042" w:rsidP="00260042">
      <w:pPr>
        <w:pStyle w:val="BodyText"/>
      </w:pPr>
      <w:r>
        <w:t>The performance measure captures services lodged through Medicare digital service channels against all services lodged via all channels.</w:t>
      </w:r>
    </w:p>
    <w:p w:rsidR="00260042" w:rsidRDefault="00260042" w:rsidP="00260042">
      <w:pPr>
        <w:pStyle w:val="BodyText"/>
        <w:spacing w:after="57"/>
      </w:pPr>
      <w:r>
        <w:t>MBS service types include:</w:t>
      </w:r>
    </w:p>
    <w:p w:rsidR="00260042" w:rsidRDefault="00260042" w:rsidP="00EA5510">
      <w:pPr>
        <w:pStyle w:val="ListBullet"/>
      </w:pPr>
      <w:r>
        <w:t>Bulk Billing, Patient Claiming and Simplified Billing.</w:t>
      </w:r>
    </w:p>
    <w:p w:rsidR="00260042" w:rsidRDefault="00260042" w:rsidP="00260042">
      <w:pPr>
        <w:pStyle w:val="BodyText"/>
        <w:keepLines/>
      </w:pPr>
      <w:r>
        <w:t>Bulk Bill claiming is where the patient assigns their right to the Medicare benefit to the health professional. There are no out-of-pocket costs for the patient as the health professional claims the Medicare benefit for the service directly from Medicare.</w:t>
      </w:r>
    </w:p>
    <w:p w:rsidR="00260042" w:rsidRDefault="00260042" w:rsidP="00260042">
      <w:pPr>
        <w:pStyle w:val="BodyText"/>
      </w:pPr>
      <w:r>
        <w:t xml:space="preserve">Patient claiming is where a Medicare benefit is claimed electronically from </w:t>
      </w:r>
      <w:proofErr w:type="gramStart"/>
      <w:r>
        <w:t>Medicare—this can either</w:t>
      </w:r>
      <w:proofErr w:type="gramEnd"/>
      <w:r>
        <w:t xml:space="preserve"> be the claimant submitting the claim electronically or the health professional submitting the claim electronically on the claimant’s behalf.</w:t>
      </w:r>
    </w:p>
    <w:p w:rsidR="00260042" w:rsidRDefault="00260042" w:rsidP="00260042">
      <w:pPr>
        <w:pStyle w:val="BodyText"/>
      </w:pPr>
      <w:r>
        <w:t xml:space="preserve">Simplified Billing allows </w:t>
      </w:r>
      <w:proofErr w:type="gramStart"/>
      <w:r>
        <w:t>for claims</w:t>
      </w:r>
      <w:proofErr w:type="gramEnd"/>
      <w:r>
        <w:t xml:space="preserve"> to be submitted for unpaid in-patient services where a patient has been admitted as a private patient of a public or private hospital. Simplified Billing enables a patient to assign their right to benefit to the private health insurer or billing agent.</w:t>
      </w:r>
    </w:p>
    <w:p w:rsidR="00260042" w:rsidRDefault="00260042" w:rsidP="00260042">
      <w:pPr>
        <w:pStyle w:val="BodyText"/>
        <w:spacing w:after="57"/>
      </w:pPr>
      <w:r>
        <w:lastRenderedPageBreak/>
        <w:t>MBS lodgement channels include:</w:t>
      </w:r>
    </w:p>
    <w:p w:rsidR="00260042" w:rsidRDefault="00260042" w:rsidP="008930A3">
      <w:pPr>
        <w:pStyle w:val="ListBullet"/>
      </w:pPr>
      <w:proofErr w:type="gramStart"/>
      <w:r>
        <w:t>digital</w:t>
      </w:r>
      <w:proofErr w:type="gramEnd"/>
      <w:r>
        <w:t xml:space="preserve"> lodgement: Medicare Online, Medicare </w:t>
      </w:r>
      <w:proofErr w:type="spellStart"/>
      <w:r>
        <w:t>Easyclaim</w:t>
      </w:r>
      <w:proofErr w:type="spellEnd"/>
      <w:r>
        <w:t xml:space="preserve">, Health Provider Online Services, Electronic Claim Lodgement and Information Processing Service Environment, Simple Mail Transfer Protocol, claiming Medicare benefits online via </w:t>
      </w:r>
      <w:proofErr w:type="spellStart"/>
      <w:r>
        <w:t>myGov</w:t>
      </w:r>
      <w:proofErr w:type="spellEnd"/>
      <w:r>
        <w:t>, Express Plus Medicare app.</w:t>
      </w:r>
    </w:p>
    <w:p w:rsidR="00260042" w:rsidRDefault="00260042" w:rsidP="00EA5510">
      <w:pPr>
        <w:pStyle w:val="ListBullet"/>
      </w:pPr>
      <w:proofErr w:type="gramStart"/>
      <w:r>
        <w:t>non-digital</w:t>
      </w:r>
      <w:proofErr w:type="gramEnd"/>
      <w:r>
        <w:t xml:space="preserve"> lodgement: manual.</w:t>
      </w:r>
    </w:p>
    <w:p w:rsidR="00260042" w:rsidRPr="00FE6852" w:rsidRDefault="00260042" w:rsidP="00FE6852">
      <w:pPr>
        <w:pStyle w:val="Heading5"/>
      </w:pPr>
      <w:r w:rsidRPr="00FE6852">
        <w:t>Performance measure 10 — Achievement of digital service level standards: interactions completed via digital channels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10 — Achievement of digital service level standards: interactions completed via digital channels"/>
      </w:tblPr>
      <w:tblGrid>
        <w:gridCol w:w="1648"/>
        <w:gridCol w:w="2372"/>
        <w:gridCol w:w="2074"/>
        <w:gridCol w:w="1647"/>
        <w:gridCol w:w="3049"/>
      </w:tblGrid>
      <w:tr w:rsidR="00260042" w:rsidTr="00FE6852">
        <w:trPr>
          <w:trHeight w:val="376"/>
          <w:tblHeader/>
        </w:trPr>
        <w:tc>
          <w:tcPr>
            <w:tcW w:w="763" w:type="pct"/>
          </w:tcPr>
          <w:p w:rsidR="00260042" w:rsidRPr="00FE6852" w:rsidRDefault="00260042" w:rsidP="00FE6852">
            <w:pPr>
              <w:pStyle w:val="BodyText"/>
              <w:rPr>
                <w:b/>
              </w:rPr>
            </w:pPr>
            <w:r w:rsidRPr="00FE6852">
              <w:rPr>
                <w:b/>
              </w:rPr>
              <w:t>Year</w:t>
            </w:r>
          </w:p>
        </w:tc>
        <w:tc>
          <w:tcPr>
            <w:tcW w:w="1099" w:type="pct"/>
          </w:tcPr>
          <w:p w:rsidR="00260042" w:rsidRPr="00FE6852" w:rsidRDefault="00260042" w:rsidP="00FE6852">
            <w:pPr>
              <w:pStyle w:val="BodyText"/>
              <w:rPr>
                <w:b/>
              </w:rPr>
            </w:pPr>
            <w:r w:rsidRPr="00FE6852">
              <w:rPr>
                <w:b/>
              </w:rPr>
              <w:t>Target</w:t>
            </w:r>
          </w:p>
        </w:tc>
        <w:tc>
          <w:tcPr>
            <w:tcW w:w="961" w:type="pct"/>
          </w:tcPr>
          <w:p w:rsidR="00260042" w:rsidRPr="00FE6852" w:rsidRDefault="00260042" w:rsidP="00FE6852">
            <w:pPr>
              <w:pStyle w:val="BodyText"/>
              <w:rPr>
                <w:b/>
              </w:rPr>
            </w:pPr>
            <w:r w:rsidRPr="00FE6852">
              <w:rPr>
                <w:b/>
              </w:rPr>
              <w:t>Result</w:t>
            </w:r>
          </w:p>
        </w:tc>
        <w:tc>
          <w:tcPr>
            <w:tcW w:w="763" w:type="pct"/>
          </w:tcPr>
          <w:p w:rsidR="00260042" w:rsidRPr="00FE6852" w:rsidRDefault="00260042" w:rsidP="00FE6852">
            <w:pPr>
              <w:pStyle w:val="BodyText"/>
              <w:rPr>
                <w:b/>
              </w:rPr>
            </w:pPr>
            <w:r w:rsidRPr="00FE6852">
              <w:rPr>
                <w:b/>
              </w:rPr>
              <w:t>Achieved</w:t>
            </w:r>
          </w:p>
        </w:tc>
        <w:tc>
          <w:tcPr>
            <w:tcW w:w="1412" w:type="pct"/>
          </w:tcPr>
          <w:p w:rsidR="00260042" w:rsidRPr="00FE6852" w:rsidRDefault="00260042" w:rsidP="00FE6852">
            <w:pPr>
              <w:pStyle w:val="BodyText"/>
              <w:rPr>
                <w:b/>
              </w:rPr>
            </w:pPr>
            <w:r w:rsidRPr="00FE6852">
              <w:rPr>
                <w:b/>
              </w:rPr>
              <w:t>Change on previous year +/–</w:t>
            </w:r>
          </w:p>
        </w:tc>
      </w:tr>
      <w:tr w:rsidR="00260042" w:rsidTr="00FE6852">
        <w:trPr>
          <w:trHeight w:val="376"/>
        </w:trPr>
        <w:tc>
          <w:tcPr>
            <w:tcW w:w="763" w:type="pct"/>
          </w:tcPr>
          <w:p w:rsidR="00260042" w:rsidRDefault="00260042" w:rsidP="00FE6852">
            <w:pPr>
              <w:pStyle w:val="BodyText"/>
            </w:pPr>
            <w:r>
              <w:t>2020–21</w:t>
            </w:r>
          </w:p>
        </w:tc>
        <w:tc>
          <w:tcPr>
            <w:tcW w:w="1099" w:type="pct"/>
          </w:tcPr>
          <w:p w:rsidR="00260042" w:rsidRDefault="00260042" w:rsidP="00FE6852">
            <w:pPr>
              <w:pStyle w:val="BodyText"/>
            </w:pPr>
            <w:r>
              <w:t>≥5% increase</w:t>
            </w:r>
          </w:p>
        </w:tc>
        <w:tc>
          <w:tcPr>
            <w:tcW w:w="961" w:type="pct"/>
          </w:tcPr>
          <w:p w:rsidR="00260042" w:rsidRDefault="00260042" w:rsidP="00FE6852">
            <w:pPr>
              <w:pStyle w:val="BodyText"/>
            </w:pPr>
            <w:r>
              <w:t xml:space="preserve">12.8% </w:t>
            </w:r>
          </w:p>
        </w:tc>
        <w:tc>
          <w:tcPr>
            <w:tcW w:w="763" w:type="pct"/>
          </w:tcPr>
          <w:p w:rsidR="00260042" w:rsidRDefault="00260042" w:rsidP="00FE6852">
            <w:pPr>
              <w:pStyle w:val="BodyText"/>
            </w:pPr>
            <w:r>
              <w:rPr>
                <w:rStyle w:val="Bulletcolour"/>
                <w:rFonts w:ascii="Wingdings" w:hAnsi="Wingdings" w:cs="Wingdings"/>
              </w:rPr>
              <w:t></w:t>
            </w:r>
          </w:p>
        </w:tc>
        <w:tc>
          <w:tcPr>
            <w:tcW w:w="1412" w:type="pct"/>
          </w:tcPr>
          <w:p w:rsidR="00260042" w:rsidRDefault="00260042" w:rsidP="00FE6852">
            <w:pPr>
              <w:pStyle w:val="BodyText"/>
            </w:pPr>
            <w:r>
              <w:t>+3.3%</w:t>
            </w:r>
          </w:p>
        </w:tc>
      </w:tr>
      <w:tr w:rsidR="00260042" w:rsidTr="00FE6852">
        <w:trPr>
          <w:trHeight w:val="376"/>
        </w:trPr>
        <w:tc>
          <w:tcPr>
            <w:tcW w:w="763" w:type="pct"/>
          </w:tcPr>
          <w:p w:rsidR="00260042" w:rsidRDefault="00260042" w:rsidP="00FE6852">
            <w:pPr>
              <w:pStyle w:val="BodyText"/>
            </w:pPr>
            <w:r>
              <w:t>2019–20</w:t>
            </w:r>
          </w:p>
        </w:tc>
        <w:tc>
          <w:tcPr>
            <w:tcW w:w="1099" w:type="pct"/>
          </w:tcPr>
          <w:p w:rsidR="00260042" w:rsidRDefault="00260042" w:rsidP="00FE6852">
            <w:pPr>
              <w:pStyle w:val="BodyText"/>
            </w:pPr>
            <w:r>
              <w:t>≥5% increase</w:t>
            </w:r>
          </w:p>
        </w:tc>
        <w:tc>
          <w:tcPr>
            <w:tcW w:w="961" w:type="pct"/>
          </w:tcPr>
          <w:p w:rsidR="00260042" w:rsidRDefault="00260042" w:rsidP="00FE6852">
            <w:pPr>
              <w:pStyle w:val="BodyText"/>
            </w:pPr>
            <w:r>
              <w:t xml:space="preserve">9.5% </w:t>
            </w:r>
          </w:p>
        </w:tc>
        <w:tc>
          <w:tcPr>
            <w:tcW w:w="763" w:type="pct"/>
          </w:tcPr>
          <w:p w:rsidR="00260042" w:rsidRDefault="00260042" w:rsidP="00FE6852">
            <w:pPr>
              <w:pStyle w:val="BodyText"/>
            </w:pPr>
            <w:r>
              <w:rPr>
                <w:rStyle w:val="Bulletcolour"/>
                <w:rFonts w:ascii="Wingdings" w:hAnsi="Wingdings" w:cs="Wingdings"/>
              </w:rPr>
              <w:t></w:t>
            </w:r>
          </w:p>
        </w:tc>
        <w:tc>
          <w:tcPr>
            <w:tcW w:w="1412" w:type="pct"/>
          </w:tcPr>
          <w:p w:rsidR="00260042" w:rsidRDefault="00260042" w:rsidP="00FE6852">
            <w:pPr>
              <w:pStyle w:val="BodyText"/>
            </w:pPr>
            <w:r>
              <w:t>+3.8%</w:t>
            </w:r>
          </w:p>
        </w:tc>
      </w:tr>
      <w:tr w:rsidR="00260042" w:rsidTr="00FE6852">
        <w:trPr>
          <w:trHeight w:val="376"/>
        </w:trPr>
        <w:tc>
          <w:tcPr>
            <w:tcW w:w="763" w:type="pct"/>
          </w:tcPr>
          <w:p w:rsidR="00260042" w:rsidRDefault="00260042" w:rsidP="00FE6852">
            <w:pPr>
              <w:pStyle w:val="BodyText"/>
            </w:pPr>
            <w:r>
              <w:t>2018–19</w:t>
            </w:r>
          </w:p>
        </w:tc>
        <w:tc>
          <w:tcPr>
            <w:tcW w:w="1099" w:type="pct"/>
          </w:tcPr>
          <w:p w:rsidR="00260042" w:rsidRDefault="00260042" w:rsidP="00FE6852">
            <w:pPr>
              <w:pStyle w:val="BodyText"/>
            </w:pPr>
            <w:r>
              <w:t>≥5% increase</w:t>
            </w:r>
          </w:p>
        </w:tc>
        <w:tc>
          <w:tcPr>
            <w:tcW w:w="961" w:type="pct"/>
          </w:tcPr>
          <w:p w:rsidR="00260042" w:rsidRDefault="00260042" w:rsidP="00FE6852">
            <w:pPr>
              <w:pStyle w:val="BodyText"/>
            </w:pPr>
            <w:r>
              <w:t xml:space="preserve">5.7% </w:t>
            </w:r>
          </w:p>
        </w:tc>
        <w:tc>
          <w:tcPr>
            <w:tcW w:w="763" w:type="pct"/>
          </w:tcPr>
          <w:p w:rsidR="00260042" w:rsidRDefault="00260042" w:rsidP="00FE6852">
            <w:pPr>
              <w:pStyle w:val="BodyText"/>
            </w:pPr>
            <w:r>
              <w:rPr>
                <w:rStyle w:val="Bulletcolour"/>
                <w:rFonts w:ascii="Wingdings" w:hAnsi="Wingdings" w:cs="Wingdings"/>
              </w:rPr>
              <w:t></w:t>
            </w:r>
          </w:p>
        </w:tc>
        <w:tc>
          <w:tcPr>
            <w:tcW w:w="1412" w:type="pct"/>
          </w:tcPr>
          <w:p w:rsidR="00260042" w:rsidRDefault="00260042" w:rsidP="00FE6852">
            <w:pPr>
              <w:pStyle w:val="BodyText"/>
            </w:pPr>
            <w:r>
              <w:t>–2.5%</w:t>
            </w:r>
          </w:p>
        </w:tc>
      </w:tr>
    </w:tbl>
    <w:p w:rsidR="00260042" w:rsidRDefault="00260042" w:rsidP="00260042">
      <w:pPr>
        <w:pStyle w:val="BodyText"/>
        <w:keepNext/>
        <w:spacing w:after="0"/>
        <w:rPr>
          <w:rStyle w:val="Bold"/>
          <w:caps/>
        </w:rPr>
      </w:pPr>
      <w:r>
        <w:rPr>
          <w:rStyle w:val="Bold"/>
          <w:caps/>
        </w:rPr>
        <w:t>Analysis</w:t>
      </w:r>
    </w:p>
    <w:p w:rsidR="00260042" w:rsidRDefault="00260042" w:rsidP="00260042">
      <w:pPr>
        <w:pStyle w:val="BodyText"/>
        <w:spacing w:after="57"/>
      </w:pPr>
      <w:r>
        <w:t xml:space="preserve">The agency achieved the annual target, with the result highlighting the agency’s </w:t>
      </w:r>
      <w:r>
        <w:rPr>
          <w:spacing w:val="-2"/>
        </w:rPr>
        <w:t>consistent improvements to health digital services that are supporting customers and health providers. The 12.8% increase over the last year comprised:</w:t>
      </w:r>
    </w:p>
    <w:p w:rsidR="00260042" w:rsidRDefault="00260042" w:rsidP="008930A3">
      <w:pPr>
        <w:pStyle w:val="ListBullet"/>
      </w:pPr>
      <w:r>
        <w:t>94 million Health Provider Online System interactions—an increase of 23 million</w:t>
      </w:r>
    </w:p>
    <w:p w:rsidR="00260042" w:rsidRDefault="00260042" w:rsidP="008930A3">
      <w:pPr>
        <w:pStyle w:val="ListBullet"/>
      </w:pPr>
      <w:r>
        <w:t>341 million online verification—an increase of 21 million</w:t>
      </w:r>
    </w:p>
    <w:p w:rsidR="00260042" w:rsidRDefault="00260042" w:rsidP="00EA5510">
      <w:pPr>
        <w:pStyle w:val="ListBullet"/>
      </w:pPr>
      <w:r>
        <w:t>24 million Medicare online and mobile application interactions—an increase of 8 million.</w:t>
      </w:r>
    </w:p>
    <w:p w:rsidR="00260042" w:rsidRDefault="00260042" w:rsidP="00260042">
      <w:pPr>
        <w:pStyle w:val="BodyText"/>
      </w:pPr>
      <w:r>
        <w:t>Health Provider Online System interactions have increased due to the COVID-19 vaccine rollout and the introduction of mandatory vaccine reporting (including for flu vaccines) in March 2021.</w:t>
      </w:r>
    </w:p>
    <w:p w:rsidR="00260042" w:rsidRDefault="00260042" w:rsidP="00260042">
      <w:pPr>
        <w:pStyle w:val="BodyText"/>
      </w:pPr>
      <w:r>
        <w:t xml:space="preserve">Digital interactions completed by customers through their Medicare Online Account and Express </w:t>
      </w:r>
      <w:proofErr w:type="gramStart"/>
      <w:r>
        <w:t>Plus</w:t>
      </w:r>
      <w:proofErr w:type="gramEnd"/>
      <w:r>
        <w:t xml:space="preserve"> Medicare mobile application also increased significantly during the year. Interactions with the largest increase are views (including viewing immunisation history, Medicare Safety Net Balance and claim history) and registering organ donor details. The significant increase from March 2021 aligns with media promotion for checking vaccine history and registering organ donor details. Customers may also be using this view for the increased need to provide immunisation evidence to various third parties. </w:t>
      </w:r>
    </w:p>
    <w:p w:rsidR="00260042" w:rsidRDefault="00260042" w:rsidP="00260042">
      <w:pPr>
        <w:pStyle w:val="BodyText"/>
      </w:pPr>
      <w:r>
        <w:t xml:space="preserve">Future enhancements to the Medicare Online Account and Express </w:t>
      </w:r>
      <w:proofErr w:type="gramStart"/>
      <w:r>
        <w:t>Plus</w:t>
      </w:r>
      <w:proofErr w:type="gramEnd"/>
      <w:r>
        <w:t xml:space="preserve"> Medicare mobile application include introducing links to connect to the agency’s programs and direct customers to the most appropriate platform, making it simpler for customers to self-manage their business. The agency is also streamlining online services to create a consistent experience for customers across platforms.</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236</w:t>
      </w:r>
      <w:r>
        <w:br/>
        <w:t>2020–21 Corporate Plan, page 18</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lastRenderedPageBreak/>
        <w:t>Enterprise Data Warehouse.</w:t>
      </w:r>
    </w:p>
    <w:p w:rsidR="00260042" w:rsidRDefault="00260042" w:rsidP="00260042">
      <w:pPr>
        <w:pStyle w:val="BodyText"/>
        <w:spacing w:after="0"/>
        <w:rPr>
          <w:rStyle w:val="Bold"/>
        </w:rPr>
      </w:pPr>
      <w:r>
        <w:rPr>
          <w:rStyle w:val="Bold"/>
          <w:caps/>
        </w:rPr>
        <w:t>Notes and Definitions</w:t>
      </w:r>
    </w:p>
    <w:p w:rsidR="00260042" w:rsidRDefault="00260042" w:rsidP="00260042">
      <w:pPr>
        <w:pStyle w:val="BodyText"/>
        <w:spacing w:after="57"/>
      </w:pPr>
      <w:r>
        <w:t xml:space="preserve">Self-service interactions by customers, providers and third parties conducted via digital channels to be included </w:t>
      </w:r>
      <w:proofErr w:type="gramStart"/>
      <w:r>
        <w:t>are defined</w:t>
      </w:r>
      <w:proofErr w:type="gramEnd"/>
      <w:r>
        <w:t xml:space="preserve"> as:</w:t>
      </w:r>
    </w:p>
    <w:p w:rsidR="00260042" w:rsidRDefault="00260042" w:rsidP="008930A3">
      <w:pPr>
        <w:pStyle w:val="ListBullet"/>
      </w:pPr>
      <w:r>
        <w:t xml:space="preserve">Health Provider Online Services </w:t>
      </w:r>
    </w:p>
    <w:p w:rsidR="00260042" w:rsidRDefault="00260042" w:rsidP="008930A3">
      <w:pPr>
        <w:pStyle w:val="ListBullet"/>
      </w:pPr>
      <w:r>
        <w:t xml:space="preserve">Medicare online accounts—via </w:t>
      </w:r>
      <w:proofErr w:type="spellStart"/>
      <w:r>
        <w:t>myGov</w:t>
      </w:r>
      <w:proofErr w:type="spellEnd"/>
      <w:r>
        <w:t xml:space="preserve"> and Express Plus Medicare applications</w:t>
      </w:r>
    </w:p>
    <w:p w:rsidR="00260042" w:rsidRDefault="00260042" w:rsidP="00EA5510">
      <w:pPr>
        <w:pStyle w:val="ListBullet"/>
      </w:pPr>
      <w:r>
        <w:t>Online Concessional Entitlement Verification and Online Patient Verification.</w:t>
      </w:r>
    </w:p>
    <w:p w:rsidR="00260042" w:rsidRDefault="00260042" w:rsidP="00FE6852">
      <w:pPr>
        <w:pStyle w:val="Heading5"/>
      </w:pPr>
      <w:r>
        <w:t xml:space="preserve">Performance measure 11 — Achievement of digital service </w:t>
      </w:r>
      <w:r w:rsidRPr="00FE6852">
        <w:t>level</w:t>
      </w:r>
      <w:r>
        <w:t xml:space="preserve"> standards: availability of ICT services excluding scheduled maintenance periods that support 24/7 customer access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11 — Achievement of digital service level standards: availability of ICT services excluding scheduled maintenance periods that support 24/7 customer access"/>
      </w:tblPr>
      <w:tblGrid>
        <w:gridCol w:w="1675"/>
        <w:gridCol w:w="2050"/>
        <w:gridCol w:w="2050"/>
        <w:gridCol w:w="2050"/>
        <w:gridCol w:w="2965"/>
      </w:tblGrid>
      <w:tr w:rsidR="00260042" w:rsidTr="00FE6852">
        <w:trPr>
          <w:trHeight w:val="376"/>
          <w:tblHeader/>
        </w:trPr>
        <w:tc>
          <w:tcPr>
            <w:tcW w:w="776" w:type="pct"/>
          </w:tcPr>
          <w:p w:rsidR="00260042" w:rsidRPr="00FE6852" w:rsidRDefault="00260042" w:rsidP="00FE6852">
            <w:pPr>
              <w:pStyle w:val="BodyText"/>
              <w:rPr>
                <w:b/>
              </w:rPr>
            </w:pPr>
            <w:r w:rsidRPr="00FE6852">
              <w:rPr>
                <w:b/>
              </w:rPr>
              <w:t>Year</w:t>
            </w:r>
          </w:p>
        </w:tc>
        <w:tc>
          <w:tcPr>
            <w:tcW w:w="950" w:type="pct"/>
          </w:tcPr>
          <w:p w:rsidR="00260042" w:rsidRPr="00FE6852" w:rsidRDefault="00260042" w:rsidP="00FE6852">
            <w:pPr>
              <w:pStyle w:val="BodyText"/>
              <w:rPr>
                <w:b/>
              </w:rPr>
            </w:pPr>
            <w:r w:rsidRPr="00FE6852">
              <w:rPr>
                <w:b/>
              </w:rPr>
              <w:t>Target</w:t>
            </w:r>
          </w:p>
        </w:tc>
        <w:tc>
          <w:tcPr>
            <w:tcW w:w="950" w:type="pct"/>
          </w:tcPr>
          <w:p w:rsidR="00260042" w:rsidRPr="00FE6852" w:rsidRDefault="00260042" w:rsidP="00FE6852">
            <w:pPr>
              <w:pStyle w:val="BodyText"/>
              <w:rPr>
                <w:b/>
              </w:rPr>
            </w:pPr>
            <w:r w:rsidRPr="00FE6852">
              <w:rPr>
                <w:b/>
              </w:rPr>
              <w:t>Result</w:t>
            </w:r>
          </w:p>
        </w:tc>
        <w:tc>
          <w:tcPr>
            <w:tcW w:w="950" w:type="pct"/>
          </w:tcPr>
          <w:p w:rsidR="00260042" w:rsidRPr="00FE6852" w:rsidRDefault="00260042" w:rsidP="00FE6852">
            <w:pPr>
              <w:pStyle w:val="BodyText"/>
              <w:rPr>
                <w:b/>
              </w:rPr>
            </w:pPr>
            <w:r w:rsidRPr="00FE6852">
              <w:rPr>
                <w:b/>
              </w:rPr>
              <w:t>Achieved</w:t>
            </w:r>
          </w:p>
        </w:tc>
        <w:tc>
          <w:tcPr>
            <w:tcW w:w="1374" w:type="pct"/>
          </w:tcPr>
          <w:p w:rsidR="00260042" w:rsidRPr="00FE6852" w:rsidRDefault="00260042" w:rsidP="00FE6852">
            <w:pPr>
              <w:pStyle w:val="BodyText"/>
              <w:rPr>
                <w:b/>
              </w:rPr>
            </w:pPr>
            <w:r w:rsidRPr="00FE6852">
              <w:rPr>
                <w:b/>
              </w:rPr>
              <w:t>Change on previous year +/–</w:t>
            </w:r>
          </w:p>
        </w:tc>
      </w:tr>
      <w:tr w:rsidR="00260042" w:rsidTr="00FE6852">
        <w:trPr>
          <w:trHeight w:val="376"/>
        </w:trPr>
        <w:tc>
          <w:tcPr>
            <w:tcW w:w="776" w:type="pct"/>
          </w:tcPr>
          <w:p w:rsidR="00260042" w:rsidRDefault="00260042" w:rsidP="00FE6852">
            <w:pPr>
              <w:pStyle w:val="BodyText"/>
            </w:pPr>
            <w:r>
              <w:t>2020–21</w:t>
            </w:r>
          </w:p>
        </w:tc>
        <w:tc>
          <w:tcPr>
            <w:tcW w:w="950" w:type="pct"/>
          </w:tcPr>
          <w:p w:rsidR="00260042" w:rsidRDefault="00260042" w:rsidP="00FE6852">
            <w:pPr>
              <w:pStyle w:val="BodyText"/>
            </w:pPr>
            <w:r>
              <w:t>≥98%</w:t>
            </w:r>
          </w:p>
        </w:tc>
        <w:tc>
          <w:tcPr>
            <w:tcW w:w="950" w:type="pct"/>
          </w:tcPr>
          <w:p w:rsidR="00260042" w:rsidRDefault="00260042" w:rsidP="00FE6852">
            <w:pPr>
              <w:pStyle w:val="BodyText"/>
            </w:pPr>
            <w:r>
              <w:t>99.6%</w:t>
            </w:r>
          </w:p>
        </w:tc>
        <w:tc>
          <w:tcPr>
            <w:tcW w:w="950" w:type="pct"/>
          </w:tcPr>
          <w:p w:rsidR="00260042" w:rsidRDefault="00260042" w:rsidP="00FE6852">
            <w:pPr>
              <w:pStyle w:val="BodyText"/>
            </w:pPr>
            <w:r>
              <w:rPr>
                <w:rStyle w:val="Bulletcolour"/>
                <w:rFonts w:ascii="Wingdings" w:hAnsi="Wingdings" w:cs="Wingdings"/>
              </w:rPr>
              <w:t></w:t>
            </w:r>
          </w:p>
        </w:tc>
        <w:tc>
          <w:tcPr>
            <w:tcW w:w="1374" w:type="pct"/>
          </w:tcPr>
          <w:p w:rsidR="00260042" w:rsidRDefault="00260042" w:rsidP="00FE6852">
            <w:pPr>
              <w:pStyle w:val="BodyText"/>
            </w:pPr>
            <w:r>
              <w:t>No change</w:t>
            </w:r>
          </w:p>
        </w:tc>
      </w:tr>
      <w:tr w:rsidR="00260042" w:rsidTr="00FE6852">
        <w:trPr>
          <w:trHeight w:val="376"/>
        </w:trPr>
        <w:tc>
          <w:tcPr>
            <w:tcW w:w="776" w:type="pct"/>
          </w:tcPr>
          <w:p w:rsidR="00260042" w:rsidRDefault="00260042" w:rsidP="00FE6852">
            <w:pPr>
              <w:pStyle w:val="BodyText"/>
            </w:pPr>
            <w:r>
              <w:t>2019–20</w:t>
            </w:r>
          </w:p>
        </w:tc>
        <w:tc>
          <w:tcPr>
            <w:tcW w:w="950" w:type="pct"/>
          </w:tcPr>
          <w:p w:rsidR="00260042" w:rsidRDefault="00260042" w:rsidP="00FE6852">
            <w:pPr>
              <w:pStyle w:val="BodyText"/>
            </w:pPr>
            <w:r>
              <w:t>≥98%</w:t>
            </w:r>
          </w:p>
        </w:tc>
        <w:tc>
          <w:tcPr>
            <w:tcW w:w="950" w:type="pct"/>
          </w:tcPr>
          <w:p w:rsidR="00260042" w:rsidRDefault="00260042" w:rsidP="00FE6852">
            <w:pPr>
              <w:pStyle w:val="BodyText"/>
            </w:pPr>
            <w:r>
              <w:t>99.6%</w:t>
            </w:r>
          </w:p>
        </w:tc>
        <w:tc>
          <w:tcPr>
            <w:tcW w:w="950" w:type="pct"/>
          </w:tcPr>
          <w:p w:rsidR="00260042" w:rsidRDefault="00260042" w:rsidP="00FE6852">
            <w:pPr>
              <w:pStyle w:val="BodyText"/>
            </w:pPr>
            <w:r>
              <w:rPr>
                <w:rStyle w:val="Bulletcolour"/>
                <w:rFonts w:ascii="Wingdings" w:hAnsi="Wingdings" w:cs="Wingdings"/>
              </w:rPr>
              <w:t></w:t>
            </w:r>
          </w:p>
        </w:tc>
        <w:tc>
          <w:tcPr>
            <w:tcW w:w="1374" w:type="pct"/>
          </w:tcPr>
          <w:p w:rsidR="00260042" w:rsidRDefault="00260042" w:rsidP="00FE6852">
            <w:pPr>
              <w:pStyle w:val="BodyText"/>
            </w:pPr>
            <w:r>
              <w:t>+0.2%</w:t>
            </w:r>
          </w:p>
        </w:tc>
      </w:tr>
      <w:tr w:rsidR="00260042" w:rsidTr="00FE6852">
        <w:trPr>
          <w:trHeight w:val="376"/>
        </w:trPr>
        <w:tc>
          <w:tcPr>
            <w:tcW w:w="776" w:type="pct"/>
          </w:tcPr>
          <w:p w:rsidR="00260042" w:rsidRDefault="00260042" w:rsidP="00FE6852">
            <w:pPr>
              <w:pStyle w:val="BodyText"/>
            </w:pPr>
            <w:r>
              <w:t>2018–19</w:t>
            </w:r>
          </w:p>
        </w:tc>
        <w:tc>
          <w:tcPr>
            <w:tcW w:w="950" w:type="pct"/>
          </w:tcPr>
          <w:p w:rsidR="00260042" w:rsidRDefault="00260042" w:rsidP="00FE6852">
            <w:pPr>
              <w:pStyle w:val="BodyText"/>
            </w:pPr>
            <w:r>
              <w:t>≥98%</w:t>
            </w:r>
          </w:p>
        </w:tc>
        <w:tc>
          <w:tcPr>
            <w:tcW w:w="950" w:type="pct"/>
          </w:tcPr>
          <w:p w:rsidR="00260042" w:rsidRDefault="00260042" w:rsidP="00FE6852">
            <w:pPr>
              <w:pStyle w:val="BodyText"/>
            </w:pPr>
            <w:r>
              <w:t>99.4%</w:t>
            </w:r>
          </w:p>
        </w:tc>
        <w:tc>
          <w:tcPr>
            <w:tcW w:w="950" w:type="pct"/>
          </w:tcPr>
          <w:p w:rsidR="00260042" w:rsidRDefault="00260042" w:rsidP="00FE6852">
            <w:pPr>
              <w:pStyle w:val="BodyText"/>
            </w:pPr>
            <w:r>
              <w:rPr>
                <w:rStyle w:val="Bulletcolour"/>
                <w:rFonts w:ascii="Wingdings" w:hAnsi="Wingdings" w:cs="Wingdings"/>
              </w:rPr>
              <w:t></w:t>
            </w:r>
          </w:p>
        </w:tc>
        <w:tc>
          <w:tcPr>
            <w:tcW w:w="1374" w:type="pct"/>
          </w:tcPr>
          <w:p w:rsidR="00260042" w:rsidRDefault="00260042" w:rsidP="00FE6852">
            <w:pPr>
              <w:pStyle w:val="BodyText"/>
            </w:pPr>
            <w:r>
              <w:t>–0.2%</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The agency achieved its annual target, which demonstrates the ability for customers to manage their business through self-service channels. The outcome of 99.6% highlights the availability of self-service channels.</w:t>
      </w:r>
    </w:p>
    <w:p w:rsidR="00260042" w:rsidRDefault="00260042" w:rsidP="00260042">
      <w:pPr>
        <w:pStyle w:val="BodyText"/>
        <w:spacing w:after="57"/>
      </w:pPr>
      <w:r>
        <w:t xml:space="preserve">In preparation for the COVID-19 vaccine rollout and the increasing customer uptake of </w:t>
      </w:r>
      <w:proofErr w:type="spellStart"/>
      <w:r>
        <w:t>myGov</w:t>
      </w:r>
      <w:proofErr w:type="spellEnd"/>
      <w:r>
        <w:t xml:space="preserve">, a number of enhancements were made to Medicare online accounts and Express </w:t>
      </w:r>
      <w:proofErr w:type="gramStart"/>
      <w:r>
        <w:t>Plus</w:t>
      </w:r>
      <w:proofErr w:type="gramEnd"/>
      <w:r>
        <w:t xml:space="preserve"> Medicare mobile application including:</w:t>
      </w:r>
    </w:p>
    <w:p w:rsidR="00260042" w:rsidRDefault="00260042" w:rsidP="008930A3">
      <w:pPr>
        <w:pStyle w:val="ListBullet"/>
      </w:pPr>
      <w:r>
        <w:t>introduction of COVID-19 digital certificate in Medicare online accounts and Express Plus Medicare mobile application</w:t>
      </w:r>
    </w:p>
    <w:p w:rsidR="00260042" w:rsidRDefault="00260042" w:rsidP="00EA5510">
      <w:pPr>
        <w:pStyle w:val="ListBullet"/>
      </w:pPr>
      <w:proofErr w:type="gramStart"/>
      <w:r>
        <w:t>performance</w:t>
      </w:r>
      <w:proofErr w:type="gramEnd"/>
      <w:r>
        <w:t xml:space="preserve"> improvements to support increasing demand.</w:t>
      </w:r>
    </w:p>
    <w:p w:rsidR="00260042" w:rsidRDefault="00260042" w:rsidP="00260042">
      <w:pPr>
        <w:pStyle w:val="BodyText"/>
        <w:keepNext/>
        <w:spacing w:after="0"/>
        <w:rPr>
          <w:rStyle w:val="Bold"/>
        </w:rPr>
      </w:pPr>
      <w:r>
        <w:rPr>
          <w:rStyle w:val="Bold"/>
        </w:rPr>
        <w:t>REFERENCE</w:t>
      </w:r>
    </w:p>
    <w:p w:rsidR="00260042" w:rsidRDefault="00260042" w:rsidP="00260042">
      <w:pPr>
        <w:pStyle w:val="BodyText"/>
      </w:pPr>
      <w:r>
        <w:t>2020–21 Portfolio Budget Statements, page 236</w:t>
      </w:r>
      <w:r>
        <w:br/>
        <w:t>2020–21 Corporate Plan, page 18</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 xml:space="preserve">Internal data sources including incident records, problem records, and scheduled maintenance periods </w:t>
      </w:r>
      <w:proofErr w:type="gramStart"/>
      <w:r>
        <w:t>are used</w:t>
      </w:r>
      <w:proofErr w:type="gramEnd"/>
      <w:r>
        <w:t xml:space="preserve"> to calculate the availability result.</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Customer means the public, in particular customers using online services and mobile applications.</w:t>
      </w:r>
    </w:p>
    <w:p w:rsidR="00260042" w:rsidRDefault="00260042" w:rsidP="00EA5510">
      <w:pPr>
        <w:pStyle w:val="ListBullet"/>
      </w:pPr>
      <w:r>
        <w:t>Data sources reflect the use of agency endorsed data collection or visualisation applications that are relevant to service outcomes.</w:t>
      </w:r>
    </w:p>
    <w:p w:rsidR="00260042" w:rsidRDefault="00260042" w:rsidP="002E64CE">
      <w:pPr>
        <w:pStyle w:val="Heading3"/>
      </w:pPr>
      <w:r>
        <w:lastRenderedPageBreak/>
        <w:t>Program 1.3: CHILD SUPPORT</w:t>
      </w:r>
    </w:p>
    <w:tbl>
      <w:tblPr>
        <w:tblStyle w:val="TableGrid"/>
        <w:tblW w:w="5000" w:type="pct"/>
        <w:tblLook w:val="0000" w:firstRow="0" w:lastRow="0" w:firstColumn="0" w:lastColumn="0" w:noHBand="0" w:noVBand="0"/>
        <w:tblCaption w:val="Program 1.3: CHILD SUPPORT"/>
      </w:tblPr>
      <w:tblGrid>
        <w:gridCol w:w="574"/>
        <w:gridCol w:w="5052"/>
        <w:gridCol w:w="1722"/>
        <w:gridCol w:w="1802"/>
        <w:gridCol w:w="1640"/>
      </w:tblGrid>
      <w:tr w:rsidR="00260042" w:rsidTr="00FE6852">
        <w:trPr>
          <w:trHeight w:val="60"/>
          <w:tblHeader/>
        </w:trPr>
        <w:tc>
          <w:tcPr>
            <w:tcW w:w="266" w:type="pct"/>
          </w:tcPr>
          <w:p w:rsidR="00260042" w:rsidRPr="00FE6852" w:rsidRDefault="00260042" w:rsidP="00FE6852">
            <w:pPr>
              <w:pStyle w:val="BodyText"/>
              <w:rPr>
                <w:b/>
              </w:rPr>
            </w:pPr>
          </w:p>
        </w:tc>
        <w:tc>
          <w:tcPr>
            <w:tcW w:w="2341" w:type="pct"/>
          </w:tcPr>
          <w:p w:rsidR="00260042" w:rsidRPr="00FE6852" w:rsidRDefault="00260042" w:rsidP="00FE6852">
            <w:pPr>
              <w:pStyle w:val="BodyText"/>
              <w:rPr>
                <w:b/>
              </w:rPr>
            </w:pPr>
            <w:r w:rsidRPr="00FE6852">
              <w:rPr>
                <w:rStyle w:val="Bulletcolour"/>
                <w:b/>
              </w:rPr>
              <w:t xml:space="preserve">Performance measure </w:t>
            </w:r>
          </w:p>
        </w:tc>
        <w:tc>
          <w:tcPr>
            <w:tcW w:w="798" w:type="pct"/>
          </w:tcPr>
          <w:p w:rsidR="00260042" w:rsidRPr="00FE6852" w:rsidRDefault="00260042" w:rsidP="00FE6852">
            <w:pPr>
              <w:pStyle w:val="BodyText"/>
              <w:rPr>
                <w:b/>
              </w:rPr>
            </w:pPr>
            <w:r w:rsidRPr="00FE6852">
              <w:rPr>
                <w:rStyle w:val="Bulletcolour"/>
                <w:b/>
              </w:rPr>
              <w:t xml:space="preserve">Target </w:t>
            </w:r>
          </w:p>
        </w:tc>
        <w:tc>
          <w:tcPr>
            <w:tcW w:w="835" w:type="pct"/>
          </w:tcPr>
          <w:p w:rsidR="00260042" w:rsidRPr="00FE6852" w:rsidRDefault="00260042" w:rsidP="00FE6852">
            <w:pPr>
              <w:pStyle w:val="BodyText"/>
              <w:rPr>
                <w:b/>
              </w:rPr>
            </w:pPr>
            <w:r w:rsidRPr="00FE6852">
              <w:rPr>
                <w:rStyle w:val="Bulletcolour"/>
                <w:b/>
              </w:rPr>
              <w:t>Result</w:t>
            </w:r>
          </w:p>
        </w:tc>
        <w:tc>
          <w:tcPr>
            <w:tcW w:w="760" w:type="pct"/>
          </w:tcPr>
          <w:p w:rsidR="00260042" w:rsidRPr="00FE6852" w:rsidRDefault="00260042" w:rsidP="00FE6852">
            <w:pPr>
              <w:pStyle w:val="BodyText"/>
              <w:rPr>
                <w:b/>
              </w:rPr>
            </w:pPr>
            <w:r w:rsidRPr="00FE6852">
              <w:rPr>
                <w:rStyle w:val="Bulletcolour"/>
                <w:b/>
              </w:rPr>
              <w:t>Achieved</w:t>
            </w:r>
          </w:p>
        </w:tc>
      </w:tr>
      <w:tr w:rsidR="00260042" w:rsidTr="00FE6852">
        <w:trPr>
          <w:trHeight w:val="60"/>
        </w:trPr>
        <w:tc>
          <w:tcPr>
            <w:tcW w:w="266" w:type="pct"/>
          </w:tcPr>
          <w:p w:rsidR="00260042" w:rsidRDefault="00260042" w:rsidP="00FE6852">
            <w:pPr>
              <w:pStyle w:val="BodyText"/>
            </w:pPr>
            <w:r>
              <w:t>1.</w:t>
            </w:r>
          </w:p>
        </w:tc>
        <w:tc>
          <w:tcPr>
            <w:tcW w:w="2341" w:type="pct"/>
          </w:tcPr>
          <w:p w:rsidR="00260042" w:rsidRDefault="00260042" w:rsidP="00FE6852">
            <w:pPr>
              <w:pStyle w:val="BodyText"/>
            </w:pPr>
            <w:r>
              <w:rPr>
                <w:rStyle w:val="Bulletcolour"/>
              </w:rPr>
              <w:t>Customer satisfaction: achievement of customer satisfaction standards</w:t>
            </w:r>
          </w:p>
        </w:tc>
        <w:tc>
          <w:tcPr>
            <w:tcW w:w="798" w:type="pct"/>
          </w:tcPr>
          <w:p w:rsidR="00260042" w:rsidRDefault="00260042" w:rsidP="00FE6852">
            <w:pPr>
              <w:pStyle w:val="BodyText"/>
            </w:pPr>
            <w:r>
              <w:rPr>
                <w:rStyle w:val="Bulletcolour"/>
              </w:rPr>
              <w:t xml:space="preserve">≥85 </w:t>
            </w:r>
            <w:r>
              <w:rPr>
                <w:rStyle w:val="Bulletcolour"/>
              </w:rPr>
              <w:br/>
              <w:t>out of 100</w:t>
            </w:r>
          </w:p>
        </w:tc>
        <w:tc>
          <w:tcPr>
            <w:tcW w:w="835" w:type="pct"/>
          </w:tcPr>
          <w:p w:rsidR="00260042" w:rsidRDefault="00260042" w:rsidP="00FE6852">
            <w:pPr>
              <w:pStyle w:val="BodyText"/>
            </w:pPr>
            <w:r>
              <w:rPr>
                <w:rStyle w:val="Bulletcolour"/>
              </w:rPr>
              <w:t xml:space="preserve">85.9 </w:t>
            </w:r>
            <w:r>
              <w:rPr>
                <w:rStyle w:val="Bulletcolour"/>
              </w:rPr>
              <w:br/>
              <w:t>out of 100</w:t>
            </w:r>
          </w:p>
        </w:tc>
        <w:tc>
          <w:tcPr>
            <w:tcW w:w="760" w:type="pct"/>
          </w:tcPr>
          <w:p w:rsidR="00260042" w:rsidRDefault="00260042" w:rsidP="00FE6852">
            <w:pPr>
              <w:pStyle w:val="BodyText"/>
            </w:pPr>
            <w:r>
              <w:rPr>
                <w:rStyle w:val="Bulletcolour"/>
                <w:rFonts w:ascii="Wingdings" w:hAnsi="Wingdings" w:cs="Wingdings"/>
              </w:rPr>
              <w:t></w:t>
            </w:r>
          </w:p>
        </w:tc>
      </w:tr>
      <w:tr w:rsidR="00260042" w:rsidTr="00FE6852">
        <w:trPr>
          <w:trHeight w:val="60"/>
        </w:trPr>
        <w:tc>
          <w:tcPr>
            <w:tcW w:w="266" w:type="pct"/>
          </w:tcPr>
          <w:p w:rsidR="00260042" w:rsidRDefault="00260042" w:rsidP="00FE6852">
            <w:pPr>
              <w:pStyle w:val="BodyText"/>
            </w:pPr>
            <w:r>
              <w:t>2.</w:t>
            </w:r>
          </w:p>
        </w:tc>
        <w:tc>
          <w:tcPr>
            <w:tcW w:w="2341" w:type="pct"/>
          </w:tcPr>
          <w:p w:rsidR="00260042" w:rsidRDefault="00260042" w:rsidP="00FE6852">
            <w:pPr>
              <w:pStyle w:val="BodyText"/>
            </w:pPr>
            <w:r>
              <w:rPr>
                <w:rStyle w:val="Bulletcolour"/>
              </w:rPr>
              <w:t>Child Support collection: percentage of domestic active paying parents with less than one month Child Support liability outstanding</w:t>
            </w:r>
          </w:p>
        </w:tc>
        <w:tc>
          <w:tcPr>
            <w:tcW w:w="798" w:type="pct"/>
          </w:tcPr>
          <w:p w:rsidR="00260042" w:rsidRDefault="00260042" w:rsidP="00FE6852">
            <w:pPr>
              <w:pStyle w:val="BodyText"/>
            </w:pPr>
            <w:r>
              <w:rPr>
                <w:rStyle w:val="Bulletcolour"/>
              </w:rPr>
              <w:t>≥63%</w:t>
            </w:r>
          </w:p>
        </w:tc>
        <w:tc>
          <w:tcPr>
            <w:tcW w:w="835" w:type="pct"/>
          </w:tcPr>
          <w:p w:rsidR="00260042" w:rsidRDefault="00260042" w:rsidP="00FE6852">
            <w:pPr>
              <w:pStyle w:val="BodyText"/>
            </w:pPr>
            <w:r>
              <w:rPr>
                <w:rStyle w:val="Bulletcolour"/>
              </w:rPr>
              <w:t>67.3%</w:t>
            </w:r>
          </w:p>
        </w:tc>
        <w:tc>
          <w:tcPr>
            <w:tcW w:w="760" w:type="pct"/>
          </w:tcPr>
          <w:p w:rsidR="00260042" w:rsidRDefault="00260042" w:rsidP="00FE6852">
            <w:pPr>
              <w:pStyle w:val="BodyText"/>
            </w:pPr>
            <w:r>
              <w:rPr>
                <w:rStyle w:val="Bulletcolour"/>
                <w:rFonts w:ascii="Wingdings" w:hAnsi="Wingdings" w:cs="Wingdings"/>
              </w:rPr>
              <w:t></w:t>
            </w:r>
          </w:p>
        </w:tc>
      </w:tr>
      <w:tr w:rsidR="00260042" w:rsidTr="00FE6852">
        <w:trPr>
          <w:trHeight w:val="60"/>
        </w:trPr>
        <w:tc>
          <w:tcPr>
            <w:tcW w:w="266" w:type="pct"/>
          </w:tcPr>
          <w:p w:rsidR="00260042" w:rsidRDefault="00260042" w:rsidP="00FE6852">
            <w:pPr>
              <w:pStyle w:val="BodyText"/>
            </w:pPr>
            <w:r>
              <w:t>3.</w:t>
            </w:r>
          </w:p>
        </w:tc>
        <w:tc>
          <w:tcPr>
            <w:tcW w:w="2341" w:type="pct"/>
          </w:tcPr>
          <w:p w:rsidR="00260042" w:rsidRDefault="00260042" w:rsidP="00FE6852">
            <w:pPr>
              <w:pStyle w:val="BodyText"/>
            </w:pPr>
            <w:r>
              <w:rPr>
                <w:rStyle w:val="Bulletcolour"/>
              </w:rPr>
              <w:t>Achievement of payment quality standards: Child Support: debt under arrangement</w:t>
            </w:r>
          </w:p>
        </w:tc>
        <w:tc>
          <w:tcPr>
            <w:tcW w:w="798" w:type="pct"/>
          </w:tcPr>
          <w:p w:rsidR="00260042" w:rsidRDefault="00260042" w:rsidP="00FE6852">
            <w:pPr>
              <w:pStyle w:val="BodyText"/>
            </w:pPr>
            <w:r>
              <w:rPr>
                <w:rStyle w:val="Bulletcolour"/>
              </w:rPr>
              <w:t>≥41%</w:t>
            </w:r>
          </w:p>
        </w:tc>
        <w:tc>
          <w:tcPr>
            <w:tcW w:w="835" w:type="pct"/>
          </w:tcPr>
          <w:p w:rsidR="00260042" w:rsidRDefault="00260042" w:rsidP="00FE6852">
            <w:pPr>
              <w:pStyle w:val="BodyText"/>
            </w:pPr>
            <w:r>
              <w:rPr>
                <w:rStyle w:val="Bulletcolour"/>
              </w:rPr>
              <w:t>43.1%</w:t>
            </w:r>
          </w:p>
        </w:tc>
        <w:tc>
          <w:tcPr>
            <w:tcW w:w="760" w:type="pct"/>
          </w:tcPr>
          <w:p w:rsidR="00260042" w:rsidRDefault="00260042" w:rsidP="00FE6852">
            <w:pPr>
              <w:pStyle w:val="BodyText"/>
            </w:pPr>
            <w:r>
              <w:rPr>
                <w:rStyle w:val="Bulletcolour"/>
                <w:rFonts w:ascii="Wingdings" w:hAnsi="Wingdings" w:cs="Wingdings"/>
              </w:rPr>
              <w:t></w:t>
            </w:r>
          </w:p>
        </w:tc>
      </w:tr>
      <w:tr w:rsidR="00260042" w:rsidTr="00FE6852">
        <w:trPr>
          <w:trHeight w:val="60"/>
        </w:trPr>
        <w:tc>
          <w:tcPr>
            <w:tcW w:w="266" w:type="pct"/>
          </w:tcPr>
          <w:p w:rsidR="00260042" w:rsidRDefault="00260042" w:rsidP="00FE6852">
            <w:pPr>
              <w:pStyle w:val="BodyText"/>
            </w:pPr>
            <w:r>
              <w:t>4.</w:t>
            </w:r>
          </w:p>
        </w:tc>
        <w:tc>
          <w:tcPr>
            <w:tcW w:w="2341" w:type="pct"/>
          </w:tcPr>
          <w:p w:rsidR="00260042" w:rsidRDefault="00260042" w:rsidP="00FE6852">
            <w:pPr>
              <w:pStyle w:val="BodyText"/>
            </w:pPr>
            <w:r>
              <w:t>Achievement of telephony service level standards: average speed of answer</w:t>
            </w:r>
          </w:p>
        </w:tc>
        <w:tc>
          <w:tcPr>
            <w:tcW w:w="798" w:type="pct"/>
          </w:tcPr>
          <w:p w:rsidR="00260042" w:rsidRDefault="00260042" w:rsidP="00FE6852">
            <w:pPr>
              <w:pStyle w:val="BodyText"/>
            </w:pPr>
            <w:r>
              <w:rPr>
                <w:spacing w:val="-4"/>
              </w:rPr>
              <w:t>≤3 minutes</w:t>
            </w:r>
          </w:p>
        </w:tc>
        <w:tc>
          <w:tcPr>
            <w:tcW w:w="835" w:type="pct"/>
          </w:tcPr>
          <w:p w:rsidR="00260042" w:rsidRDefault="00260042" w:rsidP="00FE6852">
            <w:pPr>
              <w:pStyle w:val="BodyText"/>
            </w:pPr>
            <w:r>
              <w:t xml:space="preserve">2 minutes </w:t>
            </w:r>
            <w:r>
              <w:rPr>
                <w:spacing w:val="-2"/>
              </w:rPr>
              <w:t>50 seconds</w:t>
            </w:r>
          </w:p>
        </w:tc>
        <w:tc>
          <w:tcPr>
            <w:tcW w:w="760" w:type="pct"/>
          </w:tcPr>
          <w:p w:rsidR="00260042" w:rsidRDefault="00260042" w:rsidP="00FE6852">
            <w:pPr>
              <w:pStyle w:val="BodyText"/>
            </w:pPr>
            <w:r>
              <w:rPr>
                <w:rStyle w:val="Bulletcolour"/>
                <w:rFonts w:ascii="Wingdings" w:hAnsi="Wingdings" w:cs="Wingdings"/>
              </w:rPr>
              <w:t></w:t>
            </w:r>
          </w:p>
        </w:tc>
      </w:tr>
      <w:tr w:rsidR="00260042" w:rsidTr="00FE6852">
        <w:trPr>
          <w:trHeight w:val="60"/>
        </w:trPr>
        <w:tc>
          <w:tcPr>
            <w:tcW w:w="266" w:type="pct"/>
          </w:tcPr>
          <w:p w:rsidR="00260042" w:rsidRDefault="00260042" w:rsidP="00FE6852">
            <w:pPr>
              <w:pStyle w:val="BodyText"/>
            </w:pPr>
            <w:r>
              <w:t>5.</w:t>
            </w:r>
          </w:p>
        </w:tc>
        <w:tc>
          <w:tcPr>
            <w:tcW w:w="2341" w:type="pct"/>
          </w:tcPr>
          <w:p w:rsidR="00260042" w:rsidRDefault="00260042" w:rsidP="00FE6852">
            <w:pPr>
              <w:pStyle w:val="BodyText"/>
            </w:pPr>
            <w:r>
              <w:t>Achievement of processing service level standards: registrations completed within standard</w:t>
            </w:r>
          </w:p>
        </w:tc>
        <w:tc>
          <w:tcPr>
            <w:tcW w:w="798" w:type="pct"/>
          </w:tcPr>
          <w:p w:rsidR="00260042" w:rsidRDefault="00260042" w:rsidP="00FE6852">
            <w:pPr>
              <w:pStyle w:val="BodyText"/>
            </w:pPr>
            <w:r>
              <w:t>≥82%</w:t>
            </w:r>
          </w:p>
        </w:tc>
        <w:tc>
          <w:tcPr>
            <w:tcW w:w="835" w:type="pct"/>
          </w:tcPr>
          <w:p w:rsidR="00260042" w:rsidRDefault="00260042" w:rsidP="00FE6852">
            <w:pPr>
              <w:pStyle w:val="BodyText"/>
            </w:pPr>
            <w:r>
              <w:t>82.2%</w:t>
            </w:r>
          </w:p>
        </w:tc>
        <w:tc>
          <w:tcPr>
            <w:tcW w:w="760" w:type="pct"/>
          </w:tcPr>
          <w:p w:rsidR="00260042" w:rsidRDefault="00260042" w:rsidP="00FE6852">
            <w:pPr>
              <w:pStyle w:val="BodyText"/>
            </w:pPr>
            <w:r>
              <w:rPr>
                <w:rStyle w:val="Bulletcolour"/>
                <w:rFonts w:ascii="Wingdings" w:hAnsi="Wingdings" w:cs="Wingdings"/>
              </w:rPr>
              <w:t></w:t>
            </w:r>
          </w:p>
        </w:tc>
      </w:tr>
      <w:tr w:rsidR="00260042" w:rsidTr="00FE6852">
        <w:trPr>
          <w:trHeight w:val="60"/>
        </w:trPr>
        <w:tc>
          <w:tcPr>
            <w:tcW w:w="266" w:type="pct"/>
          </w:tcPr>
          <w:p w:rsidR="00260042" w:rsidRDefault="00260042" w:rsidP="00FE6852">
            <w:pPr>
              <w:pStyle w:val="BodyText"/>
            </w:pPr>
            <w:r>
              <w:t>6.</w:t>
            </w:r>
          </w:p>
        </w:tc>
        <w:tc>
          <w:tcPr>
            <w:tcW w:w="2341" w:type="pct"/>
          </w:tcPr>
          <w:p w:rsidR="00260042" w:rsidRDefault="00260042" w:rsidP="00FE6852">
            <w:pPr>
              <w:pStyle w:val="BodyText"/>
            </w:pPr>
            <w:r>
              <w:t>Achievement of digital service level standards: interactions completed via digital channels</w:t>
            </w:r>
          </w:p>
        </w:tc>
        <w:tc>
          <w:tcPr>
            <w:tcW w:w="798" w:type="pct"/>
          </w:tcPr>
          <w:p w:rsidR="00260042" w:rsidRDefault="00260042" w:rsidP="00FE6852">
            <w:pPr>
              <w:pStyle w:val="BodyText"/>
            </w:pPr>
            <w:r>
              <w:rPr>
                <w:spacing w:val="-4"/>
              </w:rPr>
              <w:t>≥5% increase</w:t>
            </w:r>
          </w:p>
        </w:tc>
        <w:tc>
          <w:tcPr>
            <w:tcW w:w="835" w:type="pct"/>
          </w:tcPr>
          <w:p w:rsidR="00260042" w:rsidRDefault="00260042" w:rsidP="00FE6852">
            <w:pPr>
              <w:pStyle w:val="BodyText"/>
            </w:pPr>
            <w:r>
              <w:t>8.5% increase</w:t>
            </w:r>
          </w:p>
        </w:tc>
        <w:tc>
          <w:tcPr>
            <w:tcW w:w="760" w:type="pct"/>
          </w:tcPr>
          <w:p w:rsidR="00260042" w:rsidRDefault="00260042" w:rsidP="00FE6852">
            <w:pPr>
              <w:pStyle w:val="BodyText"/>
            </w:pPr>
            <w:r>
              <w:rPr>
                <w:rStyle w:val="Bulletcolour"/>
                <w:rFonts w:ascii="Wingdings" w:hAnsi="Wingdings" w:cs="Wingdings"/>
              </w:rPr>
              <w:t></w:t>
            </w:r>
          </w:p>
        </w:tc>
      </w:tr>
      <w:tr w:rsidR="00260042" w:rsidTr="00FE6852">
        <w:trPr>
          <w:trHeight w:val="60"/>
        </w:trPr>
        <w:tc>
          <w:tcPr>
            <w:tcW w:w="266" w:type="pct"/>
          </w:tcPr>
          <w:p w:rsidR="00260042" w:rsidRDefault="00260042" w:rsidP="00FE6852">
            <w:pPr>
              <w:pStyle w:val="BodyText"/>
            </w:pPr>
            <w:r>
              <w:t>7.</w:t>
            </w:r>
          </w:p>
        </w:tc>
        <w:tc>
          <w:tcPr>
            <w:tcW w:w="2341" w:type="pct"/>
          </w:tcPr>
          <w:p w:rsidR="00260042" w:rsidRDefault="00260042" w:rsidP="00FE6852">
            <w:pPr>
              <w:pStyle w:val="BodyText"/>
            </w:pPr>
            <w:r>
              <w:t>Achievement of digital service level standards: availability of ICT services excluding scheduled maintenance periods that support 24/7 customer access</w:t>
            </w:r>
          </w:p>
        </w:tc>
        <w:tc>
          <w:tcPr>
            <w:tcW w:w="798" w:type="pct"/>
          </w:tcPr>
          <w:p w:rsidR="00260042" w:rsidRDefault="00260042" w:rsidP="00FE6852">
            <w:pPr>
              <w:pStyle w:val="BodyText"/>
            </w:pPr>
            <w:r>
              <w:t>≥98%</w:t>
            </w:r>
          </w:p>
        </w:tc>
        <w:tc>
          <w:tcPr>
            <w:tcW w:w="835" w:type="pct"/>
          </w:tcPr>
          <w:p w:rsidR="00260042" w:rsidRDefault="00260042" w:rsidP="00FE6852">
            <w:pPr>
              <w:pStyle w:val="BodyText"/>
            </w:pPr>
            <w:r>
              <w:t>99.8%</w:t>
            </w:r>
          </w:p>
        </w:tc>
        <w:tc>
          <w:tcPr>
            <w:tcW w:w="760" w:type="pct"/>
          </w:tcPr>
          <w:p w:rsidR="00260042" w:rsidRDefault="00260042" w:rsidP="00FE6852">
            <w:pPr>
              <w:pStyle w:val="BodyText"/>
            </w:pPr>
            <w:r>
              <w:rPr>
                <w:rStyle w:val="Bulletcolour"/>
                <w:rFonts w:ascii="Wingdings" w:hAnsi="Wingdings" w:cs="Wingdings"/>
              </w:rPr>
              <w:t></w:t>
            </w:r>
          </w:p>
        </w:tc>
      </w:tr>
    </w:tbl>
    <w:p w:rsidR="00260042" w:rsidRDefault="00260042" w:rsidP="00260042">
      <w:pPr>
        <w:pStyle w:val="BodyText"/>
      </w:pPr>
      <w:r>
        <w:t xml:space="preserve">The agency achieved all seven Child Support performance measures in 2020–21, in comparison to </w:t>
      </w:r>
      <w:proofErr w:type="gramStart"/>
      <w:r>
        <w:t>5</w:t>
      </w:r>
      <w:proofErr w:type="gramEnd"/>
      <w:r>
        <w:t xml:space="preserve"> of 8 in 2019–20, noting there was no set target for the now removed Trust performance measure last year.</w:t>
      </w:r>
    </w:p>
    <w:p w:rsidR="00260042" w:rsidRDefault="00260042" w:rsidP="00260042">
      <w:pPr>
        <w:pStyle w:val="BodyText"/>
      </w:pPr>
      <w:r>
        <w:t xml:space="preserve">The program exceeded the target for customer satisfaction results for the first time, reflecting the agency’s focus on improving Child Support services as a whole. </w:t>
      </w:r>
      <w:proofErr w:type="gramStart"/>
      <w:r>
        <w:t>The agency worked with separated families to facilitate the transfer of around $3.81 billion in Child Support payments, an increase of 2% ($40 million) transferred between parents to support approximately 1.2 million children, with added focus on utilising capacity and available resources with greater efficiency and planning, which notably resulted in a decrease in the average speed of answer by over 11 minutes compared to 2019–20.</w:t>
      </w:r>
      <w:proofErr w:type="gramEnd"/>
    </w:p>
    <w:p w:rsidR="00260042" w:rsidRDefault="00260042" w:rsidP="00260042">
      <w:pPr>
        <w:pStyle w:val="BodyText"/>
      </w:pPr>
      <w:r>
        <w:t xml:space="preserve">As experienced across the agency during 2020–21, digital interactions increased substantially compared to 2019–20. This result </w:t>
      </w:r>
      <w:proofErr w:type="gramStart"/>
      <w:r>
        <w:t>was underpinned</w:t>
      </w:r>
      <w:proofErr w:type="gramEnd"/>
      <w:r>
        <w:t xml:space="preserve"> by the high level of availability of our ICT systems.</w:t>
      </w:r>
    </w:p>
    <w:p w:rsidR="00260042" w:rsidRDefault="00260042" w:rsidP="00260042">
      <w:pPr>
        <w:pStyle w:val="BodyText"/>
      </w:pPr>
      <w:r>
        <w:t xml:space="preserve">The 2020–21 performance measure results demonstrate that the Child Support Program has enabled the agency to achieve its purpose to support Australians by efficiently delivering high quality, accessible services and payments on behalf of government. </w:t>
      </w:r>
    </w:p>
    <w:p w:rsidR="00260042" w:rsidRPr="00FE6852" w:rsidRDefault="00260042" w:rsidP="00FE6852">
      <w:pPr>
        <w:pStyle w:val="Heading5"/>
      </w:pPr>
      <w:r w:rsidRPr="00FE6852">
        <w:lastRenderedPageBreak/>
        <w:t>Performance measure 1 — Customer satisfaction: achievement of customer satisfaction standards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1 — Customer satisfaction: achievement of customer satisfaction standards"/>
      </w:tblPr>
      <w:tblGrid>
        <w:gridCol w:w="1730"/>
        <w:gridCol w:w="2372"/>
        <w:gridCol w:w="1500"/>
        <w:gridCol w:w="1906"/>
        <w:gridCol w:w="3282"/>
      </w:tblGrid>
      <w:tr w:rsidR="00260042" w:rsidTr="00FE6852">
        <w:trPr>
          <w:trHeight w:val="376"/>
          <w:tblHeader/>
        </w:trPr>
        <w:tc>
          <w:tcPr>
            <w:tcW w:w="802" w:type="pct"/>
          </w:tcPr>
          <w:p w:rsidR="00260042" w:rsidRPr="00FE6852" w:rsidRDefault="00260042" w:rsidP="00FE6852">
            <w:pPr>
              <w:pStyle w:val="BodyText"/>
              <w:rPr>
                <w:b/>
              </w:rPr>
            </w:pPr>
            <w:r w:rsidRPr="00FE6852">
              <w:rPr>
                <w:b/>
              </w:rPr>
              <w:t>Year</w:t>
            </w:r>
          </w:p>
        </w:tc>
        <w:tc>
          <w:tcPr>
            <w:tcW w:w="1099" w:type="pct"/>
          </w:tcPr>
          <w:p w:rsidR="00260042" w:rsidRPr="00FE6852" w:rsidRDefault="00260042" w:rsidP="00FE6852">
            <w:pPr>
              <w:pStyle w:val="BodyText"/>
              <w:rPr>
                <w:b/>
              </w:rPr>
            </w:pPr>
            <w:r w:rsidRPr="00FE6852">
              <w:rPr>
                <w:b/>
              </w:rPr>
              <w:t>Target</w:t>
            </w:r>
          </w:p>
        </w:tc>
        <w:tc>
          <w:tcPr>
            <w:tcW w:w="695" w:type="pct"/>
          </w:tcPr>
          <w:p w:rsidR="00260042" w:rsidRPr="00FE6852" w:rsidRDefault="00260042" w:rsidP="00FE6852">
            <w:pPr>
              <w:pStyle w:val="BodyText"/>
              <w:rPr>
                <w:b/>
              </w:rPr>
            </w:pPr>
            <w:r w:rsidRPr="00FE6852">
              <w:rPr>
                <w:b/>
              </w:rPr>
              <w:t>Result</w:t>
            </w:r>
          </w:p>
        </w:tc>
        <w:tc>
          <w:tcPr>
            <w:tcW w:w="883" w:type="pct"/>
          </w:tcPr>
          <w:p w:rsidR="00260042" w:rsidRPr="00FE6852" w:rsidRDefault="00260042" w:rsidP="00FE6852">
            <w:pPr>
              <w:pStyle w:val="BodyText"/>
              <w:rPr>
                <w:b/>
              </w:rPr>
            </w:pPr>
            <w:r w:rsidRPr="00FE6852">
              <w:rPr>
                <w:b/>
              </w:rPr>
              <w:t>Achieved</w:t>
            </w:r>
          </w:p>
        </w:tc>
        <w:tc>
          <w:tcPr>
            <w:tcW w:w="1521" w:type="pct"/>
          </w:tcPr>
          <w:p w:rsidR="00260042" w:rsidRPr="00FE6852" w:rsidRDefault="00260042" w:rsidP="00FE6852">
            <w:pPr>
              <w:pStyle w:val="BodyText"/>
              <w:rPr>
                <w:b/>
              </w:rPr>
            </w:pPr>
            <w:r w:rsidRPr="00FE6852">
              <w:rPr>
                <w:b/>
              </w:rPr>
              <w:t>Change on previous year +/–</w:t>
            </w:r>
          </w:p>
        </w:tc>
      </w:tr>
      <w:tr w:rsidR="00260042" w:rsidTr="00FE6852">
        <w:trPr>
          <w:trHeight w:val="376"/>
        </w:trPr>
        <w:tc>
          <w:tcPr>
            <w:tcW w:w="802" w:type="pct"/>
          </w:tcPr>
          <w:p w:rsidR="00260042" w:rsidRDefault="00260042" w:rsidP="00FE6852">
            <w:pPr>
              <w:pStyle w:val="BodyText"/>
            </w:pPr>
            <w:r>
              <w:t>2020–21</w:t>
            </w:r>
          </w:p>
        </w:tc>
        <w:tc>
          <w:tcPr>
            <w:tcW w:w="1099" w:type="pct"/>
          </w:tcPr>
          <w:p w:rsidR="00260042" w:rsidRDefault="00260042" w:rsidP="00FE6852">
            <w:pPr>
              <w:pStyle w:val="BodyText"/>
            </w:pPr>
            <w:r>
              <w:t>≥ 85 out of 100</w:t>
            </w:r>
          </w:p>
        </w:tc>
        <w:tc>
          <w:tcPr>
            <w:tcW w:w="695" w:type="pct"/>
          </w:tcPr>
          <w:p w:rsidR="00260042" w:rsidRDefault="00260042" w:rsidP="00FE6852">
            <w:pPr>
              <w:pStyle w:val="BodyText"/>
            </w:pPr>
            <w:r>
              <w:t>85.9</w:t>
            </w:r>
          </w:p>
        </w:tc>
        <w:tc>
          <w:tcPr>
            <w:tcW w:w="883" w:type="pct"/>
          </w:tcPr>
          <w:p w:rsidR="00260042" w:rsidRDefault="00260042" w:rsidP="00FE6852">
            <w:pPr>
              <w:pStyle w:val="BodyText"/>
            </w:pPr>
            <w:r>
              <w:rPr>
                <w:rStyle w:val="Bulletcolour"/>
                <w:rFonts w:ascii="Wingdings" w:hAnsi="Wingdings" w:cs="Wingdings"/>
              </w:rPr>
              <w:t></w:t>
            </w:r>
          </w:p>
        </w:tc>
        <w:tc>
          <w:tcPr>
            <w:tcW w:w="1521" w:type="pct"/>
          </w:tcPr>
          <w:p w:rsidR="00260042" w:rsidRDefault="00260042" w:rsidP="00FE6852">
            <w:pPr>
              <w:pStyle w:val="BodyText"/>
            </w:pPr>
            <w:r>
              <w:t>+6.9</w:t>
            </w:r>
          </w:p>
        </w:tc>
      </w:tr>
      <w:tr w:rsidR="00260042" w:rsidTr="00FE6852">
        <w:trPr>
          <w:trHeight w:val="376"/>
        </w:trPr>
        <w:tc>
          <w:tcPr>
            <w:tcW w:w="802" w:type="pct"/>
          </w:tcPr>
          <w:p w:rsidR="00260042" w:rsidRDefault="00260042" w:rsidP="00FE6852">
            <w:pPr>
              <w:pStyle w:val="BodyText"/>
            </w:pPr>
            <w:r>
              <w:t>2019–20</w:t>
            </w:r>
          </w:p>
        </w:tc>
        <w:tc>
          <w:tcPr>
            <w:tcW w:w="1099" w:type="pct"/>
          </w:tcPr>
          <w:p w:rsidR="00260042" w:rsidRDefault="00260042" w:rsidP="00FE6852">
            <w:pPr>
              <w:pStyle w:val="BodyText"/>
            </w:pPr>
            <w:r>
              <w:t>≥ 85 out of 100</w:t>
            </w:r>
          </w:p>
        </w:tc>
        <w:tc>
          <w:tcPr>
            <w:tcW w:w="695" w:type="pct"/>
          </w:tcPr>
          <w:p w:rsidR="00260042" w:rsidRDefault="00260042" w:rsidP="00FE6852">
            <w:pPr>
              <w:pStyle w:val="BodyText"/>
            </w:pPr>
            <w:r>
              <w:t>79.0</w:t>
            </w:r>
          </w:p>
        </w:tc>
        <w:tc>
          <w:tcPr>
            <w:tcW w:w="883" w:type="pct"/>
          </w:tcPr>
          <w:p w:rsidR="00260042" w:rsidRDefault="00260042" w:rsidP="00FE6852">
            <w:pPr>
              <w:pStyle w:val="BodyText"/>
            </w:pPr>
            <w:r>
              <w:rPr>
                <w:rStyle w:val="Bulletcolour"/>
                <w:rFonts w:ascii="Wingdings" w:hAnsi="Wingdings" w:cs="Wingdings"/>
              </w:rPr>
              <w:t></w:t>
            </w:r>
          </w:p>
        </w:tc>
        <w:tc>
          <w:tcPr>
            <w:tcW w:w="1521" w:type="pct"/>
          </w:tcPr>
          <w:p w:rsidR="00260042" w:rsidRDefault="00260042" w:rsidP="00FE6852">
            <w:pPr>
              <w:pStyle w:val="BodyText"/>
            </w:pPr>
            <w:r>
              <w:t>+3.8</w:t>
            </w:r>
          </w:p>
        </w:tc>
      </w:tr>
      <w:tr w:rsidR="00260042" w:rsidTr="00FE6852">
        <w:trPr>
          <w:trHeight w:val="376"/>
        </w:trPr>
        <w:tc>
          <w:tcPr>
            <w:tcW w:w="802" w:type="pct"/>
          </w:tcPr>
          <w:p w:rsidR="00260042" w:rsidRDefault="00260042" w:rsidP="00FE6852">
            <w:pPr>
              <w:pStyle w:val="BodyText"/>
            </w:pPr>
            <w:r>
              <w:t>2018–19</w:t>
            </w:r>
          </w:p>
        </w:tc>
        <w:tc>
          <w:tcPr>
            <w:tcW w:w="1099" w:type="pct"/>
          </w:tcPr>
          <w:p w:rsidR="00260042" w:rsidRDefault="00260042" w:rsidP="00FE6852">
            <w:pPr>
              <w:pStyle w:val="BodyText"/>
            </w:pPr>
            <w:r>
              <w:t>≥ 85 out of 100</w:t>
            </w:r>
          </w:p>
        </w:tc>
        <w:tc>
          <w:tcPr>
            <w:tcW w:w="695" w:type="pct"/>
          </w:tcPr>
          <w:p w:rsidR="00260042" w:rsidRDefault="00260042" w:rsidP="00FE6852">
            <w:pPr>
              <w:pStyle w:val="BodyText"/>
            </w:pPr>
            <w:r>
              <w:t>75.2</w:t>
            </w:r>
          </w:p>
        </w:tc>
        <w:tc>
          <w:tcPr>
            <w:tcW w:w="883" w:type="pct"/>
          </w:tcPr>
          <w:p w:rsidR="00260042" w:rsidRDefault="00260042" w:rsidP="00FE6852">
            <w:pPr>
              <w:pStyle w:val="BodyText"/>
            </w:pPr>
            <w:r>
              <w:rPr>
                <w:rStyle w:val="Bulletcolour"/>
                <w:rFonts w:ascii="Wingdings" w:hAnsi="Wingdings" w:cs="Wingdings"/>
              </w:rPr>
              <w:t></w:t>
            </w:r>
          </w:p>
        </w:tc>
        <w:tc>
          <w:tcPr>
            <w:tcW w:w="1521" w:type="pct"/>
          </w:tcPr>
          <w:p w:rsidR="00260042" w:rsidRDefault="00260042" w:rsidP="00FE6852">
            <w:pPr>
              <w:pStyle w:val="BodyText"/>
            </w:pPr>
            <w:r>
              <w:t>NA</w:t>
            </w:r>
            <w:r>
              <w:rPr>
                <w:vertAlign w:val="superscript"/>
              </w:rPr>
              <w:t>(a)</w:t>
            </w:r>
          </w:p>
        </w:tc>
      </w:tr>
    </w:tbl>
    <w:p w:rsidR="00260042" w:rsidRDefault="00260042" w:rsidP="00EA5510">
      <w:pPr>
        <w:pStyle w:val="BodyText"/>
        <w:rPr>
          <w:rStyle w:val="Bold"/>
        </w:rPr>
      </w:pPr>
      <w:r>
        <w:t>(a)</w:t>
      </w:r>
      <w:r>
        <w:tab/>
        <w:t xml:space="preserve">Due to a change in how the measure </w:t>
      </w:r>
      <w:proofErr w:type="gramStart"/>
      <w:r>
        <w:t>is calculated</w:t>
      </w:r>
      <w:proofErr w:type="gramEnd"/>
      <w:r>
        <w:t>, the results for 2018–19 are not directly comparable with the previous year.</w:t>
      </w:r>
    </w:p>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The agency achieved the annual target, which shows that Child Support customers were satisfied with the telephony service they received during 2020–21. This is the first year that Child Support has achieved its annual target since the inception of the Satisfaction Research Program in 2017–18.</w:t>
      </w:r>
    </w:p>
    <w:p w:rsidR="00260042" w:rsidRDefault="00260042" w:rsidP="00260042">
      <w:pPr>
        <w:pStyle w:val="BodyText"/>
        <w:rPr>
          <w:spacing w:val="-3"/>
        </w:rPr>
      </w:pPr>
      <w:r>
        <w:t xml:space="preserve">The result reflects the agency’s focus on improving Child Support services through the management of key areas included balancing customer calls, case management activities and proactive debt collection to achieve customer </w:t>
      </w:r>
      <w:r>
        <w:rPr>
          <w:spacing w:val="-3"/>
        </w:rPr>
        <w:t>outcomes across registration, assessment, collection and disbursement activities.</w:t>
      </w:r>
    </w:p>
    <w:p w:rsidR="00260042" w:rsidRDefault="00260042" w:rsidP="00260042">
      <w:pPr>
        <w:pStyle w:val="BodyText"/>
      </w:pPr>
      <w:r>
        <w:t>The agency continues to tailor delivery of services to the needs of customers making it easier for customers with complex Child Support cases to have their case managed effectively.</w:t>
      </w:r>
    </w:p>
    <w:p w:rsidR="00260042" w:rsidRDefault="00260042" w:rsidP="00260042">
      <w:pPr>
        <w:pStyle w:val="BodyText"/>
        <w:spacing w:after="0"/>
      </w:pPr>
      <w:r>
        <w:t>The table below compares the satisfaction drivers across three financial years.</w:t>
      </w:r>
    </w:p>
    <w:tbl>
      <w:tblPr>
        <w:tblStyle w:val="TableGrid"/>
        <w:tblW w:w="5000" w:type="pct"/>
        <w:tblLook w:val="0000" w:firstRow="0" w:lastRow="0" w:firstColumn="0" w:lastColumn="0" w:noHBand="0" w:noVBand="0"/>
        <w:tblCaption w:val="compares the satisfaction drivers across three financial years."/>
      </w:tblPr>
      <w:tblGrid>
        <w:gridCol w:w="4611"/>
        <w:gridCol w:w="2059"/>
        <w:gridCol w:w="2059"/>
        <w:gridCol w:w="2061"/>
      </w:tblGrid>
      <w:tr w:rsidR="00260042" w:rsidTr="00000DAC">
        <w:trPr>
          <w:trHeight w:val="376"/>
          <w:tblHeader/>
        </w:trPr>
        <w:tc>
          <w:tcPr>
            <w:tcW w:w="2137" w:type="pct"/>
          </w:tcPr>
          <w:p w:rsidR="00260042" w:rsidRDefault="00260042" w:rsidP="00000DAC">
            <w:pPr>
              <w:pStyle w:val="BodyText"/>
            </w:pPr>
            <w:r>
              <w:rPr>
                <w:rStyle w:val="Bold"/>
              </w:rPr>
              <w:t>Satisfaction drivers</w:t>
            </w:r>
          </w:p>
        </w:tc>
        <w:tc>
          <w:tcPr>
            <w:tcW w:w="954" w:type="pct"/>
          </w:tcPr>
          <w:p w:rsidR="00260042" w:rsidRDefault="00260042" w:rsidP="00000DAC">
            <w:pPr>
              <w:pStyle w:val="BodyText"/>
              <w:jc w:val="right"/>
            </w:pPr>
            <w:r>
              <w:rPr>
                <w:rStyle w:val="Bold"/>
              </w:rPr>
              <w:t>2018–19</w:t>
            </w:r>
          </w:p>
        </w:tc>
        <w:tc>
          <w:tcPr>
            <w:tcW w:w="954" w:type="pct"/>
          </w:tcPr>
          <w:p w:rsidR="00260042" w:rsidRDefault="00260042" w:rsidP="00000DAC">
            <w:pPr>
              <w:pStyle w:val="BodyText"/>
              <w:jc w:val="right"/>
            </w:pPr>
            <w:r>
              <w:rPr>
                <w:rStyle w:val="Bold"/>
              </w:rPr>
              <w:t>2019–20</w:t>
            </w:r>
          </w:p>
        </w:tc>
        <w:tc>
          <w:tcPr>
            <w:tcW w:w="955" w:type="pct"/>
          </w:tcPr>
          <w:p w:rsidR="00260042" w:rsidRDefault="00260042" w:rsidP="00000DAC">
            <w:pPr>
              <w:pStyle w:val="BodyText"/>
              <w:jc w:val="right"/>
            </w:pPr>
            <w:r>
              <w:rPr>
                <w:rStyle w:val="Bold"/>
              </w:rPr>
              <w:t>2020–21</w:t>
            </w:r>
          </w:p>
        </w:tc>
      </w:tr>
      <w:tr w:rsidR="00260042" w:rsidTr="00000DAC">
        <w:trPr>
          <w:trHeight w:val="397"/>
        </w:trPr>
        <w:tc>
          <w:tcPr>
            <w:tcW w:w="2137" w:type="pct"/>
          </w:tcPr>
          <w:p w:rsidR="00260042" w:rsidRDefault="00260042" w:rsidP="00000DAC">
            <w:pPr>
              <w:pStyle w:val="BodyText"/>
            </w:pPr>
            <w:r>
              <w:t>Perceived quality</w:t>
            </w:r>
          </w:p>
        </w:tc>
        <w:tc>
          <w:tcPr>
            <w:tcW w:w="954" w:type="pct"/>
          </w:tcPr>
          <w:p w:rsidR="00260042" w:rsidRDefault="00260042" w:rsidP="00000DAC">
            <w:pPr>
              <w:pStyle w:val="BodyText"/>
              <w:jc w:val="right"/>
            </w:pPr>
            <w:r>
              <w:t>80.3</w:t>
            </w:r>
          </w:p>
        </w:tc>
        <w:tc>
          <w:tcPr>
            <w:tcW w:w="954" w:type="pct"/>
          </w:tcPr>
          <w:p w:rsidR="00260042" w:rsidRDefault="00260042" w:rsidP="00000DAC">
            <w:pPr>
              <w:pStyle w:val="BodyText"/>
              <w:jc w:val="right"/>
            </w:pPr>
            <w:r>
              <w:t>84.4</w:t>
            </w:r>
          </w:p>
        </w:tc>
        <w:tc>
          <w:tcPr>
            <w:tcW w:w="955" w:type="pct"/>
          </w:tcPr>
          <w:p w:rsidR="00260042" w:rsidRDefault="00260042" w:rsidP="00000DAC">
            <w:pPr>
              <w:pStyle w:val="BodyText"/>
              <w:jc w:val="right"/>
            </w:pPr>
            <w:r>
              <w:t>88.1</w:t>
            </w:r>
          </w:p>
        </w:tc>
      </w:tr>
      <w:tr w:rsidR="00260042" w:rsidTr="00000DAC">
        <w:trPr>
          <w:trHeight w:val="376"/>
        </w:trPr>
        <w:tc>
          <w:tcPr>
            <w:tcW w:w="2137" w:type="pct"/>
          </w:tcPr>
          <w:p w:rsidR="00260042" w:rsidRDefault="00260042" w:rsidP="00000DAC">
            <w:pPr>
              <w:pStyle w:val="BodyText"/>
            </w:pPr>
            <w:r>
              <w:t>Personalised service</w:t>
            </w:r>
          </w:p>
        </w:tc>
        <w:tc>
          <w:tcPr>
            <w:tcW w:w="954" w:type="pct"/>
          </w:tcPr>
          <w:p w:rsidR="00260042" w:rsidRDefault="00260042" w:rsidP="00000DAC">
            <w:pPr>
              <w:pStyle w:val="BodyText"/>
              <w:jc w:val="right"/>
            </w:pPr>
            <w:r>
              <w:t>81.6</w:t>
            </w:r>
          </w:p>
        </w:tc>
        <w:tc>
          <w:tcPr>
            <w:tcW w:w="954" w:type="pct"/>
          </w:tcPr>
          <w:p w:rsidR="00260042" w:rsidRDefault="00260042" w:rsidP="00000DAC">
            <w:pPr>
              <w:pStyle w:val="BodyText"/>
              <w:jc w:val="right"/>
            </w:pPr>
            <w:r>
              <w:t>84.1</w:t>
            </w:r>
          </w:p>
        </w:tc>
        <w:tc>
          <w:tcPr>
            <w:tcW w:w="955" w:type="pct"/>
          </w:tcPr>
          <w:p w:rsidR="00260042" w:rsidRDefault="00260042" w:rsidP="00000DAC">
            <w:pPr>
              <w:pStyle w:val="BodyText"/>
              <w:jc w:val="right"/>
            </w:pPr>
            <w:r>
              <w:t>86.8</w:t>
            </w:r>
          </w:p>
        </w:tc>
      </w:tr>
      <w:tr w:rsidR="00260042" w:rsidTr="00000DAC">
        <w:trPr>
          <w:trHeight w:val="376"/>
        </w:trPr>
        <w:tc>
          <w:tcPr>
            <w:tcW w:w="2137" w:type="pct"/>
          </w:tcPr>
          <w:p w:rsidR="00260042" w:rsidRDefault="00260042" w:rsidP="00000DAC">
            <w:pPr>
              <w:pStyle w:val="BodyText"/>
            </w:pPr>
            <w:r>
              <w:t>Communication</w:t>
            </w:r>
          </w:p>
        </w:tc>
        <w:tc>
          <w:tcPr>
            <w:tcW w:w="954" w:type="pct"/>
          </w:tcPr>
          <w:p w:rsidR="00260042" w:rsidRDefault="00260042" w:rsidP="00000DAC">
            <w:pPr>
              <w:pStyle w:val="BodyText"/>
              <w:jc w:val="right"/>
            </w:pPr>
            <w:r>
              <w:t>83.1</w:t>
            </w:r>
          </w:p>
        </w:tc>
        <w:tc>
          <w:tcPr>
            <w:tcW w:w="954" w:type="pct"/>
          </w:tcPr>
          <w:p w:rsidR="00260042" w:rsidRDefault="00260042" w:rsidP="00000DAC">
            <w:pPr>
              <w:pStyle w:val="BodyText"/>
              <w:jc w:val="right"/>
            </w:pPr>
            <w:r>
              <w:t>85.5</w:t>
            </w:r>
          </w:p>
        </w:tc>
        <w:tc>
          <w:tcPr>
            <w:tcW w:w="955" w:type="pct"/>
          </w:tcPr>
          <w:p w:rsidR="00260042" w:rsidRDefault="00260042" w:rsidP="00000DAC">
            <w:pPr>
              <w:pStyle w:val="BodyText"/>
              <w:jc w:val="right"/>
            </w:pPr>
            <w:r>
              <w:t>87.8</w:t>
            </w:r>
          </w:p>
        </w:tc>
      </w:tr>
      <w:tr w:rsidR="00260042" w:rsidTr="00000DAC">
        <w:trPr>
          <w:trHeight w:val="376"/>
        </w:trPr>
        <w:tc>
          <w:tcPr>
            <w:tcW w:w="2137" w:type="pct"/>
          </w:tcPr>
          <w:p w:rsidR="00260042" w:rsidRDefault="00260042" w:rsidP="00000DAC">
            <w:pPr>
              <w:pStyle w:val="BodyText"/>
            </w:pPr>
            <w:r>
              <w:t>Time to receive service</w:t>
            </w:r>
          </w:p>
        </w:tc>
        <w:tc>
          <w:tcPr>
            <w:tcW w:w="954" w:type="pct"/>
          </w:tcPr>
          <w:p w:rsidR="00260042" w:rsidRDefault="00260042" w:rsidP="00000DAC">
            <w:pPr>
              <w:pStyle w:val="BodyText"/>
              <w:jc w:val="right"/>
            </w:pPr>
            <w:r>
              <w:t>56.3</w:t>
            </w:r>
          </w:p>
        </w:tc>
        <w:tc>
          <w:tcPr>
            <w:tcW w:w="954" w:type="pct"/>
          </w:tcPr>
          <w:p w:rsidR="00260042" w:rsidRDefault="00260042" w:rsidP="00000DAC">
            <w:pPr>
              <w:pStyle w:val="BodyText"/>
              <w:jc w:val="right"/>
            </w:pPr>
            <w:r>
              <w:t>60.1</w:t>
            </w:r>
          </w:p>
        </w:tc>
        <w:tc>
          <w:tcPr>
            <w:tcW w:w="955" w:type="pct"/>
          </w:tcPr>
          <w:p w:rsidR="00260042" w:rsidRDefault="00260042" w:rsidP="00000DAC">
            <w:pPr>
              <w:pStyle w:val="BodyText"/>
              <w:jc w:val="right"/>
            </w:pPr>
            <w:r>
              <w:t>83.1</w:t>
            </w:r>
          </w:p>
        </w:tc>
      </w:tr>
      <w:tr w:rsidR="00260042" w:rsidTr="00000DAC">
        <w:trPr>
          <w:trHeight w:val="376"/>
        </w:trPr>
        <w:tc>
          <w:tcPr>
            <w:tcW w:w="2137" w:type="pct"/>
          </w:tcPr>
          <w:p w:rsidR="00260042" w:rsidRDefault="00260042" w:rsidP="00000DAC">
            <w:pPr>
              <w:pStyle w:val="BodyText"/>
            </w:pPr>
            <w:r>
              <w:t>Fair treatment</w:t>
            </w:r>
          </w:p>
        </w:tc>
        <w:tc>
          <w:tcPr>
            <w:tcW w:w="954" w:type="pct"/>
          </w:tcPr>
          <w:p w:rsidR="00260042" w:rsidRDefault="00260042" w:rsidP="00000DAC">
            <w:pPr>
              <w:pStyle w:val="BodyText"/>
              <w:jc w:val="right"/>
            </w:pPr>
            <w:r>
              <w:t>85.6</w:t>
            </w:r>
          </w:p>
        </w:tc>
        <w:tc>
          <w:tcPr>
            <w:tcW w:w="954" w:type="pct"/>
          </w:tcPr>
          <w:p w:rsidR="00260042" w:rsidRDefault="00260042" w:rsidP="00000DAC">
            <w:pPr>
              <w:pStyle w:val="BodyText"/>
              <w:jc w:val="right"/>
            </w:pPr>
            <w:r>
              <w:t>87.9</w:t>
            </w:r>
          </w:p>
        </w:tc>
        <w:tc>
          <w:tcPr>
            <w:tcW w:w="955" w:type="pct"/>
          </w:tcPr>
          <w:p w:rsidR="00260042" w:rsidRDefault="00260042" w:rsidP="00000DAC">
            <w:pPr>
              <w:pStyle w:val="BodyText"/>
              <w:jc w:val="right"/>
            </w:pPr>
            <w:r>
              <w:t>90.5</w:t>
            </w:r>
          </w:p>
        </w:tc>
      </w:tr>
      <w:tr w:rsidR="00260042" w:rsidTr="00000DAC">
        <w:trPr>
          <w:trHeight w:val="376"/>
        </w:trPr>
        <w:tc>
          <w:tcPr>
            <w:tcW w:w="2137" w:type="pct"/>
          </w:tcPr>
          <w:p w:rsidR="00260042" w:rsidRDefault="00260042" w:rsidP="00000DAC">
            <w:pPr>
              <w:pStyle w:val="BodyText"/>
            </w:pPr>
            <w:r>
              <w:t>Effort</w:t>
            </w:r>
          </w:p>
        </w:tc>
        <w:tc>
          <w:tcPr>
            <w:tcW w:w="954" w:type="pct"/>
          </w:tcPr>
          <w:p w:rsidR="00260042" w:rsidRDefault="00260042" w:rsidP="00000DAC">
            <w:pPr>
              <w:pStyle w:val="BodyText"/>
              <w:jc w:val="right"/>
            </w:pPr>
            <w:r>
              <w:t>70.3</w:t>
            </w:r>
          </w:p>
        </w:tc>
        <w:tc>
          <w:tcPr>
            <w:tcW w:w="954" w:type="pct"/>
          </w:tcPr>
          <w:p w:rsidR="00260042" w:rsidRDefault="00260042" w:rsidP="00000DAC">
            <w:pPr>
              <w:pStyle w:val="BodyText"/>
              <w:jc w:val="right"/>
            </w:pPr>
            <w:r>
              <w:t>74.2</w:t>
            </w:r>
          </w:p>
        </w:tc>
        <w:tc>
          <w:tcPr>
            <w:tcW w:w="955" w:type="pct"/>
          </w:tcPr>
          <w:p w:rsidR="00260042" w:rsidRDefault="00260042" w:rsidP="00000DAC">
            <w:pPr>
              <w:pStyle w:val="BodyText"/>
              <w:jc w:val="right"/>
            </w:pPr>
            <w:r>
              <w:t>81.0</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237</w:t>
      </w:r>
      <w:r>
        <w:br/>
        <w:t>2020–21 Corporate Plan, page 18</w:t>
      </w:r>
    </w:p>
    <w:p w:rsidR="00260042" w:rsidRDefault="00260042" w:rsidP="00260042">
      <w:pPr>
        <w:pStyle w:val="BodyText"/>
        <w:spacing w:after="0"/>
        <w:rPr>
          <w:rStyle w:val="Bold"/>
        </w:rPr>
      </w:pPr>
      <w:r>
        <w:rPr>
          <w:rStyle w:val="Bold"/>
        </w:rPr>
        <w:lastRenderedPageBreak/>
        <w:t>DATA SOURCE</w:t>
      </w:r>
    </w:p>
    <w:p w:rsidR="00260042" w:rsidRDefault="00260042" w:rsidP="00260042">
      <w:pPr>
        <w:pStyle w:val="BodyText"/>
        <w:spacing w:after="57"/>
      </w:pPr>
      <w:r>
        <w:t>External survey provider</w:t>
      </w:r>
    </w:p>
    <w:p w:rsidR="00260042" w:rsidRDefault="00260042" w:rsidP="00EA5510">
      <w:pPr>
        <w:pStyle w:val="ListBullet"/>
      </w:pPr>
      <w:r>
        <w:t xml:space="preserve">The margin of error is less than </w:t>
      </w:r>
      <w:proofErr w:type="gramStart"/>
      <w:r>
        <w:t>5</w:t>
      </w:r>
      <w:proofErr w:type="gramEnd"/>
      <w:r>
        <w:t xml:space="preserve"> index points.</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 xml:space="preserve">The Satisfaction and Experience Survey is the agency’s primary measurement of customers’ satisfaction with their most recent interaction. </w:t>
      </w:r>
    </w:p>
    <w:p w:rsidR="00260042" w:rsidRDefault="00260042" w:rsidP="008930A3">
      <w:pPr>
        <w:pStyle w:val="ListBullet"/>
      </w:pPr>
      <w:proofErr w:type="gramStart"/>
      <w:r>
        <w:t>The Child Support result is driven by a 6-driver model</w:t>
      </w:r>
      <w:proofErr w:type="gramEnd"/>
      <w:r>
        <w:t xml:space="preserve">. Unlike SSW and Health, which have four channels in their respective customer satisfaction survey, Child Support’s result </w:t>
      </w:r>
      <w:proofErr w:type="gramStart"/>
      <w:r>
        <w:t>is derived</w:t>
      </w:r>
      <w:proofErr w:type="gramEnd"/>
      <w:r>
        <w:t xml:space="preserve"> from one channel (telephony).</w:t>
      </w:r>
    </w:p>
    <w:p w:rsidR="00260042" w:rsidRDefault="00260042" w:rsidP="008930A3">
      <w:pPr>
        <w:pStyle w:val="ListBullet"/>
      </w:pPr>
      <w:r>
        <w:t xml:space="preserve">At present, regular surveying of Child Support customer satisfaction online services </w:t>
      </w:r>
      <w:proofErr w:type="gramStart"/>
      <w:r>
        <w:t>is not undertaken</w:t>
      </w:r>
      <w:proofErr w:type="gramEnd"/>
      <w:r>
        <w:t xml:space="preserve"> due to technical issues, but the agency is working to address and resolve this for 2021–22. </w:t>
      </w:r>
    </w:p>
    <w:p w:rsidR="00260042" w:rsidRDefault="00260042" w:rsidP="00EA5510">
      <w:pPr>
        <w:pStyle w:val="ListBullet"/>
      </w:pPr>
      <w:r>
        <w:t>Surveys are undertaken via automated interactive voice response (post-call survey), online or via outbound interviews conducted by the agency’s external provider.</w:t>
      </w:r>
    </w:p>
    <w:p w:rsidR="00260042" w:rsidRDefault="00260042" w:rsidP="004F622D">
      <w:pPr>
        <w:pStyle w:val="Heading5"/>
      </w:pPr>
      <w:r>
        <w:t xml:space="preserve">Performance measure 2 — Child Support collection: percentage of domestic active paying parents with less than </w:t>
      </w:r>
      <w:r w:rsidRPr="004F622D">
        <w:t>one</w:t>
      </w:r>
      <w:r>
        <w:t xml:space="preserve"> month Child Support liability outstanding</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2 — Child Support collection: percentage of domestic active paying parents with less than one month Child Support liability outstanding"/>
      </w:tblPr>
      <w:tblGrid>
        <w:gridCol w:w="1676"/>
        <w:gridCol w:w="1958"/>
        <w:gridCol w:w="1958"/>
        <w:gridCol w:w="1957"/>
        <w:gridCol w:w="3241"/>
      </w:tblGrid>
      <w:tr w:rsidR="00260042" w:rsidTr="004F622D">
        <w:trPr>
          <w:trHeight w:val="376"/>
          <w:tblHeader/>
        </w:trPr>
        <w:tc>
          <w:tcPr>
            <w:tcW w:w="776" w:type="pct"/>
          </w:tcPr>
          <w:p w:rsidR="00260042" w:rsidRPr="004F622D" w:rsidRDefault="00260042" w:rsidP="004F622D">
            <w:pPr>
              <w:pStyle w:val="BodyText"/>
              <w:rPr>
                <w:b/>
              </w:rPr>
            </w:pPr>
            <w:r w:rsidRPr="004F622D">
              <w:rPr>
                <w:b/>
              </w:rPr>
              <w:t>Year</w:t>
            </w:r>
          </w:p>
        </w:tc>
        <w:tc>
          <w:tcPr>
            <w:tcW w:w="907" w:type="pct"/>
          </w:tcPr>
          <w:p w:rsidR="00260042" w:rsidRPr="004F622D" w:rsidRDefault="00260042" w:rsidP="004F622D">
            <w:pPr>
              <w:pStyle w:val="BodyText"/>
              <w:rPr>
                <w:b/>
              </w:rPr>
            </w:pPr>
            <w:r w:rsidRPr="004F622D">
              <w:rPr>
                <w:b/>
              </w:rPr>
              <w:t>Target</w:t>
            </w:r>
          </w:p>
        </w:tc>
        <w:tc>
          <w:tcPr>
            <w:tcW w:w="907" w:type="pct"/>
          </w:tcPr>
          <w:p w:rsidR="00260042" w:rsidRPr="004F622D" w:rsidRDefault="00260042" w:rsidP="004F622D">
            <w:pPr>
              <w:pStyle w:val="BodyText"/>
              <w:rPr>
                <w:b/>
              </w:rPr>
            </w:pPr>
            <w:r w:rsidRPr="004F622D">
              <w:rPr>
                <w:b/>
              </w:rPr>
              <w:t>Result</w:t>
            </w:r>
          </w:p>
        </w:tc>
        <w:tc>
          <w:tcPr>
            <w:tcW w:w="907" w:type="pct"/>
          </w:tcPr>
          <w:p w:rsidR="00260042" w:rsidRPr="004F622D" w:rsidRDefault="00260042" w:rsidP="004F622D">
            <w:pPr>
              <w:pStyle w:val="BodyText"/>
              <w:rPr>
                <w:b/>
              </w:rPr>
            </w:pPr>
            <w:r w:rsidRPr="004F622D">
              <w:rPr>
                <w:b/>
              </w:rPr>
              <w:t>Achieved</w:t>
            </w:r>
          </w:p>
        </w:tc>
        <w:tc>
          <w:tcPr>
            <w:tcW w:w="1501" w:type="pct"/>
          </w:tcPr>
          <w:p w:rsidR="00260042" w:rsidRPr="004F622D" w:rsidRDefault="00260042" w:rsidP="004F622D">
            <w:pPr>
              <w:pStyle w:val="BodyText"/>
              <w:rPr>
                <w:b/>
              </w:rPr>
            </w:pPr>
            <w:r w:rsidRPr="004F622D">
              <w:rPr>
                <w:b/>
              </w:rPr>
              <w:t>Change on previous year +/–</w:t>
            </w:r>
          </w:p>
        </w:tc>
      </w:tr>
      <w:tr w:rsidR="00260042" w:rsidTr="004F622D">
        <w:trPr>
          <w:trHeight w:val="376"/>
        </w:trPr>
        <w:tc>
          <w:tcPr>
            <w:tcW w:w="776" w:type="pct"/>
          </w:tcPr>
          <w:p w:rsidR="00260042" w:rsidRDefault="00260042" w:rsidP="004F622D">
            <w:pPr>
              <w:pStyle w:val="BodyText"/>
            </w:pPr>
            <w:r>
              <w:t>2020–21</w:t>
            </w:r>
          </w:p>
        </w:tc>
        <w:tc>
          <w:tcPr>
            <w:tcW w:w="907" w:type="pct"/>
          </w:tcPr>
          <w:p w:rsidR="00260042" w:rsidRDefault="00260042" w:rsidP="004F622D">
            <w:pPr>
              <w:pStyle w:val="BodyText"/>
            </w:pPr>
            <w:r>
              <w:t>≥63%</w:t>
            </w:r>
          </w:p>
        </w:tc>
        <w:tc>
          <w:tcPr>
            <w:tcW w:w="907" w:type="pct"/>
          </w:tcPr>
          <w:p w:rsidR="00260042" w:rsidRDefault="00260042" w:rsidP="004F622D">
            <w:pPr>
              <w:pStyle w:val="BodyText"/>
            </w:pPr>
            <w:r>
              <w:t>67.3%</w:t>
            </w:r>
          </w:p>
        </w:tc>
        <w:tc>
          <w:tcPr>
            <w:tcW w:w="907" w:type="pct"/>
          </w:tcPr>
          <w:p w:rsidR="00260042" w:rsidRDefault="00260042" w:rsidP="004F622D">
            <w:pPr>
              <w:pStyle w:val="BodyText"/>
            </w:pPr>
            <w:r>
              <w:rPr>
                <w:rStyle w:val="Bulletcolour"/>
                <w:rFonts w:ascii="Wingdings" w:hAnsi="Wingdings" w:cs="Wingdings"/>
              </w:rPr>
              <w:t></w:t>
            </w:r>
          </w:p>
        </w:tc>
        <w:tc>
          <w:tcPr>
            <w:tcW w:w="1501" w:type="pct"/>
          </w:tcPr>
          <w:p w:rsidR="00260042" w:rsidRDefault="00260042" w:rsidP="004F622D">
            <w:pPr>
              <w:pStyle w:val="BodyText"/>
            </w:pPr>
            <w:r>
              <w:t xml:space="preserve">+2.1% </w:t>
            </w:r>
          </w:p>
        </w:tc>
      </w:tr>
      <w:tr w:rsidR="00260042" w:rsidTr="004F622D">
        <w:trPr>
          <w:trHeight w:val="376"/>
        </w:trPr>
        <w:tc>
          <w:tcPr>
            <w:tcW w:w="776" w:type="pct"/>
          </w:tcPr>
          <w:p w:rsidR="00260042" w:rsidRDefault="00260042" w:rsidP="004F622D">
            <w:pPr>
              <w:pStyle w:val="BodyText"/>
            </w:pPr>
            <w:r>
              <w:t>2019–20</w:t>
            </w:r>
          </w:p>
        </w:tc>
        <w:tc>
          <w:tcPr>
            <w:tcW w:w="907" w:type="pct"/>
          </w:tcPr>
          <w:p w:rsidR="00260042" w:rsidRDefault="00260042" w:rsidP="004F622D">
            <w:pPr>
              <w:pStyle w:val="BodyText"/>
            </w:pPr>
            <w:r>
              <w:t>≥63%</w:t>
            </w:r>
          </w:p>
        </w:tc>
        <w:tc>
          <w:tcPr>
            <w:tcW w:w="907" w:type="pct"/>
          </w:tcPr>
          <w:p w:rsidR="00260042" w:rsidRDefault="00260042" w:rsidP="004F622D">
            <w:pPr>
              <w:pStyle w:val="BodyText"/>
            </w:pPr>
            <w:r>
              <w:t>65.2%</w:t>
            </w:r>
          </w:p>
        </w:tc>
        <w:tc>
          <w:tcPr>
            <w:tcW w:w="907" w:type="pct"/>
          </w:tcPr>
          <w:p w:rsidR="00260042" w:rsidRDefault="00260042" w:rsidP="004F622D">
            <w:pPr>
              <w:pStyle w:val="BodyText"/>
            </w:pPr>
            <w:r>
              <w:rPr>
                <w:rStyle w:val="Bulletcolour"/>
                <w:rFonts w:ascii="Wingdings" w:hAnsi="Wingdings" w:cs="Wingdings"/>
              </w:rPr>
              <w:t></w:t>
            </w:r>
          </w:p>
        </w:tc>
        <w:tc>
          <w:tcPr>
            <w:tcW w:w="1501" w:type="pct"/>
          </w:tcPr>
          <w:p w:rsidR="00260042" w:rsidRDefault="00260042" w:rsidP="004F622D">
            <w:pPr>
              <w:pStyle w:val="BodyText"/>
            </w:pPr>
            <w:r>
              <w:t xml:space="preserve">+0.6% </w:t>
            </w:r>
          </w:p>
        </w:tc>
      </w:tr>
      <w:tr w:rsidR="00260042" w:rsidTr="004F622D">
        <w:trPr>
          <w:trHeight w:val="376"/>
        </w:trPr>
        <w:tc>
          <w:tcPr>
            <w:tcW w:w="776" w:type="pct"/>
          </w:tcPr>
          <w:p w:rsidR="00260042" w:rsidRDefault="00260042" w:rsidP="004F622D">
            <w:pPr>
              <w:pStyle w:val="BodyText"/>
            </w:pPr>
            <w:r>
              <w:t>2018–19</w:t>
            </w:r>
          </w:p>
        </w:tc>
        <w:tc>
          <w:tcPr>
            <w:tcW w:w="907" w:type="pct"/>
          </w:tcPr>
          <w:p w:rsidR="00260042" w:rsidRDefault="00260042" w:rsidP="004F622D">
            <w:pPr>
              <w:pStyle w:val="BodyText"/>
            </w:pPr>
            <w:r>
              <w:t>≥63%</w:t>
            </w:r>
          </w:p>
        </w:tc>
        <w:tc>
          <w:tcPr>
            <w:tcW w:w="907" w:type="pct"/>
          </w:tcPr>
          <w:p w:rsidR="00260042" w:rsidRDefault="00260042" w:rsidP="004F622D">
            <w:pPr>
              <w:pStyle w:val="BodyText"/>
            </w:pPr>
            <w:r>
              <w:t>64.6%</w:t>
            </w:r>
          </w:p>
        </w:tc>
        <w:tc>
          <w:tcPr>
            <w:tcW w:w="907" w:type="pct"/>
          </w:tcPr>
          <w:p w:rsidR="00260042" w:rsidRDefault="00260042" w:rsidP="004F622D">
            <w:pPr>
              <w:pStyle w:val="BodyText"/>
            </w:pPr>
            <w:r>
              <w:rPr>
                <w:rStyle w:val="Bulletcolour"/>
                <w:rFonts w:ascii="Wingdings" w:hAnsi="Wingdings" w:cs="Wingdings"/>
              </w:rPr>
              <w:t></w:t>
            </w:r>
          </w:p>
        </w:tc>
        <w:tc>
          <w:tcPr>
            <w:tcW w:w="1501" w:type="pct"/>
          </w:tcPr>
          <w:p w:rsidR="00260042" w:rsidRDefault="00260042" w:rsidP="004F622D">
            <w:pPr>
              <w:pStyle w:val="BodyText"/>
            </w:pPr>
            <w:r>
              <w:t>No change</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The agency achieved its annual result, indicating that the collection strategies and proactive debt management, including the focus on early intervention, are working effectively. The measure delivers government and customer outcomes by ensuring that Child Support </w:t>
      </w:r>
      <w:proofErr w:type="gramStart"/>
      <w:r>
        <w:t>is transferred</w:t>
      </w:r>
      <w:proofErr w:type="gramEnd"/>
      <w:r>
        <w:t xml:space="preserve"> in a regular and timely fashion for the benefit of children.</w:t>
      </w:r>
    </w:p>
    <w:p w:rsidR="00260042" w:rsidRDefault="00260042" w:rsidP="00260042">
      <w:pPr>
        <w:pStyle w:val="BodyText"/>
      </w:pPr>
      <w:r>
        <w:t xml:space="preserve">The agency works closely with paying parents to create arrangements that are sustainable and encourage ongoing compliant behaviours. Where a customer defaults, the agency makes contact to ensure that debts </w:t>
      </w:r>
      <w:proofErr w:type="gramStart"/>
      <w:r>
        <w:t>are addressed</w:t>
      </w:r>
      <w:proofErr w:type="gramEnd"/>
      <w:r>
        <w:t xml:space="preserve"> early, contributing to the overall annual result. </w:t>
      </w:r>
    </w:p>
    <w:p w:rsidR="00260042" w:rsidRDefault="00260042" w:rsidP="00260042">
      <w:pPr>
        <w:pStyle w:val="BodyText"/>
      </w:pPr>
      <w:r>
        <w:t xml:space="preserve">Economic factors have positively improved performance, with an increase in collection attributed to customers who are in receipt of SSW payments. In these cases, debts </w:t>
      </w:r>
      <w:proofErr w:type="gramStart"/>
      <w:r>
        <w:t>may be collected</w:t>
      </w:r>
      <w:proofErr w:type="gramEnd"/>
      <w:r>
        <w:t xml:space="preserve"> from these payments.</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237</w:t>
      </w:r>
      <w:r>
        <w:br/>
        <w:t>2020–21 Corporate Plan, page 18</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lastRenderedPageBreak/>
        <w:t>Enterprise Data Warehouse</w:t>
      </w:r>
    </w:p>
    <w:p w:rsidR="00260042" w:rsidRDefault="00260042" w:rsidP="00260042">
      <w:pPr>
        <w:pStyle w:val="BodyText"/>
        <w:spacing w:after="0"/>
        <w:rPr>
          <w:rStyle w:val="Bold"/>
        </w:rPr>
      </w:pPr>
      <w:r>
        <w:rPr>
          <w:rStyle w:val="Bold"/>
          <w:caps/>
        </w:rPr>
        <w:t>Notes and Definitions</w:t>
      </w:r>
    </w:p>
    <w:p w:rsidR="00260042" w:rsidRDefault="00260042" w:rsidP="00260042">
      <w:pPr>
        <w:pStyle w:val="BodyText"/>
      </w:pPr>
      <w:r>
        <w:t>The performance measure is reflected in the Services Australia 2020–21 Corporate Plan as: Child Support collection: percentage of domestic active paying parents with less than one month Child Support collect liability.</w:t>
      </w:r>
    </w:p>
    <w:p w:rsidR="00260042" w:rsidRDefault="00260042" w:rsidP="00260042">
      <w:pPr>
        <w:pStyle w:val="BodyText"/>
        <w:spacing w:after="57"/>
      </w:pPr>
      <w:r>
        <w:t xml:space="preserve">Domestic active paying parents in collect cases are: </w:t>
      </w:r>
    </w:p>
    <w:p w:rsidR="00260042" w:rsidRDefault="00260042" w:rsidP="008930A3">
      <w:pPr>
        <w:pStyle w:val="ListBullet"/>
      </w:pPr>
      <w:r>
        <w:t>paying parents, with both parents residing in Australia</w:t>
      </w:r>
    </w:p>
    <w:p w:rsidR="00260042" w:rsidRDefault="00260042" w:rsidP="008930A3">
      <w:pPr>
        <w:pStyle w:val="ListBullet"/>
      </w:pPr>
      <w:r>
        <w:t xml:space="preserve">involved in at least one active case (the case has not ended and at least one child is under 18 years of age) </w:t>
      </w:r>
    </w:p>
    <w:p w:rsidR="00260042" w:rsidRDefault="00260042" w:rsidP="00EA5510">
      <w:pPr>
        <w:pStyle w:val="ListBullet"/>
      </w:pPr>
      <w:proofErr w:type="gramStart"/>
      <w:r>
        <w:t>involved</w:t>
      </w:r>
      <w:proofErr w:type="gramEnd"/>
      <w:r>
        <w:t xml:space="preserve"> in a Child Support collect case (i.e. not a private collect case).</w:t>
      </w:r>
    </w:p>
    <w:p w:rsidR="00260042" w:rsidRDefault="00260042" w:rsidP="00260042">
      <w:pPr>
        <w:pStyle w:val="Heading5"/>
      </w:pPr>
      <w:r>
        <w:t>Performance measure 3 — Achievement of payment quality standards: Child Support: debt under arrangement</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3 — Achievement of payment quality standards: Child Support: debt under arrangement"/>
      </w:tblPr>
      <w:tblGrid>
        <w:gridCol w:w="1566"/>
        <w:gridCol w:w="2005"/>
        <w:gridCol w:w="2074"/>
        <w:gridCol w:w="1906"/>
        <w:gridCol w:w="3239"/>
      </w:tblGrid>
      <w:tr w:rsidR="00260042" w:rsidTr="004F622D">
        <w:trPr>
          <w:trHeight w:val="376"/>
          <w:tblHeader/>
        </w:trPr>
        <w:tc>
          <w:tcPr>
            <w:tcW w:w="725" w:type="pct"/>
          </w:tcPr>
          <w:p w:rsidR="00260042" w:rsidRPr="004F622D" w:rsidRDefault="00260042" w:rsidP="004F622D">
            <w:pPr>
              <w:pStyle w:val="BodyText"/>
              <w:rPr>
                <w:b/>
              </w:rPr>
            </w:pPr>
            <w:r w:rsidRPr="004F622D">
              <w:rPr>
                <w:b/>
              </w:rPr>
              <w:t>Year</w:t>
            </w:r>
          </w:p>
        </w:tc>
        <w:tc>
          <w:tcPr>
            <w:tcW w:w="929" w:type="pct"/>
          </w:tcPr>
          <w:p w:rsidR="00260042" w:rsidRPr="004F622D" w:rsidRDefault="00260042" w:rsidP="004F622D">
            <w:pPr>
              <w:pStyle w:val="BodyText"/>
              <w:rPr>
                <w:b/>
              </w:rPr>
            </w:pPr>
            <w:r w:rsidRPr="004F622D">
              <w:rPr>
                <w:b/>
              </w:rPr>
              <w:t>Target</w:t>
            </w:r>
          </w:p>
        </w:tc>
        <w:tc>
          <w:tcPr>
            <w:tcW w:w="961" w:type="pct"/>
          </w:tcPr>
          <w:p w:rsidR="00260042" w:rsidRPr="004F622D" w:rsidRDefault="00260042" w:rsidP="004F622D">
            <w:pPr>
              <w:pStyle w:val="BodyText"/>
              <w:rPr>
                <w:b/>
              </w:rPr>
            </w:pPr>
            <w:r w:rsidRPr="004F622D">
              <w:rPr>
                <w:b/>
              </w:rPr>
              <w:t>Result</w:t>
            </w:r>
          </w:p>
        </w:tc>
        <w:tc>
          <w:tcPr>
            <w:tcW w:w="883" w:type="pct"/>
          </w:tcPr>
          <w:p w:rsidR="00260042" w:rsidRPr="004F622D" w:rsidRDefault="00260042" w:rsidP="004F622D">
            <w:pPr>
              <w:pStyle w:val="BodyText"/>
              <w:rPr>
                <w:b/>
              </w:rPr>
            </w:pPr>
            <w:r w:rsidRPr="004F622D">
              <w:rPr>
                <w:b/>
              </w:rPr>
              <w:t>Achieved</w:t>
            </w:r>
          </w:p>
        </w:tc>
        <w:tc>
          <w:tcPr>
            <w:tcW w:w="1501" w:type="pct"/>
          </w:tcPr>
          <w:p w:rsidR="00260042" w:rsidRPr="004F622D" w:rsidRDefault="00260042" w:rsidP="004F622D">
            <w:pPr>
              <w:pStyle w:val="BodyText"/>
              <w:rPr>
                <w:b/>
              </w:rPr>
            </w:pPr>
            <w:r w:rsidRPr="004F622D">
              <w:rPr>
                <w:b/>
              </w:rPr>
              <w:t>Change on previous year +/–</w:t>
            </w:r>
          </w:p>
        </w:tc>
      </w:tr>
      <w:tr w:rsidR="00260042" w:rsidTr="004F622D">
        <w:trPr>
          <w:trHeight w:val="376"/>
        </w:trPr>
        <w:tc>
          <w:tcPr>
            <w:tcW w:w="725" w:type="pct"/>
          </w:tcPr>
          <w:p w:rsidR="00260042" w:rsidRDefault="00260042" w:rsidP="004F622D">
            <w:pPr>
              <w:pStyle w:val="BodyText"/>
            </w:pPr>
            <w:r>
              <w:t>2020–21</w:t>
            </w:r>
          </w:p>
        </w:tc>
        <w:tc>
          <w:tcPr>
            <w:tcW w:w="929" w:type="pct"/>
          </w:tcPr>
          <w:p w:rsidR="00260042" w:rsidRDefault="00260042" w:rsidP="004F622D">
            <w:pPr>
              <w:pStyle w:val="BodyText"/>
            </w:pPr>
            <w:r>
              <w:t>≥41%</w:t>
            </w:r>
          </w:p>
        </w:tc>
        <w:tc>
          <w:tcPr>
            <w:tcW w:w="961" w:type="pct"/>
          </w:tcPr>
          <w:p w:rsidR="00260042" w:rsidRDefault="00260042" w:rsidP="004F622D">
            <w:pPr>
              <w:pStyle w:val="BodyText"/>
            </w:pPr>
            <w:r>
              <w:t>43.1%</w:t>
            </w:r>
          </w:p>
        </w:tc>
        <w:tc>
          <w:tcPr>
            <w:tcW w:w="883" w:type="pct"/>
          </w:tcPr>
          <w:p w:rsidR="00260042" w:rsidRDefault="00260042" w:rsidP="004F622D">
            <w:pPr>
              <w:pStyle w:val="BodyText"/>
            </w:pPr>
            <w:r>
              <w:rPr>
                <w:rStyle w:val="Bulletcolour"/>
                <w:rFonts w:ascii="Wingdings" w:hAnsi="Wingdings" w:cs="Wingdings"/>
              </w:rPr>
              <w:t></w:t>
            </w:r>
          </w:p>
        </w:tc>
        <w:tc>
          <w:tcPr>
            <w:tcW w:w="1501" w:type="pct"/>
          </w:tcPr>
          <w:p w:rsidR="00260042" w:rsidRDefault="00260042" w:rsidP="004F622D">
            <w:pPr>
              <w:pStyle w:val="BodyText"/>
            </w:pPr>
            <w:r>
              <w:t>–2.1%</w:t>
            </w:r>
          </w:p>
        </w:tc>
      </w:tr>
      <w:tr w:rsidR="00260042" w:rsidTr="004F622D">
        <w:trPr>
          <w:trHeight w:val="376"/>
        </w:trPr>
        <w:tc>
          <w:tcPr>
            <w:tcW w:w="725" w:type="pct"/>
          </w:tcPr>
          <w:p w:rsidR="00260042" w:rsidRDefault="00260042" w:rsidP="004F622D">
            <w:pPr>
              <w:pStyle w:val="BodyText"/>
            </w:pPr>
            <w:r>
              <w:t>2019–20</w:t>
            </w:r>
          </w:p>
        </w:tc>
        <w:tc>
          <w:tcPr>
            <w:tcW w:w="929" w:type="pct"/>
          </w:tcPr>
          <w:p w:rsidR="00260042" w:rsidRDefault="00260042" w:rsidP="004F622D">
            <w:pPr>
              <w:pStyle w:val="BodyText"/>
            </w:pPr>
            <w:r>
              <w:t>≥40%</w:t>
            </w:r>
          </w:p>
        </w:tc>
        <w:tc>
          <w:tcPr>
            <w:tcW w:w="961" w:type="pct"/>
          </w:tcPr>
          <w:p w:rsidR="00260042" w:rsidRDefault="00260042" w:rsidP="004F622D">
            <w:pPr>
              <w:pStyle w:val="BodyText"/>
            </w:pPr>
            <w:r>
              <w:t>45.2%</w:t>
            </w:r>
          </w:p>
        </w:tc>
        <w:tc>
          <w:tcPr>
            <w:tcW w:w="883" w:type="pct"/>
          </w:tcPr>
          <w:p w:rsidR="00260042" w:rsidRDefault="00260042" w:rsidP="004F622D">
            <w:pPr>
              <w:pStyle w:val="BodyText"/>
            </w:pPr>
            <w:r>
              <w:rPr>
                <w:rStyle w:val="Bulletcolour"/>
                <w:rFonts w:ascii="Wingdings" w:hAnsi="Wingdings" w:cs="Wingdings"/>
              </w:rPr>
              <w:t></w:t>
            </w:r>
          </w:p>
        </w:tc>
        <w:tc>
          <w:tcPr>
            <w:tcW w:w="1501" w:type="pct"/>
          </w:tcPr>
          <w:p w:rsidR="00260042" w:rsidRDefault="00260042" w:rsidP="004F622D">
            <w:pPr>
              <w:pStyle w:val="BodyText"/>
            </w:pPr>
            <w:r>
              <w:t>+9.8%</w:t>
            </w:r>
          </w:p>
        </w:tc>
      </w:tr>
      <w:tr w:rsidR="00260042" w:rsidTr="004F622D">
        <w:trPr>
          <w:trHeight w:val="376"/>
        </w:trPr>
        <w:tc>
          <w:tcPr>
            <w:tcW w:w="725" w:type="pct"/>
          </w:tcPr>
          <w:p w:rsidR="00260042" w:rsidRDefault="00260042" w:rsidP="004F622D">
            <w:pPr>
              <w:pStyle w:val="BodyText"/>
            </w:pPr>
            <w:r>
              <w:t>2018–19</w:t>
            </w:r>
          </w:p>
        </w:tc>
        <w:tc>
          <w:tcPr>
            <w:tcW w:w="929" w:type="pct"/>
          </w:tcPr>
          <w:p w:rsidR="00260042" w:rsidRDefault="00260042" w:rsidP="004F622D">
            <w:pPr>
              <w:pStyle w:val="BodyText"/>
            </w:pPr>
            <w:r>
              <w:t>≥39%</w:t>
            </w:r>
          </w:p>
        </w:tc>
        <w:tc>
          <w:tcPr>
            <w:tcW w:w="961" w:type="pct"/>
          </w:tcPr>
          <w:p w:rsidR="00260042" w:rsidRDefault="00260042" w:rsidP="004F622D">
            <w:pPr>
              <w:pStyle w:val="BodyText"/>
            </w:pPr>
            <w:r>
              <w:t>35.4%</w:t>
            </w:r>
          </w:p>
        </w:tc>
        <w:tc>
          <w:tcPr>
            <w:tcW w:w="883" w:type="pct"/>
          </w:tcPr>
          <w:p w:rsidR="00260042" w:rsidRDefault="00260042" w:rsidP="004F622D">
            <w:pPr>
              <w:pStyle w:val="BodyText"/>
            </w:pPr>
            <w:r>
              <w:rPr>
                <w:rStyle w:val="Bulletcolour"/>
                <w:rFonts w:ascii="Wingdings" w:hAnsi="Wingdings" w:cs="Wingdings"/>
              </w:rPr>
              <w:t></w:t>
            </w:r>
          </w:p>
        </w:tc>
        <w:tc>
          <w:tcPr>
            <w:tcW w:w="1501" w:type="pct"/>
          </w:tcPr>
          <w:p w:rsidR="00260042" w:rsidRDefault="00260042" w:rsidP="004F622D">
            <w:pPr>
              <w:pStyle w:val="BodyText"/>
            </w:pPr>
            <w:r>
              <w:t>NA</w:t>
            </w:r>
            <w:r>
              <w:rPr>
                <w:vertAlign w:val="superscript"/>
              </w:rPr>
              <w:t>(a)</w:t>
            </w:r>
          </w:p>
        </w:tc>
      </w:tr>
    </w:tbl>
    <w:p w:rsidR="00260042" w:rsidRDefault="00260042" w:rsidP="00EA5510">
      <w:pPr>
        <w:pStyle w:val="BodyText"/>
      </w:pPr>
      <w:r>
        <w:t>(a)</w:t>
      </w:r>
      <w:r>
        <w:tab/>
        <w:t>The performance measure commenced in 2018–19.</w:t>
      </w:r>
    </w:p>
    <w:p w:rsidR="00260042" w:rsidRDefault="00260042" w:rsidP="00260042">
      <w:pPr>
        <w:pStyle w:val="BodyText"/>
        <w:spacing w:before="57" w:after="0"/>
        <w:rPr>
          <w:rStyle w:val="Bold"/>
          <w:caps/>
        </w:rPr>
      </w:pPr>
      <w:r>
        <w:rPr>
          <w:rStyle w:val="Bold"/>
          <w:caps/>
        </w:rPr>
        <w:t>Analysis</w:t>
      </w:r>
    </w:p>
    <w:p w:rsidR="00260042" w:rsidRDefault="00260042" w:rsidP="00260042">
      <w:pPr>
        <w:pStyle w:val="BodyText"/>
      </w:pPr>
      <w:r>
        <w:t xml:space="preserve">The agency achieved the annual result, indicating that the proactive collection strategies in place, in particular the focus on establishing payment arrangements, are working effectively. </w:t>
      </w:r>
    </w:p>
    <w:p w:rsidR="00260042" w:rsidRDefault="00260042" w:rsidP="00260042">
      <w:pPr>
        <w:pStyle w:val="BodyText"/>
      </w:pPr>
      <w:r>
        <w:t xml:space="preserve">Economic factors have contributed, with an increase in debt under arrangement attributed to customers who are in receipt of Social Security and Welfare payments. In these </w:t>
      </w:r>
      <w:proofErr w:type="gramStart"/>
      <w:r>
        <w:t>cases</w:t>
      </w:r>
      <w:proofErr w:type="gramEnd"/>
      <w:r>
        <w:t xml:space="preserve"> debts may be collected under arrangement from these payments. </w:t>
      </w:r>
    </w:p>
    <w:p w:rsidR="00260042" w:rsidRDefault="00260042" w:rsidP="00260042">
      <w:pPr>
        <w:pStyle w:val="BodyText"/>
      </w:pPr>
      <w:r>
        <w:t xml:space="preserve">For more information on </w:t>
      </w:r>
      <w:r>
        <w:rPr>
          <w:rStyle w:val="Italic"/>
        </w:rPr>
        <w:t>Child Support Collect</w:t>
      </w:r>
      <w:r>
        <w:t>, see page 62.</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237</w:t>
      </w:r>
      <w:r>
        <w:br/>
        <w:t>2020–21 Corporate Plan, page 19</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COGNOS, EAC View</w:t>
      </w:r>
    </w:p>
    <w:p w:rsidR="00260042" w:rsidRDefault="00260042" w:rsidP="004F622D">
      <w:pPr>
        <w:pStyle w:val="Heading5"/>
      </w:pPr>
      <w:r>
        <w:t xml:space="preserve">Performance </w:t>
      </w:r>
      <w:r w:rsidRPr="004F622D">
        <w:t>measure</w:t>
      </w:r>
      <w:r>
        <w:t xml:space="preserve"> 4 — Achievement of telephony service level standards: average speed of answer</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4 — Achievement of telephony service level standards: average speed of answer"/>
      </w:tblPr>
      <w:tblGrid>
        <w:gridCol w:w="1509"/>
        <w:gridCol w:w="2088"/>
        <w:gridCol w:w="2074"/>
        <w:gridCol w:w="1906"/>
        <w:gridCol w:w="3213"/>
      </w:tblGrid>
      <w:tr w:rsidR="00260042" w:rsidTr="004F622D">
        <w:trPr>
          <w:trHeight w:val="376"/>
          <w:tblHeader/>
        </w:trPr>
        <w:tc>
          <w:tcPr>
            <w:tcW w:w="699" w:type="pct"/>
          </w:tcPr>
          <w:p w:rsidR="00260042" w:rsidRPr="004F622D" w:rsidRDefault="00260042" w:rsidP="004F622D">
            <w:pPr>
              <w:pStyle w:val="BodyText"/>
              <w:rPr>
                <w:b/>
              </w:rPr>
            </w:pPr>
            <w:r w:rsidRPr="004F622D">
              <w:rPr>
                <w:b/>
              </w:rPr>
              <w:lastRenderedPageBreak/>
              <w:t>Year</w:t>
            </w:r>
          </w:p>
        </w:tc>
        <w:tc>
          <w:tcPr>
            <w:tcW w:w="967" w:type="pct"/>
          </w:tcPr>
          <w:p w:rsidR="00260042" w:rsidRPr="004F622D" w:rsidRDefault="00260042" w:rsidP="004F622D">
            <w:pPr>
              <w:pStyle w:val="BodyText"/>
              <w:rPr>
                <w:b/>
              </w:rPr>
            </w:pPr>
            <w:r w:rsidRPr="004F622D">
              <w:rPr>
                <w:b/>
              </w:rPr>
              <w:t>Target</w:t>
            </w:r>
          </w:p>
        </w:tc>
        <w:tc>
          <w:tcPr>
            <w:tcW w:w="961" w:type="pct"/>
          </w:tcPr>
          <w:p w:rsidR="00260042" w:rsidRPr="004F622D" w:rsidRDefault="00260042" w:rsidP="004F622D">
            <w:pPr>
              <w:pStyle w:val="BodyText"/>
              <w:rPr>
                <w:b/>
              </w:rPr>
            </w:pPr>
            <w:r w:rsidRPr="004F622D">
              <w:rPr>
                <w:b/>
              </w:rPr>
              <w:t>Result</w:t>
            </w:r>
          </w:p>
        </w:tc>
        <w:tc>
          <w:tcPr>
            <w:tcW w:w="883" w:type="pct"/>
          </w:tcPr>
          <w:p w:rsidR="00260042" w:rsidRPr="004F622D" w:rsidRDefault="00260042" w:rsidP="004F622D">
            <w:pPr>
              <w:pStyle w:val="BodyText"/>
              <w:rPr>
                <w:b/>
              </w:rPr>
            </w:pPr>
            <w:r w:rsidRPr="004F622D">
              <w:rPr>
                <w:b/>
              </w:rPr>
              <w:t>Achieved</w:t>
            </w:r>
          </w:p>
        </w:tc>
        <w:tc>
          <w:tcPr>
            <w:tcW w:w="1488" w:type="pct"/>
          </w:tcPr>
          <w:p w:rsidR="00260042" w:rsidRPr="004F622D" w:rsidRDefault="00260042" w:rsidP="004F622D">
            <w:pPr>
              <w:pStyle w:val="BodyText"/>
              <w:rPr>
                <w:b/>
              </w:rPr>
            </w:pPr>
            <w:r w:rsidRPr="004F622D">
              <w:rPr>
                <w:b/>
              </w:rPr>
              <w:t>Change on previous year +/–</w:t>
            </w:r>
          </w:p>
        </w:tc>
      </w:tr>
      <w:tr w:rsidR="00260042" w:rsidTr="004F622D">
        <w:trPr>
          <w:trHeight w:val="376"/>
        </w:trPr>
        <w:tc>
          <w:tcPr>
            <w:tcW w:w="699" w:type="pct"/>
          </w:tcPr>
          <w:p w:rsidR="00260042" w:rsidRDefault="00260042" w:rsidP="004F622D">
            <w:pPr>
              <w:pStyle w:val="BodyText"/>
            </w:pPr>
            <w:r>
              <w:t>2020–21</w:t>
            </w:r>
          </w:p>
        </w:tc>
        <w:tc>
          <w:tcPr>
            <w:tcW w:w="967" w:type="pct"/>
          </w:tcPr>
          <w:p w:rsidR="00260042" w:rsidRDefault="00260042" w:rsidP="004F622D">
            <w:pPr>
              <w:pStyle w:val="BodyText"/>
            </w:pPr>
            <w:r>
              <w:t>≤3 minutes</w:t>
            </w:r>
          </w:p>
        </w:tc>
        <w:tc>
          <w:tcPr>
            <w:tcW w:w="961" w:type="pct"/>
          </w:tcPr>
          <w:p w:rsidR="00260042" w:rsidRDefault="00260042" w:rsidP="004F622D">
            <w:pPr>
              <w:pStyle w:val="BodyText"/>
            </w:pPr>
            <w:r>
              <w:t>2 minutes 50 seconds</w:t>
            </w:r>
          </w:p>
        </w:tc>
        <w:tc>
          <w:tcPr>
            <w:tcW w:w="883" w:type="pct"/>
          </w:tcPr>
          <w:p w:rsidR="00260042" w:rsidRDefault="00260042" w:rsidP="004F622D">
            <w:pPr>
              <w:pStyle w:val="BodyText"/>
            </w:pPr>
            <w:r>
              <w:rPr>
                <w:rStyle w:val="Bulletcolour"/>
                <w:rFonts w:ascii="Wingdings" w:hAnsi="Wingdings" w:cs="Wingdings"/>
              </w:rPr>
              <w:t></w:t>
            </w:r>
          </w:p>
        </w:tc>
        <w:tc>
          <w:tcPr>
            <w:tcW w:w="1488" w:type="pct"/>
          </w:tcPr>
          <w:p w:rsidR="00260042" w:rsidRDefault="00260042" w:rsidP="004F622D">
            <w:pPr>
              <w:pStyle w:val="BodyText"/>
            </w:pPr>
            <w:r>
              <w:rPr>
                <w:spacing w:val="-2"/>
              </w:rPr>
              <w:t>–11 minutes</w:t>
            </w:r>
            <w:r>
              <w:t xml:space="preserve"> 5 seconds</w:t>
            </w:r>
          </w:p>
        </w:tc>
      </w:tr>
      <w:tr w:rsidR="00260042" w:rsidTr="004F622D">
        <w:trPr>
          <w:trHeight w:val="376"/>
        </w:trPr>
        <w:tc>
          <w:tcPr>
            <w:tcW w:w="699" w:type="pct"/>
          </w:tcPr>
          <w:p w:rsidR="00260042" w:rsidRDefault="00260042" w:rsidP="004F622D">
            <w:pPr>
              <w:pStyle w:val="BodyText"/>
            </w:pPr>
            <w:r>
              <w:t>2019–20</w:t>
            </w:r>
          </w:p>
        </w:tc>
        <w:tc>
          <w:tcPr>
            <w:tcW w:w="967" w:type="pct"/>
          </w:tcPr>
          <w:p w:rsidR="00260042" w:rsidRDefault="00260042" w:rsidP="004F622D">
            <w:pPr>
              <w:pStyle w:val="BodyText"/>
            </w:pPr>
            <w:r>
              <w:t>≤3 minutes</w:t>
            </w:r>
          </w:p>
        </w:tc>
        <w:tc>
          <w:tcPr>
            <w:tcW w:w="961" w:type="pct"/>
          </w:tcPr>
          <w:p w:rsidR="00260042" w:rsidRDefault="00260042" w:rsidP="004F622D">
            <w:pPr>
              <w:pStyle w:val="BodyText"/>
            </w:pPr>
            <w:r>
              <w:t>13 minutes 55 seconds</w:t>
            </w:r>
          </w:p>
        </w:tc>
        <w:tc>
          <w:tcPr>
            <w:tcW w:w="883" w:type="pct"/>
          </w:tcPr>
          <w:p w:rsidR="00260042" w:rsidRDefault="00260042" w:rsidP="004F622D">
            <w:pPr>
              <w:pStyle w:val="BodyText"/>
            </w:pPr>
            <w:r>
              <w:rPr>
                <w:rStyle w:val="Bulletcolour"/>
                <w:rFonts w:ascii="Wingdings" w:hAnsi="Wingdings" w:cs="Wingdings"/>
              </w:rPr>
              <w:t></w:t>
            </w:r>
          </w:p>
        </w:tc>
        <w:tc>
          <w:tcPr>
            <w:tcW w:w="1488" w:type="pct"/>
          </w:tcPr>
          <w:p w:rsidR="00260042" w:rsidRDefault="00260042" w:rsidP="004F622D">
            <w:pPr>
              <w:pStyle w:val="BodyText"/>
            </w:pPr>
            <w:r>
              <w:t xml:space="preserve">+1 minute </w:t>
            </w:r>
            <w:r>
              <w:br/>
              <w:t>10 seconds</w:t>
            </w:r>
          </w:p>
        </w:tc>
      </w:tr>
      <w:tr w:rsidR="00260042" w:rsidTr="004F622D">
        <w:trPr>
          <w:trHeight w:val="376"/>
        </w:trPr>
        <w:tc>
          <w:tcPr>
            <w:tcW w:w="699" w:type="pct"/>
          </w:tcPr>
          <w:p w:rsidR="00260042" w:rsidRDefault="00260042" w:rsidP="004F622D">
            <w:pPr>
              <w:pStyle w:val="BodyText"/>
            </w:pPr>
            <w:r>
              <w:t>2018–19</w:t>
            </w:r>
          </w:p>
        </w:tc>
        <w:tc>
          <w:tcPr>
            <w:tcW w:w="967" w:type="pct"/>
          </w:tcPr>
          <w:p w:rsidR="00260042" w:rsidRDefault="00260042" w:rsidP="004F622D">
            <w:pPr>
              <w:pStyle w:val="BodyText"/>
            </w:pPr>
            <w:r>
              <w:t>≤3 minutes</w:t>
            </w:r>
          </w:p>
        </w:tc>
        <w:tc>
          <w:tcPr>
            <w:tcW w:w="961" w:type="pct"/>
          </w:tcPr>
          <w:p w:rsidR="00260042" w:rsidRDefault="00260042" w:rsidP="004F622D">
            <w:pPr>
              <w:pStyle w:val="BodyText"/>
            </w:pPr>
            <w:r>
              <w:t>12 minutes 45 seconds</w:t>
            </w:r>
          </w:p>
        </w:tc>
        <w:tc>
          <w:tcPr>
            <w:tcW w:w="883" w:type="pct"/>
          </w:tcPr>
          <w:p w:rsidR="00260042" w:rsidRDefault="00260042" w:rsidP="004F622D">
            <w:pPr>
              <w:pStyle w:val="BodyText"/>
            </w:pPr>
            <w:r>
              <w:rPr>
                <w:rStyle w:val="Bulletcolour"/>
                <w:rFonts w:ascii="Wingdings" w:hAnsi="Wingdings" w:cs="Wingdings"/>
              </w:rPr>
              <w:t></w:t>
            </w:r>
          </w:p>
        </w:tc>
        <w:tc>
          <w:tcPr>
            <w:tcW w:w="1488" w:type="pct"/>
          </w:tcPr>
          <w:p w:rsidR="00260042" w:rsidRDefault="00260042" w:rsidP="004F622D">
            <w:pPr>
              <w:pStyle w:val="BodyText"/>
            </w:pPr>
            <w:r>
              <w:t>+3 minutes 40 seconds</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The agency achieved its annual target in 2020–21, with the average speed of answer decreasing by over 11 minutes. </w:t>
      </w:r>
    </w:p>
    <w:p w:rsidR="00260042" w:rsidRDefault="00260042" w:rsidP="00260042">
      <w:pPr>
        <w:pStyle w:val="BodyText"/>
        <w:spacing w:after="57"/>
      </w:pPr>
      <w:r>
        <w:t xml:space="preserve">The substantial improvement is attributed to a regular review of work practices to ensure capacity was optimally </w:t>
      </w:r>
      <w:proofErr w:type="gramStart"/>
      <w:r>
        <w:t>utilised,</w:t>
      </w:r>
      <w:proofErr w:type="gramEnd"/>
      <w:r>
        <w:t xml:space="preserve"> and additional telephony capacity through training and developing staff capability and engagement of new staff. </w:t>
      </w:r>
    </w:p>
    <w:tbl>
      <w:tblPr>
        <w:tblStyle w:val="TableGrid"/>
        <w:tblW w:w="5000" w:type="pct"/>
        <w:tblLook w:val="0000" w:firstRow="0" w:lastRow="0" w:firstColumn="0" w:lastColumn="0" w:noHBand="0" w:noVBand="0"/>
        <w:tblCaption w:val="Performance measure 4 — Achievement of telephony service level standards: average speed of answer"/>
      </w:tblPr>
      <w:tblGrid>
        <w:gridCol w:w="4611"/>
        <w:gridCol w:w="2059"/>
        <w:gridCol w:w="2059"/>
        <w:gridCol w:w="2061"/>
      </w:tblGrid>
      <w:tr w:rsidR="00260042" w:rsidTr="004F622D">
        <w:trPr>
          <w:trHeight w:val="376"/>
          <w:tblHeader/>
        </w:trPr>
        <w:tc>
          <w:tcPr>
            <w:tcW w:w="2137" w:type="pct"/>
          </w:tcPr>
          <w:p w:rsidR="00260042" w:rsidRDefault="00260042" w:rsidP="004F622D">
            <w:pPr>
              <w:pStyle w:val="BodyText"/>
            </w:pPr>
          </w:p>
        </w:tc>
        <w:tc>
          <w:tcPr>
            <w:tcW w:w="954" w:type="pct"/>
          </w:tcPr>
          <w:p w:rsidR="00260042" w:rsidRDefault="00260042" w:rsidP="004F622D">
            <w:pPr>
              <w:pStyle w:val="BodyText"/>
              <w:jc w:val="right"/>
            </w:pPr>
            <w:r>
              <w:rPr>
                <w:rStyle w:val="Bold"/>
              </w:rPr>
              <w:t>2018–19</w:t>
            </w:r>
          </w:p>
        </w:tc>
        <w:tc>
          <w:tcPr>
            <w:tcW w:w="954" w:type="pct"/>
          </w:tcPr>
          <w:p w:rsidR="00260042" w:rsidRDefault="00260042" w:rsidP="004F622D">
            <w:pPr>
              <w:pStyle w:val="BodyText"/>
              <w:jc w:val="right"/>
            </w:pPr>
            <w:r>
              <w:rPr>
                <w:rStyle w:val="Bold"/>
              </w:rPr>
              <w:t>2019–20</w:t>
            </w:r>
          </w:p>
        </w:tc>
        <w:tc>
          <w:tcPr>
            <w:tcW w:w="955" w:type="pct"/>
          </w:tcPr>
          <w:p w:rsidR="00260042" w:rsidRDefault="00260042" w:rsidP="004F622D">
            <w:pPr>
              <w:pStyle w:val="BodyText"/>
              <w:jc w:val="right"/>
            </w:pPr>
            <w:r>
              <w:rPr>
                <w:rStyle w:val="Bold"/>
              </w:rPr>
              <w:t>2020–21</w:t>
            </w:r>
          </w:p>
        </w:tc>
      </w:tr>
      <w:tr w:rsidR="00260042" w:rsidTr="004F622D">
        <w:trPr>
          <w:trHeight w:val="397"/>
        </w:trPr>
        <w:tc>
          <w:tcPr>
            <w:tcW w:w="2137" w:type="pct"/>
          </w:tcPr>
          <w:p w:rsidR="00260042" w:rsidRDefault="00260042" w:rsidP="004F622D">
            <w:pPr>
              <w:pStyle w:val="BodyText"/>
            </w:pPr>
            <w:r>
              <w:t>Answered calls</w:t>
            </w:r>
          </w:p>
        </w:tc>
        <w:tc>
          <w:tcPr>
            <w:tcW w:w="954" w:type="pct"/>
          </w:tcPr>
          <w:p w:rsidR="00260042" w:rsidRDefault="00260042" w:rsidP="004F622D">
            <w:pPr>
              <w:pStyle w:val="BodyText"/>
              <w:jc w:val="right"/>
            </w:pPr>
            <w:r>
              <w:t>1.7 million</w:t>
            </w:r>
          </w:p>
        </w:tc>
        <w:tc>
          <w:tcPr>
            <w:tcW w:w="954" w:type="pct"/>
          </w:tcPr>
          <w:p w:rsidR="00260042" w:rsidRDefault="00260042" w:rsidP="004F622D">
            <w:pPr>
              <w:pStyle w:val="BodyText"/>
              <w:jc w:val="right"/>
            </w:pPr>
            <w:r>
              <w:t>1.6 million</w:t>
            </w:r>
          </w:p>
        </w:tc>
        <w:tc>
          <w:tcPr>
            <w:tcW w:w="955" w:type="pct"/>
          </w:tcPr>
          <w:p w:rsidR="00260042" w:rsidRDefault="00260042" w:rsidP="004F622D">
            <w:pPr>
              <w:pStyle w:val="BodyText"/>
              <w:jc w:val="right"/>
            </w:pPr>
            <w:r>
              <w:t>1.6 million</w:t>
            </w:r>
          </w:p>
        </w:tc>
      </w:tr>
      <w:tr w:rsidR="00260042" w:rsidTr="004F622D">
        <w:trPr>
          <w:trHeight w:val="376"/>
        </w:trPr>
        <w:tc>
          <w:tcPr>
            <w:tcW w:w="2137" w:type="pct"/>
          </w:tcPr>
          <w:p w:rsidR="00260042" w:rsidRDefault="00260042" w:rsidP="004F622D">
            <w:pPr>
              <w:pStyle w:val="BodyText"/>
            </w:pPr>
            <w:r>
              <w:t>Terminated calls</w:t>
            </w:r>
          </w:p>
        </w:tc>
        <w:tc>
          <w:tcPr>
            <w:tcW w:w="954" w:type="pct"/>
          </w:tcPr>
          <w:p w:rsidR="00260042" w:rsidRDefault="00260042" w:rsidP="004F622D">
            <w:pPr>
              <w:pStyle w:val="BodyText"/>
              <w:jc w:val="right"/>
            </w:pPr>
            <w:r>
              <w:t>0.5 million</w:t>
            </w:r>
          </w:p>
        </w:tc>
        <w:tc>
          <w:tcPr>
            <w:tcW w:w="954" w:type="pct"/>
          </w:tcPr>
          <w:p w:rsidR="00260042" w:rsidRDefault="00260042" w:rsidP="004F622D">
            <w:pPr>
              <w:pStyle w:val="BodyText"/>
              <w:jc w:val="right"/>
            </w:pPr>
            <w:r>
              <w:t>0.4 million</w:t>
            </w:r>
          </w:p>
        </w:tc>
        <w:tc>
          <w:tcPr>
            <w:tcW w:w="955" w:type="pct"/>
          </w:tcPr>
          <w:p w:rsidR="00260042" w:rsidRDefault="00260042" w:rsidP="004F622D">
            <w:pPr>
              <w:pStyle w:val="BodyText"/>
              <w:jc w:val="right"/>
            </w:pPr>
            <w:r>
              <w:t>0.1 million</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237</w:t>
      </w:r>
      <w:r>
        <w:br/>
        <w:t>2020–21 Corporate Plan, page 19</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Telstra computer telephony interface files.</w:t>
      </w:r>
    </w:p>
    <w:p w:rsidR="00260042" w:rsidRDefault="00260042" w:rsidP="00260042">
      <w:pPr>
        <w:pStyle w:val="BodyText"/>
        <w:spacing w:after="0"/>
        <w:rPr>
          <w:rStyle w:val="Bold"/>
        </w:rPr>
      </w:pPr>
      <w:r>
        <w:rPr>
          <w:rStyle w:val="Bold"/>
          <w:caps/>
        </w:rPr>
        <w:t>Notes and Definitions</w:t>
      </w:r>
    </w:p>
    <w:p w:rsidR="00260042" w:rsidRDefault="00260042" w:rsidP="008930A3">
      <w:pPr>
        <w:pStyle w:val="ListBullet"/>
      </w:pPr>
      <w:r>
        <w:t>Telephony lines used to calculate this measure include all Child Support inbound queues.</w:t>
      </w:r>
    </w:p>
    <w:p w:rsidR="00260042" w:rsidRDefault="00260042" w:rsidP="008930A3">
      <w:pPr>
        <w:pStyle w:val="ListBullet"/>
      </w:pPr>
      <w:r>
        <w:t xml:space="preserve">Average speed of answer </w:t>
      </w:r>
      <w:proofErr w:type="gramStart"/>
      <w:r>
        <w:t>is measured</w:t>
      </w:r>
      <w:proofErr w:type="gramEnd"/>
      <w:r>
        <w:t xml:space="preserve"> from the time a customer enters the queue to the time their call is answered by a service officer.</w:t>
      </w:r>
    </w:p>
    <w:p w:rsidR="00260042" w:rsidRDefault="00260042" w:rsidP="00EA5510">
      <w:pPr>
        <w:pStyle w:val="ListBullet"/>
      </w:pPr>
      <w:r>
        <w:t xml:space="preserve">Calls terminated by a customer before they </w:t>
      </w:r>
      <w:proofErr w:type="gramStart"/>
      <w:r>
        <w:t>are answered</w:t>
      </w:r>
      <w:proofErr w:type="gramEnd"/>
      <w:r>
        <w:t xml:space="preserve"> are not included in the calculation as the calculation measures how long customers have waited to be answered only.</w:t>
      </w:r>
    </w:p>
    <w:p w:rsidR="00260042" w:rsidRPr="004F622D" w:rsidRDefault="00260042" w:rsidP="004F622D">
      <w:pPr>
        <w:pStyle w:val="Heading5"/>
      </w:pPr>
      <w:r w:rsidRPr="004F622D">
        <w:t>Performance measure 5 — Achievement of processing service level standards: registrations processed within standard</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5 — Achievement of processing service level standards: registrations processed within standard"/>
      </w:tblPr>
      <w:tblGrid>
        <w:gridCol w:w="1730"/>
        <w:gridCol w:w="1893"/>
        <w:gridCol w:w="2076"/>
        <w:gridCol w:w="1906"/>
        <w:gridCol w:w="3185"/>
      </w:tblGrid>
      <w:tr w:rsidR="00260042" w:rsidTr="004F622D">
        <w:trPr>
          <w:trHeight w:val="376"/>
          <w:tblHeader/>
        </w:trPr>
        <w:tc>
          <w:tcPr>
            <w:tcW w:w="802" w:type="pct"/>
          </w:tcPr>
          <w:p w:rsidR="00260042" w:rsidRPr="004F622D" w:rsidRDefault="00260042" w:rsidP="004F622D">
            <w:pPr>
              <w:pStyle w:val="BodyText"/>
              <w:rPr>
                <w:b/>
              </w:rPr>
            </w:pPr>
            <w:r w:rsidRPr="004F622D">
              <w:rPr>
                <w:b/>
              </w:rPr>
              <w:lastRenderedPageBreak/>
              <w:t>Year</w:t>
            </w:r>
          </w:p>
        </w:tc>
        <w:tc>
          <w:tcPr>
            <w:tcW w:w="877" w:type="pct"/>
          </w:tcPr>
          <w:p w:rsidR="00260042" w:rsidRPr="004F622D" w:rsidRDefault="00260042" w:rsidP="004F622D">
            <w:pPr>
              <w:pStyle w:val="BodyText"/>
              <w:rPr>
                <w:b/>
              </w:rPr>
            </w:pPr>
            <w:r w:rsidRPr="004F622D">
              <w:rPr>
                <w:b/>
              </w:rPr>
              <w:t>Target</w:t>
            </w:r>
          </w:p>
        </w:tc>
        <w:tc>
          <w:tcPr>
            <w:tcW w:w="962" w:type="pct"/>
          </w:tcPr>
          <w:p w:rsidR="00260042" w:rsidRPr="004F622D" w:rsidRDefault="00260042" w:rsidP="004F622D">
            <w:pPr>
              <w:pStyle w:val="BodyText"/>
              <w:rPr>
                <w:b/>
              </w:rPr>
            </w:pPr>
            <w:r w:rsidRPr="004F622D">
              <w:rPr>
                <w:b/>
              </w:rPr>
              <w:t>Result</w:t>
            </w:r>
          </w:p>
        </w:tc>
        <w:tc>
          <w:tcPr>
            <w:tcW w:w="883" w:type="pct"/>
          </w:tcPr>
          <w:p w:rsidR="00260042" w:rsidRPr="004F622D" w:rsidRDefault="00260042" w:rsidP="004F622D">
            <w:pPr>
              <w:pStyle w:val="BodyText"/>
              <w:rPr>
                <w:b/>
              </w:rPr>
            </w:pPr>
            <w:r w:rsidRPr="004F622D">
              <w:rPr>
                <w:b/>
              </w:rPr>
              <w:t>Achieved</w:t>
            </w:r>
          </w:p>
        </w:tc>
        <w:tc>
          <w:tcPr>
            <w:tcW w:w="1476" w:type="pct"/>
          </w:tcPr>
          <w:p w:rsidR="00260042" w:rsidRPr="004F622D" w:rsidRDefault="00260042" w:rsidP="004F622D">
            <w:pPr>
              <w:pStyle w:val="BodyText"/>
              <w:rPr>
                <w:b/>
              </w:rPr>
            </w:pPr>
            <w:r w:rsidRPr="004F622D">
              <w:rPr>
                <w:b/>
              </w:rPr>
              <w:t>Change on previous year +/–</w:t>
            </w:r>
          </w:p>
        </w:tc>
      </w:tr>
      <w:tr w:rsidR="00260042" w:rsidTr="004F622D">
        <w:trPr>
          <w:trHeight w:val="376"/>
        </w:trPr>
        <w:tc>
          <w:tcPr>
            <w:tcW w:w="802" w:type="pct"/>
          </w:tcPr>
          <w:p w:rsidR="00260042" w:rsidRDefault="00260042" w:rsidP="004F622D">
            <w:pPr>
              <w:pStyle w:val="BodyText"/>
            </w:pPr>
            <w:r>
              <w:t>2020–21</w:t>
            </w:r>
          </w:p>
        </w:tc>
        <w:tc>
          <w:tcPr>
            <w:tcW w:w="877" w:type="pct"/>
          </w:tcPr>
          <w:p w:rsidR="00260042" w:rsidRDefault="00260042" w:rsidP="004F622D">
            <w:pPr>
              <w:pStyle w:val="BodyText"/>
            </w:pPr>
            <w:r>
              <w:t>≥82%</w:t>
            </w:r>
          </w:p>
        </w:tc>
        <w:tc>
          <w:tcPr>
            <w:tcW w:w="962" w:type="pct"/>
          </w:tcPr>
          <w:p w:rsidR="00260042" w:rsidRDefault="00260042" w:rsidP="004F622D">
            <w:pPr>
              <w:pStyle w:val="BodyText"/>
            </w:pPr>
            <w:r>
              <w:t>82.2%</w:t>
            </w:r>
          </w:p>
        </w:tc>
        <w:tc>
          <w:tcPr>
            <w:tcW w:w="883" w:type="pct"/>
          </w:tcPr>
          <w:p w:rsidR="00260042" w:rsidRDefault="00260042" w:rsidP="004F622D">
            <w:pPr>
              <w:pStyle w:val="BodyText"/>
            </w:pPr>
            <w:r>
              <w:rPr>
                <w:rStyle w:val="Bulletcolour"/>
                <w:rFonts w:ascii="Wingdings" w:hAnsi="Wingdings" w:cs="Wingdings"/>
              </w:rPr>
              <w:t></w:t>
            </w:r>
          </w:p>
        </w:tc>
        <w:tc>
          <w:tcPr>
            <w:tcW w:w="1476" w:type="pct"/>
          </w:tcPr>
          <w:p w:rsidR="00260042" w:rsidRDefault="00260042" w:rsidP="004F622D">
            <w:pPr>
              <w:pStyle w:val="BodyText"/>
            </w:pPr>
            <w:r>
              <w:t>–1.7%</w:t>
            </w:r>
          </w:p>
        </w:tc>
      </w:tr>
      <w:tr w:rsidR="00260042" w:rsidTr="004F622D">
        <w:trPr>
          <w:trHeight w:val="376"/>
        </w:trPr>
        <w:tc>
          <w:tcPr>
            <w:tcW w:w="802" w:type="pct"/>
          </w:tcPr>
          <w:p w:rsidR="00260042" w:rsidRDefault="00260042" w:rsidP="004F622D">
            <w:pPr>
              <w:pStyle w:val="BodyText"/>
            </w:pPr>
            <w:r>
              <w:t>2019–20</w:t>
            </w:r>
          </w:p>
        </w:tc>
        <w:tc>
          <w:tcPr>
            <w:tcW w:w="877" w:type="pct"/>
          </w:tcPr>
          <w:p w:rsidR="00260042" w:rsidRDefault="00260042" w:rsidP="004F622D">
            <w:pPr>
              <w:pStyle w:val="BodyText"/>
            </w:pPr>
            <w:r>
              <w:t>≥82%</w:t>
            </w:r>
          </w:p>
        </w:tc>
        <w:tc>
          <w:tcPr>
            <w:tcW w:w="962" w:type="pct"/>
          </w:tcPr>
          <w:p w:rsidR="00260042" w:rsidRDefault="00260042" w:rsidP="004F622D">
            <w:pPr>
              <w:pStyle w:val="BodyText"/>
            </w:pPr>
            <w:r>
              <w:t>83.9%</w:t>
            </w:r>
          </w:p>
        </w:tc>
        <w:tc>
          <w:tcPr>
            <w:tcW w:w="883" w:type="pct"/>
          </w:tcPr>
          <w:p w:rsidR="00260042" w:rsidRDefault="00260042" w:rsidP="004F622D">
            <w:pPr>
              <w:pStyle w:val="BodyText"/>
            </w:pPr>
            <w:r>
              <w:rPr>
                <w:rStyle w:val="Bulletcolour"/>
                <w:rFonts w:ascii="Wingdings" w:hAnsi="Wingdings" w:cs="Wingdings"/>
              </w:rPr>
              <w:t></w:t>
            </w:r>
          </w:p>
        </w:tc>
        <w:tc>
          <w:tcPr>
            <w:tcW w:w="1476" w:type="pct"/>
          </w:tcPr>
          <w:p w:rsidR="00260042" w:rsidRDefault="00260042" w:rsidP="004F622D">
            <w:pPr>
              <w:pStyle w:val="BodyText"/>
            </w:pPr>
            <w:r>
              <w:t>+3.2%</w:t>
            </w:r>
          </w:p>
        </w:tc>
      </w:tr>
      <w:tr w:rsidR="00260042" w:rsidTr="004F622D">
        <w:trPr>
          <w:trHeight w:val="376"/>
        </w:trPr>
        <w:tc>
          <w:tcPr>
            <w:tcW w:w="802" w:type="pct"/>
          </w:tcPr>
          <w:p w:rsidR="00260042" w:rsidRDefault="00260042" w:rsidP="004F622D">
            <w:pPr>
              <w:pStyle w:val="BodyText"/>
            </w:pPr>
            <w:r>
              <w:t>2018–19</w:t>
            </w:r>
          </w:p>
        </w:tc>
        <w:tc>
          <w:tcPr>
            <w:tcW w:w="877" w:type="pct"/>
          </w:tcPr>
          <w:p w:rsidR="00260042" w:rsidRDefault="00260042" w:rsidP="004F622D">
            <w:pPr>
              <w:pStyle w:val="BodyText"/>
            </w:pPr>
            <w:r>
              <w:t>≥82%</w:t>
            </w:r>
          </w:p>
        </w:tc>
        <w:tc>
          <w:tcPr>
            <w:tcW w:w="962" w:type="pct"/>
          </w:tcPr>
          <w:p w:rsidR="00260042" w:rsidRDefault="00260042" w:rsidP="004F622D">
            <w:pPr>
              <w:pStyle w:val="BodyText"/>
            </w:pPr>
            <w:r>
              <w:t>80.7%</w:t>
            </w:r>
          </w:p>
        </w:tc>
        <w:tc>
          <w:tcPr>
            <w:tcW w:w="883" w:type="pct"/>
          </w:tcPr>
          <w:p w:rsidR="00260042" w:rsidRDefault="00260042" w:rsidP="004F622D">
            <w:pPr>
              <w:pStyle w:val="BodyText"/>
            </w:pPr>
            <w:r>
              <w:rPr>
                <w:rStyle w:val="Bulletcolour"/>
                <w:rFonts w:ascii="Wingdings" w:hAnsi="Wingdings" w:cs="Wingdings"/>
              </w:rPr>
              <w:t></w:t>
            </w:r>
          </w:p>
        </w:tc>
        <w:tc>
          <w:tcPr>
            <w:tcW w:w="1476" w:type="pct"/>
          </w:tcPr>
          <w:p w:rsidR="00260042" w:rsidRDefault="00260042" w:rsidP="004F622D">
            <w:pPr>
              <w:pStyle w:val="BodyText"/>
            </w:pPr>
            <w:r>
              <w:t>+4.5%</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pPr>
      <w:r>
        <w:t xml:space="preserve">The agency achieved the annual target, with added focus </w:t>
      </w:r>
      <w:proofErr w:type="gramStart"/>
      <w:r>
        <w:t>being given</w:t>
      </w:r>
      <w:proofErr w:type="gramEnd"/>
      <w:r>
        <w:t xml:space="preserve"> to improving workload management strategies to maximise timeliness of applications processed. </w:t>
      </w:r>
    </w:p>
    <w:p w:rsidR="00260042" w:rsidRDefault="00260042" w:rsidP="00260042">
      <w:pPr>
        <w:pStyle w:val="BodyText"/>
      </w:pPr>
      <w:r>
        <w:t xml:space="preserve">The result </w:t>
      </w:r>
      <w:proofErr w:type="gramStart"/>
      <w:r>
        <w:t>was down slightly compared</w:t>
      </w:r>
      <w:proofErr w:type="gramEnd"/>
      <w:r>
        <w:t xml:space="preserve"> to 2019–20 due to staff across Child Support being redeployed to priority COVID-19 pandemic work as directed throughout the reporting period. </w:t>
      </w:r>
    </w:p>
    <w:p w:rsidR="00260042" w:rsidRDefault="00260042" w:rsidP="00260042">
      <w:pPr>
        <w:pStyle w:val="BodyText"/>
      </w:pPr>
      <w:r>
        <w:t xml:space="preserve">Daily monitoring and reporting on the status of all applications provided enhanced visibility of </w:t>
      </w:r>
      <w:proofErr w:type="gramStart"/>
      <w:r>
        <w:t>workloads,</w:t>
      </w:r>
      <w:proofErr w:type="gramEnd"/>
      <w:r>
        <w:t xml:space="preserve"> and prioritisation of work in order to achieve the target.</w:t>
      </w:r>
    </w:p>
    <w:p w:rsidR="00260042" w:rsidRDefault="00260042" w:rsidP="00260042">
      <w:pPr>
        <w:pStyle w:val="BodyText"/>
        <w:spacing w:after="57"/>
      </w:pPr>
      <w:r>
        <w:rPr>
          <w:spacing w:val="-3"/>
        </w:rPr>
        <w:t xml:space="preserve">Performance </w:t>
      </w:r>
      <w:proofErr w:type="gramStart"/>
      <w:r>
        <w:rPr>
          <w:spacing w:val="-3"/>
        </w:rPr>
        <w:t>was also aided</w:t>
      </w:r>
      <w:proofErr w:type="gramEnd"/>
      <w:r>
        <w:rPr>
          <w:spacing w:val="-3"/>
        </w:rPr>
        <w:t xml:space="preserve"> by the recruitment of new staff in 2020, which helped </w:t>
      </w:r>
      <w:r>
        <w:t xml:space="preserve">with capacity for this year to maximise timeliness of registrations processed. </w:t>
      </w:r>
    </w:p>
    <w:tbl>
      <w:tblPr>
        <w:tblStyle w:val="TableGrid"/>
        <w:tblW w:w="5000" w:type="pct"/>
        <w:tblLook w:val="0000" w:firstRow="0" w:lastRow="0" w:firstColumn="0" w:lastColumn="0" w:noHBand="0" w:noVBand="0"/>
        <w:tblCaption w:val="Registrations processed "/>
      </w:tblPr>
      <w:tblGrid>
        <w:gridCol w:w="4611"/>
        <w:gridCol w:w="2059"/>
        <w:gridCol w:w="2059"/>
        <w:gridCol w:w="2061"/>
      </w:tblGrid>
      <w:tr w:rsidR="00260042" w:rsidTr="00277527">
        <w:trPr>
          <w:trHeight w:val="376"/>
          <w:tblHeader/>
        </w:trPr>
        <w:tc>
          <w:tcPr>
            <w:tcW w:w="2137" w:type="pct"/>
          </w:tcPr>
          <w:p w:rsidR="00260042" w:rsidRDefault="00260042" w:rsidP="00277527">
            <w:pPr>
              <w:pStyle w:val="BodyText"/>
            </w:pPr>
          </w:p>
        </w:tc>
        <w:tc>
          <w:tcPr>
            <w:tcW w:w="954" w:type="pct"/>
          </w:tcPr>
          <w:p w:rsidR="00260042" w:rsidRDefault="00260042" w:rsidP="00277527">
            <w:pPr>
              <w:pStyle w:val="BodyText"/>
              <w:jc w:val="right"/>
            </w:pPr>
            <w:r>
              <w:rPr>
                <w:rStyle w:val="Bold"/>
              </w:rPr>
              <w:t>2018–19</w:t>
            </w:r>
          </w:p>
        </w:tc>
        <w:tc>
          <w:tcPr>
            <w:tcW w:w="954" w:type="pct"/>
          </w:tcPr>
          <w:p w:rsidR="00260042" w:rsidRDefault="00260042" w:rsidP="00277527">
            <w:pPr>
              <w:pStyle w:val="BodyText"/>
              <w:jc w:val="right"/>
            </w:pPr>
            <w:r>
              <w:rPr>
                <w:rStyle w:val="Bold"/>
              </w:rPr>
              <w:t>2019–20</w:t>
            </w:r>
          </w:p>
        </w:tc>
        <w:tc>
          <w:tcPr>
            <w:tcW w:w="955" w:type="pct"/>
          </w:tcPr>
          <w:p w:rsidR="00260042" w:rsidRDefault="00260042" w:rsidP="00277527">
            <w:pPr>
              <w:pStyle w:val="BodyText"/>
              <w:jc w:val="right"/>
            </w:pPr>
            <w:r>
              <w:rPr>
                <w:rStyle w:val="Bold"/>
              </w:rPr>
              <w:t>2020–21</w:t>
            </w:r>
          </w:p>
        </w:tc>
      </w:tr>
      <w:tr w:rsidR="00260042" w:rsidTr="00277527">
        <w:trPr>
          <w:trHeight w:val="397"/>
        </w:trPr>
        <w:tc>
          <w:tcPr>
            <w:tcW w:w="2137" w:type="pct"/>
          </w:tcPr>
          <w:p w:rsidR="00260042" w:rsidRDefault="00260042" w:rsidP="00277527">
            <w:pPr>
              <w:pStyle w:val="BodyText"/>
            </w:pPr>
            <w:r>
              <w:t>Registrations processed within standard</w:t>
            </w:r>
          </w:p>
        </w:tc>
        <w:tc>
          <w:tcPr>
            <w:tcW w:w="954" w:type="pct"/>
          </w:tcPr>
          <w:p w:rsidR="00260042" w:rsidRDefault="00260042" w:rsidP="00277527">
            <w:pPr>
              <w:pStyle w:val="BodyText"/>
              <w:jc w:val="right"/>
            </w:pPr>
            <w:r>
              <w:t>47,950</w:t>
            </w:r>
          </w:p>
        </w:tc>
        <w:tc>
          <w:tcPr>
            <w:tcW w:w="954" w:type="pct"/>
          </w:tcPr>
          <w:p w:rsidR="00260042" w:rsidRDefault="00260042" w:rsidP="00277527">
            <w:pPr>
              <w:pStyle w:val="BodyText"/>
              <w:jc w:val="right"/>
            </w:pPr>
            <w:r>
              <w:t>51,886</w:t>
            </w:r>
          </w:p>
        </w:tc>
        <w:tc>
          <w:tcPr>
            <w:tcW w:w="955" w:type="pct"/>
          </w:tcPr>
          <w:p w:rsidR="00260042" w:rsidRDefault="00260042" w:rsidP="00277527">
            <w:pPr>
              <w:pStyle w:val="BodyText"/>
              <w:jc w:val="right"/>
            </w:pPr>
            <w:r>
              <w:t>49,183</w:t>
            </w:r>
          </w:p>
        </w:tc>
      </w:tr>
      <w:tr w:rsidR="00260042" w:rsidTr="00277527">
        <w:trPr>
          <w:trHeight w:val="376"/>
        </w:trPr>
        <w:tc>
          <w:tcPr>
            <w:tcW w:w="2137" w:type="pct"/>
          </w:tcPr>
          <w:p w:rsidR="00260042" w:rsidRDefault="00260042" w:rsidP="00277527">
            <w:pPr>
              <w:pStyle w:val="BodyText"/>
            </w:pPr>
            <w:r>
              <w:t>Registrations not processed within standard</w:t>
            </w:r>
          </w:p>
        </w:tc>
        <w:tc>
          <w:tcPr>
            <w:tcW w:w="954" w:type="pct"/>
          </w:tcPr>
          <w:p w:rsidR="00260042" w:rsidRDefault="00260042" w:rsidP="00277527">
            <w:pPr>
              <w:pStyle w:val="BodyText"/>
              <w:jc w:val="right"/>
            </w:pPr>
            <w:r>
              <w:t>11,476</w:t>
            </w:r>
          </w:p>
        </w:tc>
        <w:tc>
          <w:tcPr>
            <w:tcW w:w="954" w:type="pct"/>
          </w:tcPr>
          <w:p w:rsidR="00260042" w:rsidRDefault="00260042" w:rsidP="00277527">
            <w:pPr>
              <w:pStyle w:val="BodyText"/>
              <w:jc w:val="right"/>
            </w:pPr>
            <w:r>
              <w:t>9,952</w:t>
            </w:r>
          </w:p>
        </w:tc>
        <w:tc>
          <w:tcPr>
            <w:tcW w:w="955" w:type="pct"/>
          </w:tcPr>
          <w:p w:rsidR="00260042" w:rsidRDefault="00260042" w:rsidP="00277527">
            <w:pPr>
              <w:pStyle w:val="BodyText"/>
              <w:jc w:val="right"/>
            </w:pPr>
            <w:r>
              <w:t>10,618</w:t>
            </w:r>
          </w:p>
        </w:tc>
      </w:tr>
      <w:tr w:rsidR="00260042" w:rsidTr="00277527">
        <w:trPr>
          <w:trHeight w:val="376"/>
        </w:trPr>
        <w:tc>
          <w:tcPr>
            <w:tcW w:w="2137" w:type="pct"/>
          </w:tcPr>
          <w:p w:rsidR="00260042" w:rsidRDefault="00260042" w:rsidP="00277527">
            <w:pPr>
              <w:pStyle w:val="BodyText"/>
            </w:pPr>
            <w:r>
              <w:rPr>
                <w:rStyle w:val="Bold"/>
              </w:rPr>
              <w:t xml:space="preserve">Total </w:t>
            </w:r>
          </w:p>
        </w:tc>
        <w:tc>
          <w:tcPr>
            <w:tcW w:w="954" w:type="pct"/>
          </w:tcPr>
          <w:p w:rsidR="00260042" w:rsidRDefault="00260042" w:rsidP="00277527">
            <w:pPr>
              <w:pStyle w:val="BodyText"/>
              <w:jc w:val="right"/>
            </w:pPr>
            <w:r>
              <w:rPr>
                <w:rStyle w:val="Bold"/>
              </w:rPr>
              <w:t>59,426</w:t>
            </w:r>
          </w:p>
        </w:tc>
        <w:tc>
          <w:tcPr>
            <w:tcW w:w="954" w:type="pct"/>
          </w:tcPr>
          <w:p w:rsidR="00260042" w:rsidRDefault="00260042" w:rsidP="00277527">
            <w:pPr>
              <w:pStyle w:val="BodyText"/>
              <w:jc w:val="right"/>
            </w:pPr>
            <w:r>
              <w:rPr>
                <w:rStyle w:val="Bold"/>
              </w:rPr>
              <w:t>61,838</w:t>
            </w:r>
          </w:p>
        </w:tc>
        <w:tc>
          <w:tcPr>
            <w:tcW w:w="955" w:type="pct"/>
          </w:tcPr>
          <w:p w:rsidR="00260042" w:rsidRDefault="00260042" w:rsidP="00277527">
            <w:pPr>
              <w:pStyle w:val="BodyText"/>
              <w:jc w:val="right"/>
            </w:pPr>
            <w:r>
              <w:rPr>
                <w:rStyle w:val="Bold"/>
              </w:rPr>
              <w:t>59,801</w:t>
            </w:r>
          </w:p>
        </w:tc>
      </w:tr>
    </w:tbl>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237</w:t>
      </w:r>
      <w:r>
        <w:br/>
        <w:t>2020–21 Corporate Plan, page 19</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Child Support Enterprise Data Warehouse.</w:t>
      </w:r>
    </w:p>
    <w:p w:rsidR="00260042" w:rsidRDefault="00260042" w:rsidP="00260042">
      <w:pPr>
        <w:pStyle w:val="BodyText"/>
        <w:spacing w:after="0"/>
        <w:rPr>
          <w:rStyle w:val="Bold"/>
          <w:caps/>
        </w:rPr>
      </w:pPr>
      <w:r>
        <w:rPr>
          <w:rStyle w:val="Bold"/>
          <w:caps/>
        </w:rPr>
        <w:t>Notes and Definitions</w:t>
      </w:r>
    </w:p>
    <w:p w:rsidR="00260042" w:rsidRDefault="00260042" w:rsidP="00260042">
      <w:pPr>
        <w:pStyle w:val="BodyText"/>
      </w:pPr>
      <w:r>
        <w:t xml:space="preserve">The performance measure is reflected in the Services Australia 2020–21 Corporate Plan </w:t>
      </w:r>
      <w:proofErr w:type="gramStart"/>
      <w:r>
        <w:t>as:</w:t>
      </w:r>
      <w:proofErr w:type="gramEnd"/>
      <w:r>
        <w:t xml:space="preserve"> Achievement of processing service level standards: registrations completed within standard.</w:t>
      </w:r>
    </w:p>
    <w:p w:rsidR="00260042" w:rsidRDefault="00260042" w:rsidP="00260042">
      <w:pPr>
        <w:pStyle w:val="BodyText"/>
        <w:spacing w:after="57"/>
      </w:pPr>
      <w:r>
        <w:t>The performance measure counts the percentage of registrations that are finalised within 28 days. Registrations include:</w:t>
      </w:r>
    </w:p>
    <w:p w:rsidR="00260042" w:rsidRDefault="00260042" w:rsidP="008930A3">
      <w:pPr>
        <w:pStyle w:val="ListBullet"/>
      </w:pPr>
      <w:r>
        <w:t xml:space="preserve">New registrations: A new registration refers to the process of an application for a child support assessment that </w:t>
      </w:r>
      <w:proofErr w:type="gramStart"/>
      <w:r>
        <w:t>has been received</w:t>
      </w:r>
      <w:proofErr w:type="gramEnd"/>
      <w:r>
        <w:t xml:space="preserve"> from a customer who is claiming child support for a child/</w:t>
      </w:r>
      <w:proofErr w:type="spellStart"/>
      <w:r>
        <w:t>ren</w:t>
      </w:r>
      <w:proofErr w:type="spellEnd"/>
      <w:r>
        <w:t xml:space="preserve"> that they have not previously claimed for.</w:t>
      </w:r>
    </w:p>
    <w:p w:rsidR="00260042" w:rsidRDefault="00260042" w:rsidP="00EA5510">
      <w:pPr>
        <w:pStyle w:val="ListBullet"/>
      </w:pPr>
      <w:r>
        <w:lastRenderedPageBreak/>
        <w:t xml:space="preserve">Restarts: A restart refers to cases that have been previously registered but the assessment was </w:t>
      </w:r>
      <w:proofErr w:type="gramStart"/>
      <w:r>
        <w:t>not accepted (invalid</w:t>
      </w:r>
      <w:proofErr w:type="gramEnd"/>
      <w:r>
        <w:t>), withdrawn (customer decided not to proceed with the application) or ended and the customer made an application to have the case restarted.</w:t>
      </w:r>
    </w:p>
    <w:p w:rsidR="00260042" w:rsidRDefault="00260042" w:rsidP="00260042">
      <w:pPr>
        <w:pStyle w:val="BodyText"/>
      </w:pPr>
      <w:r>
        <w:t>Finalised is defined as when the case status changed from recorded or pending to any other status (other than cancelled).</w:t>
      </w:r>
    </w:p>
    <w:p w:rsidR="00260042" w:rsidRPr="00277527" w:rsidRDefault="00260042" w:rsidP="00277527">
      <w:pPr>
        <w:pStyle w:val="Heading5"/>
      </w:pPr>
      <w:r>
        <w:t>Performance measure 6 — Achievement of digital service level standards: interactions completed via digital channels</w:t>
      </w:r>
    </w:p>
    <w:p w:rsidR="00260042" w:rsidRDefault="00260042" w:rsidP="00260042">
      <w:pPr>
        <w:pStyle w:val="BodyText"/>
        <w:spacing w:after="0"/>
      </w:pPr>
      <w:r>
        <w:rPr>
          <w:rStyle w:val="Bold"/>
          <w:caps/>
        </w:rPr>
        <w:t>Results</w:t>
      </w:r>
    </w:p>
    <w:tbl>
      <w:tblPr>
        <w:tblStyle w:val="TableGrid"/>
        <w:tblW w:w="5000" w:type="pct"/>
        <w:tblLook w:val="0000" w:firstRow="0" w:lastRow="0" w:firstColumn="0" w:lastColumn="0" w:noHBand="0" w:noVBand="0"/>
        <w:tblCaption w:val="Performance measure 6 — Achievement of digital service level standards: interactions completed via digital channels"/>
      </w:tblPr>
      <w:tblGrid>
        <w:gridCol w:w="1594"/>
        <w:gridCol w:w="2372"/>
        <w:gridCol w:w="1910"/>
        <w:gridCol w:w="1906"/>
        <w:gridCol w:w="3008"/>
      </w:tblGrid>
      <w:tr w:rsidR="00260042" w:rsidTr="00277527">
        <w:trPr>
          <w:trHeight w:val="376"/>
          <w:tblHeader/>
        </w:trPr>
        <w:tc>
          <w:tcPr>
            <w:tcW w:w="738" w:type="pct"/>
          </w:tcPr>
          <w:p w:rsidR="00260042" w:rsidRPr="00277527" w:rsidRDefault="00260042" w:rsidP="00277527">
            <w:pPr>
              <w:pStyle w:val="BodyText"/>
              <w:rPr>
                <w:b/>
              </w:rPr>
            </w:pPr>
            <w:r w:rsidRPr="00277527">
              <w:rPr>
                <w:b/>
              </w:rPr>
              <w:t>Year</w:t>
            </w:r>
          </w:p>
        </w:tc>
        <w:tc>
          <w:tcPr>
            <w:tcW w:w="1099" w:type="pct"/>
          </w:tcPr>
          <w:p w:rsidR="00260042" w:rsidRPr="00277527" w:rsidRDefault="00260042" w:rsidP="00277527">
            <w:pPr>
              <w:pStyle w:val="BodyText"/>
              <w:rPr>
                <w:b/>
              </w:rPr>
            </w:pPr>
            <w:r w:rsidRPr="00277527">
              <w:rPr>
                <w:b/>
              </w:rPr>
              <w:t>Target</w:t>
            </w:r>
          </w:p>
        </w:tc>
        <w:tc>
          <w:tcPr>
            <w:tcW w:w="885" w:type="pct"/>
          </w:tcPr>
          <w:p w:rsidR="00260042" w:rsidRPr="00277527" w:rsidRDefault="00260042" w:rsidP="00277527">
            <w:pPr>
              <w:pStyle w:val="BodyText"/>
              <w:rPr>
                <w:b/>
              </w:rPr>
            </w:pPr>
            <w:r w:rsidRPr="00277527">
              <w:rPr>
                <w:b/>
              </w:rPr>
              <w:t>Result</w:t>
            </w:r>
          </w:p>
        </w:tc>
        <w:tc>
          <w:tcPr>
            <w:tcW w:w="883" w:type="pct"/>
          </w:tcPr>
          <w:p w:rsidR="00260042" w:rsidRPr="00277527" w:rsidRDefault="00260042" w:rsidP="00277527">
            <w:pPr>
              <w:pStyle w:val="BodyText"/>
              <w:rPr>
                <w:b/>
              </w:rPr>
            </w:pPr>
            <w:r w:rsidRPr="00277527">
              <w:rPr>
                <w:b/>
              </w:rPr>
              <w:t>Achieved</w:t>
            </w:r>
          </w:p>
        </w:tc>
        <w:tc>
          <w:tcPr>
            <w:tcW w:w="1394" w:type="pct"/>
          </w:tcPr>
          <w:p w:rsidR="00260042" w:rsidRPr="00277527" w:rsidRDefault="00260042" w:rsidP="00277527">
            <w:pPr>
              <w:pStyle w:val="BodyText"/>
              <w:rPr>
                <w:b/>
              </w:rPr>
            </w:pPr>
            <w:r w:rsidRPr="00277527">
              <w:rPr>
                <w:b/>
              </w:rPr>
              <w:t>Change on previous year +/–</w:t>
            </w:r>
          </w:p>
        </w:tc>
      </w:tr>
      <w:tr w:rsidR="00260042" w:rsidTr="00277527">
        <w:trPr>
          <w:trHeight w:val="376"/>
        </w:trPr>
        <w:tc>
          <w:tcPr>
            <w:tcW w:w="738" w:type="pct"/>
          </w:tcPr>
          <w:p w:rsidR="00260042" w:rsidRDefault="00260042" w:rsidP="00277527">
            <w:pPr>
              <w:pStyle w:val="BodyText"/>
            </w:pPr>
            <w:r>
              <w:t>2020–21</w:t>
            </w:r>
          </w:p>
        </w:tc>
        <w:tc>
          <w:tcPr>
            <w:tcW w:w="1099" w:type="pct"/>
          </w:tcPr>
          <w:p w:rsidR="00260042" w:rsidRDefault="00260042" w:rsidP="00277527">
            <w:pPr>
              <w:pStyle w:val="BodyText"/>
            </w:pPr>
            <w:r>
              <w:t>≥5% increase</w:t>
            </w:r>
          </w:p>
        </w:tc>
        <w:tc>
          <w:tcPr>
            <w:tcW w:w="885" w:type="pct"/>
          </w:tcPr>
          <w:p w:rsidR="00260042" w:rsidRDefault="00260042" w:rsidP="00277527">
            <w:pPr>
              <w:pStyle w:val="BodyText"/>
            </w:pPr>
            <w:r>
              <w:t>8.5%</w:t>
            </w:r>
          </w:p>
        </w:tc>
        <w:tc>
          <w:tcPr>
            <w:tcW w:w="883" w:type="pct"/>
          </w:tcPr>
          <w:p w:rsidR="00260042" w:rsidRDefault="00260042" w:rsidP="00277527">
            <w:pPr>
              <w:pStyle w:val="BodyText"/>
            </w:pPr>
            <w:r>
              <w:rPr>
                <w:rStyle w:val="Bulletcolour"/>
                <w:rFonts w:ascii="Wingdings" w:hAnsi="Wingdings" w:cs="Wingdings"/>
              </w:rPr>
              <w:t></w:t>
            </w:r>
          </w:p>
        </w:tc>
        <w:tc>
          <w:tcPr>
            <w:tcW w:w="1394" w:type="pct"/>
          </w:tcPr>
          <w:p w:rsidR="00260042" w:rsidRDefault="00260042" w:rsidP="00277527">
            <w:pPr>
              <w:pStyle w:val="BodyText"/>
            </w:pPr>
            <w:r>
              <w:rPr>
                <w:spacing w:val="-2"/>
              </w:rPr>
              <w:t>–1.7%</w:t>
            </w:r>
          </w:p>
        </w:tc>
      </w:tr>
      <w:tr w:rsidR="00260042" w:rsidTr="00277527">
        <w:trPr>
          <w:trHeight w:val="376"/>
        </w:trPr>
        <w:tc>
          <w:tcPr>
            <w:tcW w:w="738" w:type="pct"/>
          </w:tcPr>
          <w:p w:rsidR="00260042" w:rsidRDefault="00260042" w:rsidP="00277527">
            <w:pPr>
              <w:pStyle w:val="BodyText"/>
            </w:pPr>
            <w:r>
              <w:t>2019–20</w:t>
            </w:r>
          </w:p>
        </w:tc>
        <w:tc>
          <w:tcPr>
            <w:tcW w:w="1099" w:type="pct"/>
          </w:tcPr>
          <w:p w:rsidR="00260042" w:rsidRDefault="00260042" w:rsidP="00277527">
            <w:pPr>
              <w:pStyle w:val="BodyText"/>
            </w:pPr>
            <w:r>
              <w:t>≥5% increase</w:t>
            </w:r>
          </w:p>
        </w:tc>
        <w:tc>
          <w:tcPr>
            <w:tcW w:w="885" w:type="pct"/>
          </w:tcPr>
          <w:p w:rsidR="00260042" w:rsidRDefault="00260042" w:rsidP="00277527">
            <w:pPr>
              <w:pStyle w:val="BodyText"/>
            </w:pPr>
            <w:r>
              <w:t xml:space="preserve">10.2% </w:t>
            </w:r>
          </w:p>
        </w:tc>
        <w:tc>
          <w:tcPr>
            <w:tcW w:w="883" w:type="pct"/>
          </w:tcPr>
          <w:p w:rsidR="00260042" w:rsidRDefault="00260042" w:rsidP="00277527">
            <w:pPr>
              <w:pStyle w:val="BodyText"/>
            </w:pPr>
            <w:r>
              <w:rPr>
                <w:rStyle w:val="Bulletcolour"/>
                <w:rFonts w:ascii="Wingdings" w:hAnsi="Wingdings" w:cs="Wingdings"/>
              </w:rPr>
              <w:t></w:t>
            </w:r>
          </w:p>
        </w:tc>
        <w:tc>
          <w:tcPr>
            <w:tcW w:w="1394" w:type="pct"/>
          </w:tcPr>
          <w:p w:rsidR="00260042" w:rsidRDefault="00260042" w:rsidP="00277527">
            <w:pPr>
              <w:pStyle w:val="BodyText"/>
            </w:pPr>
            <w:r>
              <w:t>+1.9%</w:t>
            </w:r>
          </w:p>
        </w:tc>
      </w:tr>
      <w:tr w:rsidR="00260042" w:rsidTr="00277527">
        <w:trPr>
          <w:trHeight w:val="376"/>
        </w:trPr>
        <w:tc>
          <w:tcPr>
            <w:tcW w:w="738" w:type="pct"/>
          </w:tcPr>
          <w:p w:rsidR="00260042" w:rsidRDefault="00260042" w:rsidP="00277527">
            <w:pPr>
              <w:pStyle w:val="BodyText"/>
            </w:pPr>
            <w:r>
              <w:t>2018–19</w:t>
            </w:r>
          </w:p>
        </w:tc>
        <w:tc>
          <w:tcPr>
            <w:tcW w:w="1099" w:type="pct"/>
          </w:tcPr>
          <w:p w:rsidR="00260042" w:rsidRDefault="00260042" w:rsidP="00277527">
            <w:pPr>
              <w:pStyle w:val="BodyText"/>
            </w:pPr>
            <w:r>
              <w:t>≥5% increase</w:t>
            </w:r>
          </w:p>
        </w:tc>
        <w:tc>
          <w:tcPr>
            <w:tcW w:w="885" w:type="pct"/>
          </w:tcPr>
          <w:p w:rsidR="00260042" w:rsidRDefault="00260042" w:rsidP="00277527">
            <w:pPr>
              <w:pStyle w:val="BodyText"/>
            </w:pPr>
            <w:r>
              <w:t xml:space="preserve">8.3% </w:t>
            </w:r>
          </w:p>
        </w:tc>
        <w:tc>
          <w:tcPr>
            <w:tcW w:w="883" w:type="pct"/>
          </w:tcPr>
          <w:p w:rsidR="00260042" w:rsidRDefault="00260042" w:rsidP="00277527">
            <w:pPr>
              <w:pStyle w:val="BodyText"/>
            </w:pPr>
            <w:r>
              <w:rPr>
                <w:rStyle w:val="Bulletcolour"/>
                <w:rFonts w:ascii="Wingdings" w:hAnsi="Wingdings" w:cs="Wingdings"/>
              </w:rPr>
              <w:t></w:t>
            </w:r>
          </w:p>
        </w:tc>
        <w:tc>
          <w:tcPr>
            <w:tcW w:w="1394" w:type="pct"/>
          </w:tcPr>
          <w:p w:rsidR="00260042" w:rsidRDefault="00260042" w:rsidP="00277527">
            <w:pPr>
              <w:pStyle w:val="BodyText"/>
            </w:pPr>
            <w:r>
              <w:t>+7.0%</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spacing w:after="57"/>
      </w:pPr>
      <w:r>
        <w:t>The agency achieved the annual target, with digital interactions continuing to increase during 2020–21. This increase was primarily in relation to electronic payment transactions and electronic letters comprising:</w:t>
      </w:r>
    </w:p>
    <w:p w:rsidR="00260042" w:rsidRDefault="00260042" w:rsidP="008930A3">
      <w:pPr>
        <w:pStyle w:val="ListBullet"/>
      </w:pPr>
      <w:r>
        <w:t>6.2 million electronic letters — an increase of over 530,000</w:t>
      </w:r>
    </w:p>
    <w:p w:rsidR="00260042" w:rsidRDefault="00260042" w:rsidP="008930A3">
      <w:pPr>
        <w:pStyle w:val="ListBullet"/>
      </w:pPr>
      <w:r>
        <w:t>5.3 million electronic payments — an increase of over 450,000</w:t>
      </w:r>
    </w:p>
    <w:p w:rsidR="00260042" w:rsidRDefault="00260042" w:rsidP="008930A3">
      <w:pPr>
        <w:pStyle w:val="ListBullet"/>
      </w:pPr>
      <w:r>
        <w:t>560,000 online and mobile applications interactions — an increase of 67,000</w:t>
      </w:r>
    </w:p>
    <w:p w:rsidR="00260042" w:rsidRDefault="00260042" w:rsidP="008930A3">
      <w:pPr>
        <w:pStyle w:val="ListBullet"/>
      </w:pPr>
      <w:r>
        <w:t>123,000 phone self-service transactions — a decrease of 90,000</w:t>
      </w:r>
    </w:p>
    <w:p w:rsidR="00260042" w:rsidRDefault="00260042" w:rsidP="00EA5510">
      <w:pPr>
        <w:pStyle w:val="ListBullet"/>
      </w:pPr>
      <w:proofErr w:type="gramStart"/>
      <w:r>
        <w:t>75,000</w:t>
      </w:r>
      <w:proofErr w:type="gramEnd"/>
      <w:r>
        <w:t xml:space="preserve"> online registrations interactions — a decrease of 3,000.</w:t>
      </w:r>
    </w:p>
    <w:p w:rsidR="00260042" w:rsidRDefault="00260042" w:rsidP="00260042">
      <w:pPr>
        <w:pStyle w:val="BodyText"/>
      </w:pPr>
      <w:r>
        <w:t>An increase in customers experiencing changes in financial circumstances during the year provided the opportunity for more automatic deductions from Social Security and Welfare payments.</w:t>
      </w:r>
    </w:p>
    <w:p w:rsidR="00260042" w:rsidRDefault="00260042" w:rsidP="00260042">
      <w:pPr>
        <w:pStyle w:val="BodyText"/>
      </w:pPr>
      <w:r>
        <w:t>The continued increase in online enrolments and automatically connecting customers to electronic mail supported the increase in the number of digital interactions.</w:t>
      </w:r>
    </w:p>
    <w:p w:rsidR="00260042" w:rsidRDefault="00260042" w:rsidP="00260042">
      <w:pPr>
        <w:pStyle w:val="BodyText"/>
        <w:rPr>
          <w:spacing w:val="-2"/>
        </w:rPr>
      </w:pPr>
      <w:r>
        <w:rPr>
          <w:spacing w:val="-2"/>
        </w:rPr>
        <w:t xml:space="preserve">During the year, use of Customer Online Accounts increased by 13%, allowing customers to view and update simple information using digital channels. At the end of June 2021, 44% of customers in the current Child Support caseload had an active Child Support Online Account, compared to 39% at the same time last year. </w:t>
      </w:r>
    </w:p>
    <w:p w:rsidR="00260042" w:rsidRDefault="00260042" w:rsidP="00260042">
      <w:pPr>
        <w:pStyle w:val="BodyText"/>
        <w:spacing w:after="57"/>
        <w:rPr>
          <w:rStyle w:val="Bold"/>
        </w:rPr>
      </w:pPr>
      <w:r>
        <w:rPr>
          <w:rStyle w:val="Bold"/>
        </w:rPr>
        <w:t>REFERENCE</w:t>
      </w:r>
    </w:p>
    <w:p w:rsidR="00260042" w:rsidRDefault="00260042" w:rsidP="00260042">
      <w:pPr>
        <w:pStyle w:val="BodyText"/>
      </w:pPr>
      <w:r>
        <w:t>2020–21 Portfolio Budget Statements, page 238</w:t>
      </w:r>
      <w:r>
        <w:br/>
        <w:t>2020–21 Corporate Plan, page 19</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lastRenderedPageBreak/>
        <w:t xml:space="preserve">Business Activity Reporting and Analytics, Online IMS Reporting, COGNOS, </w:t>
      </w:r>
      <w:proofErr w:type="spellStart"/>
      <w:r>
        <w:t>Infoserve</w:t>
      </w:r>
      <w:proofErr w:type="spellEnd"/>
      <w:r>
        <w:t xml:space="preserve"> Reporting, SAP Outbound Correspondence, Pluto Online Services and Excel workbooks for electronic payments.</w:t>
      </w:r>
    </w:p>
    <w:p w:rsidR="00260042" w:rsidRDefault="00260042" w:rsidP="00260042">
      <w:pPr>
        <w:pStyle w:val="BodyText"/>
        <w:spacing w:after="0"/>
        <w:rPr>
          <w:rStyle w:val="Bold"/>
          <w:caps/>
        </w:rPr>
      </w:pPr>
      <w:r>
        <w:rPr>
          <w:rStyle w:val="Bold"/>
          <w:caps/>
        </w:rPr>
        <w:t>Notes and Definitions</w:t>
      </w:r>
    </w:p>
    <w:p w:rsidR="00260042" w:rsidRDefault="00260042" w:rsidP="00260042">
      <w:pPr>
        <w:pStyle w:val="BodyText"/>
        <w:spacing w:after="57"/>
        <w:rPr>
          <w:spacing w:val="-2"/>
        </w:rPr>
      </w:pPr>
      <w:r>
        <w:t xml:space="preserve">Self-managed transactions and electronic interactions to be included </w:t>
      </w:r>
      <w:proofErr w:type="gramStart"/>
      <w:r>
        <w:t>are defined</w:t>
      </w:r>
      <w:proofErr w:type="gramEnd"/>
      <w:r>
        <w:t xml:space="preserve"> as:</w:t>
      </w:r>
    </w:p>
    <w:p w:rsidR="00260042" w:rsidRDefault="00260042" w:rsidP="008930A3">
      <w:pPr>
        <w:pStyle w:val="ListBullet"/>
      </w:pPr>
      <w:r>
        <w:t>online letters</w:t>
      </w:r>
    </w:p>
    <w:p w:rsidR="00260042" w:rsidRDefault="00260042" w:rsidP="008930A3">
      <w:pPr>
        <w:pStyle w:val="ListBullet"/>
      </w:pPr>
      <w:r>
        <w:t>customer online account</w:t>
      </w:r>
    </w:p>
    <w:p w:rsidR="00260042" w:rsidRDefault="00260042" w:rsidP="008930A3">
      <w:pPr>
        <w:pStyle w:val="ListBullet"/>
      </w:pPr>
      <w:r>
        <w:t>phone self-service</w:t>
      </w:r>
    </w:p>
    <w:p w:rsidR="00260042" w:rsidRDefault="00260042" w:rsidP="008930A3">
      <w:pPr>
        <w:pStyle w:val="ListBullet"/>
      </w:pPr>
      <w:r>
        <w:t>electronic payment transactions</w:t>
      </w:r>
    </w:p>
    <w:p w:rsidR="00260042" w:rsidRDefault="00260042" w:rsidP="00EA5510">
      <w:pPr>
        <w:pStyle w:val="ListBullet"/>
      </w:pPr>
      <w:proofErr w:type="gramStart"/>
      <w:r>
        <w:t>online</w:t>
      </w:r>
      <w:proofErr w:type="gramEnd"/>
      <w:r>
        <w:t xml:space="preserve"> registrations.</w:t>
      </w:r>
    </w:p>
    <w:p w:rsidR="00260042" w:rsidRDefault="00260042" w:rsidP="00277527">
      <w:pPr>
        <w:pStyle w:val="Heading5"/>
      </w:pPr>
      <w:r w:rsidRPr="00277527">
        <w:t>Performance</w:t>
      </w:r>
      <w:r>
        <w:t xml:space="preserve"> measure 7 — Achievement of digital service level standards: availability of ICT services excluding scheduled maintenance periods that support 24/7 customer access</w:t>
      </w:r>
    </w:p>
    <w:p w:rsidR="00260042" w:rsidRDefault="00260042" w:rsidP="00260042">
      <w:pPr>
        <w:pStyle w:val="BodyText"/>
        <w:keepNext/>
        <w:spacing w:after="0"/>
      </w:pPr>
      <w:r>
        <w:rPr>
          <w:rStyle w:val="Bold"/>
          <w:caps/>
        </w:rPr>
        <w:t>Results</w:t>
      </w:r>
    </w:p>
    <w:tbl>
      <w:tblPr>
        <w:tblStyle w:val="TableGrid"/>
        <w:tblW w:w="5000" w:type="pct"/>
        <w:tblLook w:val="0000" w:firstRow="0" w:lastRow="0" w:firstColumn="0" w:lastColumn="0" w:noHBand="0" w:noVBand="0"/>
        <w:tblCaption w:val="Performance measure 7 — Achievement of digital service level standards: availability of ICT services excluding scheduled maintenance periods that support 24/7 customer access"/>
      </w:tblPr>
      <w:tblGrid>
        <w:gridCol w:w="1674"/>
        <w:gridCol w:w="1977"/>
        <w:gridCol w:w="2076"/>
        <w:gridCol w:w="1906"/>
        <w:gridCol w:w="3157"/>
      </w:tblGrid>
      <w:tr w:rsidR="00260042" w:rsidTr="00277527">
        <w:trPr>
          <w:trHeight w:val="376"/>
          <w:tblHeader/>
        </w:trPr>
        <w:tc>
          <w:tcPr>
            <w:tcW w:w="776" w:type="pct"/>
          </w:tcPr>
          <w:p w:rsidR="00260042" w:rsidRPr="00277527" w:rsidRDefault="00260042" w:rsidP="00277527">
            <w:pPr>
              <w:pStyle w:val="BodyText"/>
              <w:rPr>
                <w:b/>
              </w:rPr>
            </w:pPr>
            <w:r w:rsidRPr="00277527">
              <w:rPr>
                <w:b/>
              </w:rPr>
              <w:t>Year</w:t>
            </w:r>
          </w:p>
        </w:tc>
        <w:tc>
          <w:tcPr>
            <w:tcW w:w="916" w:type="pct"/>
          </w:tcPr>
          <w:p w:rsidR="00260042" w:rsidRPr="00277527" w:rsidRDefault="00260042" w:rsidP="00277527">
            <w:pPr>
              <w:pStyle w:val="BodyText"/>
              <w:rPr>
                <w:b/>
              </w:rPr>
            </w:pPr>
            <w:r w:rsidRPr="00277527">
              <w:rPr>
                <w:b/>
              </w:rPr>
              <w:t>Target</w:t>
            </w:r>
          </w:p>
        </w:tc>
        <w:tc>
          <w:tcPr>
            <w:tcW w:w="962" w:type="pct"/>
          </w:tcPr>
          <w:p w:rsidR="00260042" w:rsidRPr="00277527" w:rsidRDefault="00260042" w:rsidP="00277527">
            <w:pPr>
              <w:pStyle w:val="BodyText"/>
              <w:rPr>
                <w:b/>
              </w:rPr>
            </w:pPr>
            <w:r w:rsidRPr="00277527">
              <w:rPr>
                <w:b/>
              </w:rPr>
              <w:t>Result</w:t>
            </w:r>
          </w:p>
        </w:tc>
        <w:tc>
          <w:tcPr>
            <w:tcW w:w="883" w:type="pct"/>
          </w:tcPr>
          <w:p w:rsidR="00260042" w:rsidRPr="00277527" w:rsidRDefault="00260042" w:rsidP="00277527">
            <w:pPr>
              <w:pStyle w:val="BodyText"/>
              <w:rPr>
                <w:b/>
              </w:rPr>
            </w:pPr>
            <w:r w:rsidRPr="00277527">
              <w:rPr>
                <w:b/>
              </w:rPr>
              <w:t>Achieved</w:t>
            </w:r>
          </w:p>
        </w:tc>
        <w:tc>
          <w:tcPr>
            <w:tcW w:w="1463" w:type="pct"/>
          </w:tcPr>
          <w:p w:rsidR="00260042" w:rsidRPr="00277527" w:rsidRDefault="00260042" w:rsidP="00277527">
            <w:pPr>
              <w:pStyle w:val="BodyText"/>
              <w:rPr>
                <w:b/>
              </w:rPr>
            </w:pPr>
            <w:r w:rsidRPr="00277527">
              <w:rPr>
                <w:b/>
              </w:rPr>
              <w:t>Change on previous year +/–</w:t>
            </w:r>
          </w:p>
        </w:tc>
      </w:tr>
      <w:tr w:rsidR="00260042" w:rsidTr="00277527">
        <w:trPr>
          <w:trHeight w:val="376"/>
        </w:trPr>
        <w:tc>
          <w:tcPr>
            <w:tcW w:w="776" w:type="pct"/>
          </w:tcPr>
          <w:p w:rsidR="00260042" w:rsidRDefault="00260042" w:rsidP="00277527">
            <w:pPr>
              <w:pStyle w:val="BodyText"/>
            </w:pPr>
            <w:r>
              <w:t>2020–21</w:t>
            </w:r>
          </w:p>
        </w:tc>
        <w:tc>
          <w:tcPr>
            <w:tcW w:w="916" w:type="pct"/>
          </w:tcPr>
          <w:p w:rsidR="00260042" w:rsidRDefault="00260042" w:rsidP="00277527">
            <w:pPr>
              <w:pStyle w:val="BodyText"/>
            </w:pPr>
            <w:r>
              <w:t>≥98%</w:t>
            </w:r>
          </w:p>
        </w:tc>
        <w:tc>
          <w:tcPr>
            <w:tcW w:w="962" w:type="pct"/>
          </w:tcPr>
          <w:p w:rsidR="00260042" w:rsidRDefault="00260042" w:rsidP="00277527">
            <w:pPr>
              <w:pStyle w:val="BodyText"/>
            </w:pPr>
            <w:r>
              <w:t>99.8%</w:t>
            </w:r>
          </w:p>
        </w:tc>
        <w:tc>
          <w:tcPr>
            <w:tcW w:w="883" w:type="pct"/>
          </w:tcPr>
          <w:p w:rsidR="00260042" w:rsidRDefault="00260042" w:rsidP="00277527">
            <w:pPr>
              <w:pStyle w:val="BodyText"/>
            </w:pPr>
            <w:r>
              <w:rPr>
                <w:rStyle w:val="Bulletcolour"/>
                <w:rFonts w:ascii="Wingdings" w:hAnsi="Wingdings" w:cs="Wingdings"/>
              </w:rPr>
              <w:t></w:t>
            </w:r>
          </w:p>
        </w:tc>
        <w:tc>
          <w:tcPr>
            <w:tcW w:w="1463" w:type="pct"/>
          </w:tcPr>
          <w:p w:rsidR="00260042" w:rsidRDefault="00260042" w:rsidP="00277527">
            <w:pPr>
              <w:pStyle w:val="BodyText"/>
            </w:pPr>
            <w:r>
              <w:rPr>
                <w:spacing w:val="-2"/>
              </w:rPr>
              <w:t>+0.3%</w:t>
            </w:r>
          </w:p>
        </w:tc>
      </w:tr>
      <w:tr w:rsidR="00260042" w:rsidTr="00277527">
        <w:trPr>
          <w:trHeight w:val="376"/>
        </w:trPr>
        <w:tc>
          <w:tcPr>
            <w:tcW w:w="776" w:type="pct"/>
          </w:tcPr>
          <w:p w:rsidR="00260042" w:rsidRDefault="00260042" w:rsidP="00277527">
            <w:pPr>
              <w:pStyle w:val="BodyText"/>
            </w:pPr>
            <w:r>
              <w:t>2019–20</w:t>
            </w:r>
          </w:p>
        </w:tc>
        <w:tc>
          <w:tcPr>
            <w:tcW w:w="916" w:type="pct"/>
          </w:tcPr>
          <w:p w:rsidR="00260042" w:rsidRDefault="00260042" w:rsidP="00277527">
            <w:pPr>
              <w:pStyle w:val="BodyText"/>
            </w:pPr>
            <w:r>
              <w:t>≥98%</w:t>
            </w:r>
          </w:p>
        </w:tc>
        <w:tc>
          <w:tcPr>
            <w:tcW w:w="962" w:type="pct"/>
          </w:tcPr>
          <w:p w:rsidR="00260042" w:rsidRDefault="00260042" w:rsidP="00277527">
            <w:pPr>
              <w:pStyle w:val="BodyText"/>
            </w:pPr>
            <w:r>
              <w:t>99.5%</w:t>
            </w:r>
          </w:p>
        </w:tc>
        <w:tc>
          <w:tcPr>
            <w:tcW w:w="883" w:type="pct"/>
          </w:tcPr>
          <w:p w:rsidR="00260042" w:rsidRDefault="00260042" w:rsidP="00277527">
            <w:pPr>
              <w:pStyle w:val="BodyText"/>
            </w:pPr>
            <w:r>
              <w:rPr>
                <w:rStyle w:val="Bulletcolour"/>
                <w:rFonts w:ascii="Wingdings" w:hAnsi="Wingdings" w:cs="Wingdings"/>
              </w:rPr>
              <w:t></w:t>
            </w:r>
          </w:p>
        </w:tc>
        <w:tc>
          <w:tcPr>
            <w:tcW w:w="1463" w:type="pct"/>
          </w:tcPr>
          <w:p w:rsidR="00260042" w:rsidRDefault="00260042" w:rsidP="00277527">
            <w:pPr>
              <w:pStyle w:val="BodyText"/>
            </w:pPr>
            <w:r>
              <w:t>–0.1%</w:t>
            </w:r>
          </w:p>
        </w:tc>
      </w:tr>
      <w:tr w:rsidR="00260042" w:rsidTr="00277527">
        <w:trPr>
          <w:trHeight w:val="376"/>
        </w:trPr>
        <w:tc>
          <w:tcPr>
            <w:tcW w:w="776" w:type="pct"/>
          </w:tcPr>
          <w:p w:rsidR="00260042" w:rsidRDefault="00260042" w:rsidP="00277527">
            <w:pPr>
              <w:pStyle w:val="BodyText"/>
            </w:pPr>
            <w:r>
              <w:t>2018–19</w:t>
            </w:r>
          </w:p>
        </w:tc>
        <w:tc>
          <w:tcPr>
            <w:tcW w:w="916" w:type="pct"/>
          </w:tcPr>
          <w:p w:rsidR="00260042" w:rsidRDefault="00260042" w:rsidP="00277527">
            <w:pPr>
              <w:pStyle w:val="BodyText"/>
            </w:pPr>
            <w:r>
              <w:t>≥98%</w:t>
            </w:r>
          </w:p>
        </w:tc>
        <w:tc>
          <w:tcPr>
            <w:tcW w:w="962" w:type="pct"/>
          </w:tcPr>
          <w:p w:rsidR="00260042" w:rsidRDefault="00260042" w:rsidP="00277527">
            <w:pPr>
              <w:pStyle w:val="BodyText"/>
            </w:pPr>
            <w:r>
              <w:t>99.6%</w:t>
            </w:r>
          </w:p>
        </w:tc>
        <w:tc>
          <w:tcPr>
            <w:tcW w:w="883" w:type="pct"/>
          </w:tcPr>
          <w:p w:rsidR="00260042" w:rsidRDefault="00260042" w:rsidP="00277527">
            <w:pPr>
              <w:pStyle w:val="BodyText"/>
            </w:pPr>
            <w:r>
              <w:rPr>
                <w:rStyle w:val="Bulletcolour"/>
                <w:rFonts w:ascii="Wingdings" w:hAnsi="Wingdings" w:cs="Wingdings"/>
              </w:rPr>
              <w:t></w:t>
            </w:r>
          </w:p>
        </w:tc>
        <w:tc>
          <w:tcPr>
            <w:tcW w:w="1463" w:type="pct"/>
          </w:tcPr>
          <w:p w:rsidR="00260042" w:rsidRDefault="00260042" w:rsidP="00277527">
            <w:pPr>
              <w:pStyle w:val="BodyText"/>
            </w:pPr>
            <w:r>
              <w:t>–0.1%</w:t>
            </w:r>
          </w:p>
        </w:tc>
      </w:tr>
    </w:tbl>
    <w:p w:rsidR="00260042" w:rsidRDefault="00260042" w:rsidP="00260042">
      <w:pPr>
        <w:pStyle w:val="BodyText"/>
        <w:spacing w:after="0"/>
        <w:rPr>
          <w:rStyle w:val="Bold"/>
          <w:caps/>
        </w:rPr>
      </w:pPr>
      <w:r>
        <w:rPr>
          <w:rStyle w:val="Bold"/>
          <w:caps/>
        </w:rPr>
        <w:t>Analysis</w:t>
      </w:r>
    </w:p>
    <w:p w:rsidR="00260042" w:rsidRDefault="00260042" w:rsidP="00260042">
      <w:pPr>
        <w:pStyle w:val="BodyText"/>
        <w:rPr>
          <w:spacing w:val="-2"/>
        </w:rPr>
      </w:pPr>
      <w:r>
        <w:rPr>
          <w:spacing w:val="-2"/>
        </w:rPr>
        <w:t>The agency has achieved its annual target, Child Support customers being able to access ICT systems 99.8% of the time. This result demonstrates the ability for customers to manage business with the agency through self-service channels.</w:t>
      </w:r>
    </w:p>
    <w:p w:rsidR="00260042" w:rsidRDefault="00260042" w:rsidP="00260042">
      <w:pPr>
        <w:pStyle w:val="BodyText"/>
      </w:pPr>
      <w:r>
        <w:t xml:space="preserve">The digital experience of self-service customers using Child Support online accounts and Express </w:t>
      </w:r>
      <w:proofErr w:type="gramStart"/>
      <w:r>
        <w:t>Plus</w:t>
      </w:r>
      <w:proofErr w:type="gramEnd"/>
      <w:r>
        <w:t xml:space="preserve"> Child Support mobile applications continued to perform well. Some enhancements to address customer issues and online stability </w:t>
      </w:r>
      <w:proofErr w:type="gramStart"/>
      <w:r>
        <w:t>were applied</w:t>
      </w:r>
      <w:proofErr w:type="gramEnd"/>
      <w:r>
        <w:t xml:space="preserve"> as required, resulting in an improved digital experience for customers.</w:t>
      </w:r>
    </w:p>
    <w:p w:rsidR="00260042" w:rsidRDefault="00260042" w:rsidP="00260042">
      <w:pPr>
        <w:pStyle w:val="BodyText"/>
        <w:spacing w:after="0"/>
        <w:rPr>
          <w:rStyle w:val="Bold"/>
        </w:rPr>
      </w:pPr>
      <w:r>
        <w:rPr>
          <w:rStyle w:val="Bold"/>
        </w:rPr>
        <w:t>REFERENCE</w:t>
      </w:r>
    </w:p>
    <w:p w:rsidR="00260042" w:rsidRDefault="00260042" w:rsidP="00260042">
      <w:pPr>
        <w:pStyle w:val="BodyText"/>
      </w:pPr>
      <w:r>
        <w:t>2020–21 Portfolio Budget Statements, page 238</w:t>
      </w:r>
      <w:r>
        <w:br/>
        <w:t>2020–21 Corporate Plan, page 19</w:t>
      </w:r>
    </w:p>
    <w:p w:rsidR="00260042" w:rsidRDefault="00260042" w:rsidP="00260042">
      <w:pPr>
        <w:pStyle w:val="BodyText"/>
        <w:spacing w:after="0"/>
        <w:rPr>
          <w:rStyle w:val="Bold"/>
        </w:rPr>
      </w:pPr>
      <w:r>
        <w:rPr>
          <w:rStyle w:val="Bold"/>
        </w:rPr>
        <w:t>DATA SOURCE</w:t>
      </w:r>
    </w:p>
    <w:p w:rsidR="00260042" w:rsidRDefault="00260042" w:rsidP="00260042">
      <w:pPr>
        <w:pStyle w:val="BodyText"/>
      </w:pPr>
      <w:r>
        <w:t xml:space="preserve">Internal data sources including incident records, problem records, and scheduled maintenance periods </w:t>
      </w:r>
      <w:proofErr w:type="gramStart"/>
      <w:r>
        <w:t>are used</w:t>
      </w:r>
      <w:proofErr w:type="gramEnd"/>
      <w:r>
        <w:t xml:space="preserve"> to calculate the availability result.</w:t>
      </w:r>
    </w:p>
    <w:p w:rsidR="00260042" w:rsidRDefault="00260042" w:rsidP="00260042">
      <w:pPr>
        <w:pStyle w:val="BodyText"/>
        <w:spacing w:after="0"/>
        <w:rPr>
          <w:rStyle w:val="Bold"/>
          <w:caps/>
        </w:rPr>
      </w:pPr>
      <w:r>
        <w:rPr>
          <w:rStyle w:val="Bold"/>
          <w:caps/>
        </w:rPr>
        <w:t>Notes and Definitions</w:t>
      </w:r>
    </w:p>
    <w:p w:rsidR="00260042" w:rsidRDefault="00260042" w:rsidP="008930A3">
      <w:pPr>
        <w:pStyle w:val="ListBullet"/>
      </w:pPr>
      <w:r>
        <w:t>Customer means the public, in particular customers using online services and mobile applications.</w:t>
      </w:r>
    </w:p>
    <w:p w:rsidR="00260042" w:rsidRDefault="00260042" w:rsidP="00EA5510">
      <w:pPr>
        <w:pStyle w:val="ListBullet"/>
      </w:pPr>
      <w:r>
        <w:lastRenderedPageBreak/>
        <w:t>Data sources reflects the use of agency endorsed data collection or visualisation applications that are relevant to service outcomes.</w:t>
      </w:r>
    </w:p>
    <w:p w:rsidR="00260042" w:rsidRDefault="00260042" w:rsidP="00C81689">
      <w:pPr>
        <w:pStyle w:val="Heading2"/>
      </w:pPr>
      <w:r>
        <w:t>7.2 Responsibility to the Australian community</w:t>
      </w:r>
    </w:p>
    <w:p w:rsidR="00260042" w:rsidRDefault="00260042" w:rsidP="00C81689">
      <w:pPr>
        <w:pStyle w:val="Heading2"/>
      </w:pPr>
      <w:r>
        <w:t>The agency’s service commitments</w:t>
      </w:r>
    </w:p>
    <w:p w:rsidR="00260042" w:rsidRDefault="00260042" w:rsidP="00260042">
      <w:pPr>
        <w:pStyle w:val="BodyText"/>
      </w:pPr>
      <w:r>
        <w:t xml:space="preserve">Services Australia’s service commitments are a public expression of its vision to deliver excellent services to the Australian people while delivering on the outcomes and expectations of government. </w:t>
      </w:r>
    </w:p>
    <w:p w:rsidR="00260042" w:rsidRDefault="00260042" w:rsidP="00260042">
      <w:pPr>
        <w:pStyle w:val="BodyText"/>
        <w:spacing w:after="57"/>
      </w:pPr>
      <w:r>
        <w:t>The agency’s service commitments underpin our business priorities. They are:</w:t>
      </w:r>
    </w:p>
    <w:p w:rsidR="00260042" w:rsidRDefault="00260042" w:rsidP="008930A3">
      <w:pPr>
        <w:pStyle w:val="ListBullet"/>
      </w:pPr>
      <w:r>
        <w:t>respect</w:t>
      </w:r>
    </w:p>
    <w:p w:rsidR="00260042" w:rsidRDefault="00260042" w:rsidP="008930A3">
      <w:pPr>
        <w:pStyle w:val="ListBullet"/>
      </w:pPr>
      <w:r>
        <w:t>quality information</w:t>
      </w:r>
    </w:p>
    <w:p w:rsidR="00260042" w:rsidRDefault="00260042" w:rsidP="008930A3">
      <w:pPr>
        <w:pStyle w:val="ListBullet"/>
      </w:pPr>
      <w:r>
        <w:t>honesty and integrity</w:t>
      </w:r>
    </w:p>
    <w:p w:rsidR="00260042" w:rsidRDefault="00260042" w:rsidP="00EA5510">
      <w:pPr>
        <w:pStyle w:val="ListBullet"/>
      </w:pPr>
      <w:proofErr w:type="gramStart"/>
      <w:r>
        <w:t>efficiency</w:t>
      </w:r>
      <w:proofErr w:type="gramEnd"/>
      <w:r>
        <w:t>.</w:t>
      </w:r>
    </w:p>
    <w:p w:rsidR="00260042" w:rsidRDefault="00260042" w:rsidP="00260042">
      <w:pPr>
        <w:pStyle w:val="BodyText"/>
      </w:pPr>
      <w:r>
        <w:t xml:space="preserve">Services Australia regularly assesses and reports on its performance against each of the </w:t>
      </w:r>
      <w:proofErr w:type="gramStart"/>
      <w:r>
        <w:t>4</w:t>
      </w:r>
      <w:proofErr w:type="gramEnd"/>
      <w:r>
        <w:t xml:space="preserve"> service commitment themes. The results for this year </w:t>
      </w:r>
      <w:proofErr w:type="gramStart"/>
      <w:r>
        <w:t>are based</w:t>
      </w:r>
      <w:proofErr w:type="gramEnd"/>
      <w:r>
        <w:t xml:space="preserve"> on responses to a survey conducted throughout 2020–21 that asked about each respondent’s most recent interaction with the agency. Respondents who were unable to provide an answer </w:t>
      </w:r>
      <w:proofErr w:type="gramStart"/>
      <w:r>
        <w:t>were removed</w:t>
      </w:r>
      <w:proofErr w:type="gramEnd"/>
      <w:r>
        <w:t xml:space="preserve"> from the calculation of results. </w:t>
      </w:r>
    </w:p>
    <w:p w:rsidR="00260042" w:rsidRDefault="00260042" w:rsidP="002E64CE">
      <w:pPr>
        <w:pStyle w:val="Heading3"/>
      </w:pPr>
      <w:r>
        <w:t>Respect</w:t>
      </w:r>
    </w:p>
    <w:p w:rsidR="00260042" w:rsidRDefault="00260042" w:rsidP="00260042">
      <w:pPr>
        <w:pStyle w:val="BodyText"/>
        <w:spacing w:after="57"/>
      </w:pPr>
      <w:r>
        <w:t>We will listen and work with you to understand your individual and cultural needs — measured by people’s assessment of staff behaviour:</w:t>
      </w:r>
    </w:p>
    <w:p w:rsidR="00260042" w:rsidRDefault="00260042" w:rsidP="008930A3">
      <w:pPr>
        <w:pStyle w:val="ListBullet"/>
      </w:pPr>
      <w:r>
        <w:t>92.8% of people surveyed about Centrelink services agreed that staff treated them with respect and 88.3% agreed that staff took into account their individual circumstances</w:t>
      </w:r>
    </w:p>
    <w:p w:rsidR="00260042" w:rsidRDefault="00260042" w:rsidP="008930A3">
      <w:pPr>
        <w:pStyle w:val="ListBullet"/>
      </w:pPr>
      <w:r>
        <w:t>93.3% of people surveyed about Medicare services agreed that staff treated them with respect and 91.1% agreed that staff took into account their individual circumstances</w:t>
      </w:r>
    </w:p>
    <w:p w:rsidR="00260042" w:rsidRDefault="00260042" w:rsidP="00EA5510">
      <w:pPr>
        <w:pStyle w:val="ListBullet"/>
      </w:pPr>
      <w:r>
        <w:t>90.5% of people surveyed about Child Support services agreed that staff treated them with respect and 86.4% agreed that staff took into account their individual circumstances.</w:t>
      </w:r>
    </w:p>
    <w:p w:rsidR="00260042" w:rsidRDefault="00260042" w:rsidP="002E64CE">
      <w:pPr>
        <w:pStyle w:val="Heading3"/>
      </w:pPr>
      <w:r>
        <w:t>Quality information</w:t>
      </w:r>
    </w:p>
    <w:p w:rsidR="00260042" w:rsidRDefault="00260042" w:rsidP="00260042">
      <w:pPr>
        <w:pStyle w:val="BodyText"/>
        <w:spacing w:after="57"/>
      </w:pPr>
      <w:r>
        <w:t>We are committed to providing consistent and accurate information — measured by people’s assessment of the consistency and accuracy of information:</w:t>
      </w:r>
    </w:p>
    <w:p w:rsidR="00260042" w:rsidRDefault="00260042" w:rsidP="008930A3">
      <w:pPr>
        <w:pStyle w:val="ListBullet"/>
      </w:pPr>
      <w:r>
        <w:t xml:space="preserve">88.3% of people surveyed about Centrelink services agreed that information was accurate and consistent </w:t>
      </w:r>
    </w:p>
    <w:p w:rsidR="00260042" w:rsidRDefault="00260042" w:rsidP="008930A3">
      <w:pPr>
        <w:pStyle w:val="ListBullet"/>
      </w:pPr>
      <w:r>
        <w:t>92.1% of people surveyed about Medicare services agreed that information was accurate and consistent</w:t>
      </w:r>
    </w:p>
    <w:p w:rsidR="00260042" w:rsidRDefault="00260042" w:rsidP="00EA5510">
      <w:pPr>
        <w:pStyle w:val="ListBullet"/>
      </w:pPr>
      <w:r>
        <w:t xml:space="preserve">87.8% of people surveyed about Child Support services agreed that information was accurate and consistent. </w:t>
      </w:r>
    </w:p>
    <w:p w:rsidR="00260042" w:rsidRDefault="00260042" w:rsidP="002E64CE">
      <w:pPr>
        <w:pStyle w:val="Heading3"/>
      </w:pPr>
      <w:r>
        <w:lastRenderedPageBreak/>
        <w:t>Honesty and integrity</w:t>
      </w:r>
    </w:p>
    <w:p w:rsidR="00260042" w:rsidRDefault="00260042" w:rsidP="00260042">
      <w:pPr>
        <w:pStyle w:val="BodyText"/>
        <w:spacing w:after="57"/>
      </w:pPr>
      <w:r>
        <w:t>We will be open and honest and follow through on our commitments – measured by people’s assessment of requests being actioned as promised:</w:t>
      </w:r>
    </w:p>
    <w:p w:rsidR="00260042" w:rsidRDefault="00260042" w:rsidP="008930A3">
      <w:pPr>
        <w:pStyle w:val="ListBullet"/>
      </w:pPr>
      <w:r>
        <w:t xml:space="preserve">81.8% of people surveyed about Centrelink services were confident their requests were actioned as promised </w:t>
      </w:r>
    </w:p>
    <w:p w:rsidR="00260042" w:rsidRDefault="00260042" w:rsidP="008930A3">
      <w:pPr>
        <w:pStyle w:val="ListBullet"/>
      </w:pPr>
      <w:r>
        <w:t xml:space="preserve">89.1% of people surveyed about Medicare services were confident their requests were actioned as promised </w:t>
      </w:r>
    </w:p>
    <w:p w:rsidR="00260042" w:rsidRDefault="00260042" w:rsidP="00EA5510">
      <w:pPr>
        <w:pStyle w:val="ListBullet"/>
      </w:pPr>
      <w:r>
        <w:t xml:space="preserve">86.1% of people surveyed about Child Support services were confident their requests were actioned as promised. </w:t>
      </w:r>
    </w:p>
    <w:p w:rsidR="00260042" w:rsidRDefault="00260042" w:rsidP="002E64CE">
      <w:pPr>
        <w:pStyle w:val="Heading3"/>
      </w:pPr>
      <w:r>
        <w:t>Efficiency</w:t>
      </w:r>
    </w:p>
    <w:p w:rsidR="00260042" w:rsidRDefault="00260042" w:rsidP="00260042">
      <w:pPr>
        <w:pStyle w:val="BodyText"/>
        <w:spacing w:after="57"/>
      </w:pPr>
      <w:r>
        <w:t>We will simplify the way we deliver services to you – measured by people’s assessment of achieving what they wanted:</w:t>
      </w:r>
    </w:p>
    <w:p w:rsidR="00260042" w:rsidRDefault="00260042" w:rsidP="008930A3">
      <w:pPr>
        <w:pStyle w:val="ListBullet"/>
      </w:pPr>
      <w:r>
        <w:t xml:space="preserve">84.1% of people surveyed about Centrelink services agreed that they achieved what they wanted in their interaction </w:t>
      </w:r>
    </w:p>
    <w:p w:rsidR="00260042" w:rsidRDefault="00260042" w:rsidP="008930A3">
      <w:pPr>
        <w:pStyle w:val="ListBullet"/>
      </w:pPr>
      <w:r>
        <w:t xml:space="preserve">90.3% of people surveyed about Medicare services agreed that they achieved what they wanted in their interaction </w:t>
      </w:r>
    </w:p>
    <w:p w:rsidR="00260042" w:rsidRDefault="00260042" w:rsidP="00EA5510">
      <w:pPr>
        <w:pStyle w:val="ListBullet"/>
      </w:pPr>
      <w:r>
        <w:t xml:space="preserve">86.8% of people surveyed about Child Support services agreed that they achieved what they wanted in their interaction. </w:t>
      </w:r>
    </w:p>
    <w:p w:rsidR="00260042" w:rsidRDefault="00260042" w:rsidP="00C81689">
      <w:pPr>
        <w:pStyle w:val="Heading2"/>
      </w:pPr>
      <w:r>
        <w:t>Satisfaction Research Program</w:t>
      </w:r>
    </w:p>
    <w:p w:rsidR="00260042" w:rsidRDefault="00260042" w:rsidP="00260042">
      <w:pPr>
        <w:pStyle w:val="BodyText"/>
        <w:spacing w:after="57"/>
      </w:pPr>
      <w:r>
        <w:t>The Satisfaction Research Program includes a number of survey modules, which measure satisfaction with the agency’s service delivery:</w:t>
      </w:r>
    </w:p>
    <w:p w:rsidR="00260042" w:rsidRDefault="00260042" w:rsidP="008930A3">
      <w:pPr>
        <w:pStyle w:val="ListBullet"/>
      </w:pPr>
      <w:r>
        <w:t>The Satisfaction and Experience Survey measures people’s perceptions of the quality of service they received in their most recent interaction with the agency.</w:t>
      </w:r>
    </w:p>
    <w:p w:rsidR="00260042" w:rsidRDefault="00260042" w:rsidP="008930A3">
      <w:pPr>
        <w:pStyle w:val="ListBullet"/>
      </w:pPr>
      <w:r>
        <w:t>The Strategic Survey measures people’s general perceptions of, and engagement with, the agency.</w:t>
      </w:r>
    </w:p>
    <w:p w:rsidR="00260042" w:rsidRDefault="00260042" w:rsidP="00EA5510">
      <w:pPr>
        <w:pStyle w:val="ListBullet"/>
      </w:pPr>
      <w:r>
        <w:t>The Health Provider Survey measures satisfaction with the agency’s services from health professionals, including pharmacists, general practitioners and practice managers.</w:t>
      </w:r>
    </w:p>
    <w:p w:rsidR="00260042" w:rsidRPr="00EA5510" w:rsidRDefault="009B789E" w:rsidP="00EA5510">
      <w:pPr>
        <w:pStyle w:val="BodyText"/>
        <w:rPr>
          <w:rStyle w:val="Bold"/>
          <w:bCs w:val="0"/>
        </w:rPr>
      </w:pPr>
      <w:r>
        <w:rPr>
          <w:rStyle w:val="Bold"/>
          <w:bCs w:val="0"/>
        </w:rPr>
        <w:t>Table 34</w:t>
      </w:r>
      <w:r w:rsidR="00260042" w:rsidRPr="00EA5510">
        <w:rPr>
          <w:rStyle w:val="Bold"/>
          <w:bCs w:val="0"/>
        </w:rPr>
        <w:t xml:space="preserve"> Summary of the agency’s satisfaction survey activities</w:t>
      </w:r>
    </w:p>
    <w:tbl>
      <w:tblPr>
        <w:tblStyle w:val="TableGrid"/>
        <w:tblW w:w="5000" w:type="pct"/>
        <w:tblLook w:val="0000" w:firstRow="0" w:lastRow="0" w:firstColumn="0" w:lastColumn="0" w:noHBand="0" w:noVBand="0"/>
        <w:tblCaption w:val=" Summary of the agency’s satisfaction survey activities"/>
      </w:tblPr>
      <w:tblGrid>
        <w:gridCol w:w="1325"/>
        <w:gridCol w:w="3395"/>
        <w:gridCol w:w="3036"/>
        <w:gridCol w:w="3034"/>
      </w:tblGrid>
      <w:tr w:rsidR="00260042" w:rsidTr="00277527">
        <w:trPr>
          <w:trHeight w:val="616"/>
          <w:tblHeader/>
        </w:trPr>
        <w:tc>
          <w:tcPr>
            <w:tcW w:w="614" w:type="pct"/>
          </w:tcPr>
          <w:p w:rsidR="00260042" w:rsidRPr="00277527" w:rsidRDefault="00260042" w:rsidP="00277527">
            <w:pPr>
              <w:pStyle w:val="BodyText"/>
              <w:rPr>
                <w:b/>
              </w:rPr>
            </w:pPr>
            <w:r w:rsidRPr="00277527">
              <w:rPr>
                <w:b/>
              </w:rPr>
              <w:t>Survey title</w:t>
            </w:r>
          </w:p>
        </w:tc>
        <w:tc>
          <w:tcPr>
            <w:tcW w:w="1573" w:type="pct"/>
          </w:tcPr>
          <w:p w:rsidR="00260042" w:rsidRPr="00277527" w:rsidRDefault="00260042" w:rsidP="00277527">
            <w:pPr>
              <w:pStyle w:val="BodyText"/>
              <w:rPr>
                <w:b/>
              </w:rPr>
            </w:pPr>
            <w:r w:rsidRPr="00277527">
              <w:rPr>
                <w:b/>
              </w:rPr>
              <w:t>Target audience, timing and sample size</w:t>
            </w:r>
          </w:p>
        </w:tc>
        <w:tc>
          <w:tcPr>
            <w:tcW w:w="1407" w:type="pct"/>
          </w:tcPr>
          <w:p w:rsidR="00260042" w:rsidRPr="00277527" w:rsidRDefault="00260042" w:rsidP="00277527">
            <w:pPr>
              <w:pStyle w:val="BodyText"/>
              <w:rPr>
                <w:b/>
              </w:rPr>
            </w:pPr>
            <w:r w:rsidRPr="00277527">
              <w:rPr>
                <w:b/>
              </w:rPr>
              <w:t>Results 2019–20</w:t>
            </w:r>
          </w:p>
        </w:tc>
        <w:tc>
          <w:tcPr>
            <w:tcW w:w="1407" w:type="pct"/>
          </w:tcPr>
          <w:p w:rsidR="00260042" w:rsidRPr="00277527" w:rsidRDefault="00260042" w:rsidP="00277527">
            <w:pPr>
              <w:pStyle w:val="BodyText"/>
              <w:rPr>
                <w:b/>
              </w:rPr>
            </w:pPr>
            <w:r w:rsidRPr="00277527">
              <w:rPr>
                <w:b/>
              </w:rPr>
              <w:t>Results 2020–21</w:t>
            </w:r>
          </w:p>
        </w:tc>
      </w:tr>
      <w:tr w:rsidR="00260042" w:rsidTr="00277527">
        <w:trPr>
          <w:trHeight w:val="376"/>
        </w:trPr>
        <w:tc>
          <w:tcPr>
            <w:tcW w:w="614" w:type="pct"/>
            <w:textDirection w:val="btLr"/>
          </w:tcPr>
          <w:p w:rsidR="00260042" w:rsidRDefault="00260042" w:rsidP="00277527">
            <w:pPr>
              <w:pStyle w:val="BodyText"/>
            </w:pPr>
            <w:r>
              <w:t>Satisfaction and Experience Survey</w:t>
            </w:r>
          </w:p>
        </w:tc>
        <w:tc>
          <w:tcPr>
            <w:tcW w:w="1573" w:type="pct"/>
          </w:tcPr>
          <w:p w:rsidR="00260042" w:rsidRDefault="00260042" w:rsidP="00277527">
            <w:pPr>
              <w:pStyle w:val="BodyText"/>
            </w:pPr>
            <w:r>
              <w:t>Random selection of current users who have recently interacted with the agency</w:t>
            </w:r>
          </w:p>
          <w:p w:rsidR="00260042" w:rsidRDefault="00260042" w:rsidP="00277527">
            <w:pPr>
              <w:pStyle w:val="BodyText"/>
            </w:pPr>
            <w:r>
              <w:t>Continuously throughout the year</w:t>
            </w:r>
          </w:p>
          <w:p w:rsidR="00260042" w:rsidRDefault="00260042" w:rsidP="00277527">
            <w:pPr>
              <w:pStyle w:val="BodyText"/>
            </w:pPr>
            <w:r>
              <w:lastRenderedPageBreak/>
              <w:t xml:space="preserve">Approximately 252,476 surveys completed </w:t>
            </w:r>
          </w:p>
        </w:tc>
        <w:tc>
          <w:tcPr>
            <w:tcW w:w="1407" w:type="pct"/>
          </w:tcPr>
          <w:p w:rsidR="00260042" w:rsidRDefault="00260042" w:rsidP="00277527">
            <w:pPr>
              <w:pStyle w:val="BodyText"/>
            </w:pPr>
            <w:r>
              <w:lastRenderedPageBreak/>
              <w:t>Satisfied with:</w:t>
            </w:r>
          </w:p>
          <w:p w:rsidR="00260042" w:rsidRDefault="00260042" w:rsidP="00277527">
            <w:pPr>
              <w:pStyle w:val="BodyText"/>
            </w:pPr>
            <w:r>
              <w:t>Centrelink services: 79.5 out of 100</w:t>
            </w:r>
          </w:p>
          <w:p w:rsidR="00260042" w:rsidRDefault="00260042" w:rsidP="00277527">
            <w:pPr>
              <w:pStyle w:val="BodyText"/>
            </w:pPr>
            <w:r>
              <w:t>Medicare services: 86.1 out of 100</w:t>
            </w:r>
          </w:p>
          <w:p w:rsidR="00260042" w:rsidRDefault="00260042" w:rsidP="00277527">
            <w:pPr>
              <w:pStyle w:val="BodyText"/>
            </w:pPr>
            <w:r>
              <w:lastRenderedPageBreak/>
              <w:t>Child Support services: 79.0 out of 100</w:t>
            </w:r>
          </w:p>
        </w:tc>
        <w:tc>
          <w:tcPr>
            <w:tcW w:w="1407" w:type="pct"/>
          </w:tcPr>
          <w:p w:rsidR="00260042" w:rsidRDefault="00260042" w:rsidP="00277527">
            <w:pPr>
              <w:pStyle w:val="BodyText"/>
              <w:rPr>
                <w:rStyle w:val="Bulletcolour"/>
              </w:rPr>
            </w:pPr>
            <w:r>
              <w:rPr>
                <w:rStyle w:val="Bulletcolour"/>
              </w:rPr>
              <w:lastRenderedPageBreak/>
              <w:t>Satisfied with:</w:t>
            </w:r>
          </w:p>
          <w:p w:rsidR="00260042" w:rsidRDefault="00260042" w:rsidP="00277527">
            <w:pPr>
              <w:pStyle w:val="BodyText"/>
              <w:rPr>
                <w:rStyle w:val="Bulletcolour"/>
              </w:rPr>
            </w:pPr>
            <w:r>
              <w:rPr>
                <w:rStyle w:val="Bulletcolour"/>
              </w:rPr>
              <w:t>Centrelink services: 82.6 out of 100</w:t>
            </w:r>
          </w:p>
          <w:p w:rsidR="00260042" w:rsidRDefault="00260042" w:rsidP="00277527">
            <w:pPr>
              <w:pStyle w:val="BodyText"/>
              <w:rPr>
                <w:rStyle w:val="Bulletcolour"/>
              </w:rPr>
            </w:pPr>
            <w:r>
              <w:rPr>
                <w:rStyle w:val="Bulletcolour"/>
              </w:rPr>
              <w:t>Medicare services: 86.6 out of 100</w:t>
            </w:r>
          </w:p>
          <w:p w:rsidR="00260042" w:rsidRDefault="00260042" w:rsidP="00277527">
            <w:pPr>
              <w:pStyle w:val="BodyText"/>
            </w:pPr>
            <w:r>
              <w:rPr>
                <w:rStyle w:val="Bulletcolour"/>
              </w:rPr>
              <w:lastRenderedPageBreak/>
              <w:t>Child Support services: 85.9 out of 100</w:t>
            </w:r>
          </w:p>
        </w:tc>
      </w:tr>
      <w:tr w:rsidR="00260042" w:rsidTr="00277527">
        <w:trPr>
          <w:trHeight w:val="376"/>
        </w:trPr>
        <w:tc>
          <w:tcPr>
            <w:tcW w:w="614" w:type="pct"/>
            <w:textDirection w:val="btLr"/>
          </w:tcPr>
          <w:p w:rsidR="00260042" w:rsidRDefault="00260042" w:rsidP="00277527">
            <w:pPr>
              <w:pStyle w:val="BodyText"/>
            </w:pPr>
            <w:r>
              <w:lastRenderedPageBreak/>
              <w:t>Strategic Survey</w:t>
            </w:r>
          </w:p>
        </w:tc>
        <w:tc>
          <w:tcPr>
            <w:tcW w:w="1573" w:type="pct"/>
          </w:tcPr>
          <w:p w:rsidR="00260042" w:rsidRDefault="00260042" w:rsidP="00277527">
            <w:pPr>
              <w:pStyle w:val="BodyText"/>
            </w:pPr>
            <w:r>
              <w:t>Random selection of users who have had any interaction with the agency in the previous 12 months</w:t>
            </w:r>
          </w:p>
          <w:p w:rsidR="00260042" w:rsidRDefault="00260042" w:rsidP="00277527">
            <w:pPr>
              <w:pStyle w:val="BodyText"/>
            </w:pPr>
            <w:r>
              <w:t>Every 6 months</w:t>
            </w:r>
          </w:p>
          <w:p w:rsidR="00260042" w:rsidRDefault="00260042" w:rsidP="00277527">
            <w:pPr>
              <w:pStyle w:val="BodyText"/>
            </w:pPr>
            <w:r>
              <w:t>6,283 surveys completed</w:t>
            </w:r>
          </w:p>
        </w:tc>
        <w:tc>
          <w:tcPr>
            <w:tcW w:w="1407" w:type="pct"/>
          </w:tcPr>
          <w:p w:rsidR="00260042" w:rsidRDefault="00260042" w:rsidP="00277527">
            <w:pPr>
              <w:pStyle w:val="BodyText"/>
            </w:pPr>
            <w:r>
              <w:t>Satisfied with:</w:t>
            </w:r>
          </w:p>
          <w:p w:rsidR="00260042" w:rsidRDefault="00260042" w:rsidP="00277527">
            <w:pPr>
              <w:pStyle w:val="BodyText"/>
            </w:pPr>
            <w:r>
              <w:t>Centrelink: 56.2%</w:t>
            </w:r>
          </w:p>
          <w:p w:rsidR="00260042" w:rsidRDefault="00260042" w:rsidP="00277527">
            <w:pPr>
              <w:pStyle w:val="BodyText"/>
            </w:pPr>
            <w:r>
              <w:t>Medicare: 81.9%</w:t>
            </w:r>
          </w:p>
          <w:p w:rsidR="00260042" w:rsidRDefault="00260042" w:rsidP="00277527">
            <w:pPr>
              <w:pStyle w:val="BodyText"/>
            </w:pPr>
            <w:r>
              <w:t>Child Support: 37.0%</w:t>
            </w:r>
          </w:p>
        </w:tc>
        <w:tc>
          <w:tcPr>
            <w:tcW w:w="1407" w:type="pct"/>
          </w:tcPr>
          <w:p w:rsidR="00260042" w:rsidRDefault="00260042" w:rsidP="00277527">
            <w:pPr>
              <w:pStyle w:val="BodyText"/>
              <w:rPr>
                <w:rStyle w:val="Bulletcolour"/>
              </w:rPr>
            </w:pPr>
            <w:r>
              <w:rPr>
                <w:rStyle w:val="Bulletcolour"/>
              </w:rPr>
              <w:t>Satisfied with:</w:t>
            </w:r>
          </w:p>
          <w:p w:rsidR="00260042" w:rsidRDefault="00260042" w:rsidP="00277527">
            <w:pPr>
              <w:pStyle w:val="BodyText"/>
              <w:rPr>
                <w:rStyle w:val="Bulletcolour"/>
              </w:rPr>
            </w:pPr>
            <w:r>
              <w:rPr>
                <w:rStyle w:val="Bulletcolour"/>
              </w:rPr>
              <w:t>Centrelink 68.5%</w:t>
            </w:r>
          </w:p>
          <w:p w:rsidR="00260042" w:rsidRDefault="00260042" w:rsidP="00277527">
            <w:pPr>
              <w:pStyle w:val="BodyText"/>
              <w:rPr>
                <w:rStyle w:val="Bulletcolour"/>
              </w:rPr>
            </w:pPr>
            <w:r>
              <w:rPr>
                <w:rStyle w:val="Bulletcolour"/>
              </w:rPr>
              <w:t>Medicare 80.2%</w:t>
            </w:r>
          </w:p>
          <w:p w:rsidR="00260042" w:rsidRDefault="00260042" w:rsidP="00277527">
            <w:pPr>
              <w:pStyle w:val="BodyText"/>
            </w:pPr>
            <w:r>
              <w:rPr>
                <w:rStyle w:val="Bulletcolour"/>
              </w:rPr>
              <w:t>Child Support: 38.5%</w:t>
            </w:r>
          </w:p>
        </w:tc>
      </w:tr>
      <w:tr w:rsidR="00260042" w:rsidTr="00277527">
        <w:trPr>
          <w:trHeight w:val="376"/>
        </w:trPr>
        <w:tc>
          <w:tcPr>
            <w:tcW w:w="614" w:type="pct"/>
            <w:textDirection w:val="btLr"/>
          </w:tcPr>
          <w:p w:rsidR="00260042" w:rsidRDefault="00260042" w:rsidP="00277527">
            <w:pPr>
              <w:pStyle w:val="BodyText"/>
            </w:pPr>
            <w:r>
              <w:t>Health Provider Survey</w:t>
            </w:r>
          </w:p>
        </w:tc>
        <w:tc>
          <w:tcPr>
            <w:tcW w:w="1573" w:type="pct"/>
          </w:tcPr>
          <w:p w:rsidR="00260042" w:rsidRDefault="00260042" w:rsidP="00277527">
            <w:pPr>
              <w:pStyle w:val="BodyText"/>
            </w:pPr>
            <w:r>
              <w:t>Random selection of health professionals who have interacted with the agency in the previous 6 months</w:t>
            </w:r>
          </w:p>
          <w:p w:rsidR="00260042" w:rsidRDefault="00260042" w:rsidP="00277527">
            <w:pPr>
              <w:pStyle w:val="BodyText"/>
            </w:pPr>
            <w:r>
              <w:t xml:space="preserve">Annually 1,061 surveys completed </w:t>
            </w:r>
          </w:p>
        </w:tc>
        <w:tc>
          <w:tcPr>
            <w:tcW w:w="1407" w:type="pct"/>
          </w:tcPr>
          <w:p w:rsidR="00260042" w:rsidRDefault="00260042" w:rsidP="00277527">
            <w:pPr>
              <w:pStyle w:val="BodyText"/>
            </w:pPr>
            <w:r>
              <w:t>Satisfied with or neutral about the agency’s services:</w:t>
            </w:r>
          </w:p>
          <w:p w:rsidR="00260042" w:rsidRDefault="00260042" w:rsidP="00277527">
            <w:pPr>
              <w:pStyle w:val="BodyText"/>
            </w:pPr>
            <w:r>
              <w:t>Health provider 85.2%</w:t>
            </w:r>
          </w:p>
        </w:tc>
        <w:tc>
          <w:tcPr>
            <w:tcW w:w="1407" w:type="pct"/>
          </w:tcPr>
          <w:p w:rsidR="00260042" w:rsidRDefault="00260042" w:rsidP="00277527">
            <w:pPr>
              <w:pStyle w:val="BodyText"/>
              <w:rPr>
                <w:rStyle w:val="Bulletcolour"/>
              </w:rPr>
            </w:pPr>
            <w:r>
              <w:rPr>
                <w:rStyle w:val="Bulletcolour"/>
              </w:rPr>
              <w:t>Satisfied with or neutral about the agency’s services:</w:t>
            </w:r>
          </w:p>
          <w:p w:rsidR="00260042" w:rsidRDefault="00260042" w:rsidP="00277527">
            <w:pPr>
              <w:pStyle w:val="BodyText"/>
            </w:pPr>
            <w:r>
              <w:rPr>
                <w:rStyle w:val="Bulletcolour"/>
              </w:rPr>
              <w:t>Health provider 89.2%</w:t>
            </w:r>
          </w:p>
        </w:tc>
      </w:tr>
    </w:tbl>
    <w:p w:rsidR="00260042" w:rsidRDefault="00260042" w:rsidP="00C81689">
      <w:pPr>
        <w:pStyle w:val="Heading2"/>
      </w:pPr>
      <w:r>
        <w:t>Compliance with the Commonwealth Child Safe Framework</w:t>
      </w:r>
    </w:p>
    <w:p w:rsidR="00260042" w:rsidRDefault="00260042" w:rsidP="00260042">
      <w:pPr>
        <w:pStyle w:val="BodyText"/>
        <w:spacing w:after="57"/>
        <w:rPr>
          <w:spacing w:val="-3"/>
        </w:rPr>
      </w:pPr>
      <w:r>
        <w:rPr>
          <w:spacing w:val="-3"/>
        </w:rPr>
        <w:t>Services Australia is committed to ensuring that it does not put children at greater risk through any interactions they may have with the agency. The agency interacts with children through a wide variety of circumstances. These interactions may be:</w:t>
      </w:r>
    </w:p>
    <w:p w:rsidR="00260042" w:rsidRDefault="00260042" w:rsidP="008930A3">
      <w:pPr>
        <w:pStyle w:val="ListBullet"/>
      </w:pPr>
      <w:r>
        <w:t>at service centres in the company of their parents or other trusted adults</w:t>
      </w:r>
    </w:p>
    <w:p w:rsidR="00260042" w:rsidRDefault="00260042" w:rsidP="008930A3">
      <w:pPr>
        <w:pStyle w:val="ListBullet"/>
      </w:pPr>
      <w:r>
        <w:t>through online interactions as customers</w:t>
      </w:r>
    </w:p>
    <w:p w:rsidR="00260042" w:rsidRDefault="00260042" w:rsidP="008930A3">
      <w:pPr>
        <w:pStyle w:val="ListBullet"/>
      </w:pPr>
      <w:r>
        <w:t>as employees of the agency</w:t>
      </w:r>
    </w:p>
    <w:p w:rsidR="00260042" w:rsidRDefault="00260042" w:rsidP="008930A3">
      <w:pPr>
        <w:pStyle w:val="ListBullet"/>
      </w:pPr>
      <w:r>
        <w:t xml:space="preserve">as visitors in the company of agency staff </w:t>
      </w:r>
    </w:p>
    <w:p w:rsidR="00260042" w:rsidRDefault="00260042" w:rsidP="00EA5510">
      <w:pPr>
        <w:pStyle w:val="ListBullet"/>
      </w:pPr>
      <w:proofErr w:type="gramStart"/>
      <w:r>
        <w:t>by</w:t>
      </w:r>
      <w:proofErr w:type="gramEnd"/>
      <w:r>
        <w:t xml:space="preserve"> telephone.</w:t>
      </w:r>
    </w:p>
    <w:p w:rsidR="00260042" w:rsidRDefault="00260042" w:rsidP="00260042">
      <w:pPr>
        <w:pStyle w:val="BodyText"/>
      </w:pPr>
      <w:r>
        <w:t xml:space="preserve">The agency undertakes an annual </w:t>
      </w:r>
      <w:proofErr w:type="gramStart"/>
      <w:r>
        <w:t>child safety risk assessment</w:t>
      </w:r>
      <w:proofErr w:type="gramEnd"/>
      <w:r>
        <w:t xml:space="preserve"> with the aim of identifying and mitigating risks to children through these, or any other interactions they may have with us.</w:t>
      </w:r>
    </w:p>
    <w:p w:rsidR="00260042" w:rsidRDefault="00260042" w:rsidP="00C81689">
      <w:pPr>
        <w:pStyle w:val="Heading2"/>
      </w:pPr>
      <w:r>
        <w:t>Feedback on services</w:t>
      </w:r>
    </w:p>
    <w:p w:rsidR="00260042" w:rsidRDefault="00260042" w:rsidP="00260042">
      <w:pPr>
        <w:pStyle w:val="BodyText"/>
      </w:pPr>
      <w:r>
        <w:t xml:space="preserve">Services Australia is committed to delivering high-quality services to the Australian people. We value the feedback we receive as it helps us improve our business processes and deliver better services. </w:t>
      </w:r>
    </w:p>
    <w:p w:rsidR="00260042" w:rsidRDefault="00260042" w:rsidP="00260042">
      <w:pPr>
        <w:pStyle w:val="BodyText"/>
        <w:spacing w:after="57"/>
      </w:pPr>
      <w:r>
        <w:t>We are committed to ensuring that people are aware of their right to complain and provide feedback. They can contact the agency:</w:t>
      </w:r>
    </w:p>
    <w:p w:rsidR="00260042" w:rsidRDefault="00260042" w:rsidP="008930A3">
      <w:pPr>
        <w:pStyle w:val="ListBullet"/>
      </w:pPr>
      <w:r>
        <w:t>by calling the complaints and feedback line</w:t>
      </w:r>
    </w:p>
    <w:p w:rsidR="00260042" w:rsidRDefault="00260042" w:rsidP="008930A3">
      <w:pPr>
        <w:pStyle w:val="ListBullet"/>
      </w:pPr>
      <w:r>
        <w:t xml:space="preserve">online via their </w:t>
      </w:r>
      <w:proofErr w:type="spellStart"/>
      <w:r>
        <w:t>myGov</w:t>
      </w:r>
      <w:proofErr w:type="spellEnd"/>
      <w:r>
        <w:t xml:space="preserve"> account, Centrelink online account or at </w:t>
      </w:r>
      <w:r>
        <w:rPr>
          <w:rStyle w:val="Bold"/>
        </w:rPr>
        <w:t>servicesaustralia.gov.au</w:t>
      </w:r>
    </w:p>
    <w:p w:rsidR="00260042" w:rsidRDefault="00260042" w:rsidP="008930A3">
      <w:pPr>
        <w:pStyle w:val="ListBullet"/>
      </w:pPr>
      <w:r>
        <w:lastRenderedPageBreak/>
        <w:t xml:space="preserve">by calling one of our international phone numbers from overseas – listed at </w:t>
      </w:r>
      <w:r>
        <w:rPr>
          <w:rStyle w:val="Bold"/>
        </w:rPr>
        <w:t>servicesaustralia.gov.au/individuals/contact-us/phone-us/international-phone-numbers</w:t>
      </w:r>
    </w:p>
    <w:p w:rsidR="00260042" w:rsidRDefault="00260042" w:rsidP="008930A3">
      <w:pPr>
        <w:pStyle w:val="ListBullet"/>
      </w:pPr>
      <w:r>
        <w:t>by mail (no postage stamp required)</w:t>
      </w:r>
    </w:p>
    <w:p w:rsidR="00260042" w:rsidRDefault="00260042" w:rsidP="008930A3">
      <w:pPr>
        <w:pStyle w:val="ListBullet"/>
      </w:pPr>
      <w:r>
        <w:t>by calling the National Relay Service for people who are deaf or have a hearing or speech impairment</w:t>
      </w:r>
    </w:p>
    <w:p w:rsidR="00260042" w:rsidRDefault="00260042" w:rsidP="00EA5510">
      <w:pPr>
        <w:pStyle w:val="ListBullet"/>
      </w:pPr>
      <w:proofErr w:type="gramStart"/>
      <w:r>
        <w:t>by</w:t>
      </w:r>
      <w:proofErr w:type="gramEnd"/>
      <w:r>
        <w:t xml:space="preserve"> speaking to a service officer at any service centre or on the phone.</w:t>
      </w:r>
    </w:p>
    <w:p w:rsidR="00260042" w:rsidRDefault="00260042" w:rsidP="00260042">
      <w:pPr>
        <w:pStyle w:val="BodyText"/>
      </w:pPr>
      <w:r>
        <w:t xml:space="preserve">The number of complaints we received in 2020–21 about our services was 147,657, or 0.3% of the more than 452 million customer interactions (including calls handled, visits to service centres and self-service interactions). </w:t>
      </w:r>
    </w:p>
    <w:p w:rsidR="00260042" w:rsidRDefault="00260042" w:rsidP="00260042">
      <w:pPr>
        <w:pStyle w:val="BodyText"/>
      </w:pPr>
      <w:r>
        <w:t xml:space="preserve">In 2020–21, we received 13,969 compliments. Of these, 79.5% were about the service provided by staff, 15.9% were about programs, and 4.6% were about products. </w:t>
      </w:r>
    </w:p>
    <w:p w:rsidR="00260042" w:rsidRDefault="00260042" w:rsidP="00260042">
      <w:pPr>
        <w:pStyle w:val="BodyText"/>
      </w:pPr>
      <w:r>
        <w:t>We actively encourage feedback and suggestions about programs, services and new initiatives. In 2020–21, we received 12,269 suggestions.</w:t>
      </w:r>
    </w:p>
    <w:p w:rsidR="00260042" w:rsidRDefault="00260042" w:rsidP="002E64CE">
      <w:pPr>
        <w:pStyle w:val="Heading3"/>
      </w:pPr>
      <w:r>
        <w:t>Centrelink feedback</w:t>
      </w:r>
    </w:p>
    <w:p w:rsidR="00260042" w:rsidRDefault="00260042" w:rsidP="00260042">
      <w:pPr>
        <w:pStyle w:val="BodyText"/>
        <w:spacing w:after="57"/>
      </w:pPr>
      <w:r>
        <w:t xml:space="preserve">In 2020–21, the agency recorded 149,707 feedback contacts about Centrelink services. Of these, 125,524 were complaints. The top </w:t>
      </w:r>
      <w:proofErr w:type="gramStart"/>
      <w:r>
        <w:t>3</w:t>
      </w:r>
      <w:proofErr w:type="gramEnd"/>
      <w:r>
        <w:t xml:space="preserve"> complaint reasons, by volume, were:</w:t>
      </w:r>
    </w:p>
    <w:p w:rsidR="00260042" w:rsidRDefault="00260042" w:rsidP="008930A3">
      <w:pPr>
        <w:pStyle w:val="ListBullet"/>
      </w:pPr>
      <w:proofErr w:type="gramStart"/>
      <w:r>
        <w:t>dissatisfaction</w:t>
      </w:r>
      <w:proofErr w:type="gramEnd"/>
      <w:r>
        <w:t xml:space="preserve"> with a </w:t>
      </w:r>
      <w:r>
        <w:rPr>
          <w:rStyle w:val="Bold"/>
          <w:spacing w:val="-2"/>
        </w:rPr>
        <w:t>decision, outcome or payment</w:t>
      </w:r>
      <w:r>
        <w:t xml:space="preserve">, including cancellation or </w:t>
      </w:r>
      <w:r>
        <w:rPr>
          <w:spacing w:val="-4"/>
        </w:rPr>
        <w:t>suspension of a payment, not receiving a payment, and waiting too long (36.1%)</w:t>
      </w:r>
    </w:p>
    <w:p w:rsidR="00260042" w:rsidRDefault="00260042" w:rsidP="008930A3">
      <w:pPr>
        <w:pStyle w:val="ListBullet"/>
      </w:pPr>
      <w:proofErr w:type="gramStart"/>
      <w:r>
        <w:t>dissatisfaction</w:t>
      </w:r>
      <w:proofErr w:type="gramEnd"/>
      <w:r>
        <w:t xml:space="preserve"> with a </w:t>
      </w:r>
      <w:r>
        <w:rPr>
          <w:rStyle w:val="Bold"/>
        </w:rPr>
        <w:t>claim, application or assessment process</w:t>
      </w:r>
      <w:r>
        <w:t>, including waiting too long, requests for information regarding the process of the claim, and not being updated on progress (26.1%)</w:t>
      </w:r>
    </w:p>
    <w:p w:rsidR="00260042" w:rsidRDefault="00260042" w:rsidP="00EA5510">
      <w:pPr>
        <w:pStyle w:val="ListBullet"/>
      </w:pPr>
      <w:proofErr w:type="gramStart"/>
      <w:r>
        <w:t>difficulties</w:t>
      </w:r>
      <w:proofErr w:type="gramEnd"/>
      <w:r>
        <w:t xml:space="preserve"> with </w:t>
      </w:r>
      <w:r>
        <w:rPr>
          <w:rStyle w:val="Bold"/>
        </w:rPr>
        <w:t>digital services</w:t>
      </w:r>
      <w:r>
        <w:t>, including being unable to update details, inability to complete a transaction, and inability to access services (10.4%).</w:t>
      </w:r>
    </w:p>
    <w:p w:rsidR="00260042" w:rsidRDefault="00260042" w:rsidP="00260042">
      <w:pPr>
        <w:pStyle w:val="BodyText"/>
      </w:pPr>
      <w:r>
        <w:t>The agency resolved 80% of Centrelink complaints within 10 working days.</w:t>
      </w:r>
    </w:p>
    <w:p w:rsidR="00260042" w:rsidRDefault="00260042" w:rsidP="002E64CE">
      <w:pPr>
        <w:pStyle w:val="Heading3"/>
      </w:pPr>
      <w:r>
        <w:t>Medicare feedback</w:t>
      </w:r>
    </w:p>
    <w:p w:rsidR="00260042" w:rsidRDefault="00260042" w:rsidP="00260042">
      <w:pPr>
        <w:pStyle w:val="BodyText"/>
        <w:spacing w:after="57"/>
      </w:pPr>
      <w:r>
        <w:t xml:space="preserve">In 2020–21, the agency recorded 8,377 feedback contacts about Medicare services. Of these, 6,692 were complaints. The top </w:t>
      </w:r>
      <w:proofErr w:type="gramStart"/>
      <w:r>
        <w:t>3</w:t>
      </w:r>
      <w:proofErr w:type="gramEnd"/>
      <w:r>
        <w:t xml:space="preserve"> complaint reasons, by volume, were:</w:t>
      </w:r>
    </w:p>
    <w:p w:rsidR="00260042" w:rsidRDefault="00260042" w:rsidP="008930A3">
      <w:pPr>
        <w:pStyle w:val="ListBullet"/>
      </w:pPr>
      <w:proofErr w:type="gramStart"/>
      <w:r>
        <w:t>dissatisfaction</w:t>
      </w:r>
      <w:proofErr w:type="gramEnd"/>
      <w:r>
        <w:t xml:space="preserve"> with a </w:t>
      </w:r>
      <w:r>
        <w:rPr>
          <w:rStyle w:val="Bold"/>
        </w:rPr>
        <w:t>decision, outcome or payment</w:t>
      </w:r>
      <w:r>
        <w:t>, including not receiving a payment, disagreeing with a decision and rejection of an application or claim (21.4%)</w:t>
      </w:r>
    </w:p>
    <w:p w:rsidR="00260042" w:rsidRDefault="00260042" w:rsidP="008930A3">
      <w:pPr>
        <w:pStyle w:val="ListBullet"/>
      </w:pPr>
      <w:proofErr w:type="gramStart"/>
      <w:r>
        <w:t>dissatisfaction</w:t>
      </w:r>
      <w:proofErr w:type="gramEnd"/>
      <w:r>
        <w:t xml:space="preserve"> with a </w:t>
      </w:r>
      <w:r>
        <w:rPr>
          <w:rStyle w:val="Bold"/>
        </w:rPr>
        <w:t>claim, application or assessment process</w:t>
      </w:r>
      <w:r>
        <w:t>, including waiting too long, incorrect information, and requests for information regarding the progress of a claim (30.3%)</w:t>
      </w:r>
    </w:p>
    <w:p w:rsidR="00260042" w:rsidRDefault="00260042" w:rsidP="00EA5510">
      <w:pPr>
        <w:pStyle w:val="ListBullet"/>
      </w:pPr>
      <w:r>
        <w:t xml:space="preserve">difficulties with </w:t>
      </w:r>
      <w:r>
        <w:rPr>
          <w:rStyle w:val="Bold"/>
        </w:rPr>
        <w:t>digital services</w:t>
      </w:r>
      <w:r>
        <w:t>, including inability to access services, incorrect, unavailable or unclear information, and being unable to update details (16%).</w:t>
      </w:r>
    </w:p>
    <w:p w:rsidR="00260042" w:rsidRDefault="00260042" w:rsidP="00260042">
      <w:pPr>
        <w:pStyle w:val="BodyText"/>
      </w:pPr>
      <w:r>
        <w:t>The agency resolved 93% of Medicare complaints within 10 working days.</w:t>
      </w:r>
    </w:p>
    <w:p w:rsidR="00260042" w:rsidRDefault="00260042" w:rsidP="002E64CE">
      <w:pPr>
        <w:pStyle w:val="Heading3"/>
      </w:pPr>
      <w:r>
        <w:t>Child Support feedback</w:t>
      </w:r>
    </w:p>
    <w:p w:rsidR="00260042" w:rsidRDefault="00260042" w:rsidP="00260042">
      <w:pPr>
        <w:pStyle w:val="BodyText"/>
        <w:spacing w:after="57"/>
      </w:pPr>
      <w:r>
        <w:t xml:space="preserve">In 2020–21, the agency recorded 15,811 feedback contacts about Child Support services. Of these, 15,441 were complaints. The top </w:t>
      </w:r>
      <w:proofErr w:type="gramStart"/>
      <w:r>
        <w:t>3</w:t>
      </w:r>
      <w:proofErr w:type="gramEnd"/>
      <w:r>
        <w:t xml:space="preserve"> types of complaints, by volume, were to do with:</w:t>
      </w:r>
    </w:p>
    <w:p w:rsidR="00260042" w:rsidRDefault="00260042" w:rsidP="008930A3">
      <w:pPr>
        <w:pStyle w:val="ListBullet"/>
      </w:pPr>
      <w:proofErr w:type="gramStart"/>
      <w:r>
        <w:rPr>
          <w:rStyle w:val="Bold"/>
        </w:rPr>
        <w:lastRenderedPageBreak/>
        <w:t>quality</w:t>
      </w:r>
      <w:proofErr w:type="gramEnd"/>
      <w:r>
        <w:rPr>
          <w:rStyle w:val="Bold"/>
        </w:rPr>
        <w:t xml:space="preserve"> of service</w:t>
      </w:r>
      <w:r>
        <w:t>, including lack of courtesy, poor advice, and inaction of requests (31.4%)</w:t>
      </w:r>
    </w:p>
    <w:p w:rsidR="00260042" w:rsidRDefault="00260042" w:rsidP="008930A3">
      <w:pPr>
        <w:pStyle w:val="ListBullet"/>
      </w:pPr>
      <w:proofErr w:type="gramStart"/>
      <w:r>
        <w:rPr>
          <w:rStyle w:val="Bold"/>
        </w:rPr>
        <w:t>collection</w:t>
      </w:r>
      <w:proofErr w:type="gramEnd"/>
      <w:r>
        <w:t>, including lack of collection, issues with account balance, and issues with employer withholding (31.1%)</w:t>
      </w:r>
    </w:p>
    <w:p w:rsidR="00260042" w:rsidRDefault="00260042" w:rsidP="00EA5510">
      <w:pPr>
        <w:pStyle w:val="ListBullet"/>
      </w:pPr>
      <w:proofErr w:type="gramStart"/>
      <w:r>
        <w:rPr>
          <w:rStyle w:val="Bold"/>
        </w:rPr>
        <w:t>assessment</w:t>
      </w:r>
      <w:proofErr w:type="gramEnd"/>
      <w:r>
        <w:t>, including income used, care level used, and change of assessment (23.8%).</w:t>
      </w:r>
    </w:p>
    <w:p w:rsidR="00260042" w:rsidRDefault="00260042" w:rsidP="00260042">
      <w:pPr>
        <w:pStyle w:val="BodyText"/>
      </w:pPr>
      <w:r>
        <w:t>The agency resolved 92% of Child Support complaints within 10 working days.</w:t>
      </w:r>
    </w:p>
    <w:p w:rsidR="00260042" w:rsidRDefault="00260042" w:rsidP="00BC1153">
      <w:pPr>
        <w:pStyle w:val="Heading1"/>
      </w:pPr>
      <w:r>
        <w:t>8 Management and accountability</w:t>
      </w:r>
    </w:p>
    <w:p w:rsidR="00260042" w:rsidRDefault="00260042" w:rsidP="00BC1153">
      <w:pPr>
        <w:pStyle w:val="Heading1"/>
      </w:pPr>
      <w:r>
        <w:t>8.1 Corporate governance</w:t>
      </w:r>
    </w:p>
    <w:p w:rsidR="00260042" w:rsidRDefault="00260042" w:rsidP="008474A9">
      <w:pPr>
        <w:pStyle w:val="BodyText"/>
      </w:pPr>
      <w:r>
        <w:t xml:space="preserve">Everything we do </w:t>
      </w:r>
      <w:proofErr w:type="gramStart"/>
      <w:r>
        <w:t>is underpinned</w:t>
      </w:r>
      <w:proofErr w:type="gramEnd"/>
      <w:r>
        <w:t xml:space="preserve"> by clear and accountable governance arrangements. We make decisions that are fair and transparent – based on good information and data, genuine consultation with stakeholders, and in a way that stands up to scrutiny.</w:t>
      </w:r>
    </w:p>
    <w:p w:rsidR="00260042" w:rsidRDefault="00260042" w:rsidP="00C81689">
      <w:pPr>
        <w:pStyle w:val="Heading2"/>
      </w:pPr>
      <w:r>
        <w:t xml:space="preserve">ENTERPRISE GOVERNANCE AND RISK MANAGEMENT </w:t>
      </w:r>
    </w:p>
    <w:p w:rsidR="00260042" w:rsidRDefault="00260042" w:rsidP="00260042">
      <w:pPr>
        <w:pStyle w:val="BodyText"/>
      </w:pPr>
      <w:r>
        <w:t xml:space="preserve">Our senior leadership are accountable for governance and risk management, while our enterprise governance committees oversee key agency </w:t>
      </w:r>
      <w:proofErr w:type="gramStart"/>
      <w:r>
        <w:t>priorities and ensure our frameworks are fit-for-purpose</w:t>
      </w:r>
      <w:proofErr w:type="gramEnd"/>
      <w:r>
        <w:t xml:space="preserve"> and meet our obligations.</w:t>
      </w:r>
    </w:p>
    <w:p w:rsidR="00260042" w:rsidRDefault="00260042" w:rsidP="00260042">
      <w:pPr>
        <w:pStyle w:val="BodyText"/>
      </w:pPr>
      <w:r>
        <w:t xml:space="preserve">The agency’s Risk Management Policy and Framework outline accountabilities for risk management and set the risk appetite and tolerance for the agency. Our approach to risk management </w:t>
      </w:r>
      <w:proofErr w:type="gramStart"/>
      <w:r>
        <w:t>is based</w:t>
      </w:r>
      <w:proofErr w:type="gramEnd"/>
      <w:r>
        <w:t xml:space="preserve"> on the </w:t>
      </w:r>
      <w:r>
        <w:rPr>
          <w:rStyle w:val="Italic"/>
        </w:rPr>
        <w:t>ISO 31000: Risk Management – Guidelines</w:t>
      </w:r>
      <w:r>
        <w:t xml:space="preserve">. It aligns with the </w:t>
      </w:r>
      <w:r>
        <w:rPr>
          <w:rStyle w:val="Italic"/>
        </w:rPr>
        <w:t>Commonwealth Risk Management Policy 2014</w:t>
      </w:r>
      <w:r>
        <w:t xml:space="preserve">, meeting our obligation under section 16 of the </w:t>
      </w:r>
      <w:r>
        <w:rPr>
          <w:rStyle w:val="Italic"/>
        </w:rPr>
        <w:t>Public Governance, Performance and Accountability Act 2013</w:t>
      </w:r>
      <w:r>
        <w:t>.</w:t>
      </w:r>
    </w:p>
    <w:p w:rsidR="00260042" w:rsidRDefault="00260042" w:rsidP="00260042">
      <w:pPr>
        <w:pStyle w:val="BodyText"/>
      </w:pPr>
      <w:r>
        <w:t>Our governance committees provide transparency, direction and oversight on complex strategic and operational matters and risks that affect multiple areas of the agency and cannot be resolved within existing lines of authority.</w:t>
      </w:r>
    </w:p>
    <w:p w:rsidR="00260042" w:rsidRDefault="00260042" w:rsidP="00260042">
      <w:pPr>
        <w:pStyle w:val="BodyText"/>
      </w:pPr>
      <w:r>
        <w:t>During 2020–21, we made changes to our governance committee structure to ensure we had an appropriate focus on both operational matters and our transformation agenda.</w:t>
      </w:r>
    </w:p>
    <w:p w:rsidR="00260042" w:rsidRDefault="00260042" w:rsidP="00260042">
      <w:pPr>
        <w:pStyle w:val="FigureHeadernocount"/>
        <w:spacing w:after="57"/>
      </w:pPr>
      <w:r>
        <w:t xml:space="preserve">Figure 3: Enterprise Committee structure </w:t>
      </w:r>
    </w:p>
    <w:p w:rsidR="00260042" w:rsidRDefault="00260042" w:rsidP="002E64CE">
      <w:pPr>
        <w:pStyle w:val="Heading3"/>
      </w:pPr>
      <w:r>
        <w:t>Executive Committee</w:t>
      </w:r>
    </w:p>
    <w:p w:rsidR="00260042" w:rsidRDefault="00260042" w:rsidP="00260042">
      <w:pPr>
        <w:pStyle w:val="BodyText"/>
      </w:pPr>
      <w:r>
        <w:t>The Executive Committee, chaired by the CEO, is the agency’s most senior governance committee. It sets the agency’s overall strategic direction and priorities.</w:t>
      </w:r>
    </w:p>
    <w:p w:rsidR="00260042" w:rsidRDefault="00260042" w:rsidP="00260042">
      <w:pPr>
        <w:pStyle w:val="BodyText"/>
      </w:pPr>
      <w:r>
        <w:t xml:space="preserve">The Executive Committee oversees the agency’s financial and operational performance by allocating resources, resolving major issues, managing enterprise risks and ensuring accountability and regulatory requirements </w:t>
      </w:r>
      <w:proofErr w:type="gramStart"/>
      <w:r>
        <w:t>are met</w:t>
      </w:r>
      <w:proofErr w:type="gramEnd"/>
      <w:r>
        <w:t>. It also provides direction on key organisational matters raised by sub-committees.</w:t>
      </w:r>
    </w:p>
    <w:p w:rsidR="00260042" w:rsidRDefault="00260042" w:rsidP="00260042">
      <w:pPr>
        <w:pStyle w:val="BodyText"/>
      </w:pPr>
      <w:r>
        <w:t xml:space="preserve">The </w:t>
      </w:r>
      <w:proofErr w:type="gramStart"/>
      <w:r>
        <w:t xml:space="preserve">Executive Committee is supported by the </w:t>
      </w:r>
      <w:r>
        <w:rPr>
          <w:rStyle w:val="Italic"/>
        </w:rPr>
        <w:t>Enterprise Business and Risk Committee</w:t>
      </w:r>
      <w:r>
        <w:t xml:space="preserve"> and </w:t>
      </w:r>
      <w:r>
        <w:rPr>
          <w:rStyle w:val="Italic"/>
        </w:rPr>
        <w:t>Transformation and Integration</w:t>
      </w:r>
      <w:proofErr w:type="gramEnd"/>
      <w:r>
        <w:rPr>
          <w:rStyle w:val="Italic"/>
        </w:rPr>
        <w:t xml:space="preserve"> Committee</w:t>
      </w:r>
      <w:r>
        <w:t>.</w:t>
      </w:r>
    </w:p>
    <w:p w:rsidR="00260042" w:rsidRDefault="00260042" w:rsidP="002E64CE">
      <w:pPr>
        <w:pStyle w:val="Heading3"/>
      </w:pPr>
      <w:r>
        <w:lastRenderedPageBreak/>
        <w:t>Enterprise Business and Risk Committee</w:t>
      </w:r>
    </w:p>
    <w:p w:rsidR="00260042" w:rsidRDefault="00260042" w:rsidP="00260042">
      <w:pPr>
        <w:pStyle w:val="BodyText"/>
      </w:pPr>
      <w:r>
        <w:t>The Enterprise Business and Risk Committee, chaired by the CEO, oversees matters relating to service delivery and enabling functions. It ensures the effective day-to-day running of the agency.</w:t>
      </w:r>
    </w:p>
    <w:p w:rsidR="00260042" w:rsidRDefault="00260042" w:rsidP="00260042">
      <w:pPr>
        <w:pStyle w:val="BodyText"/>
      </w:pPr>
      <w:r>
        <w:t>Its remit includes business planning and continuity, performance monitoring and reporting, risk management, workforce management, information management and asset management.</w:t>
      </w:r>
    </w:p>
    <w:p w:rsidR="00260042" w:rsidRDefault="00260042" w:rsidP="00260042">
      <w:pPr>
        <w:pStyle w:val="BodyText"/>
        <w:spacing w:after="57"/>
      </w:pPr>
      <w:proofErr w:type="gramStart"/>
      <w:r>
        <w:t>The Enterprise Business and Risk Committee is supported by three sub-groups</w:t>
      </w:r>
      <w:proofErr w:type="gramEnd"/>
      <w:r>
        <w:t>:</w:t>
      </w:r>
    </w:p>
    <w:p w:rsidR="00260042" w:rsidRDefault="00260042" w:rsidP="008930A3">
      <w:pPr>
        <w:pStyle w:val="ListBullet"/>
      </w:pPr>
      <w:r>
        <w:rPr>
          <w:rStyle w:val="Bold"/>
        </w:rPr>
        <w:t>Customer Sub-Group:</w:t>
      </w:r>
      <w:r>
        <w:t xml:space="preserve"> Chaired by Deputy CEO Customer Service Design, this sub-group considers customer experience and service delivery performance.</w:t>
      </w:r>
    </w:p>
    <w:p w:rsidR="00260042" w:rsidRDefault="00260042" w:rsidP="008930A3">
      <w:pPr>
        <w:pStyle w:val="ListBullet"/>
      </w:pPr>
      <w:r>
        <w:rPr>
          <w:rStyle w:val="Bold"/>
        </w:rPr>
        <w:t xml:space="preserve">People Sub-Group: </w:t>
      </w:r>
      <w:r>
        <w:t>Chaired by the Chief Operating Officer, the sub-group considers workforce management, performance, and capability, and workplace health and safety.</w:t>
      </w:r>
    </w:p>
    <w:p w:rsidR="00260042" w:rsidRDefault="00260042" w:rsidP="00EA5510">
      <w:pPr>
        <w:pStyle w:val="ListBullet"/>
      </w:pPr>
      <w:r>
        <w:rPr>
          <w:rStyle w:val="Bold"/>
        </w:rPr>
        <w:t xml:space="preserve">Security Sub-Group: </w:t>
      </w:r>
      <w:r>
        <w:t>Chaired by the Chief Operating Officer, the sub-group considers security, fraud, and privacy risk management.</w:t>
      </w:r>
    </w:p>
    <w:p w:rsidR="00260042" w:rsidRDefault="00260042" w:rsidP="002E64CE">
      <w:pPr>
        <w:pStyle w:val="Heading3"/>
      </w:pPr>
      <w:r>
        <w:t>Transformation and Integration Committee</w:t>
      </w:r>
    </w:p>
    <w:p w:rsidR="00260042" w:rsidRDefault="00260042" w:rsidP="00260042">
      <w:pPr>
        <w:pStyle w:val="BodyText"/>
      </w:pPr>
      <w:r>
        <w:t>The Transformation and Integration Committee, chaired by Deputy CEO Strategy and Performance, oversees the agency’s development of future capabilities and progress against key priorities. It ensures that implementation of the agency’s strategic plan and delivery of key projects are on track.</w:t>
      </w:r>
    </w:p>
    <w:p w:rsidR="00260042" w:rsidRDefault="00260042" w:rsidP="00260042">
      <w:pPr>
        <w:pStyle w:val="BodyText"/>
      </w:pPr>
      <w:r>
        <w:t>Its remit includes progress against strategic and whole-of-government priorities, ministerial priorities, budget measures, policy changes and major projects.</w:t>
      </w:r>
    </w:p>
    <w:p w:rsidR="00260042" w:rsidRDefault="00260042" w:rsidP="00260042">
      <w:pPr>
        <w:pStyle w:val="BodyText"/>
        <w:spacing w:after="57"/>
      </w:pPr>
      <w:proofErr w:type="gramStart"/>
      <w:r>
        <w:t>The Transformation and Integration Committee is supported by three sub-groups</w:t>
      </w:r>
      <w:proofErr w:type="gramEnd"/>
      <w:r>
        <w:t>:</w:t>
      </w:r>
    </w:p>
    <w:p w:rsidR="00260042" w:rsidRDefault="00260042" w:rsidP="008930A3">
      <w:pPr>
        <w:pStyle w:val="ListBullet"/>
      </w:pPr>
      <w:r>
        <w:rPr>
          <w:rStyle w:val="Bold"/>
        </w:rPr>
        <w:t>Enterprise Automation and Digital Delivery Board:</w:t>
      </w:r>
      <w:r>
        <w:t xml:space="preserve"> Chaired by Deputy CEO Transformation Projects, the board oversees the agency’s digital and automation initiatives.</w:t>
      </w:r>
    </w:p>
    <w:p w:rsidR="00260042" w:rsidRDefault="00260042" w:rsidP="008930A3">
      <w:pPr>
        <w:pStyle w:val="ListBullet"/>
      </w:pPr>
      <w:r>
        <w:rPr>
          <w:rStyle w:val="Bold"/>
        </w:rPr>
        <w:t>Portfolio Management Steering Group:</w:t>
      </w:r>
      <w:r>
        <w:t xml:space="preserve"> Chaired by the General Manager Enterprise Portfolio Management Office, the steering group oversees the delivery of the agency’s registered projects.</w:t>
      </w:r>
    </w:p>
    <w:p w:rsidR="00260042" w:rsidRDefault="00260042" w:rsidP="00EA5510">
      <w:pPr>
        <w:pStyle w:val="ListBullet"/>
      </w:pPr>
      <w:r>
        <w:rPr>
          <w:rStyle w:val="Bold"/>
        </w:rPr>
        <w:t>Strategic Data and Analytics Sub-Group:</w:t>
      </w:r>
      <w:r>
        <w:t xml:space="preserve"> Chaired by the Chief Data Officer, the sub-group oversees data and analytics within the agency.</w:t>
      </w:r>
    </w:p>
    <w:p w:rsidR="00260042" w:rsidRDefault="00260042" w:rsidP="00C81689">
      <w:pPr>
        <w:pStyle w:val="Heading2"/>
        <w:rPr>
          <w:rFonts w:ascii="Roboto Lt" w:hAnsi="Roboto Lt" w:cs="Roboto Lt"/>
          <w:caps/>
          <w:sz w:val="22"/>
          <w:szCs w:val="22"/>
        </w:rPr>
      </w:pPr>
      <w:r>
        <w:t>Audit and Risk Committee</w:t>
      </w:r>
    </w:p>
    <w:p w:rsidR="00260042" w:rsidRDefault="00260042" w:rsidP="00260042">
      <w:pPr>
        <w:pStyle w:val="BodyText"/>
      </w:pPr>
      <w:r>
        <w:t xml:space="preserve">The Audit and Risk Committee provides independent advice to the accountable authority, that is, the CEO, regarding the appropriateness of the agency’s financial reporting, performance reporting, system of risk oversight and management, and the system of internal control consistent with the PGPA Rule. The functions of the Audit and Risk Committee </w:t>
      </w:r>
      <w:proofErr w:type="gramStart"/>
      <w:r>
        <w:t>are detailed</w:t>
      </w:r>
      <w:proofErr w:type="gramEnd"/>
      <w:r>
        <w:t xml:space="preserve"> in its charter. For the charter see: </w:t>
      </w:r>
      <w:r>
        <w:rPr>
          <w:rStyle w:val="Bold"/>
        </w:rPr>
        <w:t>servicesaustralia.gov.au/sites/default/files/audit-and-risk-committee-charter-140421.pdf</w:t>
      </w:r>
    </w:p>
    <w:p w:rsidR="00260042" w:rsidRDefault="00260042" w:rsidP="00260042">
      <w:pPr>
        <w:pStyle w:val="BodyText"/>
      </w:pPr>
      <w:r>
        <w:t xml:space="preserve">The Audit and Risk Committee has an independent Chair, Jennifer Clark, and </w:t>
      </w:r>
      <w:proofErr w:type="gramStart"/>
      <w:r>
        <w:t>3</w:t>
      </w:r>
      <w:proofErr w:type="gramEnd"/>
      <w:r>
        <w:t xml:space="preserve"> independent members. In October 2020, in anticipation of the PGPA Rule requirement from 1 July 2021 that no members of the audit committee be officials of the agency, Audit and Risk Committee membership </w:t>
      </w:r>
      <w:proofErr w:type="gramStart"/>
      <w:r>
        <w:t>was revised</w:t>
      </w:r>
      <w:proofErr w:type="gramEnd"/>
      <w:r>
        <w:t xml:space="preserve"> to comprise all independent members. The Chief Operating Officer and General Manager Health Programs </w:t>
      </w:r>
      <w:proofErr w:type="gramStart"/>
      <w:r>
        <w:t>were appointed</w:t>
      </w:r>
      <w:proofErr w:type="gramEnd"/>
      <w:r>
        <w:t xml:space="preserve"> as permanent Senior Advisers to the Audit and Risk Committee. The Chief Audit Executive and Chief Financial Officer are both Advisers to the Audit and </w:t>
      </w:r>
      <w:r>
        <w:lastRenderedPageBreak/>
        <w:t>Risk Committee. Representatives of the Australian National Audit Office (ANAO) also attend the committee’s meetings.</w:t>
      </w:r>
    </w:p>
    <w:p w:rsidR="00260042" w:rsidRDefault="00260042" w:rsidP="00260042">
      <w:pPr>
        <w:pStyle w:val="BodyText"/>
      </w:pPr>
      <w:r>
        <w:t xml:space="preserve">The qualifications, knowledge, skills, experience and remuneration of current committee members </w:t>
      </w:r>
      <w:proofErr w:type="gramStart"/>
      <w:r>
        <w:t>are detailed</w:t>
      </w:r>
      <w:proofErr w:type="gramEnd"/>
      <w:r>
        <w:t xml:space="preserve"> in Table 35.</w:t>
      </w:r>
    </w:p>
    <w:p w:rsidR="00260042" w:rsidRPr="00EA5510" w:rsidRDefault="009B789E" w:rsidP="00EA5510">
      <w:pPr>
        <w:pStyle w:val="BodyText"/>
        <w:rPr>
          <w:b/>
        </w:rPr>
      </w:pPr>
      <w:r>
        <w:rPr>
          <w:rStyle w:val="Bold"/>
          <w:bCs w:val="0"/>
        </w:rPr>
        <w:t>Table 3</w:t>
      </w:r>
      <w:r>
        <w:rPr>
          <w:rStyle w:val="Bold"/>
          <w:bCs w:val="0"/>
        </w:rPr>
        <w:t>5</w:t>
      </w:r>
      <w:r w:rsidR="00260042" w:rsidRPr="00EA5510">
        <w:rPr>
          <w:b/>
        </w:rPr>
        <w:t xml:space="preserve"> Audit and Risk Committee membership 2020–21</w:t>
      </w:r>
    </w:p>
    <w:tbl>
      <w:tblPr>
        <w:tblStyle w:val="TableGrid"/>
        <w:tblW w:w="5000" w:type="pct"/>
        <w:tblLook w:val="0000" w:firstRow="0" w:lastRow="0" w:firstColumn="0" w:lastColumn="0" w:noHBand="0" w:noVBand="0"/>
        <w:tblCaption w:val=" Audit and Risk Committee membership 2020–21"/>
      </w:tblPr>
      <w:tblGrid>
        <w:gridCol w:w="5354"/>
        <w:gridCol w:w="2719"/>
        <w:gridCol w:w="2717"/>
      </w:tblGrid>
      <w:tr w:rsidR="00260042" w:rsidTr="00BB4BCE">
        <w:trPr>
          <w:trHeight w:val="60"/>
          <w:tblHeader/>
        </w:trPr>
        <w:tc>
          <w:tcPr>
            <w:tcW w:w="2481" w:type="pct"/>
          </w:tcPr>
          <w:p w:rsidR="00260042" w:rsidRPr="00BB4BCE" w:rsidRDefault="00260042" w:rsidP="00BB4BCE">
            <w:pPr>
              <w:pStyle w:val="BodyText"/>
              <w:rPr>
                <w:b/>
              </w:rPr>
            </w:pPr>
            <w:r w:rsidRPr="00BB4BCE">
              <w:rPr>
                <w:rStyle w:val="Bold"/>
                <w:sz w:val="18"/>
                <w:szCs w:val="18"/>
              </w:rPr>
              <w:t>Member name: qualifications, knowledge, skills or experience</w:t>
            </w:r>
          </w:p>
        </w:tc>
        <w:tc>
          <w:tcPr>
            <w:tcW w:w="1260" w:type="pct"/>
          </w:tcPr>
          <w:p w:rsidR="00260042" w:rsidRPr="00BB4BCE" w:rsidRDefault="00260042" w:rsidP="00BB4BCE">
            <w:pPr>
              <w:pStyle w:val="BodyText"/>
              <w:rPr>
                <w:b/>
              </w:rPr>
            </w:pPr>
            <w:r w:rsidRPr="00BB4BCE">
              <w:rPr>
                <w:rStyle w:val="Bulletcolour"/>
                <w:b/>
                <w:sz w:val="18"/>
                <w:szCs w:val="18"/>
              </w:rPr>
              <w:t xml:space="preserve">Number of meetings attended </w:t>
            </w:r>
          </w:p>
        </w:tc>
        <w:tc>
          <w:tcPr>
            <w:tcW w:w="1260" w:type="pct"/>
          </w:tcPr>
          <w:p w:rsidR="00260042" w:rsidRPr="00BB4BCE" w:rsidRDefault="00260042" w:rsidP="00BB4BCE">
            <w:pPr>
              <w:pStyle w:val="BodyText"/>
              <w:rPr>
                <w:rStyle w:val="Bulletcolour"/>
                <w:b/>
                <w:sz w:val="18"/>
                <w:szCs w:val="18"/>
              </w:rPr>
            </w:pPr>
            <w:r w:rsidRPr="00BB4BCE">
              <w:rPr>
                <w:rStyle w:val="Bulletcolour"/>
                <w:b/>
                <w:sz w:val="18"/>
                <w:szCs w:val="18"/>
              </w:rPr>
              <w:t>Total annual remuneration</w:t>
            </w:r>
          </w:p>
          <w:p w:rsidR="00260042" w:rsidRPr="00BB4BCE" w:rsidRDefault="00260042" w:rsidP="00BB4BCE">
            <w:pPr>
              <w:pStyle w:val="BodyText"/>
              <w:rPr>
                <w:b/>
              </w:rPr>
            </w:pPr>
            <w:r w:rsidRPr="00BB4BCE">
              <w:rPr>
                <w:rStyle w:val="Bulletcolour"/>
                <w:b/>
                <w:sz w:val="18"/>
                <w:szCs w:val="18"/>
              </w:rPr>
              <w:t>$ (excluding GST)</w:t>
            </w:r>
          </w:p>
        </w:tc>
      </w:tr>
      <w:tr w:rsidR="00260042" w:rsidTr="00BB4BCE">
        <w:trPr>
          <w:trHeight w:val="60"/>
        </w:trPr>
        <w:tc>
          <w:tcPr>
            <w:tcW w:w="2481" w:type="pct"/>
          </w:tcPr>
          <w:p w:rsidR="00260042" w:rsidRDefault="00260042" w:rsidP="00BB4BCE">
            <w:pPr>
              <w:pStyle w:val="BodyText"/>
              <w:rPr>
                <w:rStyle w:val="Bulletcolour"/>
                <w:sz w:val="18"/>
                <w:szCs w:val="18"/>
              </w:rPr>
            </w:pPr>
            <w:r>
              <w:rPr>
                <w:rStyle w:val="Bold"/>
                <w:sz w:val="18"/>
                <w:szCs w:val="18"/>
              </w:rPr>
              <w:t>Jennifer Clark (Chair)</w:t>
            </w:r>
          </w:p>
          <w:p w:rsidR="00260042" w:rsidRDefault="00260042" w:rsidP="00BB4BCE">
            <w:pPr>
              <w:pStyle w:val="BodyText"/>
              <w:rPr>
                <w:rStyle w:val="Bulletcolour"/>
                <w:sz w:val="18"/>
                <w:szCs w:val="18"/>
              </w:rPr>
            </w:pPr>
            <w:r>
              <w:rPr>
                <w:rStyle w:val="Bulletcolour"/>
                <w:sz w:val="18"/>
                <w:szCs w:val="18"/>
              </w:rPr>
              <w:t>Ms Clark has an extensive background in business, finance and governance through a career as an investment banker and as a non-executive director.</w:t>
            </w:r>
          </w:p>
          <w:p w:rsidR="00260042" w:rsidRDefault="00260042" w:rsidP="00BB4BCE">
            <w:pPr>
              <w:pStyle w:val="BodyText"/>
            </w:pPr>
            <w:r>
              <w:rPr>
                <w:rStyle w:val="Bulletcolour"/>
                <w:sz w:val="18"/>
                <w:szCs w:val="18"/>
              </w:rPr>
              <w:t>Ms Clark is an independent board director and she has been the chair or member of over 20 audit, risk and finance committees in the Australian Government and private sector over the past 30 years. Ms Clark is a Fellow of the Australian Institute of Company Directors and has substantial experience in financial and performance reporting, audit and risk management.</w:t>
            </w:r>
          </w:p>
        </w:tc>
        <w:tc>
          <w:tcPr>
            <w:tcW w:w="1260" w:type="pct"/>
          </w:tcPr>
          <w:p w:rsidR="00260042" w:rsidRDefault="00260042" w:rsidP="00BB4BCE">
            <w:pPr>
              <w:pStyle w:val="BodyText"/>
              <w:rPr>
                <w:rStyle w:val="Bulletcolour"/>
                <w:sz w:val="18"/>
                <w:szCs w:val="18"/>
              </w:rPr>
            </w:pPr>
            <w:r>
              <w:rPr>
                <w:rStyle w:val="Bulletcolour"/>
                <w:sz w:val="18"/>
                <w:szCs w:val="18"/>
              </w:rPr>
              <w:t>9 – Audit and Risk Committee meetings</w:t>
            </w:r>
          </w:p>
          <w:p w:rsidR="00260042" w:rsidRDefault="00260042" w:rsidP="00BB4BCE">
            <w:pPr>
              <w:pStyle w:val="BodyText"/>
              <w:rPr>
                <w:rStyle w:val="Bulletcolour"/>
                <w:sz w:val="18"/>
                <w:szCs w:val="18"/>
              </w:rPr>
            </w:pPr>
            <w:r>
              <w:rPr>
                <w:rStyle w:val="Bulletcolour"/>
                <w:sz w:val="18"/>
                <w:szCs w:val="18"/>
              </w:rPr>
              <w:t>3 – Financial Statements Sub-Committee meetings</w:t>
            </w:r>
          </w:p>
          <w:p w:rsidR="00260042" w:rsidRDefault="00260042" w:rsidP="00BB4BCE">
            <w:pPr>
              <w:pStyle w:val="BodyText"/>
              <w:rPr>
                <w:rStyle w:val="Bulletcolour"/>
                <w:sz w:val="18"/>
                <w:szCs w:val="18"/>
              </w:rPr>
            </w:pPr>
            <w:r>
              <w:rPr>
                <w:rStyle w:val="Bulletcolour"/>
                <w:sz w:val="18"/>
                <w:szCs w:val="18"/>
              </w:rPr>
              <w:t>4 – Audit Findings Sub-Committee meetings</w:t>
            </w:r>
          </w:p>
          <w:p w:rsidR="00260042" w:rsidRDefault="00260042" w:rsidP="00BB4BCE">
            <w:pPr>
              <w:pStyle w:val="BodyText"/>
            </w:pPr>
          </w:p>
        </w:tc>
        <w:tc>
          <w:tcPr>
            <w:tcW w:w="1260" w:type="pct"/>
          </w:tcPr>
          <w:p w:rsidR="00260042" w:rsidRDefault="00260042" w:rsidP="00BB4BCE">
            <w:pPr>
              <w:pStyle w:val="BodyText"/>
            </w:pPr>
            <w:r>
              <w:rPr>
                <w:rStyle w:val="Bulletcolour"/>
                <w:sz w:val="18"/>
                <w:szCs w:val="18"/>
              </w:rPr>
              <w:t>110,344.68</w:t>
            </w:r>
          </w:p>
        </w:tc>
      </w:tr>
      <w:tr w:rsidR="00260042" w:rsidTr="00BB4BCE">
        <w:trPr>
          <w:trHeight w:val="60"/>
        </w:trPr>
        <w:tc>
          <w:tcPr>
            <w:tcW w:w="2481" w:type="pct"/>
          </w:tcPr>
          <w:p w:rsidR="00260042" w:rsidRDefault="00260042" w:rsidP="00BB4BCE">
            <w:pPr>
              <w:pStyle w:val="BodyText"/>
              <w:rPr>
                <w:rStyle w:val="Bulletcolour"/>
                <w:sz w:val="18"/>
                <w:szCs w:val="18"/>
              </w:rPr>
            </w:pPr>
            <w:r>
              <w:rPr>
                <w:rStyle w:val="Bold"/>
                <w:sz w:val="18"/>
                <w:szCs w:val="18"/>
              </w:rPr>
              <w:t>Carol Lilley (Member, Chair of Financial Statements Sub-Committee)</w:t>
            </w:r>
          </w:p>
          <w:p w:rsidR="00260042" w:rsidRDefault="00260042" w:rsidP="00BB4BCE">
            <w:pPr>
              <w:pStyle w:val="BodyText"/>
              <w:rPr>
                <w:rStyle w:val="Bulletcolour"/>
                <w:sz w:val="18"/>
                <w:szCs w:val="18"/>
              </w:rPr>
            </w:pPr>
            <w:r>
              <w:rPr>
                <w:rStyle w:val="Bulletcolour"/>
                <w:sz w:val="18"/>
                <w:szCs w:val="18"/>
              </w:rPr>
              <w:t>Ms Lilley is an independent board director and chair or member of a number of Australian Government audit committees. She was a partner at PricewaterhouseCoopers and has over 20 years’ experience in financial statement audit, internal audit, and project and risk management, with a particular focus on government.</w:t>
            </w:r>
          </w:p>
          <w:p w:rsidR="00260042" w:rsidRDefault="00260042" w:rsidP="00BB4BCE">
            <w:pPr>
              <w:pStyle w:val="BodyText"/>
            </w:pPr>
            <w:r>
              <w:rPr>
                <w:rStyle w:val="Bulletcolour"/>
                <w:sz w:val="18"/>
                <w:szCs w:val="18"/>
              </w:rPr>
              <w:t>Ms Lilley holds a Bachelor of Commerce from the University of Western Australia. She is a graduate of the Australian Institute of Company Directors, a Fellow of Chartered Accountants Australia and New Zealand, a certified internal auditor, and was a registered company auditor.</w:t>
            </w:r>
          </w:p>
        </w:tc>
        <w:tc>
          <w:tcPr>
            <w:tcW w:w="1260" w:type="pct"/>
          </w:tcPr>
          <w:p w:rsidR="00260042" w:rsidRDefault="00260042" w:rsidP="00BB4BCE">
            <w:pPr>
              <w:pStyle w:val="BodyText"/>
              <w:rPr>
                <w:rStyle w:val="Bulletcolour"/>
                <w:sz w:val="18"/>
                <w:szCs w:val="18"/>
              </w:rPr>
            </w:pPr>
            <w:r>
              <w:rPr>
                <w:rStyle w:val="Bulletcolour"/>
                <w:sz w:val="18"/>
                <w:szCs w:val="18"/>
              </w:rPr>
              <w:t>9 – Audit and Risk Committee meetings</w:t>
            </w:r>
          </w:p>
          <w:p w:rsidR="00260042" w:rsidRDefault="00260042" w:rsidP="00BB4BCE">
            <w:pPr>
              <w:pStyle w:val="BodyText"/>
              <w:rPr>
                <w:rStyle w:val="Bulletcolour"/>
                <w:sz w:val="18"/>
                <w:szCs w:val="18"/>
              </w:rPr>
            </w:pPr>
            <w:r>
              <w:rPr>
                <w:rStyle w:val="Bulletcolour"/>
                <w:sz w:val="18"/>
                <w:szCs w:val="18"/>
              </w:rPr>
              <w:t>3 – Financial Statements Sub-Committee meetings</w:t>
            </w:r>
          </w:p>
          <w:p w:rsidR="00260042" w:rsidRDefault="00260042" w:rsidP="00BB4BCE">
            <w:pPr>
              <w:pStyle w:val="BodyText"/>
              <w:rPr>
                <w:rStyle w:val="Bulletcolour"/>
                <w:sz w:val="18"/>
                <w:szCs w:val="18"/>
              </w:rPr>
            </w:pPr>
            <w:r>
              <w:rPr>
                <w:rStyle w:val="Bulletcolour"/>
                <w:sz w:val="18"/>
                <w:szCs w:val="18"/>
              </w:rPr>
              <w:t>2 – Audit Findings Sub-Committee meetings</w:t>
            </w:r>
          </w:p>
          <w:p w:rsidR="00260042" w:rsidRDefault="00260042" w:rsidP="00BB4BCE">
            <w:pPr>
              <w:pStyle w:val="BodyText"/>
            </w:pPr>
          </w:p>
        </w:tc>
        <w:tc>
          <w:tcPr>
            <w:tcW w:w="1260" w:type="pct"/>
          </w:tcPr>
          <w:p w:rsidR="00260042" w:rsidRDefault="00260042" w:rsidP="00BB4BCE">
            <w:pPr>
              <w:pStyle w:val="BodyText"/>
            </w:pPr>
            <w:r>
              <w:rPr>
                <w:rStyle w:val="Bulletcolour"/>
                <w:sz w:val="18"/>
                <w:szCs w:val="18"/>
              </w:rPr>
              <w:t>59,295.45</w:t>
            </w:r>
          </w:p>
        </w:tc>
      </w:tr>
      <w:tr w:rsidR="00260042" w:rsidTr="00BB4BCE">
        <w:trPr>
          <w:trHeight w:val="60"/>
        </w:trPr>
        <w:tc>
          <w:tcPr>
            <w:tcW w:w="2481" w:type="pct"/>
          </w:tcPr>
          <w:p w:rsidR="00260042" w:rsidRDefault="00260042" w:rsidP="00BB4BCE">
            <w:pPr>
              <w:pStyle w:val="BodyText"/>
              <w:rPr>
                <w:rStyle w:val="Bulletcolour"/>
                <w:sz w:val="18"/>
                <w:szCs w:val="18"/>
              </w:rPr>
            </w:pPr>
            <w:r>
              <w:rPr>
                <w:rStyle w:val="Bold"/>
                <w:sz w:val="18"/>
                <w:szCs w:val="18"/>
              </w:rPr>
              <w:t>Andrew Dix (Member)</w:t>
            </w:r>
          </w:p>
          <w:p w:rsidR="00260042" w:rsidRDefault="00260042" w:rsidP="00BB4BCE">
            <w:pPr>
              <w:pStyle w:val="BodyText"/>
              <w:rPr>
                <w:rStyle w:val="Bulletcolour"/>
                <w:sz w:val="18"/>
                <w:szCs w:val="18"/>
              </w:rPr>
            </w:pPr>
            <w:r>
              <w:rPr>
                <w:rStyle w:val="Bulletcolour"/>
                <w:sz w:val="18"/>
                <w:szCs w:val="18"/>
              </w:rPr>
              <w:t xml:space="preserve">Mr Dix holds the degree of Bachelor of Commerce, majoring in Accounting, Economics, and Commercial Law. Mr Dix was a board member of the Institute of Internal Auditors in Australia from 2005 to 2012, and served as National President from 2009 to 2011. </w:t>
            </w:r>
          </w:p>
          <w:p w:rsidR="00260042" w:rsidRDefault="00260042" w:rsidP="00BB4BCE">
            <w:pPr>
              <w:pStyle w:val="BodyText"/>
              <w:rPr>
                <w:rStyle w:val="Bulletcolour"/>
                <w:sz w:val="18"/>
                <w:szCs w:val="18"/>
              </w:rPr>
            </w:pPr>
            <w:r>
              <w:rPr>
                <w:rStyle w:val="Bulletcolour"/>
                <w:sz w:val="18"/>
                <w:szCs w:val="18"/>
              </w:rPr>
              <w:t xml:space="preserve">Mr Dix retired from Telstra Corporation as the Executive Director responsible for Risk Management and Internal Audit. He is now on the boards of the University of Technology, Western Leisure Services Pty Ltd and the Victorian Farmers Federation. He is also the Chair of the Bureau of Meteorology Audit and Risk Committee. </w:t>
            </w:r>
          </w:p>
          <w:p w:rsidR="00260042" w:rsidRDefault="00260042" w:rsidP="00BB4BCE">
            <w:pPr>
              <w:pStyle w:val="BodyText"/>
            </w:pPr>
            <w:r>
              <w:rPr>
                <w:rStyle w:val="Bulletcolour"/>
                <w:sz w:val="18"/>
                <w:szCs w:val="18"/>
              </w:rPr>
              <w:t>Mr Dix is a Fellow of the Institute of Chartered Accountants, a Certified Member of the Institute of Internal Auditors, and a Graduate Member of the Australian Institute of Company Directors.</w:t>
            </w:r>
          </w:p>
        </w:tc>
        <w:tc>
          <w:tcPr>
            <w:tcW w:w="1260" w:type="pct"/>
          </w:tcPr>
          <w:p w:rsidR="00260042" w:rsidRDefault="00260042" w:rsidP="00BB4BCE">
            <w:pPr>
              <w:pStyle w:val="BodyText"/>
              <w:rPr>
                <w:rStyle w:val="Bulletcolour"/>
                <w:sz w:val="18"/>
                <w:szCs w:val="18"/>
              </w:rPr>
            </w:pPr>
            <w:r>
              <w:rPr>
                <w:rStyle w:val="Bulletcolour"/>
                <w:sz w:val="18"/>
                <w:szCs w:val="18"/>
              </w:rPr>
              <w:t>8 – Audit and Risk Committee meetings</w:t>
            </w:r>
          </w:p>
          <w:p w:rsidR="00260042" w:rsidRDefault="00260042" w:rsidP="00BB4BCE">
            <w:pPr>
              <w:pStyle w:val="BodyText"/>
              <w:rPr>
                <w:rStyle w:val="Bulletcolour"/>
                <w:sz w:val="18"/>
                <w:szCs w:val="18"/>
              </w:rPr>
            </w:pPr>
            <w:r>
              <w:rPr>
                <w:rStyle w:val="Bulletcolour"/>
                <w:sz w:val="18"/>
                <w:szCs w:val="18"/>
              </w:rPr>
              <w:t>1 – Financial Statements Sub-Committee meeting</w:t>
            </w:r>
          </w:p>
          <w:p w:rsidR="00260042" w:rsidRDefault="00260042" w:rsidP="00BB4BCE">
            <w:pPr>
              <w:pStyle w:val="BodyText"/>
              <w:rPr>
                <w:rStyle w:val="Bulletcolour"/>
                <w:sz w:val="18"/>
                <w:szCs w:val="18"/>
              </w:rPr>
            </w:pPr>
            <w:r>
              <w:rPr>
                <w:rStyle w:val="Bulletcolour"/>
                <w:sz w:val="18"/>
                <w:szCs w:val="18"/>
              </w:rPr>
              <w:t>4 – Audit Findings Sub-Committee meetings</w:t>
            </w:r>
          </w:p>
          <w:p w:rsidR="00260042" w:rsidRDefault="00260042" w:rsidP="00BB4BCE">
            <w:pPr>
              <w:pStyle w:val="BodyText"/>
            </w:pPr>
          </w:p>
        </w:tc>
        <w:tc>
          <w:tcPr>
            <w:tcW w:w="1260" w:type="pct"/>
          </w:tcPr>
          <w:p w:rsidR="00260042" w:rsidRDefault="00260042" w:rsidP="00BB4BCE">
            <w:pPr>
              <w:pStyle w:val="BodyText"/>
            </w:pPr>
            <w:r>
              <w:rPr>
                <w:rStyle w:val="Bulletcolour"/>
                <w:sz w:val="18"/>
                <w:szCs w:val="18"/>
              </w:rPr>
              <w:t>46,227.25</w:t>
            </w:r>
          </w:p>
        </w:tc>
      </w:tr>
      <w:tr w:rsidR="00260042" w:rsidTr="00BB4BCE">
        <w:trPr>
          <w:trHeight w:val="60"/>
        </w:trPr>
        <w:tc>
          <w:tcPr>
            <w:tcW w:w="2481" w:type="pct"/>
          </w:tcPr>
          <w:p w:rsidR="00260042" w:rsidRDefault="00260042" w:rsidP="00BB4BCE">
            <w:pPr>
              <w:pStyle w:val="BodyText"/>
              <w:rPr>
                <w:rStyle w:val="Bulletcolour"/>
                <w:sz w:val="18"/>
                <w:szCs w:val="18"/>
              </w:rPr>
            </w:pPr>
            <w:proofErr w:type="spellStart"/>
            <w:r>
              <w:rPr>
                <w:rStyle w:val="Bold"/>
                <w:sz w:val="18"/>
                <w:szCs w:val="18"/>
              </w:rPr>
              <w:lastRenderedPageBreak/>
              <w:t>Shireane</w:t>
            </w:r>
            <w:proofErr w:type="spellEnd"/>
            <w:r>
              <w:rPr>
                <w:rStyle w:val="Bold"/>
                <w:sz w:val="18"/>
                <w:szCs w:val="18"/>
              </w:rPr>
              <w:t xml:space="preserve"> McKinnie PSM (Member)</w:t>
            </w:r>
          </w:p>
          <w:p w:rsidR="00260042" w:rsidRDefault="00260042" w:rsidP="00BB4BCE">
            <w:pPr>
              <w:pStyle w:val="BodyText"/>
              <w:rPr>
                <w:rStyle w:val="Bulletcolour"/>
                <w:sz w:val="18"/>
                <w:szCs w:val="18"/>
              </w:rPr>
            </w:pPr>
            <w:r>
              <w:rPr>
                <w:rStyle w:val="Bulletcolour"/>
                <w:sz w:val="18"/>
                <w:szCs w:val="18"/>
              </w:rPr>
              <w:t>Ms McKinnie has extensive experience in acquisition and sustainment of defence systems and governance of complex enterprises gained through many years of experience in senior executive leadership positions. She holds a number of governance positions in the public and private sectors as a board chair, director and audit committee member.</w:t>
            </w:r>
          </w:p>
          <w:p w:rsidR="00260042" w:rsidRDefault="00260042" w:rsidP="00BB4BCE">
            <w:pPr>
              <w:pStyle w:val="BodyText"/>
            </w:pPr>
            <w:r>
              <w:rPr>
                <w:rStyle w:val="Bulletcolour"/>
                <w:sz w:val="18"/>
                <w:szCs w:val="18"/>
              </w:rPr>
              <w:t xml:space="preserve">She </w:t>
            </w:r>
            <w:proofErr w:type="gramStart"/>
            <w:r>
              <w:rPr>
                <w:rStyle w:val="Bulletcolour"/>
                <w:sz w:val="18"/>
                <w:szCs w:val="18"/>
              </w:rPr>
              <w:t>was awarded</w:t>
            </w:r>
            <w:proofErr w:type="gramEnd"/>
            <w:r>
              <w:rPr>
                <w:rStyle w:val="Bulletcolour"/>
                <w:sz w:val="18"/>
                <w:szCs w:val="18"/>
              </w:rPr>
              <w:t xml:space="preserve"> the Public Service Medal for outstanding achievement in the field of engineering and defence acquisition, and an Honorary Fellowship of Engineers Australia for conspicuous service to the engineering profession. Ms McKinnie is a member of the Australian Institute of Company Directors.</w:t>
            </w:r>
          </w:p>
        </w:tc>
        <w:tc>
          <w:tcPr>
            <w:tcW w:w="1260" w:type="pct"/>
          </w:tcPr>
          <w:p w:rsidR="00260042" w:rsidRDefault="00260042" w:rsidP="00BB4BCE">
            <w:pPr>
              <w:pStyle w:val="BodyText"/>
              <w:rPr>
                <w:rStyle w:val="Bulletcolour"/>
                <w:sz w:val="18"/>
                <w:szCs w:val="18"/>
              </w:rPr>
            </w:pPr>
            <w:r>
              <w:rPr>
                <w:rStyle w:val="Bulletcolour"/>
                <w:sz w:val="18"/>
                <w:szCs w:val="18"/>
              </w:rPr>
              <w:t>9 – Audit and Risk Committee meetings</w:t>
            </w:r>
          </w:p>
          <w:p w:rsidR="00260042" w:rsidRDefault="00260042" w:rsidP="00BB4BCE">
            <w:pPr>
              <w:pStyle w:val="BodyText"/>
              <w:rPr>
                <w:rStyle w:val="Bulletcolour"/>
                <w:sz w:val="18"/>
                <w:szCs w:val="18"/>
              </w:rPr>
            </w:pPr>
            <w:r>
              <w:rPr>
                <w:rStyle w:val="Bulletcolour"/>
                <w:sz w:val="18"/>
                <w:szCs w:val="18"/>
              </w:rPr>
              <w:t>1 – Financial Statements Sub-Committee meeting</w:t>
            </w:r>
          </w:p>
          <w:p w:rsidR="00260042" w:rsidRDefault="00260042" w:rsidP="00BB4BCE">
            <w:pPr>
              <w:pStyle w:val="BodyText"/>
              <w:rPr>
                <w:rStyle w:val="Bulletcolour"/>
                <w:sz w:val="18"/>
                <w:szCs w:val="18"/>
              </w:rPr>
            </w:pPr>
            <w:r>
              <w:rPr>
                <w:rStyle w:val="Bulletcolour"/>
                <w:sz w:val="18"/>
                <w:szCs w:val="18"/>
              </w:rPr>
              <w:t>4 – Audit Findings Sub-Committee meetings</w:t>
            </w:r>
          </w:p>
          <w:p w:rsidR="00260042" w:rsidRDefault="00260042" w:rsidP="00BB4BCE">
            <w:pPr>
              <w:pStyle w:val="BodyText"/>
            </w:pPr>
          </w:p>
        </w:tc>
        <w:tc>
          <w:tcPr>
            <w:tcW w:w="1260" w:type="pct"/>
          </w:tcPr>
          <w:p w:rsidR="00260042" w:rsidRDefault="00260042" w:rsidP="00BB4BCE">
            <w:pPr>
              <w:pStyle w:val="BodyText"/>
            </w:pPr>
            <w:r>
              <w:rPr>
                <w:rStyle w:val="Bulletcolour"/>
                <w:sz w:val="18"/>
                <w:szCs w:val="18"/>
              </w:rPr>
              <w:t>42,636.35</w:t>
            </w:r>
          </w:p>
        </w:tc>
      </w:tr>
      <w:tr w:rsidR="00260042" w:rsidTr="00BB4BCE">
        <w:trPr>
          <w:trHeight w:val="60"/>
        </w:trPr>
        <w:tc>
          <w:tcPr>
            <w:tcW w:w="2481" w:type="pct"/>
          </w:tcPr>
          <w:p w:rsidR="00260042" w:rsidRDefault="00260042" w:rsidP="00BB4BCE">
            <w:pPr>
              <w:pStyle w:val="BodyText"/>
            </w:pPr>
            <w:r>
              <w:rPr>
                <w:rStyle w:val="Bold"/>
                <w:sz w:val="18"/>
                <w:szCs w:val="18"/>
              </w:rPr>
              <w:t>Former Services Australia members</w:t>
            </w:r>
          </w:p>
        </w:tc>
        <w:tc>
          <w:tcPr>
            <w:tcW w:w="1260" w:type="pct"/>
          </w:tcPr>
          <w:p w:rsidR="00260042" w:rsidRDefault="00260042" w:rsidP="00BB4BCE">
            <w:pPr>
              <w:pStyle w:val="BodyText"/>
              <w:rPr>
                <w:rFonts w:ascii="Roboto Lt" w:hAnsi="Roboto Lt"/>
              </w:rPr>
            </w:pPr>
          </w:p>
        </w:tc>
        <w:tc>
          <w:tcPr>
            <w:tcW w:w="1260" w:type="pct"/>
          </w:tcPr>
          <w:p w:rsidR="00260042" w:rsidRDefault="00260042" w:rsidP="00BB4BCE">
            <w:pPr>
              <w:pStyle w:val="BodyText"/>
              <w:rPr>
                <w:rFonts w:ascii="Roboto Lt" w:hAnsi="Roboto Lt"/>
              </w:rPr>
            </w:pPr>
          </w:p>
        </w:tc>
      </w:tr>
      <w:tr w:rsidR="00260042" w:rsidTr="00BB4BCE">
        <w:trPr>
          <w:trHeight w:val="60"/>
        </w:trPr>
        <w:tc>
          <w:tcPr>
            <w:tcW w:w="2481" w:type="pct"/>
          </w:tcPr>
          <w:p w:rsidR="00260042" w:rsidRDefault="00260042" w:rsidP="00BB4BCE">
            <w:pPr>
              <w:pStyle w:val="BodyText"/>
            </w:pPr>
            <w:r>
              <w:rPr>
                <w:rStyle w:val="Bold"/>
                <w:sz w:val="18"/>
                <w:szCs w:val="18"/>
              </w:rPr>
              <w:t xml:space="preserve">Annette </w:t>
            </w:r>
            <w:proofErr w:type="spellStart"/>
            <w:r>
              <w:rPr>
                <w:rStyle w:val="Bold"/>
                <w:sz w:val="18"/>
                <w:szCs w:val="18"/>
              </w:rPr>
              <w:t>Musolino</w:t>
            </w:r>
            <w:proofErr w:type="spellEnd"/>
            <w:r>
              <w:rPr>
                <w:rStyle w:val="Bold"/>
                <w:sz w:val="18"/>
                <w:szCs w:val="18"/>
              </w:rPr>
              <w:t xml:space="preserve">, Chief Operating Officer </w:t>
            </w:r>
          </w:p>
          <w:p w:rsidR="00260042" w:rsidRDefault="00260042" w:rsidP="00BB4BCE">
            <w:pPr>
              <w:pStyle w:val="BodyText"/>
            </w:pPr>
            <w:r>
              <w:t>(September 2020 to October 2020)</w:t>
            </w:r>
          </w:p>
          <w:p w:rsidR="00260042" w:rsidRDefault="00260042" w:rsidP="00BB4BCE">
            <w:pPr>
              <w:pStyle w:val="BodyText"/>
            </w:pPr>
            <w:r>
              <w:t xml:space="preserve">As Chief Operating Officer Annette </w:t>
            </w:r>
            <w:proofErr w:type="spellStart"/>
            <w:r>
              <w:t>Musolino</w:t>
            </w:r>
            <w:proofErr w:type="spellEnd"/>
            <w:r>
              <w:t xml:space="preserve"> is responsible for the agency’s corporate functions including finance, human resources, audit, legal, property and procurement. She </w:t>
            </w:r>
            <w:proofErr w:type="gramStart"/>
            <w:r>
              <w:t>was appointed</w:t>
            </w:r>
            <w:proofErr w:type="gramEnd"/>
            <w:r>
              <w:t xml:space="preserve"> Chief Operating Officer in September 2020.</w:t>
            </w:r>
          </w:p>
        </w:tc>
        <w:tc>
          <w:tcPr>
            <w:tcW w:w="1260" w:type="pct"/>
          </w:tcPr>
          <w:p w:rsidR="00260042" w:rsidRDefault="00260042" w:rsidP="00BB4BCE">
            <w:pPr>
              <w:pStyle w:val="BodyText"/>
            </w:pPr>
            <w:r>
              <w:rPr>
                <w:rStyle w:val="Bulletcolour"/>
                <w:sz w:val="18"/>
                <w:szCs w:val="18"/>
              </w:rPr>
              <w:t>1 – Audit and Risk Committee meeting</w:t>
            </w:r>
          </w:p>
        </w:tc>
        <w:tc>
          <w:tcPr>
            <w:tcW w:w="1260" w:type="pct"/>
          </w:tcPr>
          <w:p w:rsidR="00260042" w:rsidRDefault="00260042" w:rsidP="00BB4BCE">
            <w:pPr>
              <w:pStyle w:val="BodyText"/>
            </w:pPr>
            <w:r>
              <w:rPr>
                <w:rStyle w:val="Bulletcolour"/>
                <w:sz w:val="18"/>
                <w:szCs w:val="18"/>
              </w:rPr>
              <w:t>0</w:t>
            </w:r>
            <w:r>
              <w:rPr>
                <w:rStyle w:val="Bulletcolour"/>
                <w:sz w:val="18"/>
                <w:szCs w:val="18"/>
                <w:vertAlign w:val="superscript"/>
              </w:rPr>
              <w:t>(a)</w:t>
            </w:r>
          </w:p>
        </w:tc>
      </w:tr>
      <w:tr w:rsidR="00260042" w:rsidTr="00BB4BCE">
        <w:trPr>
          <w:trHeight w:val="60"/>
        </w:trPr>
        <w:tc>
          <w:tcPr>
            <w:tcW w:w="2481" w:type="pct"/>
          </w:tcPr>
          <w:p w:rsidR="00260042" w:rsidRDefault="00260042" w:rsidP="00BB4BCE">
            <w:pPr>
              <w:pStyle w:val="BodyText"/>
            </w:pPr>
            <w:r>
              <w:rPr>
                <w:rStyle w:val="Bold"/>
                <w:sz w:val="18"/>
                <w:szCs w:val="18"/>
              </w:rPr>
              <w:t>Amanda Cattermole PSM, Chief Operating Officer</w:t>
            </w:r>
          </w:p>
          <w:p w:rsidR="00260042" w:rsidRDefault="00260042" w:rsidP="00BB4BCE">
            <w:pPr>
              <w:pStyle w:val="BodyText"/>
            </w:pPr>
            <w:r>
              <w:t>(March 2020 to August 2020)</w:t>
            </w:r>
          </w:p>
          <w:p w:rsidR="00260042" w:rsidRDefault="00260042" w:rsidP="00BB4BCE">
            <w:pPr>
              <w:pStyle w:val="BodyText"/>
            </w:pPr>
            <w:r>
              <w:t>Appointed as the Chief Operating Officer on 27 March 2020, Amanda Cattermole was responsible for the agency’s governance, ministerial and parliamentary services and corporate functions, including finance, human resources, audit, legal, property and procurement.</w:t>
            </w:r>
          </w:p>
        </w:tc>
        <w:tc>
          <w:tcPr>
            <w:tcW w:w="1260" w:type="pct"/>
          </w:tcPr>
          <w:p w:rsidR="00260042" w:rsidRDefault="00260042" w:rsidP="00BB4BCE">
            <w:pPr>
              <w:pStyle w:val="BodyText"/>
              <w:rPr>
                <w:rStyle w:val="Bulletcolour"/>
                <w:sz w:val="18"/>
                <w:szCs w:val="18"/>
              </w:rPr>
            </w:pPr>
            <w:r>
              <w:rPr>
                <w:rStyle w:val="Bulletcolour"/>
                <w:sz w:val="18"/>
                <w:szCs w:val="18"/>
              </w:rPr>
              <w:t xml:space="preserve">3 – Audit and Risk Committee meetings </w:t>
            </w:r>
          </w:p>
          <w:p w:rsidR="00260042" w:rsidRDefault="00260042" w:rsidP="00BB4BCE">
            <w:pPr>
              <w:pStyle w:val="BodyText"/>
              <w:rPr>
                <w:rStyle w:val="Bulletcolour"/>
                <w:sz w:val="18"/>
                <w:szCs w:val="18"/>
              </w:rPr>
            </w:pPr>
            <w:r>
              <w:rPr>
                <w:rStyle w:val="Bulletcolour"/>
                <w:sz w:val="18"/>
                <w:szCs w:val="18"/>
              </w:rPr>
              <w:t xml:space="preserve">1 – Financial Statements Sub-Committee meeting </w:t>
            </w:r>
          </w:p>
          <w:p w:rsidR="00260042" w:rsidRDefault="00260042" w:rsidP="00BB4BCE">
            <w:pPr>
              <w:pStyle w:val="BodyText"/>
            </w:pPr>
          </w:p>
        </w:tc>
        <w:tc>
          <w:tcPr>
            <w:tcW w:w="1260" w:type="pct"/>
          </w:tcPr>
          <w:p w:rsidR="00260042" w:rsidRDefault="00260042" w:rsidP="00BB4BCE">
            <w:pPr>
              <w:pStyle w:val="BodyText"/>
            </w:pPr>
            <w:r>
              <w:rPr>
                <w:rStyle w:val="Bulletcolour"/>
                <w:sz w:val="18"/>
                <w:szCs w:val="18"/>
              </w:rPr>
              <w:t>0</w:t>
            </w:r>
            <w:r>
              <w:rPr>
                <w:rStyle w:val="Bulletcolour"/>
                <w:sz w:val="18"/>
                <w:szCs w:val="18"/>
                <w:vertAlign w:val="superscript"/>
              </w:rPr>
              <w:t>(a)</w:t>
            </w:r>
          </w:p>
        </w:tc>
      </w:tr>
      <w:tr w:rsidR="00260042" w:rsidTr="00BB4BCE">
        <w:trPr>
          <w:trHeight w:val="60"/>
        </w:trPr>
        <w:tc>
          <w:tcPr>
            <w:tcW w:w="2481" w:type="pct"/>
          </w:tcPr>
          <w:p w:rsidR="00260042" w:rsidRDefault="00260042" w:rsidP="00BB4BCE">
            <w:pPr>
              <w:pStyle w:val="BodyText"/>
            </w:pPr>
            <w:r>
              <w:rPr>
                <w:rStyle w:val="Bold"/>
                <w:sz w:val="18"/>
                <w:szCs w:val="18"/>
              </w:rPr>
              <w:t>Paul Creech, General Manager Health Programs</w:t>
            </w:r>
          </w:p>
          <w:p w:rsidR="00260042" w:rsidRDefault="00260042" w:rsidP="00BB4BCE">
            <w:pPr>
              <w:pStyle w:val="BodyText"/>
            </w:pPr>
            <w:r>
              <w:t>(July 2020 to October 2020)</w:t>
            </w:r>
          </w:p>
          <w:p w:rsidR="00260042" w:rsidRDefault="00260042" w:rsidP="00BB4BCE">
            <w:pPr>
              <w:pStyle w:val="BodyText"/>
            </w:pPr>
            <w:r>
              <w:t>Paul Creech was responsible for the agency’s health programs and payments, including aged care, Medicare, the Pharmaceutical Benefits Scheme, private health insurance, the Australian Immunisation Register, the Practice Incentives Program, and a range of speciality health programs.</w:t>
            </w:r>
          </w:p>
        </w:tc>
        <w:tc>
          <w:tcPr>
            <w:tcW w:w="1260" w:type="pct"/>
          </w:tcPr>
          <w:p w:rsidR="00260042" w:rsidRDefault="00260042" w:rsidP="00BB4BCE">
            <w:pPr>
              <w:pStyle w:val="BodyText"/>
              <w:rPr>
                <w:rStyle w:val="Bulletcolour"/>
                <w:sz w:val="18"/>
                <w:szCs w:val="18"/>
              </w:rPr>
            </w:pPr>
            <w:r>
              <w:rPr>
                <w:rStyle w:val="Bulletcolour"/>
                <w:sz w:val="18"/>
                <w:szCs w:val="18"/>
              </w:rPr>
              <w:t>4 – Audit and Risk Committee meetings</w:t>
            </w:r>
          </w:p>
          <w:p w:rsidR="00260042" w:rsidRDefault="00260042" w:rsidP="00BB4BCE">
            <w:pPr>
              <w:pStyle w:val="BodyText"/>
              <w:rPr>
                <w:rStyle w:val="Bulletcolour"/>
                <w:sz w:val="18"/>
                <w:szCs w:val="18"/>
              </w:rPr>
            </w:pPr>
            <w:r>
              <w:rPr>
                <w:rStyle w:val="Bulletcolour"/>
                <w:sz w:val="18"/>
                <w:szCs w:val="18"/>
              </w:rPr>
              <w:t xml:space="preserve">1 – Financial Statements Sub-Committee meeting </w:t>
            </w:r>
          </w:p>
          <w:p w:rsidR="00260042" w:rsidRDefault="00260042" w:rsidP="00BB4BCE">
            <w:pPr>
              <w:pStyle w:val="BodyText"/>
            </w:pPr>
          </w:p>
        </w:tc>
        <w:tc>
          <w:tcPr>
            <w:tcW w:w="1260" w:type="pct"/>
          </w:tcPr>
          <w:p w:rsidR="00260042" w:rsidRDefault="00260042" w:rsidP="00BB4BCE">
            <w:pPr>
              <w:pStyle w:val="BodyText"/>
            </w:pPr>
            <w:r>
              <w:rPr>
                <w:rStyle w:val="Bulletcolour"/>
                <w:sz w:val="18"/>
                <w:szCs w:val="18"/>
              </w:rPr>
              <w:t>0</w:t>
            </w:r>
            <w:r>
              <w:rPr>
                <w:rStyle w:val="Bulletcolour"/>
                <w:sz w:val="18"/>
                <w:szCs w:val="18"/>
                <w:vertAlign w:val="superscript"/>
              </w:rPr>
              <w:t>(a)</w:t>
            </w:r>
          </w:p>
        </w:tc>
      </w:tr>
      <w:tr w:rsidR="00260042" w:rsidTr="00BB4BCE">
        <w:trPr>
          <w:trHeight w:val="60"/>
        </w:trPr>
        <w:tc>
          <w:tcPr>
            <w:tcW w:w="2481" w:type="pct"/>
          </w:tcPr>
          <w:p w:rsidR="00260042" w:rsidRDefault="00260042" w:rsidP="00BB4BCE">
            <w:pPr>
              <w:pStyle w:val="BodyText"/>
            </w:pPr>
            <w:r>
              <w:rPr>
                <w:rStyle w:val="Bold"/>
                <w:sz w:val="18"/>
                <w:szCs w:val="18"/>
              </w:rPr>
              <w:lastRenderedPageBreak/>
              <w:t>Robert Higgins, Acting Chief Operating Officer</w:t>
            </w:r>
          </w:p>
          <w:p w:rsidR="00260042" w:rsidRDefault="00260042" w:rsidP="00BB4BCE">
            <w:pPr>
              <w:pStyle w:val="BodyText"/>
            </w:pPr>
            <w:r>
              <w:t>(July 2020)</w:t>
            </w:r>
          </w:p>
        </w:tc>
        <w:tc>
          <w:tcPr>
            <w:tcW w:w="1260" w:type="pct"/>
          </w:tcPr>
          <w:p w:rsidR="00260042" w:rsidRDefault="00260042" w:rsidP="00BB4BCE">
            <w:pPr>
              <w:pStyle w:val="BodyText"/>
            </w:pPr>
            <w:r>
              <w:rPr>
                <w:rStyle w:val="Bulletcolour"/>
                <w:sz w:val="18"/>
                <w:szCs w:val="18"/>
              </w:rPr>
              <w:t>1 – Audit and Risk Committee meeting</w:t>
            </w:r>
          </w:p>
        </w:tc>
        <w:tc>
          <w:tcPr>
            <w:tcW w:w="1260" w:type="pct"/>
          </w:tcPr>
          <w:p w:rsidR="00260042" w:rsidRDefault="00260042" w:rsidP="00BB4BCE">
            <w:pPr>
              <w:pStyle w:val="BodyText"/>
            </w:pPr>
            <w:r>
              <w:rPr>
                <w:rStyle w:val="Bulletcolour"/>
                <w:sz w:val="18"/>
                <w:szCs w:val="18"/>
              </w:rPr>
              <w:t>0</w:t>
            </w:r>
            <w:r>
              <w:rPr>
                <w:rStyle w:val="Bulletcolour"/>
                <w:sz w:val="18"/>
                <w:szCs w:val="18"/>
                <w:vertAlign w:val="superscript"/>
              </w:rPr>
              <w:t>(a)</w:t>
            </w:r>
          </w:p>
        </w:tc>
      </w:tr>
    </w:tbl>
    <w:p w:rsidR="00260042" w:rsidRDefault="00260042" w:rsidP="00EA5510">
      <w:pPr>
        <w:pStyle w:val="BodyText"/>
      </w:pPr>
      <w:r>
        <w:t>(a)</w:t>
      </w:r>
      <w:r>
        <w:tab/>
        <w:t xml:space="preserve">Australian public servants </w:t>
      </w:r>
      <w:proofErr w:type="gramStart"/>
      <w:r>
        <w:t>are not paid</w:t>
      </w:r>
      <w:proofErr w:type="gramEnd"/>
      <w:r>
        <w:t xml:space="preserve"> as committee members.</w:t>
      </w:r>
    </w:p>
    <w:p w:rsidR="00260042" w:rsidRDefault="00260042" w:rsidP="002E64CE">
      <w:pPr>
        <w:pStyle w:val="Heading3"/>
      </w:pPr>
      <w:r>
        <w:t>Financial Statements Sub-Committee</w:t>
      </w:r>
    </w:p>
    <w:p w:rsidR="00260042" w:rsidRDefault="00260042" w:rsidP="00260042">
      <w:pPr>
        <w:pStyle w:val="BodyText"/>
      </w:pPr>
      <w:r>
        <w:t>The Financial Statements Sub-Committee is a sub-committee reporting to the Audit and Risk Committee. The sub-committee has an independent Chair, Carol Lilley, who is a member of the Audit and Risk Committee. The other member of the Sub-Committee is the General Manager Health Programs who was an internal member of the Audit and Risk Committee before becoming a permanent Senior Adviser to the committee. The Chair of the Audit and Risk Committee attended all meetings of the sub-committee as an observer. The sub-committee oversees the preparation of the agency’s annual financial statements, and broader financial matters. The sub-committee met 3 times during the year.</w:t>
      </w:r>
    </w:p>
    <w:p w:rsidR="00260042" w:rsidRDefault="00260042" w:rsidP="002E64CE">
      <w:pPr>
        <w:pStyle w:val="Heading3"/>
      </w:pPr>
      <w:r>
        <w:t>Audit Findings Sub-Committee</w:t>
      </w:r>
    </w:p>
    <w:p w:rsidR="00260042" w:rsidRDefault="00260042" w:rsidP="00260042">
      <w:pPr>
        <w:pStyle w:val="BodyText"/>
      </w:pPr>
      <w:r>
        <w:t xml:space="preserve">The Audit Findings Sub-Committee is a sub-committee reporting to the Audit and Risk Committee. The Chair of the Sub-Committee is the Chair of the Audit and Risk Committee, and all members of the Audit and Risk Committee are members of the sub-committee. The sub-committee oversees the approach </w:t>
      </w:r>
      <w:proofErr w:type="gramStart"/>
      <w:r>
        <w:t>being taken</w:t>
      </w:r>
      <w:proofErr w:type="gramEnd"/>
      <w:r>
        <w:t xml:space="preserve"> by the agency to address particular audit findings and to monitor the implementation of the closure of those findings. The sub-committee met 4 times during the year.</w:t>
      </w:r>
    </w:p>
    <w:p w:rsidR="00260042" w:rsidRDefault="00260042" w:rsidP="00BC1153">
      <w:pPr>
        <w:pStyle w:val="Heading1"/>
      </w:pPr>
      <w:r>
        <w:t>8.2 Fraud control and compliance</w:t>
      </w:r>
    </w:p>
    <w:p w:rsidR="00260042" w:rsidRDefault="00260042" w:rsidP="008474A9">
      <w:pPr>
        <w:pStyle w:val="BodyText"/>
      </w:pPr>
      <w:r>
        <w:t xml:space="preserve">Services Australia’s fraud control and compliance capabilities seek to ensure that only eligible people receive payments and </w:t>
      </w:r>
      <w:proofErr w:type="gramStart"/>
      <w:r>
        <w:t>that</w:t>
      </w:r>
      <w:proofErr w:type="gramEnd"/>
      <w:r>
        <w:t xml:space="preserve"> they get the right amount. When a customer receives money they are not entitled to, they are required to repay their debt.</w:t>
      </w:r>
    </w:p>
    <w:p w:rsidR="00260042" w:rsidRDefault="00260042" w:rsidP="00260042">
      <w:pPr>
        <w:pStyle w:val="BodyText"/>
      </w:pPr>
      <w:r>
        <w:t xml:space="preserve">The agency focuses its compliance action on ensuring people receive correct payments, helping them to meet their obligations, protecting customer identities, and preventing the exploitation of welfare payments by criminals. </w:t>
      </w:r>
    </w:p>
    <w:p w:rsidR="00260042" w:rsidRDefault="00260042" w:rsidP="00260042">
      <w:pPr>
        <w:pStyle w:val="BodyText"/>
      </w:pPr>
      <w:r>
        <w:t xml:space="preserve">In cases of fraud or other relevant crimes, the agency investigates those matters and may refer offenders to the Commonwealth Director of Public Prosecutions (CDPP) for prosecution. </w:t>
      </w:r>
    </w:p>
    <w:p w:rsidR="00260042" w:rsidRDefault="00260042" w:rsidP="00260042">
      <w:pPr>
        <w:pStyle w:val="BodyText"/>
        <w:spacing w:after="57"/>
      </w:pPr>
      <w:r>
        <w:t>During the year, Services Australia’s work to combat fraud and related crimes led to:</w:t>
      </w:r>
    </w:p>
    <w:p w:rsidR="00260042" w:rsidRDefault="00260042" w:rsidP="008930A3">
      <w:pPr>
        <w:pStyle w:val="ListBullet"/>
      </w:pPr>
      <w:r>
        <w:t>898 criminal investigations</w:t>
      </w:r>
    </w:p>
    <w:p w:rsidR="00260042" w:rsidRDefault="00260042" w:rsidP="008930A3">
      <w:pPr>
        <w:pStyle w:val="ListBullet"/>
      </w:pPr>
      <w:r>
        <w:t>656 administrative investigations</w:t>
      </w:r>
    </w:p>
    <w:p w:rsidR="00260042" w:rsidRDefault="00260042" w:rsidP="008930A3">
      <w:pPr>
        <w:pStyle w:val="ListBullet"/>
      </w:pPr>
      <w:r>
        <w:t>331 referrals to the CDPP</w:t>
      </w:r>
    </w:p>
    <w:p w:rsidR="00260042" w:rsidRDefault="00260042" w:rsidP="008930A3">
      <w:pPr>
        <w:pStyle w:val="ListBullet"/>
      </w:pPr>
      <w:r>
        <w:t>preventing the payment of fraudulent Medicare claims worth over $140,000</w:t>
      </w:r>
    </w:p>
    <w:p w:rsidR="00260042" w:rsidRDefault="00260042" w:rsidP="00EA5510">
      <w:pPr>
        <w:pStyle w:val="ListBullet"/>
      </w:pPr>
      <w:proofErr w:type="gramStart"/>
      <w:r>
        <w:t>preventing</w:t>
      </w:r>
      <w:proofErr w:type="gramEnd"/>
      <w:r>
        <w:t xml:space="preserve"> fraud involving $727,167 worth of welfare payments. </w:t>
      </w:r>
    </w:p>
    <w:p w:rsidR="00260042" w:rsidRDefault="00260042" w:rsidP="00C81689">
      <w:pPr>
        <w:pStyle w:val="Heading2"/>
      </w:pPr>
      <w:r>
        <w:lastRenderedPageBreak/>
        <w:t>Fraud and corruption control and assurance</w:t>
      </w:r>
    </w:p>
    <w:p w:rsidR="00260042" w:rsidRDefault="00260042" w:rsidP="00260042">
      <w:pPr>
        <w:pStyle w:val="BodyText"/>
      </w:pPr>
      <w:r>
        <w:t xml:space="preserve">Services Australia has a long-standing record of success managing fraud and corruption risks. We have a comprehensive approach to managing these risks, articulated in the agency’s </w:t>
      </w:r>
      <w:r>
        <w:rPr>
          <w:i/>
          <w:iCs/>
        </w:rPr>
        <w:t>Fraud and Corruption Control Plan 2020–24</w:t>
      </w:r>
      <w:r>
        <w:t xml:space="preserve">. The plan clarifies the accountabilities of senior executive risk ‘owners’ at the enterprise, program and function level. </w:t>
      </w:r>
    </w:p>
    <w:p w:rsidR="00260042" w:rsidRDefault="00260042" w:rsidP="00260042">
      <w:pPr>
        <w:pStyle w:val="BodyText"/>
      </w:pPr>
      <w:r>
        <w:t>We undertake enterprise, program and function level fraud and corruption risk assessments, which provide assurance that we are effectively managing these risks. We review and test fraud and corruption controls against a risk-based work plan.</w:t>
      </w:r>
    </w:p>
    <w:p w:rsidR="00260042" w:rsidRDefault="00260042" w:rsidP="00260042">
      <w:pPr>
        <w:pStyle w:val="BodyText"/>
      </w:pPr>
      <w:r>
        <w:t xml:space="preserve">The agency’s new strategic governance and reporting arrangements have strengthened our oversight and management of fraud and corruption risks. </w:t>
      </w:r>
    </w:p>
    <w:p w:rsidR="00260042" w:rsidRDefault="00260042" w:rsidP="00260042">
      <w:pPr>
        <w:pStyle w:val="BodyText"/>
        <w:spacing w:after="57"/>
      </w:pPr>
      <w:r>
        <w:t xml:space="preserve">We continue to frame our activities around </w:t>
      </w:r>
      <w:proofErr w:type="gramStart"/>
      <w:r>
        <w:t>4</w:t>
      </w:r>
      <w:proofErr w:type="gramEnd"/>
      <w:r>
        <w:t xml:space="preserve"> key elements:</w:t>
      </w:r>
    </w:p>
    <w:p w:rsidR="00260042" w:rsidRDefault="00260042" w:rsidP="008930A3">
      <w:pPr>
        <w:pStyle w:val="ListBullet"/>
      </w:pPr>
      <w:r>
        <w:rPr>
          <w:i/>
          <w:iCs/>
        </w:rPr>
        <w:t xml:space="preserve">predict </w:t>
      </w:r>
      <w:r>
        <w:t xml:space="preserve">– to prevent or minimise fraud or corruption occurring, we keep abreast of emerging threats through a range of intelligence sharing and data analytics </w:t>
      </w:r>
    </w:p>
    <w:p w:rsidR="00260042" w:rsidRDefault="00260042" w:rsidP="008930A3">
      <w:pPr>
        <w:pStyle w:val="ListBullet"/>
      </w:pPr>
      <w:r>
        <w:rPr>
          <w:i/>
          <w:iCs/>
        </w:rPr>
        <w:t xml:space="preserve">prevent </w:t>
      </w:r>
      <w:r>
        <w:t>– we proactively assess the fraud and corruption environment, ensuring that staff understand their role in managing these risks and embed fraud and corruption control in policy and process design</w:t>
      </w:r>
    </w:p>
    <w:p w:rsidR="00260042" w:rsidRDefault="00260042" w:rsidP="008930A3">
      <w:pPr>
        <w:pStyle w:val="ListBullet"/>
      </w:pPr>
      <w:r>
        <w:rPr>
          <w:i/>
          <w:iCs/>
        </w:rPr>
        <w:t>control and assure</w:t>
      </w:r>
      <w:r>
        <w:t xml:space="preserve"> – we ensure effective fraud and corruption risk management by implementing robust controls with continuous monitoring, evaluating and reporting </w:t>
      </w:r>
    </w:p>
    <w:p w:rsidR="00260042" w:rsidRDefault="00260042" w:rsidP="00EA5510">
      <w:pPr>
        <w:pStyle w:val="ListBullet"/>
      </w:pPr>
      <w:proofErr w:type="gramStart"/>
      <w:r>
        <w:rPr>
          <w:i/>
          <w:iCs/>
        </w:rPr>
        <w:t>detect</w:t>
      </w:r>
      <w:proofErr w:type="gramEnd"/>
      <w:r>
        <w:rPr>
          <w:i/>
          <w:iCs/>
        </w:rPr>
        <w:t xml:space="preserve"> and disrupt </w:t>
      </w:r>
      <w:r>
        <w:t>– we run sophisticated detection and disruption strategies to help us identify and respond to fraud or corruption in a timely, appropriate and proportionate manner, with a focus on disrupting further criminal activity.</w:t>
      </w:r>
    </w:p>
    <w:p w:rsidR="00260042" w:rsidRDefault="00260042" w:rsidP="00C81689">
      <w:pPr>
        <w:pStyle w:val="Heading2"/>
      </w:pPr>
      <w:r>
        <w:t>Fraud and corruption prevention and disruption</w:t>
      </w:r>
    </w:p>
    <w:p w:rsidR="00260042" w:rsidRDefault="00260042" w:rsidP="00260042">
      <w:pPr>
        <w:pStyle w:val="BodyText"/>
      </w:pPr>
      <w:r>
        <w:t>Services Australia operates a sophisticated fraud and corruption detection program, with data analytics and profiling that includes near real-time detection of these crimes. We run robust fraud and corruption prevention and disruption strategies that help us deter and respond to fraud and corruption in a timely, appropriate and proportionate manner.</w:t>
      </w:r>
    </w:p>
    <w:p w:rsidR="00260042" w:rsidRDefault="00260042" w:rsidP="00260042">
      <w:pPr>
        <w:pStyle w:val="BodyText"/>
        <w:spacing w:after="57"/>
      </w:pPr>
      <w:r>
        <w:t>Disruption activities include:</w:t>
      </w:r>
    </w:p>
    <w:p w:rsidR="00260042" w:rsidRDefault="00260042" w:rsidP="008930A3">
      <w:pPr>
        <w:pStyle w:val="ListBullet"/>
      </w:pPr>
      <w:r>
        <w:t>raising staff fraud and corruption awareness to ensure they understand their responsibilities to prevent fraud and corruption</w:t>
      </w:r>
    </w:p>
    <w:p w:rsidR="00260042" w:rsidRDefault="00260042" w:rsidP="008930A3">
      <w:pPr>
        <w:pStyle w:val="ListBullet"/>
      </w:pPr>
      <w:r>
        <w:t>making it easy for staff to report suspicious activity, and communicating outcomes so that staff recognise the benefit of their actions</w:t>
      </w:r>
    </w:p>
    <w:p w:rsidR="00260042" w:rsidRDefault="00260042" w:rsidP="008930A3">
      <w:pPr>
        <w:pStyle w:val="ListBullet"/>
      </w:pPr>
      <w:r>
        <w:t>using a comprehensive internal and external tip-off program to identify criminal activity</w:t>
      </w:r>
    </w:p>
    <w:p w:rsidR="00260042" w:rsidRDefault="00260042" w:rsidP="008930A3">
      <w:pPr>
        <w:pStyle w:val="ListBullet"/>
      </w:pPr>
      <w:r>
        <w:t>when necessary, undertaking joint investigations with other law enforcement bodies and agencies, and referrals to the Australian Federal Police with a focus on disrupting serious, organised and complex fraud activities and related crimes</w:t>
      </w:r>
    </w:p>
    <w:p w:rsidR="00260042" w:rsidRDefault="00260042" w:rsidP="008930A3">
      <w:pPr>
        <w:pStyle w:val="ListBullet"/>
      </w:pPr>
      <w:r>
        <w:t>pursuing disciplinary, administrative, and civil or criminal sanctions, when appropriate</w:t>
      </w:r>
    </w:p>
    <w:p w:rsidR="00260042" w:rsidRDefault="00260042" w:rsidP="00EA5510">
      <w:pPr>
        <w:pStyle w:val="ListBullet"/>
      </w:pPr>
      <w:proofErr w:type="gramStart"/>
      <w:r>
        <w:t>working</w:t>
      </w:r>
      <w:proofErr w:type="gramEnd"/>
      <w:r>
        <w:t xml:space="preserve"> with partners to respond to scams that affect customers and their personal information.</w:t>
      </w:r>
    </w:p>
    <w:p w:rsidR="00260042" w:rsidRDefault="00260042" w:rsidP="00260042">
      <w:pPr>
        <w:pStyle w:val="BodyText"/>
      </w:pPr>
      <w:r>
        <w:lastRenderedPageBreak/>
        <w:t xml:space="preserve">During 2020–21, the agency continued to build its capabilities to address fraud and corruption risks through a range of initiatives, including enhancing our digital forensic and forensic accounting capabilities to support external and internal investigations. These capabilities also support other agencies such as the Australian Federal Police (AFP), National Disability Insurance Agency (NDIA) and the NDIS Quality and Safeguards Commission. </w:t>
      </w:r>
    </w:p>
    <w:p w:rsidR="00260042" w:rsidRDefault="00260042" w:rsidP="00260042">
      <w:pPr>
        <w:pStyle w:val="BodyText"/>
      </w:pPr>
      <w:r>
        <w:t>We contributed to whole-of-government efforts to combat fraud, with a continued focus in 2020–21 on people attempting to exploit COVID-19 related payments and emergency payments for disasters such as the floods in New South Wales.</w:t>
      </w:r>
    </w:p>
    <w:p w:rsidR="00260042" w:rsidRDefault="00260042" w:rsidP="00260042">
      <w:pPr>
        <w:pStyle w:val="BodyText"/>
      </w:pPr>
      <w:r>
        <w:t xml:space="preserve">The agency also collaborated with the Commonwealth Fraud Prevention Centre to enhance capability across government to identify and address fraud and corruption. We also continued to strengthen our partnership with other government agencies including through multi-agency bodies such as the Serious Financial Crimes Taskforce, the Black Economy Standing Taskforce and the </w:t>
      </w:r>
      <w:proofErr w:type="spellStart"/>
      <w:r>
        <w:t>Fintel</w:t>
      </w:r>
      <w:proofErr w:type="spellEnd"/>
      <w:r>
        <w:t xml:space="preserve"> Alliance.</w:t>
      </w:r>
    </w:p>
    <w:p w:rsidR="00260042" w:rsidRDefault="00260042" w:rsidP="00C81689">
      <w:pPr>
        <w:pStyle w:val="Heading2"/>
      </w:pPr>
      <w:r>
        <w:t>Taskforce Integrity</w:t>
      </w:r>
    </w:p>
    <w:p w:rsidR="00260042" w:rsidRDefault="00260042" w:rsidP="00260042">
      <w:pPr>
        <w:pStyle w:val="BodyText"/>
      </w:pPr>
      <w:r>
        <w:t xml:space="preserve">The 2021–22 Budget measure, Enhancing Welfare Integrity Arrangements – Extension of Taskforce Integrity, extended Taskforce Integrity to 30 June 2023. Taskforce Integrity is a joint operation between Services Australia and the AFP that delivers an important capability in the fight against criminals and other unscrupulous individuals planning to exploit the Australian Government’s system of social supports. </w:t>
      </w:r>
    </w:p>
    <w:p w:rsidR="00260042" w:rsidRDefault="00260042" w:rsidP="00260042">
      <w:pPr>
        <w:pStyle w:val="BodyText"/>
        <w:spacing w:after="57"/>
      </w:pPr>
      <w:r>
        <w:t>The taskforce focuses on prevention, detection and disruption of this criminal activity, often enabled by stealing the identities of vulnerable Australians. In 2020–21, the taskforce delivered the following key outcomes:</w:t>
      </w:r>
    </w:p>
    <w:p w:rsidR="00260042" w:rsidRDefault="00260042" w:rsidP="008930A3">
      <w:pPr>
        <w:pStyle w:val="ListBullet"/>
      </w:pPr>
      <w:r>
        <w:t>completed 32 investigations</w:t>
      </w:r>
    </w:p>
    <w:p w:rsidR="00260042" w:rsidRDefault="00260042" w:rsidP="008930A3">
      <w:pPr>
        <w:pStyle w:val="ListBullet"/>
      </w:pPr>
      <w:r>
        <w:t>17 agency assists</w:t>
      </w:r>
    </w:p>
    <w:p w:rsidR="00260042" w:rsidRDefault="00260042" w:rsidP="008930A3">
      <w:pPr>
        <w:pStyle w:val="ListBullet"/>
      </w:pPr>
      <w:r>
        <w:t>identified 849 victims of identity theft and payment hijacking</w:t>
      </w:r>
    </w:p>
    <w:p w:rsidR="00260042" w:rsidRDefault="00260042" w:rsidP="008930A3">
      <w:pPr>
        <w:pStyle w:val="ListBullet"/>
      </w:pPr>
      <w:r>
        <w:tab/>
        <w:t>referred 10 persons for prosecution</w:t>
      </w:r>
    </w:p>
    <w:p w:rsidR="00260042" w:rsidRDefault="00260042" w:rsidP="008930A3">
      <w:pPr>
        <w:pStyle w:val="ListBullet"/>
      </w:pPr>
      <w:r>
        <w:t>achieved 9 successful prosecution outcomes</w:t>
      </w:r>
    </w:p>
    <w:p w:rsidR="00260042" w:rsidRDefault="00260042" w:rsidP="00EA5510">
      <w:pPr>
        <w:pStyle w:val="ListBullet"/>
      </w:pPr>
      <w:proofErr w:type="gramStart"/>
      <w:r>
        <w:t>recovered</w:t>
      </w:r>
      <w:proofErr w:type="gramEnd"/>
      <w:r>
        <w:t xml:space="preserve"> $19.5 million in debt arising from fraud or serious non-compliance.</w:t>
      </w:r>
    </w:p>
    <w:p w:rsidR="00260042" w:rsidRDefault="00260042" w:rsidP="00C81689">
      <w:pPr>
        <w:pStyle w:val="Heading2"/>
      </w:pPr>
      <w:r>
        <w:t>Identity management</w:t>
      </w:r>
    </w:p>
    <w:p w:rsidR="00260042" w:rsidRDefault="00260042" w:rsidP="00260042">
      <w:pPr>
        <w:pStyle w:val="BodyText"/>
      </w:pPr>
      <w:r>
        <w:t xml:space="preserve">Effective identity management is critical to the agency, and to a whole-of-government approach to combatting fraud and other crimes. Confirming that a person is who they say they are is the foundation of the agency’s fraud controls. Services Australia implements a range of strategies to </w:t>
      </w:r>
      <w:proofErr w:type="gramStart"/>
      <w:r>
        <w:t>check,</w:t>
      </w:r>
      <w:proofErr w:type="gramEnd"/>
      <w:r>
        <w:t xml:space="preserve"> confirm and protect the identity of customers who interact with the agency. </w:t>
      </w:r>
    </w:p>
    <w:p w:rsidR="00260042" w:rsidRDefault="00260042" w:rsidP="00260042">
      <w:pPr>
        <w:pStyle w:val="BodyText"/>
      </w:pPr>
      <w:r>
        <w:t xml:space="preserve">As COVID-19 began to spread, in early 2020 new customers could use temporary arrangements to verify their identities over the phone and online to avoid having to go into a service centre. As social distancing requirements eased, from May 2021 new customers were again required to undergo a facial identity check before receiving payment. </w:t>
      </w:r>
    </w:p>
    <w:p w:rsidR="00260042" w:rsidRDefault="00260042" w:rsidP="00260042">
      <w:pPr>
        <w:pStyle w:val="BodyText"/>
      </w:pPr>
      <w:r>
        <w:t xml:space="preserve">During the year, we continued to test and deploy new technologies, for example, using voice biometrics and updating the Express Plus Centrelink mobile app to make it easier for customers to confirm their identity. We also started a Virtual Service Centre Pilot to undertake virtual interviews </w:t>
      </w:r>
      <w:r>
        <w:lastRenderedPageBreak/>
        <w:t>using video chat. This innovation will help us to complete identity confirmation, including a facial check, without customers having to come into a service centre.</w:t>
      </w:r>
    </w:p>
    <w:p w:rsidR="00260042" w:rsidRDefault="00260042" w:rsidP="00260042">
      <w:pPr>
        <w:pStyle w:val="BodyText"/>
      </w:pPr>
      <w:r>
        <w:t xml:space="preserve">In December 2020, the agency delivered the ability to use digital identity (IP2) to login to </w:t>
      </w:r>
      <w:proofErr w:type="spellStart"/>
      <w:r>
        <w:t>myGov</w:t>
      </w:r>
      <w:proofErr w:type="spellEnd"/>
      <w:r>
        <w:t xml:space="preserve">. The ATO is currently making improvements to </w:t>
      </w:r>
      <w:proofErr w:type="spellStart"/>
      <w:r>
        <w:t>myGovID</w:t>
      </w:r>
      <w:proofErr w:type="spellEnd"/>
      <w:r>
        <w:t xml:space="preserve"> by increasing the Identity Proofing service to a Level 3 (IP3</w:t>
      </w:r>
      <w:proofErr w:type="gramStart"/>
      <w:r>
        <w:t>) which</w:t>
      </w:r>
      <w:proofErr w:type="gramEnd"/>
      <w:r>
        <w:t xml:space="preserve"> includes a facial biometric check. Once available, IP3 will allow the ability to login to </w:t>
      </w:r>
      <w:proofErr w:type="spellStart"/>
      <w:r>
        <w:t>myGov</w:t>
      </w:r>
      <w:proofErr w:type="spellEnd"/>
      <w:r>
        <w:t xml:space="preserve"> using facial recognition, as well as the ability for eligible Centrelink customers to prove </w:t>
      </w:r>
      <w:proofErr w:type="gramStart"/>
      <w:r>
        <w:t>who</w:t>
      </w:r>
      <w:proofErr w:type="gramEnd"/>
      <w:r>
        <w:t xml:space="preserve"> they are from their device, without having to go to a service centre. </w:t>
      </w:r>
    </w:p>
    <w:p w:rsidR="00260042" w:rsidRDefault="00260042" w:rsidP="00260042">
      <w:pPr>
        <w:pStyle w:val="BodyText"/>
      </w:pPr>
      <w:r>
        <w:t xml:space="preserve">We continued to support customers who were potential victims of </w:t>
      </w:r>
      <w:proofErr w:type="gramStart"/>
      <w:r>
        <w:t>scams</w:t>
      </w:r>
      <w:proofErr w:type="gramEnd"/>
      <w:r>
        <w:t xml:space="preserve"> or identity theft through our Scams and Identity Theft Helpdesk. The helpdesk assesses the risk of compromise to a customer’s identity and, if necessary, secures their agency records and refers customers to other services such as </w:t>
      </w:r>
      <w:proofErr w:type="spellStart"/>
      <w:r>
        <w:t>IDCare</w:t>
      </w:r>
      <w:proofErr w:type="spellEnd"/>
      <w:r>
        <w:t xml:space="preserve">, Australia’s national identity support service. </w:t>
      </w:r>
    </w:p>
    <w:p w:rsidR="00260042" w:rsidRDefault="00260042" w:rsidP="00260042">
      <w:pPr>
        <w:pStyle w:val="BodyText"/>
        <w:spacing w:after="57"/>
      </w:pPr>
      <w:r>
        <w:t xml:space="preserve">In 2020–21, the agency: </w:t>
      </w:r>
    </w:p>
    <w:p w:rsidR="00260042" w:rsidRDefault="00260042" w:rsidP="008930A3">
      <w:pPr>
        <w:pStyle w:val="ListBullet"/>
      </w:pPr>
      <w:r>
        <w:t>confirmed the identities of over 668,000 customers</w:t>
      </w:r>
    </w:p>
    <w:p w:rsidR="00260042" w:rsidRDefault="00260042" w:rsidP="008930A3">
      <w:pPr>
        <w:pStyle w:val="ListBullet"/>
      </w:pPr>
      <w:r>
        <w:t>successfully matched over 3.25 million identity documents from customers with the Department of Home Affairs document verification service</w:t>
      </w:r>
    </w:p>
    <w:p w:rsidR="00260042" w:rsidRDefault="00260042" w:rsidP="008930A3">
      <w:pPr>
        <w:pStyle w:val="ListBullet"/>
      </w:pPr>
      <w:r>
        <w:t>responded to over 59,000 calls and more than 4,000 emails to the Scams and Identity Theft Helpdesk</w:t>
      </w:r>
    </w:p>
    <w:p w:rsidR="00260042" w:rsidRDefault="00260042" w:rsidP="00EA5510">
      <w:pPr>
        <w:pStyle w:val="ListBullet"/>
      </w:pPr>
      <w:proofErr w:type="gramStart"/>
      <w:r>
        <w:t>referred</w:t>
      </w:r>
      <w:proofErr w:type="gramEnd"/>
      <w:r>
        <w:t xml:space="preserve"> more than 2,100 customers to </w:t>
      </w:r>
      <w:proofErr w:type="spellStart"/>
      <w:r>
        <w:t>IDCare</w:t>
      </w:r>
      <w:proofErr w:type="spellEnd"/>
      <w:r>
        <w:t>.</w:t>
      </w:r>
    </w:p>
    <w:p w:rsidR="00260042" w:rsidRDefault="00260042" w:rsidP="002E64CE">
      <w:pPr>
        <w:pStyle w:val="Heading3"/>
      </w:pPr>
      <w:r>
        <w:t>Public tip-offs</w:t>
      </w:r>
    </w:p>
    <w:p w:rsidR="00260042" w:rsidRDefault="00260042" w:rsidP="00260042">
      <w:pPr>
        <w:pStyle w:val="BodyText"/>
      </w:pPr>
      <w:r>
        <w:t xml:space="preserve">Tip-offs about suspected public health, welfare and child support fraud are an integral part of maintaining the integrity of the system of social supports and community confidence in the system. </w:t>
      </w:r>
    </w:p>
    <w:p w:rsidR="00260042" w:rsidRDefault="00260042" w:rsidP="00260042">
      <w:pPr>
        <w:pStyle w:val="BodyText"/>
      </w:pPr>
      <w:r>
        <w:t>Specialist staff assess all public tip-offs and work alongside compliance and intelligence colleagues to identify emerging concerns.</w:t>
      </w:r>
    </w:p>
    <w:p w:rsidR="00260042" w:rsidRDefault="00260042" w:rsidP="00260042">
      <w:pPr>
        <w:pStyle w:val="BodyText"/>
        <w:spacing w:after="57"/>
      </w:pPr>
      <w:r>
        <w:t>People can share tip-off information with Services Australia by:</w:t>
      </w:r>
    </w:p>
    <w:p w:rsidR="00260042" w:rsidRDefault="00260042" w:rsidP="008930A3">
      <w:pPr>
        <w:pStyle w:val="ListBullet"/>
      </w:pPr>
      <w:r>
        <w:t xml:space="preserve">visiting the Reporting Fraud page on our website </w:t>
      </w:r>
      <w:r>
        <w:rPr>
          <w:rStyle w:val="Bold"/>
        </w:rPr>
        <w:t xml:space="preserve">servicesaustralia.gov.au </w:t>
      </w:r>
      <w:r>
        <w:t>and filling out the online form, or</w:t>
      </w:r>
    </w:p>
    <w:p w:rsidR="00260042" w:rsidRDefault="00260042" w:rsidP="00EA5510">
      <w:pPr>
        <w:pStyle w:val="ListBullet"/>
      </w:pPr>
      <w:proofErr w:type="gramStart"/>
      <w:r>
        <w:t>phoning</w:t>
      </w:r>
      <w:proofErr w:type="gramEnd"/>
      <w:r>
        <w:t xml:space="preserve"> the Australian Government Services Fraud Tip-off Line on </w:t>
      </w:r>
      <w:r>
        <w:rPr>
          <w:rStyle w:val="Bold"/>
        </w:rPr>
        <w:t>131 524.</w:t>
      </w:r>
    </w:p>
    <w:p w:rsidR="00260042" w:rsidRDefault="00260042" w:rsidP="00260042">
      <w:pPr>
        <w:pStyle w:val="BodyText"/>
      </w:pPr>
      <w:r>
        <w:t>In 2020–21, the agency received more than 64,787 tip-offs through the Tip-off Line and more than 20,843 tip-offs from other sources.</w:t>
      </w:r>
    </w:p>
    <w:p w:rsidR="00260042" w:rsidRDefault="00260042" w:rsidP="00260042">
      <w:pPr>
        <w:pStyle w:val="BodyText"/>
        <w:rPr>
          <w:b/>
          <w:bCs/>
          <w:caps/>
          <w:sz w:val="26"/>
          <w:szCs w:val="26"/>
        </w:rPr>
      </w:pPr>
      <w:r>
        <w:rPr>
          <w:b/>
          <w:bCs/>
          <w:caps/>
          <w:sz w:val="26"/>
          <w:szCs w:val="26"/>
        </w:rPr>
        <w:t>Payment accuracy and correctness</w:t>
      </w:r>
    </w:p>
    <w:p w:rsidR="00260042" w:rsidRDefault="00260042" w:rsidP="00260042">
      <w:pPr>
        <w:pStyle w:val="BodyText"/>
      </w:pPr>
      <w:r>
        <w:t>The agency aims to pay the right person the right amount through the right program at the right time.</w:t>
      </w:r>
    </w:p>
    <w:p w:rsidR="00260042" w:rsidRDefault="00260042" w:rsidP="002E64CE">
      <w:pPr>
        <w:pStyle w:val="Heading3"/>
      </w:pPr>
      <w:r>
        <w:t>Random sample survey</w:t>
      </w:r>
    </w:p>
    <w:p w:rsidR="00260042" w:rsidRDefault="00260042" w:rsidP="00260042">
      <w:pPr>
        <w:pStyle w:val="BodyText"/>
      </w:pPr>
      <w:r>
        <w:t xml:space="preserve">To help ensure accurate social welfare payments </w:t>
      </w:r>
      <w:proofErr w:type="gramStart"/>
      <w:r>
        <w:t>are made</w:t>
      </w:r>
      <w:proofErr w:type="gramEnd"/>
      <w:r>
        <w:t xml:space="preserve">, we conduct random sample surveys (RSS). These are point-in-time assessments of a customer’s circumstances for major payment types. The surveys </w:t>
      </w:r>
      <w:proofErr w:type="gramStart"/>
      <w:r>
        <w:t>are used</w:t>
      </w:r>
      <w:proofErr w:type="gramEnd"/>
      <w:r>
        <w:t xml:space="preserve"> to identify both staff and customer errors. They also measure our ability to pay customers the exact payment they are entitled to, known as payment correctness, and allow the Department of Social Services to measure the integrity of outlays, known as payment accuracy.</w:t>
      </w:r>
    </w:p>
    <w:p w:rsidR="00260042" w:rsidRDefault="00260042" w:rsidP="00260042">
      <w:pPr>
        <w:pStyle w:val="BodyText"/>
      </w:pPr>
      <w:r>
        <w:lastRenderedPageBreak/>
        <w:t xml:space="preserve">The impact of the COVID-19 pandemic on the agency’s RSS activities accelerated the modernisation of our ways of working. While most of our RSS activities during the year remained consistent with past practice, we also introduced </w:t>
      </w:r>
      <w:proofErr w:type="gramStart"/>
      <w:r>
        <w:t>more contemporary methods</w:t>
      </w:r>
      <w:proofErr w:type="gramEnd"/>
      <w:r>
        <w:t xml:space="preserve">. This included engaging with customers through video chat and other remote technology. These new methods worked well, providing a good foundation for future activities. </w:t>
      </w:r>
    </w:p>
    <w:p w:rsidR="00260042" w:rsidRDefault="00260042" w:rsidP="00260042">
      <w:pPr>
        <w:pStyle w:val="BodyText"/>
      </w:pPr>
      <w:r>
        <w:t xml:space="preserve">In 2020–21, the agency achieved 98.7% payment correctness, against a target of 95% – see also </w:t>
      </w:r>
      <w:r>
        <w:rPr>
          <w:rStyle w:val="Italic"/>
        </w:rPr>
        <w:t>Criterion 2 Achievement of payment quality standards: Centrelink: Delivery of correct customer payments</w:t>
      </w:r>
      <w:r>
        <w:t xml:space="preserve"> on page 96.</w:t>
      </w:r>
    </w:p>
    <w:p w:rsidR="00260042" w:rsidRDefault="00260042" w:rsidP="002E64CE">
      <w:pPr>
        <w:pStyle w:val="Heading3"/>
      </w:pPr>
      <w:r>
        <w:t>Compliance Program</w:t>
      </w:r>
    </w:p>
    <w:p w:rsidR="00260042" w:rsidRDefault="00260042" w:rsidP="00260042">
      <w:pPr>
        <w:pStyle w:val="BodyText"/>
      </w:pPr>
      <w:r>
        <w:t>Services Australia sources information from other government agencies and third parties to help ensure the accuracy of social welfare and other payments and to resolve discrepancies in information provided by customers.</w:t>
      </w:r>
    </w:p>
    <w:p w:rsidR="00260042" w:rsidRDefault="00260042" w:rsidP="00260042">
      <w:pPr>
        <w:pStyle w:val="BodyText"/>
      </w:pPr>
      <w:r>
        <w:t xml:space="preserve">In 2020–21, </w:t>
      </w:r>
      <w:proofErr w:type="gramStart"/>
      <w:r>
        <w:t>a range of compliance activities were</w:t>
      </w:r>
      <w:proofErr w:type="gramEnd"/>
      <w:r>
        <w:t xml:space="preserve"> placed on hold in response to the National Debt Pause that was implemented to support Australians through the COVID-19 pandemic. This enabled the redeployment of staff to help deliver critical services to Australian citizens. During this period, the agency focused on supporting Australians who </w:t>
      </w:r>
      <w:proofErr w:type="gramStart"/>
      <w:r>
        <w:t>were identified</w:t>
      </w:r>
      <w:proofErr w:type="gramEnd"/>
      <w:r>
        <w:t xml:space="preserve"> as eligible for a </w:t>
      </w:r>
      <w:proofErr w:type="spellStart"/>
      <w:r>
        <w:t>JobKeeper</w:t>
      </w:r>
      <w:proofErr w:type="spellEnd"/>
      <w:r>
        <w:t xml:space="preserve"> payment and who were receiving a social welfare payment to meet reporting obligations and prevent overpayment.</w:t>
      </w:r>
    </w:p>
    <w:p w:rsidR="00260042" w:rsidRDefault="00260042" w:rsidP="00260042">
      <w:pPr>
        <w:pStyle w:val="BodyText"/>
      </w:pPr>
      <w:r>
        <w:t xml:space="preserve">The agency contacted more than 79,000 customers to provide assistance </w:t>
      </w:r>
      <w:proofErr w:type="gramStart"/>
      <w:r>
        <w:t>to accurately declare</w:t>
      </w:r>
      <w:proofErr w:type="gramEnd"/>
      <w:r>
        <w:t xml:space="preserve"> their income.</w:t>
      </w:r>
    </w:p>
    <w:p w:rsidR="00260042" w:rsidRPr="00EA5510" w:rsidRDefault="009B789E" w:rsidP="00EA5510">
      <w:pPr>
        <w:pStyle w:val="BodyText"/>
        <w:rPr>
          <w:b/>
        </w:rPr>
      </w:pPr>
      <w:r>
        <w:rPr>
          <w:rStyle w:val="Bold"/>
          <w:bCs w:val="0"/>
        </w:rPr>
        <w:t>Table 3</w:t>
      </w:r>
      <w:r>
        <w:rPr>
          <w:rStyle w:val="Bold"/>
          <w:bCs w:val="0"/>
        </w:rPr>
        <w:t>6</w:t>
      </w:r>
      <w:r w:rsidR="00260042" w:rsidRPr="00EA5510">
        <w:rPr>
          <w:b/>
        </w:rPr>
        <w:t xml:space="preserve"> Social welfare compliance activity </w:t>
      </w:r>
    </w:p>
    <w:tbl>
      <w:tblPr>
        <w:tblStyle w:val="TableGrid"/>
        <w:tblW w:w="5000" w:type="pct"/>
        <w:tblLook w:val="0000" w:firstRow="0" w:lastRow="0" w:firstColumn="0" w:lastColumn="0" w:noHBand="0" w:noVBand="0"/>
        <w:tblCaption w:val="Social welfare compliance activity "/>
      </w:tblPr>
      <w:tblGrid>
        <w:gridCol w:w="3705"/>
        <w:gridCol w:w="2361"/>
        <w:gridCol w:w="2363"/>
        <w:gridCol w:w="2361"/>
      </w:tblGrid>
      <w:tr w:rsidR="00260042" w:rsidTr="00134742">
        <w:trPr>
          <w:trHeight w:val="60"/>
          <w:tblHeader/>
        </w:trPr>
        <w:tc>
          <w:tcPr>
            <w:tcW w:w="1717" w:type="pct"/>
          </w:tcPr>
          <w:p w:rsidR="00260042" w:rsidRPr="00134742" w:rsidRDefault="00260042" w:rsidP="00134742">
            <w:pPr>
              <w:pStyle w:val="BodyText"/>
              <w:rPr>
                <w:b/>
              </w:rPr>
            </w:pPr>
          </w:p>
        </w:tc>
        <w:tc>
          <w:tcPr>
            <w:tcW w:w="1094" w:type="pct"/>
          </w:tcPr>
          <w:p w:rsidR="00260042" w:rsidRPr="00134742" w:rsidRDefault="00260042" w:rsidP="00134742">
            <w:pPr>
              <w:pStyle w:val="BodyText"/>
              <w:jc w:val="right"/>
              <w:rPr>
                <w:b/>
              </w:rPr>
            </w:pPr>
            <w:r w:rsidRPr="00134742">
              <w:rPr>
                <w:rStyle w:val="Bulletcolour"/>
                <w:b/>
              </w:rPr>
              <w:t>2018–19</w:t>
            </w:r>
          </w:p>
        </w:tc>
        <w:tc>
          <w:tcPr>
            <w:tcW w:w="1095" w:type="pct"/>
          </w:tcPr>
          <w:p w:rsidR="00260042" w:rsidRPr="00134742" w:rsidRDefault="00260042" w:rsidP="00134742">
            <w:pPr>
              <w:pStyle w:val="BodyText"/>
              <w:jc w:val="right"/>
              <w:rPr>
                <w:b/>
              </w:rPr>
            </w:pPr>
            <w:r w:rsidRPr="00134742">
              <w:rPr>
                <w:rStyle w:val="Bulletcolour"/>
                <w:b/>
              </w:rPr>
              <w:t>2019–20</w:t>
            </w:r>
          </w:p>
        </w:tc>
        <w:tc>
          <w:tcPr>
            <w:tcW w:w="1094" w:type="pct"/>
          </w:tcPr>
          <w:p w:rsidR="00260042" w:rsidRPr="00134742" w:rsidRDefault="00260042" w:rsidP="00134742">
            <w:pPr>
              <w:pStyle w:val="BodyText"/>
              <w:jc w:val="right"/>
              <w:rPr>
                <w:b/>
              </w:rPr>
            </w:pPr>
            <w:r w:rsidRPr="00134742">
              <w:rPr>
                <w:rStyle w:val="Bulletcolour"/>
                <w:b/>
              </w:rPr>
              <w:t>2020–21</w:t>
            </w:r>
          </w:p>
        </w:tc>
      </w:tr>
      <w:tr w:rsidR="00260042" w:rsidTr="00134742">
        <w:trPr>
          <w:trHeight w:val="60"/>
        </w:trPr>
        <w:tc>
          <w:tcPr>
            <w:tcW w:w="1717" w:type="pct"/>
          </w:tcPr>
          <w:p w:rsidR="00260042" w:rsidRDefault="00260042" w:rsidP="00134742">
            <w:pPr>
              <w:pStyle w:val="BodyText"/>
            </w:pPr>
            <w:r>
              <w:rPr>
                <w:rStyle w:val="Bulletcolour"/>
              </w:rPr>
              <w:t>Compliance interventions</w:t>
            </w:r>
          </w:p>
        </w:tc>
        <w:tc>
          <w:tcPr>
            <w:tcW w:w="1094" w:type="pct"/>
          </w:tcPr>
          <w:p w:rsidR="00260042" w:rsidRDefault="00260042" w:rsidP="00134742">
            <w:pPr>
              <w:pStyle w:val="BodyText"/>
              <w:jc w:val="right"/>
            </w:pPr>
            <w:r>
              <w:rPr>
                <w:rStyle w:val="Bulletcolour"/>
              </w:rPr>
              <w:t>1,693,110</w:t>
            </w:r>
          </w:p>
        </w:tc>
        <w:tc>
          <w:tcPr>
            <w:tcW w:w="1095" w:type="pct"/>
          </w:tcPr>
          <w:p w:rsidR="00260042" w:rsidRDefault="00260042" w:rsidP="00134742">
            <w:pPr>
              <w:pStyle w:val="BodyText"/>
              <w:jc w:val="right"/>
            </w:pPr>
            <w:r>
              <w:rPr>
                <w:rStyle w:val="Bulletcolour"/>
              </w:rPr>
              <w:t>898,574</w:t>
            </w:r>
          </w:p>
        </w:tc>
        <w:tc>
          <w:tcPr>
            <w:tcW w:w="1094" w:type="pct"/>
          </w:tcPr>
          <w:p w:rsidR="00260042" w:rsidRDefault="00260042" w:rsidP="00134742">
            <w:pPr>
              <w:pStyle w:val="BodyText"/>
              <w:jc w:val="right"/>
            </w:pPr>
            <w:r>
              <w:rPr>
                <w:rStyle w:val="Bulletcolour"/>
              </w:rPr>
              <w:t>194,770</w:t>
            </w:r>
          </w:p>
        </w:tc>
      </w:tr>
      <w:tr w:rsidR="00260042" w:rsidTr="00134742">
        <w:trPr>
          <w:trHeight w:val="60"/>
        </w:trPr>
        <w:tc>
          <w:tcPr>
            <w:tcW w:w="1717" w:type="pct"/>
          </w:tcPr>
          <w:p w:rsidR="00260042" w:rsidRDefault="00260042" w:rsidP="00134742">
            <w:pPr>
              <w:pStyle w:val="BodyText"/>
            </w:pPr>
            <w:r>
              <w:rPr>
                <w:rStyle w:val="Bulletcolour"/>
              </w:rPr>
              <w:t>Reductions in fortnightly payments</w:t>
            </w:r>
          </w:p>
        </w:tc>
        <w:tc>
          <w:tcPr>
            <w:tcW w:w="1094" w:type="pct"/>
          </w:tcPr>
          <w:p w:rsidR="00260042" w:rsidRDefault="00260042" w:rsidP="00134742">
            <w:pPr>
              <w:pStyle w:val="BodyText"/>
              <w:jc w:val="right"/>
            </w:pPr>
            <w:r>
              <w:rPr>
                <w:rStyle w:val="Bulletcolour"/>
              </w:rPr>
              <w:t>101,859</w:t>
            </w:r>
          </w:p>
        </w:tc>
        <w:tc>
          <w:tcPr>
            <w:tcW w:w="1095" w:type="pct"/>
          </w:tcPr>
          <w:p w:rsidR="00260042" w:rsidRDefault="00260042" w:rsidP="00134742">
            <w:pPr>
              <w:pStyle w:val="BodyText"/>
              <w:jc w:val="right"/>
            </w:pPr>
            <w:r>
              <w:rPr>
                <w:rStyle w:val="Bulletcolour"/>
              </w:rPr>
              <w:t>71,841</w:t>
            </w:r>
          </w:p>
        </w:tc>
        <w:tc>
          <w:tcPr>
            <w:tcW w:w="1094" w:type="pct"/>
          </w:tcPr>
          <w:p w:rsidR="00260042" w:rsidRDefault="00260042" w:rsidP="00134742">
            <w:pPr>
              <w:pStyle w:val="BodyText"/>
              <w:jc w:val="right"/>
            </w:pPr>
            <w:r>
              <w:rPr>
                <w:rStyle w:val="Bulletcolour"/>
              </w:rPr>
              <w:t>26,834</w:t>
            </w:r>
          </w:p>
        </w:tc>
      </w:tr>
      <w:tr w:rsidR="00260042" w:rsidTr="00134742">
        <w:trPr>
          <w:trHeight w:val="60"/>
        </w:trPr>
        <w:tc>
          <w:tcPr>
            <w:tcW w:w="1717" w:type="pct"/>
          </w:tcPr>
          <w:p w:rsidR="00260042" w:rsidRDefault="00260042" w:rsidP="00134742">
            <w:pPr>
              <w:pStyle w:val="BodyText"/>
            </w:pPr>
            <w:r>
              <w:rPr>
                <w:rStyle w:val="Bulletcolour"/>
              </w:rPr>
              <w:t>Value of fortnightly reductions</w:t>
            </w:r>
          </w:p>
        </w:tc>
        <w:tc>
          <w:tcPr>
            <w:tcW w:w="1094" w:type="pct"/>
          </w:tcPr>
          <w:p w:rsidR="00260042" w:rsidRDefault="00260042" w:rsidP="00134742">
            <w:pPr>
              <w:pStyle w:val="BodyText"/>
              <w:jc w:val="right"/>
            </w:pPr>
            <w:r>
              <w:rPr>
                <w:rStyle w:val="Bulletcolour"/>
              </w:rPr>
              <w:t>$26.5 million</w:t>
            </w:r>
          </w:p>
        </w:tc>
        <w:tc>
          <w:tcPr>
            <w:tcW w:w="1095" w:type="pct"/>
          </w:tcPr>
          <w:p w:rsidR="00260042" w:rsidRDefault="00260042" w:rsidP="00134742">
            <w:pPr>
              <w:pStyle w:val="BodyText"/>
              <w:jc w:val="right"/>
            </w:pPr>
            <w:r>
              <w:rPr>
                <w:rStyle w:val="Bulletcolour"/>
              </w:rPr>
              <w:t>$25.2 million</w:t>
            </w:r>
          </w:p>
        </w:tc>
        <w:tc>
          <w:tcPr>
            <w:tcW w:w="1094" w:type="pct"/>
          </w:tcPr>
          <w:p w:rsidR="00260042" w:rsidRDefault="00260042" w:rsidP="00134742">
            <w:pPr>
              <w:pStyle w:val="BodyText"/>
              <w:jc w:val="right"/>
            </w:pPr>
            <w:r>
              <w:rPr>
                <w:rStyle w:val="Bulletcolour"/>
              </w:rPr>
              <w:t>$15.6 million</w:t>
            </w:r>
          </w:p>
        </w:tc>
      </w:tr>
      <w:tr w:rsidR="00260042" w:rsidTr="00134742">
        <w:trPr>
          <w:trHeight w:val="60"/>
        </w:trPr>
        <w:tc>
          <w:tcPr>
            <w:tcW w:w="1717" w:type="pct"/>
          </w:tcPr>
          <w:p w:rsidR="00260042" w:rsidRDefault="00260042" w:rsidP="00134742">
            <w:pPr>
              <w:pStyle w:val="BodyText"/>
            </w:pPr>
            <w:r>
              <w:rPr>
                <w:rStyle w:val="Bulletcolour"/>
              </w:rPr>
              <w:t xml:space="preserve">Prevented outlays </w:t>
            </w:r>
          </w:p>
        </w:tc>
        <w:tc>
          <w:tcPr>
            <w:tcW w:w="1094" w:type="pct"/>
          </w:tcPr>
          <w:p w:rsidR="00260042" w:rsidRDefault="00260042" w:rsidP="00134742">
            <w:pPr>
              <w:pStyle w:val="BodyText"/>
              <w:jc w:val="right"/>
            </w:pPr>
            <w:r>
              <w:rPr>
                <w:rStyle w:val="Bulletcolour"/>
              </w:rPr>
              <w:t>$72.2 million</w:t>
            </w:r>
          </w:p>
        </w:tc>
        <w:tc>
          <w:tcPr>
            <w:tcW w:w="1095" w:type="pct"/>
          </w:tcPr>
          <w:p w:rsidR="00260042" w:rsidRDefault="00260042" w:rsidP="00134742">
            <w:pPr>
              <w:pStyle w:val="BodyText"/>
              <w:jc w:val="right"/>
            </w:pPr>
            <w:r>
              <w:rPr>
                <w:rStyle w:val="Bulletcolour"/>
              </w:rPr>
              <w:t>$52.7 million</w:t>
            </w:r>
          </w:p>
        </w:tc>
        <w:tc>
          <w:tcPr>
            <w:tcW w:w="1094" w:type="pct"/>
          </w:tcPr>
          <w:p w:rsidR="00260042" w:rsidRDefault="00260042" w:rsidP="00134742">
            <w:pPr>
              <w:pStyle w:val="BodyText"/>
              <w:jc w:val="right"/>
            </w:pPr>
            <w:r>
              <w:rPr>
                <w:rStyle w:val="Bulletcolour"/>
              </w:rPr>
              <w:t>NA</w:t>
            </w:r>
            <w:r>
              <w:rPr>
                <w:rStyle w:val="Bulletcolour"/>
                <w:vertAlign w:val="superscript"/>
              </w:rPr>
              <w:t>(a)</w:t>
            </w:r>
          </w:p>
        </w:tc>
      </w:tr>
      <w:tr w:rsidR="00260042" w:rsidTr="00134742">
        <w:trPr>
          <w:trHeight w:val="60"/>
        </w:trPr>
        <w:tc>
          <w:tcPr>
            <w:tcW w:w="1717" w:type="pct"/>
          </w:tcPr>
          <w:p w:rsidR="00260042" w:rsidRDefault="00260042" w:rsidP="00134742">
            <w:pPr>
              <w:pStyle w:val="BodyText"/>
            </w:pPr>
            <w:r>
              <w:rPr>
                <w:rStyle w:val="Bulletcolour"/>
              </w:rPr>
              <w:t>Debts raised</w:t>
            </w:r>
          </w:p>
        </w:tc>
        <w:tc>
          <w:tcPr>
            <w:tcW w:w="1094" w:type="pct"/>
          </w:tcPr>
          <w:p w:rsidR="00260042" w:rsidRDefault="00260042" w:rsidP="00134742">
            <w:pPr>
              <w:pStyle w:val="BodyText"/>
              <w:jc w:val="right"/>
            </w:pPr>
            <w:r>
              <w:rPr>
                <w:rStyle w:val="Bulletcolour"/>
              </w:rPr>
              <w:t>325,677</w:t>
            </w:r>
          </w:p>
        </w:tc>
        <w:tc>
          <w:tcPr>
            <w:tcW w:w="1095" w:type="pct"/>
          </w:tcPr>
          <w:p w:rsidR="00260042" w:rsidRDefault="00260042" w:rsidP="00134742">
            <w:pPr>
              <w:pStyle w:val="BodyText"/>
              <w:jc w:val="right"/>
            </w:pPr>
            <w:r>
              <w:rPr>
                <w:rStyle w:val="Bulletcolour"/>
              </w:rPr>
              <w:t>142,155</w:t>
            </w:r>
          </w:p>
        </w:tc>
        <w:tc>
          <w:tcPr>
            <w:tcW w:w="1094" w:type="pct"/>
          </w:tcPr>
          <w:p w:rsidR="00260042" w:rsidRDefault="00260042" w:rsidP="00134742">
            <w:pPr>
              <w:pStyle w:val="BodyText"/>
              <w:jc w:val="right"/>
            </w:pPr>
            <w:r>
              <w:rPr>
                <w:rStyle w:val="Bulletcolour"/>
              </w:rPr>
              <w:t>31,654</w:t>
            </w:r>
          </w:p>
        </w:tc>
      </w:tr>
      <w:tr w:rsidR="00260042" w:rsidTr="00134742">
        <w:trPr>
          <w:trHeight w:val="376"/>
        </w:trPr>
        <w:tc>
          <w:tcPr>
            <w:tcW w:w="1717" w:type="pct"/>
          </w:tcPr>
          <w:p w:rsidR="00260042" w:rsidRDefault="00260042" w:rsidP="00134742">
            <w:pPr>
              <w:pStyle w:val="BodyText"/>
            </w:pPr>
            <w:r>
              <w:rPr>
                <w:rStyle w:val="Bold"/>
              </w:rPr>
              <w:t>Total debt value</w:t>
            </w:r>
          </w:p>
        </w:tc>
        <w:tc>
          <w:tcPr>
            <w:tcW w:w="1094" w:type="pct"/>
          </w:tcPr>
          <w:p w:rsidR="00260042" w:rsidRDefault="00260042" w:rsidP="00134742">
            <w:pPr>
              <w:pStyle w:val="BodyText"/>
              <w:jc w:val="right"/>
            </w:pPr>
            <w:r>
              <w:rPr>
                <w:rStyle w:val="Bold"/>
              </w:rPr>
              <w:t>$885.8 million</w:t>
            </w:r>
          </w:p>
        </w:tc>
        <w:tc>
          <w:tcPr>
            <w:tcW w:w="1095" w:type="pct"/>
          </w:tcPr>
          <w:p w:rsidR="00260042" w:rsidRDefault="00260042" w:rsidP="00134742">
            <w:pPr>
              <w:pStyle w:val="BodyText"/>
              <w:jc w:val="right"/>
            </w:pPr>
            <w:r>
              <w:rPr>
                <w:rStyle w:val="Bold"/>
              </w:rPr>
              <w:t>$364.4 million</w:t>
            </w:r>
          </w:p>
        </w:tc>
        <w:tc>
          <w:tcPr>
            <w:tcW w:w="1094" w:type="pct"/>
          </w:tcPr>
          <w:p w:rsidR="00260042" w:rsidRDefault="00260042" w:rsidP="00134742">
            <w:pPr>
              <w:pStyle w:val="BodyText"/>
              <w:jc w:val="right"/>
            </w:pPr>
            <w:r>
              <w:rPr>
                <w:rStyle w:val="Bold"/>
              </w:rPr>
              <w:t>$59.2 million</w:t>
            </w:r>
          </w:p>
        </w:tc>
      </w:tr>
    </w:tbl>
    <w:p w:rsidR="00260042" w:rsidRDefault="00260042" w:rsidP="00EA5510">
      <w:pPr>
        <w:pStyle w:val="BodyText"/>
      </w:pPr>
      <w:r>
        <w:t>(a)</w:t>
      </w:r>
      <w:r>
        <w:tab/>
        <w:t xml:space="preserve">This information is not available due to the impact of COVID-19 and other related activities. </w:t>
      </w:r>
    </w:p>
    <w:p w:rsidR="00260042" w:rsidRDefault="00260042" w:rsidP="002E64CE">
      <w:pPr>
        <w:pStyle w:val="Heading3"/>
      </w:pPr>
      <w:r>
        <w:lastRenderedPageBreak/>
        <w:t>Income Compliance Program</w:t>
      </w:r>
    </w:p>
    <w:p w:rsidR="00260042" w:rsidRDefault="00260042" w:rsidP="00260042">
      <w:pPr>
        <w:pStyle w:val="BodyText"/>
      </w:pPr>
      <w:r>
        <w:t xml:space="preserve">In 2020–21, Services Australia delivered a refund process for debts that </w:t>
      </w:r>
      <w:proofErr w:type="gramStart"/>
      <w:r>
        <w:t>were calculated</w:t>
      </w:r>
      <w:proofErr w:type="gramEnd"/>
      <w:r>
        <w:t xml:space="preserve"> wholly or partly using averaged ATO income data, including customers who had repaid all or part of a subject debt. </w:t>
      </w:r>
    </w:p>
    <w:p w:rsidR="00260042" w:rsidRDefault="00260042" w:rsidP="00260042">
      <w:pPr>
        <w:pStyle w:val="BodyText"/>
      </w:pPr>
      <w:r>
        <w:t xml:space="preserve">The agency identified impacted debts and has refunded the majority of the 529,000 debts affecting approximately 433,000 people that </w:t>
      </w:r>
      <w:proofErr w:type="gramStart"/>
      <w:r>
        <w:t>were raised</w:t>
      </w:r>
      <w:proofErr w:type="gramEnd"/>
      <w:r>
        <w:t xml:space="preserve"> using income averaging. Over $724 million </w:t>
      </w:r>
      <w:proofErr w:type="gramStart"/>
      <w:r>
        <w:t>has been refunded</w:t>
      </w:r>
      <w:proofErr w:type="gramEnd"/>
      <w:r>
        <w:t xml:space="preserve"> which equates to over 96% of the estimated total of $751 million in 2020–21. </w:t>
      </w:r>
    </w:p>
    <w:p w:rsidR="00260042" w:rsidRDefault="00260042" w:rsidP="00260042">
      <w:pPr>
        <w:pStyle w:val="BodyText"/>
      </w:pPr>
      <w:r>
        <w:t xml:space="preserve">The agency has attempted to contact, via various mediums and channels, a residual small group of former customers who are yet to engage with the agency and </w:t>
      </w:r>
      <w:proofErr w:type="gramStart"/>
      <w:r>
        <w:t>be refunded</w:t>
      </w:r>
      <w:proofErr w:type="gramEnd"/>
      <w:r>
        <w:t>. They will receive their refund when they re-contact the agency at any time in the future.</w:t>
      </w:r>
    </w:p>
    <w:p w:rsidR="00260042" w:rsidRDefault="00260042" w:rsidP="00C81689">
      <w:pPr>
        <w:pStyle w:val="Heading2"/>
      </w:pPr>
      <w:r>
        <w:t xml:space="preserve">Debt management </w:t>
      </w:r>
    </w:p>
    <w:p w:rsidR="00260042" w:rsidRDefault="00260042" w:rsidP="00260042">
      <w:pPr>
        <w:pStyle w:val="BodyText"/>
      </w:pPr>
      <w:r>
        <w:t>Services Australia works with people to minimise the chances of incurring a debt through measures that help them to understand their obligations. However, in circumstances where people have not been paid the right amount, and a debt is incurred, we work with customers taking into account their personal circumstances to recover overpayments.</w:t>
      </w:r>
    </w:p>
    <w:p w:rsidR="00260042" w:rsidRDefault="00260042" w:rsidP="00260042">
      <w:pPr>
        <w:pStyle w:val="BodyText"/>
      </w:pPr>
      <w:r>
        <w:t xml:space="preserve">When a person is finding it difficult to repay a debt, the agency is flexible. For instance, the agency can pause recovery of a debt for a specified period for those experiencing financial hardship and those in vulnerable situations. The agency also provides support to customers through our network of social workers when more specialised assistance </w:t>
      </w:r>
      <w:proofErr w:type="gramStart"/>
      <w:r>
        <w:t>is needed</w:t>
      </w:r>
      <w:proofErr w:type="gramEnd"/>
      <w:r>
        <w:t>.</w:t>
      </w:r>
    </w:p>
    <w:p w:rsidR="00260042" w:rsidRDefault="00260042" w:rsidP="00260042">
      <w:pPr>
        <w:pStyle w:val="BodyText"/>
        <w:keepLines/>
      </w:pPr>
      <w:r>
        <w:t xml:space="preserve">As COVID-19 restrictions eased, the National Debt Pause put in place in April 2020 was lifted and from 2 November </w:t>
      </w:r>
      <w:proofErr w:type="gramStart"/>
      <w:r>
        <w:t>2020</w:t>
      </w:r>
      <w:proofErr w:type="gramEnd"/>
      <w:r>
        <w:t xml:space="preserve"> Services Australia gradually started raising debts again, except for areas that remained in a state of disaster, including Victoria and bushfire-affected Local Government Areas. </w:t>
      </w:r>
    </w:p>
    <w:p w:rsidR="00260042" w:rsidRDefault="00260042" w:rsidP="00260042">
      <w:pPr>
        <w:pStyle w:val="BodyText"/>
      </w:pPr>
      <w:r>
        <w:t xml:space="preserve">On 11 January 2021, the agency lifted the pause on debt raising activities for Victoria. From 1 February 2021, the agency recommenced debt recovery activity. </w:t>
      </w:r>
    </w:p>
    <w:p w:rsidR="00260042" w:rsidRDefault="00260042" w:rsidP="00260042">
      <w:pPr>
        <w:pStyle w:val="BodyText"/>
      </w:pPr>
      <w:r>
        <w:t xml:space="preserve">Delaying debt recovery until February 2021 recognised the financial difficulties many people continued to face </w:t>
      </w:r>
      <w:proofErr w:type="gramStart"/>
      <w:r>
        <w:t>as a result</w:t>
      </w:r>
      <w:proofErr w:type="gramEnd"/>
      <w:r>
        <w:t xml:space="preserve"> of COVID-19 pandemic impacts. It gave people time to consider their circumstances, engage with the agency about their options, and plan their finances.</w:t>
      </w:r>
    </w:p>
    <w:p w:rsidR="00260042" w:rsidRDefault="00260042" w:rsidP="00260042">
      <w:pPr>
        <w:pStyle w:val="BodyText"/>
      </w:pPr>
      <w:r>
        <w:t>The agency also supported customers living in areas affected by natural disasters by pausing debt raising and recovery activities in these areas, with the exception of fraud and serious non-compliance work.</w:t>
      </w:r>
    </w:p>
    <w:p w:rsidR="00260042" w:rsidRDefault="00260042" w:rsidP="00260042">
      <w:pPr>
        <w:pStyle w:val="BodyText"/>
      </w:pPr>
      <w:r>
        <w:t>During the year, the agency made several improvements to services for customers who had been overpaid. Improvements were made to the way we communicated with customers about their overpayments, including updates to the account payable notice, to provide better debt explanations and the use of SMS to help customers understand how to manage their debt.</w:t>
      </w:r>
    </w:p>
    <w:p w:rsidR="00260042" w:rsidRDefault="00260042" w:rsidP="00260042">
      <w:pPr>
        <w:pStyle w:val="BodyText"/>
      </w:pPr>
      <w:r>
        <w:t xml:space="preserve">To improve customer experiences, enhancements </w:t>
      </w:r>
      <w:proofErr w:type="gramStart"/>
      <w:r>
        <w:t>were also made</w:t>
      </w:r>
      <w:proofErr w:type="gramEnd"/>
      <w:r>
        <w:t xml:space="preserve"> to the Centrelink Online app, the Money You Owe online service, and interactive voice response technologies on the dedicated debt recovery phone line.</w:t>
      </w:r>
    </w:p>
    <w:p w:rsidR="00260042" w:rsidRPr="00EA5510" w:rsidRDefault="009B789E" w:rsidP="00EA5510">
      <w:pPr>
        <w:pStyle w:val="BodyText"/>
        <w:rPr>
          <w:b/>
        </w:rPr>
      </w:pPr>
      <w:r>
        <w:rPr>
          <w:rStyle w:val="Bold"/>
          <w:bCs w:val="0"/>
        </w:rPr>
        <w:t>Table 3</w:t>
      </w:r>
      <w:r>
        <w:rPr>
          <w:rStyle w:val="Bold"/>
          <w:bCs w:val="0"/>
        </w:rPr>
        <w:t>7</w:t>
      </w:r>
      <w:r w:rsidR="00260042" w:rsidRPr="00EA5510">
        <w:rPr>
          <w:b/>
        </w:rPr>
        <w:t xml:space="preserve"> Debts raised from customers who received social welfare payments</w:t>
      </w:r>
    </w:p>
    <w:tbl>
      <w:tblPr>
        <w:tblStyle w:val="TableGrid"/>
        <w:tblW w:w="5000" w:type="pct"/>
        <w:tblLook w:val="0000" w:firstRow="0" w:lastRow="0" w:firstColumn="0" w:lastColumn="0" w:noHBand="0" w:noVBand="0"/>
        <w:tblCaption w:val=" Debts raised from customers who received social welfare payments"/>
      </w:tblPr>
      <w:tblGrid>
        <w:gridCol w:w="3652"/>
        <w:gridCol w:w="2380"/>
        <w:gridCol w:w="2380"/>
        <w:gridCol w:w="2378"/>
      </w:tblGrid>
      <w:tr w:rsidR="00260042" w:rsidTr="009B789E">
        <w:trPr>
          <w:trHeight w:val="60"/>
          <w:tblHeader/>
        </w:trPr>
        <w:tc>
          <w:tcPr>
            <w:tcW w:w="1692" w:type="pct"/>
          </w:tcPr>
          <w:p w:rsidR="00260042" w:rsidRPr="00134742" w:rsidRDefault="00260042" w:rsidP="00134742">
            <w:pPr>
              <w:pStyle w:val="BodyText"/>
              <w:rPr>
                <w:b/>
              </w:rPr>
            </w:pPr>
          </w:p>
        </w:tc>
        <w:tc>
          <w:tcPr>
            <w:tcW w:w="1103" w:type="pct"/>
          </w:tcPr>
          <w:p w:rsidR="00260042" w:rsidRPr="00134742" w:rsidRDefault="00260042" w:rsidP="00134742">
            <w:pPr>
              <w:pStyle w:val="BodyText"/>
              <w:jc w:val="right"/>
              <w:rPr>
                <w:b/>
              </w:rPr>
            </w:pPr>
            <w:r w:rsidRPr="00134742">
              <w:rPr>
                <w:rStyle w:val="Bulletcolour"/>
                <w:b/>
              </w:rPr>
              <w:t>2018–19</w:t>
            </w:r>
          </w:p>
        </w:tc>
        <w:tc>
          <w:tcPr>
            <w:tcW w:w="1103" w:type="pct"/>
          </w:tcPr>
          <w:p w:rsidR="00260042" w:rsidRPr="00134742" w:rsidRDefault="00260042" w:rsidP="00134742">
            <w:pPr>
              <w:pStyle w:val="BodyText"/>
              <w:jc w:val="right"/>
              <w:rPr>
                <w:b/>
              </w:rPr>
            </w:pPr>
            <w:r w:rsidRPr="00134742">
              <w:rPr>
                <w:rStyle w:val="Bulletcolour"/>
                <w:b/>
              </w:rPr>
              <w:t>2019–20</w:t>
            </w:r>
          </w:p>
        </w:tc>
        <w:tc>
          <w:tcPr>
            <w:tcW w:w="1102" w:type="pct"/>
          </w:tcPr>
          <w:p w:rsidR="00260042" w:rsidRPr="00134742" w:rsidRDefault="00260042" w:rsidP="00134742">
            <w:pPr>
              <w:pStyle w:val="BodyText"/>
              <w:jc w:val="right"/>
              <w:rPr>
                <w:b/>
              </w:rPr>
            </w:pPr>
            <w:r w:rsidRPr="00134742">
              <w:rPr>
                <w:rStyle w:val="Bulletcolour"/>
                <w:b/>
              </w:rPr>
              <w:t>2020–21</w:t>
            </w:r>
          </w:p>
        </w:tc>
      </w:tr>
      <w:tr w:rsidR="00260042" w:rsidTr="009B789E">
        <w:trPr>
          <w:trHeight w:val="60"/>
        </w:trPr>
        <w:tc>
          <w:tcPr>
            <w:tcW w:w="1692" w:type="pct"/>
          </w:tcPr>
          <w:p w:rsidR="00260042" w:rsidRDefault="00260042" w:rsidP="00134742">
            <w:pPr>
              <w:pStyle w:val="BodyText"/>
            </w:pPr>
            <w:r>
              <w:rPr>
                <w:rStyle w:val="Bulletcolour"/>
              </w:rPr>
              <w:t>Number of debts raised</w:t>
            </w:r>
          </w:p>
        </w:tc>
        <w:tc>
          <w:tcPr>
            <w:tcW w:w="1103" w:type="pct"/>
          </w:tcPr>
          <w:p w:rsidR="00260042" w:rsidRDefault="00260042" w:rsidP="00134742">
            <w:pPr>
              <w:pStyle w:val="BodyText"/>
              <w:jc w:val="right"/>
            </w:pPr>
            <w:r>
              <w:rPr>
                <w:rStyle w:val="Bulletcolour"/>
              </w:rPr>
              <w:t>2,270,117</w:t>
            </w:r>
          </w:p>
        </w:tc>
        <w:tc>
          <w:tcPr>
            <w:tcW w:w="1103" w:type="pct"/>
          </w:tcPr>
          <w:p w:rsidR="00260042" w:rsidRDefault="00260042" w:rsidP="00134742">
            <w:pPr>
              <w:pStyle w:val="BodyText"/>
              <w:jc w:val="right"/>
            </w:pPr>
            <w:r>
              <w:rPr>
                <w:rStyle w:val="Bulletcolour"/>
              </w:rPr>
              <w:t>1,758,484</w:t>
            </w:r>
          </w:p>
        </w:tc>
        <w:tc>
          <w:tcPr>
            <w:tcW w:w="1102" w:type="pct"/>
          </w:tcPr>
          <w:p w:rsidR="00260042" w:rsidRDefault="00260042" w:rsidP="00134742">
            <w:pPr>
              <w:pStyle w:val="BodyText"/>
              <w:jc w:val="right"/>
            </w:pPr>
            <w:r>
              <w:rPr>
                <w:rStyle w:val="Bulletcolour"/>
              </w:rPr>
              <w:t>1,693,911</w:t>
            </w:r>
          </w:p>
        </w:tc>
      </w:tr>
      <w:tr w:rsidR="00260042" w:rsidTr="009B789E">
        <w:trPr>
          <w:trHeight w:val="60"/>
        </w:trPr>
        <w:tc>
          <w:tcPr>
            <w:tcW w:w="1692" w:type="pct"/>
          </w:tcPr>
          <w:p w:rsidR="00260042" w:rsidRDefault="00260042" w:rsidP="00134742">
            <w:pPr>
              <w:pStyle w:val="BodyText"/>
            </w:pPr>
            <w:r>
              <w:rPr>
                <w:rStyle w:val="Bulletcolour"/>
              </w:rPr>
              <w:t>Amount raised</w:t>
            </w:r>
          </w:p>
        </w:tc>
        <w:tc>
          <w:tcPr>
            <w:tcW w:w="1103" w:type="pct"/>
          </w:tcPr>
          <w:p w:rsidR="00260042" w:rsidRDefault="00260042" w:rsidP="00134742">
            <w:pPr>
              <w:pStyle w:val="BodyText"/>
              <w:jc w:val="right"/>
            </w:pPr>
            <w:r>
              <w:rPr>
                <w:rStyle w:val="Bulletcolour"/>
              </w:rPr>
              <w:t>$3.4 billion</w:t>
            </w:r>
          </w:p>
        </w:tc>
        <w:tc>
          <w:tcPr>
            <w:tcW w:w="1103" w:type="pct"/>
          </w:tcPr>
          <w:p w:rsidR="00260042" w:rsidRDefault="00260042" w:rsidP="00134742">
            <w:pPr>
              <w:pStyle w:val="BodyText"/>
              <w:jc w:val="right"/>
            </w:pPr>
            <w:r>
              <w:rPr>
                <w:rStyle w:val="Bulletcolour"/>
              </w:rPr>
              <w:t>$2.4 billion</w:t>
            </w:r>
          </w:p>
        </w:tc>
        <w:tc>
          <w:tcPr>
            <w:tcW w:w="1102" w:type="pct"/>
          </w:tcPr>
          <w:p w:rsidR="00260042" w:rsidRDefault="00260042" w:rsidP="00134742">
            <w:pPr>
              <w:pStyle w:val="BodyText"/>
              <w:jc w:val="right"/>
            </w:pPr>
            <w:r>
              <w:rPr>
                <w:rStyle w:val="Bulletcolour"/>
              </w:rPr>
              <w:t>$2.0 billion</w:t>
            </w:r>
          </w:p>
        </w:tc>
      </w:tr>
    </w:tbl>
    <w:p w:rsidR="00260042" w:rsidRPr="00EA5510" w:rsidRDefault="009B789E" w:rsidP="00EA5510">
      <w:pPr>
        <w:pStyle w:val="BodyText"/>
        <w:rPr>
          <w:b/>
        </w:rPr>
      </w:pPr>
      <w:r>
        <w:rPr>
          <w:rStyle w:val="Bold"/>
          <w:bCs w:val="0"/>
        </w:rPr>
        <w:t>Table 3</w:t>
      </w:r>
      <w:r>
        <w:rPr>
          <w:rStyle w:val="Bold"/>
          <w:bCs w:val="0"/>
        </w:rPr>
        <w:t>8</w:t>
      </w:r>
      <w:r w:rsidR="00260042" w:rsidRPr="00EA5510">
        <w:rPr>
          <w:b/>
        </w:rPr>
        <w:t xml:space="preserve"> Social welfare debt recovered</w:t>
      </w:r>
    </w:p>
    <w:tbl>
      <w:tblPr>
        <w:tblStyle w:val="TableGrid"/>
        <w:tblW w:w="5000" w:type="pct"/>
        <w:tblLook w:val="0000" w:firstRow="0" w:lastRow="0" w:firstColumn="0" w:lastColumn="0" w:noHBand="0" w:noVBand="0"/>
        <w:tblCaption w:val="Social welfare debt recovered"/>
      </w:tblPr>
      <w:tblGrid>
        <w:gridCol w:w="3652"/>
        <w:gridCol w:w="2380"/>
        <w:gridCol w:w="2380"/>
        <w:gridCol w:w="2378"/>
      </w:tblGrid>
      <w:tr w:rsidR="00260042" w:rsidTr="00134742">
        <w:trPr>
          <w:trHeight w:val="60"/>
          <w:tblHeader/>
        </w:trPr>
        <w:tc>
          <w:tcPr>
            <w:tcW w:w="1692" w:type="pct"/>
          </w:tcPr>
          <w:p w:rsidR="00260042" w:rsidRPr="00134742" w:rsidRDefault="00260042" w:rsidP="00134742">
            <w:pPr>
              <w:pStyle w:val="BodyText"/>
              <w:rPr>
                <w:b/>
              </w:rPr>
            </w:pPr>
          </w:p>
        </w:tc>
        <w:tc>
          <w:tcPr>
            <w:tcW w:w="1103" w:type="pct"/>
          </w:tcPr>
          <w:p w:rsidR="00260042" w:rsidRPr="00134742" w:rsidRDefault="00260042" w:rsidP="00134742">
            <w:pPr>
              <w:pStyle w:val="BodyText"/>
              <w:jc w:val="right"/>
              <w:rPr>
                <w:b/>
              </w:rPr>
            </w:pPr>
            <w:r w:rsidRPr="00134742">
              <w:rPr>
                <w:rStyle w:val="Bulletcolour"/>
                <w:b/>
              </w:rPr>
              <w:t>2018–19</w:t>
            </w:r>
          </w:p>
        </w:tc>
        <w:tc>
          <w:tcPr>
            <w:tcW w:w="1103" w:type="pct"/>
          </w:tcPr>
          <w:p w:rsidR="00260042" w:rsidRPr="00134742" w:rsidRDefault="00260042" w:rsidP="00134742">
            <w:pPr>
              <w:pStyle w:val="BodyText"/>
              <w:jc w:val="right"/>
              <w:rPr>
                <w:b/>
              </w:rPr>
            </w:pPr>
            <w:r w:rsidRPr="00134742">
              <w:rPr>
                <w:rStyle w:val="Bulletcolour"/>
                <w:b/>
              </w:rPr>
              <w:t>2019–20</w:t>
            </w:r>
          </w:p>
        </w:tc>
        <w:tc>
          <w:tcPr>
            <w:tcW w:w="1103" w:type="pct"/>
          </w:tcPr>
          <w:p w:rsidR="00260042" w:rsidRPr="00134742" w:rsidRDefault="00260042" w:rsidP="00134742">
            <w:pPr>
              <w:pStyle w:val="BodyText"/>
              <w:jc w:val="right"/>
              <w:rPr>
                <w:b/>
              </w:rPr>
            </w:pPr>
            <w:r w:rsidRPr="00134742">
              <w:rPr>
                <w:rStyle w:val="Bulletcolour"/>
                <w:b/>
              </w:rPr>
              <w:t>2020–21</w:t>
            </w:r>
          </w:p>
        </w:tc>
      </w:tr>
      <w:tr w:rsidR="00260042" w:rsidTr="00134742">
        <w:trPr>
          <w:trHeight w:val="60"/>
        </w:trPr>
        <w:tc>
          <w:tcPr>
            <w:tcW w:w="1692" w:type="pct"/>
          </w:tcPr>
          <w:p w:rsidR="00260042" w:rsidRDefault="00260042" w:rsidP="00134742">
            <w:pPr>
              <w:pStyle w:val="BodyText"/>
            </w:pPr>
            <w:r>
              <w:rPr>
                <w:rStyle w:val="Bulletcolour"/>
              </w:rPr>
              <w:t>Total debts recovered</w:t>
            </w:r>
          </w:p>
        </w:tc>
        <w:tc>
          <w:tcPr>
            <w:tcW w:w="1103" w:type="pct"/>
          </w:tcPr>
          <w:p w:rsidR="00260042" w:rsidRDefault="00260042" w:rsidP="00134742">
            <w:pPr>
              <w:pStyle w:val="BodyText"/>
              <w:jc w:val="right"/>
            </w:pPr>
            <w:r>
              <w:rPr>
                <w:rStyle w:val="Bulletcolour"/>
              </w:rPr>
              <w:t>$1.85 billion</w:t>
            </w:r>
          </w:p>
        </w:tc>
        <w:tc>
          <w:tcPr>
            <w:tcW w:w="1103" w:type="pct"/>
          </w:tcPr>
          <w:p w:rsidR="00260042" w:rsidRDefault="00260042" w:rsidP="00134742">
            <w:pPr>
              <w:pStyle w:val="BodyText"/>
              <w:jc w:val="right"/>
            </w:pPr>
            <w:r>
              <w:rPr>
                <w:rStyle w:val="Bulletcolour"/>
              </w:rPr>
              <w:t>$1.75 billion</w:t>
            </w:r>
          </w:p>
        </w:tc>
        <w:tc>
          <w:tcPr>
            <w:tcW w:w="1103" w:type="pct"/>
          </w:tcPr>
          <w:p w:rsidR="00260042" w:rsidRDefault="00260042" w:rsidP="00134742">
            <w:pPr>
              <w:pStyle w:val="BodyText"/>
              <w:jc w:val="right"/>
            </w:pPr>
            <w:r>
              <w:rPr>
                <w:rStyle w:val="Bulletcolour"/>
              </w:rPr>
              <w:t>$0.85 billion</w:t>
            </w:r>
            <w:r>
              <w:rPr>
                <w:rStyle w:val="Bulletcolour"/>
                <w:vertAlign w:val="superscript"/>
              </w:rPr>
              <w:t>(a)</w:t>
            </w:r>
            <w:r>
              <w:rPr>
                <w:rStyle w:val="Bulletcolour"/>
              </w:rPr>
              <w:t xml:space="preserve"> </w:t>
            </w:r>
          </w:p>
        </w:tc>
      </w:tr>
      <w:tr w:rsidR="00260042" w:rsidTr="00134742">
        <w:trPr>
          <w:trHeight w:val="60"/>
        </w:trPr>
        <w:tc>
          <w:tcPr>
            <w:tcW w:w="1692" w:type="pct"/>
          </w:tcPr>
          <w:p w:rsidR="00260042" w:rsidRDefault="00260042" w:rsidP="00134742">
            <w:pPr>
              <w:pStyle w:val="BodyText"/>
            </w:pPr>
            <w:r>
              <w:rPr>
                <w:rStyle w:val="Bulletcolour"/>
              </w:rPr>
              <w:t>Amount recovered by contracted agents</w:t>
            </w:r>
          </w:p>
        </w:tc>
        <w:tc>
          <w:tcPr>
            <w:tcW w:w="1103" w:type="pct"/>
          </w:tcPr>
          <w:p w:rsidR="00260042" w:rsidRDefault="00260042" w:rsidP="00134742">
            <w:pPr>
              <w:pStyle w:val="BodyText"/>
              <w:jc w:val="right"/>
            </w:pPr>
            <w:r>
              <w:rPr>
                <w:rStyle w:val="Bulletcolour"/>
              </w:rPr>
              <w:t>$147.8 million</w:t>
            </w:r>
          </w:p>
        </w:tc>
        <w:tc>
          <w:tcPr>
            <w:tcW w:w="1103" w:type="pct"/>
          </w:tcPr>
          <w:p w:rsidR="00260042" w:rsidRDefault="00260042" w:rsidP="00134742">
            <w:pPr>
              <w:pStyle w:val="BodyText"/>
              <w:jc w:val="right"/>
            </w:pPr>
            <w:r>
              <w:rPr>
                <w:rStyle w:val="Bulletcolour"/>
              </w:rPr>
              <w:t>$110.7 million</w:t>
            </w:r>
            <w:r>
              <w:rPr>
                <w:rStyle w:val="Bulletcolour"/>
                <w:vertAlign w:val="superscript"/>
              </w:rPr>
              <w:t>(b)</w:t>
            </w:r>
            <w:r>
              <w:rPr>
                <w:rStyle w:val="Bulletcolour"/>
              </w:rPr>
              <w:t xml:space="preserve"> </w:t>
            </w:r>
          </w:p>
        </w:tc>
        <w:tc>
          <w:tcPr>
            <w:tcW w:w="1103" w:type="pct"/>
          </w:tcPr>
          <w:p w:rsidR="00260042" w:rsidRDefault="00260042" w:rsidP="00134742">
            <w:pPr>
              <w:pStyle w:val="BodyText"/>
              <w:jc w:val="right"/>
            </w:pPr>
            <w:r>
              <w:rPr>
                <w:rStyle w:val="Bulletcolour"/>
              </w:rPr>
              <w:t>$42.2 million</w:t>
            </w:r>
          </w:p>
        </w:tc>
      </w:tr>
      <w:tr w:rsidR="00260042" w:rsidTr="00134742">
        <w:trPr>
          <w:trHeight w:val="60"/>
        </w:trPr>
        <w:tc>
          <w:tcPr>
            <w:tcW w:w="1692" w:type="pct"/>
          </w:tcPr>
          <w:p w:rsidR="00260042" w:rsidRDefault="00260042" w:rsidP="00134742">
            <w:pPr>
              <w:pStyle w:val="BodyText"/>
            </w:pPr>
            <w:r>
              <w:rPr>
                <w:rStyle w:val="Bulletcolour"/>
              </w:rPr>
              <w:t>% of total recovered by contracted agents</w:t>
            </w:r>
          </w:p>
        </w:tc>
        <w:tc>
          <w:tcPr>
            <w:tcW w:w="1103" w:type="pct"/>
          </w:tcPr>
          <w:p w:rsidR="00260042" w:rsidRDefault="00260042" w:rsidP="00134742">
            <w:pPr>
              <w:pStyle w:val="BodyText"/>
              <w:jc w:val="right"/>
            </w:pPr>
            <w:r>
              <w:rPr>
                <w:rStyle w:val="Bulletcolour"/>
              </w:rPr>
              <w:t>8.0</w:t>
            </w:r>
          </w:p>
        </w:tc>
        <w:tc>
          <w:tcPr>
            <w:tcW w:w="1103" w:type="pct"/>
          </w:tcPr>
          <w:p w:rsidR="00260042" w:rsidRDefault="00260042" w:rsidP="00134742">
            <w:pPr>
              <w:pStyle w:val="BodyText"/>
              <w:jc w:val="right"/>
            </w:pPr>
            <w:r>
              <w:rPr>
                <w:rStyle w:val="Bulletcolour"/>
              </w:rPr>
              <w:t>6.3</w:t>
            </w:r>
            <w:r>
              <w:rPr>
                <w:rStyle w:val="Bulletcolour"/>
                <w:vertAlign w:val="superscript"/>
              </w:rPr>
              <w:t>(a)</w:t>
            </w:r>
          </w:p>
        </w:tc>
        <w:tc>
          <w:tcPr>
            <w:tcW w:w="1103" w:type="pct"/>
          </w:tcPr>
          <w:p w:rsidR="00260042" w:rsidRDefault="00260042" w:rsidP="00134742">
            <w:pPr>
              <w:pStyle w:val="BodyText"/>
              <w:jc w:val="right"/>
            </w:pPr>
            <w:r>
              <w:rPr>
                <w:rStyle w:val="Bulletcolour"/>
              </w:rPr>
              <w:t>5.0</w:t>
            </w:r>
          </w:p>
        </w:tc>
      </w:tr>
    </w:tbl>
    <w:p w:rsidR="00260042" w:rsidRDefault="00260042" w:rsidP="00EA5510">
      <w:pPr>
        <w:pStyle w:val="BodyText"/>
      </w:pPr>
      <w:r>
        <w:t>(a)</w:t>
      </w:r>
      <w:r>
        <w:tab/>
        <w:t>The reduced recoveries in this financial year is due to the National Debt Pause. This amount excludes the $730.2 million in refunds from the Returned Repayment project, which began refunding customers in July 2020.</w:t>
      </w:r>
    </w:p>
    <w:p w:rsidR="00260042" w:rsidRDefault="00260042" w:rsidP="00EA5510">
      <w:pPr>
        <w:pStyle w:val="BodyText"/>
      </w:pPr>
      <w:r>
        <w:t>(b)</w:t>
      </w:r>
      <w:r>
        <w:tab/>
        <w:t xml:space="preserve">The amount recovered by contracted agents </w:t>
      </w:r>
      <w:proofErr w:type="gramStart"/>
      <w:r>
        <w:t>was revised</w:t>
      </w:r>
      <w:proofErr w:type="gramEnd"/>
      <w:r>
        <w:t xml:space="preserve"> from $105.0 million to $110.7 million for 2019–20, as some information was not available at the time of publication.</w:t>
      </w:r>
    </w:p>
    <w:p w:rsidR="00260042" w:rsidRDefault="00260042" w:rsidP="00BC1153">
      <w:pPr>
        <w:pStyle w:val="Heading1"/>
      </w:pPr>
      <w:r>
        <w:t>8.3 External scrutiny</w:t>
      </w:r>
    </w:p>
    <w:p w:rsidR="00260042" w:rsidRDefault="00260042" w:rsidP="008474A9">
      <w:pPr>
        <w:pStyle w:val="BodyText"/>
      </w:pPr>
      <w:r>
        <w:t>Services Australia’s activities and operations are subject to scrutiny from a number of external bodies, among them the ANAO, parliamentary committees, the courts and administrative tribunals, the Australian Information Commissioner, the Privacy Commissioner and the Commonwealth Ombudsman.</w:t>
      </w:r>
    </w:p>
    <w:p w:rsidR="00260042" w:rsidRDefault="00260042" w:rsidP="00C81689">
      <w:pPr>
        <w:pStyle w:val="Heading2"/>
      </w:pPr>
      <w:r>
        <w:t>Judicial decisions</w:t>
      </w:r>
    </w:p>
    <w:p w:rsidR="00260042" w:rsidRDefault="00260042" w:rsidP="00260042">
      <w:pPr>
        <w:pStyle w:val="BodyText"/>
      </w:pPr>
      <w:r>
        <w:t xml:space="preserve">On 11 June 2021, Justice Murphy of the Federal Court of Australia approved a settlement in </w:t>
      </w:r>
      <w:r>
        <w:rPr>
          <w:i/>
          <w:iCs/>
        </w:rPr>
        <w:t xml:space="preserve">Katherine </w:t>
      </w:r>
      <w:proofErr w:type="spellStart"/>
      <w:r>
        <w:rPr>
          <w:i/>
          <w:iCs/>
        </w:rPr>
        <w:t>Prygodicz</w:t>
      </w:r>
      <w:proofErr w:type="spellEnd"/>
      <w:r>
        <w:rPr>
          <w:i/>
          <w:iCs/>
        </w:rPr>
        <w:t xml:space="preserve"> &amp; </w:t>
      </w:r>
      <w:proofErr w:type="spellStart"/>
      <w:r>
        <w:rPr>
          <w:i/>
          <w:iCs/>
        </w:rPr>
        <w:t>Ors</w:t>
      </w:r>
      <w:proofErr w:type="spellEnd"/>
      <w:r>
        <w:rPr>
          <w:i/>
          <w:iCs/>
        </w:rPr>
        <w:t xml:space="preserve"> v Commonwealth of Australia</w:t>
      </w:r>
      <w:r>
        <w:t xml:space="preserve"> (VID1252/2019). </w:t>
      </w:r>
    </w:p>
    <w:p w:rsidR="00260042" w:rsidRDefault="00260042" w:rsidP="00260042">
      <w:pPr>
        <w:pStyle w:val="BodyText"/>
      </w:pPr>
      <w:r>
        <w:t xml:space="preserve">The proceedings relate to a class action commenced pursuant to Part IVA of the </w:t>
      </w:r>
      <w:r>
        <w:rPr>
          <w:i/>
          <w:iCs/>
        </w:rPr>
        <w:t>Federal Court of Australia Act 1976</w:t>
      </w:r>
      <w:r>
        <w:t xml:space="preserve"> seeking declarations, restitution, damages and other relief involving some 648,000 group members who had debts raised based on averaged ATO income information. This process was part of the Income Compliance Program, colloquially referred to as ‘</w:t>
      </w:r>
      <w:proofErr w:type="spellStart"/>
      <w:r>
        <w:t>robodebt</w:t>
      </w:r>
      <w:proofErr w:type="spellEnd"/>
      <w:r>
        <w:t>’.</w:t>
      </w:r>
    </w:p>
    <w:p w:rsidR="00260042" w:rsidRDefault="00260042" w:rsidP="00260042">
      <w:pPr>
        <w:pStyle w:val="BodyText"/>
      </w:pPr>
      <w:r>
        <w:t>The agencies responsible for the Income Compliance Program were the Department of Social Services and Services Australia.</w:t>
      </w:r>
    </w:p>
    <w:p w:rsidR="00260042" w:rsidRDefault="00260042" w:rsidP="00260042">
      <w:pPr>
        <w:pStyle w:val="BodyText"/>
      </w:pPr>
      <w:r>
        <w:t xml:space="preserve">During the proceedings, the Commonwealth accepted that there was no proper legal basis under which to use averaged ATO income data to raise and recover debts. The Commonwealth had previously announced, in May 2020, that it would refund debts raised wholly or partially using </w:t>
      </w:r>
      <w:r>
        <w:lastRenderedPageBreak/>
        <w:t xml:space="preserve">averaged ATO income data. Under the Deed of Settlement, the Commonwealth agreed to pay a settlement sum of $112 million (inclusive of legal costs), to be distributed to eligible group members. This sum is in addition to the value of debts to </w:t>
      </w:r>
      <w:proofErr w:type="gramStart"/>
      <w:r>
        <w:t>be refunded</w:t>
      </w:r>
      <w:proofErr w:type="gramEnd"/>
      <w:r>
        <w:t xml:space="preserve"> to customers. </w:t>
      </w:r>
      <w:proofErr w:type="gramStart"/>
      <w:r>
        <w:t>Any person that opted out of the class action is not a group member and will not receive any distribution under the settlement.</w:t>
      </w:r>
      <w:proofErr w:type="gramEnd"/>
      <w:r>
        <w:t xml:space="preserve"> An independent scheme assurer </w:t>
      </w:r>
      <w:proofErr w:type="gramStart"/>
      <w:r>
        <w:t>has been appointed</w:t>
      </w:r>
      <w:proofErr w:type="gramEnd"/>
      <w:r>
        <w:t xml:space="preserve"> to manage the calculation and distribution of class members’ entitlements under the settlement agreement.</w:t>
      </w:r>
    </w:p>
    <w:p w:rsidR="00260042" w:rsidRDefault="00260042" w:rsidP="00260042">
      <w:pPr>
        <w:pStyle w:val="BodyText"/>
      </w:pPr>
      <w:r>
        <w:t xml:space="preserve">Since 18 November 2019, the Commonwealth no longer raises debts based solely on averaged ATO income data. </w:t>
      </w:r>
    </w:p>
    <w:p w:rsidR="00260042" w:rsidRDefault="00260042" w:rsidP="00260042">
      <w:pPr>
        <w:pStyle w:val="BodyText"/>
        <w:keepLines/>
      </w:pPr>
      <w:r>
        <w:t xml:space="preserve">Since 7 December 2020, the way that employment income </w:t>
      </w:r>
      <w:proofErr w:type="gramStart"/>
      <w:r>
        <w:t>is reported and assessed for social security purposes</w:t>
      </w:r>
      <w:proofErr w:type="gramEnd"/>
      <w:r>
        <w:t xml:space="preserve"> has changed. Under changes introduced by the S</w:t>
      </w:r>
      <w:r>
        <w:rPr>
          <w:i/>
          <w:iCs/>
        </w:rPr>
        <w:t>ocial Services and Other Legislation Amendment (Simplifying Income Report and other Measures) Act 2020</w:t>
      </w:r>
      <w:r>
        <w:t xml:space="preserve">, income </w:t>
      </w:r>
      <w:proofErr w:type="gramStart"/>
      <w:r>
        <w:t>is now assessed</w:t>
      </w:r>
      <w:proofErr w:type="gramEnd"/>
      <w:r>
        <w:t xml:space="preserve"> once it is paid to a social security recipient. This provides a more accurate picture of employment income. </w:t>
      </w:r>
    </w:p>
    <w:p w:rsidR="00260042" w:rsidRDefault="00260042" w:rsidP="00C81689">
      <w:pPr>
        <w:pStyle w:val="Heading2"/>
      </w:pPr>
      <w:r>
        <w:t xml:space="preserve">Administrative Appeals Tribunal </w:t>
      </w:r>
    </w:p>
    <w:p w:rsidR="00260042" w:rsidRDefault="00260042" w:rsidP="00260042">
      <w:pPr>
        <w:pStyle w:val="BodyText"/>
      </w:pPr>
      <w:r>
        <w:t xml:space="preserve">If a person disagrees with a decision made by Services Australia in relation to social welfare payments, they </w:t>
      </w:r>
      <w:proofErr w:type="gramStart"/>
      <w:r>
        <w:t>may, after a formal internal review by an Authorised Review Officer, apply</w:t>
      </w:r>
      <w:proofErr w:type="gramEnd"/>
      <w:r>
        <w:t xml:space="preserve"> for merits review by the Social Services and Child Support Division of the Administrative Appeals Tribunal (AAT first review). A party who is dissatisfied with the outcome of an AAT first review may apply for further review of the decision by the AAT General Division (AAT second review). </w:t>
      </w:r>
    </w:p>
    <w:p w:rsidR="00260042" w:rsidRDefault="00260042" w:rsidP="00260042">
      <w:pPr>
        <w:pStyle w:val="BodyText"/>
      </w:pPr>
      <w:r>
        <w:t>The decisions most commonly challenged in the Administrative Appeals Tribunal (AAT) in 2020–21 were rejection of claims for DSP; raising or recovering debts; rate of payment; start date of payment; and cancellation of payment or benefit.</w:t>
      </w:r>
    </w:p>
    <w:p w:rsidR="00260042" w:rsidRDefault="00260042" w:rsidP="00260042">
      <w:pPr>
        <w:pStyle w:val="BodyText"/>
      </w:pPr>
      <w:r>
        <w:t>In 2020–21, the AAT made no decisions that had, or may have, a significant effect on the operations of Services Australia.</w:t>
      </w:r>
    </w:p>
    <w:p w:rsidR="00260042" w:rsidRPr="00EA5510" w:rsidRDefault="009B789E" w:rsidP="00EA5510">
      <w:pPr>
        <w:pStyle w:val="BodyText"/>
        <w:rPr>
          <w:b/>
        </w:rPr>
      </w:pPr>
      <w:r>
        <w:rPr>
          <w:rStyle w:val="Bold"/>
          <w:bCs w:val="0"/>
        </w:rPr>
        <w:t>Table 3</w:t>
      </w:r>
      <w:r w:rsidR="009C751B">
        <w:rPr>
          <w:rStyle w:val="Bold"/>
          <w:bCs w:val="0"/>
        </w:rPr>
        <w:t>9</w:t>
      </w:r>
      <w:r w:rsidR="00260042" w:rsidRPr="00EA5510">
        <w:rPr>
          <w:b/>
        </w:rPr>
        <w:t xml:space="preserve"> Social welfare payments merits review applications and outcomes 2020–21 </w:t>
      </w:r>
    </w:p>
    <w:tbl>
      <w:tblPr>
        <w:tblStyle w:val="TableGrid"/>
        <w:tblW w:w="5000" w:type="pct"/>
        <w:tblLook w:val="0000" w:firstRow="0" w:lastRow="0" w:firstColumn="0" w:lastColumn="0" w:noHBand="0" w:noVBand="0"/>
        <w:tblCaption w:val="Social welfare payments merits review applications and outcomes 2020–21 "/>
      </w:tblPr>
      <w:tblGrid>
        <w:gridCol w:w="4480"/>
        <w:gridCol w:w="2104"/>
        <w:gridCol w:w="2104"/>
        <w:gridCol w:w="2102"/>
      </w:tblGrid>
      <w:tr w:rsidR="00260042" w:rsidTr="00134742">
        <w:trPr>
          <w:trHeight w:val="60"/>
          <w:tblHeader/>
        </w:trPr>
        <w:tc>
          <w:tcPr>
            <w:tcW w:w="2076" w:type="pct"/>
          </w:tcPr>
          <w:p w:rsidR="00260042" w:rsidRPr="00134742" w:rsidRDefault="00260042" w:rsidP="00134742">
            <w:pPr>
              <w:pStyle w:val="BodyText"/>
              <w:rPr>
                <w:b/>
              </w:rPr>
            </w:pPr>
          </w:p>
        </w:tc>
        <w:tc>
          <w:tcPr>
            <w:tcW w:w="975" w:type="pct"/>
          </w:tcPr>
          <w:p w:rsidR="00260042" w:rsidRPr="00134742" w:rsidRDefault="00260042" w:rsidP="00134742">
            <w:pPr>
              <w:pStyle w:val="BodyText"/>
              <w:jc w:val="right"/>
              <w:rPr>
                <w:b/>
              </w:rPr>
            </w:pPr>
            <w:r w:rsidRPr="00134742">
              <w:rPr>
                <w:rStyle w:val="Bulletcolour"/>
                <w:b/>
              </w:rPr>
              <w:t>Applications received</w:t>
            </w:r>
          </w:p>
        </w:tc>
        <w:tc>
          <w:tcPr>
            <w:tcW w:w="975" w:type="pct"/>
          </w:tcPr>
          <w:p w:rsidR="00260042" w:rsidRPr="00134742" w:rsidRDefault="00260042" w:rsidP="00134742">
            <w:pPr>
              <w:pStyle w:val="BodyText"/>
              <w:jc w:val="right"/>
              <w:rPr>
                <w:b/>
              </w:rPr>
            </w:pPr>
            <w:r w:rsidRPr="00134742">
              <w:rPr>
                <w:rStyle w:val="Bulletcolour"/>
                <w:b/>
              </w:rPr>
              <w:t>Unchanged decisions</w:t>
            </w:r>
            <w:r w:rsidRPr="00134742">
              <w:rPr>
                <w:rStyle w:val="Bulletcolour"/>
                <w:b/>
                <w:vertAlign w:val="superscript"/>
              </w:rPr>
              <w:t>(a)</w:t>
            </w:r>
          </w:p>
        </w:tc>
        <w:tc>
          <w:tcPr>
            <w:tcW w:w="974" w:type="pct"/>
          </w:tcPr>
          <w:p w:rsidR="00260042" w:rsidRPr="00134742" w:rsidRDefault="00260042" w:rsidP="00134742">
            <w:pPr>
              <w:pStyle w:val="BodyText"/>
              <w:jc w:val="right"/>
              <w:rPr>
                <w:b/>
              </w:rPr>
            </w:pPr>
            <w:r w:rsidRPr="00134742">
              <w:rPr>
                <w:rStyle w:val="Bulletcolour"/>
                <w:b/>
              </w:rPr>
              <w:t>Changed decisions</w:t>
            </w:r>
          </w:p>
        </w:tc>
      </w:tr>
      <w:tr w:rsidR="00260042" w:rsidTr="00134742">
        <w:trPr>
          <w:trHeight w:val="60"/>
        </w:trPr>
        <w:tc>
          <w:tcPr>
            <w:tcW w:w="2076" w:type="pct"/>
          </w:tcPr>
          <w:p w:rsidR="00260042" w:rsidRDefault="00260042" w:rsidP="00134742">
            <w:pPr>
              <w:pStyle w:val="BodyText"/>
            </w:pPr>
            <w:r>
              <w:rPr>
                <w:rStyle w:val="Bulletcolour"/>
              </w:rPr>
              <w:t>AAT first review</w:t>
            </w:r>
          </w:p>
        </w:tc>
        <w:tc>
          <w:tcPr>
            <w:tcW w:w="975" w:type="pct"/>
          </w:tcPr>
          <w:p w:rsidR="00260042" w:rsidRDefault="00260042" w:rsidP="00134742">
            <w:pPr>
              <w:pStyle w:val="BodyText"/>
              <w:jc w:val="right"/>
            </w:pPr>
            <w:r>
              <w:rPr>
                <w:rStyle w:val="Bulletcolour"/>
              </w:rPr>
              <w:t>8,381</w:t>
            </w:r>
          </w:p>
        </w:tc>
        <w:tc>
          <w:tcPr>
            <w:tcW w:w="975" w:type="pct"/>
          </w:tcPr>
          <w:p w:rsidR="00260042" w:rsidRDefault="00260042" w:rsidP="00134742">
            <w:pPr>
              <w:pStyle w:val="BodyText"/>
              <w:jc w:val="right"/>
            </w:pPr>
            <w:r>
              <w:rPr>
                <w:rStyle w:val="Bulletcolour"/>
              </w:rPr>
              <w:t>6,252</w:t>
            </w:r>
          </w:p>
        </w:tc>
        <w:tc>
          <w:tcPr>
            <w:tcW w:w="974" w:type="pct"/>
          </w:tcPr>
          <w:p w:rsidR="00260042" w:rsidRDefault="00260042" w:rsidP="00134742">
            <w:pPr>
              <w:pStyle w:val="BodyText"/>
              <w:jc w:val="right"/>
            </w:pPr>
            <w:r>
              <w:rPr>
                <w:rStyle w:val="Bulletcolour"/>
              </w:rPr>
              <w:t>2,028</w:t>
            </w:r>
          </w:p>
        </w:tc>
      </w:tr>
      <w:tr w:rsidR="00260042" w:rsidTr="00134742">
        <w:trPr>
          <w:trHeight w:val="60"/>
        </w:trPr>
        <w:tc>
          <w:tcPr>
            <w:tcW w:w="2076" w:type="pct"/>
          </w:tcPr>
          <w:p w:rsidR="00260042" w:rsidRDefault="00260042" w:rsidP="00134742">
            <w:pPr>
              <w:pStyle w:val="BodyText"/>
            </w:pPr>
            <w:r>
              <w:rPr>
                <w:rStyle w:val="Bulletcolour"/>
              </w:rPr>
              <w:t>AAT second review – customer initiated</w:t>
            </w:r>
          </w:p>
        </w:tc>
        <w:tc>
          <w:tcPr>
            <w:tcW w:w="975" w:type="pct"/>
          </w:tcPr>
          <w:p w:rsidR="00260042" w:rsidRDefault="00260042" w:rsidP="00134742">
            <w:pPr>
              <w:pStyle w:val="BodyText"/>
              <w:jc w:val="right"/>
            </w:pPr>
            <w:r>
              <w:rPr>
                <w:rStyle w:val="Bulletcolour"/>
              </w:rPr>
              <w:t>1,332</w:t>
            </w:r>
          </w:p>
        </w:tc>
        <w:tc>
          <w:tcPr>
            <w:tcW w:w="975" w:type="pct"/>
          </w:tcPr>
          <w:p w:rsidR="00260042" w:rsidRDefault="00260042" w:rsidP="00134742">
            <w:pPr>
              <w:pStyle w:val="BodyText"/>
              <w:jc w:val="right"/>
            </w:pPr>
            <w:r>
              <w:rPr>
                <w:rStyle w:val="Bulletcolour"/>
              </w:rPr>
              <w:t>1,203</w:t>
            </w:r>
          </w:p>
        </w:tc>
        <w:tc>
          <w:tcPr>
            <w:tcW w:w="974" w:type="pct"/>
          </w:tcPr>
          <w:p w:rsidR="00260042" w:rsidRDefault="00260042" w:rsidP="00134742">
            <w:pPr>
              <w:pStyle w:val="BodyText"/>
              <w:jc w:val="right"/>
            </w:pPr>
            <w:r>
              <w:rPr>
                <w:rStyle w:val="Bulletcolour"/>
              </w:rPr>
              <w:t>359</w:t>
            </w:r>
          </w:p>
        </w:tc>
      </w:tr>
      <w:tr w:rsidR="00260042" w:rsidTr="00134742">
        <w:trPr>
          <w:trHeight w:val="60"/>
        </w:trPr>
        <w:tc>
          <w:tcPr>
            <w:tcW w:w="2076" w:type="pct"/>
          </w:tcPr>
          <w:p w:rsidR="00260042" w:rsidRDefault="00260042" w:rsidP="00134742">
            <w:pPr>
              <w:pStyle w:val="BodyText"/>
            </w:pPr>
            <w:r>
              <w:rPr>
                <w:rStyle w:val="Bulletcolour"/>
              </w:rPr>
              <w:t>AAT second review – Secretary applications</w:t>
            </w:r>
            <w:r>
              <w:rPr>
                <w:rStyle w:val="Bulletcolour"/>
                <w:vertAlign w:val="superscript"/>
              </w:rPr>
              <w:t>(b)</w:t>
            </w:r>
          </w:p>
        </w:tc>
        <w:tc>
          <w:tcPr>
            <w:tcW w:w="975" w:type="pct"/>
          </w:tcPr>
          <w:p w:rsidR="00260042" w:rsidRDefault="00260042" w:rsidP="00134742">
            <w:pPr>
              <w:pStyle w:val="BodyText"/>
              <w:jc w:val="right"/>
            </w:pPr>
            <w:r>
              <w:rPr>
                <w:rStyle w:val="Bulletcolour"/>
              </w:rPr>
              <w:t>86</w:t>
            </w:r>
          </w:p>
        </w:tc>
        <w:tc>
          <w:tcPr>
            <w:tcW w:w="975" w:type="pct"/>
          </w:tcPr>
          <w:p w:rsidR="00260042" w:rsidRDefault="00260042" w:rsidP="00134742">
            <w:pPr>
              <w:pStyle w:val="BodyText"/>
              <w:jc w:val="right"/>
            </w:pPr>
            <w:r>
              <w:rPr>
                <w:rStyle w:val="Bulletcolour"/>
              </w:rPr>
              <w:t>50</w:t>
            </w:r>
          </w:p>
        </w:tc>
        <w:tc>
          <w:tcPr>
            <w:tcW w:w="974" w:type="pct"/>
          </w:tcPr>
          <w:p w:rsidR="00260042" w:rsidRDefault="00260042" w:rsidP="00134742">
            <w:pPr>
              <w:pStyle w:val="BodyText"/>
              <w:jc w:val="right"/>
            </w:pPr>
            <w:r>
              <w:rPr>
                <w:rStyle w:val="Bulletcolour"/>
              </w:rPr>
              <w:t>34</w:t>
            </w:r>
          </w:p>
        </w:tc>
      </w:tr>
    </w:tbl>
    <w:p w:rsidR="00260042" w:rsidRDefault="00260042" w:rsidP="00EA5510">
      <w:pPr>
        <w:pStyle w:val="BodyText"/>
      </w:pPr>
      <w:r>
        <w:t>(a)</w:t>
      </w:r>
      <w:r>
        <w:tab/>
        <w:t xml:space="preserve">Unchanged decisions include applications for review that </w:t>
      </w:r>
      <w:proofErr w:type="gramStart"/>
      <w:r>
        <w:t>were affirmed by the AAT, withdrawn or dismissed</w:t>
      </w:r>
      <w:proofErr w:type="gramEnd"/>
      <w:r>
        <w:t>.</w:t>
      </w:r>
    </w:p>
    <w:p w:rsidR="00260042" w:rsidRDefault="00260042" w:rsidP="00EA5510">
      <w:pPr>
        <w:pStyle w:val="BodyText"/>
      </w:pPr>
      <w:r>
        <w:t>(b)</w:t>
      </w:r>
      <w:r>
        <w:tab/>
        <w:t>Refers to the Secretary of any department where the relevant minister is responsible, under the Administrative Arrangements Order, for that part of social security law that allows for appeal of a decision to the AAT.</w:t>
      </w:r>
    </w:p>
    <w:p w:rsidR="00260042" w:rsidRDefault="00260042" w:rsidP="00260042">
      <w:pPr>
        <w:pStyle w:val="BodyText"/>
      </w:pPr>
      <w:r>
        <w:lastRenderedPageBreak/>
        <w:t xml:space="preserve">The Social Services and Child Support Division of the AAT is also responsible for independently reviewing objections to child support decisions. The </w:t>
      </w:r>
      <w:proofErr w:type="gramStart"/>
      <w:r>
        <w:t>2</w:t>
      </w:r>
      <w:proofErr w:type="gramEnd"/>
      <w:r>
        <w:t xml:space="preserve"> most common reasons for parents seeking review of child support decisions by the AAT were change of assessment decisions, and disputed care arrangements for their children. </w:t>
      </w:r>
    </w:p>
    <w:p w:rsidR="00260042" w:rsidRPr="00EA5510" w:rsidRDefault="009C751B" w:rsidP="00EA5510">
      <w:pPr>
        <w:pStyle w:val="BodyText"/>
        <w:rPr>
          <w:b/>
          <w:bCs/>
        </w:rPr>
      </w:pPr>
      <w:r>
        <w:rPr>
          <w:rStyle w:val="Bold"/>
          <w:bCs w:val="0"/>
        </w:rPr>
        <w:t xml:space="preserve">Table </w:t>
      </w:r>
      <w:r>
        <w:rPr>
          <w:rStyle w:val="Bold"/>
          <w:bCs w:val="0"/>
        </w:rPr>
        <w:t>40</w:t>
      </w:r>
      <w:r w:rsidR="00260042" w:rsidRPr="00EA5510">
        <w:rPr>
          <w:b/>
        </w:rPr>
        <w:t xml:space="preserve"> Child support assessment merits review applications and outcomes 2020–21</w:t>
      </w:r>
    </w:p>
    <w:tbl>
      <w:tblPr>
        <w:tblStyle w:val="TableGrid"/>
        <w:tblW w:w="5000" w:type="pct"/>
        <w:tblLook w:val="0000" w:firstRow="0" w:lastRow="0" w:firstColumn="0" w:lastColumn="0" w:noHBand="0" w:noVBand="0"/>
        <w:tblCaption w:val="Child support assessment merits review applications and outcomes 2020–21"/>
      </w:tblPr>
      <w:tblGrid>
        <w:gridCol w:w="4480"/>
        <w:gridCol w:w="2104"/>
        <w:gridCol w:w="2104"/>
        <w:gridCol w:w="2102"/>
      </w:tblGrid>
      <w:tr w:rsidR="00260042" w:rsidTr="00B627B0">
        <w:trPr>
          <w:trHeight w:val="60"/>
          <w:tblHeader/>
        </w:trPr>
        <w:tc>
          <w:tcPr>
            <w:tcW w:w="2076" w:type="pct"/>
          </w:tcPr>
          <w:p w:rsidR="00260042" w:rsidRPr="00B627B0" w:rsidRDefault="00260042" w:rsidP="00B627B0">
            <w:pPr>
              <w:pStyle w:val="BodyText"/>
              <w:rPr>
                <w:b/>
              </w:rPr>
            </w:pPr>
          </w:p>
        </w:tc>
        <w:tc>
          <w:tcPr>
            <w:tcW w:w="975" w:type="pct"/>
          </w:tcPr>
          <w:p w:rsidR="00260042" w:rsidRPr="00B627B0" w:rsidRDefault="00260042" w:rsidP="00B627B0">
            <w:pPr>
              <w:pStyle w:val="BodyText"/>
              <w:jc w:val="right"/>
              <w:rPr>
                <w:b/>
              </w:rPr>
            </w:pPr>
            <w:r w:rsidRPr="00B627B0">
              <w:rPr>
                <w:rStyle w:val="Bulletcolour"/>
                <w:b/>
              </w:rPr>
              <w:t>Applications received</w:t>
            </w:r>
          </w:p>
        </w:tc>
        <w:tc>
          <w:tcPr>
            <w:tcW w:w="975" w:type="pct"/>
          </w:tcPr>
          <w:p w:rsidR="00260042" w:rsidRPr="00B627B0" w:rsidRDefault="00260042" w:rsidP="00B627B0">
            <w:pPr>
              <w:pStyle w:val="BodyText"/>
              <w:jc w:val="right"/>
              <w:rPr>
                <w:b/>
              </w:rPr>
            </w:pPr>
            <w:r w:rsidRPr="00B627B0">
              <w:rPr>
                <w:rStyle w:val="Bulletcolour"/>
                <w:b/>
              </w:rPr>
              <w:t>Unchanged decisions</w:t>
            </w:r>
          </w:p>
        </w:tc>
        <w:tc>
          <w:tcPr>
            <w:tcW w:w="974" w:type="pct"/>
          </w:tcPr>
          <w:p w:rsidR="00260042" w:rsidRPr="00B627B0" w:rsidRDefault="00260042" w:rsidP="00B627B0">
            <w:pPr>
              <w:pStyle w:val="BodyText"/>
              <w:jc w:val="right"/>
              <w:rPr>
                <w:b/>
              </w:rPr>
            </w:pPr>
            <w:r w:rsidRPr="00B627B0">
              <w:rPr>
                <w:rStyle w:val="Bulletcolour"/>
                <w:b/>
              </w:rPr>
              <w:t>Changed decisions</w:t>
            </w:r>
          </w:p>
        </w:tc>
      </w:tr>
      <w:tr w:rsidR="00260042" w:rsidTr="00B627B0">
        <w:trPr>
          <w:trHeight w:val="60"/>
        </w:trPr>
        <w:tc>
          <w:tcPr>
            <w:tcW w:w="2076" w:type="pct"/>
          </w:tcPr>
          <w:p w:rsidR="00260042" w:rsidRDefault="00260042" w:rsidP="00B627B0">
            <w:pPr>
              <w:pStyle w:val="BodyText"/>
            </w:pPr>
            <w:r>
              <w:rPr>
                <w:rStyle w:val="Bulletcolour"/>
              </w:rPr>
              <w:t>AAT first review</w:t>
            </w:r>
          </w:p>
        </w:tc>
        <w:tc>
          <w:tcPr>
            <w:tcW w:w="975" w:type="pct"/>
          </w:tcPr>
          <w:p w:rsidR="00260042" w:rsidRDefault="00260042" w:rsidP="00B627B0">
            <w:pPr>
              <w:pStyle w:val="BodyText"/>
              <w:jc w:val="right"/>
            </w:pPr>
            <w:r>
              <w:rPr>
                <w:rStyle w:val="Bulletcolour"/>
              </w:rPr>
              <w:t>2,479</w:t>
            </w:r>
          </w:p>
        </w:tc>
        <w:tc>
          <w:tcPr>
            <w:tcW w:w="975" w:type="pct"/>
          </w:tcPr>
          <w:p w:rsidR="00260042" w:rsidRDefault="00260042" w:rsidP="00B627B0">
            <w:pPr>
              <w:pStyle w:val="BodyText"/>
              <w:jc w:val="right"/>
            </w:pPr>
            <w:r>
              <w:rPr>
                <w:rStyle w:val="Bulletcolour"/>
              </w:rPr>
              <w:t>1,277</w:t>
            </w:r>
          </w:p>
        </w:tc>
        <w:tc>
          <w:tcPr>
            <w:tcW w:w="974" w:type="pct"/>
          </w:tcPr>
          <w:p w:rsidR="00260042" w:rsidRDefault="00260042" w:rsidP="00B627B0">
            <w:pPr>
              <w:pStyle w:val="BodyText"/>
              <w:jc w:val="right"/>
            </w:pPr>
            <w:r>
              <w:rPr>
                <w:rStyle w:val="Bulletcolour"/>
              </w:rPr>
              <w:t>793</w:t>
            </w:r>
          </w:p>
        </w:tc>
      </w:tr>
    </w:tbl>
    <w:p w:rsidR="00260042" w:rsidRDefault="00260042" w:rsidP="00C81689">
      <w:pPr>
        <w:pStyle w:val="Heading2"/>
      </w:pPr>
      <w:r>
        <w:t>Decisions of the Australian Information Commissioner</w:t>
      </w:r>
    </w:p>
    <w:p w:rsidR="00260042" w:rsidRDefault="00260042" w:rsidP="00260042">
      <w:pPr>
        <w:pStyle w:val="BodyText"/>
      </w:pPr>
      <w:r>
        <w:t xml:space="preserve">On 13 April 2021, the Australian Information Commissioner made an adverse determination against Services Australia in connection with a privacy complaint made in 2017 by a customer. </w:t>
      </w:r>
    </w:p>
    <w:p w:rsidR="00260042" w:rsidRDefault="00260042" w:rsidP="00260042">
      <w:pPr>
        <w:pStyle w:val="BodyText"/>
      </w:pPr>
      <w:r>
        <w:t xml:space="preserve">Following the determination, the agency apologised to the customer and paid compensation. In accordance with the Australian Information Commissioner’s determination, the agency has engaged an independent auditor to audit the agency’s policies, processes and systems relating to updating linked customer records when individuals have separated from their partner. </w:t>
      </w:r>
    </w:p>
    <w:p w:rsidR="00260042" w:rsidRDefault="00260042" w:rsidP="00260042">
      <w:pPr>
        <w:pStyle w:val="BodyText"/>
      </w:pPr>
      <w:r>
        <w:t xml:space="preserve">The audit </w:t>
      </w:r>
      <w:proofErr w:type="gramStart"/>
      <w:r>
        <w:t>must be completed</w:t>
      </w:r>
      <w:proofErr w:type="gramEnd"/>
      <w:r>
        <w:t xml:space="preserve"> by 5 November 2021. The agency is required to report every 6 months to the Australian Information Commissioner on implementation of any actions arising from the audit, until all actions proposed by the agency </w:t>
      </w:r>
      <w:proofErr w:type="gramStart"/>
      <w:r>
        <w:t>have been adequately implemented</w:t>
      </w:r>
      <w:proofErr w:type="gramEnd"/>
      <w:r>
        <w:t xml:space="preserve"> in the auditor’s view. Actions arising from the audit may have a significant effect on the operations of the agency.</w:t>
      </w:r>
    </w:p>
    <w:p w:rsidR="00260042" w:rsidRDefault="00260042" w:rsidP="00C81689">
      <w:pPr>
        <w:pStyle w:val="Heading2"/>
      </w:pPr>
      <w:r>
        <w:t>Auditor-General reports</w:t>
      </w:r>
    </w:p>
    <w:p w:rsidR="00260042" w:rsidRDefault="00260042" w:rsidP="00260042">
      <w:pPr>
        <w:pStyle w:val="BodyText"/>
      </w:pPr>
      <w:r>
        <w:t xml:space="preserve">Since 1 July 2020, the ANAO tabled </w:t>
      </w:r>
      <w:proofErr w:type="gramStart"/>
      <w:r>
        <w:t>3</w:t>
      </w:r>
      <w:proofErr w:type="gramEnd"/>
      <w:r>
        <w:t xml:space="preserve"> performance audits of Services Australia: </w:t>
      </w:r>
    </w:p>
    <w:p w:rsidR="00260042" w:rsidRDefault="00260042" w:rsidP="008930A3">
      <w:pPr>
        <w:pStyle w:val="ListBullet"/>
      </w:pPr>
      <w:r>
        <w:rPr>
          <w:rStyle w:val="Bold"/>
        </w:rPr>
        <w:t xml:space="preserve">Services Australia’s COVID-19 Measures and Enterprise Risk Management </w:t>
      </w:r>
      <w:r>
        <w:t xml:space="preserve">examined whether the agency prepared for, and managed the risks associated with, the delivery of the Australian Government’s COVID-19 response measures. The audit </w:t>
      </w:r>
      <w:proofErr w:type="gramStart"/>
      <w:r>
        <w:t>was tabled</w:t>
      </w:r>
      <w:proofErr w:type="gramEnd"/>
      <w:r>
        <w:t xml:space="preserve"> in December 2020 and included no recommendations for the agency.</w:t>
      </w:r>
    </w:p>
    <w:p w:rsidR="00260042" w:rsidRDefault="00260042" w:rsidP="008930A3">
      <w:pPr>
        <w:pStyle w:val="ListBullet"/>
      </w:pPr>
      <w:r>
        <w:rPr>
          <w:rStyle w:val="Bold"/>
        </w:rPr>
        <w:t>Systems Redevelopment – Managing Risks While Planning Transition</w:t>
      </w:r>
      <w:r>
        <w:t xml:space="preserve"> examined whether the agency appropriately managed risks to operating the current welfare payment system and prepared to transition to the future welfare payment systems. The audit was tabled on 24 September 2020 and made </w:t>
      </w:r>
      <w:proofErr w:type="gramStart"/>
      <w:r>
        <w:t>5</w:t>
      </w:r>
      <w:proofErr w:type="gramEnd"/>
      <w:r>
        <w:t xml:space="preserve"> recommendations for the agency, all of which were agreed.</w:t>
      </w:r>
    </w:p>
    <w:p w:rsidR="00260042" w:rsidRDefault="00260042" w:rsidP="00EA5510">
      <w:pPr>
        <w:pStyle w:val="ListBullet"/>
      </w:pPr>
      <w:r>
        <w:rPr>
          <w:rStyle w:val="Bold"/>
        </w:rPr>
        <w:t xml:space="preserve">Establishment and Use of ICT Related Procurement Panels and Arrangements </w:t>
      </w:r>
      <w:r>
        <w:t xml:space="preserve">was a cross-entity audit, which examined entity compliance with the Commonwealth Procurement Rules in establishing and using ICT-related procurement panels and arrangements. The audit </w:t>
      </w:r>
      <w:proofErr w:type="gramStart"/>
      <w:r>
        <w:t>was tabled</w:t>
      </w:r>
      <w:proofErr w:type="gramEnd"/>
      <w:r>
        <w:t xml:space="preserve"> on 31 August 2020, and while the audit did identify a number of improvement opportunities, it contained no recommendations for the agency.</w:t>
      </w:r>
    </w:p>
    <w:p w:rsidR="00260042" w:rsidRDefault="00260042" w:rsidP="00260042">
      <w:pPr>
        <w:pStyle w:val="BodyText"/>
      </w:pPr>
      <w:r>
        <w:t xml:space="preserve">For more information about these and other ANAO audit reports, see </w:t>
      </w:r>
      <w:r>
        <w:rPr>
          <w:rStyle w:val="Bold"/>
        </w:rPr>
        <w:t>anao.gov.au</w:t>
      </w:r>
    </w:p>
    <w:p w:rsidR="00260042" w:rsidRDefault="00260042" w:rsidP="00C81689">
      <w:pPr>
        <w:pStyle w:val="Heading2"/>
      </w:pPr>
      <w:r>
        <w:lastRenderedPageBreak/>
        <w:t xml:space="preserve">Parliamentary committee reports </w:t>
      </w:r>
    </w:p>
    <w:p w:rsidR="00260042" w:rsidRDefault="00260042" w:rsidP="00260042">
      <w:pPr>
        <w:pStyle w:val="BodyText"/>
      </w:pPr>
      <w:r>
        <w:t xml:space="preserve">In 2020–21, Services Australia supported a range of parliamentary inquiries (see below), which involved providing written submissions, attending public hearings and private briefings, and submitting answers to questions on notice. </w:t>
      </w:r>
    </w:p>
    <w:p w:rsidR="00260042" w:rsidRDefault="00260042" w:rsidP="00260042">
      <w:pPr>
        <w:pStyle w:val="BodyText"/>
        <w:spacing w:after="0"/>
      </w:pPr>
      <w:r>
        <w:rPr>
          <w:rStyle w:val="Bold"/>
        </w:rPr>
        <w:t>Centrelink’s Compliance Program</w:t>
      </w:r>
    </w:p>
    <w:p w:rsidR="00260042" w:rsidRDefault="00260042" w:rsidP="00260042">
      <w:pPr>
        <w:pStyle w:val="BodyText"/>
      </w:pPr>
      <w:r>
        <w:t xml:space="preserve">On 31 July 2019, the Senate referred this matter to the Senate Community Affairs References Committee for inquiry and report. Services Australia provided a written submission on 20 September 2019. In 2020–21, agency representatives attended public hearings on 31 July 2020, 17 August 2020 and 29 March 2021. The agency provided 101 responses to questions on notice to the committee during 2020–21. </w:t>
      </w:r>
    </w:p>
    <w:p w:rsidR="00260042" w:rsidRDefault="00260042" w:rsidP="00260042">
      <w:pPr>
        <w:pStyle w:val="BodyText"/>
        <w:spacing w:after="0"/>
      </w:pPr>
      <w:r>
        <w:rPr>
          <w:rStyle w:val="Bold"/>
        </w:rPr>
        <w:t>Australia’s Family Law System</w:t>
      </w:r>
    </w:p>
    <w:p w:rsidR="00260042" w:rsidRDefault="00260042" w:rsidP="00260042">
      <w:pPr>
        <w:pStyle w:val="BodyText"/>
      </w:pPr>
      <w:r>
        <w:t>On 19 September 2019, the House of Representatives agreed to a Senate resolution to establish a Joint Select Committee on Australia’s Family Law System. Services Australia provided input to the written submission lodged on 18 December 2019 by the Department of Social Services. In 2020–21, Services Australia representatives attended private briefings on 7 October 2020 and 10 May 2021 and public hearings on 23 November 2020 and 19 May 2021. The agency provided responses to 14 questions on notice to the committee during 2020–21.</w:t>
      </w:r>
    </w:p>
    <w:p w:rsidR="00260042" w:rsidRDefault="00260042" w:rsidP="00260042">
      <w:pPr>
        <w:pStyle w:val="BodyText"/>
        <w:spacing w:after="0"/>
      </w:pPr>
      <w:r>
        <w:rPr>
          <w:rStyle w:val="Bold"/>
        </w:rPr>
        <w:t>Education in remote and complex environments</w:t>
      </w:r>
    </w:p>
    <w:p w:rsidR="00260042" w:rsidRDefault="00260042" w:rsidP="00260042">
      <w:pPr>
        <w:pStyle w:val="BodyText"/>
      </w:pPr>
      <w:r>
        <w:t xml:space="preserve">On 27 November 2019, the House Standing Committee on Employment, Education and Training adopted an inquiry referred by the then Minister for Education, the Hon. Dan </w:t>
      </w:r>
      <w:proofErr w:type="spellStart"/>
      <w:r>
        <w:t>Tehan</w:t>
      </w:r>
      <w:proofErr w:type="spellEnd"/>
      <w:r>
        <w:t xml:space="preserve"> MP, to inquire into and report on the education of students in remote and complex environments. Services Australia provided input to a government response in March 2021.</w:t>
      </w:r>
    </w:p>
    <w:p w:rsidR="00260042" w:rsidRDefault="00260042" w:rsidP="00260042">
      <w:pPr>
        <w:pStyle w:val="BodyText"/>
        <w:spacing w:after="0"/>
      </w:pPr>
      <w:r>
        <w:rPr>
          <w:rStyle w:val="Bold"/>
        </w:rPr>
        <w:t xml:space="preserve">Services, support and life outcomes for autistic people and the associated need for a National Autism Strategy </w:t>
      </w:r>
    </w:p>
    <w:p w:rsidR="00260042" w:rsidRDefault="00260042" w:rsidP="00260042">
      <w:pPr>
        <w:pStyle w:val="BodyText"/>
      </w:pPr>
      <w:r>
        <w:t>On 27 November 2019, the Senate established a Select Committee on Autism to inquire into and report on the services, support and life outcomes for autistic people in Australia, and the associated need for a national autism strategy. Services Australia provided a written submission to the committee on 16 July 2020.</w:t>
      </w:r>
    </w:p>
    <w:p w:rsidR="00260042" w:rsidRDefault="00260042" w:rsidP="00260042">
      <w:pPr>
        <w:pStyle w:val="BodyText"/>
        <w:spacing w:after="0"/>
      </w:pPr>
      <w:r>
        <w:rPr>
          <w:rStyle w:val="Bold"/>
        </w:rPr>
        <w:t>Inquiry into homelessness in Australia</w:t>
      </w:r>
    </w:p>
    <w:p w:rsidR="00260042" w:rsidRDefault="00260042" w:rsidP="00260042">
      <w:pPr>
        <w:pStyle w:val="BodyText"/>
      </w:pPr>
      <w:r>
        <w:t>On 11 February 2020, the House of Representatives Standing Committee on Social Policy and Legal Affairs resolved to conduct an inquiry into homelessness in Australia. Services Australia representatives attended a public hearing on 7 July 2020.</w:t>
      </w:r>
    </w:p>
    <w:p w:rsidR="00260042" w:rsidRDefault="00260042" w:rsidP="00260042">
      <w:pPr>
        <w:pStyle w:val="BodyText"/>
        <w:spacing w:after="0"/>
      </w:pPr>
      <w:r>
        <w:rPr>
          <w:rStyle w:val="Bold"/>
        </w:rPr>
        <w:t xml:space="preserve">The Australian Government’s response to the COVID-19 pandemic </w:t>
      </w:r>
    </w:p>
    <w:p w:rsidR="00260042" w:rsidRDefault="00260042" w:rsidP="00260042">
      <w:pPr>
        <w:pStyle w:val="BodyText"/>
      </w:pPr>
      <w:r>
        <w:t>On 8 April 2020, the Senate established a Select Committee on COVID-19 to inquire into and report on the Australian Government’s response to the pandemic. The agency attended public hearings on 30 July and 18 August 2020 and answered 22 questions on notice in 2020–21.</w:t>
      </w:r>
    </w:p>
    <w:p w:rsidR="00260042" w:rsidRDefault="00260042" w:rsidP="00260042">
      <w:pPr>
        <w:pStyle w:val="BodyText"/>
        <w:spacing w:after="0"/>
      </w:pPr>
      <w:r>
        <w:rPr>
          <w:rStyle w:val="Bold"/>
        </w:rPr>
        <w:t>Social Security (Administration) Amendment (Continuation of Cashless Welfare) Bill 2020</w:t>
      </w:r>
    </w:p>
    <w:p w:rsidR="00260042" w:rsidRDefault="00260042" w:rsidP="00260042">
      <w:pPr>
        <w:pStyle w:val="BodyText"/>
      </w:pPr>
      <w:r>
        <w:t xml:space="preserve">On 8 October 2020, the Senate referred the Social Security (Administration) Amendment (Continuation of Cashless Welfare) Bill 2020 to the Senate Community Affairs Legislation Committee </w:t>
      </w:r>
      <w:r>
        <w:lastRenderedPageBreak/>
        <w:t>for inquiry and report. Services Australia provided input to the written submission provided by the Department of Social Services on 23 October 2020.</w:t>
      </w:r>
    </w:p>
    <w:p w:rsidR="00260042" w:rsidRDefault="00260042" w:rsidP="00260042">
      <w:pPr>
        <w:pStyle w:val="BodyText"/>
        <w:spacing w:after="0"/>
      </w:pPr>
      <w:r>
        <w:rPr>
          <w:rStyle w:val="Bold"/>
        </w:rPr>
        <w:t>The current capability of the Australian Public Service (APS)</w:t>
      </w:r>
    </w:p>
    <w:p w:rsidR="00260042" w:rsidRDefault="00260042" w:rsidP="00260042">
      <w:pPr>
        <w:pStyle w:val="BodyText"/>
      </w:pPr>
      <w:r>
        <w:t>On 1 December 2020, the Senate referred this matter to the Finance and Public Administration References Committee for inquiry and report. Services Australia provided a written submission to the committee on 26 February 2021.</w:t>
      </w:r>
    </w:p>
    <w:p w:rsidR="00260042" w:rsidRDefault="00260042" w:rsidP="00260042">
      <w:pPr>
        <w:pStyle w:val="BodyText"/>
        <w:spacing w:after="0"/>
      </w:pPr>
      <w:r>
        <w:rPr>
          <w:rStyle w:val="Bold"/>
        </w:rPr>
        <w:t>Job security</w:t>
      </w:r>
    </w:p>
    <w:p w:rsidR="00260042" w:rsidRDefault="00260042" w:rsidP="00260042">
      <w:pPr>
        <w:pStyle w:val="BodyText"/>
      </w:pPr>
      <w:r>
        <w:t xml:space="preserve">On 10 December 2020, the Senate established a Select Committee on Job Security to inquire into and report on the impact of insecure or precarious employment on the economy, wages, social cohesion and workplace rights and conditions. Services Australia provided responses to </w:t>
      </w:r>
      <w:proofErr w:type="gramStart"/>
      <w:r>
        <w:t>8</w:t>
      </w:r>
      <w:proofErr w:type="gramEnd"/>
      <w:r>
        <w:t xml:space="preserve"> questions on notice from the committee during 2020–21.</w:t>
      </w:r>
    </w:p>
    <w:p w:rsidR="00260042" w:rsidRDefault="00260042" w:rsidP="00260042">
      <w:pPr>
        <w:pStyle w:val="BodyText"/>
        <w:spacing w:after="0"/>
      </w:pPr>
      <w:r>
        <w:rPr>
          <w:rStyle w:val="Bold"/>
        </w:rPr>
        <w:t>Vaccine related fraud and security risks</w:t>
      </w:r>
    </w:p>
    <w:p w:rsidR="00260042" w:rsidRDefault="00260042" w:rsidP="00260042">
      <w:pPr>
        <w:pStyle w:val="BodyText"/>
      </w:pPr>
      <w:r>
        <w:t xml:space="preserve">On 17 March 2021, the Joint Standing Committee on Law Enforcement agreed to inquire into and report on this matter. Services Australia provided input to a written submission lodged by the Department of Health on 30 April 2021. </w:t>
      </w:r>
    </w:p>
    <w:p w:rsidR="00260042" w:rsidRDefault="00260042" w:rsidP="00260042">
      <w:pPr>
        <w:pStyle w:val="BodyText"/>
        <w:spacing w:after="0"/>
      </w:pPr>
      <w:r>
        <w:rPr>
          <w:rStyle w:val="Bold"/>
        </w:rPr>
        <w:t>The purpose, intent and adequacy of the Disability Support Pension (DSP)</w:t>
      </w:r>
    </w:p>
    <w:p w:rsidR="00260042" w:rsidRDefault="00260042" w:rsidP="00260042">
      <w:pPr>
        <w:pStyle w:val="BodyText"/>
      </w:pPr>
      <w:r>
        <w:t>On 13 May 2021, the Senate referred this matter to the Senate Community Affairs References Committee for inquiry and report. Services Australia provided input to a written submission to the committee lodged by the Department of Social Services.</w:t>
      </w:r>
    </w:p>
    <w:p w:rsidR="00260042" w:rsidRDefault="00260042" w:rsidP="00C81689">
      <w:pPr>
        <w:pStyle w:val="Heading2"/>
      </w:pPr>
      <w:r>
        <w:t>Commonwealth Ombudsman reports</w:t>
      </w:r>
    </w:p>
    <w:p w:rsidR="00260042" w:rsidRDefault="00260042" w:rsidP="00260042">
      <w:pPr>
        <w:pStyle w:val="BodyText"/>
      </w:pPr>
      <w:r>
        <w:t xml:space="preserve">Services Australia maintains a collaborative and productive working relationship with the Office of the Commonwealth Ombudsman. Services Australia monitors the implementation of recommendations from reports published by the Commonwealth Ombudsman. </w:t>
      </w:r>
    </w:p>
    <w:p w:rsidR="00260042" w:rsidRDefault="00260042" w:rsidP="00260042">
      <w:pPr>
        <w:pStyle w:val="BodyText"/>
      </w:pPr>
      <w:r>
        <w:t xml:space="preserve">In 2020–21, the Commonwealth Ombudsman published the Services Australia’s Income Compliance Program Own Motion Report. </w:t>
      </w:r>
    </w:p>
    <w:p w:rsidR="00260042" w:rsidRDefault="00260042" w:rsidP="00C81689">
      <w:pPr>
        <w:pStyle w:val="Heading2"/>
      </w:pPr>
      <w:r>
        <w:t>Agency capability reviews</w:t>
      </w:r>
    </w:p>
    <w:p w:rsidR="00260042" w:rsidRDefault="00260042" w:rsidP="00260042">
      <w:pPr>
        <w:pStyle w:val="BodyText"/>
      </w:pPr>
      <w:r>
        <w:t xml:space="preserve">In 2020–21, no capability reviews </w:t>
      </w:r>
      <w:proofErr w:type="gramStart"/>
      <w:r>
        <w:t>were conducted</w:t>
      </w:r>
      <w:proofErr w:type="gramEnd"/>
      <w:r>
        <w:t xml:space="preserve"> into Services Australia.</w:t>
      </w:r>
    </w:p>
    <w:p w:rsidR="00260042" w:rsidRDefault="00260042" w:rsidP="00C81689">
      <w:pPr>
        <w:pStyle w:val="Heading2"/>
      </w:pPr>
      <w:r>
        <w:t>8.4 Procurement and consultants</w:t>
      </w:r>
    </w:p>
    <w:p w:rsidR="00260042" w:rsidRDefault="00260042" w:rsidP="008474A9">
      <w:pPr>
        <w:pStyle w:val="BodyText"/>
      </w:pPr>
      <w:r>
        <w:t xml:space="preserve">The Accountable Authority Instructions are an important element of the Services Australia control framework. </w:t>
      </w:r>
    </w:p>
    <w:p w:rsidR="00260042" w:rsidRDefault="00260042" w:rsidP="00260042">
      <w:pPr>
        <w:pStyle w:val="BodyText"/>
      </w:pPr>
      <w:r>
        <w:t xml:space="preserve">They give practical effect to matters in the PGPA Act Framework, including procurement and other key requirements for agency officials. We periodically review our instructions to ensure they remain aligned with the PGPA Act Framework and other requirements, and reflect best practice. </w:t>
      </w:r>
    </w:p>
    <w:p w:rsidR="00260042" w:rsidRDefault="00260042" w:rsidP="00C81689">
      <w:pPr>
        <w:pStyle w:val="Heading2"/>
      </w:pPr>
      <w:r>
        <w:lastRenderedPageBreak/>
        <w:t>Consultancy contracts</w:t>
      </w:r>
    </w:p>
    <w:p w:rsidR="00260042" w:rsidRDefault="00260042" w:rsidP="00260042">
      <w:pPr>
        <w:pStyle w:val="BodyText"/>
      </w:pPr>
      <w:r>
        <w:t xml:space="preserve">Services Australia engages consultants to provide specialist professional services, independent research or assessment and necessary skills that are otherwise unavailable in the agency. Services Australia’s need for consultants </w:t>
      </w:r>
      <w:proofErr w:type="gramStart"/>
      <w:r>
        <w:t>is determined</w:t>
      </w:r>
      <w:proofErr w:type="gramEnd"/>
      <w:r>
        <w:t xml:space="preserve"> by its particular requirements at a point in time and therefore can vary significantly year to year.</w:t>
      </w:r>
    </w:p>
    <w:p w:rsidR="00260042" w:rsidRDefault="00260042" w:rsidP="00260042">
      <w:pPr>
        <w:pStyle w:val="BodyText"/>
      </w:pPr>
      <w:r>
        <w:t xml:space="preserve">The agency categorises consultancy contracts in accordance with the PGPA Rule 2014 for annual reports and guidance from the Department of Finance on reporting consultancies. In addition to the requirements of the agency’s procurement guidelines and policies, all consultancy service proposals undergo a compliance assessment by </w:t>
      </w:r>
      <w:proofErr w:type="gramStart"/>
      <w:r>
        <w:t>2</w:t>
      </w:r>
      <w:proofErr w:type="gramEnd"/>
      <w:r>
        <w:t xml:space="preserve"> procurement specialists before they go to the relevant delegate for approval.</w:t>
      </w:r>
    </w:p>
    <w:p w:rsidR="00260042" w:rsidRDefault="00260042" w:rsidP="00260042">
      <w:pPr>
        <w:pStyle w:val="BodyText"/>
        <w:rPr>
          <w:b/>
          <w:bCs/>
        </w:rPr>
      </w:pPr>
      <w:r>
        <w:t xml:space="preserve">During 2020–21, 9 new consultancy contracts </w:t>
      </w:r>
      <w:proofErr w:type="gramStart"/>
      <w:r>
        <w:t>were entered into,</w:t>
      </w:r>
      <w:proofErr w:type="gramEnd"/>
      <w:r>
        <w:t xml:space="preserve"> involving total actual expenditure of $8,895,496 (including GST). In addition, </w:t>
      </w:r>
      <w:proofErr w:type="gramStart"/>
      <w:r>
        <w:t>8</w:t>
      </w:r>
      <w:proofErr w:type="gramEnd"/>
      <w:r>
        <w:t xml:space="preserve"> active ongoing consultancy contracts were in place during the period, involving total actual expenditure of $4,395,635 (including GST), bringing total expenditure on consultancy services for the year to $13,291,131.</w:t>
      </w:r>
    </w:p>
    <w:p w:rsidR="00260042" w:rsidRPr="00EA5510" w:rsidRDefault="00511254" w:rsidP="00EA5510">
      <w:pPr>
        <w:pStyle w:val="BodyText"/>
        <w:rPr>
          <w:b/>
          <w:bCs/>
        </w:rPr>
      </w:pPr>
      <w:r>
        <w:rPr>
          <w:rStyle w:val="Bold"/>
          <w:bCs w:val="0"/>
        </w:rPr>
        <w:t>Table 4</w:t>
      </w:r>
      <w:r>
        <w:rPr>
          <w:rStyle w:val="Bold"/>
          <w:bCs w:val="0"/>
        </w:rPr>
        <w:t>1</w:t>
      </w:r>
      <w:r w:rsidR="00260042" w:rsidRPr="00EA5510">
        <w:rPr>
          <w:b/>
        </w:rPr>
        <w:t xml:space="preserve"> Expenditure on reportable consultancy contracts 2020–21</w:t>
      </w:r>
    </w:p>
    <w:tbl>
      <w:tblPr>
        <w:tblStyle w:val="TableGrid"/>
        <w:tblW w:w="5000" w:type="pct"/>
        <w:tblLook w:val="0000" w:firstRow="0" w:lastRow="0" w:firstColumn="0" w:lastColumn="0" w:noHBand="0" w:noVBand="0"/>
        <w:tblCaption w:val="Expenditure on reportable consultancy contracts 2020–21"/>
      </w:tblPr>
      <w:tblGrid>
        <w:gridCol w:w="5354"/>
        <w:gridCol w:w="2719"/>
        <w:gridCol w:w="2717"/>
      </w:tblGrid>
      <w:tr w:rsidR="00260042" w:rsidTr="00511254">
        <w:trPr>
          <w:trHeight w:val="60"/>
          <w:tblHeader/>
        </w:trPr>
        <w:tc>
          <w:tcPr>
            <w:tcW w:w="2481" w:type="pct"/>
          </w:tcPr>
          <w:p w:rsidR="00260042" w:rsidRDefault="00260042" w:rsidP="00B627B0">
            <w:pPr>
              <w:pStyle w:val="BodyText"/>
            </w:pPr>
          </w:p>
        </w:tc>
        <w:tc>
          <w:tcPr>
            <w:tcW w:w="1260" w:type="pct"/>
          </w:tcPr>
          <w:p w:rsidR="00260042" w:rsidRDefault="00260042" w:rsidP="00B627B0">
            <w:pPr>
              <w:pStyle w:val="BodyText"/>
              <w:jc w:val="right"/>
            </w:pPr>
            <w:r>
              <w:rPr>
                <w:rStyle w:val="Bold"/>
              </w:rPr>
              <w:t>Number</w:t>
            </w:r>
          </w:p>
        </w:tc>
        <w:tc>
          <w:tcPr>
            <w:tcW w:w="1259" w:type="pct"/>
          </w:tcPr>
          <w:p w:rsidR="00260042" w:rsidRDefault="00260042" w:rsidP="00B627B0">
            <w:pPr>
              <w:pStyle w:val="BodyText"/>
              <w:jc w:val="right"/>
            </w:pPr>
            <w:r>
              <w:rPr>
                <w:rStyle w:val="Bold"/>
              </w:rPr>
              <w:t>Expenditure $ (GST inclusive)</w:t>
            </w:r>
          </w:p>
        </w:tc>
      </w:tr>
      <w:tr w:rsidR="00260042" w:rsidTr="00511254">
        <w:trPr>
          <w:trHeight w:val="60"/>
        </w:trPr>
        <w:tc>
          <w:tcPr>
            <w:tcW w:w="2481" w:type="pct"/>
          </w:tcPr>
          <w:p w:rsidR="00260042" w:rsidRDefault="00260042" w:rsidP="00B627B0">
            <w:pPr>
              <w:pStyle w:val="BodyText"/>
            </w:pPr>
            <w:r>
              <w:rPr>
                <w:rStyle w:val="Bulletcolour"/>
              </w:rPr>
              <w:t>New contracts entered into during the reporting period</w:t>
            </w:r>
          </w:p>
        </w:tc>
        <w:tc>
          <w:tcPr>
            <w:tcW w:w="1260" w:type="pct"/>
          </w:tcPr>
          <w:p w:rsidR="00260042" w:rsidRDefault="00260042" w:rsidP="00B627B0">
            <w:pPr>
              <w:pStyle w:val="BodyText"/>
              <w:jc w:val="right"/>
            </w:pPr>
            <w:r>
              <w:rPr>
                <w:rStyle w:val="Bulletcolour"/>
              </w:rPr>
              <w:t>9</w:t>
            </w:r>
          </w:p>
        </w:tc>
        <w:tc>
          <w:tcPr>
            <w:tcW w:w="1259" w:type="pct"/>
          </w:tcPr>
          <w:p w:rsidR="00260042" w:rsidRDefault="00260042" w:rsidP="00B627B0">
            <w:pPr>
              <w:pStyle w:val="BodyText"/>
              <w:jc w:val="right"/>
            </w:pPr>
            <w:r>
              <w:rPr>
                <w:rStyle w:val="Bulletcolour"/>
              </w:rPr>
              <w:t>8,895,496</w:t>
            </w:r>
          </w:p>
        </w:tc>
      </w:tr>
      <w:tr w:rsidR="00260042" w:rsidTr="00511254">
        <w:trPr>
          <w:trHeight w:val="60"/>
        </w:trPr>
        <w:tc>
          <w:tcPr>
            <w:tcW w:w="2481" w:type="pct"/>
          </w:tcPr>
          <w:p w:rsidR="00260042" w:rsidRDefault="00260042" w:rsidP="00B627B0">
            <w:pPr>
              <w:pStyle w:val="BodyText"/>
            </w:pPr>
            <w:r>
              <w:rPr>
                <w:rStyle w:val="Bulletcolour"/>
              </w:rPr>
              <w:t>Ongoing contracts entered into during a previous reporting period</w:t>
            </w:r>
          </w:p>
        </w:tc>
        <w:tc>
          <w:tcPr>
            <w:tcW w:w="1260" w:type="pct"/>
          </w:tcPr>
          <w:p w:rsidR="00260042" w:rsidRDefault="00260042" w:rsidP="00B627B0">
            <w:pPr>
              <w:pStyle w:val="BodyText"/>
              <w:jc w:val="right"/>
            </w:pPr>
            <w:r>
              <w:rPr>
                <w:rStyle w:val="Bulletcolour"/>
              </w:rPr>
              <w:t>8</w:t>
            </w:r>
          </w:p>
        </w:tc>
        <w:tc>
          <w:tcPr>
            <w:tcW w:w="1259" w:type="pct"/>
          </w:tcPr>
          <w:p w:rsidR="00260042" w:rsidRDefault="00260042" w:rsidP="00B627B0">
            <w:pPr>
              <w:pStyle w:val="BodyText"/>
              <w:jc w:val="right"/>
            </w:pPr>
            <w:r>
              <w:rPr>
                <w:rStyle w:val="Bulletcolour"/>
              </w:rPr>
              <w:t>4,395,635</w:t>
            </w:r>
          </w:p>
        </w:tc>
      </w:tr>
      <w:tr w:rsidR="00260042" w:rsidTr="00511254">
        <w:trPr>
          <w:trHeight w:val="60"/>
        </w:trPr>
        <w:tc>
          <w:tcPr>
            <w:tcW w:w="2481" w:type="pct"/>
          </w:tcPr>
          <w:p w:rsidR="00260042" w:rsidRDefault="00260042" w:rsidP="00B627B0">
            <w:pPr>
              <w:pStyle w:val="BodyText"/>
            </w:pPr>
            <w:r>
              <w:rPr>
                <w:rStyle w:val="Bold"/>
              </w:rPr>
              <w:t>Total</w:t>
            </w:r>
          </w:p>
        </w:tc>
        <w:tc>
          <w:tcPr>
            <w:tcW w:w="1260" w:type="pct"/>
          </w:tcPr>
          <w:p w:rsidR="00260042" w:rsidRDefault="00260042" w:rsidP="00B627B0">
            <w:pPr>
              <w:pStyle w:val="BodyText"/>
              <w:jc w:val="right"/>
            </w:pPr>
            <w:r>
              <w:rPr>
                <w:rStyle w:val="Bold"/>
              </w:rPr>
              <w:t>17</w:t>
            </w:r>
          </w:p>
        </w:tc>
        <w:tc>
          <w:tcPr>
            <w:tcW w:w="1259" w:type="pct"/>
          </w:tcPr>
          <w:p w:rsidR="00260042" w:rsidRDefault="00260042" w:rsidP="00B627B0">
            <w:pPr>
              <w:pStyle w:val="BodyText"/>
              <w:jc w:val="right"/>
            </w:pPr>
            <w:r>
              <w:rPr>
                <w:rStyle w:val="Bold"/>
              </w:rPr>
              <w:t>13,291,131</w:t>
            </w:r>
          </w:p>
        </w:tc>
      </w:tr>
    </w:tbl>
    <w:p w:rsidR="00260042" w:rsidRPr="00EA5510" w:rsidRDefault="00511254" w:rsidP="00EA5510">
      <w:pPr>
        <w:pStyle w:val="BodyText"/>
      </w:pPr>
      <w:r>
        <w:rPr>
          <w:rStyle w:val="Bold"/>
          <w:bCs w:val="0"/>
        </w:rPr>
        <w:t>Table 4</w:t>
      </w:r>
      <w:r>
        <w:rPr>
          <w:rStyle w:val="Bold"/>
          <w:bCs w:val="0"/>
        </w:rPr>
        <w:t>2</w:t>
      </w:r>
      <w:r w:rsidR="00260042" w:rsidRPr="00EA5510">
        <w:rPr>
          <w:rStyle w:val="Bold"/>
          <w:bCs w:val="0"/>
        </w:rPr>
        <w:t xml:space="preserve"> Organisations receiving a share of reportable consultancy contract expenditure 2020–21</w:t>
      </w:r>
    </w:p>
    <w:tbl>
      <w:tblPr>
        <w:tblStyle w:val="TableGrid"/>
        <w:tblW w:w="5000" w:type="pct"/>
        <w:tblLook w:val="0000" w:firstRow="0" w:lastRow="0" w:firstColumn="0" w:lastColumn="0" w:noHBand="0" w:noVBand="0"/>
        <w:tblCaption w:val=" Organisations receiving a share of reportable consultancy contract expenditure 2020–21"/>
      </w:tblPr>
      <w:tblGrid>
        <w:gridCol w:w="8071"/>
        <w:gridCol w:w="2719"/>
      </w:tblGrid>
      <w:tr w:rsidR="00260042" w:rsidTr="00B627B0">
        <w:trPr>
          <w:trHeight w:val="60"/>
          <w:tblHeader/>
        </w:trPr>
        <w:tc>
          <w:tcPr>
            <w:tcW w:w="3740" w:type="pct"/>
          </w:tcPr>
          <w:p w:rsidR="00260042" w:rsidRDefault="00260042" w:rsidP="00B627B0">
            <w:pPr>
              <w:pStyle w:val="BodyText"/>
            </w:pPr>
          </w:p>
        </w:tc>
        <w:tc>
          <w:tcPr>
            <w:tcW w:w="1260" w:type="pct"/>
          </w:tcPr>
          <w:p w:rsidR="00260042" w:rsidRDefault="00260042" w:rsidP="00B627B0">
            <w:pPr>
              <w:pStyle w:val="BodyText"/>
              <w:jc w:val="right"/>
            </w:pPr>
            <w:r>
              <w:rPr>
                <w:rStyle w:val="Bold"/>
              </w:rPr>
              <w:t>Expenditure $ (GST inclusive)</w:t>
            </w:r>
          </w:p>
        </w:tc>
      </w:tr>
      <w:tr w:rsidR="00260042" w:rsidTr="00B627B0">
        <w:trPr>
          <w:trHeight w:val="60"/>
        </w:trPr>
        <w:tc>
          <w:tcPr>
            <w:tcW w:w="3740" w:type="pct"/>
          </w:tcPr>
          <w:p w:rsidR="00260042" w:rsidRDefault="00260042" w:rsidP="00B627B0">
            <w:pPr>
              <w:pStyle w:val="BodyText"/>
            </w:pPr>
            <w:r>
              <w:rPr>
                <w:rStyle w:val="Bulletcolour"/>
              </w:rPr>
              <w:t>KPMG (51194660183)</w:t>
            </w:r>
          </w:p>
        </w:tc>
        <w:tc>
          <w:tcPr>
            <w:tcW w:w="1260" w:type="pct"/>
          </w:tcPr>
          <w:p w:rsidR="00260042" w:rsidRDefault="00260042" w:rsidP="00B627B0">
            <w:pPr>
              <w:pStyle w:val="BodyText"/>
              <w:jc w:val="right"/>
            </w:pPr>
            <w:r>
              <w:rPr>
                <w:rStyle w:val="Bulletcolour"/>
              </w:rPr>
              <w:t>6,512,921</w:t>
            </w:r>
          </w:p>
        </w:tc>
      </w:tr>
      <w:tr w:rsidR="00260042" w:rsidTr="00B627B0">
        <w:trPr>
          <w:trHeight w:val="60"/>
        </w:trPr>
        <w:tc>
          <w:tcPr>
            <w:tcW w:w="3740" w:type="pct"/>
          </w:tcPr>
          <w:p w:rsidR="00260042" w:rsidRDefault="00260042" w:rsidP="00B627B0">
            <w:pPr>
              <w:pStyle w:val="BodyText"/>
            </w:pPr>
            <w:r>
              <w:rPr>
                <w:rStyle w:val="Bulletcolour"/>
              </w:rPr>
              <w:t>Partners in Performance International PL (48095941263)</w:t>
            </w:r>
          </w:p>
        </w:tc>
        <w:tc>
          <w:tcPr>
            <w:tcW w:w="1260" w:type="pct"/>
          </w:tcPr>
          <w:p w:rsidR="00260042" w:rsidRDefault="00260042" w:rsidP="00B627B0">
            <w:pPr>
              <w:pStyle w:val="BodyText"/>
              <w:jc w:val="right"/>
            </w:pPr>
            <w:r>
              <w:rPr>
                <w:rStyle w:val="Bulletcolour"/>
              </w:rPr>
              <w:t>2,827,590</w:t>
            </w:r>
          </w:p>
        </w:tc>
      </w:tr>
      <w:tr w:rsidR="00260042" w:rsidTr="00B627B0">
        <w:trPr>
          <w:trHeight w:val="60"/>
        </w:trPr>
        <w:tc>
          <w:tcPr>
            <w:tcW w:w="3740" w:type="pct"/>
          </w:tcPr>
          <w:p w:rsidR="00260042" w:rsidRDefault="00260042" w:rsidP="00B627B0">
            <w:pPr>
              <w:pStyle w:val="BodyText"/>
            </w:pPr>
            <w:r>
              <w:t>Ernst &amp; Young (75288172749)</w:t>
            </w:r>
          </w:p>
        </w:tc>
        <w:tc>
          <w:tcPr>
            <w:tcW w:w="1260" w:type="pct"/>
          </w:tcPr>
          <w:p w:rsidR="00260042" w:rsidRDefault="00260042" w:rsidP="00B627B0">
            <w:pPr>
              <w:pStyle w:val="BodyText"/>
              <w:jc w:val="right"/>
            </w:pPr>
            <w:r>
              <w:t>1,361,763</w:t>
            </w:r>
          </w:p>
        </w:tc>
      </w:tr>
      <w:tr w:rsidR="00260042" w:rsidTr="00B627B0">
        <w:trPr>
          <w:trHeight w:val="60"/>
        </w:trPr>
        <w:tc>
          <w:tcPr>
            <w:tcW w:w="3740" w:type="pct"/>
          </w:tcPr>
          <w:p w:rsidR="00260042" w:rsidRDefault="00260042" w:rsidP="00B627B0">
            <w:pPr>
              <w:pStyle w:val="BodyText"/>
            </w:pPr>
            <w:r>
              <w:t>Nous Group Pty Ltd (66086210344)</w:t>
            </w:r>
          </w:p>
        </w:tc>
        <w:tc>
          <w:tcPr>
            <w:tcW w:w="1260" w:type="pct"/>
          </w:tcPr>
          <w:p w:rsidR="00260042" w:rsidRDefault="00260042" w:rsidP="00B627B0">
            <w:pPr>
              <w:pStyle w:val="BodyText"/>
              <w:jc w:val="right"/>
            </w:pPr>
            <w:r>
              <w:t>1,069,296</w:t>
            </w:r>
          </w:p>
        </w:tc>
      </w:tr>
      <w:tr w:rsidR="00260042" w:rsidTr="00B627B0">
        <w:trPr>
          <w:trHeight w:val="60"/>
        </w:trPr>
        <w:tc>
          <w:tcPr>
            <w:tcW w:w="3740" w:type="pct"/>
          </w:tcPr>
          <w:p w:rsidR="00260042" w:rsidRDefault="00260042" w:rsidP="00B627B0">
            <w:pPr>
              <w:pStyle w:val="BodyText"/>
            </w:pPr>
            <w:r>
              <w:t>Accenture Australia Pty Ltd (49096776895)</w:t>
            </w:r>
          </w:p>
        </w:tc>
        <w:tc>
          <w:tcPr>
            <w:tcW w:w="1260" w:type="pct"/>
          </w:tcPr>
          <w:p w:rsidR="00260042" w:rsidRDefault="00260042" w:rsidP="00B627B0">
            <w:pPr>
              <w:pStyle w:val="BodyText"/>
              <w:jc w:val="right"/>
            </w:pPr>
            <w:r>
              <w:t>587,654</w:t>
            </w:r>
          </w:p>
        </w:tc>
      </w:tr>
    </w:tbl>
    <w:p w:rsidR="00260042" w:rsidRDefault="00260042" w:rsidP="00260042">
      <w:pPr>
        <w:pStyle w:val="BodyText"/>
      </w:pPr>
      <w:r>
        <w:lastRenderedPageBreak/>
        <w:t xml:space="preserve">Annual reports contain information about actual expenditure on reportable consultancy contracts. Information on the value of reportable consultancy contracts is available on the </w:t>
      </w:r>
      <w:proofErr w:type="spellStart"/>
      <w:r>
        <w:t>AusTender</w:t>
      </w:r>
      <w:proofErr w:type="spellEnd"/>
      <w:r>
        <w:t xml:space="preserve"> website.</w:t>
      </w:r>
    </w:p>
    <w:p w:rsidR="00260042" w:rsidRDefault="00260042" w:rsidP="00260042">
      <w:pPr>
        <w:pStyle w:val="BodyText"/>
      </w:pPr>
      <w:r>
        <w:t xml:space="preserve">Table 43 shows total expenditure (including GST) on consultancy contracts for 2020–21 and the previous </w:t>
      </w:r>
      <w:proofErr w:type="gramStart"/>
      <w:r>
        <w:t>2</w:t>
      </w:r>
      <w:proofErr w:type="gramEnd"/>
      <w:r>
        <w:t xml:space="preserve"> financial years.</w:t>
      </w:r>
    </w:p>
    <w:p w:rsidR="00260042" w:rsidRPr="00EA5510" w:rsidRDefault="00511254" w:rsidP="00EA5510">
      <w:pPr>
        <w:pStyle w:val="BodyText"/>
        <w:rPr>
          <w:b/>
        </w:rPr>
      </w:pPr>
      <w:r>
        <w:rPr>
          <w:rStyle w:val="Bold"/>
          <w:bCs w:val="0"/>
        </w:rPr>
        <w:t>Table 4</w:t>
      </w:r>
      <w:r>
        <w:rPr>
          <w:rStyle w:val="Bold"/>
          <w:bCs w:val="0"/>
        </w:rPr>
        <w:t>3</w:t>
      </w:r>
      <w:r w:rsidR="00260042" w:rsidRPr="00EA5510">
        <w:rPr>
          <w:b/>
        </w:rPr>
        <w:t xml:space="preserve"> Expenditure on consultancy services</w:t>
      </w:r>
    </w:p>
    <w:tbl>
      <w:tblPr>
        <w:tblStyle w:val="TableGrid"/>
        <w:tblW w:w="5000" w:type="pct"/>
        <w:tblLook w:val="0000" w:firstRow="0" w:lastRow="0" w:firstColumn="0" w:lastColumn="0" w:noHBand="0" w:noVBand="0"/>
        <w:tblCaption w:val="Expenditure on consultancy services"/>
      </w:tblPr>
      <w:tblGrid>
        <w:gridCol w:w="4339"/>
        <w:gridCol w:w="2150"/>
        <w:gridCol w:w="2149"/>
        <w:gridCol w:w="2152"/>
      </w:tblGrid>
      <w:tr w:rsidR="00260042" w:rsidTr="00B627B0">
        <w:trPr>
          <w:trHeight w:val="60"/>
          <w:tblHeader/>
        </w:trPr>
        <w:tc>
          <w:tcPr>
            <w:tcW w:w="2010" w:type="pct"/>
          </w:tcPr>
          <w:p w:rsidR="00260042" w:rsidRPr="00B627B0" w:rsidRDefault="00260042" w:rsidP="00B627B0">
            <w:pPr>
              <w:pStyle w:val="BodyText"/>
              <w:rPr>
                <w:b/>
              </w:rPr>
            </w:pPr>
          </w:p>
        </w:tc>
        <w:tc>
          <w:tcPr>
            <w:tcW w:w="996" w:type="pct"/>
          </w:tcPr>
          <w:p w:rsidR="00260042" w:rsidRPr="00B627B0" w:rsidRDefault="00260042" w:rsidP="00B627B0">
            <w:pPr>
              <w:pStyle w:val="BodyText"/>
              <w:jc w:val="right"/>
              <w:rPr>
                <w:rStyle w:val="Bulletcolour"/>
                <w:b/>
              </w:rPr>
            </w:pPr>
            <w:r w:rsidRPr="00B627B0">
              <w:rPr>
                <w:rStyle w:val="Bulletcolour"/>
                <w:b/>
              </w:rPr>
              <w:t>2018–19</w:t>
            </w:r>
          </w:p>
          <w:p w:rsidR="00260042" w:rsidRPr="00B627B0" w:rsidRDefault="00260042" w:rsidP="00B627B0">
            <w:pPr>
              <w:pStyle w:val="BodyText"/>
              <w:jc w:val="right"/>
              <w:rPr>
                <w:b/>
              </w:rPr>
            </w:pPr>
            <w:r w:rsidRPr="00B627B0">
              <w:rPr>
                <w:rStyle w:val="Bulletcolour"/>
                <w:b/>
              </w:rPr>
              <w:t>$ (GST</w:t>
            </w:r>
            <w:r w:rsidRPr="00B627B0">
              <w:rPr>
                <w:rStyle w:val="Bulletcolour"/>
                <w:b/>
              </w:rPr>
              <w:br/>
              <w:t>inclusive)</w:t>
            </w:r>
          </w:p>
        </w:tc>
        <w:tc>
          <w:tcPr>
            <w:tcW w:w="996" w:type="pct"/>
          </w:tcPr>
          <w:p w:rsidR="00260042" w:rsidRPr="00B627B0" w:rsidRDefault="00260042" w:rsidP="00B627B0">
            <w:pPr>
              <w:pStyle w:val="BodyText"/>
              <w:jc w:val="right"/>
              <w:rPr>
                <w:rStyle w:val="Bulletcolour"/>
                <w:b/>
              </w:rPr>
            </w:pPr>
            <w:r w:rsidRPr="00B627B0">
              <w:rPr>
                <w:rStyle w:val="Bulletcolour"/>
                <w:b/>
              </w:rPr>
              <w:t>2019–20</w:t>
            </w:r>
            <w:r w:rsidRPr="00B627B0">
              <w:rPr>
                <w:rStyle w:val="Bulletcolour"/>
                <w:b/>
                <w:vertAlign w:val="superscript"/>
              </w:rPr>
              <w:t>(a)</w:t>
            </w:r>
          </w:p>
          <w:p w:rsidR="00260042" w:rsidRPr="00B627B0" w:rsidRDefault="00260042" w:rsidP="00B627B0">
            <w:pPr>
              <w:pStyle w:val="BodyText"/>
              <w:jc w:val="right"/>
              <w:rPr>
                <w:b/>
              </w:rPr>
            </w:pPr>
            <w:r w:rsidRPr="00B627B0">
              <w:rPr>
                <w:rStyle w:val="Bulletcolour"/>
                <w:b/>
              </w:rPr>
              <w:t>$ (GST</w:t>
            </w:r>
            <w:r w:rsidRPr="00B627B0">
              <w:rPr>
                <w:rStyle w:val="Bulletcolour"/>
                <w:b/>
              </w:rPr>
              <w:br/>
              <w:t>inclusive)</w:t>
            </w:r>
          </w:p>
        </w:tc>
        <w:tc>
          <w:tcPr>
            <w:tcW w:w="997" w:type="pct"/>
          </w:tcPr>
          <w:p w:rsidR="00260042" w:rsidRPr="00B627B0" w:rsidRDefault="00260042" w:rsidP="00B627B0">
            <w:pPr>
              <w:pStyle w:val="BodyText"/>
              <w:jc w:val="right"/>
              <w:rPr>
                <w:rStyle w:val="Bulletcolour"/>
                <w:b/>
              </w:rPr>
            </w:pPr>
            <w:r w:rsidRPr="00B627B0">
              <w:rPr>
                <w:rStyle w:val="Bulletcolour"/>
                <w:b/>
              </w:rPr>
              <w:t>2020–21</w:t>
            </w:r>
          </w:p>
          <w:p w:rsidR="00260042" w:rsidRPr="00B627B0" w:rsidRDefault="00260042" w:rsidP="00B627B0">
            <w:pPr>
              <w:pStyle w:val="BodyText"/>
              <w:jc w:val="right"/>
              <w:rPr>
                <w:b/>
              </w:rPr>
            </w:pPr>
            <w:r w:rsidRPr="00B627B0">
              <w:rPr>
                <w:rStyle w:val="Bulletcolour"/>
                <w:b/>
              </w:rPr>
              <w:t>$ (GST</w:t>
            </w:r>
            <w:r w:rsidRPr="00B627B0">
              <w:rPr>
                <w:rStyle w:val="Bulletcolour"/>
                <w:b/>
              </w:rPr>
              <w:br/>
              <w:t>inclusive)</w:t>
            </w:r>
          </w:p>
        </w:tc>
      </w:tr>
      <w:tr w:rsidR="00260042" w:rsidTr="00B627B0">
        <w:trPr>
          <w:trHeight w:val="60"/>
        </w:trPr>
        <w:tc>
          <w:tcPr>
            <w:tcW w:w="2010" w:type="pct"/>
          </w:tcPr>
          <w:p w:rsidR="00260042" w:rsidRDefault="00260042" w:rsidP="00B627B0">
            <w:pPr>
              <w:pStyle w:val="BodyText"/>
            </w:pPr>
            <w:r>
              <w:rPr>
                <w:rStyle w:val="Bulletcolour"/>
              </w:rPr>
              <w:t>New consultancy services</w:t>
            </w:r>
          </w:p>
        </w:tc>
        <w:tc>
          <w:tcPr>
            <w:tcW w:w="996" w:type="pct"/>
          </w:tcPr>
          <w:p w:rsidR="00260042" w:rsidRDefault="00260042" w:rsidP="00B627B0">
            <w:pPr>
              <w:pStyle w:val="BodyText"/>
              <w:jc w:val="right"/>
            </w:pPr>
            <w:r>
              <w:rPr>
                <w:rStyle w:val="Bulletcolour"/>
              </w:rPr>
              <w:t>16,373,253</w:t>
            </w:r>
          </w:p>
        </w:tc>
        <w:tc>
          <w:tcPr>
            <w:tcW w:w="996" w:type="pct"/>
          </w:tcPr>
          <w:p w:rsidR="00260042" w:rsidRDefault="00260042" w:rsidP="00B627B0">
            <w:pPr>
              <w:pStyle w:val="BodyText"/>
              <w:jc w:val="right"/>
            </w:pPr>
            <w:r>
              <w:rPr>
                <w:rStyle w:val="Bulletcolour"/>
              </w:rPr>
              <w:t>13,240,152</w:t>
            </w:r>
          </w:p>
        </w:tc>
        <w:tc>
          <w:tcPr>
            <w:tcW w:w="997" w:type="pct"/>
          </w:tcPr>
          <w:p w:rsidR="00260042" w:rsidRDefault="00260042" w:rsidP="00B627B0">
            <w:pPr>
              <w:pStyle w:val="BodyText"/>
              <w:jc w:val="right"/>
            </w:pPr>
            <w:r>
              <w:rPr>
                <w:rStyle w:val="Bulletcolour"/>
              </w:rPr>
              <w:t>8,895,496</w:t>
            </w:r>
          </w:p>
        </w:tc>
      </w:tr>
      <w:tr w:rsidR="00260042" w:rsidTr="00B627B0">
        <w:trPr>
          <w:trHeight w:val="60"/>
        </w:trPr>
        <w:tc>
          <w:tcPr>
            <w:tcW w:w="2010" w:type="pct"/>
          </w:tcPr>
          <w:p w:rsidR="00260042" w:rsidRDefault="00260042" w:rsidP="00B627B0">
            <w:pPr>
              <w:pStyle w:val="BodyText"/>
            </w:pPr>
            <w:r>
              <w:rPr>
                <w:rStyle w:val="Bulletcolour"/>
              </w:rPr>
              <w:t>Ongoing consultancy services</w:t>
            </w:r>
          </w:p>
        </w:tc>
        <w:tc>
          <w:tcPr>
            <w:tcW w:w="996" w:type="pct"/>
          </w:tcPr>
          <w:p w:rsidR="00260042" w:rsidRDefault="00260042" w:rsidP="00B627B0">
            <w:pPr>
              <w:pStyle w:val="BodyText"/>
              <w:jc w:val="right"/>
            </w:pPr>
            <w:r>
              <w:rPr>
                <w:rStyle w:val="Bulletcolour"/>
              </w:rPr>
              <w:t>4,577,554</w:t>
            </w:r>
          </w:p>
        </w:tc>
        <w:tc>
          <w:tcPr>
            <w:tcW w:w="996" w:type="pct"/>
          </w:tcPr>
          <w:p w:rsidR="00260042" w:rsidRDefault="00260042" w:rsidP="00B627B0">
            <w:pPr>
              <w:pStyle w:val="BodyText"/>
              <w:jc w:val="right"/>
            </w:pPr>
            <w:r>
              <w:rPr>
                <w:rStyle w:val="Bulletcolour"/>
              </w:rPr>
              <w:t>5,236,325</w:t>
            </w:r>
          </w:p>
        </w:tc>
        <w:tc>
          <w:tcPr>
            <w:tcW w:w="997" w:type="pct"/>
          </w:tcPr>
          <w:p w:rsidR="00260042" w:rsidRDefault="00260042" w:rsidP="00B627B0">
            <w:pPr>
              <w:pStyle w:val="BodyText"/>
              <w:jc w:val="right"/>
            </w:pPr>
            <w:r>
              <w:rPr>
                <w:rStyle w:val="Bulletcolour"/>
              </w:rPr>
              <w:t>4,395,635</w:t>
            </w:r>
          </w:p>
        </w:tc>
      </w:tr>
      <w:tr w:rsidR="00260042" w:rsidTr="00B627B0">
        <w:trPr>
          <w:trHeight w:val="60"/>
        </w:trPr>
        <w:tc>
          <w:tcPr>
            <w:tcW w:w="2010" w:type="pct"/>
          </w:tcPr>
          <w:p w:rsidR="00260042" w:rsidRDefault="00260042" w:rsidP="00B627B0">
            <w:pPr>
              <w:pStyle w:val="BodyText"/>
            </w:pPr>
            <w:r>
              <w:rPr>
                <w:rStyle w:val="Bold"/>
              </w:rPr>
              <w:t>Total consultancy services</w:t>
            </w:r>
          </w:p>
        </w:tc>
        <w:tc>
          <w:tcPr>
            <w:tcW w:w="996" w:type="pct"/>
          </w:tcPr>
          <w:p w:rsidR="00260042" w:rsidRDefault="00260042" w:rsidP="00B627B0">
            <w:pPr>
              <w:pStyle w:val="BodyText"/>
              <w:jc w:val="right"/>
            </w:pPr>
            <w:r>
              <w:rPr>
                <w:rStyle w:val="Bold"/>
              </w:rPr>
              <w:t>20,950,807</w:t>
            </w:r>
          </w:p>
        </w:tc>
        <w:tc>
          <w:tcPr>
            <w:tcW w:w="996" w:type="pct"/>
          </w:tcPr>
          <w:p w:rsidR="00260042" w:rsidRDefault="00260042" w:rsidP="00B627B0">
            <w:pPr>
              <w:pStyle w:val="BodyText"/>
              <w:jc w:val="right"/>
            </w:pPr>
            <w:r>
              <w:rPr>
                <w:rStyle w:val="Bold"/>
              </w:rPr>
              <w:t>18,476,477</w:t>
            </w:r>
          </w:p>
        </w:tc>
        <w:tc>
          <w:tcPr>
            <w:tcW w:w="997" w:type="pct"/>
          </w:tcPr>
          <w:p w:rsidR="00260042" w:rsidRDefault="00260042" w:rsidP="00B627B0">
            <w:pPr>
              <w:pStyle w:val="BodyText"/>
              <w:jc w:val="right"/>
            </w:pPr>
            <w:r>
              <w:rPr>
                <w:rStyle w:val="Bold"/>
              </w:rPr>
              <w:t>13,291,131</w:t>
            </w:r>
          </w:p>
        </w:tc>
      </w:tr>
    </w:tbl>
    <w:p w:rsidR="00260042" w:rsidRDefault="00260042" w:rsidP="00EA5510">
      <w:pPr>
        <w:pStyle w:val="BodyText"/>
      </w:pPr>
      <w:r>
        <w:t>(a)</w:t>
      </w:r>
      <w:r>
        <w:tab/>
        <w:t xml:space="preserve">Figures relating to 2019–20 </w:t>
      </w:r>
      <w:proofErr w:type="gramStart"/>
      <w:r>
        <w:t>have been corrected</w:t>
      </w:r>
      <w:proofErr w:type="gramEnd"/>
      <w:r>
        <w:t xml:space="preserve"> due to the omission of a purchase order and currency conversion. See Corrections to the 2019–20 annual report on page </w:t>
      </w:r>
      <w:r w:rsidR="004E3486">
        <w:t>168</w:t>
      </w:r>
    </w:p>
    <w:p w:rsidR="00260042" w:rsidRDefault="00260042" w:rsidP="002E64CE">
      <w:pPr>
        <w:pStyle w:val="Heading3"/>
      </w:pPr>
      <w:r>
        <w:t>Expenditure on reportable non-consultancy contracts</w:t>
      </w:r>
    </w:p>
    <w:p w:rsidR="00260042" w:rsidRDefault="00260042" w:rsidP="00260042">
      <w:pPr>
        <w:pStyle w:val="BodyText"/>
      </w:pPr>
      <w:r>
        <w:t xml:space="preserve">Annual reports contain information about actual expenditure on reportable non-consultancy contracts. Information on the reportable non-consultancy contracts’ value is available on the </w:t>
      </w:r>
      <w:proofErr w:type="spellStart"/>
      <w:r>
        <w:t>AusTender</w:t>
      </w:r>
      <w:proofErr w:type="spellEnd"/>
      <w:r>
        <w:t xml:space="preserve"> website.</w:t>
      </w:r>
    </w:p>
    <w:p w:rsidR="00260042" w:rsidRPr="00B627B0" w:rsidRDefault="00511254" w:rsidP="00EA5510">
      <w:pPr>
        <w:pStyle w:val="BodyText"/>
      </w:pPr>
      <w:r>
        <w:rPr>
          <w:rStyle w:val="Bold"/>
          <w:bCs w:val="0"/>
        </w:rPr>
        <w:t>Table 4</w:t>
      </w:r>
      <w:r>
        <w:rPr>
          <w:rStyle w:val="Bold"/>
          <w:bCs w:val="0"/>
        </w:rPr>
        <w:t>4</w:t>
      </w:r>
      <w:r w:rsidR="00260042" w:rsidRPr="00EA5510">
        <w:rPr>
          <w:b/>
        </w:rPr>
        <w:t xml:space="preserve"> </w:t>
      </w:r>
      <w:r w:rsidR="00260042" w:rsidRPr="00B627B0">
        <w:rPr>
          <w:rStyle w:val="Bold"/>
          <w:bCs w:val="0"/>
        </w:rPr>
        <w:t>Reportable non-consultancy contracts 2020–21</w:t>
      </w:r>
    </w:p>
    <w:tbl>
      <w:tblPr>
        <w:tblStyle w:val="TableGrid"/>
        <w:tblW w:w="5000" w:type="pct"/>
        <w:tblLook w:val="0000" w:firstRow="0" w:lastRow="0" w:firstColumn="0" w:lastColumn="0" w:noHBand="0" w:noVBand="0"/>
        <w:tblCaption w:val="Reportable non-consultancy contracts 2020–21"/>
      </w:tblPr>
      <w:tblGrid>
        <w:gridCol w:w="5354"/>
        <w:gridCol w:w="2719"/>
        <w:gridCol w:w="2717"/>
      </w:tblGrid>
      <w:tr w:rsidR="00260042" w:rsidTr="00511254">
        <w:trPr>
          <w:trHeight w:val="60"/>
          <w:tblHeader/>
        </w:trPr>
        <w:tc>
          <w:tcPr>
            <w:tcW w:w="2481" w:type="pct"/>
          </w:tcPr>
          <w:p w:rsidR="00260042" w:rsidRDefault="00260042" w:rsidP="00B627B0">
            <w:pPr>
              <w:pStyle w:val="BodyText"/>
            </w:pPr>
          </w:p>
        </w:tc>
        <w:tc>
          <w:tcPr>
            <w:tcW w:w="1260" w:type="pct"/>
          </w:tcPr>
          <w:p w:rsidR="00260042" w:rsidRDefault="00260042" w:rsidP="00B627B0">
            <w:pPr>
              <w:pStyle w:val="BodyText"/>
              <w:jc w:val="right"/>
            </w:pPr>
            <w:r>
              <w:rPr>
                <w:rStyle w:val="Bold"/>
              </w:rPr>
              <w:t>Number</w:t>
            </w:r>
          </w:p>
        </w:tc>
        <w:tc>
          <w:tcPr>
            <w:tcW w:w="1259" w:type="pct"/>
          </w:tcPr>
          <w:p w:rsidR="00260042" w:rsidRDefault="00260042" w:rsidP="00B627B0">
            <w:pPr>
              <w:pStyle w:val="BodyText"/>
              <w:jc w:val="right"/>
            </w:pPr>
            <w:r>
              <w:rPr>
                <w:rStyle w:val="Bold"/>
              </w:rPr>
              <w:t>Expenditure $ (GST inclusive)</w:t>
            </w:r>
          </w:p>
        </w:tc>
      </w:tr>
      <w:tr w:rsidR="00260042" w:rsidTr="00511254">
        <w:trPr>
          <w:trHeight w:val="60"/>
        </w:trPr>
        <w:tc>
          <w:tcPr>
            <w:tcW w:w="2481" w:type="pct"/>
          </w:tcPr>
          <w:p w:rsidR="00260042" w:rsidRDefault="00260042" w:rsidP="00B627B0">
            <w:pPr>
              <w:pStyle w:val="BodyText"/>
            </w:pPr>
            <w:r>
              <w:rPr>
                <w:rStyle w:val="Bulletcolour"/>
              </w:rPr>
              <w:t>New contracts entered into during the reporting period</w:t>
            </w:r>
          </w:p>
        </w:tc>
        <w:tc>
          <w:tcPr>
            <w:tcW w:w="1260" w:type="pct"/>
          </w:tcPr>
          <w:p w:rsidR="00260042" w:rsidRDefault="00260042" w:rsidP="00B627B0">
            <w:pPr>
              <w:pStyle w:val="BodyText"/>
              <w:jc w:val="right"/>
            </w:pPr>
            <w:r>
              <w:rPr>
                <w:rStyle w:val="Bulletcolour"/>
              </w:rPr>
              <w:t>2,363</w:t>
            </w:r>
          </w:p>
        </w:tc>
        <w:tc>
          <w:tcPr>
            <w:tcW w:w="1259" w:type="pct"/>
          </w:tcPr>
          <w:p w:rsidR="00260042" w:rsidRDefault="00260042" w:rsidP="00B627B0">
            <w:pPr>
              <w:pStyle w:val="BodyText"/>
              <w:jc w:val="right"/>
            </w:pPr>
            <w:r>
              <w:rPr>
                <w:rStyle w:val="Bulletcolour"/>
              </w:rPr>
              <w:t>695,764,439</w:t>
            </w:r>
          </w:p>
        </w:tc>
      </w:tr>
      <w:tr w:rsidR="00260042" w:rsidTr="00511254">
        <w:trPr>
          <w:trHeight w:val="60"/>
        </w:trPr>
        <w:tc>
          <w:tcPr>
            <w:tcW w:w="2481" w:type="pct"/>
          </w:tcPr>
          <w:p w:rsidR="00260042" w:rsidRDefault="00260042" w:rsidP="00B627B0">
            <w:pPr>
              <w:pStyle w:val="BodyText"/>
            </w:pPr>
            <w:r>
              <w:rPr>
                <w:rStyle w:val="Bulletcolour"/>
              </w:rPr>
              <w:t>Ongoing contracts entered into during a previous reporting period</w:t>
            </w:r>
          </w:p>
        </w:tc>
        <w:tc>
          <w:tcPr>
            <w:tcW w:w="1260" w:type="pct"/>
          </w:tcPr>
          <w:p w:rsidR="00260042" w:rsidRDefault="00260042" w:rsidP="00B627B0">
            <w:pPr>
              <w:pStyle w:val="BodyText"/>
              <w:jc w:val="right"/>
            </w:pPr>
            <w:r>
              <w:rPr>
                <w:rStyle w:val="Bulletcolour"/>
              </w:rPr>
              <w:t>3,405</w:t>
            </w:r>
          </w:p>
        </w:tc>
        <w:tc>
          <w:tcPr>
            <w:tcW w:w="1259" w:type="pct"/>
          </w:tcPr>
          <w:p w:rsidR="00260042" w:rsidRDefault="00260042" w:rsidP="00B627B0">
            <w:pPr>
              <w:pStyle w:val="BodyText"/>
              <w:jc w:val="right"/>
            </w:pPr>
            <w:r>
              <w:rPr>
                <w:rStyle w:val="Bulletcolour"/>
              </w:rPr>
              <w:t>1,909,140,603</w:t>
            </w:r>
          </w:p>
        </w:tc>
      </w:tr>
      <w:tr w:rsidR="00260042" w:rsidTr="00511254">
        <w:trPr>
          <w:trHeight w:val="60"/>
        </w:trPr>
        <w:tc>
          <w:tcPr>
            <w:tcW w:w="2481" w:type="pct"/>
          </w:tcPr>
          <w:p w:rsidR="00260042" w:rsidRDefault="00260042" w:rsidP="00B627B0">
            <w:pPr>
              <w:pStyle w:val="BodyText"/>
            </w:pPr>
            <w:r>
              <w:rPr>
                <w:rStyle w:val="Bold"/>
              </w:rPr>
              <w:t>Total</w:t>
            </w:r>
          </w:p>
        </w:tc>
        <w:tc>
          <w:tcPr>
            <w:tcW w:w="1260" w:type="pct"/>
          </w:tcPr>
          <w:p w:rsidR="00260042" w:rsidRDefault="00260042" w:rsidP="00B627B0">
            <w:pPr>
              <w:pStyle w:val="BodyText"/>
              <w:jc w:val="right"/>
            </w:pPr>
            <w:r>
              <w:rPr>
                <w:rStyle w:val="Bold"/>
              </w:rPr>
              <w:t>5,768</w:t>
            </w:r>
          </w:p>
        </w:tc>
        <w:tc>
          <w:tcPr>
            <w:tcW w:w="1259" w:type="pct"/>
          </w:tcPr>
          <w:p w:rsidR="00260042" w:rsidRDefault="00260042" w:rsidP="00B627B0">
            <w:pPr>
              <w:pStyle w:val="BodyText"/>
              <w:jc w:val="right"/>
            </w:pPr>
            <w:r>
              <w:rPr>
                <w:rStyle w:val="Bold"/>
              </w:rPr>
              <w:t>2,604,905,042</w:t>
            </w:r>
          </w:p>
        </w:tc>
      </w:tr>
    </w:tbl>
    <w:p w:rsidR="00260042" w:rsidRPr="007078E0" w:rsidRDefault="00511254" w:rsidP="007078E0">
      <w:pPr>
        <w:pStyle w:val="BodyText"/>
        <w:rPr>
          <w:rStyle w:val="Bold"/>
        </w:rPr>
      </w:pPr>
      <w:r>
        <w:rPr>
          <w:rStyle w:val="Bold"/>
          <w:bCs w:val="0"/>
        </w:rPr>
        <w:t>Table 4</w:t>
      </w:r>
      <w:r>
        <w:rPr>
          <w:rStyle w:val="Bold"/>
          <w:bCs w:val="0"/>
        </w:rPr>
        <w:t>5</w:t>
      </w:r>
      <w:r w:rsidR="00260042" w:rsidRPr="007078E0">
        <w:rPr>
          <w:rStyle w:val="Bold"/>
        </w:rPr>
        <w:t xml:space="preserve"> Organisations receiving a share of reportable non-consultancy contract expenditure 2020–21</w:t>
      </w:r>
    </w:p>
    <w:tbl>
      <w:tblPr>
        <w:tblStyle w:val="TableGrid"/>
        <w:tblW w:w="5000" w:type="pct"/>
        <w:tblLook w:val="0000" w:firstRow="0" w:lastRow="0" w:firstColumn="0" w:lastColumn="0" w:noHBand="0" w:noVBand="0"/>
        <w:tblCaption w:val=" Organisations receiving a share of reportable non-consultancy contract expenditure 2020–21"/>
      </w:tblPr>
      <w:tblGrid>
        <w:gridCol w:w="8071"/>
        <w:gridCol w:w="2719"/>
      </w:tblGrid>
      <w:tr w:rsidR="00260042" w:rsidRPr="007078E0" w:rsidTr="007078E0">
        <w:trPr>
          <w:trHeight w:val="60"/>
          <w:tblHeader/>
        </w:trPr>
        <w:tc>
          <w:tcPr>
            <w:tcW w:w="3740" w:type="pct"/>
          </w:tcPr>
          <w:p w:rsidR="00260042" w:rsidRPr="007078E0" w:rsidRDefault="00260042" w:rsidP="007078E0">
            <w:pPr>
              <w:pStyle w:val="BodyText"/>
              <w:rPr>
                <w:b/>
              </w:rPr>
            </w:pPr>
          </w:p>
        </w:tc>
        <w:tc>
          <w:tcPr>
            <w:tcW w:w="1260" w:type="pct"/>
          </w:tcPr>
          <w:p w:rsidR="00260042" w:rsidRPr="007078E0" w:rsidRDefault="00260042" w:rsidP="007078E0">
            <w:pPr>
              <w:pStyle w:val="BodyText"/>
              <w:jc w:val="right"/>
              <w:rPr>
                <w:b/>
              </w:rPr>
            </w:pPr>
            <w:r w:rsidRPr="007078E0">
              <w:rPr>
                <w:rStyle w:val="Bold"/>
                <w:bCs w:val="0"/>
                <w:color w:val="auto"/>
              </w:rPr>
              <w:t>Expenditure $ (GST inclusive)</w:t>
            </w:r>
          </w:p>
        </w:tc>
      </w:tr>
      <w:tr w:rsidR="00260042" w:rsidRPr="007078E0" w:rsidTr="007078E0">
        <w:trPr>
          <w:trHeight w:val="60"/>
        </w:trPr>
        <w:tc>
          <w:tcPr>
            <w:tcW w:w="3740" w:type="pct"/>
          </w:tcPr>
          <w:p w:rsidR="00260042" w:rsidRPr="007078E0" w:rsidRDefault="00260042" w:rsidP="007078E0">
            <w:pPr>
              <w:pStyle w:val="BodyText"/>
            </w:pPr>
            <w:r w:rsidRPr="007078E0">
              <w:rPr>
                <w:rStyle w:val="Bulletcolour"/>
                <w:color w:val="auto"/>
              </w:rPr>
              <w:t>Jones Lang LaSalle (ACT) Pty Ltd (69008585260)</w:t>
            </w:r>
          </w:p>
        </w:tc>
        <w:tc>
          <w:tcPr>
            <w:tcW w:w="1260" w:type="pct"/>
          </w:tcPr>
          <w:p w:rsidR="00260042" w:rsidRPr="007078E0" w:rsidRDefault="00260042" w:rsidP="007078E0">
            <w:pPr>
              <w:pStyle w:val="BodyText"/>
              <w:jc w:val="right"/>
            </w:pPr>
            <w:r w:rsidRPr="007078E0">
              <w:rPr>
                <w:rStyle w:val="Bulletcolour"/>
                <w:color w:val="auto"/>
              </w:rPr>
              <w:t>189,944,244</w:t>
            </w:r>
          </w:p>
        </w:tc>
      </w:tr>
      <w:tr w:rsidR="00260042" w:rsidRPr="007078E0" w:rsidTr="007078E0">
        <w:trPr>
          <w:trHeight w:val="60"/>
        </w:trPr>
        <w:tc>
          <w:tcPr>
            <w:tcW w:w="3740" w:type="pct"/>
          </w:tcPr>
          <w:p w:rsidR="00260042" w:rsidRPr="007078E0" w:rsidRDefault="00260042" w:rsidP="007078E0">
            <w:pPr>
              <w:pStyle w:val="BodyText"/>
            </w:pPr>
            <w:r w:rsidRPr="007078E0">
              <w:rPr>
                <w:rStyle w:val="Bulletcolour"/>
                <w:color w:val="auto"/>
              </w:rPr>
              <w:lastRenderedPageBreak/>
              <w:t>Telstra (33051775556)</w:t>
            </w:r>
          </w:p>
        </w:tc>
        <w:tc>
          <w:tcPr>
            <w:tcW w:w="1260" w:type="pct"/>
          </w:tcPr>
          <w:p w:rsidR="00260042" w:rsidRPr="007078E0" w:rsidRDefault="00260042" w:rsidP="007078E0">
            <w:pPr>
              <w:pStyle w:val="BodyText"/>
              <w:jc w:val="right"/>
            </w:pPr>
            <w:r w:rsidRPr="007078E0">
              <w:rPr>
                <w:rStyle w:val="Bulletcolour"/>
                <w:color w:val="auto"/>
              </w:rPr>
              <w:t>167,559,911</w:t>
            </w:r>
          </w:p>
        </w:tc>
      </w:tr>
      <w:tr w:rsidR="00260042" w:rsidRPr="007078E0" w:rsidTr="007078E0">
        <w:trPr>
          <w:trHeight w:val="60"/>
        </w:trPr>
        <w:tc>
          <w:tcPr>
            <w:tcW w:w="3740" w:type="pct"/>
          </w:tcPr>
          <w:p w:rsidR="00260042" w:rsidRPr="007078E0" w:rsidRDefault="00260042" w:rsidP="007078E0">
            <w:pPr>
              <w:pStyle w:val="BodyText"/>
            </w:pPr>
            <w:r w:rsidRPr="007078E0">
              <w:rPr>
                <w:rStyle w:val="Bulletcolour"/>
                <w:color w:val="auto"/>
              </w:rPr>
              <w:t>IBM Australia Ltd (79000024733)</w:t>
            </w:r>
          </w:p>
        </w:tc>
        <w:tc>
          <w:tcPr>
            <w:tcW w:w="1260" w:type="pct"/>
          </w:tcPr>
          <w:p w:rsidR="00260042" w:rsidRPr="007078E0" w:rsidRDefault="00260042" w:rsidP="007078E0">
            <w:pPr>
              <w:pStyle w:val="BodyText"/>
              <w:jc w:val="right"/>
            </w:pPr>
            <w:r w:rsidRPr="007078E0">
              <w:rPr>
                <w:rStyle w:val="Bulletcolour"/>
                <w:color w:val="auto"/>
              </w:rPr>
              <w:t>139,566,215</w:t>
            </w:r>
          </w:p>
        </w:tc>
      </w:tr>
      <w:tr w:rsidR="00260042" w:rsidRPr="007078E0" w:rsidTr="007078E0">
        <w:trPr>
          <w:trHeight w:val="60"/>
        </w:trPr>
        <w:tc>
          <w:tcPr>
            <w:tcW w:w="3740" w:type="pct"/>
          </w:tcPr>
          <w:p w:rsidR="00260042" w:rsidRPr="007078E0" w:rsidRDefault="00260042" w:rsidP="007078E0">
            <w:pPr>
              <w:pStyle w:val="BodyText"/>
            </w:pPr>
            <w:r w:rsidRPr="007078E0">
              <w:rPr>
                <w:rStyle w:val="Bulletcolour"/>
                <w:color w:val="auto"/>
              </w:rPr>
              <w:t>Datacom Connect Pty Ltd (16103112303)</w:t>
            </w:r>
          </w:p>
        </w:tc>
        <w:tc>
          <w:tcPr>
            <w:tcW w:w="1260" w:type="pct"/>
          </w:tcPr>
          <w:p w:rsidR="00260042" w:rsidRPr="007078E0" w:rsidRDefault="00260042" w:rsidP="007078E0">
            <w:pPr>
              <w:pStyle w:val="BodyText"/>
              <w:jc w:val="right"/>
            </w:pPr>
            <w:r w:rsidRPr="007078E0">
              <w:rPr>
                <w:rStyle w:val="Bulletcolour"/>
                <w:color w:val="auto"/>
              </w:rPr>
              <w:t>103,865,054</w:t>
            </w:r>
          </w:p>
        </w:tc>
      </w:tr>
      <w:tr w:rsidR="00260042" w:rsidRPr="007078E0" w:rsidTr="007078E0">
        <w:trPr>
          <w:trHeight w:val="60"/>
        </w:trPr>
        <w:tc>
          <w:tcPr>
            <w:tcW w:w="3740" w:type="pct"/>
          </w:tcPr>
          <w:p w:rsidR="00260042" w:rsidRPr="007078E0" w:rsidRDefault="00260042" w:rsidP="007078E0">
            <w:pPr>
              <w:pStyle w:val="BodyText"/>
            </w:pPr>
            <w:r w:rsidRPr="007078E0">
              <w:rPr>
                <w:rStyle w:val="Bold"/>
                <w:b w:val="0"/>
                <w:bCs w:val="0"/>
                <w:color w:val="auto"/>
              </w:rPr>
              <w:t>Serco Citizen Services Pty Ltd (89062943640)</w:t>
            </w:r>
          </w:p>
        </w:tc>
        <w:tc>
          <w:tcPr>
            <w:tcW w:w="1260" w:type="pct"/>
          </w:tcPr>
          <w:p w:rsidR="00260042" w:rsidRPr="007078E0" w:rsidRDefault="00260042" w:rsidP="007078E0">
            <w:pPr>
              <w:pStyle w:val="BodyText"/>
              <w:jc w:val="right"/>
            </w:pPr>
            <w:r w:rsidRPr="007078E0">
              <w:rPr>
                <w:rStyle w:val="Bold"/>
                <w:b w:val="0"/>
                <w:bCs w:val="0"/>
                <w:color w:val="auto"/>
              </w:rPr>
              <w:t>100,702,635</w:t>
            </w:r>
          </w:p>
        </w:tc>
      </w:tr>
    </w:tbl>
    <w:p w:rsidR="00260042" w:rsidRDefault="00260042" w:rsidP="00260042">
      <w:pPr>
        <w:pStyle w:val="BodyText"/>
      </w:pPr>
      <w:r>
        <w:t xml:space="preserve">Annual reports contain information about actual expenditure on reportable non-consultancy contracts. Information on the reportable non-consultancy contracts’ value is available on the </w:t>
      </w:r>
      <w:proofErr w:type="spellStart"/>
      <w:r>
        <w:t>AusTender</w:t>
      </w:r>
      <w:proofErr w:type="spellEnd"/>
      <w:r>
        <w:t xml:space="preserve"> website.</w:t>
      </w:r>
    </w:p>
    <w:p w:rsidR="007078E0" w:rsidRDefault="007078E0" w:rsidP="00C81689">
      <w:pPr>
        <w:pStyle w:val="Heading2"/>
      </w:pPr>
      <w:r w:rsidRPr="007078E0">
        <w:t>Small business</w:t>
      </w:r>
    </w:p>
    <w:p w:rsidR="00260042" w:rsidRDefault="00260042" w:rsidP="00260042">
      <w:pPr>
        <w:pStyle w:val="BodyText"/>
      </w:pPr>
      <w:r>
        <w:t xml:space="preserve">Services Australia recognises the importance of ensuring that small businesses </w:t>
      </w:r>
      <w:proofErr w:type="gramStart"/>
      <w:r>
        <w:t>are paid</w:t>
      </w:r>
      <w:proofErr w:type="gramEnd"/>
      <w:r>
        <w:t xml:space="preserve"> on time. The results of the Survey of Australian Government Payments to Small Business are available on the Treasury’s website.</w:t>
      </w:r>
    </w:p>
    <w:p w:rsidR="00260042" w:rsidRDefault="00260042" w:rsidP="00260042">
      <w:pPr>
        <w:pStyle w:val="BodyText"/>
      </w:pPr>
      <w:r>
        <w:t>Services Australia supports small business participation in the Commonwealth Government procurement market. Small and Medium Enterprises (SME) and Small Enterprise participation statistics are available on the Department of Finance’s websites.</w:t>
      </w:r>
    </w:p>
    <w:p w:rsidR="00260042" w:rsidRDefault="00260042" w:rsidP="00260042">
      <w:pPr>
        <w:pStyle w:val="BodyText"/>
        <w:spacing w:after="57"/>
      </w:pPr>
      <w:r>
        <w:t>The agency supports SMEs through a range of procurement measures, including:</w:t>
      </w:r>
    </w:p>
    <w:p w:rsidR="00260042" w:rsidRDefault="00260042" w:rsidP="008930A3">
      <w:pPr>
        <w:pStyle w:val="ListBullet"/>
      </w:pPr>
      <w:r>
        <w:t>using the Commonwealth Contracting Suite for low-risk procurements valued under $1 million</w:t>
      </w:r>
    </w:p>
    <w:p w:rsidR="00260042" w:rsidRDefault="00260042" w:rsidP="008930A3">
      <w:pPr>
        <w:pStyle w:val="ListBullet"/>
      </w:pPr>
      <w:r>
        <w:t>implementing the Supplier Diversity Strategy to increase the level of activity between the agency and supplier groups such as Australian Disability Enterprises and Indigenous SMEs</w:t>
      </w:r>
    </w:p>
    <w:p w:rsidR="00260042" w:rsidRDefault="00260042" w:rsidP="008930A3">
      <w:pPr>
        <w:pStyle w:val="ListBullet"/>
      </w:pPr>
      <w:r>
        <w:t>being a member of Supply Nation – a non-profit organisation that supports growth in the Aboriginal and Torres Strait Islander business sector by promoting supplier diversity</w:t>
      </w:r>
    </w:p>
    <w:p w:rsidR="00260042" w:rsidRDefault="00260042" w:rsidP="008930A3">
      <w:pPr>
        <w:pStyle w:val="ListBullet"/>
      </w:pPr>
      <w:proofErr w:type="gramStart"/>
      <w:r>
        <w:t>reporting</w:t>
      </w:r>
      <w:proofErr w:type="gramEnd"/>
      <w:r>
        <w:t xml:space="preserve"> the agency’s results against the Australian Government’s Indigenous Procurement Policy and the agency’s Reconciliation Action Plan (RAP) on the number of contracts, contract values and expenditure for all Indigenous SMEs. In 2020–21, the agency spent $26,416,352 (including GST) with Aboriginal and Torres Strait Islander businesses, exceeding our RAP target of $8 million</w:t>
      </w:r>
    </w:p>
    <w:p w:rsidR="00260042" w:rsidRDefault="00260042" w:rsidP="008930A3">
      <w:pPr>
        <w:pStyle w:val="ListBullet"/>
      </w:pPr>
      <w:r>
        <w:t>using Australian Industry Participation Plans in whole-of-government procurement where applicable</w:t>
      </w:r>
    </w:p>
    <w:p w:rsidR="00260042" w:rsidRDefault="00260042" w:rsidP="008930A3">
      <w:pPr>
        <w:pStyle w:val="ListBullet"/>
      </w:pPr>
      <w:r>
        <w:t>encouraging credit card use to expedite payments</w:t>
      </w:r>
    </w:p>
    <w:p w:rsidR="00260042" w:rsidRDefault="00260042" w:rsidP="00EA5510">
      <w:pPr>
        <w:pStyle w:val="ListBullet"/>
      </w:pPr>
      <w:proofErr w:type="gramStart"/>
      <w:r>
        <w:t>in</w:t>
      </w:r>
      <w:proofErr w:type="gramEnd"/>
      <w:r>
        <w:t xml:space="preserve"> support of the Supplier Pay On-Time or Pay Interest Policy, implementing a standard payment term of 20 business days and a 5-day payment term for compliant e-invoicing capable suppliers.</w:t>
      </w:r>
    </w:p>
    <w:p w:rsidR="00260042" w:rsidRDefault="00260042" w:rsidP="00C81689">
      <w:pPr>
        <w:pStyle w:val="Heading2"/>
      </w:pPr>
      <w:r>
        <w:lastRenderedPageBreak/>
        <w:t>8.5 Other mandatory reporting information</w:t>
      </w:r>
    </w:p>
    <w:p w:rsidR="00260042" w:rsidRDefault="00260042" w:rsidP="00C81689">
      <w:pPr>
        <w:pStyle w:val="Heading2"/>
      </w:pPr>
      <w:r>
        <w:t>ANAO access clauses</w:t>
      </w:r>
    </w:p>
    <w:p w:rsidR="00260042" w:rsidRDefault="00260042" w:rsidP="00260042">
      <w:pPr>
        <w:pStyle w:val="BodyText"/>
      </w:pPr>
      <w:r>
        <w:t>All the agency’s contract templates include a standard clause giving the Auditor-General appropriate access to a contractor’s premises and records.</w:t>
      </w:r>
    </w:p>
    <w:p w:rsidR="00260042" w:rsidRDefault="00260042" w:rsidP="00C81689">
      <w:pPr>
        <w:pStyle w:val="Heading2"/>
      </w:pPr>
      <w:r>
        <w:t>Exempt contracts</w:t>
      </w:r>
    </w:p>
    <w:p w:rsidR="00260042" w:rsidRDefault="00260042" w:rsidP="00260042">
      <w:pPr>
        <w:pStyle w:val="BodyText"/>
      </w:pPr>
      <w:r>
        <w:t>In 2020–21, the agency had no exempt contracts.</w:t>
      </w:r>
    </w:p>
    <w:p w:rsidR="00260042" w:rsidRDefault="00260042" w:rsidP="00C81689">
      <w:pPr>
        <w:pStyle w:val="Heading2"/>
      </w:pPr>
      <w:r>
        <w:t>Communication and advertising campaigns</w:t>
      </w:r>
    </w:p>
    <w:p w:rsidR="00260042" w:rsidRDefault="00260042" w:rsidP="00260042">
      <w:pPr>
        <w:pStyle w:val="BodyText"/>
      </w:pPr>
      <w:r>
        <w:t>The agency did not undertake any communication or advertising campaigns in 2020–21.</w:t>
      </w:r>
    </w:p>
    <w:p w:rsidR="00260042" w:rsidRDefault="00260042" w:rsidP="002E64CE">
      <w:pPr>
        <w:pStyle w:val="Heading3"/>
      </w:pPr>
      <w:r>
        <w:t xml:space="preserve">Advertising costs – media advertising </w:t>
      </w:r>
    </w:p>
    <w:p w:rsidR="00260042" w:rsidRDefault="00260042" w:rsidP="00260042">
      <w:pPr>
        <w:pStyle w:val="BodyText"/>
      </w:pPr>
      <w:r>
        <w:t>In 2020–21, the agency’s total payments on advertising was $1,443,984. This included spending on print and online advertising in areas such as recruitment, public notices and tenders.</w:t>
      </w:r>
    </w:p>
    <w:p w:rsidR="00260042" w:rsidRPr="00EA5510" w:rsidRDefault="00511254" w:rsidP="00EA5510">
      <w:pPr>
        <w:pStyle w:val="BodyText"/>
        <w:rPr>
          <w:b/>
        </w:rPr>
      </w:pPr>
      <w:r>
        <w:rPr>
          <w:rStyle w:val="Bold"/>
          <w:bCs w:val="0"/>
        </w:rPr>
        <w:t>Table 4</w:t>
      </w:r>
      <w:r>
        <w:rPr>
          <w:rStyle w:val="Bold"/>
          <w:bCs w:val="0"/>
        </w:rPr>
        <w:t>6</w:t>
      </w:r>
      <w:r w:rsidR="00260042" w:rsidRPr="00EA5510">
        <w:rPr>
          <w:b/>
        </w:rPr>
        <w:t xml:space="preserve"> Payments associated with advertising at 30 June 2021</w:t>
      </w:r>
    </w:p>
    <w:tbl>
      <w:tblPr>
        <w:tblStyle w:val="TableGrid"/>
        <w:tblW w:w="5000" w:type="pct"/>
        <w:tblLook w:val="0000" w:firstRow="0" w:lastRow="0" w:firstColumn="0" w:lastColumn="0" w:noHBand="0" w:noVBand="0"/>
        <w:tblCaption w:val=" Payments associated with advertising at 30 June 2021"/>
      </w:tblPr>
      <w:tblGrid>
        <w:gridCol w:w="4027"/>
        <w:gridCol w:w="3276"/>
        <w:gridCol w:w="3487"/>
      </w:tblGrid>
      <w:tr w:rsidR="00260042" w:rsidTr="007078E0">
        <w:trPr>
          <w:trHeight w:val="60"/>
          <w:tblHeader/>
        </w:trPr>
        <w:tc>
          <w:tcPr>
            <w:tcW w:w="1866" w:type="pct"/>
          </w:tcPr>
          <w:p w:rsidR="00260042" w:rsidRDefault="00260042" w:rsidP="007078E0">
            <w:pPr>
              <w:pStyle w:val="BodyText"/>
            </w:pPr>
            <w:r>
              <w:rPr>
                <w:rStyle w:val="Bold"/>
              </w:rPr>
              <w:t>Payee</w:t>
            </w:r>
          </w:p>
        </w:tc>
        <w:tc>
          <w:tcPr>
            <w:tcW w:w="1518" w:type="pct"/>
          </w:tcPr>
          <w:p w:rsidR="00260042" w:rsidRDefault="00260042" w:rsidP="007078E0">
            <w:pPr>
              <w:pStyle w:val="BodyText"/>
            </w:pPr>
            <w:r>
              <w:rPr>
                <w:rStyle w:val="Bold"/>
              </w:rPr>
              <w:t>Purpose</w:t>
            </w:r>
          </w:p>
        </w:tc>
        <w:tc>
          <w:tcPr>
            <w:tcW w:w="1616" w:type="pct"/>
          </w:tcPr>
          <w:p w:rsidR="00260042" w:rsidRDefault="00260042" w:rsidP="007078E0">
            <w:pPr>
              <w:pStyle w:val="BodyText"/>
              <w:jc w:val="right"/>
            </w:pPr>
            <w:r>
              <w:rPr>
                <w:rStyle w:val="Bold"/>
              </w:rPr>
              <w:t xml:space="preserve">Cost </w:t>
            </w:r>
            <w:r>
              <w:rPr>
                <w:rStyle w:val="Bulletcolour"/>
              </w:rPr>
              <w:t xml:space="preserve">$ </w:t>
            </w:r>
            <w:r>
              <w:rPr>
                <w:rStyle w:val="Bulletcolour"/>
              </w:rPr>
              <w:br/>
              <w:t>(GST inclusive)</w:t>
            </w:r>
          </w:p>
        </w:tc>
      </w:tr>
      <w:tr w:rsidR="00260042" w:rsidTr="007078E0">
        <w:trPr>
          <w:trHeight w:val="60"/>
        </w:trPr>
        <w:tc>
          <w:tcPr>
            <w:tcW w:w="1866" w:type="pct"/>
          </w:tcPr>
          <w:p w:rsidR="00260042" w:rsidRDefault="00260042" w:rsidP="007078E0">
            <w:pPr>
              <w:pStyle w:val="BodyText"/>
            </w:pPr>
            <w:r>
              <w:rPr>
                <w:rStyle w:val="Bulletcolour"/>
              </w:rPr>
              <w:t>Sensis Pty Ltd</w:t>
            </w:r>
          </w:p>
        </w:tc>
        <w:tc>
          <w:tcPr>
            <w:tcW w:w="1518" w:type="pct"/>
          </w:tcPr>
          <w:p w:rsidR="00260042" w:rsidRDefault="00260042" w:rsidP="007078E0">
            <w:pPr>
              <w:pStyle w:val="BodyText"/>
            </w:pPr>
            <w:r>
              <w:rPr>
                <w:rStyle w:val="Bulletcolour"/>
              </w:rPr>
              <w:t>White Pages</w:t>
            </w:r>
          </w:p>
        </w:tc>
        <w:tc>
          <w:tcPr>
            <w:tcW w:w="1616" w:type="pct"/>
          </w:tcPr>
          <w:p w:rsidR="00260042" w:rsidRDefault="00260042" w:rsidP="007078E0">
            <w:pPr>
              <w:pStyle w:val="BodyText"/>
              <w:jc w:val="right"/>
            </w:pPr>
            <w:r>
              <w:rPr>
                <w:rStyle w:val="Bulletcolour"/>
              </w:rPr>
              <w:t>1,039,500</w:t>
            </w:r>
          </w:p>
        </w:tc>
      </w:tr>
      <w:tr w:rsidR="00260042" w:rsidTr="007078E0">
        <w:trPr>
          <w:trHeight w:val="60"/>
        </w:trPr>
        <w:tc>
          <w:tcPr>
            <w:tcW w:w="1866" w:type="pct"/>
          </w:tcPr>
          <w:p w:rsidR="00260042" w:rsidRDefault="00260042" w:rsidP="007078E0">
            <w:pPr>
              <w:pStyle w:val="BodyText"/>
            </w:pPr>
            <w:r>
              <w:rPr>
                <w:rStyle w:val="Bulletcolour"/>
              </w:rPr>
              <w:t>Universal McCann Pty Ltd</w:t>
            </w:r>
          </w:p>
        </w:tc>
        <w:tc>
          <w:tcPr>
            <w:tcW w:w="1518" w:type="pct"/>
          </w:tcPr>
          <w:p w:rsidR="00260042" w:rsidRDefault="00260042" w:rsidP="007078E0">
            <w:pPr>
              <w:pStyle w:val="BodyText"/>
            </w:pPr>
            <w:r>
              <w:rPr>
                <w:rStyle w:val="Bulletcolour"/>
              </w:rPr>
              <w:t>Advertising</w:t>
            </w:r>
          </w:p>
        </w:tc>
        <w:tc>
          <w:tcPr>
            <w:tcW w:w="1616" w:type="pct"/>
          </w:tcPr>
          <w:p w:rsidR="00260042" w:rsidRDefault="00260042" w:rsidP="007078E0">
            <w:pPr>
              <w:pStyle w:val="BodyText"/>
              <w:jc w:val="right"/>
            </w:pPr>
            <w:r>
              <w:rPr>
                <w:rStyle w:val="Bulletcolour"/>
              </w:rPr>
              <w:t>404,484</w:t>
            </w:r>
          </w:p>
        </w:tc>
      </w:tr>
      <w:tr w:rsidR="00260042" w:rsidTr="007078E0">
        <w:trPr>
          <w:trHeight w:val="60"/>
        </w:trPr>
        <w:tc>
          <w:tcPr>
            <w:tcW w:w="1866" w:type="pct"/>
          </w:tcPr>
          <w:p w:rsidR="00260042" w:rsidRDefault="00260042" w:rsidP="007078E0">
            <w:pPr>
              <w:pStyle w:val="BodyText"/>
            </w:pPr>
            <w:r>
              <w:rPr>
                <w:rStyle w:val="Bold"/>
              </w:rPr>
              <w:t>Total</w:t>
            </w:r>
          </w:p>
        </w:tc>
        <w:tc>
          <w:tcPr>
            <w:tcW w:w="1518" w:type="pct"/>
          </w:tcPr>
          <w:p w:rsidR="00260042" w:rsidRDefault="00260042" w:rsidP="007078E0">
            <w:pPr>
              <w:pStyle w:val="BodyText"/>
              <w:rPr>
                <w:rFonts w:ascii="Roboto Lt" w:hAnsi="Roboto Lt"/>
              </w:rPr>
            </w:pPr>
          </w:p>
        </w:tc>
        <w:tc>
          <w:tcPr>
            <w:tcW w:w="1616" w:type="pct"/>
          </w:tcPr>
          <w:p w:rsidR="00260042" w:rsidRDefault="00260042" w:rsidP="007078E0">
            <w:pPr>
              <w:pStyle w:val="BodyText"/>
              <w:jc w:val="right"/>
            </w:pPr>
            <w:r>
              <w:rPr>
                <w:rStyle w:val="Bold"/>
              </w:rPr>
              <w:t>1,443,984</w:t>
            </w:r>
          </w:p>
        </w:tc>
      </w:tr>
    </w:tbl>
    <w:p w:rsidR="00260042" w:rsidRDefault="00260042" w:rsidP="00C81689">
      <w:pPr>
        <w:pStyle w:val="Heading2"/>
      </w:pPr>
      <w:r>
        <w:t>Market research payments</w:t>
      </w:r>
    </w:p>
    <w:p w:rsidR="00260042" w:rsidRDefault="00260042" w:rsidP="00260042">
      <w:pPr>
        <w:pStyle w:val="BodyText"/>
      </w:pPr>
      <w:r>
        <w:t>The agency commissioned vendors for projects and services listed in Table 47.</w:t>
      </w:r>
    </w:p>
    <w:p w:rsidR="00260042" w:rsidRPr="00EA5510" w:rsidRDefault="00511254" w:rsidP="00EA5510">
      <w:pPr>
        <w:pStyle w:val="BodyText"/>
        <w:rPr>
          <w:b/>
        </w:rPr>
      </w:pPr>
      <w:r>
        <w:rPr>
          <w:rStyle w:val="Bold"/>
          <w:bCs w:val="0"/>
        </w:rPr>
        <w:t>Table 4</w:t>
      </w:r>
      <w:r>
        <w:rPr>
          <w:rStyle w:val="Bold"/>
          <w:bCs w:val="0"/>
        </w:rPr>
        <w:t>7</w:t>
      </w:r>
      <w:r w:rsidR="00260042" w:rsidRPr="00EA5510">
        <w:rPr>
          <w:b/>
        </w:rPr>
        <w:t xml:space="preserve"> Payments associated with market research organisations at 30 June 2021 </w:t>
      </w:r>
    </w:p>
    <w:tbl>
      <w:tblPr>
        <w:tblStyle w:val="TableGrid"/>
        <w:tblW w:w="5000" w:type="pct"/>
        <w:tblLook w:val="0000" w:firstRow="0" w:lastRow="0" w:firstColumn="0" w:lastColumn="0" w:noHBand="0" w:noVBand="0"/>
        <w:tblCaption w:val=" Payments associated with market research organisations at 30 June 2021 "/>
      </w:tblPr>
      <w:tblGrid>
        <w:gridCol w:w="4035"/>
        <w:gridCol w:w="4284"/>
        <w:gridCol w:w="2471"/>
      </w:tblGrid>
      <w:tr w:rsidR="00260042" w:rsidTr="00BC1153">
        <w:trPr>
          <w:trHeight w:val="60"/>
          <w:tblHeader/>
        </w:trPr>
        <w:tc>
          <w:tcPr>
            <w:tcW w:w="1870" w:type="pct"/>
          </w:tcPr>
          <w:p w:rsidR="00260042" w:rsidRDefault="00260042" w:rsidP="00BC1153">
            <w:pPr>
              <w:pStyle w:val="BodyText"/>
            </w:pPr>
            <w:r>
              <w:rPr>
                <w:rStyle w:val="Bold"/>
              </w:rPr>
              <w:t xml:space="preserve">Vendor </w:t>
            </w:r>
          </w:p>
        </w:tc>
        <w:tc>
          <w:tcPr>
            <w:tcW w:w="1985" w:type="pct"/>
          </w:tcPr>
          <w:p w:rsidR="00260042" w:rsidRDefault="00260042" w:rsidP="00BC1153">
            <w:pPr>
              <w:pStyle w:val="BodyText"/>
            </w:pPr>
            <w:r>
              <w:rPr>
                <w:rStyle w:val="Bold"/>
              </w:rPr>
              <w:t>Research type</w:t>
            </w:r>
          </w:p>
        </w:tc>
        <w:tc>
          <w:tcPr>
            <w:tcW w:w="1145" w:type="pct"/>
          </w:tcPr>
          <w:p w:rsidR="00260042" w:rsidRDefault="00260042" w:rsidP="00BC1153">
            <w:pPr>
              <w:pStyle w:val="BodyText"/>
              <w:jc w:val="right"/>
            </w:pPr>
            <w:r>
              <w:rPr>
                <w:rStyle w:val="Bold"/>
              </w:rPr>
              <w:t xml:space="preserve">Cost </w:t>
            </w:r>
            <w:r>
              <w:rPr>
                <w:rStyle w:val="Bulletcolour"/>
              </w:rPr>
              <w:t xml:space="preserve">$ </w:t>
            </w:r>
            <w:r>
              <w:rPr>
                <w:rStyle w:val="Bulletcolour"/>
              </w:rPr>
              <w:br/>
              <w:t xml:space="preserve">(GST inclusive) </w:t>
            </w:r>
          </w:p>
        </w:tc>
      </w:tr>
      <w:tr w:rsidR="00260042" w:rsidTr="00BC1153">
        <w:trPr>
          <w:trHeight w:val="60"/>
        </w:trPr>
        <w:tc>
          <w:tcPr>
            <w:tcW w:w="1870" w:type="pct"/>
          </w:tcPr>
          <w:p w:rsidR="00260042" w:rsidRDefault="00260042" w:rsidP="00BC1153">
            <w:pPr>
              <w:pStyle w:val="BodyText"/>
            </w:pPr>
            <w:r>
              <w:rPr>
                <w:rStyle w:val="Bulletcolour"/>
              </w:rPr>
              <w:t xml:space="preserve">Colmar </w:t>
            </w:r>
            <w:proofErr w:type="spellStart"/>
            <w:r>
              <w:rPr>
                <w:rStyle w:val="Bulletcolour"/>
              </w:rPr>
              <w:t>Brunton</w:t>
            </w:r>
            <w:proofErr w:type="spellEnd"/>
            <w:r>
              <w:rPr>
                <w:rStyle w:val="Bulletcolour"/>
              </w:rPr>
              <w:t xml:space="preserve"> Pty Ltd</w:t>
            </w:r>
          </w:p>
        </w:tc>
        <w:tc>
          <w:tcPr>
            <w:tcW w:w="1985" w:type="pct"/>
          </w:tcPr>
          <w:p w:rsidR="00260042" w:rsidRDefault="00260042" w:rsidP="00BC1153">
            <w:pPr>
              <w:pStyle w:val="BodyText"/>
            </w:pPr>
            <w:r>
              <w:rPr>
                <w:rStyle w:val="Bulletcolour"/>
              </w:rPr>
              <w:t>Satisfaction research program</w:t>
            </w:r>
          </w:p>
        </w:tc>
        <w:tc>
          <w:tcPr>
            <w:tcW w:w="1145" w:type="pct"/>
          </w:tcPr>
          <w:p w:rsidR="00260042" w:rsidRDefault="00260042" w:rsidP="00BC1153">
            <w:pPr>
              <w:pStyle w:val="BodyText"/>
              <w:jc w:val="right"/>
            </w:pPr>
            <w:r>
              <w:rPr>
                <w:rStyle w:val="Bulletcolour"/>
              </w:rPr>
              <w:t>1,650 690</w:t>
            </w:r>
          </w:p>
        </w:tc>
      </w:tr>
      <w:tr w:rsidR="00260042" w:rsidTr="00BC1153">
        <w:trPr>
          <w:trHeight w:val="60"/>
        </w:trPr>
        <w:tc>
          <w:tcPr>
            <w:tcW w:w="1870" w:type="pct"/>
          </w:tcPr>
          <w:p w:rsidR="00260042" w:rsidRDefault="00260042" w:rsidP="00BC1153">
            <w:pPr>
              <w:pStyle w:val="BodyText"/>
            </w:pPr>
            <w:proofErr w:type="spellStart"/>
            <w:r>
              <w:rPr>
                <w:rStyle w:val="Bulletcolour"/>
              </w:rPr>
              <w:t>Whereto</w:t>
            </w:r>
            <w:proofErr w:type="spellEnd"/>
            <w:r>
              <w:rPr>
                <w:rStyle w:val="Bulletcolour"/>
              </w:rPr>
              <w:t xml:space="preserve"> Research Based Consulting Pty Ltd</w:t>
            </w:r>
          </w:p>
        </w:tc>
        <w:tc>
          <w:tcPr>
            <w:tcW w:w="1985" w:type="pct"/>
          </w:tcPr>
          <w:p w:rsidR="00260042" w:rsidRDefault="00260042" w:rsidP="00BC1153">
            <w:pPr>
              <w:pStyle w:val="BodyText"/>
            </w:pPr>
            <w:r>
              <w:rPr>
                <w:rStyle w:val="Bulletcolour"/>
              </w:rPr>
              <w:t>Audience communication research</w:t>
            </w:r>
          </w:p>
        </w:tc>
        <w:tc>
          <w:tcPr>
            <w:tcW w:w="1145" w:type="pct"/>
          </w:tcPr>
          <w:p w:rsidR="00260042" w:rsidRDefault="00260042" w:rsidP="00BC1153">
            <w:pPr>
              <w:pStyle w:val="BodyText"/>
              <w:jc w:val="right"/>
            </w:pPr>
            <w:r>
              <w:rPr>
                <w:rStyle w:val="Bulletcolour"/>
              </w:rPr>
              <w:t>459,175</w:t>
            </w:r>
          </w:p>
        </w:tc>
      </w:tr>
      <w:tr w:rsidR="00260042" w:rsidTr="00BC1153">
        <w:trPr>
          <w:trHeight w:val="60"/>
        </w:trPr>
        <w:tc>
          <w:tcPr>
            <w:tcW w:w="1870" w:type="pct"/>
          </w:tcPr>
          <w:p w:rsidR="00260042" w:rsidRDefault="00260042" w:rsidP="00BC1153">
            <w:pPr>
              <w:pStyle w:val="BodyText"/>
            </w:pPr>
            <w:proofErr w:type="spellStart"/>
            <w:r>
              <w:rPr>
                <w:rStyle w:val="Bold"/>
                <w:b w:val="0"/>
                <w:bCs w:val="0"/>
              </w:rPr>
              <w:lastRenderedPageBreak/>
              <w:t>Testmate</w:t>
            </w:r>
            <w:proofErr w:type="spellEnd"/>
          </w:p>
        </w:tc>
        <w:tc>
          <w:tcPr>
            <w:tcW w:w="1985" w:type="pct"/>
          </w:tcPr>
          <w:p w:rsidR="00260042" w:rsidRDefault="00260042" w:rsidP="00BC1153">
            <w:pPr>
              <w:pStyle w:val="BodyText"/>
            </w:pPr>
            <w:r>
              <w:rPr>
                <w:rStyle w:val="Bold"/>
                <w:b w:val="0"/>
                <w:bCs w:val="0"/>
              </w:rPr>
              <w:t>Moderated and unmoderated website enhancement testing and evaluation</w:t>
            </w:r>
          </w:p>
        </w:tc>
        <w:tc>
          <w:tcPr>
            <w:tcW w:w="1145" w:type="pct"/>
          </w:tcPr>
          <w:p w:rsidR="00260042" w:rsidRDefault="00260042" w:rsidP="00BC1153">
            <w:pPr>
              <w:pStyle w:val="BodyText"/>
              <w:jc w:val="right"/>
            </w:pPr>
            <w:r>
              <w:rPr>
                <w:rStyle w:val="Bold"/>
                <w:b w:val="0"/>
                <w:bCs w:val="0"/>
              </w:rPr>
              <w:t>156,603</w:t>
            </w:r>
          </w:p>
        </w:tc>
      </w:tr>
      <w:tr w:rsidR="00260042" w:rsidTr="00BC1153">
        <w:trPr>
          <w:trHeight w:val="60"/>
        </w:trPr>
        <w:tc>
          <w:tcPr>
            <w:tcW w:w="1870" w:type="pct"/>
          </w:tcPr>
          <w:p w:rsidR="00260042" w:rsidRDefault="00260042" w:rsidP="00BC1153">
            <w:pPr>
              <w:pStyle w:val="BodyText"/>
            </w:pPr>
            <w:proofErr w:type="spellStart"/>
            <w:r>
              <w:rPr>
                <w:rStyle w:val="Bold"/>
                <w:b w:val="0"/>
                <w:bCs w:val="0"/>
              </w:rPr>
              <w:t>Lonergan</w:t>
            </w:r>
            <w:proofErr w:type="spellEnd"/>
            <w:r>
              <w:rPr>
                <w:rStyle w:val="Bold"/>
                <w:b w:val="0"/>
                <w:bCs w:val="0"/>
              </w:rPr>
              <w:t xml:space="preserve"> Research Pty Ltd</w:t>
            </w:r>
          </w:p>
        </w:tc>
        <w:tc>
          <w:tcPr>
            <w:tcW w:w="1985" w:type="pct"/>
          </w:tcPr>
          <w:p w:rsidR="00260042" w:rsidRDefault="00260042" w:rsidP="00BC1153">
            <w:pPr>
              <w:pStyle w:val="BodyText"/>
            </w:pPr>
            <w:r>
              <w:rPr>
                <w:rStyle w:val="Bold"/>
                <w:b w:val="0"/>
                <w:bCs w:val="0"/>
              </w:rPr>
              <w:t>User research and testing sessions</w:t>
            </w:r>
          </w:p>
        </w:tc>
        <w:tc>
          <w:tcPr>
            <w:tcW w:w="1145" w:type="pct"/>
          </w:tcPr>
          <w:p w:rsidR="00260042" w:rsidRDefault="00260042" w:rsidP="00BC1153">
            <w:pPr>
              <w:pStyle w:val="BodyText"/>
              <w:jc w:val="right"/>
            </w:pPr>
            <w:r>
              <w:rPr>
                <w:rStyle w:val="Bold"/>
                <w:b w:val="0"/>
                <w:bCs w:val="0"/>
              </w:rPr>
              <w:t>70,449</w:t>
            </w:r>
          </w:p>
        </w:tc>
      </w:tr>
      <w:tr w:rsidR="00260042" w:rsidTr="00BC1153">
        <w:trPr>
          <w:trHeight w:val="60"/>
        </w:trPr>
        <w:tc>
          <w:tcPr>
            <w:tcW w:w="1870" w:type="pct"/>
          </w:tcPr>
          <w:p w:rsidR="00260042" w:rsidRDefault="00260042" w:rsidP="00BC1153">
            <w:pPr>
              <w:pStyle w:val="BodyText"/>
            </w:pPr>
            <w:proofErr w:type="spellStart"/>
            <w:r>
              <w:rPr>
                <w:rStyle w:val="Bold"/>
                <w:b w:val="0"/>
                <w:bCs w:val="0"/>
              </w:rPr>
              <w:t>Askable</w:t>
            </w:r>
            <w:proofErr w:type="spellEnd"/>
            <w:r>
              <w:rPr>
                <w:rStyle w:val="Bold"/>
                <w:b w:val="0"/>
                <w:bCs w:val="0"/>
              </w:rPr>
              <w:t xml:space="preserve"> Pty Ltd</w:t>
            </w:r>
          </w:p>
        </w:tc>
        <w:tc>
          <w:tcPr>
            <w:tcW w:w="1985" w:type="pct"/>
          </w:tcPr>
          <w:p w:rsidR="00260042" w:rsidRDefault="00260042" w:rsidP="00BC1153">
            <w:pPr>
              <w:pStyle w:val="BodyText"/>
            </w:pPr>
            <w:r>
              <w:rPr>
                <w:rStyle w:val="Bold"/>
                <w:b w:val="0"/>
                <w:bCs w:val="0"/>
              </w:rPr>
              <w:t>User research and testing sessions</w:t>
            </w:r>
          </w:p>
        </w:tc>
        <w:tc>
          <w:tcPr>
            <w:tcW w:w="1145" w:type="pct"/>
          </w:tcPr>
          <w:p w:rsidR="00260042" w:rsidRDefault="00260042" w:rsidP="00BC1153">
            <w:pPr>
              <w:pStyle w:val="BodyText"/>
              <w:jc w:val="right"/>
            </w:pPr>
            <w:r>
              <w:rPr>
                <w:rStyle w:val="Bold"/>
                <w:b w:val="0"/>
                <w:bCs w:val="0"/>
              </w:rPr>
              <w:t>28,743</w:t>
            </w:r>
          </w:p>
        </w:tc>
      </w:tr>
      <w:tr w:rsidR="00260042" w:rsidTr="00BC1153">
        <w:trPr>
          <w:trHeight w:val="60"/>
        </w:trPr>
        <w:tc>
          <w:tcPr>
            <w:tcW w:w="1870" w:type="pct"/>
          </w:tcPr>
          <w:p w:rsidR="00260042" w:rsidRDefault="00260042" w:rsidP="00BC1153">
            <w:pPr>
              <w:pStyle w:val="BodyText"/>
            </w:pPr>
            <w:r>
              <w:rPr>
                <w:rStyle w:val="Bold"/>
              </w:rPr>
              <w:t>Total</w:t>
            </w:r>
          </w:p>
        </w:tc>
        <w:tc>
          <w:tcPr>
            <w:tcW w:w="1985" w:type="pct"/>
          </w:tcPr>
          <w:p w:rsidR="00260042" w:rsidRDefault="00260042" w:rsidP="00BC1153">
            <w:pPr>
              <w:pStyle w:val="BodyText"/>
              <w:rPr>
                <w:rFonts w:ascii="Roboto Lt" w:hAnsi="Roboto Lt"/>
              </w:rPr>
            </w:pPr>
          </w:p>
        </w:tc>
        <w:tc>
          <w:tcPr>
            <w:tcW w:w="1145" w:type="pct"/>
          </w:tcPr>
          <w:p w:rsidR="00260042" w:rsidRDefault="00260042" w:rsidP="00BC1153">
            <w:pPr>
              <w:pStyle w:val="BodyText"/>
              <w:jc w:val="right"/>
            </w:pPr>
            <w:r>
              <w:rPr>
                <w:rStyle w:val="Bold"/>
              </w:rPr>
              <w:t>2,365,660</w:t>
            </w:r>
          </w:p>
        </w:tc>
      </w:tr>
    </w:tbl>
    <w:p w:rsidR="00260042" w:rsidRDefault="00260042" w:rsidP="00C81689">
      <w:pPr>
        <w:pStyle w:val="Heading2"/>
      </w:pPr>
      <w:r>
        <w:t>Disability reporting</w:t>
      </w:r>
    </w:p>
    <w:p w:rsidR="00260042" w:rsidRDefault="00260042" w:rsidP="00260042">
      <w:pPr>
        <w:pStyle w:val="BodyText"/>
      </w:pPr>
      <w:r>
        <w:t xml:space="preserve">Since 1994, Australian Government departments and agencies have reported on their performance as policy adviser, purchaser, employer, regulator and provider under the Commonwealth Disability Strategy, The </w:t>
      </w:r>
      <w:r>
        <w:rPr>
          <w:i/>
          <w:iCs/>
        </w:rPr>
        <w:t>National Disability Strategy 2010–2020</w:t>
      </w:r>
      <w:r>
        <w:t xml:space="preserve"> has continued this commitment made by disability ministers. </w:t>
      </w:r>
    </w:p>
    <w:p w:rsidR="00260042" w:rsidRDefault="00260042" w:rsidP="00260042">
      <w:pPr>
        <w:pStyle w:val="BodyText"/>
      </w:pPr>
      <w:r>
        <w:t xml:space="preserve">In 2007–08, reporting on the employer role </w:t>
      </w:r>
      <w:proofErr w:type="gramStart"/>
      <w:r>
        <w:t>was transferred</w:t>
      </w:r>
      <w:proofErr w:type="gramEnd"/>
      <w:r>
        <w:t xml:space="preserve"> to the Australian Public Service Commission’s State of the Service Report and the APS Statistical Bulletin – see these reports at </w:t>
      </w:r>
      <w:r>
        <w:rPr>
          <w:rStyle w:val="Bold"/>
        </w:rPr>
        <w:t>apsc.gov.au</w:t>
      </w:r>
      <w:r>
        <w:t>. Since 2010–11, departments and agencies have no longer been required to report on these functions.</w:t>
      </w:r>
    </w:p>
    <w:p w:rsidR="00260042" w:rsidRDefault="00260042" w:rsidP="00260042">
      <w:pPr>
        <w:pStyle w:val="BodyText"/>
      </w:pPr>
      <w:r>
        <w:t xml:space="preserve">The </w:t>
      </w:r>
      <w:r>
        <w:rPr>
          <w:i/>
          <w:iCs/>
        </w:rPr>
        <w:t>National Disability Strategy 2010–2020</w:t>
      </w:r>
      <w:r>
        <w:t xml:space="preserve"> sets out a 10-year national policy framework to improve the lives of people with </w:t>
      </w:r>
      <w:proofErr w:type="gramStart"/>
      <w:r>
        <w:t>disability,</w:t>
      </w:r>
      <w:proofErr w:type="gramEnd"/>
      <w:r>
        <w:t xml:space="preserve"> promote participation and create a more inclusive society. The development of a new 10-year National Disability Strategy for beyond 2020 </w:t>
      </w:r>
      <w:proofErr w:type="gramStart"/>
      <w:r>
        <w:t>was deferred</w:t>
      </w:r>
      <w:proofErr w:type="gramEnd"/>
      <w:r>
        <w:t xml:space="preserve"> due to the COVID-19 pandemic. </w:t>
      </w:r>
    </w:p>
    <w:p w:rsidR="00260042" w:rsidRDefault="00260042" w:rsidP="00260042">
      <w:pPr>
        <w:pStyle w:val="BodyText"/>
      </w:pPr>
      <w:r>
        <w:t xml:space="preserve">On Friday 4 December 2020, disability ministers from across Australia issued a Statement of Continued Commitment to the National Disability Strategy. The statement is a commitment to continue efforts under the strategy to uphold the rights of people with disability between the expiry of the current strategy at the end of 2020, and the finalisation of the new National Disability Strategy in 2021. For more information, see </w:t>
      </w:r>
      <w:r>
        <w:rPr>
          <w:rStyle w:val="Bold"/>
        </w:rPr>
        <w:t>dss.gov.au</w:t>
      </w:r>
    </w:p>
    <w:p w:rsidR="00260042" w:rsidRDefault="00260042" w:rsidP="00260042">
      <w:pPr>
        <w:pStyle w:val="BodyText"/>
        <w:spacing w:after="57"/>
      </w:pPr>
      <w:r>
        <w:t xml:space="preserve">For more information about the agency’s specialised services and support for and engagement with carers and people with disability, see: </w:t>
      </w:r>
    </w:p>
    <w:p w:rsidR="00260042" w:rsidRDefault="00260042" w:rsidP="008930A3">
      <w:pPr>
        <w:pStyle w:val="ListBullet"/>
      </w:pPr>
      <w:r>
        <w:rPr>
          <w:i/>
          <w:iCs/>
        </w:rPr>
        <w:t>Carers</w:t>
      </w:r>
      <w:r>
        <w:t xml:space="preserve"> on page 37</w:t>
      </w:r>
    </w:p>
    <w:p w:rsidR="00260042" w:rsidRDefault="00260042" w:rsidP="008930A3">
      <w:pPr>
        <w:pStyle w:val="ListBullet"/>
      </w:pPr>
      <w:r>
        <w:t>People with disability on page 38</w:t>
      </w:r>
    </w:p>
    <w:p w:rsidR="00260042" w:rsidRDefault="00260042" w:rsidP="008930A3">
      <w:pPr>
        <w:pStyle w:val="ListBullet"/>
      </w:pPr>
      <w:r>
        <w:t>Partnerships with community peak bodies on page 85</w:t>
      </w:r>
    </w:p>
    <w:p w:rsidR="00260042" w:rsidRDefault="00260042" w:rsidP="00EA5510">
      <w:pPr>
        <w:pStyle w:val="ListBullet"/>
      </w:pPr>
      <w:r>
        <w:t xml:space="preserve">‘People with disability’ at </w:t>
      </w:r>
      <w:r>
        <w:rPr>
          <w:rStyle w:val="Bold"/>
        </w:rPr>
        <w:t>servicesaustralia.gov.au</w:t>
      </w:r>
    </w:p>
    <w:p w:rsidR="00260042" w:rsidRDefault="00260042" w:rsidP="00C81689">
      <w:pPr>
        <w:pStyle w:val="Heading2"/>
      </w:pPr>
      <w:r>
        <w:lastRenderedPageBreak/>
        <w:t xml:space="preserve">Freedom of Information </w:t>
      </w:r>
    </w:p>
    <w:p w:rsidR="00260042" w:rsidRDefault="00260042" w:rsidP="002E64CE">
      <w:pPr>
        <w:pStyle w:val="Heading3"/>
      </w:pPr>
      <w:r>
        <w:t>Required FOI reporting – Information Publication Scheme</w:t>
      </w:r>
    </w:p>
    <w:p w:rsidR="00260042" w:rsidRDefault="00260042" w:rsidP="00260042">
      <w:pPr>
        <w:pStyle w:val="BodyText"/>
      </w:pPr>
      <w:r>
        <w:t xml:space="preserve">Entities subject to the </w:t>
      </w:r>
      <w:r>
        <w:rPr>
          <w:rStyle w:val="Italic"/>
        </w:rPr>
        <w:t>Freedom of Information Act 1982</w:t>
      </w:r>
      <w:r>
        <w:t xml:space="preserve"> (FOI Act) are required to publish information to the public as part of the Information Publication Scheme (IPS). </w:t>
      </w:r>
      <w:proofErr w:type="gramStart"/>
      <w:r>
        <w:t>This requirement is in Part II of the FOI Act and has replaced the former requirement to publish a section 8 statement in an annual report.</w:t>
      </w:r>
      <w:proofErr w:type="gramEnd"/>
      <w:r>
        <w:t xml:space="preserve"> Each agency must display on its website a plan showing what information it publishes in accordance with the IPS requirements. For information about Services Australia’s IPS Plan, see our website at </w:t>
      </w:r>
      <w:r>
        <w:rPr>
          <w:rStyle w:val="Bold"/>
        </w:rPr>
        <w:t>servicesaustralia.gov.au</w:t>
      </w:r>
    </w:p>
    <w:p w:rsidR="00260042" w:rsidRDefault="00260042" w:rsidP="00C81689">
      <w:pPr>
        <w:pStyle w:val="Heading2"/>
      </w:pPr>
      <w:r>
        <w:t>Work health and safety</w:t>
      </w:r>
    </w:p>
    <w:p w:rsidR="00260042" w:rsidRDefault="00260042" w:rsidP="002E64CE">
      <w:pPr>
        <w:pStyle w:val="Heading3"/>
      </w:pPr>
      <w:r>
        <w:t>Injury management, work health and safety</w:t>
      </w:r>
    </w:p>
    <w:p w:rsidR="00260042" w:rsidRDefault="00260042" w:rsidP="00260042">
      <w:pPr>
        <w:pStyle w:val="BodyText"/>
      </w:pPr>
      <w:r>
        <w:t xml:space="preserve">Services Australia complies with its obligations under the </w:t>
      </w:r>
      <w:r>
        <w:rPr>
          <w:rStyle w:val="Italic"/>
        </w:rPr>
        <w:t>Work Health and Safety Act 2011</w:t>
      </w:r>
      <w:r>
        <w:t>.</w:t>
      </w:r>
    </w:p>
    <w:p w:rsidR="00260042" w:rsidRDefault="00260042" w:rsidP="00260042">
      <w:pPr>
        <w:pStyle w:val="BodyText"/>
        <w:spacing w:after="57"/>
      </w:pPr>
      <w:r>
        <w:t xml:space="preserve">The agency has a </w:t>
      </w:r>
      <w:r>
        <w:rPr>
          <w:rStyle w:val="Italic"/>
        </w:rPr>
        <w:t>Work Health and Safety Strategy 2021–26</w:t>
      </w:r>
      <w:r>
        <w:t xml:space="preserve"> (WHS strategy) to guide continuous improvement in safety while demonstrating shared commitment to ensuring safe and healthy workplaces. The WHS strategy provides the framework for initiatives in:</w:t>
      </w:r>
    </w:p>
    <w:p w:rsidR="00260042" w:rsidRDefault="00260042" w:rsidP="008930A3">
      <w:pPr>
        <w:pStyle w:val="ListBullet"/>
      </w:pPr>
      <w:r>
        <w:t>WHS systems – tools and resources, critical risk identification and control</w:t>
      </w:r>
    </w:p>
    <w:p w:rsidR="00260042" w:rsidRDefault="00260042" w:rsidP="008930A3">
      <w:pPr>
        <w:pStyle w:val="ListBullet"/>
      </w:pPr>
      <w:r>
        <w:t>workplaces – safe service design, mentally safe workplaces and wellbeing</w:t>
      </w:r>
    </w:p>
    <w:p w:rsidR="00260042" w:rsidRDefault="00260042" w:rsidP="00EA5510">
      <w:pPr>
        <w:pStyle w:val="ListBullet"/>
      </w:pPr>
      <w:proofErr w:type="gramStart"/>
      <w:r>
        <w:t>people</w:t>
      </w:r>
      <w:proofErr w:type="gramEnd"/>
      <w:r>
        <w:t xml:space="preserve"> – WHS consultation, safety leadership and capability.</w:t>
      </w:r>
    </w:p>
    <w:p w:rsidR="00260042" w:rsidRDefault="00260042" w:rsidP="00260042">
      <w:pPr>
        <w:pStyle w:val="BodyText"/>
      </w:pPr>
      <w:r>
        <w:t xml:space="preserve">During the year, the agency launched a Health and Wellbeing Framework in conjunction with the WHS strategy to support staff mental health and wellbeing. The agency also participated in a </w:t>
      </w:r>
      <w:proofErr w:type="spellStart"/>
      <w:r>
        <w:t>NewAccess</w:t>
      </w:r>
      <w:proofErr w:type="spellEnd"/>
      <w:r>
        <w:t xml:space="preserve"> workplaces program with </w:t>
      </w:r>
      <w:proofErr w:type="spellStart"/>
      <w:r>
        <w:t>Comcare</w:t>
      </w:r>
      <w:proofErr w:type="spellEnd"/>
      <w:r>
        <w:t xml:space="preserve"> and Beyond Blue to support the mental wellbeing of frontline service centre staff. This builds on existing services we provide under our Employee Assistance Provider arrangement which are available to all staff, contractors, labour hire staff and their immediate families.</w:t>
      </w:r>
    </w:p>
    <w:p w:rsidR="00260042" w:rsidRDefault="00260042" w:rsidP="00260042">
      <w:pPr>
        <w:pStyle w:val="BodyText"/>
      </w:pPr>
      <w:r>
        <w:t>The agency’s initiatives in injury management and early return to work have resulted in a 35% reduction in the number of workers compensation claims lodged since 2017–18.</w:t>
      </w:r>
    </w:p>
    <w:p w:rsidR="00260042" w:rsidRDefault="00260042" w:rsidP="00260042">
      <w:pPr>
        <w:pStyle w:val="BodyText"/>
        <w:spacing w:after="57"/>
      </w:pPr>
      <w:r>
        <w:t xml:space="preserve">The most commonly occurring categories of accepted compensation claims during 2020–21 were: </w:t>
      </w:r>
    </w:p>
    <w:p w:rsidR="00260042" w:rsidRDefault="00260042" w:rsidP="008930A3">
      <w:pPr>
        <w:pStyle w:val="ListBullet"/>
      </w:pPr>
      <w:proofErr w:type="gramStart"/>
      <w:r>
        <w:t>body</w:t>
      </w:r>
      <w:proofErr w:type="gramEnd"/>
      <w:r>
        <w:t xml:space="preserve"> stressing (26%)</w:t>
      </w:r>
    </w:p>
    <w:p w:rsidR="00260042" w:rsidRDefault="00260042" w:rsidP="008930A3">
      <w:pPr>
        <w:pStyle w:val="ListBullet"/>
      </w:pPr>
      <w:proofErr w:type="gramStart"/>
      <w:r>
        <w:t>falls</w:t>
      </w:r>
      <w:proofErr w:type="gramEnd"/>
      <w:r>
        <w:t>, trips and slips (41%)</w:t>
      </w:r>
    </w:p>
    <w:p w:rsidR="00260042" w:rsidRDefault="00260042" w:rsidP="00EA5510">
      <w:pPr>
        <w:pStyle w:val="ListBullet"/>
      </w:pPr>
      <w:proofErr w:type="gramStart"/>
      <w:r>
        <w:t>mental</w:t>
      </w:r>
      <w:proofErr w:type="gramEnd"/>
      <w:r>
        <w:t xml:space="preserve"> stress (18%).</w:t>
      </w:r>
    </w:p>
    <w:p w:rsidR="00260042" w:rsidRDefault="00260042" w:rsidP="002E64CE">
      <w:pPr>
        <w:pStyle w:val="Heading3"/>
      </w:pPr>
      <w:r>
        <w:t>Work Health and Safety Act 2011 – reporting for 2020–21</w:t>
      </w:r>
    </w:p>
    <w:p w:rsidR="00260042" w:rsidRDefault="00260042" w:rsidP="00260042">
      <w:pPr>
        <w:pStyle w:val="BodyText"/>
      </w:pPr>
      <w:r>
        <w:t xml:space="preserve">During 2020–21, </w:t>
      </w:r>
      <w:proofErr w:type="spellStart"/>
      <w:r>
        <w:t>Comcare</w:t>
      </w:r>
      <w:proofErr w:type="spellEnd"/>
      <w:r>
        <w:t xml:space="preserve"> undertook </w:t>
      </w:r>
      <w:proofErr w:type="gramStart"/>
      <w:r>
        <w:t>2</w:t>
      </w:r>
      <w:proofErr w:type="gramEnd"/>
      <w:r>
        <w:t xml:space="preserve"> reactive workplace inspections in the agency. One was in response to a request for assistance regarding variation of workgroups, and the other in relation to a dangerous incident.</w:t>
      </w:r>
    </w:p>
    <w:p w:rsidR="00260042" w:rsidRDefault="00260042" w:rsidP="00260042">
      <w:pPr>
        <w:pStyle w:val="BodyText"/>
      </w:pPr>
      <w:r>
        <w:t xml:space="preserve">Further contact was made in relation to </w:t>
      </w:r>
      <w:proofErr w:type="gramStart"/>
      <w:r>
        <w:t>3</w:t>
      </w:r>
      <w:proofErr w:type="gramEnd"/>
      <w:r>
        <w:t xml:space="preserve"> complaints, 2 of which were about COVID-19 pandemic prevention measures, and one regarding a staff psychosocial issue. </w:t>
      </w:r>
    </w:p>
    <w:p w:rsidR="00260042" w:rsidRDefault="00260042" w:rsidP="00260042">
      <w:pPr>
        <w:pStyle w:val="BodyText"/>
      </w:pPr>
      <w:proofErr w:type="spellStart"/>
      <w:r>
        <w:lastRenderedPageBreak/>
        <w:t>Comcare</w:t>
      </w:r>
      <w:proofErr w:type="spellEnd"/>
      <w:r>
        <w:t xml:space="preserve"> identified no contraventions of the </w:t>
      </w:r>
      <w:r>
        <w:rPr>
          <w:rStyle w:val="Italic"/>
        </w:rPr>
        <w:t>Work Health and Safety Act 2011</w:t>
      </w:r>
      <w:r>
        <w:t xml:space="preserve"> and issued nil improvement notices under the Act. </w:t>
      </w:r>
    </w:p>
    <w:p w:rsidR="00260042" w:rsidRDefault="00260042" w:rsidP="00260042">
      <w:pPr>
        <w:pStyle w:val="BodyText"/>
      </w:pPr>
      <w:r>
        <w:t xml:space="preserve">The agency notified </w:t>
      </w:r>
      <w:proofErr w:type="spellStart"/>
      <w:r>
        <w:t>Comcare</w:t>
      </w:r>
      <w:proofErr w:type="spellEnd"/>
      <w:r>
        <w:t xml:space="preserve"> of 36 incidents during 2020–21, compared with 27 in 2019–20. Six of those incidents related to COVID cases and </w:t>
      </w:r>
      <w:proofErr w:type="gramStart"/>
      <w:r>
        <w:t>were notified</w:t>
      </w:r>
      <w:proofErr w:type="gramEnd"/>
      <w:r>
        <w:t xml:space="preserve"> under a unique requirement during the pandemic. These incidents </w:t>
      </w:r>
      <w:proofErr w:type="gramStart"/>
      <w:r>
        <w:t>were investigated and finalised</w:t>
      </w:r>
      <w:proofErr w:type="gramEnd"/>
      <w:r>
        <w:t xml:space="preserve">. </w:t>
      </w:r>
    </w:p>
    <w:p w:rsidR="00260042" w:rsidRPr="00EA5510" w:rsidRDefault="00511254" w:rsidP="00EA5510">
      <w:pPr>
        <w:pStyle w:val="BodyText"/>
        <w:rPr>
          <w:b/>
        </w:rPr>
      </w:pPr>
      <w:r>
        <w:rPr>
          <w:rStyle w:val="Bold"/>
          <w:bCs w:val="0"/>
        </w:rPr>
        <w:t>Table 4</w:t>
      </w:r>
      <w:r>
        <w:rPr>
          <w:rStyle w:val="Bold"/>
          <w:bCs w:val="0"/>
        </w:rPr>
        <w:t>8</w:t>
      </w:r>
      <w:r w:rsidR="00260042" w:rsidRPr="00EA5510">
        <w:rPr>
          <w:b/>
        </w:rPr>
        <w:t xml:space="preserve"> Incidents notified to </w:t>
      </w:r>
      <w:proofErr w:type="spellStart"/>
      <w:r w:rsidR="00260042" w:rsidRPr="00EA5510">
        <w:rPr>
          <w:b/>
        </w:rPr>
        <w:t>Comcare</w:t>
      </w:r>
      <w:proofErr w:type="spellEnd"/>
      <w:r w:rsidR="00260042" w:rsidRPr="00EA5510">
        <w:rPr>
          <w:b/>
        </w:rPr>
        <w:t xml:space="preserve"> in 2020–21</w:t>
      </w:r>
    </w:p>
    <w:tbl>
      <w:tblPr>
        <w:tblStyle w:val="TableGrid"/>
        <w:tblW w:w="5000" w:type="pct"/>
        <w:tblLook w:val="0000" w:firstRow="0" w:lastRow="0" w:firstColumn="0" w:lastColumn="0" w:noHBand="0" w:noVBand="0"/>
        <w:tblCaption w:val="Incidents notified to Comcare in 2020–21"/>
      </w:tblPr>
      <w:tblGrid>
        <w:gridCol w:w="5395"/>
        <w:gridCol w:w="5395"/>
      </w:tblGrid>
      <w:tr w:rsidR="00260042" w:rsidTr="00BC1153">
        <w:trPr>
          <w:trHeight w:val="60"/>
          <w:tblHeader/>
        </w:trPr>
        <w:tc>
          <w:tcPr>
            <w:tcW w:w="2500" w:type="pct"/>
          </w:tcPr>
          <w:p w:rsidR="00260042" w:rsidRDefault="00260042" w:rsidP="00BC1153">
            <w:pPr>
              <w:pStyle w:val="BodyText"/>
            </w:pPr>
            <w:r>
              <w:rPr>
                <w:rStyle w:val="Bold"/>
              </w:rPr>
              <w:t xml:space="preserve">Type of incident </w:t>
            </w:r>
          </w:p>
        </w:tc>
        <w:tc>
          <w:tcPr>
            <w:tcW w:w="2500" w:type="pct"/>
          </w:tcPr>
          <w:p w:rsidR="00260042" w:rsidRDefault="00260042" w:rsidP="00BC1153">
            <w:pPr>
              <w:pStyle w:val="BodyText"/>
              <w:jc w:val="right"/>
            </w:pPr>
            <w:r>
              <w:rPr>
                <w:rStyle w:val="Bold"/>
              </w:rPr>
              <w:t xml:space="preserve">Number </w:t>
            </w:r>
          </w:p>
        </w:tc>
      </w:tr>
      <w:tr w:rsidR="00260042" w:rsidTr="00BC1153">
        <w:trPr>
          <w:trHeight w:val="60"/>
        </w:trPr>
        <w:tc>
          <w:tcPr>
            <w:tcW w:w="2500" w:type="pct"/>
          </w:tcPr>
          <w:p w:rsidR="00260042" w:rsidRDefault="00260042" w:rsidP="00BC1153">
            <w:pPr>
              <w:pStyle w:val="BodyText"/>
            </w:pPr>
            <w:r>
              <w:rPr>
                <w:rStyle w:val="Bulletcolour"/>
              </w:rPr>
              <w:t xml:space="preserve">Death </w:t>
            </w:r>
          </w:p>
        </w:tc>
        <w:tc>
          <w:tcPr>
            <w:tcW w:w="2500" w:type="pct"/>
          </w:tcPr>
          <w:p w:rsidR="00260042" w:rsidRDefault="00260042" w:rsidP="00BC1153">
            <w:pPr>
              <w:pStyle w:val="BodyText"/>
              <w:jc w:val="right"/>
            </w:pPr>
            <w:r>
              <w:rPr>
                <w:rStyle w:val="Bulletcolour"/>
              </w:rPr>
              <w:t>0</w:t>
            </w:r>
          </w:p>
        </w:tc>
      </w:tr>
      <w:tr w:rsidR="00260042" w:rsidTr="00BC1153">
        <w:trPr>
          <w:trHeight w:val="60"/>
        </w:trPr>
        <w:tc>
          <w:tcPr>
            <w:tcW w:w="2500" w:type="pct"/>
          </w:tcPr>
          <w:p w:rsidR="00260042" w:rsidRDefault="00260042" w:rsidP="00BC1153">
            <w:pPr>
              <w:pStyle w:val="BodyText"/>
            </w:pPr>
            <w:r>
              <w:rPr>
                <w:rStyle w:val="Bulletcolour"/>
              </w:rPr>
              <w:t>Serious injury or illness</w:t>
            </w:r>
          </w:p>
        </w:tc>
        <w:tc>
          <w:tcPr>
            <w:tcW w:w="2500" w:type="pct"/>
          </w:tcPr>
          <w:p w:rsidR="00260042" w:rsidRDefault="00260042" w:rsidP="00BC1153">
            <w:pPr>
              <w:pStyle w:val="BodyText"/>
              <w:jc w:val="right"/>
            </w:pPr>
            <w:r>
              <w:rPr>
                <w:rStyle w:val="Bulletcolour"/>
              </w:rPr>
              <w:t>24</w:t>
            </w:r>
          </w:p>
        </w:tc>
      </w:tr>
      <w:tr w:rsidR="00260042" w:rsidTr="00BC1153">
        <w:trPr>
          <w:trHeight w:val="60"/>
        </w:trPr>
        <w:tc>
          <w:tcPr>
            <w:tcW w:w="2500" w:type="pct"/>
          </w:tcPr>
          <w:p w:rsidR="00260042" w:rsidRDefault="00260042" w:rsidP="00BC1153">
            <w:pPr>
              <w:pStyle w:val="BodyText"/>
            </w:pPr>
            <w:r>
              <w:rPr>
                <w:rStyle w:val="Bold"/>
                <w:b w:val="0"/>
                <w:bCs w:val="0"/>
              </w:rPr>
              <w:t xml:space="preserve">Dangerous incidents </w:t>
            </w:r>
          </w:p>
        </w:tc>
        <w:tc>
          <w:tcPr>
            <w:tcW w:w="2500" w:type="pct"/>
          </w:tcPr>
          <w:p w:rsidR="00260042" w:rsidRDefault="00260042" w:rsidP="00BC1153">
            <w:pPr>
              <w:pStyle w:val="BodyText"/>
              <w:jc w:val="right"/>
            </w:pPr>
            <w:r>
              <w:rPr>
                <w:rStyle w:val="Bold"/>
                <w:b w:val="0"/>
                <w:bCs w:val="0"/>
              </w:rPr>
              <w:t>12</w:t>
            </w:r>
          </w:p>
        </w:tc>
      </w:tr>
      <w:tr w:rsidR="00260042" w:rsidTr="00BC1153">
        <w:trPr>
          <w:trHeight w:val="60"/>
        </w:trPr>
        <w:tc>
          <w:tcPr>
            <w:tcW w:w="2500" w:type="pct"/>
          </w:tcPr>
          <w:p w:rsidR="00260042" w:rsidRDefault="00260042" w:rsidP="00BC1153">
            <w:pPr>
              <w:pStyle w:val="BodyText"/>
            </w:pPr>
            <w:r>
              <w:rPr>
                <w:rStyle w:val="Bold"/>
              </w:rPr>
              <w:t xml:space="preserve">Total </w:t>
            </w:r>
          </w:p>
        </w:tc>
        <w:tc>
          <w:tcPr>
            <w:tcW w:w="2500" w:type="pct"/>
          </w:tcPr>
          <w:p w:rsidR="00260042" w:rsidRDefault="00260042" w:rsidP="00BC1153">
            <w:pPr>
              <w:pStyle w:val="BodyText"/>
              <w:jc w:val="right"/>
            </w:pPr>
            <w:r>
              <w:rPr>
                <w:rStyle w:val="Bold"/>
              </w:rPr>
              <w:t>36</w:t>
            </w:r>
          </w:p>
        </w:tc>
      </w:tr>
    </w:tbl>
    <w:p w:rsidR="00260042" w:rsidRDefault="00260042" w:rsidP="00C81689">
      <w:pPr>
        <w:pStyle w:val="Heading2"/>
      </w:pPr>
      <w:r>
        <w:t>Corrections to the 2019–20 annual report</w:t>
      </w:r>
    </w:p>
    <w:tbl>
      <w:tblPr>
        <w:tblStyle w:val="TableGrid"/>
        <w:tblW w:w="5000" w:type="pct"/>
        <w:tblLook w:val="0000" w:firstRow="0" w:lastRow="0" w:firstColumn="0" w:lastColumn="0" w:noHBand="0" w:noVBand="0"/>
        <w:tblCaption w:val="Corrections to the 2019–20 annual report"/>
      </w:tblPr>
      <w:tblGrid>
        <w:gridCol w:w="3597"/>
        <w:gridCol w:w="5080"/>
        <w:gridCol w:w="2113"/>
      </w:tblGrid>
      <w:tr w:rsidR="00260042" w:rsidTr="00BC1153">
        <w:trPr>
          <w:trHeight w:val="60"/>
          <w:tblHeader/>
        </w:trPr>
        <w:tc>
          <w:tcPr>
            <w:tcW w:w="1667" w:type="pct"/>
          </w:tcPr>
          <w:p w:rsidR="00260042" w:rsidRDefault="00260042" w:rsidP="00BC1153">
            <w:pPr>
              <w:pStyle w:val="BodyText"/>
            </w:pPr>
            <w:r>
              <w:rPr>
                <w:rStyle w:val="Bold"/>
              </w:rPr>
              <w:t>Reference (page number) in 2019–20 report</w:t>
            </w:r>
          </w:p>
        </w:tc>
        <w:tc>
          <w:tcPr>
            <w:tcW w:w="2354" w:type="pct"/>
          </w:tcPr>
          <w:p w:rsidR="00260042" w:rsidRDefault="00260042" w:rsidP="00BC1153">
            <w:pPr>
              <w:pStyle w:val="BodyText"/>
            </w:pPr>
            <w:r>
              <w:rPr>
                <w:rStyle w:val="Bold"/>
              </w:rPr>
              <w:t>Issue</w:t>
            </w:r>
          </w:p>
        </w:tc>
        <w:tc>
          <w:tcPr>
            <w:tcW w:w="980" w:type="pct"/>
          </w:tcPr>
          <w:p w:rsidR="00260042" w:rsidRDefault="00260042" w:rsidP="00BC1153">
            <w:pPr>
              <w:pStyle w:val="BodyText"/>
            </w:pPr>
            <w:r>
              <w:rPr>
                <w:rStyle w:val="Bold"/>
              </w:rPr>
              <w:t>Correction</w:t>
            </w:r>
          </w:p>
        </w:tc>
      </w:tr>
      <w:tr w:rsidR="00260042" w:rsidTr="00BC1153">
        <w:trPr>
          <w:trHeight w:val="60"/>
        </w:trPr>
        <w:tc>
          <w:tcPr>
            <w:tcW w:w="1667" w:type="pct"/>
          </w:tcPr>
          <w:p w:rsidR="00260042" w:rsidRDefault="00260042" w:rsidP="00BC1153">
            <w:pPr>
              <w:pStyle w:val="BodyText"/>
            </w:pPr>
            <w:r>
              <w:rPr>
                <w:rStyle w:val="Bulletcolour"/>
              </w:rPr>
              <w:t>Page 160</w:t>
            </w:r>
          </w:p>
        </w:tc>
        <w:tc>
          <w:tcPr>
            <w:tcW w:w="2354" w:type="pct"/>
          </w:tcPr>
          <w:p w:rsidR="00260042" w:rsidRDefault="00260042" w:rsidP="00BC1153">
            <w:pPr>
              <w:pStyle w:val="BodyText"/>
            </w:pPr>
            <w:r>
              <w:rPr>
                <w:rStyle w:val="Bulletcolour"/>
                <w:spacing w:val="-2"/>
              </w:rPr>
              <w:t xml:space="preserve">2019–20 Total consultancy services expenditure reported as $17,886,742. This excluded a purchase order and currency conversion so </w:t>
            </w:r>
            <w:proofErr w:type="gramStart"/>
            <w:r>
              <w:rPr>
                <w:rStyle w:val="Bulletcolour"/>
                <w:spacing w:val="-2"/>
              </w:rPr>
              <w:t>was incorrectly reported</w:t>
            </w:r>
            <w:proofErr w:type="gramEnd"/>
            <w:r>
              <w:rPr>
                <w:rStyle w:val="Bulletcolour"/>
                <w:spacing w:val="-2"/>
              </w:rPr>
              <w:t>.</w:t>
            </w:r>
          </w:p>
        </w:tc>
        <w:tc>
          <w:tcPr>
            <w:tcW w:w="980" w:type="pct"/>
          </w:tcPr>
          <w:p w:rsidR="00260042" w:rsidRDefault="00260042" w:rsidP="00BC1153">
            <w:pPr>
              <w:pStyle w:val="BodyText"/>
            </w:pPr>
            <w:r>
              <w:rPr>
                <w:rStyle w:val="Bulletcolour"/>
              </w:rPr>
              <w:t>$18,476,477</w:t>
            </w:r>
          </w:p>
        </w:tc>
      </w:tr>
    </w:tbl>
    <w:p w:rsidR="00260042" w:rsidRDefault="00260042" w:rsidP="00BC1153">
      <w:pPr>
        <w:pStyle w:val="Heading1"/>
      </w:pPr>
      <w:r>
        <w:t>9 Our people</w:t>
      </w:r>
    </w:p>
    <w:p w:rsidR="00260042" w:rsidRDefault="00260042" w:rsidP="00BC1153">
      <w:pPr>
        <w:pStyle w:val="Heading1"/>
      </w:pPr>
      <w:r>
        <w:t>9.1 Services Australia culture</w:t>
      </w:r>
    </w:p>
    <w:p w:rsidR="00260042" w:rsidRDefault="00260042" w:rsidP="008474A9">
      <w:pPr>
        <w:pStyle w:val="BodyText"/>
      </w:pPr>
      <w:r>
        <w:t xml:space="preserve">Organisational culture continues to be an important priority for the agency to support day-to-day service delivery operations, as well as the broader transformation agenda. </w:t>
      </w:r>
    </w:p>
    <w:p w:rsidR="00260042" w:rsidRDefault="00260042" w:rsidP="00260042">
      <w:pPr>
        <w:pStyle w:val="BodyText"/>
      </w:pPr>
      <w:r>
        <w:t xml:space="preserve">In May 2021, an all-staff survey </w:t>
      </w:r>
      <w:proofErr w:type="gramStart"/>
      <w:r>
        <w:t>was conducted</w:t>
      </w:r>
      <w:proofErr w:type="gramEnd"/>
      <w:r>
        <w:t xml:space="preserve"> to establish an organisational culture baseline. The survey focused on </w:t>
      </w:r>
      <w:proofErr w:type="gramStart"/>
      <w:r>
        <w:t>5</w:t>
      </w:r>
      <w:proofErr w:type="gramEnd"/>
      <w:r>
        <w:t xml:space="preserve"> core cultural attributes – customer focus, innovation, collaboration, respect, and empowerment. </w:t>
      </w:r>
    </w:p>
    <w:p w:rsidR="00260042" w:rsidRDefault="00260042" w:rsidP="00260042">
      <w:pPr>
        <w:pStyle w:val="BodyText"/>
      </w:pPr>
      <w:r>
        <w:t xml:space="preserve">Analysis of the survey results will help guide future culture initiatives and broader workforce strategies. </w:t>
      </w:r>
    </w:p>
    <w:p w:rsidR="00260042" w:rsidRDefault="00260042" w:rsidP="00C81689">
      <w:pPr>
        <w:pStyle w:val="Heading2"/>
      </w:pPr>
      <w:r>
        <w:t>Reconciliation</w:t>
      </w:r>
    </w:p>
    <w:p w:rsidR="00260042" w:rsidRDefault="00260042" w:rsidP="00260042">
      <w:pPr>
        <w:pStyle w:val="BodyText"/>
      </w:pPr>
      <w:r>
        <w:t xml:space="preserve">Services Australia is a committed reconciliation leader in the APS. The agency’s </w:t>
      </w:r>
      <w:r>
        <w:rPr>
          <w:rStyle w:val="Italic"/>
        </w:rPr>
        <w:t>Reconciliation Action Plan 2018–22</w:t>
      </w:r>
      <w:r>
        <w:t xml:space="preserve"> (RAP) outlines how we will contribute to better outcomes for all Aboriginal and Torres </w:t>
      </w:r>
      <w:r>
        <w:lastRenderedPageBreak/>
        <w:t xml:space="preserve">Strait Islander peoples, and build on our understanding, commitment and respect for culture. As a government entity with a RAP of Elevate status – the highest level recognised – Services Australia has an important leadership role in the APS to advance reconciliation. </w:t>
      </w:r>
    </w:p>
    <w:p w:rsidR="00260042" w:rsidRDefault="00260042" w:rsidP="00260042">
      <w:pPr>
        <w:pStyle w:val="BodyText"/>
      </w:pPr>
      <w:r>
        <w:t xml:space="preserve">Our RAP commits us to progress reconciliation across </w:t>
      </w:r>
      <w:proofErr w:type="gramStart"/>
      <w:r>
        <w:t>4</w:t>
      </w:r>
      <w:proofErr w:type="gramEnd"/>
      <w:r>
        <w:t xml:space="preserve"> themes: our leadership, our people, our relationships, and our services. The RAP complements </w:t>
      </w:r>
      <w:proofErr w:type="gramStart"/>
      <w:r>
        <w:t>2</w:t>
      </w:r>
      <w:proofErr w:type="gramEnd"/>
      <w:r>
        <w:t xml:space="preserve"> other agency internal Indigenous strategies – the</w:t>
      </w:r>
      <w:r w:rsidR="007764E8">
        <w:t xml:space="preserve"> </w:t>
      </w:r>
      <w:r>
        <w:rPr>
          <w:rStyle w:val="Italic"/>
        </w:rPr>
        <w:t>Indigenous Servicing Strategy 2018–22</w:t>
      </w:r>
      <w:r>
        <w:t xml:space="preserve"> and </w:t>
      </w:r>
      <w:r>
        <w:rPr>
          <w:rStyle w:val="Italic"/>
        </w:rPr>
        <w:t>Aboriginal and Torres Strait Islander Employees Strategy 2018–22</w:t>
      </w:r>
      <w:r>
        <w:t xml:space="preserve">. These 2 strategies support reconciliation by ensuring the agency is an employer of choice for Aboriginal and Torres Strait Islander people and that services are designed to meet Indigenous service standards. </w:t>
      </w:r>
    </w:p>
    <w:p w:rsidR="00260042" w:rsidRDefault="00260042" w:rsidP="00260042">
      <w:pPr>
        <w:pStyle w:val="BodyText"/>
      </w:pPr>
      <w:r>
        <w:t xml:space="preserve">In 2020–21, the agency achieved 29 of its 32 commitments against the 2020–21 RAP targets. </w:t>
      </w:r>
    </w:p>
    <w:p w:rsidR="00260042" w:rsidRDefault="00260042" w:rsidP="00BC1153">
      <w:pPr>
        <w:pStyle w:val="Heading1"/>
      </w:pPr>
      <w:r>
        <w:t xml:space="preserve">9.2 </w:t>
      </w:r>
      <w:r w:rsidRPr="00BC1153">
        <w:t>Workplace</w:t>
      </w:r>
      <w:r>
        <w:t xml:space="preserve"> profile </w:t>
      </w:r>
    </w:p>
    <w:p w:rsidR="00260042" w:rsidRDefault="00260042" w:rsidP="008474A9">
      <w:pPr>
        <w:pStyle w:val="BodyText"/>
      </w:pPr>
      <w:r>
        <w:t>Our people are essential to our ability to deliver high quality, accessible government services and payments. We are committed to embedding a high</w:t>
      </w:r>
      <w:r>
        <w:noBreakHyphen/>
        <w:t>performance culture focused on service excellence. Diversity and inclusion in our workforce are central to driving innovation, creativity, agility and high performance.</w:t>
      </w:r>
    </w:p>
    <w:p w:rsidR="00260042" w:rsidRDefault="00260042" w:rsidP="00C81689">
      <w:pPr>
        <w:pStyle w:val="Heading2"/>
      </w:pPr>
      <w:r>
        <w:t>Our staff</w:t>
      </w:r>
    </w:p>
    <w:p w:rsidR="00260042" w:rsidRDefault="00260042" w:rsidP="00260042">
      <w:pPr>
        <w:pStyle w:val="BodyText"/>
      </w:pPr>
      <w:r>
        <w:t xml:space="preserve">At 30 June 2021, Services Australia employed 34,049 people, of whom 26,932 (79.1%) were ongoing, 3,897 (11.4%) were non-ongoing and 3,220 (9.5%) were irregular/intermittent. </w:t>
      </w:r>
    </w:p>
    <w:p w:rsidR="00260042" w:rsidRDefault="00260042" w:rsidP="00260042">
      <w:pPr>
        <w:pStyle w:val="BodyText"/>
      </w:pPr>
      <w:r>
        <w:t xml:space="preserve">Changes to the agency’s workforce size reflect government priorities, Budget measures, service delivery demands, ongoing efficiencies and natural attrition. </w:t>
      </w:r>
    </w:p>
    <w:p w:rsidR="00260042" w:rsidRDefault="00260042" w:rsidP="00260042">
      <w:pPr>
        <w:pStyle w:val="BodyText"/>
      </w:pPr>
      <w:r>
        <w:t>Appendix B sets out statistics by classification, location, employment status, employment type, gender, and Aboriginal and Torres Strait Islander identity. The appendix also sets out salary ranges and employment arrangements.</w:t>
      </w:r>
    </w:p>
    <w:p w:rsidR="00260042" w:rsidRDefault="00260042" w:rsidP="00C81689">
      <w:pPr>
        <w:pStyle w:val="Heading2"/>
      </w:pPr>
      <w:r>
        <w:t>COVID-19 pandemic responses within Services Australia</w:t>
      </w:r>
    </w:p>
    <w:p w:rsidR="00260042" w:rsidRDefault="00260042" w:rsidP="00260042">
      <w:pPr>
        <w:pStyle w:val="BodyText"/>
      </w:pPr>
      <w:r>
        <w:t xml:space="preserve">During 2020–21, Services Australia continued to respond and adapt quickly to ensure the safety and wellbeing of staff and customers during the COVID-19 pandemic. </w:t>
      </w:r>
    </w:p>
    <w:p w:rsidR="00260042" w:rsidRDefault="00260042" w:rsidP="00260042">
      <w:pPr>
        <w:pStyle w:val="BodyText"/>
      </w:pPr>
      <w:r>
        <w:t xml:space="preserve">COVID-19 prevention measures including social distancing, hygiene and cleaning practices </w:t>
      </w:r>
      <w:proofErr w:type="gramStart"/>
      <w:r>
        <w:t>were strictly maintained</w:t>
      </w:r>
      <w:proofErr w:type="gramEnd"/>
      <w:r>
        <w:t xml:space="preserve">. Where staff located at a particular site tested positive, immediate action, including </w:t>
      </w:r>
      <w:proofErr w:type="gramStart"/>
      <w:r>
        <w:t>deep-cleaning</w:t>
      </w:r>
      <w:proofErr w:type="gramEnd"/>
      <w:r>
        <w:t>, support and timely advice were provided to protect staff, customers and visitors. During the year, there were no cases confirmed that were transmitted in the workplace.</w:t>
      </w:r>
    </w:p>
    <w:p w:rsidR="00260042" w:rsidRDefault="00260042" w:rsidP="00260042">
      <w:pPr>
        <w:pStyle w:val="BodyText"/>
      </w:pPr>
      <w:r>
        <w:t xml:space="preserve">The agency provided support that enabled staff to change their working arrangements including working from home for </w:t>
      </w:r>
      <w:proofErr w:type="gramStart"/>
      <w:r>
        <w:t>periods of time</w:t>
      </w:r>
      <w:proofErr w:type="gramEnd"/>
      <w:r>
        <w:t xml:space="preserve"> when possible, in line with recommendations of state and territory health authorities. </w:t>
      </w:r>
    </w:p>
    <w:p w:rsidR="00260042" w:rsidRDefault="00260042" w:rsidP="00C81689">
      <w:pPr>
        <w:pStyle w:val="Heading2"/>
      </w:pPr>
      <w:r>
        <w:t>Mental health and wellbeing arrangements</w:t>
      </w:r>
    </w:p>
    <w:p w:rsidR="00260042" w:rsidRDefault="00260042" w:rsidP="00260042">
      <w:pPr>
        <w:pStyle w:val="BodyText"/>
      </w:pPr>
      <w:r>
        <w:t xml:space="preserve">Services Australia staff have risen to the challenge of providing services to the Australian community during recent natural disasters and the pandemic. Health and wellbeing are important to maintain the </w:t>
      </w:r>
      <w:r>
        <w:lastRenderedPageBreak/>
        <w:t>endurance and resilience of the workforce through these events, and through transformational changes occurring across our agency.</w:t>
      </w:r>
    </w:p>
    <w:p w:rsidR="00260042" w:rsidRDefault="00260042" w:rsidP="00260042">
      <w:pPr>
        <w:pStyle w:val="BodyText"/>
      </w:pPr>
      <w:r>
        <w:t xml:space="preserve">In May 2021, the agency launched a </w:t>
      </w:r>
      <w:r>
        <w:rPr>
          <w:rStyle w:val="Italic"/>
        </w:rPr>
        <w:t>Work Health and Safety Strategy 2021–26</w:t>
      </w:r>
      <w:r>
        <w:t xml:space="preserve">, and an aligned </w:t>
      </w:r>
      <w:r>
        <w:rPr>
          <w:rStyle w:val="Italic"/>
        </w:rPr>
        <w:t>Health and Wellbeing Framework 2021–26</w:t>
      </w:r>
      <w:r>
        <w:t xml:space="preserve">. These provide the strategic priorities and direction for the agency’s health, safety and wellbeing efforts. </w:t>
      </w:r>
    </w:p>
    <w:p w:rsidR="00D617C0" w:rsidRDefault="00260042" w:rsidP="00D617C0">
      <w:pPr>
        <w:pStyle w:val="BodyText"/>
      </w:pPr>
      <w:r>
        <w:t>Services Australia has contributed to the development of the APS Mental Health Capability Suite, which supports the broader APS-wide efforts to develop mental health capability to support the workforce. The agency is working with the Australian Public Service Commission to drive implementation of the findings of the capability review.</w:t>
      </w:r>
    </w:p>
    <w:p w:rsidR="00260042" w:rsidRDefault="00260042" w:rsidP="00D617C0">
      <w:pPr>
        <w:pStyle w:val="Heading2"/>
      </w:pPr>
      <w:r>
        <w:t>Workforce strategies and planning</w:t>
      </w:r>
    </w:p>
    <w:p w:rsidR="00260042" w:rsidRDefault="00260042" w:rsidP="00260042">
      <w:pPr>
        <w:pStyle w:val="BodyText"/>
      </w:pPr>
      <w:r>
        <w:t xml:space="preserve">The agency’s 2019–23 Strategic Workforce Plan is an overview of the changing expectations of our business, the internal and external factors influencing workforce change, and workforce planning priorities. During 2020–21, the agency’s workforce planning capability enabled quick mobilisation of surge personnel in response to emergencies and the COVID-19 pandemic — see </w:t>
      </w:r>
      <w:r>
        <w:rPr>
          <w:rStyle w:val="Italic"/>
        </w:rPr>
        <w:t>Emergency reserve</w:t>
      </w:r>
      <w:r>
        <w:t xml:space="preserve"> on page 34 and </w:t>
      </w:r>
      <w:r>
        <w:rPr>
          <w:rStyle w:val="Italic"/>
        </w:rPr>
        <w:t>COVID-19 pandemic</w:t>
      </w:r>
      <w:r>
        <w:t xml:space="preserve"> on page 24.</w:t>
      </w:r>
    </w:p>
    <w:p w:rsidR="00260042" w:rsidRDefault="00260042" w:rsidP="00BC1153">
      <w:pPr>
        <w:pStyle w:val="Heading1"/>
      </w:pPr>
      <w:r>
        <w:t>9.3 Performance management</w:t>
      </w:r>
    </w:p>
    <w:p w:rsidR="00260042" w:rsidRDefault="00260042" w:rsidP="008474A9">
      <w:pPr>
        <w:pStyle w:val="BodyText"/>
      </w:pPr>
      <w:r>
        <w:t xml:space="preserve">Services Australia’s performance management process </w:t>
      </w:r>
      <w:proofErr w:type="gramStart"/>
      <w:r>
        <w:t>is designed</w:t>
      </w:r>
      <w:proofErr w:type="gramEnd"/>
      <w:r>
        <w:t xml:space="preserve"> to foster a culture of high performance by providing staff with a clear link between their work effort and agency priorities. </w:t>
      </w:r>
    </w:p>
    <w:p w:rsidR="00260042" w:rsidRDefault="00260042" w:rsidP="00260042">
      <w:pPr>
        <w:pStyle w:val="BodyText"/>
      </w:pPr>
      <w:r>
        <w:t>In 2020–21, 95% of Services Australia staff negotiated individual performance agreements with their managers. Nearly all of those who did not were on long-term leave or had not yet completed more than 8 weeks of duties during the performance cycle.</w:t>
      </w:r>
    </w:p>
    <w:p w:rsidR="00260042" w:rsidRDefault="00260042" w:rsidP="00C81689">
      <w:pPr>
        <w:pStyle w:val="Heading2"/>
      </w:pPr>
      <w:r>
        <w:t>Staff engagement and recognition</w:t>
      </w:r>
    </w:p>
    <w:p w:rsidR="00260042" w:rsidRDefault="00260042" w:rsidP="00260042">
      <w:pPr>
        <w:pStyle w:val="BodyText"/>
      </w:pPr>
      <w:r>
        <w:t>In 2020–21, the agency’s peak staff consultative forum, the National Consultative Committee, met in November 2020 and April 2021 to discuss matters of strategic significance including new technologies and systems, workplace health and safety and workplace flexibility. Consultation with staff also occurs within business areas and at the local level across the agency.</w:t>
      </w:r>
    </w:p>
    <w:p w:rsidR="00260042" w:rsidRDefault="00260042" w:rsidP="002E64CE">
      <w:pPr>
        <w:pStyle w:val="Heading3"/>
      </w:pPr>
      <w:r>
        <w:t>External Awards received by Services Australia during 2020–21</w:t>
      </w:r>
    </w:p>
    <w:p w:rsidR="00260042" w:rsidRDefault="00260042" w:rsidP="00260042">
      <w:pPr>
        <w:pStyle w:val="BodyText"/>
        <w:spacing w:after="57"/>
      </w:pPr>
      <w:r>
        <w:t>In 2020–21, the following public sector and private sector industry association awards programs recognised individuals and teams from Services Australia:</w:t>
      </w:r>
    </w:p>
    <w:p w:rsidR="00260042" w:rsidRDefault="00260042" w:rsidP="008930A3">
      <w:pPr>
        <w:pStyle w:val="ListBullet"/>
      </w:pPr>
      <w:r>
        <w:t xml:space="preserve">Institute of Public Administration Australia Innovation Awards – Citizen-centred Innovation: Finalist – Medicare Online Account Redevelopment </w:t>
      </w:r>
    </w:p>
    <w:p w:rsidR="00260042" w:rsidRDefault="00260042" w:rsidP="008930A3">
      <w:pPr>
        <w:pStyle w:val="ListBullet"/>
      </w:pPr>
      <w:r>
        <w:t xml:space="preserve">Institute of Public Administration Australia Innovation Awards – Citizen-centred Innovation: Judges Award Winners – </w:t>
      </w:r>
      <w:proofErr w:type="spellStart"/>
      <w:r>
        <w:t>JobSeeker</w:t>
      </w:r>
      <w:proofErr w:type="spellEnd"/>
      <w:r>
        <w:t xml:space="preserve"> Streamlined Claim </w:t>
      </w:r>
    </w:p>
    <w:p w:rsidR="00260042" w:rsidRDefault="00260042" w:rsidP="008930A3">
      <w:pPr>
        <w:pStyle w:val="ListBullet"/>
      </w:pPr>
      <w:r>
        <w:t>Australian LGBTQ Inclusion Award status of Gold Employer – based on the agency’s results in the Australian Workforce Equality Index, which provides a national benchmark on workplace inclusion</w:t>
      </w:r>
    </w:p>
    <w:p w:rsidR="00260042" w:rsidRDefault="00260042" w:rsidP="008930A3">
      <w:pPr>
        <w:pStyle w:val="ListBullet"/>
      </w:pPr>
      <w:r>
        <w:t xml:space="preserve">National Emergency Medal – Cyclone Debbie – Sustained Service: Martin Bruce, Karina Jensen, Jo </w:t>
      </w:r>
      <w:proofErr w:type="spellStart"/>
      <w:r>
        <w:t>Rizzolo</w:t>
      </w:r>
      <w:proofErr w:type="spellEnd"/>
      <w:r>
        <w:t xml:space="preserve">, Kathy Wilson </w:t>
      </w:r>
    </w:p>
    <w:p w:rsidR="00260042" w:rsidRDefault="00260042" w:rsidP="008930A3">
      <w:pPr>
        <w:pStyle w:val="ListBullet"/>
      </w:pPr>
      <w:proofErr w:type="spellStart"/>
      <w:r>
        <w:lastRenderedPageBreak/>
        <w:t>iTnews</w:t>
      </w:r>
      <w:proofErr w:type="spellEnd"/>
      <w:r>
        <w:t xml:space="preserve"> Benchmark Awards – Best Federal Government Project: Winner – Service Improvements to </w:t>
      </w:r>
      <w:proofErr w:type="spellStart"/>
      <w:r>
        <w:t>myGov</w:t>
      </w:r>
      <w:proofErr w:type="spellEnd"/>
      <w:r>
        <w:t xml:space="preserve"> </w:t>
      </w:r>
    </w:p>
    <w:p w:rsidR="00260042" w:rsidRDefault="00260042" w:rsidP="008930A3">
      <w:pPr>
        <w:pStyle w:val="ListBullet"/>
      </w:pPr>
      <w:proofErr w:type="spellStart"/>
      <w:r>
        <w:t>iTnews</w:t>
      </w:r>
      <w:proofErr w:type="spellEnd"/>
      <w:r>
        <w:t xml:space="preserve"> Benchmark Awards – Best Federal Government Project: Finalist – </w:t>
      </w:r>
      <w:proofErr w:type="spellStart"/>
      <w:r>
        <w:t>myGov</w:t>
      </w:r>
      <w:proofErr w:type="spellEnd"/>
      <w:r>
        <w:t xml:space="preserve"> Enhancement (joint nomination with the Digital Transformation Agency)</w:t>
      </w:r>
    </w:p>
    <w:p w:rsidR="00260042" w:rsidRDefault="00260042" w:rsidP="008930A3">
      <w:pPr>
        <w:pStyle w:val="ListBullet"/>
      </w:pPr>
      <w:r>
        <w:t xml:space="preserve">Digital Transformation Agency – Australian Government Digital Awards: Gold Winner – Outstanding digital product or service – Aged Care Provider Portal </w:t>
      </w:r>
    </w:p>
    <w:p w:rsidR="00260042" w:rsidRDefault="00260042" w:rsidP="008930A3">
      <w:pPr>
        <w:pStyle w:val="ListBullet"/>
      </w:pPr>
      <w:r>
        <w:t xml:space="preserve">Digital Transformation Agency – Australian Government Digital Awards: Finalist – Digital Emerging Talent – Jeremy Holt </w:t>
      </w:r>
    </w:p>
    <w:p w:rsidR="00260042" w:rsidRDefault="00260042" w:rsidP="00EA5510">
      <w:pPr>
        <w:pStyle w:val="ListBullet"/>
      </w:pPr>
      <w:r>
        <w:t>SAP Innovation Award – Public Sector Award: Winner – Payment Utility.</w:t>
      </w:r>
    </w:p>
    <w:p w:rsidR="00260042" w:rsidRDefault="00260042" w:rsidP="00260042">
      <w:pPr>
        <w:pStyle w:val="BodyText"/>
        <w:spacing w:after="57"/>
      </w:pPr>
      <w:r>
        <w:t>In 2020–21, three Services Australia staff received Public Service Medals – Queen’s Birthday Honours:</w:t>
      </w:r>
    </w:p>
    <w:p w:rsidR="00260042" w:rsidRDefault="00260042" w:rsidP="008930A3">
      <w:pPr>
        <w:pStyle w:val="ListBullet"/>
      </w:pPr>
      <w:r>
        <w:tab/>
        <w:t>Rebecca Skinner for outstanding public service in the areas of national security policy, intelligence, business transformation and service delivery.</w:t>
      </w:r>
    </w:p>
    <w:p w:rsidR="00260042" w:rsidRDefault="00260042" w:rsidP="008930A3">
      <w:pPr>
        <w:pStyle w:val="ListBullet"/>
      </w:pPr>
      <w:r>
        <w:tab/>
        <w:t xml:space="preserve">Niko </w:t>
      </w:r>
      <w:proofErr w:type="spellStart"/>
      <w:r>
        <w:t>Milic</w:t>
      </w:r>
      <w:proofErr w:type="spellEnd"/>
      <w:r>
        <w:t xml:space="preserve"> for his outstanding leadership by going </w:t>
      </w:r>
      <w:proofErr w:type="gramStart"/>
      <w:r>
        <w:t>above and beyond</w:t>
      </w:r>
      <w:proofErr w:type="gramEnd"/>
      <w:r>
        <w:t xml:space="preserve"> to support his community and staff including the development of communication protocols in aged care facilities during the COVID-19 response.</w:t>
      </w:r>
    </w:p>
    <w:p w:rsidR="00260042" w:rsidRDefault="00260042" w:rsidP="008930A3">
      <w:pPr>
        <w:pStyle w:val="ListBullet"/>
      </w:pPr>
      <w:r>
        <w:tab/>
        <w:t xml:space="preserve">Debbie Mitchell for her exceptional leadership and the delivery of streamlined Job Seeker service to support Australians. </w:t>
      </w:r>
    </w:p>
    <w:p w:rsidR="00260042" w:rsidRDefault="00260042" w:rsidP="002E64CE">
      <w:pPr>
        <w:pStyle w:val="Heading3"/>
      </w:pPr>
      <w:r>
        <w:t>Internal awards</w:t>
      </w:r>
    </w:p>
    <w:p w:rsidR="00260042" w:rsidRDefault="00260042" w:rsidP="00260042">
      <w:pPr>
        <w:pStyle w:val="BodyText"/>
        <w:spacing w:after="57"/>
      </w:pPr>
      <w:r>
        <w:t>Services Australia’s Awards and Honours Program recognises and rewards excellent performance. Its main national awards program is for exceptional service delivery, successful innovation, inspiring leadership, and business excellence for individuals and teams. In 2020–21:</w:t>
      </w:r>
    </w:p>
    <w:p w:rsidR="00260042" w:rsidRDefault="00260042" w:rsidP="008930A3">
      <w:pPr>
        <w:pStyle w:val="ListBullet"/>
      </w:pPr>
      <w:r>
        <w:t>8 individuals and 7 teams won Pinnacle Achievement Awards for their exceptional contribution and performance, and 43 nominees were highly commended</w:t>
      </w:r>
    </w:p>
    <w:p w:rsidR="00260042" w:rsidRDefault="00260042" w:rsidP="008930A3">
      <w:pPr>
        <w:pStyle w:val="ListBullet"/>
      </w:pPr>
      <w:r>
        <w:t>22 staff were recognised in the Australia Day Achievement Awards for their commitment and dedication to their work</w:t>
      </w:r>
    </w:p>
    <w:p w:rsidR="00260042" w:rsidRDefault="00260042" w:rsidP="00EA5510">
      <w:pPr>
        <w:pStyle w:val="ListBullet"/>
      </w:pPr>
      <w:proofErr w:type="gramStart"/>
      <w:r>
        <w:t>2</w:t>
      </w:r>
      <w:proofErr w:type="gramEnd"/>
      <w:r>
        <w:t xml:space="preserve"> individuals and 2 teams won achievement awards for Indigenous servicing, and 4 individuals were highly commended for their work in Indigenous servicing.</w:t>
      </w:r>
    </w:p>
    <w:p w:rsidR="00260042" w:rsidRDefault="00260042" w:rsidP="00C81689">
      <w:pPr>
        <w:pStyle w:val="Heading2"/>
      </w:pPr>
      <w:r>
        <w:t>Performance pay</w:t>
      </w:r>
    </w:p>
    <w:p w:rsidR="00260042" w:rsidRDefault="00260042" w:rsidP="00260042">
      <w:pPr>
        <w:pStyle w:val="BodyText"/>
      </w:pPr>
      <w:r>
        <w:t>Services Australia made no performance payments in 2020–21.</w:t>
      </w:r>
    </w:p>
    <w:p w:rsidR="00260042" w:rsidRDefault="00260042" w:rsidP="00BC1153">
      <w:pPr>
        <w:pStyle w:val="Heading1"/>
      </w:pPr>
      <w:r>
        <w:t>9.4 Employment arrangements</w:t>
      </w:r>
    </w:p>
    <w:p w:rsidR="00260042" w:rsidRDefault="00260042" w:rsidP="00C81689">
      <w:pPr>
        <w:pStyle w:val="Heading2"/>
      </w:pPr>
      <w:r>
        <w:t xml:space="preserve">Workplace agreements </w:t>
      </w:r>
    </w:p>
    <w:p w:rsidR="00260042" w:rsidRDefault="00260042" w:rsidP="00260042">
      <w:pPr>
        <w:pStyle w:val="BodyText"/>
      </w:pPr>
      <w:r>
        <w:t xml:space="preserve">The majority of our staff </w:t>
      </w:r>
      <w:proofErr w:type="gramStart"/>
      <w:r>
        <w:t>are employed</w:t>
      </w:r>
      <w:proofErr w:type="gramEnd"/>
      <w:r>
        <w:t xml:space="preserve"> under the</w:t>
      </w:r>
      <w:r>
        <w:rPr>
          <w:rStyle w:val="Italic"/>
        </w:rPr>
        <w:t xml:space="preserve"> Department of Human Services Enterprise Agreement 2017–2020</w:t>
      </w:r>
      <w:r>
        <w:t xml:space="preserve">, which sets out their terms and conditions of employment. This agreement would have expired on 2 November 2020; however, it continues to operate because of a Determination made by the Minister Assisting the Prime Minister for the Public Service and Cabinet pursuant to section 24(3) of the </w:t>
      </w:r>
      <w:r>
        <w:rPr>
          <w:rStyle w:val="Italic"/>
        </w:rPr>
        <w:t>Public Service Act 1999</w:t>
      </w:r>
      <w:r>
        <w:t xml:space="preserve"> on 30 January 2020. </w:t>
      </w:r>
    </w:p>
    <w:p w:rsidR="00260042" w:rsidRDefault="00260042" w:rsidP="00260042">
      <w:pPr>
        <w:pStyle w:val="BodyText"/>
      </w:pPr>
      <w:proofErr w:type="gramStart"/>
      <w:r>
        <w:lastRenderedPageBreak/>
        <w:t>As a result</w:t>
      </w:r>
      <w:proofErr w:type="gramEnd"/>
      <w:r>
        <w:t xml:space="preserve"> of the COVID-19 pandemic, in April 2020 the Australian Government made a Determination which deferred salary increases for 6 months for staff in Australian Government employment with the initial 2% pay increase deferred from 3 November 2020 to 3 May 2021. </w:t>
      </w:r>
    </w:p>
    <w:p w:rsidR="00260042" w:rsidRDefault="00260042" w:rsidP="00C81689">
      <w:pPr>
        <w:pStyle w:val="Heading2"/>
      </w:pPr>
      <w:r>
        <w:t>Individual flexibility arrangements</w:t>
      </w:r>
    </w:p>
    <w:p w:rsidR="00260042" w:rsidRDefault="00260042" w:rsidP="00260042">
      <w:pPr>
        <w:pStyle w:val="BodyText"/>
      </w:pPr>
      <w:r>
        <w:t xml:space="preserve">In exceptional circumstances, Services Australia makes individual flexibility arrangements with staff. For example, they </w:t>
      </w:r>
      <w:proofErr w:type="gramStart"/>
      <w:r>
        <w:t>are used</w:t>
      </w:r>
      <w:proofErr w:type="gramEnd"/>
      <w:r>
        <w:t xml:space="preserve"> to attract and retain staff in remote and isolated places. In 2020–21, the agency had 53 indiv</w:t>
      </w:r>
      <w:r w:rsidR="00D617C0">
        <w:t>idual flexibility arrangements.</w:t>
      </w:r>
    </w:p>
    <w:p w:rsidR="00260042" w:rsidRDefault="00260042" w:rsidP="00D617C0">
      <w:pPr>
        <w:pStyle w:val="Heading2"/>
      </w:pPr>
      <w:r>
        <w:t>9.5 Learning and development</w:t>
      </w:r>
    </w:p>
    <w:p w:rsidR="00260042" w:rsidRDefault="00260042" w:rsidP="00C81689">
      <w:pPr>
        <w:pStyle w:val="Heading2"/>
      </w:pPr>
      <w:r>
        <w:t xml:space="preserve">The Service Delivery Faculty </w:t>
      </w:r>
    </w:p>
    <w:p w:rsidR="00260042" w:rsidRDefault="00260042" w:rsidP="00260042">
      <w:pPr>
        <w:pStyle w:val="BodyText"/>
      </w:pPr>
      <w:r>
        <w:t xml:space="preserve">The Service Delivery Faculty </w:t>
      </w:r>
      <w:proofErr w:type="gramStart"/>
      <w:r>
        <w:t>was formed</w:t>
      </w:r>
      <w:proofErr w:type="gramEnd"/>
      <w:r>
        <w:t xml:space="preserve"> in 2020–21 to create a centralised approach to developing the skills and capabilities of our service delivery workforce. The faculty brings together technical training and development staff from across the agency into one virtual, national team. </w:t>
      </w:r>
    </w:p>
    <w:p w:rsidR="00260042" w:rsidRDefault="00260042" w:rsidP="00260042">
      <w:pPr>
        <w:pStyle w:val="BodyText"/>
      </w:pPr>
      <w:r>
        <w:t>The faculty has started to build a modern and flexible Service Delivery Master Curriculum, which when completed will be integrated with clear career paths, our recruitment pipeline and workforce mobility processes.</w:t>
      </w:r>
    </w:p>
    <w:p w:rsidR="00260042" w:rsidRDefault="00260042" w:rsidP="00260042">
      <w:pPr>
        <w:pStyle w:val="BodyText"/>
      </w:pPr>
      <w:r>
        <w:t>The faculty is using a multi-disciplinary team approach to design, develop and deploy the agency’s high performance Empowering Excellence program across the agency. The program provides leaders with tools to find better ways of working and adopt high performance habits that place customer needs at the centre of everything we do.</w:t>
      </w:r>
    </w:p>
    <w:p w:rsidR="00260042" w:rsidRDefault="00260042" w:rsidP="00260042">
      <w:pPr>
        <w:pStyle w:val="BodyText"/>
      </w:pPr>
      <w:r>
        <w:t xml:space="preserve">The faculty is an integral support mechanism for the agency </w:t>
      </w:r>
      <w:proofErr w:type="gramStart"/>
      <w:r>
        <w:t>to effectively respond</w:t>
      </w:r>
      <w:proofErr w:type="gramEnd"/>
      <w:r>
        <w:t xml:space="preserve"> to the needs of our community during emergencies. The rapid development of learning products for diverse surge workforces has become a core part of the faculty’s work. </w:t>
      </w:r>
    </w:p>
    <w:p w:rsidR="00260042" w:rsidRDefault="00260042" w:rsidP="00260042">
      <w:pPr>
        <w:pStyle w:val="BodyText"/>
      </w:pPr>
      <w:r>
        <w:t>During the year, the faculty developed training packages (both self-paced and virtually facilitated) that covered systems, telephony, customer service skills and policy requirements for a workforce that included internal redeployees as well as our APS colleagues from departments and other agencies, including the ATO, the Department of Social Services, and the Department of Foreign Affairs and Trade.</w:t>
      </w:r>
    </w:p>
    <w:p w:rsidR="00260042" w:rsidRDefault="00260042" w:rsidP="00C81689">
      <w:pPr>
        <w:pStyle w:val="Heading2"/>
      </w:pPr>
      <w:r>
        <w:t xml:space="preserve">Leadership programs and talent management </w:t>
      </w:r>
    </w:p>
    <w:p w:rsidR="00260042" w:rsidRDefault="00260042" w:rsidP="00260042">
      <w:pPr>
        <w:pStyle w:val="BodyText"/>
      </w:pPr>
      <w:r>
        <w:rPr>
          <w:rStyle w:val="Bold"/>
        </w:rPr>
        <w:t>Leadership Unlimited</w:t>
      </w:r>
      <w:r>
        <w:t xml:space="preserve"> – is a talent and leadership development program targeted to high performing and high potential Executive Level 2, SES Band 1 and SES Band 2 staff. In 2020–21, 59 participants completed the program across </w:t>
      </w:r>
      <w:proofErr w:type="gramStart"/>
      <w:r>
        <w:t>4</w:t>
      </w:r>
      <w:proofErr w:type="gramEnd"/>
      <w:r>
        <w:t xml:space="preserve"> cohorts, with 21 currently undertaking the program. </w:t>
      </w:r>
    </w:p>
    <w:p w:rsidR="00260042" w:rsidRDefault="00260042" w:rsidP="00260042">
      <w:pPr>
        <w:pStyle w:val="BodyText"/>
      </w:pPr>
      <w:r>
        <w:t xml:space="preserve">The </w:t>
      </w:r>
      <w:r>
        <w:rPr>
          <w:rStyle w:val="Bold"/>
        </w:rPr>
        <w:t>Aspiring Program</w:t>
      </w:r>
      <w:r>
        <w:t xml:space="preserve"> – is a talent and leadership development program for high performing and high potential Aboriginal and Torres Strait Islander staff at the APS5, APS6 and Executive Level 1 classifications. Twenty participants have completed Aspiring and </w:t>
      </w:r>
      <w:proofErr w:type="gramStart"/>
      <w:r>
        <w:t>37 participants have commenced the program and are due to complete it in December 2021</w:t>
      </w:r>
      <w:proofErr w:type="gramEnd"/>
      <w:r>
        <w:t xml:space="preserve">. </w:t>
      </w:r>
    </w:p>
    <w:p w:rsidR="00260042" w:rsidRDefault="00260042" w:rsidP="00260042">
      <w:pPr>
        <w:pStyle w:val="BodyText"/>
      </w:pPr>
      <w:r>
        <w:rPr>
          <w:rStyle w:val="Bold"/>
        </w:rPr>
        <w:t>Enterprise Leadership Programs</w:t>
      </w:r>
      <w:r>
        <w:t xml:space="preserve"> – aim to help strengthen the resilience and leadership qualities of more than 5,000 managers and supervisors across the agency. </w:t>
      </w:r>
    </w:p>
    <w:p w:rsidR="00260042" w:rsidRDefault="00260042" w:rsidP="00260042">
      <w:pPr>
        <w:pStyle w:val="BodyText"/>
        <w:spacing w:after="57"/>
      </w:pPr>
      <w:r>
        <w:lastRenderedPageBreak/>
        <w:t>The programs are:</w:t>
      </w:r>
    </w:p>
    <w:p w:rsidR="00260042" w:rsidRDefault="00260042" w:rsidP="008930A3">
      <w:pPr>
        <w:pStyle w:val="ListBullet"/>
      </w:pPr>
      <w:r>
        <w:t xml:space="preserve">the </w:t>
      </w:r>
      <w:r>
        <w:rPr>
          <w:rStyle w:val="Bold"/>
        </w:rPr>
        <w:t>Learn2Lead</w:t>
      </w:r>
      <w:r>
        <w:t xml:space="preserve"> (for APS5 and 6 level staff) and the </w:t>
      </w:r>
      <w:r>
        <w:rPr>
          <w:rStyle w:val="Bold"/>
        </w:rPr>
        <w:t>Lead2Inspire</w:t>
      </w:r>
      <w:r>
        <w:t xml:space="preserve"> (for Executive Level 1 staff) programs, each providing 6 days of leadership training spread over 9 months</w:t>
      </w:r>
    </w:p>
    <w:p w:rsidR="00260042" w:rsidRDefault="00260042" w:rsidP="00EA5510">
      <w:pPr>
        <w:pStyle w:val="ListBullet"/>
      </w:pPr>
      <w:r>
        <w:rPr>
          <w:rStyle w:val="Bold"/>
        </w:rPr>
        <w:t>Exceed</w:t>
      </w:r>
      <w:r>
        <w:t xml:space="preserve"> (for Executive Level 2 staff) </w:t>
      </w:r>
      <w:proofErr w:type="gramStart"/>
      <w:r>
        <w:t>is a 3-day leadership program held</w:t>
      </w:r>
      <w:proofErr w:type="gramEnd"/>
      <w:r>
        <w:t xml:space="preserve"> each year.</w:t>
      </w:r>
    </w:p>
    <w:p w:rsidR="00260042" w:rsidRDefault="00260042" w:rsidP="00260042">
      <w:pPr>
        <w:pStyle w:val="BodyText"/>
      </w:pPr>
      <w:r>
        <w:t xml:space="preserve">The programs </w:t>
      </w:r>
      <w:proofErr w:type="gramStart"/>
      <w:r>
        <w:t>were suspended in March 2020 due to the COVID-19 pandemic and resumed in a virtual format in June 2020</w:t>
      </w:r>
      <w:proofErr w:type="gramEnd"/>
      <w:r>
        <w:t>. The pause reduced the number of staff participating in the programs, with 547 staff participating overall in 2020–21, compared to 899 staff in 2019–20.</w:t>
      </w:r>
    </w:p>
    <w:p w:rsidR="00260042" w:rsidRDefault="00260042" w:rsidP="00260042">
      <w:pPr>
        <w:pStyle w:val="BodyText"/>
      </w:pPr>
      <w:r>
        <w:rPr>
          <w:rStyle w:val="Bold"/>
        </w:rPr>
        <w:t>The Public Sector Management Program</w:t>
      </w:r>
      <w:r>
        <w:t xml:space="preserve"> – provides formal education opportunities through participation in a post-graduate </w:t>
      </w:r>
      <w:proofErr w:type="gramStart"/>
      <w:r>
        <w:t>course which</w:t>
      </w:r>
      <w:proofErr w:type="gramEnd"/>
      <w:r>
        <w:t xml:space="preserve"> provides individuals with a Graduate Certificate in Business (Public Sector Management). In 2020–21, 45 agency managers </w:t>
      </w:r>
      <w:proofErr w:type="gramStart"/>
      <w:r>
        <w:t>were accepted</w:t>
      </w:r>
      <w:proofErr w:type="gramEnd"/>
      <w:r>
        <w:t xml:space="preserve"> into the program. </w:t>
      </w:r>
    </w:p>
    <w:p w:rsidR="00260042" w:rsidRDefault="00260042" w:rsidP="00260042">
      <w:pPr>
        <w:pStyle w:val="BodyText"/>
        <w:spacing w:after="57"/>
      </w:pPr>
      <w:r>
        <w:rPr>
          <w:rStyle w:val="Bold"/>
        </w:rPr>
        <w:t>Leadership and development of Aboriginal and Torres Strait Islander staff</w:t>
      </w:r>
      <w:r>
        <w:t xml:space="preserve"> – Services Australia offers a range of cultural and career development opportunities to support the leadership and development of Aboriginal and Torres Strait Islander staff. During the year:</w:t>
      </w:r>
    </w:p>
    <w:p w:rsidR="00260042" w:rsidRDefault="00260042" w:rsidP="008930A3">
      <w:pPr>
        <w:pStyle w:val="ListBullet"/>
      </w:pPr>
      <w:r>
        <w:t>9 Indigenous employees graduated from the Australian Graduate School of Management Executive Leadership program and 4 employees commenced the program</w:t>
      </w:r>
    </w:p>
    <w:p w:rsidR="00260042" w:rsidRDefault="00260042" w:rsidP="008930A3">
      <w:pPr>
        <w:pStyle w:val="ListBullet"/>
      </w:pPr>
      <w:r>
        <w:t>6 Indigenous staff participated in the Coolamon Advisors’ Talent Management program for APS levels 5 and 6</w:t>
      </w:r>
    </w:p>
    <w:p w:rsidR="00260042" w:rsidRDefault="00260042" w:rsidP="008930A3">
      <w:pPr>
        <w:pStyle w:val="ListBullet"/>
      </w:pPr>
      <w:r>
        <w:t xml:space="preserve">2 Indigenous scholars were supported with their first undergraduate degree through the Australian Government Indigenous Scholarship Program </w:t>
      </w:r>
    </w:p>
    <w:p w:rsidR="00260042" w:rsidRDefault="00260042" w:rsidP="008930A3">
      <w:pPr>
        <w:pStyle w:val="ListBullet"/>
      </w:pPr>
      <w:r>
        <w:t>4 Indigenous staff were supported to undertake Pat Turner Scholarships</w:t>
      </w:r>
    </w:p>
    <w:p w:rsidR="00260042" w:rsidRDefault="00260042" w:rsidP="00EA5510">
      <w:pPr>
        <w:pStyle w:val="ListBullet"/>
      </w:pPr>
      <w:proofErr w:type="gramStart"/>
      <w:r>
        <w:t>60</w:t>
      </w:r>
      <w:proofErr w:type="gramEnd"/>
      <w:r>
        <w:t xml:space="preserve"> Indigenous staff were supported to undertake the agency’s new Aspiring Indigenous Leadership program.</w:t>
      </w:r>
    </w:p>
    <w:p w:rsidR="00260042" w:rsidRDefault="00260042" w:rsidP="00C81689">
      <w:pPr>
        <w:pStyle w:val="Heading2"/>
      </w:pPr>
      <w:r>
        <w:t xml:space="preserve">Digital learning </w:t>
      </w:r>
    </w:p>
    <w:p w:rsidR="00260042" w:rsidRDefault="00260042" w:rsidP="00260042">
      <w:pPr>
        <w:pStyle w:val="BodyText"/>
        <w:spacing w:after="57"/>
      </w:pPr>
      <w:r>
        <w:t>Services Australia continues to prioritise awareness of digital technologies for learning. A growing proportion of staff are engaging with technology to increase their capability in the workplace, and support the agency’s digital transformation. In 2020–21, the agency:</w:t>
      </w:r>
    </w:p>
    <w:p w:rsidR="00260042" w:rsidRDefault="00260042" w:rsidP="008930A3">
      <w:pPr>
        <w:pStyle w:val="ListBullet"/>
      </w:pPr>
      <w:r>
        <w:t xml:space="preserve">used virtual learning extensively during the COVID-19 pandemic response to train new staff quickly in customer service delivery functions </w:t>
      </w:r>
    </w:p>
    <w:p w:rsidR="00260042" w:rsidRDefault="00260042" w:rsidP="008930A3">
      <w:pPr>
        <w:pStyle w:val="ListBullet"/>
      </w:pPr>
      <w:r>
        <w:t xml:space="preserve">offered a variety of learning programs that use virtual meeting technology </w:t>
      </w:r>
    </w:p>
    <w:p w:rsidR="00260042" w:rsidRDefault="00260042" w:rsidP="008930A3">
      <w:pPr>
        <w:pStyle w:val="ListBullet"/>
      </w:pPr>
      <w:r>
        <w:t xml:space="preserve">focused on building staff awareness of digital learning </w:t>
      </w:r>
    </w:p>
    <w:p w:rsidR="00260042" w:rsidRDefault="00260042" w:rsidP="008930A3">
      <w:pPr>
        <w:pStyle w:val="ListBullet"/>
      </w:pPr>
      <w:r>
        <w:t xml:space="preserve">launched a self-service learning intranet site </w:t>
      </w:r>
    </w:p>
    <w:p w:rsidR="00260042" w:rsidRDefault="00260042" w:rsidP="00EA5510">
      <w:pPr>
        <w:pStyle w:val="ListBullet"/>
      </w:pPr>
      <w:proofErr w:type="gramStart"/>
      <w:r>
        <w:t>introduced</w:t>
      </w:r>
      <w:proofErr w:type="gramEnd"/>
      <w:r>
        <w:t xml:space="preserve"> a mobile device application which enables staff to access a wide range of learning products at any time.</w:t>
      </w:r>
    </w:p>
    <w:p w:rsidR="00260042" w:rsidRDefault="00260042" w:rsidP="00BC1153">
      <w:pPr>
        <w:pStyle w:val="Heading1"/>
      </w:pPr>
      <w:r>
        <w:t>9.6 Recruitment and redeployment</w:t>
      </w:r>
    </w:p>
    <w:p w:rsidR="00260042" w:rsidRDefault="00260042" w:rsidP="008474A9">
      <w:pPr>
        <w:pStyle w:val="BodyText"/>
      </w:pPr>
      <w:r>
        <w:t xml:space="preserve">Through the Job Placement Scheme, Services Australia is committed to retaining and redeploying staff whose roles </w:t>
      </w:r>
      <w:proofErr w:type="gramStart"/>
      <w:r>
        <w:t>may be affected</w:t>
      </w:r>
      <w:proofErr w:type="gramEnd"/>
      <w:r>
        <w:t xml:space="preserve"> by organisational change. The scheme aims to ensure that the agency retains valuable skills, experience and capabilities.</w:t>
      </w:r>
    </w:p>
    <w:p w:rsidR="00260042" w:rsidRDefault="00260042" w:rsidP="00260042">
      <w:pPr>
        <w:pStyle w:val="BodyText"/>
      </w:pPr>
      <w:r>
        <w:lastRenderedPageBreak/>
        <w:t>In 2020–21, the agency advertised approximately 370 vacancy notices in the APS employment gazette, generating approximately 55,500 applications. The agency also uses labour hire and other contractors to supplement the ongoing workforce as needed.</w:t>
      </w:r>
    </w:p>
    <w:p w:rsidR="00260042" w:rsidRDefault="00260042" w:rsidP="00C81689">
      <w:pPr>
        <w:pStyle w:val="Heading2"/>
      </w:pPr>
      <w:r>
        <w:t>Employment of Aboriginal and Torres Strait Islander peoples</w:t>
      </w:r>
    </w:p>
    <w:p w:rsidR="00260042" w:rsidRDefault="00260042" w:rsidP="00260042">
      <w:pPr>
        <w:pStyle w:val="BodyText"/>
      </w:pPr>
      <w:r>
        <w:t xml:space="preserve">At 30 June 2021, Services Australia had 1,897 Aboriginal and Torres Strait Islander staff self-identifying. This equates to 5.6% representation across the agency. </w:t>
      </w:r>
    </w:p>
    <w:p w:rsidR="00260042" w:rsidRDefault="00260042" w:rsidP="00260042">
      <w:pPr>
        <w:pStyle w:val="BodyText"/>
      </w:pPr>
      <w:r>
        <w:t xml:space="preserve">Under section 26 of the APS Commissioner’s Directions, government agencies can advertise employment opportunities restricted to Aboriginal and Torres Strait Islander applicants only. In 2020–21, the agency placed 192 Indigenous-only vacancy advertisements in the APS employment gazette. From these, 64 Indigenous people </w:t>
      </w:r>
      <w:proofErr w:type="gramStart"/>
      <w:r>
        <w:t>were recruited</w:t>
      </w:r>
      <w:proofErr w:type="gramEnd"/>
      <w:r>
        <w:t xml:space="preserve"> to the agency.</w:t>
      </w:r>
    </w:p>
    <w:p w:rsidR="00260042" w:rsidRDefault="00260042" w:rsidP="002E64CE">
      <w:pPr>
        <w:pStyle w:val="Heading3"/>
      </w:pPr>
      <w:r>
        <w:t xml:space="preserve">Indigenous graduates </w:t>
      </w:r>
    </w:p>
    <w:p w:rsidR="00260042" w:rsidRDefault="00260042" w:rsidP="00260042">
      <w:pPr>
        <w:pStyle w:val="BodyText"/>
      </w:pPr>
      <w:r>
        <w:t xml:space="preserve">In 2020–21, Services Australia </w:t>
      </w:r>
      <w:proofErr w:type="gramStart"/>
      <w:r>
        <w:t>partnered</w:t>
      </w:r>
      <w:proofErr w:type="gramEnd"/>
      <w:r>
        <w:t xml:space="preserve"> with the Australian Public Service Commission to source graduates through its Affirmative Measure – Indigenous provisions. Four Indigenous candidates </w:t>
      </w:r>
      <w:proofErr w:type="gramStart"/>
      <w:r>
        <w:t>were recruited</w:t>
      </w:r>
      <w:proofErr w:type="gramEnd"/>
      <w:r>
        <w:t xml:space="preserve"> into the National Graduate Program.</w:t>
      </w:r>
    </w:p>
    <w:p w:rsidR="00260042" w:rsidRDefault="00260042" w:rsidP="002E64CE">
      <w:pPr>
        <w:pStyle w:val="Heading3"/>
      </w:pPr>
      <w:r>
        <w:t xml:space="preserve">Indigenous Apprenticeships Program </w:t>
      </w:r>
    </w:p>
    <w:p w:rsidR="00260042" w:rsidRDefault="00260042" w:rsidP="00260042">
      <w:pPr>
        <w:pStyle w:val="BodyText"/>
      </w:pPr>
      <w:r>
        <w:t>The entry-level Indigenous Apprenticeships Program is a whole-of-government program designed to attract Aboriginal and Torres Strait Islander people into the APS. In 2020–21, 237 apprentices commenced with the agency under this program. Services Australia supported an additional 70 apprentices to commence across 16 partner agencies.</w:t>
      </w:r>
    </w:p>
    <w:p w:rsidR="00260042" w:rsidRDefault="00260042" w:rsidP="002E64CE">
      <w:pPr>
        <w:pStyle w:val="Heading3"/>
      </w:pPr>
      <w:r>
        <w:t>Supporting Aboriginal and Torres Strait Islander staff</w:t>
      </w:r>
    </w:p>
    <w:p w:rsidR="00260042" w:rsidRDefault="00260042" w:rsidP="00260042">
      <w:pPr>
        <w:pStyle w:val="BodyText"/>
        <w:spacing w:after="57"/>
      </w:pPr>
      <w:r>
        <w:t xml:space="preserve">During 2020–21, activities the agency undertook under its </w:t>
      </w:r>
      <w:r>
        <w:rPr>
          <w:rStyle w:val="Italic"/>
        </w:rPr>
        <w:t>Aboriginal and Torres Strait Islander Employees Strategy 2018–22</w:t>
      </w:r>
      <w:r>
        <w:t xml:space="preserve"> included:</w:t>
      </w:r>
    </w:p>
    <w:p w:rsidR="00260042" w:rsidRDefault="00260042" w:rsidP="008930A3">
      <w:pPr>
        <w:pStyle w:val="ListBullet"/>
      </w:pPr>
      <w:r>
        <w:t xml:space="preserve">continuing participation in the Indigenous Mentoring Program, Indigenous Employee Network meetings, and regional presence forums </w:t>
      </w:r>
    </w:p>
    <w:p w:rsidR="00260042" w:rsidRDefault="00260042" w:rsidP="008930A3">
      <w:pPr>
        <w:pStyle w:val="ListBullet"/>
      </w:pPr>
      <w:r>
        <w:t xml:space="preserve">7,621 staff accessing and completing Indigenous cultural awareness eLearning </w:t>
      </w:r>
      <w:proofErr w:type="gramStart"/>
      <w:r>
        <w:t>training,</w:t>
      </w:r>
      <w:proofErr w:type="gramEnd"/>
      <w:r>
        <w:t xml:space="preserve"> and 122 participating in second tier face-to-face training. Face-to-face delivery of Indigenous Cultural Awareness Training was impacted by the COVID-19 pandemic, with virtual delivery used where possible</w:t>
      </w:r>
    </w:p>
    <w:p w:rsidR="00260042" w:rsidRDefault="00260042" w:rsidP="008930A3">
      <w:pPr>
        <w:pStyle w:val="ListBullet"/>
      </w:pPr>
      <w:r>
        <w:t>appointing 4 internal Indigenous Champions who advocate for improved recruitment, retention and developmental outcomes for Aboriginal and Torres Strait Islander employees</w:t>
      </w:r>
    </w:p>
    <w:p w:rsidR="00260042" w:rsidRDefault="00260042" w:rsidP="008930A3">
      <w:pPr>
        <w:pStyle w:val="ListBullet"/>
      </w:pPr>
      <w:proofErr w:type="gramStart"/>
      <w:r>
        <w:t>developing</w:t>
      </w:r>
      <w:proofErr w:type="gramEnd"/>
      <w:r>
        <w:t xml:space="preserve"> and implementing an Aboriginal and Torres Strait Islander Employees Strategy governance model with quarterly reporting. The governance model ensures that progress against the strategy is managed effectively and routinely reported to accountable authorities</w:t>
      </w:r>
    </w:p>
    <w:p w:rsidR="00260042" w:rsidRDefault="00260042" w:rsidP="008930A3">
      <w:pPr>
        <w:pStyle w:val="ListBullet"/>
      </w:pPr>
      <w:r>
        <w:t>refreshing the eLearning cultural awareness package, which was launched in October 2020, and refreshing the Indigenous Cultural Awareness face-to-face training package, which was completed in April 2021</w:t>
      </w:r>
    </w:p>
    <w:p w:rsidR="00260042" w:rsidRDefault="00260042" w:rsidP="00EA5510">
      <w:pPr>
        <w:pStyle w:val="ListBullet"/>
      </w:pPr>
      <w:proofErr w:type="gramStart"/>
      <w:r>
        <w:t>designing</w:t>
      </w:r>
      <w:proofErr w:type="gramEnd"/>
      <w:r>
        <w:t xml:space="preserve"> and piloting a new Indigenous leadership program – Aspiring, which is available to Aboriginal and Torres Strait Islander staff at the APS5 to EL1 levels.</w:t>
      </w:r>
    </w:p>
    <w:p w:rsidR="00260042" w:rsidRDefault="00260042" w:rsidP="00C81689">
      <w:pPr>
        <w:pStyle w:val="Heading2"/>
      </w:pPr>
      <w:r>
        <w:lastRenderedPageBreak/>
        <w:t>National Graduate Program</w:t>
      </w:r>
    </w:p>
    <w:p w:rsidR="00260042" w:rsidRDefault="00260042" w:rsidP="00260042">
      <w:pPr>
        <w:pStyle w:val="BodyText"/>
      </w:pPr>
      <w:r>
        <w:t>The agency’s National Graduate Program offers both professional and generalist pathways to successful applicants. The January/February 2021 intake comprised 62 professional and 44 generalist pathway participants.</w:t>
      </w:r>
    </w:p>
    <w:p w:rsidR="00260042" w:rsidRDefault="00260042" w:rsidP="00C81689">
      <w:pPr>
        <w:pStyle w:val="Heading2"/>
      </w:pPr>
      <w:r>
        <w:t>Digital Apprenticeship and Digital Cadetship programs</w:t>
      </w:r>
    </w:p>
    <w:p w:rsidR="00260042" w:rsidRDefault="00260042" w:rsidP="00260042">
      <w:pPr>
        <w:pStyle w:val="BodyText"/>
      </w:pPr>
      <w:r>
        <w:t xml:space="preserve">The Digital Apprenticeship program offers a career for people finishing year 12 or looking for a career change. In 2020–21, 2 apprentices joined Services Australia. </w:t>
      </w:r>
    </w:p>
    <w:p w:rsidR="00260042" w:rsidRDefault="00260042" w:rsidP="00260042">
      <w:pPr>
        <w:pStyle w:val="BodyText"/>
      </w:pPr>
      <w:r>
        <w:t>The Digital Cadetship program gives cadets opportunities to gain on-the-job skills while still studying at university. In 2020–21, 4 cadets started in the agency.</w:t>
      </w:r>
    </w:p>
    <w:p w:rsidR="00260042" w:rsidRDefault="00260042" w:rsidP="00C81689">
      <w:pPr>
        <w:pStyle w:val="Heading2"/>
      </w:pPr>
      <w:r>
        <w:t>Career Starter Program</w:t>
      </w:r>
    </w:p>
    <w:p w:rsidR="00260042" w:rsidRDefault="00260042" w:rsidP="00260042">
      <w:pPr>
        <w:pStyle w:val="BodyText"/>
      </w:pPr>
      <w:r>
        <w:t xml:space="preserve">The Career Starter Program offers a career for people finishing year 12. In 2020–21, one </w:t>
      </w:r>
      <w:proofErr w:type="gramStart"/>
      <w:r>
        <w:t>entry level</w:t>
      </w:r>
      <w:proofErr w:type="gramEnd"/>
      <w:r>
        <w:t xml:space="preserve"> participant joined Services Australia through this initiative. </w:t>
      </w:r>
    </w:p>
    <w:p w:rsidR="00260042" w:rsidRDefault="00260042" w:rsidP="00BC1153">
      <w:pPr>
        <w:pStyle w:val="Heading1"/>
      </w:pPr>
      <w:r>
        <w:t>9.7 Diversity and inclusion</w:t>
      </w:r>
    </w:p>
    <w:p w:rsidR="00260042" w:rsidRDefault="00260042" w:rsidP="008474A9">
      <w:pPr>
        <w:pStyle w:val="BodyText"/>
      </w:pPr>
      <w:r>
        <w:t xml:space="preserve">Services Australia is committed to creating workplaces that are accessible and inclusive for all staff. In 2020–21, the agency continued to implement the </w:t>
      </w:r>
      <w:r>
        <w:rPr>
          <w:rStyle w:val="Italic"/>
        </w:rPr>
        <w:t>Workplace Inclusion and Diversity Strategy 2019–23</w:t>
      </w:r>
      <w:r>
        <w:t xml:space="preserve">. </w:t>
      </w:r>
    </w:p>
    <w:p w:rsidR="00260042" w:rsidRDefault="00260042" w:rsidP="00260042">
      <w:pPr>
        <w:pStyle w:val="BodyText"/>
      </w:pPr>
      <w:r>
        <w:t xml:space="preserve">This strategy acknowledges the importance of diversity and inclusion in the agency, and sets out renewed commitments to positive employment experiences and outcomes for all staff. This includes people who identify from one or more diversity groups. </w:t>
      </w:r>
    </w:p>
    <w:p w:rsidR="00260042" w:rsidRDefault="00260042" w:rsidP="00C81689">
      <w:pPr>
        <w:pStyle w:val="Heading2"/>
      </w:pPr>
      <w:r>
        <w:t>Cultural and linguistic diversity</w:t>
      </w:r>
    </w:p>
    <w:p w:rsidR="00260042" w:rsidRDefault="00260042" w:rsidP="00260042">
      <w:pPr>
        <w:pStyle w:val="BodyText"/>
      </w:pPr>
      <w:r>
        <w:t xml:space="preserve">Services Australia recognises the value and importance of having a workforce that is CALD. At 30 June 2021, 24.9% of the APS workforce identified as CALD. </w:t>
      </w:r>
    </w:p>
    <w:p w:rsidR="00260042" w:rsidRDefault="00260042" w:rsidP="00260042">
      <w:pPr>
        <w:pStyle w:val="BodyText"/>
      </w:pPr>
      <w:r>
        <w:t xml:space="preserve">The agency provides multicultural awareness training for staff. In 2020–21, over 16,920 staff received training, compared with 10,750 staff in 2019–20. Training transitioned to virtual delivery in September 2020 </w:t>
      </w:r>
      <w:proofErr w:type="gramStart"/>
      <w:r>
        <w:t>as a result</w:t>
      </w:r>
      <w:proofErr w:type="gramEnd"/>
      <w:r>
        <w:t xml:space="preserve"> of COVID-19. The agency also recognised events of significance such as Harmony Day and Refugee Week. </w:t>
      </w:r>
    </w:p>
    <w:p w:rsidR="00260042" w:rsidRDefault="00260042" w:rsidP="00260042">
      <w:pPr>
        <w:pStyle w:val="BodyText"/>
      </w:pPr>
      <w:r>
        <w:t xml:space="preserve">Services Australia pays a Community Language Allowance to staff in line with the </w:t>
      </w:r>
      <w:r>
        <w:rPr>
          <w:rStyle w:val="Italic"/>
        </w:rPr>
        <w:t>Department of Human Services Enterprise Agreement 2017–2020</w:t>
      </w:r>
      <w:r>
        <w:t xml:space="preserve"> – see </w:t>
      </w:r>
      <w:r>
        <w:rPr>
          <w:rStyle w:val="Italic"/>
        </w:rPr>
        <w:t>Language services</w:t>
      </w:r>
      <w:r>
        <w:t xml:space="preserve"> on page 74.</w:t>
      </w:r>
    </w:p>
    <w:p w:rsidR="00260042" w:rsidRDefault="00260042" w:rsidP="00C81689">
      <w:pPr>
        <w:pStyle w:val="Heading2"/>
      </w:pPr>
      <w:r>
        <w:t>Employment of people with disability</w:t>
      </w:r>
    </w:p>
    <w:p w:rsidR="00260042" w:rsidRDefault="00260042" w:rsidP="00260042">
      <w:pPr>
        <w:pStyle w:val="BodyText"/>
      </w:pPr>
      <w:r>
        <w:t xml:space="preserve">During 2020–21, Services Australia continued its commitment to disability inclusion through the implementation of the </w:t>
      </w:r>
      <w:r>
        <w:rPr>
          <w:rStyle w:val="Italic"/>
        </w:rPr>
        <w:t>Workplace Inclusion and Diversity Strategy 2019–23</w:t>
      </w:r>
      <w:r>
        <w:t xml:space="preserve"> and</w:t>
      </w:r>
      <w:r>
        <w:rPr>
          <w:rStyle w:val="Italic"/>
        </w:rPr>
        <w:t xml:space="preserve"> Inclusion Action Plan 2021</w:t>
      </w:r>
      <w:r>
        <w:t xml:space="preserve">. </w:t>
      </w:r>
    </w:p>
    <w:p w:rsidR="00260042" w:rsidRDefault="00260042" w:rsidP="00260042">
      <w:pPr>
        <w:pStyle w:val="BodyText"/>
      </w:pPr>
      <w:r>
        <w:lastRenderedPageBreak/>
        <w:t xml:space="preserve">The strategy and plan outline recruitment and retention strategies for attracting, supporting and retaining people with disability. In 2020–21, the agency continued to deliver a disability employment pathway for university students with disability through our National Graduate Program and bulk affirmative measures – disability recruitment for Executive Level 1 and 2 positions. Through a contract arrangement with </w:t>
      </w:r>
      <w:proofErr w:type="spellStart"/>
      <w:r>
        <w:t>Koomarri</w:t>
      </w:r>
      <w:proofErr w:type="spellEnd"/>
      <w:r>
        <w:t xml:space="preserve">, the agency also supports employment of people with intellectual disability who work in administrative and office support services. </w:t>
      </w:r>
    </w:p>
    <w:p w:rsidR="00260042" w:rsidRDefault="00260042" w:rsidP="002E64CE">
      <w:pPr>
        <w:pStyle w:val="Heading3"/>
      </w:pPr>
      <w:r>
        <w:t>Employment of people on the autism spectrum</w:t>
      </w:r>
    </w:p>
    <w:p w:rsidR="00260042" w:rsidRDefault="00260042" w:rsidP="00260042">
      <w:pPr>
        <w:pStyle w:val="BodyText"/>
      </w:pPr>
      <w:r>
        <w:t xml:space="preserve">In 2020–21, Services Australia continued its commitment to providing employment opportunities for people on the autism spectrum. An additional 10 people were engaged in 3-year ICT traineeships through the Dandelion and Autism Talent Hub programs. Under these </w:t>
      </w:r>
      <w:proofErr w:type="gramStart"/>
      <w:r>
        <w:t>programs</w:t>
      </w:r>
      <w:proofErr w:type="gramEnd"/>
      <w:r>
        <w:t xml:space="preserve"> the agency has created 51 employment opportunities since 2015. </w:t>
      </w:r>
    </w:p>
    <w:p w:rsidR="00260042" w:rsidRDefault="00260042" w:rsidP="00260042">
      <w:pPr>
        <w:pStyle w:val="BodyText"/>
        <w:keepLines/>
      </w:pPr>
      <w:r>
        <w:t xml:space="preserve">Another </w:t>
      </w:r>
      <w:proofErr w:type="gramStart"/>
      <w:r>
        <w:t>9</w:t>
      </w:r>
      <w:proofErr w:type="gramEnd"/>
      <w:r>
        <w:t xml:space="preserve"> people were retained in specialist fraud and compliance roles during 2020–21 as part of the Aurora Neurodiversity Program, an initiative developed in partnership with </w:t>
      </w:r>
      <w:proofErr w:type="spellStart"/>
      <w:r>
        <w:t>Specialisterne</w:t>
      </w:r>
      <w:proofErr w:type="spellEnd"/>
      <w:r>
        <w:t xml:space="preserve"> Australia – a specialist provider in employment of people with autism. </w:t>
      </w:r>
    </w:p>
    <w:p w:rsidR="00260042" w:rsidRDefault="00260042" w:rsidP="002E64CE">
      <w:pPr>
        <w:pStyle w:val="Heading3"/>
      </w:pPr>
      <w:r>
        <w:t>Workplace accessibility</w:t>
      </w:r>
    </w:p>
    <w:p w:rsidR="00260042" w:rsidRDefault="00260042" w:rsidP="00260042">
      <w:pPr>
        <w:pStyle w:val="BodyText"/>
      </w:pPr>
      <w:r>
        <w:t xml:space="preserve">In 2020–21, Services Australia provided support, training and advice to approximately 1,000 staff with disability who use assistive technology software and implemented a new program designed to assist staff who wear hearing aids or have Cochlear implants. The agency also maintained an accessibility service </w:t>
      </w:r>
      <w:proofErr w:type="gramStart"/>
      <w:r>
        <w:t>desk which</w:t>
      </w:r>
      <w:proofErr w:type="gramEnd"/>
      <w:r>
        <w:t xml:space="preserve"> aims to remove barriers to workplace participation for employees with accessibility requirements. </w:t>
      </w:r>
    </w:p>
    <w:p w:rsidR="00260042" w:rsidRDefault="00260042" w:rsidP="00260042">
      <w:pPr>
        <w:pStyle w:val="BodyText"/>
        <w:spacing w:after="57"/>
      </w:pPr>
      <w:r>
        <w:t>During the year, Services Australia continued to deliver accessibility support shared services to the:</w:t>
      </w:r>
    </w:p>
    <w:p w:rsidR="00260042" w:rsidRDefault="00260042" w:rsidP="008930A3">
      <w:pPr>
        <w:pStyle w:val="ListBullet"/>
      </w:pPr>
      <w:r>
        <w:t xml:space="preserve">Department of Social Services </w:t>
      </w:r>
    </w:p>
    <w:p w:rsidR="00260042" w:rsidRDefault="00260042" w:rsidP="008930A3">
      <w:pPr>
        <w:pStyle w:val="ListBullet"/>
      </w:pPr>
      <w:r>
        <w:t xml:space="preserve">National Disability Insurance Agency </w:t>
      </w:r>
    </w:p>
    <w:p w:rsidR="00260042" w:rsidRDefault="00260042" w:rsidP="008930A3">
      <w:pPr>
        <w:pStyle w:val="ListBullet"/>
      </w:pPr>
      <w:r>
        <w:t xml:space="preserve">Australian Taxation Office </w:t>
      </w:r>
    </w:p>
    <w:p w:rsidR="00260042" w:rsidRDefault="00260042" w:rsidP="008930A3">
      <w:pPr>
        <w:pStyle w:val="ListBullet"/>
      </w:pPr>
      <w:r>
        <w:t xml:space="preserve">Department of Veterans’ Affairs </w:t>
      </w:r>
    </w:p>
    <w:p w:rsidR="00260042" w:rsidRDefault="00260042" w:rsidP="00EA5510">
      <w:pPr>
        <w:pStyle w:val="ListBullet"/>
      </w:pPr>
      <w:r>
        <w:t xml:space="preserve">NDIS Quality and Safeguards Commission. </w:t>
      </w:r>
    </w:p>
    <w:p w:rsidR="00260042" w:rsidRDefault="00260042" w:rsidP="002E64CE">
      <w:pPr>
        <w:pStyle w:val="Heading3"/>
      </w:pPr>
      <w:r>
        <w:t>Other diversity initiatives</w:t>
      </w:r>
    </w:p>
    <w:p w:rsidR="00260042" w:rsidRDefault="00260042" w:rsidP="00260042">
      <w:pPr>
        <w:pStyle w:val="BodyText"/>
        <w:spacing w:after="57"/>
      </w:pPr>
      <w:r>
        <w:t xml:space="preserve">Other initiatives to promote workplace diversity in 2020–21 included: </w:t>
      </w:r>
    </w:p>
    <w:p w:rsidR="00260042" w:rsidRDefault="00260042" w:rsidP="008930A3">
      <w:pPr>
        <w:pStyle w:val="ListBullet"/>
      </w:pPr>
      <w:r>
        <w:t xml:space="preserve">participating in the 2020 Australian Workplace Equality Index (AWEI), where Services Australia achieved Gold Employer status </w:t>
      </w:r>
    </w:p>
    <w:p w:rsidR="00260042" w:rsidRDefault="00260042" w:rsidP="008930A3">
      <w:pPr>
        <w:pStyle w:val="ListBullet"/>
      </w:pPr>
      <w:r>
        <w:t>attracting almost 5,000 responses to the AWEI staff survey</w:t>
      </w:r>
    </w:p>
    <w:p w:rsidR="00260042" w:rsidRDefault="00260042" w:rsidP="008930A3">
      <w:pPr>
        <w:pStyle w:val="ListBullet"/>
      </w:pPr>
      <w:r>
        <w:t>updating our parental leave policy so that it applies to staff who are sexuality and gender diverse and their families</w:t>
      </w:r>
    </w:p>
    <w:p w:rsidR="00260042" w:rsidRDefault="00260042" w:rsidP="008930A3">
      <w:pPr>
        <w:pStyle w:val="ListBullet"/>
      </w:pPr>
      <w:r>
        <w:t xml:space="preserve">improving the recruitment process for transgender and gender diverse staff by adding the non-binary title </w:t>
      </w:r>
      <w:proofErr w:type="spellStart"/>
      <w:r>
        <w:t>Mx</w:t>
      </w:r>
      <w:proofErr w:type="spellEnd"/>
      <w:r>
        <w:t xml:space="preserve"> in the recruitment form and adding new content to address the common concerns of transgender and diverse job applicants</w:t>
      </w:r>
    </w:p>
    <w:p w:rsidR="00260042" w:rsidRDefault="00260042" w:rsidP="008930A3">
      <w:pPr>
        <w:pStyle w:val="ListBullet"/>
      </w:pPr>
      <w:r>
        <w:t>implementing a forum to connect the LGBTI+ Senior Executive Ally with LGBTI+ staff</w:t>
      </w:r>
    </w:p>
    <w:p w:rsidR="00260042" w:rsidRDefault="00260042" w:rsidP="008930A3">
      <w:pPr>
        <w:pStyle w:val="ListBullet"/>
      </w:pPr>
      <w:r>
        <w:lastRenderedPageBreak/>
        <w:t>updating the Supporting gender diversity and affirmation guide in consultation with transgender and diverse staff</w:t>
      </w:r>
    </w:p>
    <w:p w:rsidR="00260042" w:rsidRDefault="00260042" w:rsidP="008930A3">
      <w:pPr>
        <w:pStyle w:val="ListBullet"/>
      </w:pPr>
      <w:proofErr w:type="gramStart"/>
      <w:r>
        <w:t>conducting</w:t>
      </w:r>
      <w:proofErr w:type="gramEnd"/>
      <w:r>
        <w:t xml:space="preserve"> bulk recruitment for executive level positions. Using affirmative measures provisions under sections 26 and 27 of the APS Commissioner’s Directions 2016, the positions were open only to people with disability and Aboriginal and Torres Strait Islander people </w:t>
      </w:r>
    </w:p>
    <w:p w:rsidR="00260042" w:rsidRDefault="00260042" w:rsidP="00EA5510">
      <w:pPr>
        <w:pStyle w:val="ListBullet"/>
      </w:pPr>
      <w:r>
        <w:t>introducing an Inclusive Behaviour Model for all staff and managers, and hosting 5 diversity networks to share information and to support Indigenous staff, staff with disability, mature age staff, staff with CALD backgrounds, and LGBTI+ staff.</w:t>
      </w:r>
    </w:p>
    <w:p w:rsidR="00260042" w:rsidRDefault="00260042" w:rsidP="002E64CE">
      <w:pPr>
        <w:pStyle w:val="Heading3"/>
      </w:pPr>
      <w:r>
        <w:t>Carer Recognition Act 2010 report</w:t>
      </w:r>
    </w:p>
    <w:p w:rsidR="00260042" w:rsidRDefault="00260042" w:rsidP="00260042">
      <w:pPr>
        <w:pStyle w:val="BodyText"/>
        <w:spacing w:after="57"/>
      </w:pPr>
      <w:r>
        <w:t xml:space="preserve">Services Australia complies with its obligations under the </w:t>
      </w:r>
      <w:r>
        <w:rPr>
          <w:rStyle w:val="Italic"/>
        </w:rPr>
        <w:t>Carer Recognition Act 2010</w:t>
      </w:r>
      <w:r>
        <w:t xml:space="preserve"> and adheres to the principles of the Statement for Australia’s Carers. Internal human resources policies take account of the Statement for Australia’s Carers in areas that may significantly affect an employee’s caring role. The agency supports staff with caring responsibilities through: </w:t>
      </w:r>
    </w:p>
    <w:p w:rsidR="00260042" w:rsidRDefault="00260042" w:rsidP="008930A3">
      <w:pPr>
        <w:pStyle w:val="ListBullet"/>
      </w:pPr>
      <w:r>
        <w:t>flexible working arrangements</w:t>
      </w:r>
    </w:p>
    <w:p w:rsidR="00260042" w:rsidRDefault="00260042" w:rsidP="008930A3">
      <w:pPr>
        <w:pStyle w:val="ListBullet"/>
      </w:pPr>
      <w:r>
        <w:t xml:space="preserve">part-time work </w:t>
      </w:r>
    </w:p>
    <w:p w:rsidR="00260042" w:rsidRDefault="00260042" w:rsidP="008930A3">
      <w:pPr>
        <w:pStyle w:val="ListBullet"/>
      </w:pPr>
      <w:r>
        <w:t>home-based work</w:t>
      </w:r>
    </w:p>
    <w:p w:rsidR="00260042" w:rsidRDefault="00260042" w:rsidP="008930A3">
      <w:pPr>
        <w:pStyle w:val="ListBullet"/>
      </w:pPr>
      <w:r>
        <w:t xml:space="preserve">an elder care advisory service </w:t>
      </w:r>
    </w:p>
    <w:p w:rsidR="00260042" w:rsidRDefault="00260042" w:rsidP="00EA5510">
      <w:pPr>
        <w:pStyle w:val="ListBullet"/>
      </w:pPr>
      <w:proofErr w:type="gramStart"/>
      <w:r>
        <w:t>the</w:t>
      </w:r>
      <w:proofErr w:type="gramEnd"/>
      <w:r>
        <w:t xml:space="preserve"> agency’s Employee Assistance Program. </w:t>
      </w:r>
    </w:p>
    <w:p w:rsidR="00260042" w:rsidRDefault="00260042" w:rsidP="00260042">
      <w:pPr>
        <w:pStyle w:val="BodyText"/>
      </w:pPr>
      <w:r>
        <w:t xml:space="preserve">We also work with partner agencies to ensure that carer policies and service delivery align with the statement and the </w:t>
      </w:r>
      <w:proofErr w:type="gramStart"/>
      <w:r>
        <w:t>6</w:t>
      </w:r>
      <w:proofErr w:type="gramEnd"/>
      <w:r>
        <w:t xml:space="preserve"> priority areas identified in the </w:t>
      </w:r>
      <w:r>
        <w:rPr>
          <w:rStyle w:val="Italic"/>
        </w:rPr>
        <w:t>Australian Government’s National Carer Strategy Action Plan (2011–2014)</w:t>
      </w:r>
      <w:r>
        <w:t>.</w:t>
      </w:r>
    </w:p>
    <w:p w:rsidR="00260042" w:rsidRDefault="00260042" w:rsidP="00BC1153">
      <w:pPr>
        <w:pStyle w:val="Heading1"/>
      </w:pPr>
      <w:r>
        <w:t>10 Financial performance</w:t>
      </w:r>
    </w:p>
    <w:p w:rsidR="00260042" w:rsidRDefault="00260042" w:rsidP="00C81689">
      <w:pPr>
        <w:pStyle w:val="Heading2"/>
      </w:pPr>
      <w:r>
        <w:t>10.1 Report on financial performance</w:t>
      </w:r>
    </w:p>
    <w:p w:rsidR="00260042" w:rsidRDefault="00260042" w:rsidP="008474A9">
      <w:pPr>
        <w:pStyle w:val="BodyText"/>
      </w:pPr>
      <w:r>
        <w:t xml:space="preserve"> In 2020–21, Services Australia made social services and welfare, and health payments of approximately $230.1 billion.</w:t>
      </w:r>
    </w:p>
    <w:p w:rsidR="00260042" w:rsidRDefault="00260042" w:rsidP="00260042">
      <w:pPr>
        <w:pStyle w:val="BodyText"/>
      </w:pPr>
      <w:r>
        <w:t>The Government supplemented the agency with around $5.6 billion in departmental operating and capital funding, in order to undertake these payments and provide other customer services. The agency also received around $0.2 billion in own source revenue for the provision of shared services and delivery of ICT projects.</w:t>
      </w:r>
    </w:p>
    <w:p w:rsidR="00260042" w:rsidRDefault="00260042" w:rsidP="00260042">
      <w:pPr>
        <w:pStyle w:val="BodyText"/>
      </w:pPr>
      <w:r>
        <w:t xml:space="preserve">The agency acts as the intermediary in the transfer of child support payments, which </w:t>
      </w:r>
      <w:proofErr w:type="gramStart"/>
      <w:r>
        <w:t>are collected from the paying parent and paid to the receiving parent</w:t>
      </w:r>
      <w:proofErr w:type="gramEnd"/>
      <w:r>
        <w:t>. During 2020–21, the child support revenue and expenses were $1.7 billion.</w:t>
      </w:r>
    </w:p>
    <w:p w:rsidR="00260042" w:rsidRDefault="00260042" w:rsidP="00260042">
      <w:pPr>
        <w:pStyle w:val="BodyText"/>
      </w:pPr>
      <w:r>
        <w:t xml:space="preserve">The agency’s total funding of $5.8 billion was utilised as detailed in the Figure 4 below. </w:t>
      </w:r>
    </w:p>
    <w:p w:rsidR="00260042" w:rsidRDefault="00260042" w:rsidP="003824D8">
      <w:pPr>
        <w:pStyle w:val="BodyText"/>
      </w:pPr>
      <w:r>
        <w:rPr>
          <w:rStyle w:val="Bold"/>
        </w:rPr>
        <w:t>Figure 4: 2020–21 Agency Funding Utilisation</w:t>
      </w:r>
    </w:p>
    <w:p w:rsidR="00260042" w:rsidRDefault="00260042" w:rsidP="00260042">
      <w:pPr>
        <w:pStyle w:val="BodyText"/>
      </w:pPr>
      <w:r>
        <w:lastRenderedPageBreak/>
        <w:t xml:space="preserve">The agency’s financial result was an operating surplus of $160.3 million. This result includes principal lease payments under accounting standard AASB 16 Leases and excludes non-cash items depreciation and amortisation. </w:t>
      </w:r>
    </w:p>
    <w:p w:rsidR="00260042" w:rsidRDefault="00260042" w:rsidP="00260042">
      <w:pPr>
        <w:pStyle w:val="BodyText"/>
      </w:pPr>
      <w:r>
        <w:t xml:space="preserve">The </w:t>
      </w:r>
      <w:proofErr w:type="gramStart"/>
      <w:r>
        <w:t>agency’s</w:t>
      </w:r>
      <w:proofErr w:type="gramEnd"/>
      <w:r>
        <w:t xml:space="preserve"> 2020–21 financial statements, including details of the significant drivers of change from budget and the previous year actuals, are set out on page </w:t>
      </w:r>
      <w:r w:rsidR="004E3486">
        <w:t>190</w:t>
      </w:r>
      <w:r>
        <w:t xml:space="preserve">. </w:t>
      </w:r>
    </w:p>
    <w:p w:rsidR="00260042" w:rsidRDefault="00260042" w:rsidP="00260042">
      <w:pPr>
        <w:pStyle w:val="BodyText"/>
      </w:pPr>
      <w:r>
        <w:t xml:space="preserve">Further information about the </w:t>
      </w:r>
      <w:proofErr w:type="gramStart"/>
      <w:r>
        <w:t>agency’s</w:t>
      </w:r>
      <w:proofErr w:type="gramEnd"/>
      <w:r>
        <w:t xml:space="preserve"> resourcing and expenses by outcomes, see </w:t>
      </w:r>
      <w:r>
        <w:rPr>
          <w:rStyle w:val="Italic"/>
        </w:rPr>
        <w:t>Appendix A: Entity resource statement and expenses by outcome</w:t>
      </w:r>
      <w:r>
        <w:t xml:space="preserve"> on page 228.</w:t>
      </w:r>
    </w:p>
    <w:p w:rsidR="00260042" w:rsidRDefault="00260042" w:rsidP="00C81689">
      <w:pPr>
        <w:pStyle w:val="Heading2"/>
      </w:pPr>
      <w:r>
        <w:t>10.2 Significant non-compliance</w:t>
      </w:r>
    </w:p>
    <w:p w:rsidR="00260042" w:rsidRDefault="00260042" w:rsidP="00260042">
      <w:pPr>
        <w:pStyle w:val="BodyText"/>
        <w:spacing w:after="567"/>
        <w:rPr>
          <w:spacing w:val="-1"/>
        </w:rPr>
      </w:pPr>
      <w:r>
        <w:rPr>
          <w:spacing w:val="-1"/>
        </w:rPr>
        <w:t>No matters of significant non-compliance with finance law were reported under section 19(1</w:t>
      </w:r>
      <w:proofErr w:type="gramStart"/>
      <w:r>
        <w:rPr>
          <w:spacing w:val="-1"/>
        </w:rPr>
        <w:t>)(</w:t>
      </w:r>
      <w:proofErr w:type="gramEnd"/>
      <w:r>
        <w:rPr>
          <w:spacing w:val="-1"/>
        </w:rPr>
        <w:t xml:space="preserve">e) of the </w:t>
      </w:r>
      <w:r>
        <w:rPr>
          <w:rStyle w:val="Italic"/>
          <w:spacing w:val="-1"/>
        </w:rPr>
        <w:t>Public Governance, Performance and Accountability Act 2013</w:t>
      </w:r>
      <w:r>
        <w:rPr>
          <w:spacing w:val="-1"/>
        </w:rPr>
        <w:t xml:space="preserve"> during the reporting period.</w:t>
      </w:r>
    </w:p>
    <w:p w:rsidR="00260042" w:rsidRDefault="00260042" w:rsidP="00C81689">
      <w:pPr>
        <w:pStyle w:val="Heading2"/>
      </w:pPr>
      <w:r>
        <w:t>10.3 Asset management</w:t>
      </w:r>
    </w:p>
    <w:p w:rsidR="00260042" w:rsidRDefault="00260042" w:rsidP="00260042">
      <w:pPr>
        <w:pStyle w:val="BodyText"/>
      </w:pPr>
      <w:r>
        <w:t>Services Australia manages its assets according to relevant accounting standards and Department of Finance requirements. The agency’s asset management policies and procedures cover whole-of-life asset management.</w:t>
      </w:r>
    </w:p>
    <w:p w:rsidR="00260042" w:rsidRDefault="00260042" w:rsidP="00260042">
      <w:pPr>
        <w:pStyle w:val="BodyText"/>
      </w:pPr>
      <w:r>
        <w:t>The agency’s asset base comprises software, leasehold improvements, data centre equipment and right-of-use assets associated with accounting standard AASB 16 Leases relating mainly to property leases.</w:t>
      </w:r>
    </w:p>
    <w:p w:rsidR="00260042" w:rsidRDefault="00260042" w:rsidP="00260042">
      <w:pPr>
        <w:pStyle w:val="BodyText"/>
      </w:pPr>
      <w:r>
        <w:t xml:space="preserve">Services Australia manages investment in its property portfolio through the property facilities maintenance and upgrade capital plan, to ensure its workplaces and service centres customer engagement areas </w:t>
      </w:r>
      <w:proofErr w:type="gramStart"/>
      <w:r>
        <w:t>are maintained</w:t>
      </w:r>
      <w:proofErr w:type="gramEnd"/>
      <w:r>
        <w:t xml:space="preserve"> at a suitable standard.</w:t>
      </w:r>
    </w:p>
    <w:p w:rsidR="00260042" w:rsidRDefault="00260042" w:rsidP="00260042">
      <w:pPr>
        <w:pStyle w:val="BodyText"/>
      </w:pPr>
      <w:r>
        <w:t>The agency manages investment in ICT software and hardware according to the ICT technology plan and roadmap, to ensure its ICT is sustained and capable of delivering for the agency and its customers.</w:t>
      </w:r>
    </w:p>
    <w:p w:rsidR="00260042" w:rsidRDefault="00260042" w:rsidP="00C81689">
      <w:pPr>
        <w:pStyle w:val="Heading2"/>
      </w:pPr>
      <w:r>
        <w:t>10.4 Independent Auditor’s report</w:t>
      </w:r>
    </w:p>
    <w:p w:rsidR="00260042" w:rsidRDefault="00260042" w:rsidP="00C81689">
      <w:pPr>
        <w:pStyle w:val="Heading2"/>
        <w:rPr>
          <w:sz w:val="26"/>
          <w:szCs w:val="26"/>
        </w:rPr>
      </w:pPr>
      <w:r>
        <w:t>10.5 Financial statements</w:t>
      </w:r>
    </w:p>
    <w:p w:rsidR="00260042" w:rsidRDefault="00260042" w:rsidP="00BC1153">
      <w:pPr>
        <w:pStyle w:val="Heading1"/>
      </w:pPr>
      <w:r>
        <w:t>11 Appendices</w:t>
      </w:r>
    </w:p>
    <w:p w:rsidR="00260042" w:rsidRDefault="00260042" w:rsidP="00C81689">
      <w:pPr>
        <w:pStyle w:val="Heading2"/>
      </w:pPr>
      <w:r>
        <w:t>Appendix A: Services Australia resource statements and expenses for outcomes</w:t>
      </w:r>
    </w:p>
    <w:p w:rsidR="00260042" w:rsidRDefault="00260042" w:rsidP="00260042">
      <w:pPr>
        <w:pStyle w:val="BodyText"/>
      </w:pPr>
      <w:r>
        <w:t xml:space="preserve">The resource statement below provides information about the funding sources available to the agency </w:t>
      </w:r>
      <w:proofErr w:type="gramStart"/>
      <w:r>
        <w:t>for its operations and to deliver programs and services on behalf of Government</w:t>
      </w:r>
      <w:proofErr w:type="gramEnd"/>
      <w:r>
        <w:t>.</w:t>
      </w:r>
    </w:p>
    <w:p w:rsidR="00260042" w:rsidRPr="00EA5510" w:rsidRDefault="00511254" w:rsidP="00EA5510">
      <w:pPr>
        <w:pStyle w:val="BodyText"/>
        <w:rPr>
          <w:b/>
        </w:rPr>
      </w:pPr>
      <w:r>
        <w:rPr>
          <w:rStyle w:val="Bold"/>
          <w:bCs w:val="0"/>
        </w:rPr>
        <w:t>Table 4</w:t>
      </w:r>
      <w:r>
        <w:rPr>
          <w:rStyle w:val="Bold"/>
          <w:bCs w:val="0"/>
        </w:rPr>
        <w:t>9</w:t>
      </w:r>
      <w:r w:rsidR="00260042" w:rsidRPr="00EA5510">
        <w:rPr>
          <w:b/>
        </w:rPr>
        <w:t xml:space="preserve"> Services Australia resource statement 2020–21</w:t>
      </w:r>
    </w:p>
    <w:tbl>
      <w:tblPr>
        <w:tblStyle w:val="TableGrid"/>
        <w:tblW w:w="0" w:type="auto"/>
        <w:tblLook w:val="0000" w:firstRow="0" w:lastRow="0" w:firstColumn="0" w:lastColumn="0" w:noHBand="0" w:noVBand="0"/>
        <w:tblCaption w:val="Services Australia resource statement 2020–21"/>
      </w:tblPr>
      <w:tblGrid>
        <w:gridCol w:w="5616"/>
        <w:gridCol w:w="2250"/>
        <w:gridCol w:w="1389"/>
        <w:gridCol w:w="1535"/>
      </w:tblGrid>
      <w:tr w:rsidR="00260042" w:rsidTr="00B43654">
        <w:trPr>
          <w:trHeight w:val="521"/>
          <w:tblHeader/>
        </w:trPr>
        <w:tc>
          <w:tcPr>
            <w:tcW w:w="0" w:type="auto"/>
            <w:vMerge w:val="restart"/>
          </w:tcPr>
          <w:p w:rsidR="00260042" w:rsidRDefault="00260042" w:rsidP="00B43654">
            <w:pPr>
              <w:pStyle w:val="BodyText"/>
            </w:pPr>
          </w:p>
        </w:tc>
        <w:tc>
          <w:tcPr>
            <w:tcW w:w="0" w:type="auto"/>
          </w:tcPr>
          <w:p w:rsidR="00260042" w:rsidRDefault="00260042" w:rsidP="00B43654">
            <w:pPr>
              <w:pStyle w:val="BodyText"/>
              <w:jc w:val="right"/>
            </w:pPr>
            <w:r>
              <w:rPr>
                <w:rStyle w:val="Bold"/>
                <w:sz w:val="18"/>
                <w:szCs w:val="18"/>
              </w:rPr>
              <w:t>Actual available appropriation</w:t>
            </w:r>
          </w:p>
        </w:tc>
        <w:tc>
          <w:tcPr>
            <w:tcW w:w="0" w:type="auto"/>
          </w:tcPr>
          <w:p w:rsidR="00260042" w:rsidRDefault="00260042" w:rsidP="00B43654">
            <w:pPr>
              <w:pStyle w:val="BodyText"/>
              <w:jc w:val="right"/>
            </w:pPr>
            <w:r>
              <w:rPr>
                <w:rStyle w:val="Bold"/>
                <w:sz w:val="18"/>
                <w:szCs w:val="18"/>
              </w:rPr>
              <w:t>Payments made</w:t>
            </w:r>
          </w:p>
        </w:tc>
        <w:tc>
          <w:tcPr>
            <w:tcW w:w="0" w:type="auto"/>
          </w:tcPr>
          <w:p w:rsidR="00260042" w:rsidRDefault="00260042" w:rsidP="00B43654">
            <w:pPr>
              <w:pStyle w:val="BodyText"/>
              <w:jc w:val="right"/>
            </w:pPr>
            <w:r>
              <w:rPr>
                <w:rStyle w:val="Bold"/>
                <w:sz w:val="18"/>
                <w:szCs w:val="18"/>
              </w:rPr>
              <w:t>Balance remaining</w:t>
            </w:r>
          </w:p>
        </w:tc>
      </w:tr>
      <w:tr w:rsidR="00260042" w:rsidTr="00B43654">
        <w:trPr>
          <w:trHeight w:val="376"/>
          <w:tblHeader/>
        </w:trPr>
        <w:tc>
          <w:tcPr>
            <w:tcW w:w="0" w:type="auto"/>
            <w:vMerge/>
          </w:tcPr>
          <w:p w:rsidR="00260042" w:rsidRDefault="00260042" w:rsidP="00B43654">
            <w:pPr>
              <w:pStyle w:val="BodyText"/>
            </w:pPr>
          </w:p>
        </w:tc>
        <w:tc>
          <w:tcPr>
            <w:tcW w:w="0" w:type="auto"/>
          </w:tcPr>
          <w:p w:rsidR="00260042" w:rsidRDefault="00260042" w:rsidP="00B43654">
            <w:pPr>
              <w:pStyle w:val="BodyText"/>
              <w:jc w:val="right"/>
            </w:pPr>
            <w:r>
              <w:rPr>
                <w:rStyle w:val="Bold"/>
                <w:sz w:val="18"/>
                <w:szCs w:val="18"/>
              </w:rPr>
              <w:t>$'000</w:t>
            </w:r>
          </w:p>
        </w:tc>
        <w:tc>
          <w:tcPr>
            <w:tcW w:w="0" w:type="auto"/>
          </w:tcPr>
          <w:p w:rsidR="00260042" w:rsidRDefault="00260042" w:rsidP="00B43654">
            <w:pPr>
              <w:pStyle w:val="BodyText"/>
              <w:jc w:val="right"/>
            </w:pPr>
            <w:r>
              <w:rPr>
                <w:rStyle w:val="Bold"/>
                <w:sz w:val="18"/>
                <w:szCs w:val="18"/>
              </w:rPr>
              <w:t>$'000</w:t>
            </w:r>
          </w:p>
        </w:tc>
        <w:tc>
          <w:tcPr>
            <w:tcW w:w="0" w:type="auto"/>
          </w:tcPr>
          <w:p w:rsidR="00260042" w:rsidRDefault="00260042" w:rsidP="00B43654">
            <w:pPr>
              <w:pStyle w:val="BodyText"/>
              <w:jc w:val="right"/>
            </w:pPr>
            <w:r>
              <w:rPr>
                <w:rStyle w:val="Bold"/>
                <w:sz w:val="18"/>
                <w:szCs w:val="18"/>
              </w:rPr>
              <w:t>$'000</w:t>
            </w:r>
          </w:p>
        </w:tc>
      </w:tr>
      <w:tr w:rsidR="00260042" w:rsidTr="003824D8">
        <w:trPr>
          <w:trHeight w:val="229"/>
        </w:trPr>
        <w:tc>
          <w:tcPr>
            <w:tcW w:w="0" w:type="auto"/>
          </w:tcPr>
          <w:p w:rsidR="00260042" w:rsidRDefault="00260042" w:rsidP="00B43654">
            <w:pPr>
              <w:pStyle w:val="BodyText"/>
            </w:pPr>
          </w:p>
        </w:tc>
        <w:tc>
          <w:tcPr>
            <w:tcW w:w="0" w:type="auto"/>
          </w:tcPr>
          <w:p w:rsidR="00260042" w:rsidRDefault="00260042" w:rsidP="00B43654">
            <w:pPr>
              <w:pStyle w:val="BodyText"/>
              <w:jc w:val="right"/>
            </w:pPr>
            <w:r>
              <w:rPr>
                <w:sz w:val="18"/>
                <w:szCs w:val="18"/>
              </w:rPr>
              <w:t>(a)</w:t>
            </w:r>
          </w:p>
        </w:tc>
        <w:tc>
          <w:tcPr>
            <w:tcW w:w="0" w:type="auto"/>
          </w:tcPr>
          <w:p w:rsidR="00260042" w:rsidRDefault="00260042" w:rsidP="00B43654">
            <w:pPr>
              <w:pStyle w:val="BodyText"/>
              <w:jc w:val="right"/>
            </w:pPr>
            <w:r>
              <w:rPr>
                <w:sz w:val="18"/>
                <w:szCs w:val="18"/>
              </w:rPr>
              <w:t>(b)</w:t>
            </w:r>
          </w:p>
        </w:tc>
        <w:tc>
          <w:tcPr>
            <w:tcW w:w="0" w:type="auto"/>
          </w:tcPr>
          <w:p w:rsidR="00260042" w:rsidRDefault="00260042" w:rsidP="00B43654">
            <w:pPr>
              <w:pStyle w:val="BodyText"/>
              <w:jc w:val="right"/>
            </w:pPr>
            <w:r>
              <w:rPr>
                <w:sz w:val="18"/>
                <w:szCs w:val="18"/>
              </w:rPr>
              <w:t>(a)–(b)</w:t>
            </w:r>
          </w:p>
        </w:tc>
      </w:tr>
      <w:tr w:rsidR="00260042" w:rsidTr="003824D8">
        <w:trPr>
          <w:trHeight w:val="229"/>
        </w:trPr>
        <w:tc>
          <w:tcPr>
            <w:tcW w:w="0" w:type="auto"/>
          </w:tcPr>
          <w:p w:rsidR="00260042" w:rsidRDefault="00260042" w:rsidP="00B43654">
            <w:pPr>
              <w:pStyle w:val="BodyText"/>
            </w:pPr>
            <w:r>
              <w:rPr>
                <w:rStyle w:val="Bold"/>
                <w:sz w:val="18"/>
                <w:szCs w:val="18"/>
              </w:rPr>
              <w:t>Departmental</w:t>
            </w:r>
          </w:p>
        </w:tc>
        <w:tc>
          <w:tcPr>
            <w:tcW w:w="0" w:type="auto"/>
          </w:tcPr>
          <w:p w:rsidR="00260042" w:rsidRDefault="00260042" w:rsidP="00B43654">
            <w:pPr>
              <w:pStyle w:val="BodyText"/>
              <w:jc w:val="right"/>
              <w:rPr>
                <w:rFonts w:ascii="Roboto Lt" w:hAnsi="Roboto Lt"/>
              </w:rPr>
            </w:pPr>
          </w:p>
        </w:tc>
        <w:tc>
          <w:tcPr>
            <w:tcW w:w="0" w:type="auto"/>
          </w:tcPr>
          <w:p w:rsidR="00260042" w:rsidRDefault="00260042" w:rsidP="00B43654">
            <w:pPr>
              <w:pStyle w:val="BodyText"/>
              <w:jc w:val="right"/>
              <w:rPr>
                <w:rFonts w:ascii="Roboto Lt" w:hAnsi="Roboto Lt"/>
              </w:rPr>
            </w:pPr>
          </w:p>
        </w:tc>
        <w:tc>
          <w:tcPr>
            <w:tcW w:w="0" w:type="auto"/>
          </w:tcPr>
          <w:p w:rsidR="00260042" w:rsidRDefault="00260042" w:rsidP="00B43654">
            <w:pPr>
              <w:pStyle w:val="BodyText"/>
              <w:jc w:val="right"/>
              <w:rPr>
                <w:rFonts w:ascii="Roboto Lt" w:hAnsi="Roboto Lt"/>
              </w:rPr>
            </w:pPr>
          </w:p>
        </w:tc>
      </w:tr>
      <w:tr w:rsidR="00260042" w:rsidTr="003824D8">
        <w:trPr>
          <w:trHeight w:val="229"/>
        </w:trPr>
        <w:tc>
          <w:tcPr>
            <w:tcW w:w="0" w:type="auto"/>
          </w:tcPr>
          <w:p w:rsidR="00260042" w:rsidRDefault="00260042" w:rsidP="00B43654">
            <w:pPr>
              <w:pStyle w:val="BodyText"/>
            </w:pPr>
            <w:r>
              <w:rPr>
                <w:sz w:val="18"/>
                <w:szCs w:val="18"/>
              </w:rPr>
              <w:t>Annual appropriations – ordinary annual services</w:t>
            </w:r>
            <w:r>
              <w:rPr>
                <w:sz w:val="18"/>
                <w:szCs w:val="18"/>
                <w:vertAlign w:val="superscript"/>
              </w:rPr>
              <w:t>1</w:t>
            </w:r>
          </w:p>
        </w:tc>
        <w:tc>
          <w:tcPr>
            <w:tcW w:w="0" w:type="auto"/>
          </w:tcPr>
          <w:p w:rsidR="00260042" w:rsidRDefault="00260042" w:rsidP="00B43654">
            <w:pPr>
              <w:pStyle w:val="BodyText"/>
              <w:jc w:val="right"/>
            </w:pPr>
            <w:r>
              <w:rPr>
                <w:sz w:val="18"/>
                <w:szCs w:val="18"/>
              </w:rPr>
              <w:t>6,553,262</w:t>
            </w:r>
          </w:p>
        </w:tc>
        <w:tc>
          <w:tcPr>
            <w:tcW w:w="0" w:type="auto"/>
          </w:tcPr>
          <w:p w:rsidR="00260042" w:rsidRDefault="00260042" w:rsidP="00B43654">
            <w:pPr>
              <w:pStyle w:val="BodyText"/>
              <w:jc w:val="right"/>
            </w:pPr>
            <w:r>
              <w:rPr>
                <w:sz w:val="18"/>
                <w:szCs w:val="18"/>
              </w:rPr>
              <w:t>5,313,107</w:t>
            </w:r>
          </w:p>
        </w:tc>
        <w:tc>
          <w:tcPr>
            <w:tcW w:w="0" w:type="auto"/>
          </w:tcPr>
          <w:p w:rsidR="00260042" w:rsidRDefault="00260042" w:rsidP="00B43654">
            <w:pPr>
              <w:pStyle w:val="BodyText"/>
              <w:jc w:val="right"/>
            </w:pPr>
            <w:r>
              <w:rPr>
                <w:sz w:val="18"/>
                <w:szCs w:val="18"/>
              </w:rPr>
              <w:t>1,240,155</w:t>
            </w:r>
          </w:p>
        </w:tc>
      </w:tr>
      <w:tr w:rsidR="00260042" w:rsidTr="003824D8">
        <w:trPr>
          <w:trHeight w:val="229"/>
        </w:trPr>
        <w:tc>
          <w:tcPr>
            <w:tcW w:w="0" w:type="auto"/>
          </w:tcPr>
          <w:p w:rsidR="00260042" w:rsidRDefault="00260042" w:rsidP="00B43654">
            <w:pPr>
              <w:pStyle w:val="BodyText"/>
            </w:pPr>
            <w:r>
              <w:rPr>
                <w:sz w:val="18"/>
                <w:szCs w:val="18"/>
              </w:rPr>
              <w:t>Annual appropriations – capital budget</w:t>
            </w:r>
            <w:r>
              <w:rPr>
                <w:sz w:val="18"/>
                <w:szCs w:val="18"/>
                <w:vertAlign w:val="superscript"/>
              </w:rPr>
              <w:t>2</w:t>
            </w:r>
          </w:p>
        </w:tc>
        <w:tc>
          <w:tcPr>
            <w:tcW w:w="0" w:type="auto"/>
          </w:tcPr>
          <w:p w:rsidR="00260042" w:rsidRDefault="00260042" w:rsidP="00B43654">
            <w:pPr>
              <w:pStyle w:val="BodyText"/>
              <w:jc w:val="right"/>
            </w:pPr>
            <w:r>
              <w:rPr>
                <w:sz w:val="18"/>
                <w:szCs w:val="18"/>
              </w:rPr>
              <w:t>196,567</w:t>
            </w:r>
          </w:p>
        </w:tc>
        <w:tc>
          <w:tcPr>
            <w:tcW w:w="0" w:type="auto"/>
          </w:tcPr>
          <w:p w:rsidR="00260042" w:rsidRDefault="00260042" w:rsidP="00B43654">
            <w:pPr>
              <w:pStyle w:val="BodyText"/>
              <w:jc w:val="right"/>
            </w:pPr>
            <w:r>
              <w:rPr>
                <w:sz w:val="18"/>
                <w:szCs w:val="18"/>
              </w:rPr>
              <w:t>196,567</w:t>
            </w:r>
          </w:p>
        </w:tc>
        <w:tc>
          <w:tcPr>
            <w:tcW w:w="0" w:type="auto"/>
          </w:tcPr>
          <w:p w:rsidR="00260042" w:rsidRDefault="00260042" w:rsidP="00B43654">
            <w:pPr>
              <w:pStyle w:val="BodyText"/>
              <w:jc w:val="right"/>
            </w:pPr>
            <w:r>
              <w:rPr>
                <w:sz w:val="18"/>
                <w:szCs w:val="18"/>
              </w:rPr>
              <w:t>–</w:t>
            </w:r>
          </w:p>
        </w:tc>
      </w:tr>
      <w:tr w:rsidR="00260042" w:rsidTr="003824D8">
        <w:trPr>
          <w:trHeight w:val="229"/>
        </w:trPr>
        <w:tc>
          <w:tcPr>
            <w:tcW w:w="0" w:type="auto"/>
          </w:tcPr>
          <w:p w:rsidR="00260042" w:rsidRDefault="00260042" w:rsidP="00B43654">
            <w:pPr>
              <w:pStyle w:val="BodyText"/>
            </w:pPr>
            <w:r>
              <w:rPr>
                <w:rStyle w:val="Bold"/>
                <w:sz w:val="18"/>
                <w:szCs w:val="18"/>
              </w:rPr>
              <w:t>Total annual appropriations – ordinary annual services</w:t>
            </w:r>
          </w:p>
        </w:tc>
        <w:tc>
          <w:tcPr>
            <w:tcW w:w="0" w:type="auto"/>
          </w:tcPr>
          <w:p w:rsidR="00260042" w:rsidRDefault="00260042" w:rsidP="00B43654">
            <w:pPr>
              <w:pStyle w:val="BodyText"/>
              <w:jc w:val="right"/>
            </w:pPr>
            <w:r>
              <w:rPr>
                <w:rStyle w:val="Bold"/>
                <w:sz w:val="18"/>
                <w:szCs w:val="18"/>
              </w:rPr>
              <w:t>6,749,829</w:t>
            </w:r>
          </w:p>
        </w:tc>
        <w:tc>
          <w:tcPr>
            <w:tcW w:w="0" w:type="auto"/>
          </w:tcPr>
          <w:p w:rsidR="00260042" w:rsidRDefault="00260042" w:rsidP="00B43654">
            <w:pPr>
              <w:pStyle w:val="BodyText"/>
              <w:jc w:val="right"/>
            </w:pPr>
            <w:r>
              <w:rPr>
                <w:rStyle w:val="Bold"/>
                <w:sz w:val="18"/>
                <w:szCs w:val="18"/>
              </w:rPr>
              <w:t>5,509,674</w:t>
            </w:r>
          </w:p>
        </w:tc>
        <w:tc>
          <w:tcPr>
            <w:tcW w:w="0" w:type="auto"/>
          </w:tcPr>
          <w:p w:rsidR="00260042" w:rsidRDefault="00260042" w:rsidP="00B43654">
            <w:pPr>
              <w:pStyle w:val="BodyText"/>
              <w:jc w:val="right"/>
            </w:pPr>
            <w:r>
              <w:rPr>
                <w:rStyle w:val="Bold"/>
                <w:sz w:val="18"/>
                <w:szCs w:val="18"/>
              </w:rPr>
              <w:t>1,240,155</w:t>
            </w:r>
          </w:p>
        </w:tc>
      </w:tr>
      <w:tr w:rsidR="00260042" w:rsidTr="003824D8">
        <w:trPr>
          <w:trHeight w:val="229"/>
        </w:trPr>
        <w:tc>
          <w:tcPr>
            <w:tcW w:w="0" w:type="auto"/>
          </w:tcPr>
          <w:p w:rsidR="00260042" w:rsidRDefault="00260042" w:rsidP="00B43654">
            <w:pPr>
              <w:pStyle w:val="BodyText"/>
            </w:pPr>
            <w:r>
              <w:rPr>
                <w:sz w:val="18"/>
                <w:szCs w:val="18"/>
              </w:rPr>
              <w:t>Annual appropriations – other services – non-operating</w:t>
            </w:r>
            <w:r>
              <w:rPr>
                <w:sz w:val="18"/>
                <w:szCs w:val="18"/>
                <w:vertAlign w:val="superscript"/>
              </w:rPr>
              <w:t>3</w:t>
            </w:r>
          </w:p>
        </w:tc>
        <w:tc>
          <w:tcPr>
            <w:tcW w:w="0" w:type="auto"/>
          </w:tcPr>
          <w:p w:rsidR="00260042" w:rsidRDefault="00260042" w:rsidP="00B43654">
            <w:pPr>
              <w:pStyle w:val="BodyText"/>
              <w:jc w:val="right"/>
            </w:pPr>
            <w:r>
              <w:rPr>
                <w:sz w:val="18"/>
                <w:szCs w:val="18"/>
              </w:rPr>
              <w:t>226,010</w:t>
            </w:r>
          </w:p>
        </w:tc>
        <w:tc>
          <w:tcPr>
            <w:tcW w:w="0" w:type="auto"/>
          </w:tcPr>
          <w:p w:rsidR="00260042" w:rsidRDefault="00260042" w:rsidP="00B43654">
            <w:pPr>
              <w:pStyle w:val="BodyText"/>
              <w:jc w:val="right"/>
            </w:pPr>
            <w:r>
              <w:rPr>
                <w:sz w:val="18"/>
                <w:szCs w:val="18"/>
              </w:rPr>
              <w:t>165,930</w:t>
            </w:r>
          </w:p>
        </w:tc>
        <w:tc>
          <w:tcPr>
            <w:tcW w:w="0" w:type="auto"/>
          </w:tcPr>
          <w:p w:rsidR="00260042" w:rsidRDefault="00260042" w:rsidP="00B43654">
            <w:pPr>
              <w:pStyle w:val="BodyText"/>
              <w:jc w:val="right"/>
            </w:pPr>
            <w:r>
              <w:rPr>
                <w:sz w:val="18"/>
                <w:szCs w:val="18"/>
              </w:rPr>
              <w:t>60,080</w:t>
            </w:r>
          </w:p>
        </w:tc>
      </w:tr>
      <w:tr w:rsidR="00260042" w:rsidTr="003824D8">
        <w:trPr>
          <w:trHeight w:val="229"/>
        </w:trPr>
        <w:tc>
          <w:tcPr>
            <w:tcW w:w="0" w:type="auto"/>
          </w:tcPr>
          <w:p w:rsidR="00260042" w:rsidRDefault="00260042" w:rsidP="00B43654">
            <w:pPr>
              <w:pStyle w:val="BodyText"/>
            </w:pPr>
            <w:r>
              <w:rPr>
                <w:rStyle w:val="Bold"/>
                <w:sz w:val="18"/>
                <w:szCs w:val="18"/>
              </w:rPr>
              <w:t>Total departmental annual appropriations</w:t>
            </w:r>
          </w:p>
        </w:tc>
        <w:tc>
          <w:tcPr>
            <w:tcW w:w="0" w:type="auto"/>
          </w:tcPr>
          <w:p w:rsidR="00260042" w:rsidRDefault="00260042" w:rsidP="00B43654">
            <w:pPr>
              <w:pStyle w:val="BodyText"/>
              <w:jc w:val="right"/>
            </w:pPr>
            <w:r>
              <w:rPr>
                <w:rStyle w:val="Bold"/>
                <w:sz w:val="18"/>
                <w:szCs w:val="18"/>
              </w:rPr>
              <w:t>6,975,839</w:t>
            </w:r>
          </w:p>
        </w:tc>
        <w:tc>
          <w:tcPr>
            <w:tcW w:w="0" w:type="auto"/>
          </w:tcPr>
          <w:p w:rsidR="00260042" w:rsidRDefault="00260042" w:rsidP="00B43654">
            <w:pPr>
              <w:pStyle w:val="BodyText"/>
              <w:jc w:val="right"/>
            </w:pPr>
            <w:r>
              <w:rPr>
                <w:rStyle w:val="Bold"/>
                <w:sz w:val="18"/>
                <w:szCs w:val="18"/>
              </w:rPr>
              <w:t>5,675,604</w:t>
            </w:r>
          </w:p>
        </w:tc>
        <w:tc>
          <w:tcPr>
            <w:tcW w:w="0" w:type="auto"/>
          </w:tcPr>
          <w:p w:rsidR="00260042" w:rsidRDefault="00260042" w:rsidP="00B43654">
            <w:pPr>
              <w:pStyle w:val="BodyText"/>
              <w:jc w:val="right"/>
            </w:pPr>
            <w:r>
              <w:rPr>
                <w:rStyle w:val="Bold"/>
                <w:sz w:val="18"/>
                <w:szCs w:val="18"/>
              </w:rPr>
              <w:t>1,300,235</w:t>
            </w:r>
          </w:p>
        </w:tc>
      </w:tr>
      <w:tr w:rsidR="00260042" w:rsidTr="003824D8">
        <w:trPr>
          <w:trHeight w:val="229"/>
        </w:trPr>
        <w:tc>
          <w:tcPr>
            <w:tcW w:w="0" w:type="auto"/>
          </w:tcPr>
          <w:p w:rsidR="00260042" w:rsidRDefault="00260042" w:rsidP="00B43654">
            <w:pPr>
              <w:pStyle w:val="BodyText"/>
            </w:pPr>
            <w:r>
              <w:rPr>
                <w:rStyle w:val="Bold"/>
                <w:sz w:val="18"/>
                <w:szCs w:val="18"/>
              </w:rPr>
              <w:t>Total departmental resourcing</w:t>
            </w:r>
          </w:p>
        </w:tc>
        <w:tc>
          <w:tcPr>
            <w:tcW w:w="0" w:type="auto"/>
          </w:tcPr>
          <w:p w:rsidR="00260042" w:rsidRDefault="00260042" w:rsidP="00B43654">
            <w:pPr>
              <w:pStyle w:val="BodyText"/>
              <w:jc w:val="right"/>
            </w:pPr>
            <w:r>
              <w:rPr>
                <w:rStyle w:val="Bold"/>
                <w:sz w:val="18"/>
                <w:szCs w:val="18"/>
              </w:rPr>
              <w:t>6,975,839</w:t>
            </w:r>
          </w:p>
        </w:tc>
        <w:tc>
          <w:tcPr>
            <w:tcW w:w="0" w:type="auto"/>
          </w:tcPr>
          <w:p w:rsidR="00260042" w:rsidRDefault="00260042" w:rsidP="00B43654">
            <w:pPr>
              <w:pStyle w:val="BodyText"/>
              <w:jc w:val="right"/>
            </w:pPr>
            <w:r>
              <w:rPr>
                <w:rStyle w:val="Bold"/>
                <w:sz w:val="18"/>
                <w:szCs w:val="18"/>
              </w:rPr>
              <w:t>5,675,604</w:t>
            </w:r>
          </w:p>
        </w:tc>
        <w:tc>
          <w:tcPr>
            <w:tcW w:w="0" w:type="auto"/>
          </w:tcPr>
          <w:p w:rsidR="00260042" w:rsidRDefault="00260042" w:rsidP="00B43654">
            <w:pPr>
              <w:pStyle w:val="BodyText"/>
              <w:jc w:val="right"/>
            </w:pPr>
            <w:r>
              <w:rPr>
                <w:rStyle w:val="Bold"/>
                <w:sz w:val="18"/>
                <w:szCs w:val="18"/>
              </w:rPr>
              <w:t>1,300,235</w:t>
            </w:r>
          </w:p>
        </w:tc>
      </w:tr>
      <w:tr w:rsidR="00260042" w:rsidTr="003824D8">
        <w:trPr>
          <w:trHeight w:val="229"/>
        </w:trPr>
        <w:tc>
          <w:tcPr>
            <w:tcW w:w="0" w:type="auto"/>
          </w:tcPr>
          <w:p w:rsidR="00260042" w:rsidRDefault="00260042" w:rsidP="00B43654">
            <w:pPr>
              <w:pStyle w:val="BodyText"/>
            </w:pPr>
            <w:r>
              <w:rPr>
                <w:rStyle w:val="Bold"/>
                <w:sz w:val="18"/>
                <w:szCs w:val="18"/>
              </w:rPr>
              <w:t>Administered</w:t>
            </w:r>
          </w:p>
        </w:tc>
        <w:tc>
          <w:tcPr>
            <w:tcW w:w="0" w:type="auto"/>
          </w:tcPr>
          <w:p w:rsidR="00260042" w:rsidRDefault="00260042" w:rsidP="00B43654">
            <w:pPr>
              <w:pStyle w:val="BodyText"/>
              <w:jc w:val="right"/>
              <w:rPr>
                <w:rFonts w:ascii="Roboto Lt" w:hAnsi="Roboto Lt"/>
              </w:rPr>
            </w:pPr>
          </w:p>
        </w:tc>
        <w:tc>
          <w:tcPr>
            <w:tcW w:w="0" w:type="auto"/>
          </w:tcPr>
          <w:p w:rsidR="00260042" w:rsidRDefault="00260042" w:rsidP="00B43654">
            <w:pPr>
              <w:pStyle w:val="BodyText"/>
              <w:jc w:val="right"/>
              <w:rPr>
                <w:rFonts w:ascii="Roboto Lt" w:hAnsi="Roboto Lt"/>
              </w:rPr>
            </w:pPr>
          </w:p>
        </w:tc>
        <w:tc>
          <w:tcPr>
            <w:tcW w:w="0" w:type="auto"/>
          </w:tcPr>
          <w:p w:rsidR="00260042" w:rsidRDefault="00260042" w:rsidP="00B43654">
            <w:pPr>
              <w:pStyle w:val="BodyText"/>
              <w:jc w:val="right"/>
              <w:rPr>
                <w:rFonts w:ascii="Roboto Lt" w:hAnsi="Roboto Lt"/>
              </w:rPr>
            </w:pPr>
          </w:p>
        </w:tc>
      </w:tr>
      <w:tr w:rsidR="00260042" w:rsidTr="003824D8">
        <w:trPr>
          <w:trHeight w:val="229"/>
        </w:trPr>
        <w:tc>
          <w:tcPr>
            <w:tcW w:w="0" w:type="auto"/>
          </w:tcPr>
          <w:p w:rsidR="00260042" w:rsidRDefault="00260042" w:rsidP="00B43654">
            <w:pPr>
              <w:pStyle w:val="BodyText"/>
            </w:pPr>
            <w:r>
              <w:rPr>
                <w:sz w:val="18"/>
                <w:szCs w:val="18"/>
              </w:rPr>
              <w:t>Annual appropriations – ordinary annual services</w:t>
            </w:r>
            <w:r>
              <w:rPr>
                <w:sz w:val="18"/>
                <w:szCs w:val="18"/>
                <w:vertAlign w:val="superscript"/>
              </w:rPr>
              <w:t>1</w:t>
            </w:r>
          </w:p>
        </w:tc>
        <w:tc>
          <w:tcPr>
            <w:tcW w:w="0" w:type="auto"/>
          </w:tcPr>
          <w:p w:rsidR="00260042" w:rsidRDefault="00260042" w:rsidP="00B43654">
            <w:pPr>
              <w:pStyle w:val="BodyText"/>
              <w:jc w:val="right"/>
            </w:pPr>
            <w:r>
              <w:rPr>
                <w:sz w:val="18"/>
                <w:szCs w:val="18"/>
              </w:rPr>
              <w:t>2,667</w:t>
            </w:r>
          </w:p>
        </w:tc>
        <w:tc>
          <w:tcPr>
            <w:tcW w:w="0" w:type="auto"/>
          </w:tcPr>
          <w:p w:rsidR="00260042" w:rsidRDefault="00260042" w:rsidP="00B43654">
            <w:pPr>
              <w:pStyle w:val="BodyText"/>
              <w:jc w:val="right"/>
            </w:pPr>
            <w:r>
              <w:rPr>
                <w:sz w:val="18"/>
                <w:szCs w:val="18"/>
              </w:rPr>
              <w:t>976</w:t>
            </w:r>
          </w:p>
        </w:tc>
        <w:tc>
          <w:tcPr>
            <w:tcW w:w="0" w:type="auto"/>
          </w:tcPr>
          <w:p w:rsidR="00260042" w:rsidRDefault="00260042" w:rsidP="00B43654">
            <w:pPr>
              <w:pStyle w:val="BodyText"/>
              <w:jc w:val="right"/>
              <w:rPr>
                <w:rFonts w:ascii="Roboto Lt" w:hAnsi="Roboto Lt"/>
              </w:rPr>
            </w:pPr>
          </w:p>
        </w:tc>
      </w:tr>
      <w:tr w:rsidR="00260042" w:rsidTr="003824D8">
        <w:trPr>
          <w:trHeight w:val="229"/>
        </w:trPr>
        <w:tc>
          <w:tcPr>
            <w:tcW w:w="0" w:type="auto"/>
          </w:tcPr>
          <w:p w:rsidR="00260042" w:rsidRDefault="00260042" w:rsidP="00B43654">
            <w:pPr>
              <w:pStyle w:val="BodyText"/>
            </w:pPr>
            <w:r>
              <w:rPr>
                <w:rStyle w:val="Bold"/>
                <w:sz w:val="18"/>
                <w:szCs w:val="18"/>
              </w:rPr>
              <w:t>Total administered annual appropriations</w:t>
            </w:r>
          </w:p>
        </w:tc>
        <w:tc>
          <w:tcPr>
            <w:tcW w:w="0" w:type="auto"/>
          </w:tcPr>
          <w:p w:rsidR="00260042" w:rsidRDefault="00260042" w:rsidP="00B43654">
            <w:pPr>
              <w:pStyle w:val="BodyText"/>
              <w:jc w:val="right"/>
            </w:pPr>
            <w:r>
              <w:rPr>
                <w:rStyle w:val="Bold"/>
                <w:sz w:val="18"/>
                <w:szCs w:val="18"/>
              </w:rPr>
              <w:t>2,667</w:t>
            </w:r>
          </w:p>
        </w:tc>
        <w:tc>
          <w:tcPr>
            <w:tcW w:w="0" w:type="auto"/>
          </w:tcPr>
          <w:p w:rsidR="00260042" w:rsidRDefault="00260042" w:rsidP="00B43654">
            <w:pPr>
              <w:pStyle w:val="BodyText"/>
              <w:jc w:val="right"/>
            </w:pPr>
            <w:r>
              <w:rPr>
                <w:rStyle w:val="Bold"/>
                <w:sz w:val="18"/>
                <w:szCs w:val="18"/>
              </w:rPr>
              <w:t>976</w:t>
            </w:r>
          </w:p>
        </w:tc>
        <w:tc>
          <w:tcPr>
            <w:tcW w:w="0" w:type="auto"/>
          </w:tcPr>
          <w:p w:rsidR="00260042" w:rsidRDefault="00260042" w:rsidP="00B43654">
            <w:pPr>
              <w:pStyle w:val="BodyText"/>
              <w:jc w:val="right"/>
              <w:rPr>
                <w:rFonts w:ascii="Roboto Lt" w:hAnsi="Roboto Lt"/>
              </w:rPr>
            </w:pPr>
          </w:p>
        </w:tc>
      </w:tr>
      <w:tr w:rsidR="00260042" w:rsidTr="003824D8">
        <w:trPr>
          <w:trHeight w:val="229"/>
        </w:trPr>
        <w:tc>
          <w:tcPr>
            <w:tcW w:w="0" w:type="auto"/>
          </w:tcPr>
          <w:p w:rsidR="00260042" w:rsidRDefault="00260042" w:rsidP="00B43654">
            <w:pPr>
              <w:pStyle w:val="BodyText"/>
            </w:pPr>
            <w:r>
              <w:rPr>
                <w:sz w:val="18"/>
                <w:szCs w:val="18"/>
              </w:rPr>
              <w:t>Special accounts</w:t>
            </w:r>
          </w:p>
        </w:tc>
        <w:tc>
          <w:tcPr>
            <w:tcW w:w="0" w:type="auto"/>
          </w:tcPr>
          <w:p w:rsidR="00260042" w:rsidRDefault="00260042" w:rsidP="00B43654">
            <w:pPr>
              <w:pStyle w:val="BodyText"/>
              <w:jc w:val="right"/>
            </w:pPr>
            <w:r>
              <w:rPr>
                <w:sz w:val="18"/>
                <w:szCs w:val="18"/>
              </w:rPr>
              <w:t>2,267,987</w:t>
            </w:r>
          </w:p>
        </w:tc>
        <w:tc>
          <w:tcPr>
            <w:tcW w:w="0" w:type="auto"/>
          </w:tcPr>
          <w:p w:rsidR="00260042" w:rsidRDefault="00260042" w:rsidP="00B43654">
            <w:pPr>
              <w:pStyle w:val="BodyText"/>
              <w:jc w:val="right"/>
            </w:pPr>
            <w:r>
              <w:rPr>
                <w:sz w:val="18"/>
                <w:szCs w:val="18"/>
              </w:rPr>
              <w:t>2,044,722</w:t>
            </w:r>
          </w:p>
        </w:tc>
        <w:tc>
          <w:tcPr>
            <w:tcW w:w="0" w:type="auto"/>
          </w:tcPr>
          <w:p w:rsidR="00260042" w:rsidRDefault="00260042" w:rsidP="00B43654">
            <w:pPr>
              <w:pStyle w:val="BodyText"/>
              <w:jc w:val="right"/>
            </w:pPr>
            <w:r>
              <w:rPr>
                <w:sz w:val="18"/>
                <w:szCs w:val="18"/>
              </w:rPr>
              <w:t>223,265</w:t>
            </w:r>
          </w:p>
        </w:tc>
      </w:tr>
      <w:tr w:rsidR="00260042" w:rsidTr="003824D8">
        <w:trPr>
          <w:trHeight w:val="229"/>
        </w:trPr>
        <w:tc>
          <w:tcPr>
            <w:tcW w:w="0" w:type="auto"/>
          </w:tcPr>
          <w:p w:rsidR="00260042" w:rsidRDefault="00260042" w:rsidP="00B43654">
            <w:pPr>
              <w:pStyle w:val="BodyText"/>
            </w:pPr>
            <w:r>
              <w:rPr>
                <w:rStyle w:val="Bold"/>
                <w:sz w:val="18"/>
                <w:szCs w:val="18"/>
              </w:rPr>
              <w:t>Total special accounts</w:t>
            </w:r>
          </w:p>
        </w:tc>
        <w:tc>
          <w:tcPr>
            <w:tcW w:w="0" w:type="auto"/>
          </w:tcPr>
          <w:p w:rsidR="00260042" w:rsidRDefault="00260042" w:rsidP="00B43654">
            <w:pPr>
              <w:pStyle w:val="BodyText"/>
              <w:jc w:val="right"/>
            </w:pPr>
            <w:r>
              <w:rPr>
                <w:rStyle w:val="Bold"/>
                <w:sz w:val="18"/>
                <w:szCs w:val="18"/>
              </w:rPr>
              <w:t>2,267,987</w:t>
            </w:r>
          </w:p>
        </w:tc>
        <w:tc>
          <w:tcPr>
            <w:tcW w:w="0" w:type="auto"/>
          </w:tcPr>
          <w:p w:rsidR="00260042" w:rsidRDefault="00260042" w:rsidP="00B43654">
            <w:pPr>
              <w:pStyle w:val="BodyText"/>
              <w:jc w:val="right"/>
            </w:pPr>
            <w:r>
              <w:rPr>
                <w:rStyle w:val="Bold"/>
                <w:sz w:val="18"/>
                <w:szCs w:val="18"/>
              </w:rPr>
              <w:t>2,044,722</w:t>
            </w:r>
          </w:p>
        </w:tc>
        <w:tc>
          <w:tcPr>
            <w:tcW w:w="0" w:type="auto"/>
          </w:tcPr>
          <w:p w:rsidR="00260042" w:rsidRDefault="00260042" w:rsidP="00B43654">
            <w:pPr>
              <w:pStyle w:val="BodyText"/>
              <w:jc w:val="right"/>
            </w:pPr>
            <w:r>
              <w:rPr>
                <w:rStyle w:val="Bold"/>
                <w:sz w:val="18"/>
                <w:szCs w:val="18"/>
              </w:rPr>
              <w:t>223,265</w:t>
            </w:r>
          </w:p>
        </w:tc>
      </w:tr>
      <w:tr w:rsidR="00260042" w:rsidTr="003824D8">
        <w:trPr>
          <w:trHeight w:val="229"/>
        </w:trPr>
        <w:tc>
          <w:tcPr>
            <w:tcW w:w="0" w:type="auto"/>
          </w:tcPr>
          <w:p w:rsidR="00260042" w:rsidRDefault="00260042" w:rsidP="00B43654">
            <w:pPr>
              <w:pStyle w:val="BodyText"/>
            </w:pPr>
            <w:r>
              <w:rPr>
                <w:sz w:val="18"/>
                <w:szCs w:val="18"/>
              </w:rPr>
              <w:t>less administered appropriations drawn from annual appropriations and credited to special accounts</w:t>
            </w:r>
          </w:p>
        </w:tc>
        <w:tc>
          <w:tcPr>
            <w:tcW w:w="0" w:type="auto"/>
          </w:tcPr>
          <w:p w:rsidR="00260042" w:rsidRDefault="00260042" w:rsidP="00B43654">
            <w:pPr>
              <w:pStyle w:val="BodyText"/>
              <w:jc w:val="right"/>
            </w:pPr>
            <w:r>
              <w:rPr>
                <w:sz w:val="18"/>
                <w:szCs w:val="18"/>
              </w:rPr>
              <w:t>981</w:t>
            </w:r>
          </w:p>
        </w:tc>
        <w:tc>
          <w:tcPr>
            <w:tcW w:w="0" w:type="auto"/>
          </w:tcPr>
          <w:p w:rsidR="00260042" w:rsidRDefault="00260042" w:rsidP="00B43654">
            <w:pPr>
              <w:pStyle w:val="BodyText"/>
              <w:jc w:val="right"/>
            </w:pPr>
            <w:r>
              <w:rPr>
                <w:sz w:val="18"/>
                <w:szCs w:val="18"/>
              </w:rPr>
              <w:t>981</w:t>
            </w:r>
          </w:p>
        </w:tc>
        <w:tc>
          <w:tcPr>
            <w:tcW w:w="0" w:type="auto"/>
          </w:tcPr>
          <w:p w:rsidR="00260042" w:rsidRDefault="00260042" w:rsidP="00B43654">
            <w:pPr>
              <w:pStyle w:val="BodyText"/>
              <w:jc w:val="right"/>
              <w:rPr>
                <w:rFonts w:ascii="Roboto Lt" w:hAnsi="Roboto Lt"/>
              </w:rPr>
            </w:pPr>
          </w:p>
        </w:tc>
      </w:tr>
      <w:tr w:rsidR="00260042" w:rsidTr="003824D8">
        <w:trPr>
          <w:trHeight w:val="229"/>
        </w:trPr>
        <w:tc>
          <w:tcPr>
            <w:tcW w:w="0" w:type="auto"/>
          </w:tcPr>
          <w:p w:rsidR="00260042" w:rsidRDefault="00260042" w:rsidP="00B43654">
            <w:pPr>
              <w:pStyle w:val="BodyText"/>
            </w:pPr>
            <w:r>
              <w:rPr>
                <w:rStyle w:val="Bold"/>
                <w:sz w:val="18"/>
                <w:szCs w:val="18"/>
              </w:rPr>
              <w:t>Total administered resourcing</w:t>
            </w:r>
          </w:p>
        </w:tc>
        <w:tc>
          <w:tcPr>
            <w:tcW w:w="0" w:type="auto"/>
          </w:tcPr>
          <w:p w:rsidR="00260042" w:rsidRDefault="00260042" w:rsidP="00B43654">
            <w:pPr>
              <w:pStyle w:val="BodyText"/>
              <w:jc w:val="right"/>
            </w:pPr>
            <w:r>
              <w:rPr>
                <w:rStyle w:val="Bold"/>
                <w:sz w:val="18"/>
                <w:szCs w:val="18"/>
              </w:rPr>
              <w:t>2,269,673</w:t>
            </w:r>
          </w:p>
        </w:tc>
        <w:tc>
          <w:tcPr>
            <w:tcW w:w="0" w:type="auto"/>
          </w:tcPr>
          <w:p w:rsidR="00260042" w:rsidRDefault="00260042" w:rsidP="00B43654">
            <w:pPr>
              <w:pStyle w:val="BodyText"/>
              <w:jc w:val="right"/>
            </w:pPr>
            <w:r>
              <w:rPr>
                <w:rStyle w:val="Bold"/>
                <w:sz w:val="18"/>
                <w:szCs w:val="18"/>
              </w:rPr>
              <w:t>2,044,717</w:t>
            </w:r>
          </w:p>
        </w:tc>
        <w:tc>
          <w:tcPr>
            <w:tcW w:w="0" w:type="auto"/>
          </w:tcPr>
          <w:p w:rsidR="00260042" w:rsidRDefault="00260042" w:rsidP="00B43654">
            <w:pPr>
              <w:pStyle w:val="BodyText"/>
              <w:jc w:val="right"/>
              <w:rPr>
                <w:rFonts w:ascii="Roboto Lt" w:hAnsi="Roboto Lt"/>
              </w:rPr>
            </w:pPr>
          </w:p>
        </w:tc>
      </w:tr>
      <w:tr w:rsidR="00260042" w:rsidTr="003824D8">
        <w:trPr>
          <w:trHeight w:val="229"/>
        </w:trPr>
        <w:tc>
          <w:tcPr>
            <w:tcW w:w="0" w:type="auto"/>
          </w:tcPr>
          <w:p w:rsidR="00260042" w:rsidRDefault="00260042" w:rsidP="00B43654">
            <w:pPr>
              <w:pStyle w:val="BodyText"/>
            </w:pPr>
            <w:r>
              <w:rPr>
                <w:rStyle w:val="Bold"/>
                <w:sz w:val="18"/>
                <w:szCs w:val="18"/>
              </w:rPr>
              <w:t>Total resourcing and payments for Services Australia</w:t>
            </w:r>
          </w:p>
        </w:tc>
        <w:tc>
          <w:tcPr>
            <w:tcW w:w="0" w:type="auto"/>
          </w:tcPr>
          <w:p w:rsidR="00260042" w:rsidRDefault="00260042" w:rsidP="00B43654">
            <w:pPr>
              <w:pStyle w:val="BodyText"/>
              <w:jc w:val="right"/>
            </w:pPr>
            <w:r>
              <w:rPr>
                <w:rStyle w:val="Bold"/>
                <w:sz w:val="18"/>
                <w:szCs w:val="18"/>
              </w:rPr>
              <w:t>9,245,512</w:t>
            </w:r>
          </w:p>
        </w:tc>
        <w:tc>
          <w:tcPr>
            <w:tcW w:w="0" w:type="auto"/>
          </w:tcPr>
          <w:p w:rsidR="00260042" w:rsidRDefault="00260042" w:rsidP="00B43654">
            <w:pPr>
              <w:pStyle w:val="BodyText"/>
              <w:jc w:val="right"/>
            </w:pPr>
            <w:r>
              <w:rPr>
                <w:rStyle w:val="Bold"/>
                <w:sz w:val="18"/>
                <w:szCs w:val="18"/>
              </w:rPr>
              <w:t>7,720,321</w:t>
            </w:r>
          </w:p>
        </w:tc>
        <w:tc>
          <w:tcPr>
            <w:tcW w:w="0" w:type="auto"/>
          </w:tcPr>
          <w:p w:rsidR="00260042" w:rsidRDefault="00260042" w:rsidP="00B43654">
            <w:pPr>
              <w:pStyle w:val="BodyText"/>
              <w:jc w:val="right"/>
              <w:rPr>
                <w:rFonts w:ascii="Roboto Lt" w:hAnsi="Roboto Lt"/>
              </w:rPr>
            </w:pPr>
          </w:p>
        </w:tc>
      </w:tr>
    </w:tbl>
    <w:p w:rsidR="00260042" w:rsidRDefault="00260042" w:rsidP="00EA5510">
      <w:pPr>
        <w:pStyle w:val="BodyText"/>
      </w:pPr>
      <w:r>
        <w:t>1.</w:t>
      </w:r>
      <w:r>
        <w:tab/>
      </w:r>
      <w:r>
        <w:rPr>
          <w:rStyle w:val="Italic"/>
          <w:spacing w:val="-2"/>
        </w:rPr>
        <w:t>Supply Act (No. 1) 2020–2021</w:t>
      </w:r>
      <w:r>
        <w:t xml:space="preserve">, </w:t>
      </w:r>
      <w:r>
        <w:rPr>
          <w:rStyle w:val="Italic"/>
          <w:spacing w:val="-2"/>
        </w:rPr>
        <w:t>Appropriation Act (No. 1) 2020–2021</w:t>
      </w:r>
      <w:r>
        <w:t xml:space="preserve"> and</w:t>
      </w:r>
      <w:r>
        <w:rPr>
          <w:rStyle w:val="Italic"/>
          <w:spacing w:val="-2"/>
        </w:rPr>
        <w:t xml:space="preserve"> Appropriation Act (No. 3) 2020–2021</w:t>
      </w:r>
      <w:r>
        <w:t xml:space="preserve">. This may also include prior year departmental appropriation and external revenue under section 74 of the </w:t>
      </w:r>
      <w:r>
        <w:rPr>
          <w:rStyle w:val="Italic"/>
          <w:spacing w:val="-2"/>
        </w:rPr>
        <w:t>Public Governance, Performance and Accountability Act 2013</w:t>
      </w:r>
      <w:r>
        <w:t xml:space="preserve"> (PGPA Act).</w:t>
      </w:r>
    </w:p>
    <w:p w:rsidR="00260042" w:rsidRDefault="00260042" w:rsidP="00EA5510">
      <w:pPr>
        <w:pStyle w:val="BodyText"/>
      </w:pPr>
      <w:r>
        <w:t>2.</w:t>
      </w:r>
      <w:r>
        <w:tab/>
        <w:t xml:space="preserve">Departmental capital budgets </w:t>
      </w:r>
      <w:proofErr w:type="gramStart"/>
      <w:r>
        <w:t>are not separately identified</w:t>
      </w:r>
      <w:proofErr w:type="gramEnd"/>
      <w:r>
        <w:t xml:space="preserve"> in the Appropriation Act (Nos. 1, 3, 5) and Supply Act (No. 1) and form part of ordinary annual services items. For accounting purposes, this amount </w:t>
      </w:r>
      <w:proofErr w:type="gramStart"/>
      <w:r>
        <w:t>has been designated</w:t>
      </w:r>
      <w:proofErr w:type="gramEnd"/>
      <w:r>
        <w:t xml:space="preserve"> as a ‘contribution by owner’.</w:t>
      </w:r>
    </w:p>
    <w:p w:rsidR="00260042" w:rsidRDefault="00260042" w:rsidP="00EA5510">
      <w:pPr>
        <w:pStyle w:val="BodyText"/>
      </w:pPr>
      <w:r>
        <w:t>3.</w:t>
      </w:r>
      <w:r>
        <w:tab/>
      </w:r>
      <w:r>
        <w:rPr>
          <w:rStyle w:val="Italic"/>
        </w:rPr>
        <w:t>Supply Act (No. 2) 2020–2021, Appropriation Act (No. 2) 2020–2021 and Appropriation Act (No. 4) 2020–2021</w:t>
      </w:r>
      <w:r>
        <w:t xml:space="preserve">. </w:t>
      </w:r>
    </w:p>
    <w:p w:rsidR="00260042" w:rsidRDefault="00260042" w:rsidP="00C81689">
      <w:pPr>
        <w:pStyle w:val="Heading2"/>
      </w:pPr>
      <w:r>
        <w:lastRenderedPageBreak/>
        <w:t>Expenses by outcome</w:t>
      </w:r>
    </w:p>
    <w:p w:rsidR="00260042" w:rsidRDefault="00260042" w:rsidP="00260042">
      <w:pPr>
        <w:pStyle w:val="BodyText"/>
      </w:pPr>
      <w:r>
        <w:t xml:space="preserve">Government outcomes are the intended results, impacts or consequences of actions by the Government on the Australian community. Commonwealth programs are the primary vehicles by which government entities achieve the intended results of their outcome statements. Entities are required to identify the </w:t>
      </w:r>
      <w:proofErr w:type="gramStart"/>
      <w:r>
        <w:t>programs which</w:t>
      </w:r>
      <w:proofErr w:type="gramEnd"/>
      <w:r>
        <w:t xml:space="preserve"> contribute to government outcomes. </w:t>
      </w:r>
    </w:p>
    <w:p w:rsidR="00260042" w:rsidRDefault="00260042" w:rsidP="00260042">
      <w:pPr>
        <w:pStyle w:val="BodyText"/>
      </w:pPr>
      <w:proofErr w:type="gramStart"/>
      <w:r>
        <w:t>The following table provides information on the agency’s expenditure in achieving its outcome, and reported by program for Administered and Departmental funding sources.</w:t>
      </w:r>
      <w:proofErr w:type="gramEnd"/>
    </w:p>
    <w:p w:rsidR="00260042" w:rsidRPr="00EA5510" w:rsidRDefault="00511254" w:rsidP="00EA5510">
      <w:pPr>
        <w:pStyle w:val="BodyText"/>
        <w:rPr>
          <w:b/>
        </w:rPr>
      </w:pPr>
      <w:r>
        <w:rPr>
          <w:rStyle w:val="Bold"/>
          <w:bCs w:val="0"/>
        </w:rPr>
        <w:t xml:space="preserve">Table </w:t>
      </w:r>
      <w:r>
        <w:rPr>
          <w:rStyle w:val="Bold"/>
          <w:bCs w:val="0"/>
        </w:rPr>
        <w:t>50</w:t>
      </w:r>
      <w:r w:rsidR="00260042" w:rsidRPr="00EA5510">
        <w:rPr>
          <w:b/>
        </w:rPr>
        <w:t xml:space="preserve"> Services Australia expenses by Outcome 2020–21 </w:t>
      </w:r>
    </w:p>
    <w:p w:rsidR="00260042" w:rsidRDefault="00260042" w:rsidP="00260042">
      <w:pPr>
        <w:pStyle w:val="BodyText"/>
      </w:pPr>
      <w:r>
        <w:rPr>
          <w:rStyle w:val="Bold"/>
        </w:rPr>
        <w:t>Outcome 1:</w:t>
      </w:r>
      <w:r>
        <w:t xml:space="preserve"> 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tbl>
      <w:tblPr>
        <w:tblStyle w:val="TableGrid"/>
        <w:tblW w:w="5000" w:type="pct"/>
        <w:tblLook w:val="0000" w:firstRow="0" w:lastRow="0" w:firstColumn="0" w:lastColumn="0" w:noHBand="0" w:noVBand="0"/>
        <w:tblCaption w:val=" Services Australia expenses by Outcome 2020–21 "/>
      </w:tblPr>
      <w:tblGrid>
        <w:gridCol w:w="5023"/>
        <w:gridCol w:w="2141"/>
        <w:gridCol w:w="1813"/>
        <w:gridCol w:w="1813"/>
      </w:tblGrid>
      <w:tr w:rsidR="00260042" w:rsidTr="00B43654">
        <w:trPr>
          <w:trHeight w:val="521"/>
          <w:tblHeader/>
        </w:trPr>
        <w:tc>
          <w:tcPr>
            <w:tcW w:w="2328" w:type="pct"/>
            <w:vMerge w:val="restart"/>
          </w:tcPr>
          <w:p w:rsidR="00260042" w:rsidRDefault="00260042" w:rsidP="00B43654">
            <w:pPr>
              <w:pStyle w:val="BodyText"/>
            </w:pPr>
          </w:p>
        </w:tc>
        <w:tc>
          <w:tcPr>
            <w:tcW w:w="992" w:type="pct"/>
          </w:tcPr>
          <w:p w:rsidR="00260042" w:rsidRDefault="00260042" w:rsidP="00B43654">
            <w:pPr>
              <w:pStyle w:val="BodyText"/>
              <w:jc w:val="right"/>
            </w:pPr>
            <w:r>
              <w:rPr>
                <w:rStyle w:val="Bold"/>
                <w:sz w:val="18"/>
                <w:szCs w:val="18"/>
              </w:rPr>
              <w:t>Budget</w:t>
            </w:r>
            <w:r>
              <w:rPr>
                <w:rStyle w:val="Bold"/>
                <w:sz w:val="18"/>
                <w:szCs w:val="18"/>
                <w:vertAlign w:val="superscript"/>
              </w:rPr>
              <w:t>1</w:t>
            </w:r>
          </w:p>
        </w:tc>
        <w:tc>
          <w:tcPr>
            <w:tcW w:w="840" w:type="pct"/>
          </w:tcPr>
          <w:p w:rsidR="00260042" w:rsidRDefault="00260042" w:rsidP="00B43654">
            <w:pPr>
              <w:pStyle w:val="BodyText"/>
              <w:jc w:val="right"/>
            </w:pPr>
            <w:r>
              <w:rPr>
                <w:rStyle w:val="Bold"/>
                <w:sz w:val="18"/>
                <w:szCs w:val="18"/>
              </w:rPr>
              <w:t>Actual expenses</w:t>
            </w:r>
          </w:p>
        </w:tc>
        <w:tc>
          <w:tcPr>
            <w:tcW w:w="840" w:type="pct"/>
          </w:tcPr>
          <w:p w:rsidR="00260042" w:rsidRDefault="00260042" w:rsidP="00B43654">
            <w:pPr>
              <w:pStyle w:val="BodyText"/>
              <w:jc w:val="right"/>
            </w:pPr>
            <w:r>
              <w:rPr>
                <w:rStyle w:val="Bold"/>
                <w:sz w:val="18"/>
                <w:szCs w:val="18"/>
              </w:rPr>
              <w:t>Variation</w:t>
            </w:r>
          </w:p>
        </w:tc>
      </w:tr>
      <w:tr w:rsidR="00260042" w:rsidTr="00B43654">
        <w:trPr>
          <w:trHeight w:val="376"/>
          <w:tblHeader/>
        </w:trPr>
        <w:tc>
          <w:tcPr>
            <w:tcW w:w="2328" w:type="pct"/>
            <w:vMerge/>
          </w:tcPr>
          <w:p w:rsidR="00260042" w:rsidRDefault="00260042" w:rsidP="00B43654">
            <w:pPr>
              <w:pStyle w:val="BodyText"/>
            </w:pPr>
          </w:p>
        </w:tc>
        <w:tc>
          <w:tcPr>
            <w:tcW w:w="992" w:type="pct"/>
          </w:tcPr>
          <w:p w:rsidR="00260042" w:rsidRDefault="00260042" w:rsidP="00B43654">
            <w:pPr>
              <w:pStyle w:val="BodyText"/>
              <w:jc w:val="right"/>
            </w:pPr>
            <w:r>
              <w:rPr>
                <w:rStyle w:val="Bold"/>
                <w:sz w:val="18"/>
                <w:szCs w:val="18"/>
              </w:rPr>
              <w:t>$'000</w:t>
            </w:r>
          </w:p>
        </w:tc>
        <w:tc>
          <w:tcPr>
            <w:tcW w:w="840" w:type="pct"/>
          </w:tcPr>
          <w:p w:rsidR="00260042" w:rsidRDefault="00260042" w:rsidP="00B43654">
            <w:pPr>
              <w:pStyle w:val="BodyText"/>
              <w:jc w:val="right"/>
            </w:pPr>
            <w:r>
              <w:rPr>
                <w:rStyle w:val="Bold"/>
                <w:sz w:val="18"/>
                <w:szCs w:val="18"/>
              </w:rPr>
              <w:t>$'000</w:t>
            </w:r>
          </w:p>
        </w:tc>
        <w:tc>
          <w:tcPr>
            <w:tcW w:w="840" w:type="pct"/>
          </w:tcPr>
          <w:p w:rsidR="00260042" w:rsidRDefault="00260042" w:rsidP="00B43654">
            <w:pPr>
              <w:pStyle w:val="BodyText"/>
              <w:jc w:val="right"/>
            </w:pPr>
            <w:r>
              <w:rPr>
                <w:rStyle w:val="Bold"/>
                <w:sz w:val="18"/>
                <w:szCs w:val="18"/>
              </w:rPr>
              <w:t>$'000</w:t>
            </w:r>
          </w:p>
        </w:tc>
      </w:tr>
      <w:tr w:rsidR="00260042" w:rsidTr="00B43654">
        <w:trPr>
          <w:trHeight w:val="229"/>
        </w:trPr>
        <w:tc>
          <w:tcPr>
            <w:tcW w:w="2328" w:type="pct"/>
          </w:tcPr>
          <w:p w:rsidR="00260042" w:rsidRDefault="00260042" w:rsidP="00B43654">
            <w:pPr>
              <w:pStyle w:val="BodyText"/>
            </w:pPr>
          </w:p>
        </w:tc>
        <w:tc>
          <w:tcPr>
            <w:tcW w:w="992" w:type="pct"/>
          </w:tcPr>
          <w:p w:rsidR="00260042" w:rsidRDefault="00260042" w:rsidP="00B43654">
            <w:pPr>
              <w:pStyle w:val="BodyText"/>
              <w:jc w:val="right"/>
            </w:pPr>
            <w:r>
              <w:rPr>
                <w:sz w:val="18"/>
                <w:szCs w:val="18"/>
              </w:rPr>
              <w:t>(a)</w:t>
            </w:r>
          </w:p>
        </w:tc>
        <w:tc>
          <w:tcPr>
            <w:tcW w:w="840" w:type="pct"/>
          </w:tcPr>
          <w:p w:rsidR="00260042" w:rsidRDefault="00260042" w:rsidP="00B43654">
            <w:pPr>
              <w:pStyle w:val="BodyText"/>
              <w:jc w:val="right"/>
            </w:pPr>
            <w:r>
              <w:rPr>
                <w:sz w:val="18"/>
                <w:szCs w:val="18"/>
              </w:rPr>
              <w:t>(b)</w:t>
            </w:r>
          </w:p>
        </w:tc>
        <w:tc>
          <w:tcPr>
            <w:tcW w:w="840" w:type="pct"/>
          </w:tcPr>
          <w:p w:rsidR="00260042" w:rsidRDefault="00260042" w:rsidP="00B43654">
            <w:pPr>
              <w:pStyle w:val="BodyText"/>
              <w:jc w:val="right"/>
            </w:pPr>
            <w:r>
              <w:rPr>
                <w:sz w:val="18"/>
                <w:szCs w:val="18"/>
              </w:rPr>
              <w:t>(a)–(b)</w:t>
            </w:r>
          </w:p>
        </w:tc>
      </w:tr>
      <w:tr w:rsidR="00260042" w:rsidTr="00B43654">
        <w:trPr>
          <w:trHeight w:val="229"/>
        </w:trPr>
        <w:tc>
          <w:tcPr>
            <w:tcW w:w="2328" w:type="pct"/>
          </w:tcPr>
          <w:p w:rsidR="00260042" w:rsidRDefault="00260042" w:rsidP="00B43654">
            <w:pPr>
              <w:pStyle w:val="BodyText"/>
            </w:pPr>
            <w:r>
              <w:rPr>
                <w:rStyle w:val="Bold"/>
                <w:sz w:val="18"/>
                <w:szCs w:val="18"/>
              </w:rPr>
              <w:t>Program 1.1: Services to the Community – Social Security and Welfare</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rStyle w:val="Bold"/>
                <w:sz w:val="18"/>
                <w:szCs w:val="18"/>
              </w:rPr>
              <w:t>Departmental expenses</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sz w:val="18"/>
                <w:szCs w:val="18"/>
              </w:rPr>
              <w:t>Departmental appropriation</w:t>
            </w:r>
          </w:p>
        </w:tc>
        <w:tc>
          <w:tcPr>
            <w:tcW w:w="992" w:type="pct"/>
          </w:tcPr>
          <w:p w:rsidR="00260042" w:rsidRDefault="00260042" w:rsidP="00B43654">
            <w:pPr>
              <w:pStyle w:val="BodyText"/>
              <w:jc w:val="right"/>
            </w:pPr>
            <w:r>
              <w:rPr>
                <w:sz w:val="18"/>
                <w:szCs w:val="18"/>
              </w:rPr>
              <w:t>3,755,224</w:t>
            </w:r>
          </w:p>
        </w:tc>
        <w:tc>
          <w:tcPr>
            <w:tcW w:w="840" w:type="pct"/>
          </w:tcPr>
          <w:p w:rsidR="00260042" w:rsidRDefault="00260042" w:rsidP="00B43654">
            <w:pPr>
              <w:pStyle w:val="BodyText"/>
              <w:jc w:val="right"/>
            </w:pPr>
            <w:r>
              <w:rPr>
                <w:sz w:val="18"/>
                <w:szCs w:val="18"/>
              </w:rPr>
              <w:t>3,965,346</w:t>
            </w:r>
          </w:p>
        </w:tc>
        <w:tc>
          <w:tcPr>
            <w:tcW w:w="840" w:type="pct"/>
          </w:tcPr>
          <w:p w:rsidR="00260042" w:rsidRDefault="00260042" w:rsidP="00B43654">
            <w:pPr>
              <w:pStyle w:val="BodyText"/>
              <w:jc w:val="right"/>
            </w:pPr>
            <w:r>
              <w:rPr>
                <w:sz w:val="18"/>
                <w:szCs w:val="18"/>
              </w:rPr>
              <w:t>(210,122)</w:t>
            </w:r>
          </w:p>
        </w:tc>
      </w:tr>
      <w:tr w:rsidR="00260042" w:rsidTr="00B43654">
        <w:trPr>
          <w:trHeight w:val="229"/>
        </w:trPr>
        <w:tc>
          <w:tcPr>
            <w:tcW w:w="2328" w:type="pct"/>
          </w:tcPr>
          <w:p w:rsidR="00260042" w:rsidRDefault="00260042" w:rsidP="00B43654">
            <w:pPr>
              <w:pStyle w:val="BodyText"/>
            </w:pPr>
            <w:r>
              <w:rPr>
                <w:sz w:val="18"/>
                <w:szCs w:val="18"/>
              </w:rPr>
              <w:t>s. 74 External revenue</w:t>
            </w:r>
            <w:r>
              <w:rPr>
                <w:sz w:val="18"/>
                <w:szCs w:val="18"/>
                <w:vertAlign w:val="superscript"/>
              </w:rPr>
              <w:t>2</w:t>
            </w:r>
          </w:p>
        </w:tc>
        <w:tc>
          <w:tcPr>
            <w:tcW w:w="992" w:type="pct"/>
          </w:tcPr>
          <w:p w:rsidR="00260042" w:rsidRDefault="00260042" w:rsidP="00B43654">
            <w:pPr>
              <w:pStyle w:val="BodyText"/>
              <w:jc w:val="right"/>
            </w:pPr>
            <w:r>
              <w:rPr>
                <w:sz w:val="18"/>
                <w:szCs w:val="18"/>
              </w:rPr>
              <w:t>200,588</w:t>
            </w:r>
          </w:p>
        </w:tc>
        <w:tc>
          <w:tcPr>
            <w:tcW w:w="840" w:type="pct"/>
          </w:tcPr>
          <w:p w:rsidR="00260042" w:rsidRDefault="00260042" w:rsidP="00B43654">
            <w:pPr>
              <w:pStyle w:val="BodyText"/>
              <w:jc w:val="right"/>
            </w:pPr>
            <w:r>
              <w:rPr>
                <w:sz w:val="18"/>
                <w:szCs w:val="18"/>
              </w:rPr>
              <w:t>187,483</w:t>
            </w:r>
          </w:p>
        </w:tc>
        <w:tc>
          <w:tcPr>
            <w:tcW w:w="840" w:type="pct"/>
          </w:tcPr>
          <w:p w:rsidR="00260042" w:rsidRDefault="00260042" w:rsidP="00B43654">
            <w:pPr>
              <w:pStyle w:val="BodyText"/>
              <w:jc w:val="right"/>
            </w:pPr>
            <w:r>
              <w:rPr>
                <w:sz w:val="18"/>
                <w:szCs w:val="18"/>
              </w:rPr>
              <w:t>13,105</w:t>
            </w:r>
          </w:p>
        </w:tc>
      </w:tr>
      <w:tr w:rsidR="00260042" w:rsidTr="00B43654">
        <w:trPr>
          <w:trHeight w:val="229"/>
        </w:trPr>
        <w:tc>
          <w:tcPr>
            <w:tcW w:w="2328" w:type="pct"/>
          </w:tcPr>
          <w:p w:rsidR="00260042" w:rsidRDefault="00260042" w:rsidP="00B43654">
            <w:pPr>
              <w:pStyle w:val="BodyText"/>
            </w:pPr>
            <w:r>
              <w:rPr>
                <w:sz w:val="18"/>
                <w:szCs w:val="18"/>
              </w:rPr>
              <w:t>Expenses not requiring appropriation in the Budget year</w:t>
            </w:r>
            <w:r>
              <w:rPr>
                <w:sz w:val="18"/>
                <w:szCs w:val="18"/>
                <w:vertAlign w:val="superscript"/>
              </w:rPr>
              <w:t>3</w:t>
            </w:r>
          </w:p>
        </w:tc>
        <w:tc>
          <w:tcPr>
            <w:tcW w:w="992" w:type="pct"/>
          </w:tcPr>
          <w:p w:rsidR="00260042" w:rsidRDefault="00260042" w:rsidP="00B43654">
            <w:pPr>
              <w:pStyle w:val="BodyText"/>
              <w:jc w:val="right"/>
            </w:pPr>
            <w:r>
              <w:rPr>
                <w:sz w:val="18"/>
                <w:szCs w:val="18"/>
              </w:rPr>
              <w:t>609,532</w:t>
            </w:r>
          </w:p>
        </w:tc>
        <w:tc>
          <w:tcPr>
            <w:tcW w:w="840" w:type="pct"/>
          </w:tcPr>
          <w:p w:rsidR="00260042" w:rsidRDefault="00260042" w:rsidP="00B43654">
            <w:pPr>
              <w:pStyle w:val="BodyText"/>
              <w:jc w:val="right"/>
            </w:pPr>
            <w:r>
              <w:rPr>
                <w:sz w:val="18"/>
                <w:szCs w:val="18"/>
              </w:rPr>
              <w:t>315,480</w:t>
            </w:r>
          </w:p>
        </w:tc>
        <w:tc>
          <w:tcPr>
            <w:tcW w:w="840" w:type="pct"/>
          </w:tcPr>
          <w:p w:rsidR="00260042" w:rsidRDefault="00260042" w:rsidP="00B43654">
            <w:pPr>
              <w:pStyle w:val="BodyText"/>
              <w:jc w:val="right"/>
            </w:pPr>
            <w:r>
              <w:rPr>
                <w:sz w:val="18"/>
                <w:szCs w:val="18"/>
              </w:rPr>
              <w:t>294,052</w:t>
            </w:r>
          </w:p>
        </w:tc>
      </w:tr>
      <w:tr w:rsidR="00260042" w:rsidTr="00B43654">
        <w:trPr>
          <w:trHeight w:val="229"/>
        </w:trPr>
        <w:tc>
          <w:tcPr>
            <w:tcW w:w="2328" w:type="pct"/>
          </w:tcPr>
          <w:p w:rsidR="00260042" w:rsidRDefault="00260042" w:rsidP="00B43654">
            <w:pPr>
              <w:pStyle w:val="BodyText"/>
            </w:pPr>
            <w:r>
              <w:rPr>
                <w:rStyle w:val="Bold"/>
                <w:sz w:val="18"/>
                <w:szCs w:val="18"/>
              </w:rPr>
              <w:t>Departmental total</w:t>
            </w:r>
          </w:p>
        </w:tc>
        <w:tc>
          <w:tcPr>
            <w:tcW w:w="992" w:type="pct"/>
          </w:tcPr>
          <w:p w:rsidR="00260042" w:rsidRDefault="00260042" w:rsidP="00B43654">
            <w:pPr>
              <w:pStyle w:val="BodyText"/>
              <w:jc w:val="right"/>
            </w:pPr>
            <w:r>
              <w:rPr>
                <w:rStyle w:val="Bold"/>
                <w:sz w:val="18"/>
                <w:szCs w:val="18"/>
              </w:rPr>
              <w:t>4,565,344</w:t>
            </w:r>
          </w:p>
        </w:tc>
        <w:tc>
          <w:tcPr>
            <w:tcW w:w="840" w:type="pct"/>
          </w:tcPr>
          <w:p w:rsidR="00260042" w:rsidRDefault="00260042" w:rsidP="00B43654">
            <w:pPr>
              <w:pStyle w:val="BodyText"/>
              <w:jc w:val="right"/>
            </w:pPr>
            <w:r>
              <w:rPr>
                <w:rStyle w:val="Bold"/>
                <w:sz w:val="18"/>
                <w:szCs w:val="18"/>
              </w:rPr>
              <w:t>4,468,309</w:t>
            </w:r>
          </w:p>
        </w:tc>
        <w:tc>
          <w:tcPr>
            <w:tcW w:w="840" w:type="pct"/>
          </w:tcPr>
          <w:p w:rsidR="00260042" w:rsidRDefault="00260042" w:rsidP="00B43654">
            <w:pPr>
              <w:pStyle w:val="BodyText"/>
              <w:jc w:val="right"/>
            </w:pPr>
            <w:r>
              <w:rPr>
                <w:rStyle w:val="Bold"/>
                <w:sz w:val="18"/>
                <w:szCs w:val="18"/>
              </w:rPr>
              <w:t>97,035</w:t>
            </w:r>
          </w:p>
        </w:tc>
      </w:tr>
      <w:tr w:rsidR="00260042" w:rsidTr="00B43654">
        <w:trPr>
          <w:trHeight w:val="229"/>
        </w:trPr>
        <w:tc>
          <w:tcPr>
            <w:tcW w:w="2328" w:type="pct"/>
          </w:tcPr>
          <w:p w:rsidR="00260042" w:rsidRDefault="00260042" w:rsidP="00B43654">
            <w:pPr>
              <w:pStyle w:val="BodyText"/>
            </w:pPr>
            <w:r>
              <w:rPr>
                <w:rStyle w:val="Bold"/>
                <w:sz w:val="18"/>
                <w:szCs w:val="18"/>
              </w:rPr>
              <w:t>Total expenses for Program 1.1</w:t>
            </w:r>
          </w:p>
        </w:tc>
        <w:tc>
          <w:tcPr>
            <w:tcW w:w="992" w:type="pct"/>
          </w:tcPr>
          <w:p w:rsidR="00260042" w:rsidRDefault="00260042" w:rsidP="00B43654">
            <w:pPr>
              <w:pStyle w:val="BodyText"/>
              <w:jc w:val="right"/>
            </w:pPr>
            <w:r>
              <w:rPr>
                <w:rStyle w:val="Bold"/>
                <w:sz w:val="18"/>
                <w:szCs w:val="18"/>
              </w:rPr>
              <w:t>4,565,344</w:t>
            </w:r>
          </w:p>
        </w:tc>
        <w:tc>
          <w:tcPr>
            <w:tcW w:w="840" w:type="pct"/>
          </w:tcPr>
          <w:p w:rsidR="00260042" w:rsidRDefault="00260042" w:rsidP="00B43654">
            <w:pPr>
              <w:pStyle w:val="BodyText"/>
              <w:jc w:val="right"/>
            </w:pPr>
            <w:r>
              <w:rPr>
                <w:rStyle w:val="Bold"/>
                <w:sz w:val="18"/>
                <w:szCs w:val="18"/>
              </w:rPr>
              <w:t>4,468,309</w:t>
            </w:r>
          </w:p>
        </w:tc>
        <w:tc>
          <w:tcPr>
            <w:tcW w:w="840" w:type="pct"/>
          </w:tcPr>
          <w:p w:rsidR="00260042" w:rsidRDefault="00260042" w:rsidP="00B43654">
            <w:pPr>
              <w:pStyle w:val="BodyText"/>
              <w:jc w:val="right"/>
            </w:pPr>
            <w:r>
              <w:rPr>
                <w:rStyle w:val="Bold"/>
                <w:sz w:val="18"/>
                <w:szCs w:val="18"/>
              </w:rPr>
              <w:t>97,035</w:t>
            </w:r>
          </w:p>
        </w:tc>
      </w:tr>
      <w:tr w:rsidR="00260042" w:rsidTr="00B43654">
        <w:trPr>
          <w:trHeight w:val="229"/>
        </w:trPr>
        <w:tc>
          <w:tcPr>
            <w:tcW w:w="2328" w:type="pct"/>
          </w:tcPr>
          <w:p w:rsidR="00260042" w:rsidRDefault="00260042" w:rsidP="00B43654">
            <w:pPr>
              <w:pStyle w:val="BodyText"/>
            </w:pPr>
            <w:r>
              <w:rPr>
                <w:rStyle w:val="Bold"/>
                <w:sz w:val="18"/>
                <w:szCs w:val="18"/>
              </w:rPr>
              <w:t>Program 1.2: Services to the Community – Health</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rStyle w:val="Bold"/>
                <w:sz w:val="18"/>
                <w:szCs w:val="18"/>
              </w:rPr>
              <w:t>Departmental expenses</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sz w:val="18"/>
                <w:szCs w:val="18"/>
              </w:rPr>
              <w:t>Departmental appropriation</w:t>
            </w:r>
          </w:p>
        </w:tc>
        <w:tc>
          <w:tcPr>
            <w:tcW w:w="992" w:type="pct"/>
          </w:tcPr>
          <w:p w:rsidR="00260042" w:rsidRDefault="00260042" w:rsidP="00B43654">
            <w:pPr>
              <w:pStyle w:val="BodyText"/>
              <w:jc w:val="right"/>
            </w:pPr>
            <w:r>
              <w:rPr>
                <w:sz w:val="18"/>
                <w:szCs w:val="18"/>
              </w:rPr>
              <w:t xml:space="preserve"> 593,160 </w:t>
            </w:r>
          </w:p>
        </w:tc>
        <w:tc>
          <w:tcPr>
            <w:tcW w:w="840" w:type="pct"/>
          </w:tcPr>
          <w:p w:rsidR="00260042" w:rsidRDefault="00260042" w:rsidP="00B43654">
            <w:pPr>
              <w:pStyle w:val="BodyText"/>
              <w:jc w:val="right"/>
            </w:pPr>
            <w:r>
              <w:rPr>
                <w:sz w:val="18"/>
                <w:szCs w:val="18"/>
              </w:rPr>
              <w:t>611,776</w:t>
            </w:r>
          </w:p>
        </w:tc>
        <w:tc>
          <w:tcPr>
            <w:tcW w:w="840" w:type="pct"/>
          </w:tcPr>
          <w:p w:rsidR="00260042" w:rsidRDefault="00260042" w:rsidP="00B43654">
            <w:pPr>
              <w:pStyle w:val="BodyText"/>
              <w:jc w:val="right"/>
            </w:pPr>
            <w:r>
              <w:rPr>
                <w:sz w:val="18"/>
                <w:szCs w:val="18"/>
              </w:rPr>
              <w:t>(18,616)</w:t>
            </w:r>
          </w:p>
        </w:tc>
      </w:tr>
      <w:tr w:rsidR="00260042" w:rsidTr="00B43654">
        <w:trPr>
          <w:trHeight w:val="229"/>
        </w:trPr>
        <w:tc>
          <w:tcPr>
            <w:tcW w:w="2328" w:type="pct"/>
          </w:tcPr>
          <w:p w:rsidR="00260042" w:rsidRDefault="00260042" w:rsidP="00B43654">
            <w:pPr>
              <w:pStyle w:val="BodyText"/>
            </w:pPr>
            <w:r>
              <w:rPr>
                <w:sz w:val="18"/>
                <w:szCs w:val="18"/>
              </w:rPr>
              <w:t>s. 74 External revenue</w:t>
            </w:r>
            <w:r>
              <w:rPr>
                <w:sz w:val="18"/>
                <w:szCs w:val="18"/>
                <w:vertAlign w:val="superscript"/>
              </w:rPr>
              <w:t>2</w:t>
            </w:r>
          </w:p>
        </w:tc>
        <w:tc>
          <w:tcPr>
            <w:tcW w:w="992" w:type="pct"/>
          </w:tcPr>
          <w:p w:rsidR="00260042" w:rsidRDefault="00260042" w:rsidP="00B43654">
            <w:pPr>
              <w:pStyle w:val="BodyText"/>
              <w:jc w:val="right"/>
            </w:pPr>
            <w:r>
              <w:rPr>
                <w:sz w:val="18"/>
                <w:szCs w:val="18"/>
              </w:rPr>
              <w:t xml:space="preserve"> 39,029 </w:t>
            </w:r>
          </w:p>
        </w:tc>
        <w:tc>
          <w:tcPr>
            <w:tcW w:w="840" w:type="pct"/>
          </w:tcPr>
          <w:p w:rsidR="00260042" w:rsidRDefault="00260042" w:rsidP="00B43654">
            <w:pPr>
              <w:pStyle w:val="BodyText"/>
              <w:jc w:val="right"/>
            </w:pPr>
            <w:r>
              <w:rPr>
                <w:sz w:val="18"/>
                <w:szCs w:val="18"/>
              </w:rPr>
              <w:t xml:space="preserve"> 33,798 </w:t>
            </w:r>
          </w:p>
        </w:tc>
        <w:tc>
          <w:tcPr>
            <w:tcW w:w="840" w:type="pct"/>
          </w:tcPr>
          <w:p w:rsidR="00260042" w:rsidRDefault="00260042" w:rsidP="00B43654">
            <w:pPr>
              <w:pStyle w:val="BodyText"/>
              <w:jc w:val="right"/>
            </w:pPr>
            <w:r>
              <w:rPr>
                <w:sz w:val="18"/>
                <w:szCs w:val="18"/>
              </w:rPr>
              <w:t>5,231</w:t>
            </w:r>
          </w:p>
        </w:tc>
      </w:tr>
      <w:tr w:rsidR="00260042" w:rsidTr="00B43654">
        <w:trPr>
          <w:trHeight w:val="229"/>
        </w:trPr>
        <w:tc>
          <w:tcPr>
            <w:tcW w:w="2328" w:type="pct"/>
          </w:tcPr>
          <w:p w:rsidR="00260042" w:rsidRDefault="00260042" w:rsidP="00B43654">
            <w:pPr>
              <w:pStyle w:val="BodyText"/>
            </w:pPr>
            <w:r>
              <w:rPr>
                <w:sz w:val="18"/>
                <w:szCs w:val="18"/>
              </w:rPr>
              <w:t>Expenses not requiring appropriation in the Budget year</w:t>
            </w:r>
            <w:r>
              <w:rPr>
                <w:sz w:val="18"/>
                <w:szCs w:val="18"/>
                <w:vertAlign w:val="superscript"/>
              </w:rPr>
              <w:t>3</w:t>
            </w:r>
          </w:p>
        </w:tc>
        <w:tc>
          <w:tcPr>
            <w:tcW w:w="992" w:type="pct"/>
          </w:tcPr>
          <w:p w:rsidR="00260042" w:rsidRDefault="00260042" w:rsidP="00B43654">
            <w:pPr>
              <w:pStyle w:val="BodyText"/>
              <w:jc w:val="right"/>
            </w:pPr>
            <w:r>
              <w:rPr>
                <w:sz w:val="18"/>
                <w:szCs w:val="18"/>
              </w:rPr>
              <w:t xml:space="preserve"> 109,405 </w:t>
            </w:r>
          </w:p>
        </w:tc>
        <w:tc>
          <w:tcPr>
            <w:tcW w:w="840" w:type="pct"/>
          </w:tcPr>
          <w:p w:rsidR="00260042" w:rsidRDefault="00260042" w:rsidP="00B43654">
            <w:pPr>
              <w:pStyle w:val="BodyText"/>
              <w:jc w:val="right"/>
            </w:pPr>
            <w:r>
              <w:rPr>
                <w:sz w:val="18"/>
                <w:szCs w:val="18"/>
              </w:rPr>
              <w:t xml:space="preserve"> 62,185 </w:t>
            </w:r>
          </w:p>
        </w:tc>
        <w:tc>
          <w:tcPr>
            <w:tcW w:w="840" w:type="pct"/>
          </w:tcPr>
          <w:p w:rsidR="00260042" w:rsidRDefault="00260042" w:rsidP="00B43654">
            <w:pPr>
              <w:pStyle w:val="BodyText"/>
              <w:jc w:val="right"/>
            </w:pPr>
            <w:r>
              <w:rPr>
                <w:sz w:val="18"/>
                <w:szCs w:val="18"/>
              </w:rPr>
              <w:t>47,220</w:t>
            </w:r>
          </w:p>
        </w:tc>
      </w:tr>
      <w:tr w:rsidR="00260042" w:rsidTr="00B43654">
        <w:trPr>
          <w:trHeight w:val="229"/>
        </w:trPr>
        <w:tc>
          <w:tcPr>
            <w:tcW w:w="2328" w:type="pct"/>
          </w:tcPr>
          <w:p w:rsidR="00260042" w:rsidRDefault="00260042" w:rsidP="00B43654">
            <w:pPr>
              <w:pStyle w:val="BodyText"/>
            </w:pPr>
            <w:r>
              <w:rPr>
                <w:rStyle w:val="Bold"/>
                <w:sz w:val="18"/>
                <w:szCs w:val="18"/>
              </w:rPr>
              <w:t>Departmental total</w:t>
            </w:r>
          </w:p>
        </w:tc>
        <w:tc>
          <w:tcPr>
            <w:tcW w:w="992" w:type="pct"/>
          </w:tcPr>
          <w:p w:rsidR="00260042" w:rsidRDefault="00260042" w:rsidP="00B43654">
            <w:pPr>
              <w:pStyle w:val="BodyText"/>
              <w:jc w:val="right"/>
            </w:pPr>
            <w:r>
              <w:rPr>
                <w:rStyle w:val="Bold"/>
                <w:sz w:val="18"/>
                <w:szCs w:val="18"/>
              </w:rPr>
              <w:t>741,594</w:t>
            </w:r>
          </w:p>
        </w:tc>
        <w:tc>
          <w:tcPr>
            <w:tcW w:w="840" w:type="pct"/>
          </w:tcPr>
          <w:p w:rsidR="00260042" w:rsidRDefault="00260042" w:rsidP="00B43654">
            <w:pPr>
              <w:pStyle w:val="BodyText"/>
              <w:jc w:val="right"/>
            </w:pPr>
            <w:r>
              <w:rPr>
                <w:rStyle w:val="Bold"/>
                <w:sz w:val="18"/>
                <w:szCs w:val="18"/>
              </w:rPr>
              <w:t>707,759</w:t>
            </w:r>
          </w:p>
        </w:tc>
        <w:tc>
          <w:tcPr>
            <w:tcW w:w="840" w:type="pct"/>
          </w:tcPr>
          <w:p w:rsidR="00260042" w:rsidRDefault="00260042" w:rsidP="00B43654">
            <w:pPr>
              <w:pStyle w:val="BodyText"/>
              <w:jc w:val="right"/>
            </w:pPr>
            <w:r>
              <w:rPr>
                <w:rStyle w:val="Bold"/>
                <w:sz w:val="18"/>
                <w:szCs w:val="18"/>
              </w:rPr>
              <w:t>33,835</w:t>
            </w:r>
          </w:p>
        </w:tc>
      </w:tr>
      <w:tr w:rsidR="00260042" w:rsidTr="00B43654">
        <w:trPr>
          <w:trHeight w:val="229"/>
        </w:trPr>
        <w:tc>
          <w:tcPr>
            <w:tcW w:w="2328" w:type="pct"/>
          </w:tcPr>
          <w:p w:rsidR="00260042" w:rsidRDefault="00260042" w:rsidP="00B43654">
            <w:pPr>
              <w:pStyle w:val="BodyText"/>
            </w:pPr>
            <w:r>
              <w:rPr>
                <w:rStyle w:val="Bold"/>
                <w:sz w:val="18"/>
                <w:szCs w:val="18"/>
              </w:rPr>
              <w:lastRenderedPageBreak/>
              <w:t>Total expenses for Program 1.2</w:t>
            </w:r>
          </w:p>
        </w:tc>
        <w:tc>
          <w:tcPr>
            <w:tcW w:w="992" w:type="pct"/>
          </w:tcPr>
          <w:p w:rsidR="00260042" w:rsidRDefault="00260042" w:rsidP="00B43654">
            <w:pPr>
              <w:pStyle w:val="BodyText"/>
              <w:jc w:val="right"/>
            </w:pPr>
            <w:r>
              <w:rPr>
                <w:rStyle w:val="Bold"/>
                <w:sz w:val="18"/>
                <w:szCs w:val="18"/>
              </w:rPr>
              <w:t>741,594</w:t>
            </w:r>
          </w:p>
        </w:tc>
        <w:tc>
          <w:tcPr>
            <w:tcW w:w="840" w:type="pct"/>
          </w:tcPr>
          <w:p w:rsidR="00260042" w:rsidRDefault="00260042" w:rsidP="00B43654">
            <w:pPr>
              <w:pStyle w:val="BodyText"/>
              <w:jc w:val="right"/>
            </w:pPr>
            <w:r>
              <w:rPr>
                <w:rStyle w:val="Bold"/>
                <w:sz w:val="18"/>
                <w:szCs w:val="18"/>
              </w:rPr>
              <w:t>707,759</w:t>
            </w:r>
          </w:p>
        </w:tc>
        <w:tc>
          <w:tcPr>
            <w:tcW w:w="840" w:type="pct"/>
          </w:tcPr>
          <w:p w:rsidR="00260042" w:rsidRDefault="00260042" w:rsidP="00B43654">
            <w:pPr>
              <w:pStyle w:val="BodyText"/>
              <w:jc w:val="right"/>
            </w:pPr>
            <w:r>
              <w:rPr>
                <w:rStyle w:val="Bold"/>
                <w:sz w:val="18"/>
                <w:szCs w:val="18"/>
              </w:rPr>
              <w:t>33,835</w:t>
            </w:r>
          </w:p>
        </w:tc>
      </w:tr>
      <w:tr w:rsidR="00260042" w:rsidTr="00B43654">
        <w:trPr>
          <w:trHeight w:val="229"/>
        </w:trPr>
        <w:tc>
          <w:tcPr>
            <w:tcW w:w="2328" w:type="pct"/>
          </w:tcPr>
          <w:p w:rsidR="00260042" w:rsidRDefault="00260042" w:rsidP="00B43654">
            <w:pPr>
              <w:pStyle w:val="BodyText"/>
            </w:pPr>
            <w:r>
              <w:rPr>
                <w:rStyle w:val="Bold"/>
                <w:sz w:val="18"/>
                <w:szCs w:val="18"/>
              </w:rPr>
              <w:t>Program 1.3: Child Support</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rStyle w:val="Bold"/>
                <w:sz w:val="18"/>
                <w:szCs w:val="18"/>
              </w:rPr>
              <w:t>Administered expenses</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sz w:val="18"/>
                <w:szCs w:val="18"/>
              </w:rPr>
              <w:t>Ordinary annual services (Supply Act No. 1 and Appropriation Act No. 3)</w:t>
            </w:r>
          </w:p>
        </w:tc>
        <w:tc>
          <w:tcPr>
            <w:tcW w:w="992" w:type="pct"/>
          </w:tcPr>
          <w:p w:rsidR="00260042" w:rsidRDefault="00260042" w:rsidP="00B43654">
            <w:pPr>
              <w:pStyle w:val="BodyText"/>
              <w:jc w:val="right"/>
            </w:pPr>
            <w:r>
              <w:rPr>
                <w:sz w:val="18"/>
                <w:szCs w:val="18"/>
              </w:rPr>
              <w:t xml:space="preserve"> 1,691 </w:t>
            </w:r>
          </w:p>
        </w:tc>
        <w:tc>
          <w:tcPr>
            <w:tcW w:w="840" w:type="pct"/>
          </w:tcPr>
          <w:p w:rsidR="00260042" w:rsidRDefault="00260042" w:rsidP="00B43654">
            <w:pPr>
              <w:pStyle w:val="BodyText"/>
              <w:jc w:val="right"/>
            </w:pPr>
            <w:r>
              <w:rPr>
                <w:sz w:val="18"/>
                <w:szCs w:val="18"/>
              </w:rPr>
              <w:t xml:space="preserve"> 981 </w:t>
            </w:r>
          </w:p>
        </w:tc>
        <w:tc>
          <w:tcPr>
            <w:tcW w:w="840" w:type="pct"/>
          </w:tcPr>
          <w:p w:rsidR="00260042" w:rsidRDefault="00260042" w:rsidP="00B43654">
            <w:pPr>
              <w:pStyle w:val="BodyText"/>
              <w:jc w:val="right"/>
            </w:pPr>
            <w:r>
              <w:rPr>
                <w:sz w:val="18"/>
                <w:szCs w:val="18"/>
              </w:rPr>
              <w:t>710</w:t>
            </w:r>
          </w:p>
        </w:tc>
      </w:tr>
      <w:tr w:rsidR="00260042" w:rsidTr="00B43654">
        <w:trPr>
          <w:trHeight w:val="229"/>
        </w:trPr>
        <w:tc>
          <w:tcPr>
            <w:tcW w:w="2328" w:type="pct"/>
          </w:tcPr>
          <w:p w:rsidR="00260042" w:rsidRDefault="00260042" w:rsidP="00B43654">
            <w:pPr>
              <w:pStyle w:val="BodyText"/>
            </w:pPr>
            <w:r>
              <w:rPr>
                <w:sz w:val="18"/>
                <w:szCs w:val="18"/>
              </w:rPr>
              <w:t>Special accounts</w:t>
            </w:r>
          </w:p>
        </w:tc>
        <w:tc>
          <w:tcPr>
            <w:tcW w:w="992" w:type="pct"/>
          </w:tcPr>
          <w:p w:rsidR="00260042" w:rsidRDefault="00260042" w:rsidP="00B43654">
            <w:pPr>
              <w:pStyle w:val="BodyText"/>
              <w:jc w:val="right"/>
            </w:pPr>
            <w:r>
              <w:rPr>
                <w:sz w:val="18"/>
                <w:szCs w:val="18"/>
              </w:rPr>
              <w:t xml:space="preserve">1,693,487 </w:t>
            </w:r>
          </w:p>
        </w:tc>
        <w:tc>
          <w:tcPr>
            <w:tcW w:w="840" w:type="pct"/>
          </w:tcPr>
          <w:p w:rsidR="00260042" w:rsidRDefault="00260042" w:rsidP="00B43654">
            <w:pPr>
              <w:pStyle w:val="BodyText"/>
              <w:jc w:val="right"/>
            </w:pPr>
            <w:r>
              <w:rPr>
                <w:sz w:val="18"/>
                <w:szCs w:val="18"/>
              </w:rPr>
              <w:t xml:space="preserve">1,669,021 </w:t>
            </w:r>
          </w:p>
        </w:tc>
        <w:tc>
          <w:tcPr>
            <w:tcW w:w="840" w:type="pct"/>
          </w:tcPr>
          <w:p w:rsidR="00260042" w:rsidRDefault="00260042" w:rsidP="00B43654">
            <w:pPr>
              <w:pStyle w:val="BodyText"/>
              <w:jc w:val="right"/>
            </w:pPr>
            <w:r>
              <w:rPr>
                <w:sz w:val="18"/>
                <w:szCs w:val="18"/>
              </w:rPr>
              <w:t>24,466</w:t>
            </w:r>
          </w:p>
        </w:tc>
      </w:tr>
      <w:tr w:rsidR="00260042" w:rsidTr="00B43654">
        <w:trPr>
          <w:trHeight w:val="229"/>
        </w:trPr>
        <w:tc>
          <w:tcPr>
            <w:tcW w:w="2328" w:type="pct"/>
          </w:tcPr>
          <w:p w:rsidR="00260042" w:rsidRDefault="00260042" w:rsidP="00B43654">
            <w:pPr>
              <w:pStyle w:val="BodyText"/>
            </w:pPr>
            <w:r>
              <w:rPr>
                <w:sz w:val="18"/>
                <w:szCs w:val="18"/>
              </w:rPr>
              <w:t>Expenses not requiring appropriation in the Budget year</w:t>
            </w:r>
            <w:r>
              <w:rPr>
                <w:sz w:val="18"/>
                <w:szCs w:val="18"/>
                <w:vertAlign w:val="superscript"/>
              </w:rPr>
              <w:t>3</w:t>
            </w:r>
          </w:p>
        </w:tc>
        <w:tc>
          <w:tcPr>
            <w:tcW w:w="992" w:type="pct"/>
          </w:tcPr>
          <w:p w:rsidR="00260042" w:rsidRDefault="00260042" w:rsidP="00B43654">
            <w:pPr>
              <w:pStyle w:val="BodyText"/>
              <w:jc w:val="right"/>
            </w:pPr>
            <w:r>
              <w:rPr>
                <w:sz w:val="18"/>
                <w:szCs w:val="18"/>
              </w:rPr>
              <w:t xml:space="preserve"> 85,970 </w:t>
            </w:r>
          </w:p>
        </w:tc>
        <w:tc>
          <w:tcPr>
            <w:tcW w:w="840" w:type="pct"/>
          </w:tcPr>
          <w:p w:rsidR="00260042" w:rsidRDefault="00260042" w:rsidP="00B43654">
            <w:pPr>
              <w:pStyle w:val="BodyText"/>
              <w:jc w:val="right"/>
            </w:pPr>
            <w:r>
              <w:rPr>
                <w:sz w:val="18"/>
                <w:szCs w:val="18"/>
              </w:rPr>
              <w:t xml:space="preserve"> 70,411 </w:t>
            </w:r>
          </w:p>
        </w:tc>
        <w:tc>
          <w:tcPr>
            <w:tcW w:w="840" w:type="pct"/>
          </w:tcPr>
          <w:p w:rsidR="00260042" w:rsidRDefault="00260042" w:rsidP="00B43654">
            <w:pPr>
              <w:pStyle w:val="BodyText"/>
              <w:jc w:val="right"/>
            </w:pPr>
            <w:r>
              <w:rPr>
                <w:sz w:val="18"/>
                <w:szCs w:val="18"/>
              </w:rPr>
              <w:t>15,559</w:t>
            </w:r>
          </w:p>
        </w:tc>
      </w:tr>
      <w:tr w:rsidR="00260042" w:rsidTr="00B43654">
        <w:trPr>
          <w:trHeight w:val="229"/>
        </w:trPr>
        <w:tc>
          <w:tcPr>
            <w:tcW w:w="2328" w:type="pct"/>
          </w:tcPr>
          <w:p w:rsidR="00260042" w:rsidRDefault="00260042" w:rsidP="00B43654">
            <w:pPr>
              <w:pStyle w:val="BodyText"/>
            </w:pPr>
            <w:r>
              <w:rPr>
                <w:rStyle w:val="Bold"/>
                <w:sz w:val="18"/>
                <w:szCs w:val="18"/>
              </w:rPr>
              <w:t>Administered total</w:t>
            </w:r>
          </w:p>
        </w:tc>
        <w:tc>
          <w:tcPr>
            <w:tcW w:w="992" w:type="pct"/>
          </w:tcPr>
          <w:p w:rsidR="00260042" w:rsidRDefault="00260042" w:rsidP="00B43654">
            <w:pPr>
              <w:pStyle w:val="BodyText"/>
              <w:jc w:val="right"/>
            </w:pPr>
            <w:r>
              <w:rPr>
                <w:rStyle w:val="Bold"/>
                <w:sz w:val="18"/>
                <w:szCs w:val="18"/>
              </w:rPr>
              <w:t>1,781,148</w:t>
            </w:r>
          </w:p>
        </w:tc>
        <w:tc>
          <w:tcPr>
            <w:tcW w:w="840" w:type="pct"/>
          </w:tcPr>
          <w:p w:rsidR="00260042" w:rsidRDefault="00260042" w:rsidP="00B43654">
            <w:pPr>
              <w:pStyle w:val="BodyText"/>
              <w:jc w:val="right"/>
            </w:pPr>
            <w:r>
              <w:rPr>
                <w:rStyle w:val="Bold"/>
                <w:sz w:val="18"/>
                <w:szCs w:val="18"/>
              </w:rPr>
              <w:t>1,740,413</w:t>
            </w:r>
          </w:p>
        </w:tc>
        <w:tc>
          <w:tcPr>
            <w:tcW w:w="840" w:type="pct"/>
          </w:tcPr>
          <w:p w:rsidR="00260042" w:rsidRDefault="00260042" w:rsidP="00B43654">
            <w:pPr>
              <w:pStyle w:val="BodyText"/>
              <w:jc w:val="right"/>
            </w:pPr>
            <w:r>
              <w:rPr>
                <w:rStyle w:val="Bold"/>
                <w:sz w:val="18"/>
                <w:szCs w:val="18"/>
              </w:rPr>
              <w:t>40,735</w:t>
            </w:r>
          </w:p>
        </w:tc>
      </w:tr>
      <w:tr w:rsidR="00260042" w:rsidTr="00B43654">
        <w:trPr>
          <w:trHeight w:val="229"/>
        </w:trPr>
        <w:tc>
          <w:tcPr>
            <w:tcW w:w="2328" w:type="pct"/>
          </w:tcPr>
          <w:p w:rsidR="00260042" w:rsidRDefault="00260042" w:rsidP="00B43654">
            <w:pPr>
              <w:pStyle w:val="BodyText"/>
            </w:pPr>
            <w:r>
              <w:rPr>
                <w:rStyle w:val="Bold"/>
                <w:sz w:val="18"/>
                <w:szCs w:val="18"/>
              </w:rPr>
              <w:t>Departmental expenses</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sz w:val="18"/>
                <w:szCs w:val="18"/>
              </w:rPr>
              <w:t>Departmental appropriation</w:t>
            </w:r>
          </w:p>
        </w:tc>
        <w:tc>
          <w:tcPr>
            <w:tcW w:w="992" w:type="pct"/>
          </w:tcPr>
          <w:p w:rsidR="00260042" w:rsidRDefault="00260042" w:rsidP="00B43654">
            <w:pPr>
              <w:pStyle w:val="BodyText"/>
              <w:jc w:val="right"/>
            </w:pPr>
            <w:r>
              <w:rPr>
                <w:sz w:val="18"/>
                <w:szCs w:val="18"/>
              </w:rPr>
              <w:t xml:space="preserve"> 372,277 </w:t>
            </w:r>
          </w:p>
        </w:tc>
        <w:tc>
          <w:tcPr>
            <w:tcW w:w="840" w:type="pct"/>
          </w:tcPr>
          <w:p w:rsidR="00260042" w:rsidRDefault="00260042" w:rsidP="00B43654">
            <w:pPr>
              <w:pStyle w:val="BodyText"/>
              <w:jc w:val="right"/>
            </w:pPr>
            <w:r>
              <w:rPr>
                <w:sz w:val="18"/>
                <w:szCs w:val="18"/>
              </w:rPr>
              <w:t>403,197</w:t>
            </w:r>
          </w:p>
        </w:tc>
        <w:tc>
          <w:tcPr>
            <w:tcW w:w="840" w:type="pct"/>
          </w:tcPr>
          <w:p w:rsidR="00260042" w:rsidRDefault="00260042" w:rsidP="00B43654">
            <w:pPr>
              <w:pStyle w:val="BodyText"/>
              <w:jc w:val="right"/>
            </w:pPr>
            <w:r>
              <w:rPr>
                <w:sz w:val="18"/>
                <w:szCs w:val="18"/>
              </w:rPr>
              <w:t>(30,920)</w:t>
            </w:r>
          </w:p>
        </w:tc>
      </w:tr>
      <w:tr w:rsidR="00260042" w:rsidTr="00B43654">
        <w:trPr>
          <w:trHeight w:val="229"/>
        </w:trPr>
        <w:tc>
          <w:tcPr>
            <w:tcW w:w="2328" w:type="pct"/>
          </w:tcPr>
          <w:p w:rsidR="00260042" w:rsidRDefault="00260042" w:rsidP="00B43654">
            <w:pPr>
              <w:pStyle w:val="BodyText"/>
            </w:pPr>
            <w:r>
              <w:rPr>
                <w:sz w:val="18"/>
                <w:szCs w:val="18"/>
              </w:rPr>
              <w:t>s. 74 External revenue</w:t>
            </w:r>
            <w:r>
              <w:rPr>
                <w:sz w:val="18"/>
                <w:szCs w:val="18"/>
                <w:vertAlign w:val="superscript"/>
              </w:rPr>
              <w:t>2</w:t>
            </w:r>
          </w:p>
        </w:tc>
        <w:tc>
          <w:tcPr>
            <w:tcW w:w="992" w:type="pct"/>
          </w:tcPr>
          <w:p w:rsidR="00260042" w:rsidRDefault="00260042" w:rsidP="00B43654">
            <w:pPr>
              <w:pStyle w:val="BodyText"/>
              <w:jc w:val="right"/>
            </w:pPr>
            <w:r>
              <w:rPr>
                <w:sz w:val="18"/>
                <w:szCs w:val="18"/>
              </w:rPr>
              <w:t xml:space="preserve"> 1,700 </w:t>
            </w:r>
          </w:p>
        </w:tc>
        <w:tc>
          <w:tcPr>
            <w:tcW w:w="840" w:type="pct"/>
          </w:tcPr>
          <w:p w:rsidR="00260042" w:rsidRDefault="00260042" w:rsidP="00B43654">
            <w:pPr>
              <w:pStyle w:val="BodyText"/>
              <w:jc w:val="right"/>
            </w:pPr>
            <w:r>
              <w:rPr>
                <w:sz w:val="18"/>
                <w:szCs w:val="18"/>
              </w:rPr>
              <w:t xml:space="preserve"> 1,559 </w:t>
            </w:r>
          </w:p>
        </w:tc>
        <w:tc>
          <w:tcPr>
            <w:tcW w:w="840" w:type="pct"/>
          </w:tcPr>
          <w:p w:rsidR="00260042" w:rsidRDefault="00260042" w:rsidP="00B43654">
            <w:pPr>
              <w:pStyle w:val="BodyText"/>
              <w:jc w:val="right"/>
            </w:pPr>
            <w:r>
              <w:rPr>
                <w:sz w:val="18"/>
                <w:szCs w:val="18"/>
              </w:rPr>
              <w:t>141</w:t>
            </w:r>
          </w:p>
        </w:tc>
      </w:tr>
      <w:tr w:rsidR="00260042" w:rsidTr="00B43654">
        <w:trPr>
          <w:trHeight w:val="229"/>
        </w:trPr>
        <w:tc>
          <w:tcPr>
            <w:tcW w:w="2328" w:type="pct"/>
          </w:tcPr>
          <w:p w:rsidR="00260042" w:rsidRDefault="00260042" w:rsidP="00B43654">
            <w:pPr>
              <w:pStyle w:val="BodyText"/>
            </w:pPr>
            <w:r>
              <w:rPr>
                <w:sz w:val="18"/>
                <w:szCs w:val="18"/>
              </w:rPr>
              <w:t>Expenses not requiring appropriation in the Budget year</w:t>
            </w:r>
            <w:r>
              <w:rPr>
                <w:sz w:val="18"/>
                <w:szCs w:val="18"/>
                <w:vertAlign w:val="superscript"/>
              </w:rPr>
              <w:t>3</w:t>
            </w:r>
          </w:p>
        </w:tc>
        <w:tc>
          <w:tcPr>
            <w:tcW w:w="992" w:type="pct"/>
          </w:tcPr>
          <w:p w:rsidR="00260042" w:rsidRDefault="00260042" w:rsidP="00B43654">
            <w:pPr>
              <w:pStyle w:val="BodyText"/>
              <w:jc w:val="right"/>
            </w:pPr>
            <w:r>
              <w:rPr>
                <w:sz w:val="18"/>
                <w:szCs w:val="18"/>
              </w:rPr>
              <w:t xml:space="preserve"> 66,402 </w:t>
            </w:r>
          </w:p>
        </w:tc>
        <w:tc>
          <w:tcPr>
            <w:tcW w:w="840" w:type="pct"/>
          </w:tcPr>
          <w:p w:rsidR="00260042" w:rsidRDefault="00260042" w:rsidP="00B43654">
            <w:pPr>
              <w:pStyle w:val="BodyText"/>
              <w:jc w:val="right"/>
            </w:pPr>
            <w:r>
              <w:rPr>
                <w:sz w:val="18"/>
                <w:szCs w:val="18"/>
              </w:rPr>
              <w:t xml:space="preserve"> 27,942 </w:t>
            </w:r>
          </w:p>
        </w:tc>
        <w:tc>
          <w:tcPr>
            <w:tcW w:w="840" w:type="pct"/>
          </w:tcPr>
          <w:p w:rsidR="00260042" w:rsidRDefault="00260042" w:rsidP="00B43654">
            <w:pPr>
              <w:pStyle w:val="BodyText"/>
              <w:jc w:val="right"/>
            </w:pPr>
            <w:r>
              <w:rPr>
                <w:sz w:val="18"/>
                <w:szCs w:val="18"/>
              </w:rPr>
              <w:t>38,460</w:t>
            </w:r>
          </w:p>
        </w:tc>
      </w:tr>
      <w:tr w:rsidR="00260042" w:rsidTr="00B43654">
        <w:trPr>
          <w:trHeight w:val="379"/>
        </w:trPr>
        <w:tc>
          <w:tcPr>
            <w:tcW w:w="2328" w:type="pct"/>
          </w:tcPr>
          <w:p w:rsidR="00260042" w:rsidRDefault="00260042" w:rsidP="00B43654">
            <w:pPr>
              <w:pStyle w:val="BodyText"/>
            </w:pPr>
            <w:r>
              <w:rPr>
                <w:rStyle w:val="Bold"/>
                <w:sz w:val="18"/>
                <w:szCs w:val="18"/>
              </w:rPr>
              <w:t>Departmental total</w:t>
            </w:r>
          </w:p>
        </w:tc>
        <w:tc>
          <w:tcPr>
            <w:tcW w:w="992" w:type="pct"/>
          </w:tcPr>
          <w:p w:rsidR="00260042" w:rsidRDefault="00260042" w:rsidP="00B43654">
            <w:pPr>
              <w:pStyle w:val="BodyText"/>
              <w:jc w:val="right"/>
            </w:pPr>
            <w:r>
              <w:rPr>
                <w:rStyle w:val="Bold"/>
                <w:sz w:val="18"/>
                <w:szCs w:val="18"/>
              </w:rPr>
              <w:t>440,379</w:t>
            </w:r>
          </w:p>
        </w:tc>
        <w:tc>
          <w:tcPr>
            <w:tcW w:w="840" w:type="pct"/>
          </w:tcPr>
          <w:p w:rsidR="00260042" w:rsidRDefault="00260042" w:rsidP="00B43654">
            <w:pPr>
              <w:pStyle w:val="BodyText"/>
              <w:jc w:val="right"/>
            </w:pPr>
            <w:r>
              <w:rPr>
                <w:rStyle w:val="Bold"/>
                <w:sz w:val="18"/>
                <w:szCs w:val="18"/>
              </w:rPr>
              <w:t>432,698</w:t>
            </w:r>
          </w:p>
        </w:tc>
        <w:tc>
          <w:tcPr>
            <w:tcW w:w="840" w:type="pct"/>
          </w:tcPr>
          <w:p w:rsidR="00260042" w:rsidRDefault="00260042" w:rsidP="00B43654">
            <w:pPr>
              <w:pStyle w:val="BodyText"/>
              <w:jc w:val="right"/>
            </w:pPr>
            <w:r>
              <w:rPr>
                <w:rStyle w:val="Bold"/>
                <w:sz w:val="18"/>
                <w:szCs w:val="18"/>
              </w:rPr>
              <w:t>7,681</w:t>
            </w:r>
          </w:p>
        </w:tc>
      </w:tr>
      <w:tr w:rsidR="00260042" w:rsidTr="00B43654">
        <w:trPr>
          <w:trHeight w:val="229"/>
        </w:trPr>
        <w:tc>
          <w:tcPr>
            <w:tcW w:w="2328" w:type="pct"/>
          </w:tcPr>
          <w:p w:rsidR="00260042" w:rsidRDefault="00260042" w:rsidP="00B43654">
            <w:pPr>
              <w:pStyle w:val="BodyText"/>
            </w:pPr>
            <w:r>
              <w:rPr>
                <w:rStyle w:val="Bold"/>
                <w:sz w:val="18"/>
                <w:szCs w:val="18"/>
              </w:rPr>
              <w:t>Total expenses for Program 1.3</w:t>
            </w:r>
          </w:p>
        </w:tc>
        <w:tc>
          <w:tcPr>
            <w:tcW w:w="992" w:type="pct"/>
          </w:tcPr>
          <w:p w:rsidR="00260042" w:rsidRDefault="00260042" w:rsidP="00B43654">
            <w:pPr>
              <w:pStyle w:val="BodyText"/>
              <w:jc w:val="right"/>
            </w:pPr>
            <w:r>
              <w:rPr>
                <w:rStyle w:val="Bold"/>
                <w:sz w:val="18"/>
                <w:szCs w:val="18"/>
              </w:rPr>
              <w:t xml:space="preserve">2,221,527 </w:t>
            </w:r>
          </w:p>
        </w:tc>
        <w:tc>
          <w:tcPr>
            <w:tcW w:w="840" w:type="pct"/>
          </w:tcPr>
          <w:p w:rsidR="00260042" w:rsidRDefault="00260042" w:rsidP="00B43654">
            <w:pPr>
              <w:pStyle w:val="BodyText"/>
              <w:jc w:val="right"/>
            </w:pPr>
            <w:r>
              <w:rPr>
                <w:rStyle w:val="Bold"/>
                <w:sz w:val="18"/>
                <w:szCs w:val="18"/>
              </w:rPr>
              <w:t>2,173,111</w:t>
            </w:r>
          </w:p>
        </w:tc>
        <w:tc>
          <w:tcPr>
            <w:tcW w:w="840" w:type="pct"/>
          </w:tcPr>
          <w:p w:rsidR="00260042" w:rsidRDefault="00260042" w:rsidP="00B43654">
            <w:pPr>
              <w:pStyle w:val="BodyText"/>
              <w:jc w:val="right"/>
            </w:pPr>
            <w:r>
              <w:rPr>
                <w:rStyle w:val="Bold"/>
                <w:sz w:val="18"/>
                <w:szCs w:val="18"/>
              </w:rPr>
              <w:t>48,416</w:t>
            </w:r>
          </w:p>
        </w:tc>
      </w:tr>
      <w:tr w:rsidR="00260042" w:rsidTr="00B43654">
        <w:trPr>
          <w:trHeight w:val="229"/>
        </w:trPr>
        <w:tc>
          <w:tcPr>
            <w:tcW w:w="2328" w:type="pct"/>
          </w:tcPr>
          <w:p w:rsidR="00260042" w:rsidRDefault="00260042" w:rsidP="00B43654">
            <w:pPr>
              <w:pStyle w:val="BodyText"/>
            </w:pPr>
            <w:r>
              <w:rPr>
                <w:rStyle w:val="Bold"/>
                <w:sz w:val="18"/>
                <w:szCs w:val="18"/>
              </w:rPr>
              <w:t>Outcome 1 totals by appropriation type</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rStyle w:val="Bold"/>
                <w:sz w:val="18"/>
                <w:szCs w:val="18"/>
              </w:rPr>
              <w:t>Administered expenses</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sz w:val="18"/>
                <w:szCs w:val="18"/>
              </w:rPr>
              <w:t>Ordinary annual services (Supply Act No. 1 and Appropriation Act No. 3)</w:t>
            </w:r>
          </w:p>
        </w:tc>
        <w:tc>
          <w:tcPr>
            <w:tcW w:w="992" w:type="pct"/>
          </w:tcPr>
          <w:p w:rsidR="00260042" w:rsidRDefault="00260042" w:rsidP="00B43654">
            <w:pPr>
              <w:pStyle w:val="BodyText"/>
              <w:jc w:val="right"/>
            </w:pPr>
            <w:r>
              <w:rPr>
                <w:sz w:val="18"/>
                <w:szCs w:val="18"/>
              </w:rPr>
              <w:t xml:space="preserve"> 1,691 </w:t>
            </w:r>
          </w:p>
        </w:tc>
        <w:tc>
          <w:tcPr>
            <w:tcW w:w="840" w:type="pct"/>
          </w:tcPr>
          <w:p w:rsidR="00260042" w:rsidRDefault="00260042" w:rsidP="00B43654">
            <w:pPr>
              <w:pStyle w:val="BodyText"/>
              <w:jc w:val="right"/>
            </w:pPr>
            <w:r>
              <w:rPr>
                <w:sz w:val="18"/>
                <w:szCs w:val="18"/>
              </w:rPr>
              <w:t xml:space="preserve"> 981 </w:t>
            </w:r>
          </w:p>
        </w:tc>
        <w:tc>
          <w:tcPr>
            <w:tcW w:w="840" w:type="pct"/>
          </w:tcPr>
          <w:p w:rsidR="00260042" w:rsidRDefault="00260042" w:rsidP="00B43654">
            <w:pPr>
              <w:pStyle w:val="BodyText"/>
              <w:jc w:val="right"/>
            </w:pPr>
            <w:r>
              <w:rPr>
                <w:sz w:val="18"/>
                <w:szCs w:val="18"/>
              </w:rPr>
              <w:t>710</w:t>
            </w:r>
          </w:p>
        </w:tc>
      </w:tr>
      <w:tr w:rsidR="00260042" w:rsidTr="00B43654">
        <w:trPr>
          <w:trHeight w:val="229"/>
        </w:trPr>
        <w:tc>
          <w:tcPr>
            <w:tcW w:w="2328" w:type="pct"/>
          </w:tcPr>
          <w:p w:rsidR="00260042" w:rsidRDefault="00260042" w:rsidP="00B43654">
            <w:pPr>
              <w:pStyle w:val="BodyText"/>
            </w:pPr>
            <w:r>
              <w:rPr>
                <w:sz w:val="18"/>
                <w:szCs w:val="18"/>
              </w:rPr>
              <w:t>Special accounts</w:t>
            </w:r>
          </w:p>
        </w:tc>
        <w:tc>
          <w:tcPr>
            <w:tcW w:w="992" w:type="pct"/>
          </w:tcPr>
          <w:p w:rsidR="00260042" w:rsidRDefault="00260042" w:rsidP="00B43654">
            <w:pPr>
              <w:pStyle w:val="BodyText"/>
              <w:jc w:val="right"/>
            </w:pPr>
            <w:r>
              <w:rPr>
                <w:sz w:val="18"/>
                <w:szCs w:val="18"/>
              </w:rPr>
              <w:t xml:space="preserve">1,693,487 </w:t>
            </w:r>
          </w:p>
        </w:tc>
        <w:tc>
          <w:tcPr>
            <w:tcW w:w="840" w:type="pct"/>
          </w:tcPr>
          <w:p w:rsidR="00260042" w:rsidRDefault="00260042" w:rsidP="00B43654">
            <w:pPr>
              <w:pStyle w:val="BodyText"/>
              <w:jc w:val="right"/>
            </w:pPr>
            <w:r>
              <w:rPr>
                <w:sz w:val="18"/>
                <w:szCs w:val="18"/>
              </w:rPr>
              <w:t xml:space="preserve">1,669,021 </w:t>
            </w:r>
          </w:p>
        </w:tc>
        <w:tc>
          <w:tcPr>
            <w:tcW w:w="840" w:type="pct"/>
          </w:tcPr>
          <w:p w:rsidR="00260042" w:rsidRDefault="00260042" w:rsidP="00B43654">
            <w:pPr>
              <w:pStyle w:val="BodyText"/>
              <w:jc w:val="right"/>
            </w:pPr>
            <w:r>
              <w:rPr>
                <w:sz w:val="18"/>
                <w:szCs w:val="18"/>
              </w:rPr>
              <w:t>24,466</w:t>
            </w:r>
          </w:p>
        </w:tc>
      </w:tr>
      <w:tr w:rsidR="00260042" w:rsidTr="00B43654">
        <w:trPr>
          <w:trHeight w:val="229"/>
        </w:trPr>
        <w:tc>
          <w:tcPr>
            <w:tcW w:w="2328" w:type="pct"/>
          </w:tcPr>
          <w:p w:rsidR="00260042" w:rsidRDefault="00260042" w:rsidP="00B43654">
            <w:pPr>
              <w:pStyle w:val="BodyText"/>
            </w:pPr>
            <w:r>
              <w:rPr>
                <w:sz w:val="18"/>
                <w:szCs w:val="18"/>
              </w:rPr>
              <w:t>Expenses not requiring appropriation in the Budget year</w:t>
            </w:r>
            <w:r>
              <w:rPr>
                <w:sz w:val="18"/>
                <w:szCs w:val="18"/>
                <w:vertAlign w:val="superscript"/>
              </w:rPr>
              <w:t>3</w:t>
            </w:r>
          </w:p>
        </w:tc>
        <w:tc>
          <w:tcPr>
            <w:tcW w:w="992" w:type="pct"/>
          </w:tcPr>
          <w:p w:rsidR="00260042" w:rsidRDefault="00260042" w:rsidP="00B43654">
            <w:pPr>
              <w:pStyle w:val="BodyText"/>
              <w:jc w:val="right"/>
            </w:pPr>
            <w:r>
              <w:rPr>
                <w:sz w:val="18"/>
                <w:szCs w:val="18"/>
              </w:rPr>
              <w:t xml:space="preserve"> 85,970 </w:t>
            </w:r>
          </w:p>
        </w:tc>
        <w:tc>
          <w:tcPr>
            <w:tcW w:w="840" w:type="pct"/>
          </w:tcPr>
          <w:p w:rsidR="00260042" w:rsidRDefault="00260042" w:rsidP="00B43654">
            <w:pPr>
              <w:pStyle w:val="BodyText"/>
              <w:jc w:val="right"/>
            </w:pPr>
            <w:r>
              <w:rPr>
                <w:sz w:val="18"/>
                <w:szCs w:val="18"/>
              </w:rPr>
              <w:t xml:space="preserve"> 70,411 </w:t>
            </w:r>
          </w:p>
        </w:tc>
        <w:tc>
          <w:tcPr>
            <w:tcW w:w="840" w:type="pct"/>
          </w:tcPr>
          <w:p w:rsidR="00260042" w:rsidRDefault="00260042" w:rsidP="00B43654">
            <w:pPr>
              <w:pStyle w:val="BodyText"/>
              <w:jc w:val="right"/>
            </w:pPr>
            <w:r>
              <w:rPr>
                <w:sz w:val="18"/>
                <w:szCs w:val="18"/>
              </w:rPr>
              <w:t>15,559</w:t>
            </w:r>
          </w:p>
        </w:tc>
      </w:tr>
      <w:tr w:rsidR="00260042" w:rsidTr="00B43654">
        <w:trPr>
          <w:trHeight w:val="229"/>
        </w:trPr>
        <w:tc>
          <w:tcPr>
            <w:tcW w:w="2328" w:type="pct"/>
          </w:tcPr>
          <w:p w:rsidR="00260042" w:rsidRDefault="00260042" w:rsidP="00B43654">
            <w:pPr>
              <w:pStyle w:val="BodyText"/>
            </w:pPr>
            <w:r>
              <w:rPr>
                <w:rStyle w:val="Bold"/>
                <w:sz w:val="18"/>
                <w:szCs w:val="18"/>
              </w:rPr>
              <w:t>Administered total</w:t>
            </w:r>
          </w:p>
        </w:tc>
        <w:tc>
          <w:tcPr>
            <w:tcW w:w="992" w:type="pct"/>
          </w:tcPr>
          <w:p w:rsidR="00260042" w:rsidRDefault="00260042" w:rsidP="00B43654">
            <w:pPr>
              <w:pStyle w:val="BodyText"/>
              <w:jc w:val="right"/>
            </w:pPr>
            <w:r>
              <w:rPr>
                <w:rStyle w:val="Bold"/>
                <w:sz w:val="18"/>
                <w:szCs w:val="18"/>
              </w:rPr>
              <w:t>1,781,148</w:t>
            </w:r>
          </w:p>
        </w:tc>
        <w:tc>
          <w:tcPr>
            <w:tcW w:w="840" w:type="pct"/>
          </w:tcPr>
          <w:p w:rsidR="00260042" w:rsidRDefault="00260042" w:rsidP="00B43654">
            <w:pPr>
              <w:pStyle w:val="BodyText"/>
              <w:jc w:val="right"/>
            </w:pPr>
            <w:r>
              <w:rPr>
                <w:rStyle w:val="Bold"/>
                <w:sz w:val="18"/>
                <w:szCs w:val="18"/>
              </w:rPr>
              <w:t>1,740,413</w:t>
            </w:r>
          </w:p>
        </w:tc>
        <w:tc>
          <w:tcPr>
            <w:tcW w:w="840" w:type="pct"/>
          </w:tcPr>
          <w:p w:rsidR="00260042" w:rsidRDefault="00260042" w:rsidP="00B43654">
            <w:pPr>
              <w:pStyle w:val="BodyText"/>
              <w:jc w:val="right"/>
            </w:pPr>
            <w:r>
              <w:rPr>
                <w:rStyle w:val="Bold"/>
                <w:sz w:val="18"/>
                <w:szCs w:val="18"/>
              </w:rPr>
              <w:t>40,735</w:t>
            </w:r>
          </w:p>
        </w:tc>
      </w:tr>
      <w:tr w:rsidR="00260042" w:rsidTr="00B43654">
        <w:trPr>
          <w:trHeight w:val="229"/>
        </w:trPr>
        <w:tc>
          <w:tcPr>
            <w:tcW w:w="2328" w:type="pct"/>
          </w:tcPr>
          <w:p w:rsidR="00260042" w:rsidRDefault="00260042" w:rsidP="00B43654">
            <w:pPr>
              <w:pStyle w:val="BodyText"/>
            </w:pPr>
            <w:r>
              <w:rPr>
                <w:rStyle w:val="Bold"/>
                <w:sz w:val="18"/>
                <w:szCs w:val="18"/>
              </w:rPr>
              <w:t>Departmental expenses</w:t>
            </w:r>
          </w:p>
        </w:tc>
        <w:tc>
          <w:tcPr>
            <w:tcW w:w="992" w:type="pct"/>
          </w:tcPr>
          <w:p w:rsidR="00260042" w:rsidRDefault="00260042" w:rsidP="00B43654">
            <w:pPr>
              <w:pStyle w:val="BodyText"/>
              <w:jc w:val="right"/>
            </w:pPr>
          </w:p>
        </w:tc>
        <w:tc>
          <w:tcPr>
            <w:tcW w:w="840" w:type="pct"/>
          </w:tcPr>
          <w:p w:rsidR="00260042" w:rsidRDefault="00260042" w:rsidP="00B43654">
            <w:pPr>
              <w:pStyle w:val="BodyText"/>
              <w:jc w:val="right"/>
            </w:pPr>
          </w:p>
        </w:tc>
        <w:tc>
          <w:tcPr>
            <w:tcW w:w="840" w:type="pct"/>
          </w:tcPr>
          <w:p w:rsidR="00260042" w:rsidRDefault="00260042" w:rsidP="00B43654">
            <w:pPr>
              <w:pStyle w:val="BodyText"/>
              <w:jc w:val="right"/>
            </w:pPr>
          </w:p>
        </w:tc>
      </w:tr>
      <w:tr w:rsidR="00260042" w:rsidTr="00B43654">
        <w:trPr>
          <w:trHeight w:val="229"/>
        </w:trPr>
        <w:tc>
          <w:tcPr>
            <w:tcW w:w="2328" w:type="pct"/>
          </w:tcPr>
          <w:p w:rsidR="00260042" w:rsidRDefault="00260042" w:rsidP="00B43654">
            <w:pPr>
              <w:pStyle w:val="BodyText"/>
            </w:pPr>
            <w:r>
              <w:rPr>
                <w:sz w:val="18"/>
                <w:szCs w:val="18"/>
              </w:rPr>
              <w:t>Departmental appropriation</w:t>
            </w:r>
          </w:p>
        </w:tc>
        <w:tc>
          <w:tcPr>
            <w:tcW w:w="992" w:type="pct"/>
          </w:tcPr>
          <w:p w:rsidR="00260042" w:rsidRDefault="00260042" w:rsidP="00B43654">
            <w:pPr>
              <w:pStyle w:val="BodyText"/>
              <w:jc w:val="right"/>
            </w:pPr>
            <w:r>
              <w:rPr>
                <w:sz w:val="18"/>
                <w:szCs w:val="18"/>
              </w:rPr>
              <w:t xml:space="preserve">4,720,661 </w:t>
            </w:r>
          </w:p>
        </w:tc>
        <w:tc>
          <w:tcPr>
            <w:tcW w:w="840" w:type="pct"/>
          </w:tcPr>
          <w:p w:rsidR="00260042" w:rsidRDefault="00260042" w:rsidP="00B43654">
            <w:pPr>
              <w:pStyle w:val="BodyText"/>
              <w:jc w:val="right"/>
            </w:pPr>
            <w:r>
              <w:rPr>
                <w:sz w:val="18"/>
                <w:szCs w:val="18"/>
              </w:rPr>
              <w:t>4,980,319</w:t>
            </w:r>
          </w:p>
        </w:tc>
        <w:tc>
          <w:tcPr>
            <w:tcW w:w="840" w:type="pct"/>
          </w:tcPr>
          <w:p w:rsidR="00260042" w:rsidRDefault="00260042" w:rsidP="00B43654">
            <w:pPr>
              <w:pStyle w:val="BodyText"/>
              <w:jc w:val="right"/>
            </w:pPr>
            <w:r>
              <w:rPr>
                <w:sz w:val="18"/>
                <w:szCs w:val="18"/>
              </w:rPr>
              <w:t>(259,658)</w:t>
            </w:r>
          </w:p>
        </w:tc>
      </w:tr>
      <w:tr w:rsidR="00260042" w:rsidTr="00B43654">
        <w:trPr>
          <w:trHeight w:val="229"/>
        </w:trPr>
        <w:tc>
          <w:tcPr>
            <w:tcW w:w="2328" w:type="pct"/>
          </w:tcPr>
          <w:p w:rsidR="00260042" w:rsidRDefault="00260042" w:rsidP="00B43654">
            <w:pPr>
              <w:pStyle w:val="BodyText"/>
            </w:pPr>
            <w:r>
              <w:rPr>
                <w:sz w:val="18"/>
                <w:szCs w:val="18"/>
              </w:rPr>
              <w:t>s. 74 External revenue</w:t>
            </w:r>
            <w:r>
              <w:rPr>
                <w:sz w:val="18"/>
                <w:szCs w:val="18"/>
                <w:vertAlign w:val="superscript"/>
              </w:rPr>
              <w:t>2</w:t>
            </w:r>
          </w:p>
        </w:tc>
        <w:tc>
          <w:tcPr>
            <w:tcW w:w="992" w:type="pct"/>
          </w:tcPr>
          <w:p w:rsidR="00260042" w:rsidRDefault="00260042" w:rsidP="00B43654">
            <w:pPr>
              <w:pStyle w:val="BodyText"/>
              <w:jc w:val="right"/>
            </w:pPr>
            <w:r>
              <w:rPr>
                <w:sz w:val="18"/>
                <w:szCs w:val="18"/>
              </w:rPr>
              <w:t xml:space="preserve"> 241,317 </w:t>
            </w:r>
          </w:p>
        </w:tc>
        <w:tc>
          <w:tcPr>
            <w:tcW w:w="840" w:type="pct"/>
          </w:tcPr>
          <w:p w:rsidR="00260042" w:rsidRDefault="00260042" w:rsidP="00B43654">
            <w:pPr>
              <w:pStyle w:val="BodyText"/>
              <w:jc w:val="right"/>
            </w:pPr>
            <w:r>
              <w:rPr>
                <w:sz w:val="18"/>
                <w:szCs w:val="18"/>
              </w:rPr>
              <w:t xml:space="preserve"> 222,840 </w:t>
            </w:r>
          </w:p>
        </w:tc>
        <w:tc>
          <w:tcPr>
            <w:tcW w:w="840" w:type="pct"/>
          </w:tcPr>
          <w:p w:rsidR="00260042" w:rsidRDefault="00260042" w:rsidP="00B43654">
            <w:pPr>
              <w:pStyle w:val="BodyText"/>
              <w:jc w:val="right"/>
            </w:pPr>
            <w:r>
              <w:rPr>
                <w:sz w:val="18"/>
                <w:szCs w:val="18"/>
              </w:rPr>
              <w:t>18,477</w:t>
            </w:r>
          </w:p>
        </w:tc>
      </w:tr>
      <w:tr w:rsidR="00260042" w:rsidTr="00B43654">
        <w:trPr>
          <w:trHeight w:val="229"/>
        </w:trPr>
        <w:tc>
          <w:tcPr>
            <w:tcW w:w="2328" w:type="pct"/>
          </w:tcPr>
          <w:p w:rsidR="00260042" w:rsidRDefault="00260042" w:rsidP="00B43654">
            <w:pPr>
              <w:pStyle w:val="BodyText"/>
            </w:pPr>
            <w:r>
              <w:rPr>
                <w:sz w:val="18"/>
                <w:szCs w:val="18"/>
              </w:rPr>
              <w:lastRenderedPageBreak/>
              <w:t>Expenses not requiring appropriation in the Budget year</w:t>
            </w:r>
            <w:r>
              <w:rPr>
                <w:sz w:val="18"/>
                <w:szCs w:val="18"/>
                <w:vertAlign w:val="superscript"/>
              </w:rPr>
              <w:t>3</w:t>
            </w:r>
          </w:p>
        </w:tc>
        <w:tc>
          <w:tcPr>
            <w:tcW w:w="992" w:type="pct"/>
          </w:tcPr>
          <w:p w:rsidR="00260042" w:rsidRDefault="00260042" w:rsidP="00B43654">
            <w:pPr>
              <w:pStyle w:val="BodyText"/>
              <w:jc w:val="right"/>
            </w:pPr>
            <w:r>
              <w:rPr>
                <w:sz w:val="18"/>
                <w:szCs w:val="18"/>
              </w:rPr>
              <w:t xml:space="preserve"> 785,339 </w:t>
            </w:r>
          </w:p>
        </w:tc>
        <w:tc>
          <w:tcPr>
            <w:tcW w:w="840" w:type="pct"/>
          </w:tcPr>
          <w:p w:rsidR="00260042" w:rsidRDefault="00260042" w:rsidP="00B43654">
            <w:pPr>
              <w:pStyle w:val="BodyText"/>
              <w:jc w:val="right"/>
            </w:pPr>
            <w:r>
              <w:rPr>
                <w:sz w:val="18"/>
                <w:szCs w:val="18"/>
              </w:rPr>
              <w:t xml:space="preserve"> 405,607 </w:t>
            </w:r>
          </w:p>
        </w:tc>
        <w:tc>
          <w:tcPr>
            <w:tcW w:w="840" w:type="pct"/>
          </w:tcPr>
          <w:p w:rsidR="00260042" w:rsidRDefault="00260042" w:rsidP="00B43654">
            <w:pPr>
              <w:pStyle w:val="BodyText"/>
              <w:jc w:val="right"/>
            </w:pPr>
            <w:r>
              <w:rPr>
                <w:sz w:val="18"/>
                <w:szCs w:val="18"/>
              </w:rPr>
              <w:t>379,732</w:t>
            </w:r>
          </w:p>
        </w:tc>
      </w:tr>
      <w:tr w:rsidR="00260042" w:rsidTr="00B43654">
        <w:trPr>
          <w:trHeight w:val="229"/>
        </w:trPr>
        <w:tc>
          <w:tcPr>
            <w:tcW w:w="2328" w:type="pct"/>
          </w:tcPr>
          <w:p w:rsidR="00260042" w:rsidRDefault="00260042" w:rsidP="00B43654">
            <w:pPr>
              <w:pStyle w:val="BodyText"/>
            </w:pPr>
            <w:r>
              <w:rPr>
                <w:rStyle w:val="Bold"/>
                <w:sz w:val="18"/>
                <w:szCs w:val="18"/>
              </w:rPr>
              <w:t>Departmental total</w:t>
            </w:r>
          </w:p>
        </w:tc>
        <w:tc>
          <w:tcPr>
            <w:tcW w:w="992" w:type="pct"/>
          </w:tcPr>
          <w:p w:rsidR="00260042" w:rsidRDefault="00260042" w:rsidP="00B43654">
            <w:pPr>
              <w:pStyle w:val="BodyText"/>
              <w:jc w:val="right"/>
            </w:pPr>
            <w:r>
              <w:rPr>
                <w:rStyle w:val="Bold"/>
                <w:sz w:val="18"/>
                <w:szCs w:val="18"/>
              </w:rPr>
              <w:t>5,747,317</w:t>
            </w:r>
          </w:p>
        </w:tc>
        <w:tc>
          <w:tcPr>
            <w:tcW w:w="840" w:type="pct"/>
          </w:tcPr>
          <w:p w:rsidR="00260042" w:rsidRDefault="00260042" w:rsidP="00B43654">
            <w:pPr>
              <w:pStyle w:val="BodyText"/>
              <w:jc w:val="right"/>
            </w:pPr>
            <w:r>
              <w:rPr>
                <w:rStyle w:val="Bold"/>
                <w:sz w:val="18"/>
                <w:szCs w:val="18"/>
              </w:rPr>
              <w:t>5,608,766</w:t>
            </w:r>
          </w:p>
        </w:tc>
        <w:tc>
          <w:tcPr>
            <w:tcW w:w="840" w:type="pct"/>
          </w:tcPr>
          <w:p w:rsidR="00260042" w:rsidRDefault="00260042" w:rsidP="00B43654">
            <w:pPr>
              <w:pStyle w:val="BodyText"/>
              <w:jc w:val="right"/>
            </w:pPr>
            <w:r>
              <w:rPr>
                <w:rStyle w:val="Bold"/>
                <w:sz w:val="18"/>
                <w:szCs w:val="18"/>
              </w:rPr>
              <w:t>138,551</w:t>
            </w:r>
          </w:p>
        </w:tc>
      </w:tr>
      <w:tr w:rsidR="00260042" w:rsidTr="00B43654">
        <w:trPr>
          <w:trHeight w:val="229"/>
        </w:trPr>
        <w:tc>
          <w:tcPr>
            <w:tcW w:w="2328" w:type="pct"/>
          </w:tcPr>
          <w:p w:rsidR="00260042" w:rsidRDefault="00260042" w:rsidP="00B43654">
            <w:pPr>
              <w:pStyle w:val="BodyText"/>
            </w:pPr>
            <w:r>
              <w:rPr>
                <w:rStyle w:val="Bold"/>
                <w:sz w:val="18"/>
                <w:szCs w:val="18"/>
              </w:rPr>
              <w:t>Total expenses for Outcome 1</w:t>
            </w:r>
          </w:p>
        </w:tc>
        <w:tc>
          <w:tcPr>
            <w:tcW w:w="992" w:type="pct"/>
          </w:tcPr>
          <w:p w:rsidR="00260042" w:rsidRDefault="00260042" w:rsidP="00B43654">
            <w:pPr>
              <w:pStyle w:val="BodyText"/>
              <w:jc w:val="right"/>
            </w:pPr>
            <w:r>
              <w:rPr>
                <w:rStyle w:val="Bold"/>
                <w:sz w:val="18"/>
                <w:szCs w:val="18"/>
              </w:rPr>
              <w:t>7,528,465</w:t>
            </w:r>
          </w:p>
        </w:tc>
        <w:tc>
          <w:tcPr>
            <w:tcW w:w="840" w:type="pct"/>
          </w:tcPr>
          <w:p w:rsidR="00260042" w:rsidRDefault="00260042" w:rsidP="00B43654">
            <w:pPr>
              <w:pStyle w:val="BodyText"/>
              <w:jc w:val="right"/>
            </w:pPr>
            <w:r>
              <w:rPr>
                <w:rStyle w:val="Bold"/>
                <w:sz w:val="18"/>
                <w:szCs w:val="18"/>
              </w:rPr>
              <w:t>7,349,179</w:t>
            </w:r>
          </w:p>
        </w:tc>
        <w:tc>
          <w:tcPr>
            <w:tcW w:w="840" w:type="pct"/>
          </w:tcPr>
          <w:p w:rsidR="00260042" w:rsidRDefault="00260042" w:rsidP="00B43654">
            <w:pPr>
              <w:pStyle w:val="BodyText"/>
              <w:jc w:val="right"/>
            </w:pPr>
            <w:r>
              <w:rPr>
                <w:rStyle w:val="Bold"/>
                <w:sz w:val="18"/>
                <w:szCs w:val="18"/>
              </w:rPr>
              <w:t>179,286</w:t>
            </w:r>
          </w:p>
        </w:tc>
      </w:tr>
      <w:tr w:rsidR="00260042" w:rsidTr="00B43654">
        <w:trPr>
          <w:trHeight w:val="229"/>
        </w:trPr>
        <w:tc>
          <w:tcPr>
            <w:tcW w:w="2328" w:type="pct"/>
          </w:tcPr>
          <w:p w:rsidR="00260042" w:rsidRDefault="00260042" w:rsidP="00B43654">
            <w:pPr>
              <w:pStyle w:val="BodyText"/>
            </w:pPr>
          </w:p>
        </w:tc>
        <w:tc>
          <w:tcPr>
            <w:tcW w:w="992" w:type="pct"/>
          </w:tcPr>
          <w:p w:rsidR="00260042" w:rsidRDefault="00260042" w:rsidP="00B43654">
            <w:pPr>
              <w:pStyle w:val="BodyText"/>
              <w:jc w:val="right"/>
            </w:pPr>
            <w:r>
              <w:rPr>
                <w:rStyle w:val="Bold"/>
                <w:sz w:val="18"/>
                <w:szCs w:val="18"/>
              </w:rPr>
              <w:t>Budget</w:t>
            </w:r>
            <w:r>
              <w:rPr>
                <w:rStyle w:val="Bold"/>
                <w:sz w:val="18"/>
                <w:szCs w:val="18"/>
                <w:vertAlign w:val="superscript"/>
              </w:rPr>
              <w:t>1</w:t>
            </w:r>
          </w:p>
        </w:tc>
        <w:tc>
          <w:tcPr>
            <w:tcW w:w="840" w:type="pct"/>
          </w:tcPr>
          <w:p w:rsidR="00260042" w:rsidRDefault="00260042" w:rsidP="00B43654">
            <w:pPr>
              <w:pStyle w:val="BodyText"/>
              <w:jc w:val="right"/>
            </w:pPr>
            <w:r>
              <w:rPr>
                <w:rStyle w:val="Bold"/>
                <w:sz w:val="18"/>
                <w:szCs w:val="18"/>
              </w:rPr>
              <w:t>Actual</w:t>
            </w:r>
          </w:p>
        </w:tc>
        <w:tc>
          <w:tcPr>
            <w:tcW w:w="840" w:type="pct"/>
          </w:tcPr>
          <w:p w:rsidR="00260042" w:rsidRDefault="00260042" w:rsidP="00B43654">
            <w:pPr>
              <w:pStyle w:val="BodyText"/>
              <w:jc w:val="right"/>
            </w:pPr>
            <w:r>
              <w:rPr>
                <w:rStyle w:val="Bold"/>
                <w:sz w:val="18"/>
                <w:szCs w:val="18"/>
              </w:rPr>
              <w:t>Variation</w:t>
            </w:r>
          </w:p>
        </w:tc>
      </w:tr>
      <w:tr w:rsidR="00260042" w:rsidTr="00B43654">
        <w:trPr>
          <w:trHeight w:val="229"/>
        </w:trPr>
        <w:tc>
          <w:tcPr>
            <w:tcW w:w="2328" w:type="pct"/>
          </w:tcPr>
          <w:p w:rsidR="00260042" w:rsidRDefault="00260042" w:rsidP="00B43654">
            <w:pPr>
              <w:pStyle w:val="BodyText"/>
            </w:pPr>
            <w:r>
              <w:rPr>
                <w:rStyle w:val="Bold"/>
                <w:sz w:val="18"/>
                <w:szCs w:val="18"/>
              </w:rPr>
              <w:t>Average staffing level (number)</w:t>
            </w:r>
          </w:p>
        </w:tc>
        <w:tc>
          <w:tcPr>
            <w:tcW w:w="992" w:type="pct"/>
          </w:tcPr>
          <w:p w:rsidR="00260042" w:rsidRDefault="00260042" w:rsidP="00B43654">
            <w:pPr>
              <w:pStyle w:val="BodyText"/>
              <w:jc w:val="right"/>
            </w:pPr>
            <w:r>
              <w:rPr>
                <w:rStyle w:val="Bold"/>
                <w:sz w:val="18"/>
                <w:szCs w:val="18"/>
              </w:rPr>
              <w:t>27,650</w:t>
            </w:r>
          </w:p>
        </w:tc>
        <w:tc>
          <w:tcPr>
            <w:tcW w:w="840" w:type="pct"/>
          </w:tcPr>
          <w:p w:rsidR="00260042" w:rsidRDefault="00260042" w:rsidP="00B43654">
            <w:pPr>
              <w:pStyle w:val="BodyText"/>
              <w:jc w:val="right"/>
            </w:pPr>
            <w:r>
              <w:rPr>
                <w:rStyle w:val="Bold"/>
                <w:sz w:val="18"/>
                <w:szCs w:val="18"/>
              </w:rPr>
              <w:t>27,896</w:t>
            </w:r>
          </w:p>
        </w:tc>
        <w:tc>
          <w:tcPr>
            <w:tcW w:w="840" w:type="pct"/>
          </w:tcPr>
          <w:p w:rsidR="00260042" w:rsidRDefault="00260042" w:rsidP="00B43654">
            <w:pPr>
              <w:pStyle w:val="BodyText"/>
              <w:jc w:val="right"/>
            </w:pPr>
            <w:r>
              <w:rPr>
                <w:rStyle w:val="Bold"/>
                <w:sz w:val="18"/>
                <w:szCs w:val="18"/>
              </w:rPr>
              <w:t>(246)</w:t>
            </w:r>
          </w:p>
        </w:tc>
      </w:tr>
    </w:tbl>
    <w:p w:rsidR="00260042" w:rsidRDefault="00260042" w:rsidP="00EA5510">
      <w:pPr>
        <w:pStyle w:val="BodyText"/>
      </w:pPr>
      <w:r>
        <w:t>1.</w:t>
      </w:r>
      <w:r>
        <w:tab/>
        <w:t xml:space="preserve">2020–21 Budget, including any subsequent adjustments made at Additional Estimates. </w:t>
      </w:r>
    </w:p>
    <w:p w:rsidR="00260042" w:rsidRDefault="00260042" w:rsidP="00EA5510">
      <w:pPr>
        <w:pStyle w:val="BodyText"/>
      </w:pPr>
      <w:r>
        <w:t>2.</w:t>
      </w:r>
      <w:r>
        <w:tab/>
        <w:t>Estimated expenses incurred in relation to receipts retained under section 74 of the PGPA Act.</w:t>
      </w:r>
    </w:p>
    <w:p w:rsidR="00260042" w:rsidRDefault="00260042" w:rsidP="00EA5510">
      <w:pPr>
        <w:pStyle w:val="BodyText"/>
      </w:pPr>
      <w:r>
        <w:t>3.</w:t>
      </w:r>
      <w:r>
        <w:tab/>
        <w:t>Includes unfunded depreciation and amortisation expenses (excluding depreciation of right-of-use assets), write-down and impairment of assets, resources received free of charge and non-cash adjustments to make-good.</w:t>
      </w:r>
    </w:p>
    <w:p w:rsidR="00260042" w:rsidRDefault="00260042" w:rsidP="00BC1153">
      <w:pPr>
        <w:pStyle w:val="Heading1"/>
      </w:pPr>
      <w:r>
        <w:t>Appendix B: Staffing statistics</w:t>
      </w:r>
    </w:p>
    <w:p w:rsidR="00260042" w:rsidRDefault="00260042" w:rsidP="002E64CE">
      <w:pPr>
        <w:pStyle w:val="Heading3"/>
      </w:pPr>
      <w:r>
        <w:t xml:space="preserve">PGPA Rule s. </w:t>
      </w:r>
      <w:proofErr w:type="gramStart"/>
      <w:r>
        <w:t>17AD</w:t>
      </w:r>
      <w:r>
        <w:rPr>
          <w:caps/>
        </w:rPr>
        <w:t>(</w:t>
      </w:r>
      <w:proofErr w:type="gramEnd"/>
      <w:r>
        <w:rPr>
          <w:caps/>
        </w:rPr>
        <w:t>da)</w:t>
      </w:r>
      <w:r>
        <w:t xml:space="preserve"> – Executive remuneration </w:t>
      </w:r>
    </w:p>
    <w:p w:rsidR="00260042" w:rsidRPr="00EA5510" w:rsidRDefault="00511254" w:rsidP="00EA5510">
      <w:pPr>
        <w:pStyle w:val="BodyText"/>
        <w:rPr>
          <w:b/>
        </w:rPr>
      </w:pPr>
      <w:r>
        <w:rPr>
          <w:rStyle w:val="Bold"/>
          <w:bCs w:val="0"/>
        </w:rPr>
        <w:t xml:space="preserve">Table </w:t>
      </w:r>
      <w:r>
        <w:rPr>
          <w:rStyle w:val="Bold"/>
          <w:bCs w:val="0"/>
        </w:rPr>
        <w:t>51</w:t>
      </w:r>
      <w:r w:rsidR="00260042" w:rsidRPr="00EA5510">
        <w:rPr>
          <w:b/>
        </w:rPr>
        <w:t xml:space="preserve"> Information about remuneration for key management personnel 2020–21</w:t>
      </w:r>
    </w:p>
    <w:tbl>
      <w:tblPr>
        <w:tblStyle w:val="TableGrid"/>
        <w:tblW w:w="5000" w:type="pct"/>
        <w:tblLook w:val="0000" w:firstRow="0" w:lastRow="0" w:firstColumn="0" w:lastColumn="0" w:noHBand="0" w:noVBand="0"/>
        <w:tblCaption w:val=" Information about remuneration for key management personnel 2020–21"/>
      </w:tblPr>
      <w:tblGrid>
        <w:gridCol w:w="1005"/>
        <w:gridCol w:w="1300"/>
        <w:gridCol w:w="934"/>
        <w:gridCol w:w="898"/>
        <w:gridCol w:w="1212"/>
        <w:gridCol w:w="1445"/>
        <w:gridCol w:w="773"/>
        <w:gridCol w:w="835"/>
        <w:gridCol w:w="1140"/>
        <w:gridCol w:w="1248"/>
      </w:tblGrid>
      <w:tr w:rsidR="00260042" w:rsidRPr="00BB243C" w:rsidTr="00BB243C">
        <w:trPr>
          <w:trHeight w:val="60"/>
          <w:tblHeader/>
        </w:trPr>
        <w:tc>
          <w:tcPr>
            <w:tcW w:w="534" w:type="pct"/>
          </w:tcPr>
          <w:p w:rsidR="00260042" w:rsidRPr="00BB243C" w:rsidRDefault="00260042" w:rsidP="00BB243C">
            <w:pPr>
              <w:pStyle w:val="BodyText"/>
              <w:jc w:val="center"/>
              <w:rPr>
                <w:b/>
                <w:sz w:val="20"/>
                <w:szCs w:val="20"/>
              </w:rPr>
            </w:pPr>
            <w:r w:rsidRPr="00BB243C">
              <w:rPr>
                <w:b/>
                <w:sz w:val="20"/>
                <w:szCs w:val="20"/>
              </w:rPr>
              <w:t>Name</w:t>
            </w:r>
          </w:p>
        </w:tc>
        <w:tc>
          <w:tcPr>
            <w:tcW w:w="672" w:type="pct"/>
          </w:tcPr>
          <w:p w:rsidR="00260042" w:rsidRPr="00BB243C" w:rsidRDefault="00260042" w:rsidP="00BB243C">
            <w:pPr>
              <w:pStyle w:val="BodyText"/>
              <w:jc w:val="center"/>
              <w:rPr>
                <w:b/>
                <w:sz w:val="20"/>
                <w:szCs w:val="20"/>
              </w:rPr>
            </w:pPr>
            <w:r w:rsidRPr="00BB243C">
              <w:rPr>
                <w:b/>
                <w:sz w:val="20"/>
                <w:szCs w:val="20"/>
              </w:rPr>
              <w:t>Position title</w:t>
            </w:r>
          </w:p>
        </w:tc>
        <w:tc>
          <w:tcPr>
            <w:tcW w:w="1331" w:type="pct"/>
            <w:gridSpan w:val="3"/>
          </w:tcPr>
          <w:p w:rsidR="00260042" w:rsidRPr="00BB243C" w:rsidRDefault="00260042" w:rsidP="00BB243C">
            <w:pPr>
              <w:pStyle w:val="BodyText"/>
              <w:jc w:val="center"/>
              <w:rPr>
                <w:b/>
                <w:sz w:val="20"/>
                <w:szCs w:val="20"/>
              </w:rPr>
            </w:pPr>
            <w:r w:rsidRPr="00BB243C">
              <w:rPr>
                <w:b/>
                <w:sz w:val="20"/>
                <w:szCs w:val="20"/>
              </w:rPr>
              <w:t>Short-term benefits</w:t>
            </w:r>
            <w:r w:rsidRPr="00BB243C">
              <w:rPr>
                <w:b/>
                <w:sz w:val="20"/>
                <w:szCs w:val="20"/>
                <w:vertAlign w:val="superscript"/>
              </w:rPr>
              <w:t>(a)</w:t>
            </w:r>
          </w:p>
        </w:tc>
        <w:tc>
          <w:tcPr>
            <w:tcW w:w="623" w:type="pct"/>
          </w:tcPr>
          <w:p w:rsidR="00260042" w:rsidRPr="00BB243C" w:rsidRDefault="00260042" w:rsidP="00BB243C">
            <w:pPr>
              <w:pStyle w:val="BodyText"/>
              <w:jc w:val="center"/>
              <w:rPr>
                <w:b/>
                <w:sz w:val="20"/>
                <w:szCs w:val="20"/>
              </w:rPr>
            </w:pPr>
            <w:r w:rsidRPr="00BB243C">
              <w:rPr>
                <w:b/>
                <w:sz w:val="20"/>
                <w:szCs w:val="20"/>
              </w:rPr>
              <w:t>Post-employment benefits</w:t>
            </w:r>
            <w:r w:rsidRPr="00BB243C">
              <w:rPr>
                <w:b/>
                <w:sz w:val="20"/>
                <w:szCs w:val="20"/>
                <w:vertAlign w:val="superscript"/>
              </w:rPr>
              <w:t>(b)</w:t>
            </w:r>
          </w:p>
        </w:tc>
        <w:tc>
          <w:tcPr>
            <w:tcW w:w="798" w:type="pct"/>
            <w:gridSpan w:val="2"/>
          </w:tcPr>
          <w:p w:rsidR="00260042" w:rsidRPr="00BB243C" w:rsidRDefault="00260042" w:rsidP="00BB243C">
            <w:pPr>
              <w:pStyle w:val="BodyText"/>
              <w:jc w:val="center"/>
              <w:rPr>
                <w:b/>
                <w:sz w:val="20"/>
                <w:szCs w:val="20"/>
              </w:rPr>
            </w:pPr>
            <w:r w:rsidRPr="00BB243C">
              <w:rPr>
                <w:b/>
                <w:sz w:val="20"/>
                <w:szCs w:val="20"/>
              </w:rPr>
              <w:t>Other long-term benefits</w:t>
            </w:r>
            <w:r w:rsidRPr="00BB243C">
              <w:rPr>
                <w:b/>
                <w:sz w:val="20"/>
                <w:szCs w:val="20"/>
                <w:vertAlign w:val="superscript"/>
              </w:rPr>
              <w:t>(c)</w:t>
            </w:r>
          </w:p>
        </w:tc>
        <w:tc>
          <w:tcPr>
            <w:tcW w:w="502" w:type="pct"/>
          </w:tcPr>
          <w:p w:rsidR="00260042" w:rsidRPr="00BB243C" w:rsidRDefault="00260042" w:rsidP="00BB243C">
            <w:pPr>
              <w:pStyle w:val="BodyText"/>
              <w:jc w:val="center"/>
              <w:rPr>
                <w:b/>
                <w:sz w:val="20"/>
                <w:szCs w:val="20"/>
              </w:rPr>
            </w:pPr>
            <w:r w:rsidRPr="00BB243C">
              <w:rPr>
                <w:b/>
                <w:sz w:val="20"/>
                <w:szCs w:val="20"/>
              </w:rPr>
              <w:t>Termination benefits</w:t>
            </w:r>
          </w:p>
        </w:tc>
        <w:tc>
          <w:tcPr>
            <w:tcW w:w="538" w:type="pct"/>
          </w:tcPr>
          <w:p w:rsidR="00260042" w:rsidRPr="00BB243C" w:rsidRDefault="00260042" w:rsidP="00BB243C">
            <w:pPr>
              <w:pStyle w:val="BodyText"/>
              <w:jc w:val="center"/>
              <w:rPr>
                <w:b/>
                <w:sz w:val="20"/>
                <w:szCs w:val="20"/>
              </w:rPr>
            </w:pPr>
            <w:r w:rsidRPr="00BB243C">
              <w:rPr>
                <w:b/>
                <w:sz w:val="20"/>
                <w:szCs w:val="20"/>
              </w:rPr>
              <w:t>Total remuneration</w:t>
            </w:r>
          </w:p>
        </w:tc>
      </w:tr>
      <w:tr w:rsidR="00B43654" w:rsidRPr="00BB243C" w:rsidTr="00BB243C">
        <w:trPr>
          <w:trHeight w:val="616"/>
          <w:tblHeader/>
        </w:trPr>
        <w:tc>
          <w:tcPr>
            <w:tcW w:w="534" w:type="pct"/>
          </w:tcPr>
          <w:p w:rsidR="00260042" w:rsidRPr="00BB243C" w:rsidRDefault="00260042" w:rsidP="00B43654">
            <w:pPr>
              <w:pStyle w:val="BodyText"/>
              <w:rPr>
                <w:rFonts w:ascii="Roboto Lt" w:hAnsi="Roboto Lt"/>
                <w:sz w:val="20"/>
                <w:szCs w:val="20"/>
              </w:rPr>
            </w:pPr>
          </w:p>
        </w:tc>
        <w:tc>
          <w:tcPr>
            <w:tcW w:w="672" w:type="pct"/>
          </w:tcPr>
          <w:p w:rsidR="00260042" w:rsidRPr="00BB243C" w:rsidRDefault="00260042" w:rsidP="00B43654">
            <w:pPr>
              <w:pStyle w:val="BodyText"/>
              <w:rPr>
                <w:rFonts w:ascii="Roboto Lt" w:hAnsi="Roboto Lt"/>
                <w:sz w:val="20"/>
                <w:szCs w:val="20"/>
              </w:rPr>
            </w:pPr>
          </w:p>
        </w:tc>
        <w:tc>
          <w:tcPr>
            <w:tcW w:w="429" w:type="pct"/>
          </w:tcPr>
          <w:p w:rsidR="00260042" w:rsidRPr="00BB243C" w:rsidRDefault="00260042" w:rsidP="00BB243C">
            <w:pPr>
              <w:pStyle w:val="BodyText"/>
              <w:jc w:val="right"/>
              <w:rPr>
                <w:rStyle w:val="Bold"/>
                <w:bCs w:val="0"/>
                <w:color w:val="auto"/>
                <w:sz w:val="20"/>
                <w:szCs w:val="20"/>
              </w:rPr>
            </w:pPr>
            <w:r w:rsidRPr="00BB243C">
              <w:rPr>
                <w:rStyle w:val="Bold"/>
                <w:bCs w:val="0"/>
                <w:color w:val="auto"/>
                <w:sz w:val="20"/>
                <w:szCs w:val="20"/>
              </w:rPr>
              <w:t xml:space="preserve">Base salary </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381" w:type="pct"/>
          </w:tcPr>
          <w:p w:rsidR="00260042" w:rsidRPr="00BB243C" w:rsidRDefault="00260042" w:rsidP="00BB243C">
            <w:pPr>
              <w:pStyle w:val="BodyText"/>
              <w:jc w:val="right"/>
              <w:rPr>
                <w:rStyle w:val="Bold"/>
                <w:bCs w:val="0"/>
                <w:color w:val="auto"/>
                <w:sz w:val="20"/>
                <w:szCs w:val="20"/>
              </w:rPr>
            </w:pPr>
            <w:r w:rsidRPr="00BB243C">
              <w:rPr>
                <w:rStyle w:val="Bold"/>
                <w:bCs w:val="0"/>
                <w:color w:val="auto"/>
                <w:sz w:val="20"/>
                <w:szCs w:val="20"/>
              </w:rPr>
              <w:t>Bonuses</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520" w:type="pct"/>
          </w:tcPr>
          <w:p w:rsidR="00260042" w:rsidRPr="00BB243C" w:rsidRDefault="00260042" w:rsidP="00BB243C">
            <w:pPr>
              <w:pStyle w:val="BodyText"/>
              <w:jc w:val="right"/>
              <w:rPr>
                <w:rStyle w:val="Bold"/>
                <w:b w:val="0"/>
                <w:bCs w:val="0"/>
                <w:sz w:val="20"/>
                <w:szCs w:val="20"/>
              </w:rPr>
            </w:pPr>
            <w:r w:rsidRPr="00BB243C">
              <w:rPr>
                <w:b/>
                <w:sz w:val="20"/>
                <w:szCs w:val="20"/>
              </w:rPr>
              <w:t>Other benefits and allowances</w:t>
            </w:r>
            <w:r w:rsidRPr="00BB243C">
              <w:rPr>
                <w:rStyle w:val="Bold"/>
                <w:sz w:val="20"/>
                <w:szCs w:val="20"/>
                <w:vertAlign w:val="superscript"/>
              </w:rPr>
              <w:t>(d)</w:t>
            </w:r>
            <w:r w:rsidRPr="00BB243C">
              <w:rPr>
                <w:b/>
                <w:sz w:val="20"/>
                <w:szCs w:val="20"/>
              </w:rPr>
              <w:t xml:space="preserve"> </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623" w:type="pct"/>
          </w:tcPr>
          <w:p w:rsidR="00260042" w:rsidRPr="00BB243C" w:rsidRDefault="00260042" w:rsidP="00BB243C">
            <w:pPr>
              <w:pStyle w:val="BodyText"/>
              <w:jc w:val="right"/>
              <w:rPr>
                <w:rStyle w:val="Bold"/>
                <w:bCs w:val="0"/>
                <w:color w:val="auto"/>
                <w:sz w:val="20"/>
                <w:szCs w:val="20"/>
              </w:rPr>
            </w:pPr>
            <w:r w:rsidRPr="00BB243C">
              <w:rPr>
                <w:rStyle w:val="Bold"/>
                <w:bCs w:val="0"/>
                <w:color w:val="auto"/>
                <w:sz w:val="20"/>
                <w:szCs w:val="20"/>
              </w:rPr>
              <w:t>Superannuation contributions</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369" w:type="pct"/>
          </w:tcPr>
          <w:p w:rsidR="00260042" w:rsidRPr="00BB243C" w:rsidRDefault="00260042" w:rsidP="00BB243C">
            <w:pPr>
              <w:pStyle w:val="BodyText"/>
              <w:jc w:val="right"/>
              <w:rPr>
                <w:rStyle w:val="Bold"/>
                <w:bCs w:val="0"/>
                <w:color w:val="auto"/>
                <w:sz w:val="20"/>
                <w:szCs w:val="20"/>
              </w:rPr>
            </w:pPr>
            <w:r w:rsidRPr="00BB243C">
              <w:rPr>
                <w:rStyle w:val="Bold"/>
                <w:bCs w:val="0"/>
                <w:color w:val="auto"/>
                <w:sz w:val="20"/>
                <w:szCs w:val="20"/>
              </w:rPr>
              <w:t xml:space="preserve">Long service leave </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429" w:type="pct"/>
          </w:tcPr>
          <w:p w:rsidR="00260042" w:rsidRPr="00BB243C" w:rsidRDefault="00260042" w:rsidP="00BB243C">
            <w:pPr>
              <w:pStyle w:val="BodyText"/>
              <w:jc w:val="right"/>
              <w:rPr>
                <w:rStyle w:val="Bold"/>
                <w:bCs w:val="0"/>
                <w:color w:val="auto"/>
                <w:sz w:val="20"/>
                <w:szCs w:val="20"/>
              </w:rPr>
            </w:pPr>
            <w:r w:rsidRPr="00BB243C">
              <w:rPr>
                <w:rStyle w:val="Bold"/>
                <w:bCs w:val="0"/>
                <w:color w:val="auto"/>
                <w:sz w:val="20"/>
                <w:szCs w:val="20"/>
              </w:rPr>
              <w:t xml:space="preserve">Other long-term benefits </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502" w:type="pct"/>
          </w:tcPr>
          <w:p w:rsidR="00260042" w:rsidRPr="00BB243C" w:rsidRDefault="00260042" w:rsidP="00BB243C">
            <w:pPr>
              <w:pStyle w:val="BodyText"/>
              <w:jc w:val="right"/>
              <w:rPr>
                <w:rStyle w:val="Bold"/>
                <w:bCs w:val="0"/>
                <w:color w:val="auto"/>
                <w:sz w:val="20"/>
                <w:szCs w:val="20"/>
              </w:rPr>
            </w:pPr>
            <w:r w:rsidRPr="00BB243C">
              <w:rPr>
                <w:rStyle w:val="Bold"/>
                <w:bCs w:val="0"/>
                <w:color w:val="auto"/>
                <w:sz w:val="20"/>
                <w:szCs w:val="20"/>
              </w:rPr>
              <w:t>Termination benefits</w:t>
            </w:r>
          </w:p>
          <w:p w:rsidR="00260042" w:rsidRPr="00BB243C" w:rsidRDefault="00260042" w:rsidP="00BB243C">
            <w:pPr>
              <w:pStyle w:val="BodyText"/>
              <w:jc w:val="right"/>
              <w:rPr>
                <w:sz w:val="20"/>
                <w:szCs w:val="20"/>
              </w:rPr>
            </w:pPr>
            <w:r w:rsidRPr="00BB243C">
              <w:rPr>
                <w:rStyle w:val="Bold"/>
                <w:bCs w:val="0"/>
                <w:color w:val="auto"/>
                <w:sz w:val="20"/>
                <w:szCs w:val="20"/>
              </w:rPr>
              <w:t>$</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Total remuneration $</w:t>
            </w:r>
          </w:p>
        </w:tc>
      </w:tr>
      <w:tr w:rsidR="00B43654" w:rsidRPr="00BB243C" w:rsidTr="00B43654">
        <w:trPr>
          <w:trHeight w:val="305"/>
        </w:trPr>
        <w:tc>
          <w:tcPr>
            <w:tcW w:w="534" w:type="pct"/>
          </w:tcPr>
          <w:p w:rsidR="00260042" w:rsidRPr="00BB243C" w:rsidRDefault="00260042" w:rsidP="00B43654">
            <w:pPr>
              <w:pStyle w:val="BodyText"/>
              <w:rPr>
                <w:sz w:val="20"/>
                <w:szCs w:val="20"/>
              </w:rPr>
            </w:pPr>
            <w:r w:rsidRPr="00BB243C">
              <w:rPr>
                <w:sz w:val="20"/>
                <w:szCs w:val="20"/>
              </w:rPr>
              <w:t>Rebecca Skinner</w:t>
            </w:r>
          </w:p>
        </w:tc>
        <w:tc>
          <w:tcPr>
            <w:tcW w:w="672" w:type="pct"/>
          </w:tcPr>
          <w:p w:rsidR="00260042" w:rsidRPr="00BB243C" w:rsidRDefault="00260042" w:rsidP="00B43654">
            <w:pPr>
              <w:pStyle w:val="BodyText"/>
              <w:rPr>
                <w:sz w:val="20"/>
                <w:szCs w:val="20"/>
              </w:rPr>
            </w:pPr>
            <w:r w:rsidRPr="00BB243C">
              <w:rPr>
                <w:sz w:val="20"/>
                <w:szCs w:val="20"/>
              </w:rPr>
              <w:t>Chief Executive Officer</w:t>
            </w:r>
          </w:p>
        </w:tc>
        <w:tc>
          <w:tcPr>
            <w:tcW w:w="429" w:type="pct"/>
          </w:tcPr>
          <w:p w:rsidR="00260042" w:rsidRPr="00BB243C" w:rsidRDefault="00260042" w:rsidP="00BB243C">
            <w:pPr>
              <w:pStyle w:val="BodyText"/>
              <w:jc w:val="right"/>
              <w:rPr>
                <w:sz w:val="20"/>
                <w:szCs w:val="20"/>
              </w:rPr>
            </w:pPr>
            <w:r w:rsidRPr="00BB243C">
              <w:rPr>
                <w:sz w:val="20"/>
                <w:szCs w:val="20"/>
              </w:rPr>
              <w:t>683,520</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1,477</w:t>
            </w:r>
          </w:p>
        </w:tc>
        <w:tc>
          <w:tcPr>
            <w:tcW w:w="623" w:type="pct"/>
          </w:tcPr>
          <w:p w:rsidR="00260042" w:rsidRPr="00BB243C" w:rsidRDefault="00260042" w:rsidP="00BB243C">
            <w:pPr>
              <w:pStyle w:val="BodyText"/>
              <w:jc w:val="right"/>
              <w:rPr>
                <w:sz w:val="20"/>
                <w:szCs w:val="20"/>
              </w:rPr>
            </w:pPr>
            <w:r w:rsidRPr="00BB243C">
              <w:rPr>
                <w:sz w:val="20"/>
                <w:szCs w:val="20"/>
              </w:rPr>
              <w:t>98,402</w:t>
            </w:r>
          </w:p>
        </w:tc>
        <w:tc>
          <w:tcPr>
            <w:tcW w:w="369" w:type="pct"/>
          </w:tcPr>
          <w:p w:rsidR="00260042" w:rsidRPr="00BB243C" w:rsidRDefault="00260042" w:rsidP="00BB243C">
            <w:pPr>
              <w:pStyle w:val="BodyText"/>
              <w:jc w:val="right"/>
              <w:rPr>
                <w:sz w:val="20"/>
                <w:szCs w:val="20"/>
              </w:rPr>
            </w:pPr>
            <w:r w:rsidRPr="00BB243C">
              <w:rPr>
                <w:sz w:val="20"/>
                <w:szCs w:val="20"/>
              </w:rPr>
              <w:t>20,850</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804,249</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t xml:space="preserve">Grant </w:t>
            </w:r>
            <w:proofErr w:type="spellStart"/>
            <w:r w:rsidRPr="00BB243C">
              <w:rPr>
                <w:sz w:val="20"/>
                <w:szCs w:val="20"/>
              </w:rPr>
              <w:t>Tidswell</w:t>
            </w:r>
            <w:proofErr w:type="spellEnd"/>
          </w:p>
        </w:tc>
        <w:tc>
          <w:tcPr>
            <w:tcW w:w="672" w:type="pct"/>
          </w:tcPr>
          <w:p w:rsidR="00260042" w:rsidRPr="00BB243C" w:rsidRDefault="00260042" w:rsidP="00B43654">
            <w:pPr>
              <w:pStyle w:val="BodyText"/>
              <w:rPr>
                <w:sz w:val="20"/>
                <w:szCs w:val="20"/>
              </w:rPr>
            </w:pPr>
            <w:r w:rsidRPr="00BB243C">
              <w:rPr>
                <w:sz w:val="20"/>
                <w:szCs w:val="20"/>
              </w:rPr>
              <w:t xml:space="preserve">Deputy Chief Executive Officer – Strategy and </w:t>
            </w:r>
            <w:r w:rsidRPr="00BB243C">
              <w:rPr>
                <w:sz w:val="20"/>
                <w:szCs w:val="20"/>
              </w:rPr>
              <w:lastRenderedPageBreak/>
              <w:t>Performance</w:t>
            </w:r>
          </w:p>
        </w:tc>
        <w:tc>
          <w:tcPr>
            <w:tcW w:w="429" w:type="pct"/>
          </w:tcPr>
          <w:p w:rsidR="00260042" w:rsidRPr="00BB243C" w:rsidRDefault="00260042" w:rsidP="00BB243C">
            <w:pPr>
              <w:pStyle w:val="BodyText"/>
              <w:jc w:val="right"/>
              <w:rPr>
                <w:sz w:val="20"/>
                <w:szCs w:val="20"/>
              </w:rPr>
            </w:pPr>
            <w:r w:rsidRPr="00BB243C">
              <w:rPr>
                <w:sz w:val="20"/>
                <w:szCs w:val="20"/>
              </w:rPr>
              <w:lastRenderedPageBreak/>
              <w:t>716,332</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1,477</w:t>
            </w:r>
          </w:p>
        </w:tc>
        <w:tc>
          <w:tcPr>
            <w:tcW w:w="623" w:type="pct"/>
          </w:tcPr>
          <w:p w:rsidR="00260042" w:rsidRPr="00BB243C" w:rsidRDefault="00260042" w:rsidP="00BB243C">
            <w:pPr>
              <w:pStyle w:val="BodyText"/>
              <w:jc w:val="right"/>
              <w:rPr>
                <w:sz w:val="20"/>
                <w:szCs w:val="20"/>
              </w:rPr>
            </w:pPr>
            <w:r w:rsidRPr="00BB243C">
              <w:rPr>
                <w:sz w:val="20"/>
                <w:szCs w:val="20"/>
              </w:rPr>
              <w:t>0</w:t>
            </w:r>
          </w:p>
        </w:tc>
        <w:tc>
          <w:tcPr>
            <w:tcW w:w="369" w:type="pct"/>
          </w:tcPr>
          <w:p w:rsidR="00260042" w:rsidRPr="00BB243C" w:rsidRDefault="00260042" w:rsidP="00BB243C">
            <w:pPr>
              <w:pStyle w:val="BodyText"/>
              <w:jc w:val="right"/>
              <w:rPr>
                <w:sz w:val="20"/>
                <w:szCs w:val="20"/>
              </w:rPr>
            </w:pPr>
            <w:r w:rsidRPr="00BB243C">
              <w:rPr>
                <w:sz w:val="20"/>
                <w:szCs w:val="20"/>
              </w:rPr>
              <w:t>0</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717,809</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t>Michael McNamara</w:t>
            </w:r>
          </w:p>
        </w:tc>
        <w:tc>
          <w:tcPr>
            <w:tcW w:w="672" w:type="pct"/>
          </w:tcPr>
          <w:p w:rsidR="00260042" w:rsidRPr="00BB243C" w:rsidRDefault="00260042" w:rsidP="00B43654">
            <w:pPr>
              <w:pStyle w:val="BodyText"/>
              <w:rPr>
                <w:sz w:val="20"/>
                <w:szCs w:val="20"/>
              </w:rPr>
            </w:pPr>
            <w:r w:rsidRPr="00BB243C">
              <w:rPr>
                <w:sz w:val="20"/>
                <w:szCs w:val="20"/>
              </w:rPr>
              <w:t>Chief Information Officer</w:t>
            </w:r>
          </w:p>
        </w:tc>
        <w:tc>
          <w:tcPr>
            <w:tcW w:w="429" w:type="pct"/>
          </w:tcPr>
          <w:p w:rsidR="00260042" w:rsidRPr="00BB243C" w:rsidRDefault="00260042" w:rsidP="00BB243C">
            <w:pPr>
              <w:pStyle w:val="BodyText"/>
              <w:jc w:val="right"/>
              <w:rPr>
                <w:sz w:val="20"/>
                <w:szCs w:val="20"/>
              </w:rPr>
            </w:pPr>
            <w:r w:rsidRPr="00BB243C">
              <w:rPr>
                <w:sz w:val="20"/>
                <w:szCs w:val="20"/>
              </w:rPr>
              <w:t>458,079</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66,935</w:t>
            </w:r>
          </w:p>
        </w:tc>
        <w:tc>
          <w:tcPr>
            <w:tcW w:w="623" w:type="pct"/>
          </w:tcPr>
          <w:p w:rsidR="00260042" w:rsidRPr="00BB243C" w:rsidRDefault="00260042" w:rsidP="00BB243C">
            <w:pPr>
              <w:pStyle w:val="BodyText"/>
              <w:jc w:val="right"/>
              <w:rPr>
                <w:sz w:val="20"/>
                <w:szCs w:val="20"/>
              </w:rPr>
            </w:pPr>
            <w:r w:rsidRPr="00BB243C">
              <w:rPr>
                <w:sz w:val="20"/>
                <w:szCs w:val="20"/>
              </w:rPr>
              <w:t>69,344</w:t>
            </w:r>
          </w:p>
        </w:tc>
        <w:tc>
          <w:tcPr>
            <w:tcW w:w="369" w:type="pct"/>
          </w:tcPr>
          <w:p w:rsidR="00260042" w:rsidRPr="00BB243C" w:rsidRDefault="00260042" w:rsidP="00BB243C">
            <w:pPr>
              <w:pStyle w:val="BodyText"/>
              <w:jc w:val="right"/>
              <w:rPr>
                <w:sz w:val="20"/>
                <w:szCs w:val="20"/>
              </w:rPr>
            </w:pPr>
            <w:r w:rsidRPr="00BB243C">
              <w:rPr>
                <w:sz w:val="20"/>
                <w:szCs w:val="20"/>
              </w:rPr>
              <w:t>13,471</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607,829</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t>Matt Cahill</w:t>
            </w:r>
          </w:p>
        </w:tc>
        <w:tc>
          <w:tcPr>
            <w:tcW w:w="672" w:type="pct"/>
          </w:tcPr>
          <w:p w:rsidR="00260042" w:rsidRPr="00BB243C" w:rsidRDefault="00260042" w:rsidP="00B43654">
            <w:pPr>
              <w:pStyle w:val="BodyText"/>
              <w:rPr>
                <w:sz w:val="20"/>
                <w:szCs w:val="20"/>
              </w:rPr>
            </w:pPr>
            <w:r w:rsidRPr="00BB243C">
              <w:rPr>
                <w:sz w:val="20"/>
                <w:szCs w:val="20"/>
              </w:rPr>
              <w:t>Deputy Chief Executive Officer – Customer Service Delivery</w:t>
            </w:r>
          </w:p>
        </w:tc>
        <w:tc>
          <w:tcPr>
            <w:tcW w:w="429" w:type="pct"/>
          </w:tcPr>
          <w:p w:rsidR="00260042" w:rsidRPr="00BB243C" w:rsidRDefault="00260042" w:rsidP="00BB243C">
            <w:pPr>
              <w:pStyle w:val="BodyText"/>
              <w:jc w:val="right"/>
              <w:rPr>
                <w:sz w:val="20"/>
                <w:szCs w:val="20"/>
              </w:rPr>
            </w:pPr>
            <w:r w:rsidRPr="00BB243C">
              <w:rPr>
                <w:sz w:val="20"/>
                <w:szCs w:val="20"/>
              </w:rPr>
              <w:t>408,020</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1,347</w:t>
            </w:r>
          </w:p>
        </w:tc>
        <w:tc>
          <w:tcPr>
            <w:tcW w:w="623" w:type="pct"/>
          </w:tcPr>
          <w:p w:rsidR="00260042" w:rsidRPr="00BB243C" w:rsidRDefault="00260042" w:rsidP="00BB243C">
            <w:pPr>
              <w:pStyle w:val="BodyText"/>
              <w:jc w:val="right"/>
              <w:rPr>
                <w:sz w:val="20"/>
                <w:szCs w:val="20"/>
              </w:rPr>
            </w:pPr>
            <w:r w:rsidRPr="00BB243C">
              <w:rPr>
                <w:sz w:val="20"/>
                <w:szCs w:val="20"/>
              </w:rPr>
              <w:t>69,970</w:t>
            </w:r>
          </w:p>
        </w:tc>
        <w:tc>
          <w:tcPr>
            <w:tcW w:w="369" w:type="pct"/>
          </w:tcPr>
          <w:p w:rsidR="00260042" w:rsidRPr="00BB243C" w:rsidRDefault="00260042" w:rsidP="00BB243C">
            <w:pPr>
              <w:pStyle w:val="BodyText"/>
              <w:jc w:val="right"/>
              <w:rPr>
                <w:sz w:val="20"/>
                <w:szCs w:val="20"/>
              </w:rPr>
            </w:pPr>
            <w:r w:rsidRPr="00BB243C">
              <w:rPr>
                <w:sz w:val="20"/>
                <w:szCs w:val="20"/>
              </w:rPr>
              <w:t>11,933</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491,270</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t xml:space="preserve">Charles </w:t>
            </w:r>
            <w:proofErr w:type="spellStart"/>
            <w:r w:rsidRPr="00BB243C">
              <w:rPr>
                <w:sz w:val="20"/>
                <w:szCs w:val="20"/>
              </w:rPr>
              <w:t>McHardie</w:t>
            </w:r>
            <w:proofErr w:type="spellEnd"/>
          </w:p>
        </w:tc>
        <w:tc>
          <w:tcPr>
            <w:tcW w:w="672" w:type="pct"/>
          </w:tcPr>
          <w:p w:rsidR="00260042" w:rsidRPr="00BB243C" w:rsidRDefault="00260042" w:rsidP="00B43654">
            <w:pPr>
              <w:pStyle w:val="BodyText"/>
              <w:rPr>
                <w:sz w:val="20"/>
                <w:szCs w:val="20"/>
              </w:rPr>
            </w:pPr>
            <w:r w:rsidRPr="00BB243C">
              <w:rPr>
                <w:sz w:val="20"/>
                <w:szCs w:val="20"/>
              </w:rPr>
              <w:t>Deputy Chief Executive Officer – Transformation Projects</w:t>
            </w:r>
          </w:p>
        </w:tc>
        <w:tc>
          <w:tcPr>
            <w:tcW w:w="429" w:type="pct"/>
          </w:tcPr>
          <w:p w:rsidR="00260042" w:rsidRPr="00BB243C" w:rsidRDefault="00260042" w:rsidP="00BB243C">
            <w:pPr>
              <w:pStyle w:val="BodyText"/>
              <w:jc w:val="right"/>
              <w:rPr>
                <w:sz w:val="20"/>
                <w:szCs w:val="20"/>
              </w:rPr>
            </w:pPr>
            <w:r w:rsidRPr="00BB243C">
              <w:rPr>
                <w:sz w:val="20"/>
                <w:szCs w:val="20"/>
              </w:rPr>
              <w:t>372,800</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31,497</w:t>
            </w:r>
          </w:p>
        </w:tc>
        <w:tc>
          <w:tcPr>
            <w:tcW w:w="623" w:type="pct"/>
          </w:tcPr>
          <w:p w:rsidR="00260042" w:rsidRPr="00BB243C" w:rsidRDefault="00260042" w:rsidP="00BB243C">
            <w:pPr>
              <w:pStyle w:val="BodyText"/>
              <w:jc w:val="right"/>
              <w:rPr>
                <w:sz w:val="20"/>
                <w:szCs w:val="20"/>
              </w:rPr>
            </w:pPr>
            <w:r w:rsidRPr="00BB243C">
              <w:rPr>
                <w:sz w:val="20"/>
                <w:szCs w:val="20"/>
              </w:rPr>
              <w:t>55,228</w:t>
            </w:r>
          </w:p>
        </w:tc>
        <w:tc>
          <w:tcPr>
            <w:tcW w:w="369" w:type="pct"/>
          </w:tcPr>
          <w:p w:rsidR="00260042" w:rsidRPr="00BB243C" w:rsidRDefault="00260042" w:rsidP="00BB243C">
            <w:pPr>
              <w:pStyle w:val="BodyText"/>
              <w:jc w:val="right"/>
              <w:rPr>
                <w:sz w:val="20"/>
                <w:szCs w:val="20"/>
              </w:rPr>
            </w:pPr>
            <w:r w:rsidRPr="00BB243C">
              <w:rPr>
                <w:sz w:val="20"/>
                <w:szCs w:val="20"/>
              </w:rPr>
              <w:t>8,102</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467,627</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t>Michelle Lees</w:t>
            </w:r>
          </w:p>
        </w:tc>
        <w:tc>
          <w:tcPr>
            <w:tcW w:w="672" w:type="pct"/>
          </w:tcPr>
          <w:p w:rsidR="00260042" w:rsidRPr="00BB243C" w:rsidRDefault="00260042" w:rsidP="00B43654">
            <w:pPr>
              <w:pStyle w:val="BodyText"/>
              <w:rPr>
                <w:sz w:val="20"/>
                <w:szCs w:val="20"/>
              </w:rPr>
            </w:pPr>
            <w:r w:rsidRPr="00BB243C">
              <w:rPr>
                <w:sz w:val="20"/>
                <w:szCs w:val="20"/>
              </w:rPr>
              <w:t>Deputy Chief Executive Officer – Payments and Integrity</w:t>
            </w:r>
          </w:p>
        </w:tc>
        <w:tc>
          <w:tcPr>
            <w:tcW w:w="429" w:type="pct"/>
          </w:tcPr>
          <w:p w:rsidR="00260042" w:rsidRPr="00BB243C" w:rsidRDefault="00260042" w:rsidP="00BB243C">
            <w:pPr>
              <w:pStyle w:val="BodyText"/>
              <w:jc w:val="right"/>
              <w:rPr>
                <w:sz w:val="20"/>
                <w:szCs w:val="20"/>
              </w:rPr>
            </w:pPr>
            <w:r w:rsidRPr="00BB243C">
              <w:rPr>
                <w:sz w:val="20"/>
                <w:szCs w:val="20"/>
              </w:rPr>
              <w:t>327,367</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57,597</w:t>
            </w:r>
          </w:p>
        </w:tc>
        <w:tc>
          <w:tcPr>
            <w:tcW w:w="623" w:type="pct"/>
          </w:tcPr>
          <w:p w:rsidR="00260042" w:rsidRPr="00BB243C" w:rsidRDefault="00260042" w:rsidP="00BB243C">
            <w:pPr>
              <w:pStyle w:val="BodyText"/>
              <w:jc w:val="right"/>
              <w:rPr>
                <w:sz w:val="20"/>
                <w:szCs w:val="20"/>
              </w:rPr>
            </w:pPr>
            <w:r w:rsidRPr="00BB243C">
              <w:rPr>
                <w:sz w:val="20"/>
                <w:szCs w:val="20"/>
              </w:rPr>
              <w:t>59,504</w:t>
            </w:r>
          </w:p>
        </w:tc>
        <w:tc>
          <w:tcPr>
            <w:tcW w:w="369" w:type="pct"/>
          </w:tcPr>
          <w:p w:rsidR="00260042" w:rsidRPr="00BB243C" w:rsidRDefault="00260042" w:rsidP="00BB243C">
            <w:pPr>
              <w:pStyle w:val="BodyText"/>
              <w:jc w:val="right"/>
              <w:rPr>
                <w:sz w:val="20"/>
                <w:szCs w:val="20"/>
              </w:rPr>
            </w:pPr>
            <w:r w:rsidRPr="00BB243C">
              <w:rPr>
                <w:sz w:val="20"/>
                <w:szCs w:val="20"/>
              </w:rPr>
              <w:t>(1,824)</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442,644</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t>Russell Egan</w:t>
            </w:r>
          </w:p>
        </w:tc>
        <w:tc>
          <w:tcPr>
            <w:tcW w:w="672" w:type="pct"/>
          </w:tcPr>
          <w:p w:rsidR="00260042" w:rsidRPr="00BB243C" w:rsidRDefault="00260042" w:rsidP="00B43654">
            <w:pPr>
              <w:pStyle w:val="BodyText"/>
              <w:rPr>
                <w:sz w:val="20"/>
                <w:szCs w:val="20"/>
              </w:rPr>
            </w:pPr>
            <w:r w:rsidRPr="00BB243C">
              <w:rPr>
                <w:sz w:val="20"/>
                <w:szCs w:val="20"/>
              </w:rPr>
              <w:t>Deputy Chief Executive Officer – Customer Service Design</w:t>
            </w:r>
          </w:p>
        </w:tc>
        <w:tc>
          <w:tcPr>
            <w:tcW w:w="429" w:type="pct"/>
          </w:tcPr>
          <w:p w:rsidR="00260042" w:rsidRPr="00BB243C" w:rsidRDefault="00260042" w:rsidP="00BB243C">
            <w:pPr>
              <w:pStyle w:val="BodyText"/>
              <w:jc w:val="right"/>
              <w:rPr>
                <w:sz w:val="20"/>
                <w:szCs w:val="20"/>
              </w:rPr>
            </w:pPr>
            <w:r w:rsidRPr="00BB243C">
              <w:rPr>
                <w:sz w:val="20"/>
                <w:szCs w:val="20"/>
              </w:rPr>
              <w:t>330,297</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31,497</w:t>
            </w:r>
          </w:p>
        </w:tc>
        <w:tc>
          <w:tcPr>
            <w:tcW w:w="623" w:type="pct"/>
          </w:tcPr>
          <w:p w:rsidR="00260042" w:rsidRPr="00BB243C" w:rsidRDefault="00260042" w:rsidP="00BB243C">
            <w:pPr>
              <w:pStyle w:val="BodyText"/>
              <w:jc w:val="right"/>
              <w:rPr>
                <w:sz w:val="20"/>
                <w:szCs w:val="20"/>
              </w:rPr>
            </w:pPr>
            <w:r w:rsidRPr="00BB243C">
              <w:rPr>
                <w:sz w:val="20"/>
                <w:szCs w:val="20"/>
              </w:rPr>
              <w:t>52,050</w:t>
            </w:r>
          </w:p>
        </w:tc>
        <w:tc>
          <w:tcPr>
            <w:tcW w:w="369" w:type="pct"/>
          </w:tcPr>
          <w:p w:rsidR="00260042" w:rsidRPr="00BB243C" w:rsidRDefault="00260042" w:rsidP="00BB243C">
            <w:pPr>
              <w:pStyle w:val="BodyText"/>
              <w:jc w:val="right"/>
              <w:rPr>
                <w:sz w:val="20"/>
                <w:szCs w:val="20"/>
              </w:rPr>
            </w:pPr>
            <w:r w:rsidRPr="00BB243C">
              <w:rPr>
                <w:sz w:val="20"/>
                <w:szCs w:val="20"/>
              </w:rPr>
              <w:t>9,715</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423,559</w:t>
            </w:r>
          </w:p>
        </w:tc>
      </w:tr>
      <w:tr w:rsidR="00B43654" w:rsidRPr="00BB243C" w:rsidTr="00B43654">
        <w:trPr>
          <w:trHeight w:val="376"/>
        </w:trPr>
        <w:tc>
          <w:tcPr>
            <w:tcW w:w="534" w:type="pct"/>
          </w:tcPr>
          <w:p w:rsidR="00260042" w:rsidRPr="00BB243C" w:rsidRDefault="00260042" w:rsidP="00B43654">
            <w:pPr>
              <w:pStyle w:val="BodyText"/>
              <w:rPr>
                <w:sz w:val="20"/>
                <w:szCs w:val="20"/>
              </w:rPr>
            </w:pPr>
            <w:r w:rsidRPr="00BB243C">
              <w:rPr>
                <w:sz w:val="20"/>
                <w:szCs w:val="20"/>
              </w:rPr>
              <w:t xml:space="preserve">Annette </w:t>
            </w:r>
            <w:proofErr w:type="spellStart"/>
            <w:r w:rsidRPr="00BB243C">
              <w:rPr>
                <w:sz w:val="20"/>
                <w:szCs w:val="20"/>
              </w:rPr>
              <w:t>Musolino</w:t>
            </w:r>
            <w:proofErr w:type="spellEnd"/>
          </w:p>
        </w:tc>
        <w:tc>
          <w:tcPr>
            <w:tcW w:w="672" w:type="pct"/>
          </w:tcPr>
          <w:p w:rsidR="00260042" w:rsidRPr="00BB243C" w:rsidRDefault="00260042" w:rsidP="00B43654">
            <w:pPr>
              <w:pStyle w:val="BodyText"/>
              <w:rPr>
                <w:sz w:val="20"/>
                <w:szCs w:val="20"/>
              </w:rPr>
            </w:pPr>
            <w:r w:rsidRPr="00BB243C">
              <w:rPr>
                <w:sz w:val="20"/>
                <w:szCs w:val="20"/>
              </w:rPr>
              <w:t>Chief Operating Officer</w:t>
            </w:r>
          </w:p>
        </w:tc>
        <w:tc>
          <w:tcPr>
            <w:tcW w:w="429" w:type="pct"/>
          </w:tcPr>
          <w:p w:rsidR="00260042" w:rsidRPr="00BB243C" w:rsidRDefault="00260042" w:rsidP="00BB243C">
            <w:pPr>
              <w:pStyle w:val="BodyText"/>
              <w:jc w:val="right"/>
              <w:rPr>
                <w:sz w:val="20"/>
                <w:szCs w:val="20"/>
              </w:rPr>
            </w:pPr>
            <w:r w:rsidRPr="00BB243C">
              <w:rPr>
                <w:sz w:val="20"/>
                <w:szCs w:val="20"/>
              </w:rPr>
              <w:t>330,873</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31,497</w:t>
            </w:r>
          </w:p>
        </w:tc>
        <w:tc>
          <w:tcPr>
            <w:tcW w:w="623" w:type="pct"/>
          </w:tcPr>
          <w:p w:rsidR="00260042" w:rsidRPr="00BB243C" w:rsidRDefault="00260042" w:rsidP="00BB243C">
            <w:pPr>
              <w:pStyle w:val="BodyText"/>
              <w:jc w:val="right"/>
              <w:rPr>
                <w:sz w:val="20"/>
                <w:szCs w:val="20"/>
              </w:rPr>
            </w:pPr>
            <w:r w:rsidRPr="00BB243C">
              <w:rPr>
                <w:sz w:val="20"/>
                <w:szCs w:val="20"/>
              </w:rPr>
              <w:t>48,587</w:t>
            </w:r>
          </w:p>
        </w:tc>
        <w:tc>
          <w:tcPr>
            <w:tcW w:w="369" w:type="pct"/>
          </w:tcPr>
          <w:p w:rsidR="00260042" w:rsidRPr="00BB243C" w:rsidRDefault="00260042" w:rsidP="00BB243C">
            <w:pPr>
              <w:pStyle w:val="BodyText"/>
              <w:jc w:val="right"/>
              <w:rPr>
                <w:sz w:val="20"/>
                <w:szCs w:val="20"/>
              </w:rPr>
            </w:pPr>
            <w:r w:rsidRPr="00BB243C">
              <w:rPr>
                <w:sz w:val="20"/>
                <w:szCs w:val="20"/>
              </w:rPr>
              <w:t>5,276</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416,233</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sz w:val="20"/>
                <w:szCs w:val="20"/>
              </w:rPr>
              <w:lastRenderedPageBreak/>
              <w:t>Amanda Cattermole</w:t>
            </w:r>
          </w:p>
        </w:tc>
        <w:tc>
          <w:tcPr>
            <w:tcW w:w="672" w:type="pct"/>
          </w:tcPr>
          <w:p w:rsidR="00260042" w:rsidRPr="00BB243C" w:rsidRDefault="00260042" w:rsidP="00B43654">
            <w:pPr>
              <w:pStyle w:val="BodyText"/>
              <w:rPr>
                <w:sz w:val="20"/>
                <w:szCs w:val="20"/>
              </w:rPr>
            </w:pPr>
            <w:r w:rsidRPr="00BB243C">
              <w:rPr>
                <w:sz w:val="20"/>
                <w:szCs w:val="20"/>
              </w:rPr>
              <w:t xml:space="preserve">Deputy Chief Executive Officer </w:t>
            </w:r>
          </w:p>
        </w:tc>
        <w:tc>
          <w:tcPr>
            <w:tcW w:w="429" w:type="pct"/>
          </w:tcPr>
          <w:p w:rsidR="00260042" w:rsidRPr="00BB243C" w:rsidRDefault="00260042" w:rsidP="00BB243C">
            <w:pPr>
              <w:pStyle w:val="BodyText"/>
              <w:jc w:val="right"/>
              <w:rPr>
                <w:sz w:val="20"/>
                <w:szCs w:val="20"/>
              </w:rPr>
            </w:pPr>
            <w:r w:rsidRPr="00BB243C">
              <w:rPr>
                <w:sz w:val="20"/>
                <w:szCs w:val="20"/>
              </w:rPr>
              <w:t>63,174</w:t>
            </w:r>
          </w:p>
        </w:tc>
        <w:tc>
          <w:tcPr>
            <w:tcW w:w="381" w:type="pct"/>
          </w:tcPr>
          <w:p w:rsidR="00260042" w:rsidRPr="00BB243C" w:rsidRDefault="00260042" w:rsidP="00BB243C">
            <w:pPr>
              <w:pStyle w:val="BodyText"/>
              <w:jc w:val="right"/>
              <w:rPr>
                <w:sz w:val="20"/>
                <w:szCs w:val="20"/>
              </w:rPr>
            </w:pPr>
            <w:r w:rsidRPr="00BB243C">
              <w:rPr>
                <w:sz w:val="20"/>
                <w:szCs w:val="20"/>
              </w:rPr>
              <w:t>0</w:t>
            </w:r>
          </w:p>
        </w:tc>
        <w:tc>
          <w:tcPr>
            <w:tcW w:w="520" w:type="pct"/>
          </w:tcPr>
          <w:p w:rsidR="00260042" w:rsidRPr="00BB243C" w:rsidRDefault="00260042" w:rsidP="00BB243C">
            <w:pPr>
              <w:pStyle w:val="BodyText"/>
              <w:jc w:val="right"/>
              <w:rPr>
                <w:sz w:val="20"/>
                <w:szCs w:val="20"/>
              </w:rPr>
            </w:pPr>
            <w:r w:rsidRPr="00BB243C">
              <w:rPr>
                <w:sz w:val="20"/>
                <w:szCs w:val="20"/>
              </w:rPr>
              <w:t>7,729</w:t>
            </w:r>
          </w:p>
        </w:tc>
        <w:tc>
          <w:tcPr>
            <w:tcW w:w="623" w:type="pct"/>
          </w:tcPr>
          <w:p w:rsidR="00260042" w:rsidRPr="00BB243C" w:rsidRDefault="00260042" w:rsidP="00BB243C">
            <w:pPr>
              <w:pStyle w:val="BodyText"/>
              <w:jc w:val="right"/>
              <w:rPr>
                <w:sz w:val="20"/>
                <w:szCs w:val="20"/>
              </w:rPr>
            </w:pPr>
            <w:r w:rsidRPr="00BB243C">
              <w:rPr>
                <w:sz w:val="20"/>
                <w:szCs w:val="20"/>
              </w:rPr>
              <w:t>13,363</w:t>
            </w:r>
          </w:p>
        </w:tc>
        <w:tc>
          <w:tcPr>
            <w:tcW w:w="369" w:type="pct"/>
          </w:tcPr>
          <w:p w:rsidR="00260042" w:rsidRPr="00BB243C" w:rsidRDefault="00260042" w:rsidP="00BB243C">
            <w:pPr>
              <w:pStyle w:val="BodyText"/>
              <w:jc w:val="right"/>
              <w:rPr>
                <w:sz w:val="20"/>
                <w:szCs w:val="20"/>
              </w:rPr>
            </w:pPr>
            <w:r w:rsidRPr="00BB243C">
              <w:rPr>
                <w:sz w:val="20"/>
                <w:szCs w:val="20"/>
              </w:rPr>
              <w:t>(885)</w:t>
            </w:r>
          </w:p>
        </w:tc>
        <w:tc>
          <w:tcPr>
            <w:tcW w:w="429" w:type="pct"/>
          </w:tcPr>
          <w:p w:rsidR="00260042" w:rsidRPr="00BB243C" w:rsidRDefault="00260042" w:rsidP="00BB243C">
            <w:pPr>
              <w:pStyle w:val="BodyText"/>
              <w:jc w:val="right"/>
              <w:rPr>
                <w:sz w:val="20"/>
                <w:szCs w:val="20"/>
              </w:rPr>
            </w:pPr>
            <w:r w:rsidRPr="00BB243C">
              <w:rPr>
                <w:sz w:val="20"/>
                <w:szCs w:val="20"/>
              </w:rPr>
              <w:t>0</w:t>
            </w:r>
          </w:p>
        </w:tc>
        <w:tc>
          <w:tcPr>
            <w:tcW w:w="502" w:type="pct"/>
          </w:tcPr>
          <w:p w:rsidR="00260042" w:rsidRPr="00BB243C" w:rsidRDefault="00260042" w:rsidP="00BB243C">
            <w:pPr>
              <w:pStyle w:val="BodyText"/>
              <w:jc w:val="right"/>
              <w:rPr>
                <w:sz w:val="20"/>
                <w:szCs w:val="20"/>
              </w:rPr>
            </w:pPr>
            <w:r w:rsidRPr="00BB243C">
              <w:rPr>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83,381</w:t>
            </w:r>
          </w:p>
        </w:tc>
      </w:tr>
      <w:tr w:rsidR="00B43654" w:rsidRPr="00BB243C" w:rsidTr="00B43654">
        <w:trPr>
          <w:trHeight w:val="60"/>
        </w:trPr>
        <w:tc>
          <w:tcPr>
            <w:tcW w:w="534" w:type="pct"/>
          </w:tcPr>
          <w:p w:rsidR="00260042" w:rsidRPr="00BB243C" w:rsidRDefault="00260042" w:rsidP="00B43654">
            <w:pPr>
              <w:pStyle w:val="BodyText"/>
              <w:rPr>
                <w:sz w:val="20"/>
                <w:szCs w:val="20"/>
              </w:rPr>
            </w:pPr>
            <w:r w:rsidRPr="00BB243C">
              <w:rPr>
                <w:rStyle w:val="Bold"/>
                <w:bCs w:val="0"/>
                <w:color w:val="auto"/>
                <w:sz w:val="20"/>
                <w:szCs w:val="20"/>
              </w:rPr>
              <w:t>Total</w:t>
            </w:r>
          </w:p>
        </w:tc>
        <w:tc>
          <w:tcPr>
            <w:tcW w:w="672" w:type="pct"/>
          </w:tcPr>
          <w:p w:rsidR="00260042" w:rsidRPr="00BB243C" w:rsidRDefault="00260042" w:rsidP="00B43654">
            <w:pPr>
              <w:pStyle w:val="BodyText"/>
              <w:rPr>
                <w:sz w:val="20"/>
                <w:szCs w:val="20"/>
              </w:rPr>
            </w:pPr>
            <w:r w:rsidRPr="00BB243C">
              <w:rPr>
                <w:rStyle w:val="Bold"/>
                <w:bCs w:val="0"/>
                <w:color w:val="auto"/>
                <w:sz w:val="20"/>
                <w:szCs w:val="20"/>
              </w:rPr>
              <w:t>9</w:t>
            </w:r>
          </w:p>
        </w:tc>
        <w:tc>
          <w:tcPr>
            <w:tcW w:w="429" w:type="pct"/>
          </w:tcPr>
          <w:p w:rsidR="00260042" w:rsidRPr="00BB243C" w:rsidRDefault="00260042" w:rsidP="00BB243C">
            <w:pPr>
              <w:pStyle w:val="BodyText"/>
              <w:jc w:val="right"/>
              <w:rPr>
                <w:sz w:val="20"/>
                <w:szCs w:val="20"/>
              </w:rPr>
            </w:pPr>
            <w:r w:rsidRPr="00BB243C">
              <w:rPr>
                <w:rStyle w:val="Bold"/>
                <w:bCs w:val="0"/>
                <w:color w:val="auto"/>
                <w:sz w:val="20"/>
                <w:szCs w:val="20"/>
              </w:rPr>
              <w:t>3,690,462</w:t>
            </w:r>
          </w:p>
        </w:tc>
        <w:tc>
          <w:tcPr>
            <w:tcW w:w="381" w:type="pct"/>
          </w:tcPr>
          <w:p w:rsidR="00260042" w:rsidRPr="00BB243C" w:rsidRDefault="00260042" w:rsidP="00BB243C">
            <w:pPr>
              <w:pStyle w:val="BodyText"/>
              <w:jc w:val="right"/>
              <w:rPr>
                <w:sz w:val="20"/>
                <w:szCs w:val="20"/>
              </w:rPr>
            </w:pPr>
            <w:r w:rsidRPr="00BB243C">
              <w:rPr>
                <w:rStyle w:val="Bold"/>
                <w:bCs w:val="0"/>
                <w:color w:val="auto"/>
                <w:sz w:val="20"/>
                <w:szCs w:val="20"/>
              </w:rPr>
              <w:t>0</w:t>
            </w:r>
          </w:p>
        </w:tc>
        <w:tc>
          <w:tcPr>
            <w:tcW w:w="520" w:type="pct"/>
          </w:tcPr>
          <w:p w:rsidR="00260042" w:rsidRPr="00BB243C" w:rsidRDefault="00260042" w:rsidP="00BB243C">
            <w:pPr>
              <w:pStyle w:val="BodyText"/>
              <w:jc w:val="right"/>
              <w:rPr>
                <w:sz w:val="20"/>
                <w:szCs w:val="20"/>
              </w:rPr>
            </w:pPr>
            <w:r w:rsidRPr="00BB243C">
              <w:rPr>
                <w:rStyle w:val="Bold"/>
                <w:bCs w:val="0"/>
                <w:color w:val="auto"/>
                <w:sz w:val="20"/>
                <w:szCs w:val="20"/>
              </w:rPr>
              <w:t>231,053</w:t>
            </w:r>
          </w:p>
        </w:tc>
        <w:tc>
          <w:tcPr>
            <w:tcW w:w="623" w:type="pct"/>
          </w:tcPr>
          <w:p w:rsidR="00260042" w:rsidRPr="00BB243C" w:rsidRDefault="00260042" w:rsidP="00BB243C">
            <w:pPr>
              <w:pStyle w:val="BodyText"/>
              <w:jc w:val="right"/>
              <w:rPr>
                <w:sz w:val="20"/>
                <w:szCs w:val="20"/>
              </w:rPr>
            </w:pPr>
            <w:r w:rsidRPr="00BB243C">
              <w:rPr>
                <w:rStyle w:val="Bold"/>
                <w:bCs w:val="0"/>
                <w:color w:val="auto"/>
                <w:sz w:val="20"/>
                <w:szCs w:val="20"/>
              </w:rPr>
              <w:t>466,448</w:t>
            </w:r>
          </w:p>
        </w:tc>
        <w:tc>
          <w:tcPr>
            <w:tcW w:w="369" w:type="pct"/>
          </w:tcPr>
          <w:p w:rsidR="00260042" w:rsidRPr="00BB243C" w:rsidRDefault="00260042" w:rsidP="00BB243C">
            <w:pPr>
              <w:pStyle w:val="BodyText"/>
              <w:jc w:val="right"/>
              <w:rPr>
                <w:sz w:val="20"/>
                <w:szCs w:val="20"/>
              </w:rPr>
            </w:pPr>
            <w:r w:rsidRPr="00BB243C">
              <w:rPr>
                <w:rStyle w:val="Bold"/>
                <w:bCs w:val="0"/>
                <w:color w:val="auto"/>
                <w:sz w:val="20"/>
                <w:szCs w:val="20"/>
              </w:rPr>
              <w:t>66,638</w:t>
            </w:r>
          </w:p>
        </w:tc>
        <w:tc>
          <w:tcPr>
            <w:tcW w:w="429" w:type="pct"/>
          </w:tcPr>
          <w:p w:rsidR="00260042" w:rsidRPr="00BB243C" w:rsidRDefault="00260042" w:rsidP="00BB243C">
            <w:pPr>
              <w:pStyle w:val="BodyText"/>
              <w:jc w:val="right"/>
              <w:rPr>
                <w:sz w:val="20"/>
                <w:szCs w:val="20"/>
              </w:rPr>
            </w:pPr>
            <w:r w:rsidRPr="00BB243C">
              <w:rPr>
                <w:rStyle w:val="Bold"/>
                <w:bCs w:val="0"/>
                <w:color w:val="auto"/>
                <w:sz w:val="20"/>
                <w:szCs w:val="20"/>
              </w:rPr>
              <w:t>0</w:t>
            </w:r>
          </w:p>
        </w:tc>
        <w:tc>
          <w:tcPr>
            <w:tcW w:w="502" w:type="pct"/>
          </w:tcPr>
          <w:p w:rsidR="00260042" w:rsidRPr="00BB243C" w:rsidRDefault="00260042" w:rsidP="00BB243C">
            <w:pPr>
              <w:pStyle w:val="BodyText"/>
              <w:jc w:val="right"/>
              <w:rPr>
                <w:sz w:val="20"/>
                <w:szCs w:val="20"/>
              </w:rPr>
            </w:pPr>
            <w:r w:rsidRPr="00BB243C">
              <w:rPr>
                <w:rStyle w:val="Bold"/>
                <w:bCs w:val="0"/>
                <w:color w:val="auto"/>
                <w:sz w:val="20"/>
                <w:szCs w:val="20"/>
              </w:rPr>
              <w:t>0</w:t>
            </w:r>
          </w:p>
        </w:tc>
        <w:tc>
          <w:tcPr>
            <w:tcW w:w="538" w:type="pct"/>
          </w:tcPr>
          <w:p w:rsidR="00260042" w:rsidRPr="00BB243C" w:rsidRDefault="00260042" w:rsidP="00BB243C">
            <w:pPr>
              <w:pStyle w:val="BodyText"/>
              <w:jc w:val="right"/>
              <w:rPr>
                <w:sz w:val="20"/>
                <w:szCs w:val="20"/>
              </w:rPr>
            </w:pPr>
            <w:r w:rsidRPr="00BB243C">
              <w:rPr>
                <w:rStyle w:val="Bold"/>
                <w:bCs w:val="0"/>
                <w:color w:val="auto"/>
                <w:sz w:val="20"/>
                <w:szCs w:val="20"/>
              </w:rPr>
              <w:t>4,454,601</w:t>
            </w:r>
          </w:p>
        </w:tc>
      </w:tr>
    </w:tbl>
    <w:p w:rsidR="00260042" w:rsidRDefault="00260042" w:rsidP="00EA5510">
      <w:pPr>
        <w:pStyle w:val="BodyText"/>
      </w:pPr>
      <w:r>
        <w:t>(a)</w:t>
      </w:r>
      <w:r>
        <w:tab/>
        <w:t>Includes base salary, annual leave benefit, bonuses, allowances and other benefits.</w:t>
      </w:r>
    </w:p>
    <w:p w:rsidR="00260042" w:rsidRDefault="00260042" w:rsidP="00EA5510">
      <w:pPr>
        <w:pStyle w:val="BodyText"/>
      </w:pPr>
      <w:r>
        <w:t>(</w:t>
      </w:r>
      <w:proofErr w:type="gramStart"/>
      <w:r>
        <w:t>b</w:t>
      </w:r>
      <w:proofErr w:type="gramEnd"/>
      <w:r>
        <w:t>)</w:t>
      </w:r>
      <w:r>
        <w:tab/>
        <w:t xml:space="preserve">Includes contributed superannuation depending on the scheme the employee is in. When an employee is in a defined contribution scheme, such as </w:t>
      </w:r>
      <w:proofErr w:type="spellStart"/>
      <w:r>
        <w:t>PSSap</w:t>
      </w:r>
      <w:proofErr w:type="spellEnd"/>
      <w:r>
        <w:t>, this will be the superannuation amount on the individual’s pay slip. When an employee is in a defined benefits scheme, such as PSS and CSS, this will include the Notional Employer Contribution Amount and Employer Productivity Superannuation Contribution.</w:t>
      </w:r>
    </w:p>
    <w:p w:rsidR="00260042" w:rsidRDefault="00260042" w:rsidP="00EA5510">
      <w:pPr>
        <w:pStyle w:val="BodyText"/>
      </w:pPr>
      <w:r>
        <w:t>(c)</w:t>
      </w:r>
      <w:r>
        <w:tab/>
        <w:t>In accordance with accounting standards, long-term benefits include long service leave and the impacts of a reduction in the discount rate. In some cases, this has resulted in a negative long service leave expense for some employees.</w:t>
      </w:r>
    </w:p>
    <w:p w:rsidR="00260042" w:rsidRDefault="00260042" w:rsidP="00EA5510">
      <w:pPr>
        <w:pStyle w:val="BodyText"/>
      </w:pPr>
      <w:r>
        <w:t>(d)</w:t>
      </w:r>
      <w:r>
        <w:tab/>
        <w:t>Includes motor vehicle allowance and other benefits such as the provision of a car park.</w:t>
      </w:r>
    </w:p>
    <w:p w:rsidR="00260042" w:rsidRPr="00EA5510" w:rsidRDefault="00511254" w:rsidP="00EA5510">
      <w:pPr>
        <w:pStyle w:val="BodyText"/>
        <w:rPr>
          <w:b/>
        </w:rPr>
      </w:pPr>
      <w:r>
        <w:rPr>
          <w:rStyle w:val="Bold"/>
          <w:bCs w:val="0"/>
        </w:rPr>
        <w:t>Table 5</w:t>
      </w:r>
      <w:r>
        <w:rPr>
          <w:rStyle w:val="Bold"/>
          <w:bCs w:val="0"/>
        </w:rPr>
        <w:t>2</w:t>
      </w:r>
      <w:r w:rsidR="00260042" w:rsidRPr="00EA5510">
        <w:rPr>
          <w:b/>
        </w:rPr>
        <w:t xml:space="preserve"> Information about remuneration for senior executives 2020–21</w:t>
      </w:r>
    </w:p>
    <w:tbl>
      <w:tblPr>
        <w:tblStyle w:val="TableGrid"/>
        <w:tblW w:w="5000" w:type="pct"/>
        <w:tblLook w:val="0000" w:firstRow="0" w:lastRow="0" w:firstColumn="0" w:lastColumn="0" w:noHBand="0" w:noVBand="0"/>
        <w:tblCaption w:val="Information about remuneration for senior executives 2020–21"/>
      </w:tblPr>
      <w:tblGrid>
        <w:gridCol w:w="1298"/>
        <w:gridCol w:w="968"/>
        <w:gridCol w:w="852"/>
        <w:gridCol w:w="879"/>
        <w:gridCol w:w="1281"/>
        <w:gridCol w:w="1424"/>
        <w:gridCol w:w="852"/>
        <w:gridCol w:w="852"/>
        <w:gridCol w:w="1138"/>
        <w:gridCol w:w="1246"/>
      </w:tblGrid>
      <w:tr w:rsidR="00260042" w:rsidTr="00511254">
        <w:trPr>
          <w:trHeight w:val="60"/>
          <w:tblHeader/>
        </w:trPr>
        <w:tc>
          <w:tcPr>
            <w:tcW w:w="575" w:type="pct"/>
          </w:tcPr>
          <w:p w:rsidR="00260042" w:rsidRPr="00511254" w:rsidRDefault="00260042" w:rsidP="00511254">
            <w:pPr>
              <w:pStyle w:val="BodyText"/>
              <w:jc w:val="center"/>
              <w:rPr>
                <w:b/>
                <w:sz w:val="20"/>
                <w:szCs w:val="20"/>
              </w:rPr>
            </w:pPr>
            <w:r w:rsidRPr="00511254">
              <w:rPr>
                <w:b/>
                <w:sz w:val="20"/>
                <w:szCs w:val="20"/>
              </w:rPr>
              <w:t>Remuneration band</w:t>
            </w:r>
          </w:p>
        </w:tc>
        <w:tc>
          <w:tcPr>
            <w:tcW w:w="550" w:type="pct"/>
          </w:tcPr>
          <w:p w:rsidR="00260042" w:rsidRPr="00511254" w:rsidRDefault="00260042" w:rsidP="00511254">
            <w:pPr>
              <w:pStyle w:val="BodyText"/>
              <w:jc w:val="center"/>
              <w:rPr>
                <w:b/>
                <w:sz w:val="20"/>
                <w:szCs w:val="20"/>
              </w:rPr>
            </w:pPr>
            <w:r w:rsidRPr="00511254">
              <w:rPr>
                <w:b/>
                <w:sz w:val="20"/>
                <w:szCs w:val="20"/>
              </w:rPr>
              <w:t>Number of Senior Executive Staff</w:t>
            </w:r>
          </w:p>
        </w:tc>
        <w:tc>
          <w:tcPr>
            <w:tcW w:w="1331" w:type="pct"/>
            <w:gridSpan w:val="3"/>
          </w:tcPr>
          <w:p w:rsidR="00260042" w:rsidRPr="00511254" w:rsidRDefault="00260042" w:rsidP="00511254">
            <w:pPr>
              <w:pStyle w:val="BodyText"/>
              <w:jc w:val="center"/>
              <w:rPr>
                <w:b/>
                <w:sz w:val="20"/>
                <w:szCs w:val="20"/>
              </w:rPr>
            </w:pPr>
            <w:r w:rsidRPr="00511254">
              <w:rPr>
                <w:b/>
                <w:sz w:val="20"/>
                <w:szCs w:val="20"/>
              </w:rPr>
              <w:t>Short-term benefits(a)</w:t>
            </w:r>
          </w:p>
        </w:tc>
        <w:tc>
          <w:tcPr>
            <w:tcW w:w="644" w:type="pct"/>
          </w:tcPr>
          <w:p w:rsidR="00260042" w:rsidRPr="00511254" w:rsidRDefault="00260042" w:rsidP="00511254">
            <w:pPr>
              <w:pStyle w:val="BodyText"/>
              <w:jc w:val="center"/>
              <w:rPr>
                <w:b/>
                <w:sz w:val="20"/>
                <w:szCs w:val="20"/>
              </w:rPr>
            </w:pPr>
            <w:r w:rsidRPr="00511254">
              <w:rPr>
                <w:b/>
                <w:sz w:val="20"/>
                <w:szCs w:val="20"/>
              </w:rPr>
              <w:t>Post-employment benefits(b)</w:t>
            </w:r>
          </w:p>
        </w:tc>
        <w:tc>
          <w:tcPr>
            <w:tcW w:w="825" w:type="pct"/>
            <w:gridSpan w:val="2"/>
          </w:tcPr>
          <w:p w:rsidR="00260042" w:rsidRPr="00511254" w:rsidRDefault="00260042" w:rsidP="00511254">
            <w:pPr>
              <w:pStyle w:val="BodyText"/>
              <w:jc w:val="center"/>
              <w:rPr>
                <w:b/>
                <w:sz w:val="20"/>
                <w:szCs w:val="20"/>
              </w:rPr>
            </w:pPr>
            <w:r w:rsidRPr="00511254">
              <w:rPr>
                <w:b/>
                <w:sz w:val="20"/>
                <w:szCs w:val="20"/>
              </w:rPr>
              <w:t>Other long-term benefits(c)</w:t>
            </w:r>
          </w:p>
        </w:tc>
        <w:tc>
          <w:tcPr>
            <w:tcW w:w="519" w:type="pct"/>
          </w:tcPr>
          <w:p w:rsidR="00260042" w:rsidRPr="00511254" w:rsidRDefault="00260042" w:rsidP="00511254">
            <w:pPr>
              <w:pStyle w:val="BodyText"/>
              <w:jc w:val="center"/>
              <w:rPr>
                <w:b/>
                <w:sz w:val="20"/>
                <w:szCs w:val="20"/>
              </w:rPr>
            </w:pPr>
            <w:r w:rsidRPr="00511254">
              <w:rPr>
                <w:b/>
                <w:sz w:val="20"/>
                <w:szCs w:val="20"/>
              </w:rPr>
              <w:t>Termination benefits</w:t>
            </w:r>
          </w:p>
        </w:tc>
        <w:tc>
          <w:tcPr>
            <w:tcW w:w="556" w:type="pct"/>
          </w:tcPr>
          <w:p w:rsidR="00260042" w:rsidRPr="00511254" w:rsidRDefault="00260042" w:rsidP="00511254">
            <w:pPr>
              <w:pStyle w:val="BodyText"/>
              <w:jc w:val="center"/>
              <w:rPr>
                <w:b/>
                <w:sz w:val="20"/>
                <w:szCs w:val="20"/>
              </w:rPr>
            </w:pPr>
            <w:r w:rsidRPr="00511254">
              <w:rPr>
                <w:b/>
                <w:sz w:val="20"/>
                <w:szCs w:val="20"/>
              </w:rPr>
              <w:t>Total remuneration</w:t>
            </w:r>
          </w:p>
        </w:tc>
      </w:tr>
      <w:tr w:rsidR="00511254" w:rsidTr="00511254">
        <w:trPr>
          <w:trHeight w:val="616"/>
          <w:tblHeader/>
        </w:trPr>
        <w:tc>
          <w:tcPr>
            <w:tcW w:w="575" w:type="pct"/>
          </w:tcPr>
          <w:p w:rsidR="00260042" w:rsidRPr="00511254" w:rsidRDefault="00260042" w:rsidP="00511254">
            <w:pPr>
              <w:pStyle w:val="BodyText"/>
              <w:rPr>
                <w:b/>
                <w:sz w:val="20"/>
                <w:szCs w:val="20"/>
              </w:rPr>
            </w:pPr>
          </w:p>
        </w:tc>
        <w:tc>
          <w:tcPr>
            <w:tcW w:w="550" w:type="pct"/>
          </w:tcPr>
          <w:p w:rsidR="00260042" w:rsidRPr="00511254" w:rsidRDefault="00260042" w:rsidP="00511254">
            <w:pPr>
              <w:pStyle w:val="BodyText"/>
              <w:jc w:val="right"/>
              <w:rPr>
                <w:b/>
                <w:sz w:val="20"/>
                <w:szCs w:val="20"/>
              </w:rPr>
            </w:pPr>
          </w:p>
        </w:tc>
        <w:tc>
          <w:tcPr>
            <w:tcW w:w="400" w:type="pct"/>
          </w:tcPr>
          <w:p w:rsidR="00260042" w:rsidRPr="00511254" w:rsidRDefault="00260042" w:rsidP="00511254">
            <w:pPr>
              <w:pStyle w:val="BodyText"/>
              <w:jc w:val="right"/>
              <w:rPr>
                <w:rStyle w:val="Bold"/>
                <w:bCs w:val="0"/>
                <w:color w:val="auto"/>
                <w:sz w:val="20"/>
                <w:szCs w:val="20"/>
              </w:rPr>
            </w:pPr>
            <w:r w:rsidRPr="00511254">
              <w:rPr>
                <w:rStyle w:val="Bold"/>
                <w:bCs w:val="0"/>
                <w:color w:val="auto"/>
                <w:sz w:val="20"/>
                <w:szCs w:val="20"/>
              </w:rPr>
              <w:t xml:space="preserve">Average base salary </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394" w:type="pct"/>
          </w:tcPr>
          <w:p w:rsidR="00260042" w:rsidRPr="00511254" w:rsidRDefault="00260042" w:rsidP="00511254">
            <w:pPr>
              <w:pStyle w:val="BodyText"/>
              <w:jc w:val="right"/>
              <w:rPr>
                <w:rStyle w:val="Bold"/>
                <w:bCs w:val="0"/>
                <w:color w:val="auto"/>
                <w:sz w:val="20"/>
                <w:szCs w:val="20"/>
              </w:rPr>
            </w:pPr>
            <w:r w:rsidRPr="00511254">
              <w:rPr>
                <w:rStyle w:val="Bold"/>
                <w:bCs w:val="0"/>
                <w:color w:val="auto"/>
                <w:sz w:val="20"/>
                <w:szCs w:val="20"/>
              </w:rPr>
              <w:t>Average bonuses</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538" w:type="pct"/>
          </w:tcPr>
          <w:p w:rsidR="00260042" w:rsidRPr="00511254" w:rsidRDefault="00260042" w:rsidP="00511254">
            <w:pPr>
              <w:pStyle w:val="BodyText"/>
              <w:jc w:val="right"/>
              <w:rPr>
                <w:rStyle w:val="Bold"/>
                <w:bCs w:val="0"/>
                <w:color w:val="auto"/>
                <w:sz w:val="20"/>
                <w:szCs w:val="20"/>
              </w:rPr>
            </w:pPr>
            <w:r w:rsidRPr="00511254">
              <w:rPr>
                <w:b/>
                <w:sz w:val="20"/>
                <w:szCs w:val="20"/>
              </w:rPr>
              <w:t>Average other benefits and allowances</w:t>
            </w:r>
            <w:r w:rsidRPr="00511254">
              <w:rPr>
                <w:rStyle w:val="Bold"/>
                <w:bCs w:val="0"/>
                <w:color w:val="auto"/>
                <w:sz w:val="20"/>
                <w:szCs w:val="20"/>
              </w:rPr>
              <w:t xml:space="preserve">(d) </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644" w:type="pct"/>
          </w:tcPr>
          <w:p w:rsidR="00260042" w:rsidRPr="00511254" w:rsidRDefault="00260042" w:rsidP="00511254">
            <w:pPr>
              <w:pStyle w:val="BodyText"/>
              <w:jc w:val="right"/>
              <w:rPr>
                <w:rStyle w:val="Bold"/>
                <w:bCs w:val="0"/>
                <w:color w:val="auto"/>
                <w:sz w:val="20"/>
                <w:szCs w:val="20"/>
              </w:rPr>
            </w:pPr>
            <w:r w:rsidRPr="00511254">
              <w:rPr>
                <w:rStyle w:val="Bold"/>
                <w:bCs w:val="0"/>
                <w:color w:val="auto"/>
                <w:sz w:val="20"/>
                <w:szCs w:val="20"/>
              </w:rPr>
              <w:t>Average superannuation contributions</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381" w:type="pct"/>
          </w:tcPr>
          <w:p w:rsidR="00260042" w:rsidRPr="00511254" w:rsidRDefault="00260042" w:rsidP="00511254">
            <w:pPr>
              <w:pStyle w:val="BodyText"/>
              <w:jc w:val="right"/>
              <w:rPr>
                <w:rStyle w:val="Bold"/>
                <w:bCs w:val="0"/>
                <w:color w:val="auto"/>
                <w:sz w:val="20"/>
                <w:szCs w:val="20"/>
              </w:rPr>
            </w:pPr>
            <w:r w:rsidRPr="00511254">
              <w:rPr>
                <w:rStyle w:val="Bold"/>
                <w:bCs w:val="0"/>
                <w:color w:val="auto"/>
                <w:sz w:val="20"/>
                <w:szCs w:val="20"/>
              </w:rPr>
              <w:t xml:space="preserve">Average long service leave </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444" w:type="pct"/>
          </w:tcPr>
          <w:p w:rsidR="00260042" w:rsidRPr="00511254" w:rsidRDefault="00260042" w:rsidP="00511254">
            <w:pPr>
              <w:pStyle w:val="BodyText"/>
              <w:jc w:val="right"/>
              <w:rPr>
                <w:rStyle w:val="Bold"/>
                <w:bCs w:val="0"/>
                <w:color w:val="auto"/>
                <w:sz w:val="20"/>
                <w:szCs w:val="20"/>
              </w:rPr>
            </w:pPr>
            <w:r w:rsidRPr="00511254">
              <w:rPr>
                <w:rStyle w:val="Bold"/>
                <w:bCs w:val="0"/>
                <w:color w:val="auto"/>
                <w:sz w:val="20"/>
                <w:szCs w:val="20"/>
              </w:rPr>
              <w:t xml:space="preserve">Average other long-term benefits </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519" w:type="pct"/>
          </w:tcPr>
          <w:p w:rsidR="00260042" w:rsidRPr="00511254" w:rsidRDefault="00260042" w:rsidP="00511254">
            <w:pPr>
              <w:pStyle w:val="BodyText"/>
              <w:jc w:val="right"/>
              <w:rPr>
                <w:rStyle w:val="Bold"/>
                <w:bCs w:val="0"/>
                <w:color w:val="auto"/>
                <w:sz w:val="20"/>
                <w:szCs w:val="20"/>
              </w:rPr>
            </w:pPr>
            <w:r w:rsidRPr="00511254">
              <w:rPr>
                <w:rStyle w:val="Bold"/>
                <w:bCs w:val="0"/>
                <w:color w:val="auto"/>
                <w:sz w:val="20"/>
                <w:szCs w:val="20"/>
              </w:rPr>
              <w:t>Average termination benefits</w:t>
            </w:r>
          </w:p>
          <w:p w:rsidR="00260042" w:rsidRPr="00511254" w:rsidRDefault="00260042" w:rsidP="00511254">
            <w:pPr>
              <w:pStyle w:val="BodyText"/>
              <w:jc w:val="right"/>
              <w:rPr>
                <w:b/>
                <w:sz w:val="20"/>
                <w:szCs w:val="20"/>
              </w:rPr>
            </w:pPr>
            <w:r w:rsidRPr="00511254">
              <w:rPr>
                <w:rStyle w:val="Bold"/>
                <w:bCs w:val="0"/>
                <w:color w:val="auto"/>
                <w:sz w:val="20"/>
                <w:szCs w:val="20"/>
              </w:rPr>
              <w:t>$</w:t>
            </w:r>
          </w:p>
        </w:tc>
        <w:tc>
          <w:tcPr>
            <w:tcW w:w="556" w:type="pct"/>
          </w:tcPr>
          <w:p w:rsidR="00260042" w:rsidRPr="00511254" w:rsidRDefault="00260042" w:rsidP="00511254">
            <w:pPr>
              <w:pStyle w:val="BodyText"/>
              <w:jc w:val="right"/>
              <w:rPr>
                <w:b/>
                <w:sz w:val="20"/>
                <w:szCs w:val="20"/>
              </w:rPr>
            </w:pPr>
            <w:r w:rsidRPr="00511254">
              <w:rPr>
                <w:rStyle w:val="Bold"/>
                <w:bCs w:val="0"/>
                <w:color w:val="auto"/>
                <w:sz w:val="20"/>
                <w:szCs w:val="20"/>
              </w:rPr>
              <w:t>Average total remuneration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$0 – $220,000 </w:t>
            </w:r>
          </w:p>
        </w:tc>
        <w:tc>
          <w:tcPr>
            <w:tcW w:w="550" w:type="pct"/>
          </w:tcPr>
          <w:p w:rsidR="00260042" w:rsidRPr="00511254" w:rsidRDefault="00260042" w:rsidP="00511254">
            <w:pPr>
              <w:pStyle w:val="BodyText"/>
              <w:jc w:val="right"/>
              <w:rPr>
                <w:sz w:val="20"/>
                <w:szCs w:val="20"/>
              </w:rPr>
            </w:pPr>
            <w:r w:rsidRPr="00511254">
              <w:rPr>
                <w:sz w:val="20"/>
                <w:szCs w:val="20"/>
              </w:rPr>
              <w:t>49</w:t>
            </w:r>
          </w:p>
        </w:tc>
        <w:tc>
          <w:tcPr>
            <w:tcW w:w="400" w:type="pct"/>
          </w:tcPr>
          <w:p w:rsidR="00260042" w:rsidRPr="00511254" w:rsidRDefault="00260042" w:rsidP="00511254">
            <w:pPr>
              <w:pStyle w:val="BodyText"/>
              <w:jc w:val="right"/>
              <w:rPr>
                <w:sz w:val="20"/>
                <w:szCs w:val="20"/>
              </w:rPr>
            </w:pPr>
            <w:r w:rsidRPr="00511254">
              <w:rPr>
                <w:sz w:val="20"/>
                <w:szCs w:val="20"/>
              </w:rPr>
              <w:t xml:space="preserve"> 73,399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9,744 </w:t>
            </w:r>
          </w:p>
        </w:tc>
        <w:tc>
          <w:tcPr>
            <w:tcW w:w="644" w:type="pct"/>
          </w:tcPr>
          <w:p w:rsidR="00260042" w:rsidRPr="00511254" w:rsidRDefault="00260042" w:rsidP="00511254">
            <w:pPr>
              <w:pStyle w:val="BodyText"/>
              <w:jc w:val="right"/>
              <w:rPr>
                <w:sz w:val="20"/>
                <w:szCs w:val="20"/>
              </w:rPr>
            </w:pPr>
            <w:r w:rsidRPr="00511254">
              <w:rPr>
                <w:sz w:val="20"/>
                <w:szCs w:val="20"/>
              </w:rPr>
              <w:t xml:space="preserve"> 16,044 </w:t>
            </w:r>
          </w:p>
        </w:tc>
        <w:tc>
          <w:tcPr>
            <w:tcW w:w="381" w:type="pct"/>
          </w:tcPr>
          <w:p w:rsidR="00260042" w:rsidRPr="00511254" w:rsidRDefault="00260042" w:rsidP="00511254">
            <w:pPr>
              <w:pStyle w:val="BodyText"/>
              <w:jc w:val="right"/>
              <w:rPr>
                <w:sz w:val="20"/>
                <w:szCs w:val="20"/>
              </w:rPr>
            </w:pPr>
            <w:r w:rsidRPr="00511254">
              <w:rPr>
                <w:sz w:val="20"/>
                <w:szCs w:val="20"/>
              </w:rPr>
              <w:t xml:space="preserve">(4,785)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 xml:space="preserve">13,415 </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107,817 </w:t>
            </w:r>
          </w:p>
        </w:tc>
      </w:tr>
      <w:tr w:rsidR="00511254" w:rsidTr="00511254">
        <w:trPr>
          <w:trHeight w:val="305"/>
        </w:trPr>
        <w:tc>
          <w:tcPr>
            <w:tcW w:w="575" w:type="pct"/>
          </w:tcPr>
          <w:p w:rsidR="00260042" w:rsidRPr="00511254" w:rsidRDefault="00260042" w:rsidP="00511254">
            <w:pPr>
              <w:pStyle w:val="BodyText"/>
              <w:rPr>
                <w:sz w:val="20"/>
                <w:szCs w:val="20"/>
              </w:rPr>
            </w:pPr>
            <w:r w:rsidRPr="00511254">
              <w:rPr>
                <w:sz w:val="20"/>
                <w:szCs w:val="20"/>
              </w:rPr>
              <w:lastRenderedPageBreak/>
              <w:t xml:space="preserve">$220,001 – $245,000 </w:t>
            </w:r>
          </w:p>
        </w:tc>
        <w:tc>
          <w:tcPr>
            <w:tcW w:w="550" w:type="pct"/>
          </w:tcPr>
          <w:p w:rsidR="00260042" w:rsidRPr="00511254" w:rsidRDefault="00260042" w:rsidP="00511254">
            <w:pPr>
              <w:pStyle w:val="BodyText"/>
              <w:jc w:val="right"/>
              <w:rPr>
                <w:sz w:val="20"/>
                <w:szCs w:val="20"/>
              </w:rPr>
            </w:pPr>
            <w:r w:rsidRPr="00511254">
              <w:rPr>
                <w:sz w:val="20"/>
                <w:szCs w:val="20"/>
              </w:rPr>
              <w:t>63</w:t>
            </w:r>
          </w:p>
        </w:tc>
        <w:tc>
          <w:tcPr>
            <w:tcW w:w="400" w:type="pct"/>
          </w:tcPr>
          <w:p w:rsidR="00260042" w:rsidRPr="00511254" w:rsidRDefault="00260042" w:rsidP="00511254">
            <w:pPr>
              <w:pStyle w:val="BodyText"/>
              <w:jc w:val="right"/>
              <w:rPr>
                <w:sz w:val="20"/>
                <w:szCs w:val="20"/>
              </w:rPr>
            </w:pPr>
            <w:r w:rsidRPr="00511254">
              <w:rPr>
                <w:sz w:val="20"/>
                <w:szCs w:val="20"/>
              </w:rPr>
              <w:t xml:space="preserve">171,793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26,687 </w:t>
            </w:r>
          </w:p>
        </w:tc>
        <w:tc>
          <w:tcPr>
            <w:tcW w:w="644" w:type="pct"/>
          </w:tcPr>
          <w:p w:rsidR="00260042" w:rsidRPr="00511254" w:rsidRDefault="00260042" w:rsidP="00511254">
            <w:pPr>
              <w:pStyle w:val="BodyText"/>
              <w:jc w:val="right"/>
              <w:rPr>
                <w:sz w:val="20"/>
                <w:szCs w:val="20"/>
              </w:rPr>
            </w:pPr>
            <w:r w:rsidRPr="00511254">
              <w:rPr>
                <w:sz w:val="20"/>
                <w:szCs w:val="20"/>
              </w:rPr>
              <w:t xml:space="preserve"> 30,268 </w:t>
            </w:r>
          </w:p>
        </w:tc>
        <w:tc>
          <w:tcPr>
            <w:tcW w:w="381" w:type="pct"/>
          </w:tcPr>
          <w:p w:rsidR="00260042" w:rsidRPr="00511254" w:rsidRDefault="00260042" w:rsidP="00511254">
            <w:pPr>
              <w:pStyle w:val="BodyText"/>
              <w:jc w:val="right"/>
              <w:rPr>
                <w:sz w:val="20"/>
                <w:szCs w:val="20"/>
              </w:rPr>
            </w:pPr>
            <w:r w:rsidRPr="00511254">
              <w:rPr>
                <w:sz w:val="20"/>
                <w:szCs w:val="20"/>
              </w:rPr>
              <w:t xml:space="preserve">1,371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 xml:space="preserve">3,802 </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233,921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$245,001 – $270,000 </w:t>
            </w:r>
          </w:p>
        </w:tc>
        <w:tc>
          <w:tcPr>
            <w:tcW w:w="550" w:type="pct"/>
          </w:tcPr>
          <w:p w:rsidR="00260042" w:rsidRPr="00511254" w:rsidRDefault="00260042" w:rsidP="00511254">
            <w:pPr>
              <w:pStyle w:val="BodyText"/>
              <w:jc w:val="right"/>
              <w:rPr>
                <w:sz w:val="20"/>
                <w:szCs w:val="20"/>
              </w:rPr>
            </w:pPr>
            <w:r w:rsidRPr="00511254">
              <w:rPr>
                <w:sz w:val="20"/>
                <w:szCs w:val="20"/>
              </w:rPr>
              <w:t>25</w:t>
            </w:r>
          </w:p>
        </w:tc>
        <w:tc>
          <w:tcPr>
            <w:tcW w:w="400" w:type="pct"/>
          </w:tcPr>
          <w:p w:rsidR="00260042" w:rsidRPr="00511254" w:rsidRDefault="00260042" w:rsidP="00511254">
            <w:pPr>
              <w:pStyle w:val="BodyText"/>
              <w:jc w:val="right"/>
              <w:rPr>
                <w:sz w:val="20"/>
                <w:szCs w:val="20"/>
              </w:rPr>
            </w:pPr>
            <w:r w:rsidRPr="00511254">
              <w:rPr>
                <w:sz w:val="20"/>
                <w:szCs w:val="20"/>
              </w:rPr>
              <w:t xml:space="preserve">197,584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21,726 </w:t>
            </w:r>
          </w:p>
        </w:tc>
        <w:tc>
          <w:tcPr>
            <w:tcW w:w="644" w:type="pct"/>
          </w:tcPr>
          <w:p w:rsidR="00260042" w:rsidRPr="00511254" w:rsidRDefault="00260042" w:rsidP="00511254">
            <w:pPr>
              <w:pStyle w:val="BodyText"/>
              <w:jc w:val="right"/>
              <w:rPr>
                <w:sz w:val="20"/>
                <w:szCs w:val="20"/>
              </w:rPr>
            </w:pPr>
            <w:r w:rsidRPr="00511254">
              <w:rPr>
                <w:sz w:val="20"/>
                <w:szCs w:val="20"/>
              </w:rPr>
              <w:t xml:space="preserve"> 34,866 </w:t>
            </w:r>
          </w:p>
        </w:tc>
        <w:tc>
          <w:tcPr>
            <w:tcW w:w="381" w:type="pct"/>
          </w:tcPr>
          <w:p w:rsidR="00260042" w:rsidRPr="00511254" w:rsidRDefault="00260042" w:rsidP="00511254">
            <w:pPr>
              <w:pStyle w:val="BodyText"/>
              <w:jc w:val="right"/>
              <w:rPr>
                <w:sz w:val="20"/>
                <w:szCs w:val="20"/>
              </w:rPr>
            </w:pPr>
            <w:r w:rsidRPr="00511254">
              <w:rPr>
                <w:sz w:val="20"/>
                <w:szCs w:val="20"/>
              </w:rPr>
              <w:t xml:space="preserve">1,459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255,635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$270,001 – $295,000 </w:t>
            </w:r>
          </w:p>
        </w:tc>
        <w:tc>
          <w:tcPr>
            <w:tcW w:w="550" w:type="pct"/>
          </w:tcPr>
          <w:p w:rsidR="00260042" w:rsidRPr="00511254" w:rsidRDefault="00260042" w:rsidP="00511254">
            <w:pPr>
              <w:pStyle w:val="BodyText"/>
              <w:jc w:val="right"/>
              <w:rPr>
                <w:sz w:val="20"/>
                <w:szCs w:val="20"/>
              </w:rPr>
            </w:pPr>
            <w:r w:rsidRPr="00511254">
              <w:rPr>
                <w:sz w:val="20"/>
                <w:szCs w:val="20"/>
              </w:rPr>
              <w:t>28</w:t>
            </w:r>
          </w:p>
        </w:tc>
        <w:tc>
          <w:tcPr>
            <w:tcW w:w="400" w:type="pct"/>
          </w:tcPr>
          <w:p w:rsidR="00260042" w:rsidRPr="00511254" w:rsidRDefault="00260042" w:rsidP="00511254">
            <w:pPr>
              <w:pStyle w:val="BodyText"/>
              <w:jc w:val="right"/>
              <w:rPr>
                <w:sz w:val="20"/>
                <w:szCs w:val="20"/>
              </w:rPr>
            </w:pPr>
            <w:r w:rsidRPr="00511254">
              <w:rPr>
                <w:sz w:val="20"/>
                <w:szCs w:val="20"/>
              </w:rPr>
              <w:t xml:space="preserve">212,215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28,884 </w:t>
            </w:r>
          </w:p>
        </w:tc>
        <w:tc>
          <w:tcPr>
            <w:tcW w:w="644" w:type="pct"/>
          </w:tcPr>
          <w:p w:rsidR="00260042" w:rsidRPr="00511254" w:rsidRDefault="00260042" w:rsidP="00511254">
            <w:pPr>
              <w:pStyle w:val="BodyText"/>
              <w:jc w:val="right"/>
              <w:rPr>
                <w:sz w:val="20"/>
                <w:szCs w:val="20"/>
              </w:rPr>
            </w:pPr>
            <w:r w:rsidRPr="00511254">
              <w:rPr>
                <w:sz w:val="20"/>
                <w:szCs w:val="20"/>
              </w:rPr>
              <w:t xml:space="preserve"> 37,484 </w:t>
            </w:r>
          </w:p>
        </w:tc>
        <w:tc>
          <w:tcPr>
            <w:tcW w:w="381" w:type="pct"/>
          </w:tcPr>
          <w:p w:rsidR="00260042" w:rsidRPr="00511254" w:rsidRDefault="00260042" w:rsidP="00511254">
            <w:pPr>
              <w:pStyle w:val="BodyText"/>
              <w:jc w:val="right"/>
              <w:rPr>
                <w:sz w:val="20"/>
                <w:szCs w:val="20"/>
              </w:rPr>
            </w:pPr>
            <w:r w:rsidRPr="00511254">
              <w:rPr>
                <w:sz w:val="20"/>
                <w:szCs w:val="20"/>
              </w:rPr>
              <w:t xml:space="preserve"> 1,635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280,218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$295,001 – $320,000 </w:t>
            </w:r>
          </w:p>
        </w:tc>
        <w:tc>
          <w:tcPr>
            <w:tcW w:w="550" w:type="pct"/>
          </w:tcPr>
          <w:p w:rsidR="00260042" w:rsidRPr="00511254" w:rsidRDefault="00260042" w:rsidP="00511254">
            <w:pPr>
              <w:pStyle w:val="BodyText"/>
              <w:jc w:val="right"/>
              <w:rPr>
                <w:sz w:val="20"/>
                <w:szCs w:val="20"/>
              </w:rPr>
            </w:pPr>
            <w:r w:rsidRPr="00511254">
              <w:rPr>
                <w:sz w:val="20"/>
                <w:szCs w:val="20"/>
              </w:rPr>
              <w:t>14</w:t>
            </w:r>
          </w:p>
        </w:tc>
        <w:tc>
          <w:tcPr>
            <w:tcW w:w="400" w:type="pct"/>
          </w:tcPr>
          <w:p w:rsidR="00260042" w:rsidRPr="00511254" w:rsidRDefault="00260042" w:rsidP="00511254">
            <w:pPr>
              <w:pStyle w:val="BodyText"/>
              <w:jc w:val="right"/>
              <w:rPr>
                <w:sz w:val="20"/>
                <w:szCs w:val="20"/>
              </w:rPr>
            </w:pPr>
            <w:r w:rsidRPr="00511254">
              <w:rPr>
                <w:sz w:val="20"/>
                <w:szCs w:val="20"/>
              </w:rPr>
              <w:t xml:space="preserve">215,446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22,234 </w:t>
            </w:r>
          </w:p>
        </w:tc>
        <w:tc>
          <w:tcPr>
            <w:tcW w:w="644" w:type="pct"/>
          </w:tcPr>
          <w:p w:rsidR="00260042" w:rsidRPr="00511254" w:rsidRDefault="00260042" w:rsidP="00511254">
            <w:pPr>
              <w:pStyle w:val="BodyText"/>
              <w:jc w:val="right"/>
              <w:rPr>
                <w:sz w:val="20"/>
                <w:szCs w:val="20"/>
              </w:rPr>
            </w:pPr>
            <w:r w:rsidRPr="00511254">
              <w:rPr>
                <w:sz w:val="20"/>
                <w:szCs w:val="20"/>
              </w:rPr>
              <w:t xml:space="preserve"> 37,825 </w:t>
            </w:r>
          </w:p>
        </w:tc>
        <w:tc>
          <w:tcPr>
            <w:tcW w:w="381" w:type="pct"/>
          </w:tcPr>
          <w:p w:rsidR="00260042" w:rsidRPr="00511254" w:rsidRDefault="00260042" w:rsidP="00511254">
            <w:pPr>
              <w:pStyle w:val="BodyText"/>
              <w:jc w:val="right"/>
              <w:rPr>
                <w:sz w:val="20"/>
                <w:szCs w:val="20"/>
              </w:rPr>
            </w:pPr>
            <w:r w:rsidRPr="00511254">
              <w:rPr>
                <w:sz w:val="20"/>
                <w:szCs w:val="20"/>
              </w:rPr>
              <w:t xml:space="preserve"> 808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 xml:space="preserve">32,946 </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309,259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$320,001 – $345,000 </w:t>
            </w:r>
          </w:p>
        </w:tc>
        <w:tc>
          <w:tcPr>
            <w:tcW w:w="550" w:type="pct"/>
          </w:tcPr>
          <w:p w:rsidR="00260042" w:rsidRPr="00511254" w:rsidRDefault="00260042" w:rsidP="00511254">
            <w:pPr>
              <w:pStyle w:val="BodyText"/>
              <w:jc w:val="right"/>
              <w:rPr>
                <w:sz w:val="20"/>
                <w:szCs w:val="20"/>
              </w:rPr>
            </w:pPr>
            <w:r w:rsidRPr="00511254">
              <w:rPr>
                <w:sz w:val="20"/>
                <w:szCs w:val="20"/>
              </w:rPr>
              <w:t>3</w:t>
            </w:r>
          </w:p>
        </w:tc>
        <w:tc>
          <w:tcPr>
            <w:tcW w:w="400" w:type="pct"/>
          </w:tcPr>
          <w:p w:rsidR="00260042" w:rsidRPr="00511254" w:rsidRDefault="00260042" w:rsidP="00511254">
            <w:pPr>
              <w:pStyle w:val="BodyText"/>
              <w:jc w:val="right"/>
              <w:rPr>
                <w:sz w:val="20"/>
                <w:szCs w:val="20"/>
              </w:rPr>
            </w:pPr>
            <w:r w:rsidRPr="00511254">
              <w:rPr>
                <w:sz w:val="20"/>
                <w:szCs w:val="20"/>
              </w:rPr>
              <w:t xml:space="preserve">254,852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36,761 </w:t>
            </w:r>
          </w:p>
        </w:tc>
        <w:tc>
          <w:tcPr>
            <w:tcW w:w="644" w:type="pct"/>
          </w:tcPr>
          <w:p w:rsidR="00260042" w:rsidRPr="00511254" w:rsidRDefault="00260042" w:rsidP="00511254">
            <w:pPr>
              <w:pStyle w:val="BodyText"/>
              <w:jc w:val="right"/>
              <w:rPr>
                <w:sz w:val="20"/>
                <w:szCs w:val="20"/>
              </w:rPr>
            </w:pPr>
            <w:r w:rsidRPr="00511254">
              <w:rPr>
                <w:sz w:val="20"/>
                <w:szCs w:val="20"/>
              </w:rPr>
              <w:t xml:space="preserve"> 44,544 </w:t>
            </w:r>
          </w:p>
        </w:tc>
        <w:tc>
          <w:tcPr>
            <w:tcW w:w="381" w:type="pct"/>
          </w:tcPr>
          <w:p w:rsidR="00260042" w:rsidRPr="00511254" w:rsidRDefault="00260042" w:rsidP="00511254">
            <w:pPr>
              <w:pStyle w:val="BodyText"/>
              <w:jc w:val="right"/>
              <w:rPr>
                <w:sz w:val="20"/>
                <w:szCs w:val="20"/>
              </w:rPr>
            </w:pPr>
            <w:r w:rsidRPr="00511254">
              <w:rPr>
                <w:sz w:val="20"/>
                <w:szCs w:val="20"/>
              </w:rPr>
              <w:t xml:space="preserve"> 114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336,271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$345,001 – $370,000 </w:t>
            </w:r>
          </w:p>
        </w:tc>
        <w:tc>
          <w:tcPr>
            <w:tcW w:w="550" w:type="pct"/>
          </w:tcPr>
          <w:p w:rsidR="00260042" w:rsidRPr="00511254" w:rsidRDefault="00260042" w:rsidP="00511254">
            <w:pPr>
              <w:pStyle w:val="BodyText"/>
              <w:jc w:val="right"/>
              <w:rPr>
                <w:sz w:val="20"/>
                <w:szCs w:val="20"/>
              </w:rPr>
            </w:pPr>
            <w:r w:rsidRPr="00511254">
              <w:rPr>
                <w:sz w:val="20"/>
                <w:szCs w:val="20"/>
              </w:rPr>
              <w:t>5</w:t>
            </w:r>
          </w:p>
        </w:tc>
        <w:tc>
          <w:tcPr>
            <w:tcW w:w="400" w:type="pct"/>
          </w:tcPr>
          <w:p w:rsidR="00260042" w:rsidRPr="00511254" w:rsidRDefault="00260042" w:rsidP="00511254">
            <w:pPr>
              <w:pStyle w:val="BodyText"/>
              <w:jc w:val="right"/>
              <w:rPr>
                <w:sz w:val="20"/>
                <w:szCs w:val="20"/>
              </w:rPr>
            </w:pPr>
            <w:r w:rsidRPr="00511254">
              <w:rPr>
                <w:sz w:val="20"/>
                <w:szCs w:val="20"/>
              </w:rPr>
              <w:t xml:space="preserve">281,775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29,471 </w:t>
            </w:r>
          </w:p>
        </w:tc>
        <w:tc>
          <w:tcPr>
            <w:tcW w:w="644" w:type="pct"/>
          </w:tcPr>
          <w:p w:rsidR="00260042" w:rsidRPr="00511254" w:rsidRDefault="00260042" w:rsidP="00511254">
            <w:pPr>
              <w:pStyle w:val="BodyText"/>
              <w:jc w:val="right"/>
              <w:rPr>
                <w:sz w:val="20"/>
                <w:szCs w:val="20"/>
              </w:rPr>
            </w:pPr>
            <w:r w:rsidRPr="00511254">
              <w:rPr>
                <w:sz w:val="20"/>
                <w:szCs w:val="20"/>
              </w:rPr>
              <w:t xml:space="preserve"> 46,586 </w:t>
            </w:r>
          </w:p>
        </w:tc>
        <w:tc>
          <w:tcPr>
            <w:tcW w:w="381" w:type="pct"/>
          </w:tcPr>
          <w:p w:rsidR="00260042" w:rsidRPr="00511254" w:rsidRDefault="00260042" w:rsidP="00511254">
            <w:pPr>
              <w:pStyle w:val="BodyText"/>
              <w:jc w:val="right"/>
              <w:rPr>
                <w:sz w:val="20"/>
                <w:szCs w:val="20"/>
              </w:rPr>
            </w:pPr>
            <w:r w:rsidRPr="00511254">
              <w:rPr>
                <w:sz w:val="20"/>
                <w:szCs w:val="20"/>
              </w:rPr>
              <w:t xml:space="preserve"> 3,007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360,839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$370,001 – $395,000 </w:t>
            </w:r>
          </w:p>
        </w:tc>
        <w:tc>
          <w:tcPr>
            <w:tcW w:w="550" w:type="pct"/>
          </w:tcPr>
          <w:p w:rsidR="00260042" w:rsidRPr="00511254" w:rsidRDefault="00260042" w:rsidP="00511254">
            <w:pPr>
              <w:pStyle w:val="BodyText"/>
              <w:jc w:val="right"/>
              <w:rPr>
                <w:sz w:val="20"/>
                <w:szCs w:val="20"/>
              </w:rPr>
            </w:pPr>
            <w:r w:rsidRPr="00511254">
              <w:rPr>
                <w:sz w:val="20"/>
                <w:szCs w:val="20"/>
              </w:rPr>
              <w:t>5</w:t>
            </w:r>
          </w:p>
        </w:tc>
        <w:tc>
          <w:tcPr>
            <w:tcW w:w="400" w:type="pct"/>
          </w:tcPr>
          <w:p w:rsidR="00260042" w:rsidRPr="00511254" w:rsidRDefault="00260042" w:rsidP="00511254">
            <w:pPr>
              <w:pStyle w:val="BodyText"/>
              <w:jc w:val="right"/>
              <w:rPr>
                <w:sz w:val="20"/>
                <w:szCs w:val="20"/>
              </w:rPr>
            </w:pPr>
            <w:r w:rsidRPr="00511254">
              <w:rPr>
                <w:sz w:val="20"/>
                <w:szCs w:val="20"/>
              </w:rPr>
              <w:t xml:space="preserve">303,849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23,892 </w:t>
            </w:r>
          </w:p>
        </w:tc>
        <w:tc>
          <w:tcPr>
            <w:tcW w:w="644" w:type="pct"/>
          </w:tcPr>
          <w:p w:rsidR="00260042" w:rsidRPr="00511254" w:rsidRDefault="00260042" w:rsidP="00511254">
            <w:pPr>
              <w:pStyle w:val="BodyText"/>
              <w:jc w:val="right"/>
              <w:rPr>
                <w:sz w:val="20"/>
                <w:szCs w:val="20"/>
              </w:rPr>
            </w:pPr>
            <w:r w:rsidRPr="00511254">
              <w:rPr>
                <w:sz w:val="20"/>
                <w:szCs w:val="20"/>
              </w:rPr>
              <w:t xml:space="preserve"> 47,923 </w:t>
            </w:r>
          </w:p>
        </w:tc>
        <w:tc>
          <w:tcPr>
            <w:tcW w:w="381" w:type="pct"/>
          </w:tcPr>
          <w:p w:rsidR="00260042" w:rsidRPr="00511254" w:rsidRDefault="00260042" w:rsidP="00511254">
            <w:pPr>
              <w:pStyle w:val="BodyText"/>
              <w:jc w:val="right"/>
              <w:rPr>
                <w:sz w:val="20"/>
                <w:szCs w:val="20"/>
              </w:rPr>
            </w:pPr>
            <w:r w:rsidRPr="00511254">
              <w:rPr>
                <w:sz w:val="20"/>
                <w:szCs w:val="20"/>
              </w:rPr>
              <w:t xml:space="preserve"> 6,326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381,990 </w:t>
            </w:r>
          </w:p>
        </w:tc>
      </w:tr>
      <w:tr w:rsidR="00511254" w:rsidTr="00511254">
        <w:trPr>
          <w:trHeight w:val="376"/>
        </w:trPr>
        <w:tc>
          <w:tcPr>
            <w:tcW w:w="575" w:type="pct"/>
          </w:tcPr>
          <w:p w:rsidR="00260042" w:rsidRPr="00511254" w:rsidRDefault="00260042" w:rsidP="00511254">
            <w:pPr>
              <w:pStyle w:val="BodyText"/>
              <w:rPr>
                <w:sz w:val="20"/>
                <w:szCs w:val="20"/>
              </w:rPr>
            </w:pPr>
            <w:r w:rsidRPr="00511254">
              <w:rPr>
                <w:sz w:val="20"/>
                <w:szCs w:val="20"/>
              </w:rPr>
              <w:t xml:space="preserve">$395,001 – $420,000 </w:t>
            </w:r>
          </w:p>
        </w:tc>
        <w:tc>
          <w:tcPr>
            <w:tcW w:w="550" w:type="pct"/>
          </w:tcPr>
          <w:p w:rsidR="00260042" w:rsidRPr="00511254" w:rsidRDefault="00260042" w:rsidP="00511254">
            <w:pPr>
              <w:pStyle w:val="BodyText"/>
              <w:jc w:val="right"/>
              <w:rPr>
                <w:sz w:val="20"/>
                <w:szCs w:val="20"/>
              </w:rPr>
            </w:pPr>
            <w:r w:rsidRPr="00511254">
              <w:rPr>
                <w:sz w:val="20"/>
                <w:szCs w:val="20"/>
              </w:rPr>
              <w:t>1</w:t>
            </w:r>
          </w:p>
        </w:tc>
        <w:tc>
          <w:tcPr>
            <w:tcW w:w="400" w:type="pct"/>
          </w:tcPr>
          <w:p w:rsidR="00260042" w:rsidRPr="00511254" w:rsidRDefault="00260042" w:rsidP="00511254">
            <w:pPr>
              <w:pStyle w:val="BodyText"/>
              <w:jc w:val="right"/>
              <w:rPr>
                <w:sz w:val="20"/>
                <w:szCs w:val="20"/>
              </w:rPr>
            </w:pPr>
            <w:r w:rsidRPr="00511254">
              <w:rPr>
                <w:sz w:val="20"/>
                <w:szCs w:val="20"/>
              </w:rPr>
              <w:t xml:space="preserve">168,860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16,725 </w:t>
            </w:r>
          </w:p>
        </w:tc>
        <w:tc>
          <w:tcPr>
            <w:tcW w:w="644" w:type="pct"/>
          </w:tcPr>
          <w:p w:rsidR="00260042" w:rsidRPr="00511254" w:rsidRDefault="00260042" w:rsidP="00511254">
            <w:pPr>
              <w:pStyle w:val="BodyText"/>
              <w:jc w:val="right"/>
              <w:rPr>
                <w:sz w:val="20"/>
                <w:szCs w:val="20"/>
              </w:rPr>
            </w:pPr>
            <w:r w:rsidRPr="00511254">
              <w:rPr>
                <w:sz w:val="20"/>
                <w:szCs w:val="20"/>
              </w:rPr>
              <w:t xml:space="preserve"> 28,863 </w:t>
            </w:r>
          </w:p>
        </w:tc>
        <w:tc>
          <w:tcPr>
            <w:tcW w:w="381" w:type="pct"/>
          </w:tcPr>
          <w:p w:rsidR="00260042" w:rsidRPr="00511254" w:rsidRDefault="00260042" w:rsidP="00511254">
            <w:pPr>
              <w:pStyle w:val="BodyText"/>
              <w:jc w:val="right"/>
              <w:rPr>
                <w:sz w:val="20"/>
                <w:szCs w:val="20"/>
              </w:rPr>
            </w:pPr>
            <w:r w:rsidRPr="00511254">
              <w:rPr>
                <w:sz w:val="20"/>
                <w:szCs w:val="20"/>
              </w:rPr>
              <w:t>(17,010)</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 xml:space="preserve"> 212,669 </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 410,107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$420,001 – $445,000 </w:t>
            </w:r>
          </w:p>
        </w:tc>
        <w:tc>
          <w:tcPr>
            <w:tcW w:w="550" w:type="pct"/>
          </w:tcPr>
          <w:p w:rsidR="00260042" w:rsidRPr="00511254" w:rsidRDefault="00260042" w:rsidP="00511254">
            <w:pPr>
              <w:pStyle w:val="BodyText"/>
              <w:jc w:val="right"/>
              <w:rPr>
                <w:sz w:val="20"/>
                <w:szCs w:val="20"/>
              </w:rPr>
            </w:pPr>
            <w:r w:rsidRPr="00511254">
              <w:rPr>
                <w:sz w:val="20"/>
                <w:szCs w:val="20"/>
              </w:rPr>
              <w:t xml:space="preserve">0 </w:t>
            </w:r>
          </w:p>
        </w:tc>
        <w:tc>
          <w:tcPr>
            <w:tcW w:w="400" w:type="pct"/>
          </w:tcPr>
          <w:p w:rsidR="00260042" w:rsidRPr="00511254" w:rsidRDefault="00260042" w:rsidP="00511254">
            <w:pPr>
              <w:pStyle w:val="BodyText"/>
              <w:jc w:val="right"/>
              <w:rPr>
                <w:sz w:val="20"/>
                <w:szCs w:val="20"/>
              </w:rPr>
            </w:pPr>
            <w:r w:rsidRPr="00511254">
              <w:rPr>
                <w:sz w:val="20"/>
                <w:szCs w:val="20"/>
              </w:rPr>
              <w:t xml:space="preserve">0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0</w:t>
            </w:r>
          </w:p>
        </w:tc>
        <w:tc>
          <w:tcPr>
            <w:tcW w:w="644" w:type="pct"/>
          </w:tcPr>
          <w:p w:rsidR="00260042" w:rsidRPr="00511254" w:rsidRDefault="00260042" w:rsidP="00511254">
            <w:pPr>
              <w:pStyle w:val="BodyText"/>
              <w:jc w:val="right"/>
              <w:rPr>
                <w:sz w:val="20"/>
                <w:szCs w:val="20"/>
              </w:rPr>
            </w:pPr>
            <w:r w:rsidRPr="00511254">
              <w:rPr>
                <w:sz w:val="20"/>
                <w:szCs w:val="20"/>
              </w:rPr>
              <w:t>0</w:t>
            </w:r>
          </w:p>
        </w:tc>
        <w:tc>
          <w:tcPr>
            <w:tcW w:w="381" w:type="pct"/>
          </w:tcPr>
          <w:p w:rsidR="00260042" w:rsidRPr="00511254" w:rsidRDefault="00260042" w:rsidP="00511254">
            <w:pPr>
              <w:pStyle w:val="BodyText"/>
              <w:jc w:val="right"/>
              <w:rPr>
                <w:sz w:val="20"/>
                <w:szCs w:val="20"/>
              </w:rPr>
            </w:pPr>
            <w:r w:rsidRPr="00511254">
              <w:rPr>
                <w:sz w:val="20"/>
                <w:szCs w:val="20"/>
              </w:rPr>
              <w:t>0</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0</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$445,001 – $470,000 </w:t>
            </w:r>
          </w:p>
        </w:tc>
        <w:tc>
          <w:tcPr>
            <w:tcW w:w="550" w:type="pct"/>
          </w:tcPr>
          <w:p w:rsidR="00260042" w:rsidRPr="00511254" w:rsidRDefault="00260042" w:rsidP="00511254">
            <w:pPr>
              <w:pStyle w:val="BodyText"/>
              <w:jc w:val="right"/>
              <w:rPr>
                <w:sz w:val="20"/>
                <w:szCs w:val="20"/>
              </w:rPr>
            </w:pPr>
            <w:r w:rsidRPr="00511254">
              <w:rPr>
                <w:sz w:val="20"/>
                <w:szCs w:val="20"/>
              </w:rPr>
              <w:t>1</w:t>
            </w:r>
          </w:p>
        </w:tc>
        <w:tc>
          <w:tcPr>
            <w:tcW w:w="400" w:type="pct"/>
          </w:tcPr>
          <w:p w:rsidR="00260042" w:rsidRPr="00511254" w:rsidRDefault="00260042" w:rsidP="00511254">
            <w:pPr>
              <w:pStyle w:val="BodyText"/>
              <w:jc w:val="right"/>
              <w:rPr>
                <w:sz w:val="20"/>
                <w:szCs w:val="20"/>
              </w:rPr>
            </w:pPr>
            <w:r w:rsidRPr="00511254">
              <w:rPr>
                <w:sz w:val="20"/>
                <w:szCs w:val="20"/>
              </w:rPr>
              <w:t xml:space="preserve">371,068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29,495 </w:t>
            </w:r>
          </w:p>
        </w:tc>
        <w:tc>
          <w:tcPr>
            <w:tcW w:w="644" w:type="pct"/>
          </w:tcPr>
          <w:p w:rsidR="00260042" w:rsidRPr="00511254" w:rsidRDefault="00260042" w:rsidP="00511254">
            <w:pPr>
              <w:pStyle w:val="BodyText"/>
              <w:jc w:val="right"/>
              <w:rPr>
                <w:sz w:val="20"/>
                <w:szCs w:val="20"/>
              </w:rPr>
            </w:pPr>
            <w:r w:rsidRPr="00511254">
              <w:rPr>
                <w:sz w:val="20"/>
                <w:szCs w:val="20"/>
              </w:rPr>
              <w:t xml:space="preserve"> 55,167 </w:t>
            </w:r>
          </w:p>
        </w:tc>
        <w:tc>
          <w:tcPr>
            <w:tcW w:w="381" w:type="pct"/>
          </w:tcPr>
          <w:p w:rsidR="00260042" w:rsidRPr="00511254" w:rsidRDefault="00260042" w:rsidP="00511254">
            <w:pPr>
              <w:pStyle w:val="BodyText"/>
              <w:jc w:val="right"/>
              <w:rPr>
                <w:sz w:val="20"/>
                <w:szCs w:val="20"/>
              </w:rPr>
            </w:pPr>
            <w:r w:rsidRPr="00511254">
              <w:rPr>
                <w:sz w:val="20"/>
                <w:szCs w:val="20"/>
              </w:rPr>
              <w:t xml:space="preserve">10,367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0</w:t>
            </w:r>
          </w:p>
        </w:tc>
        <w:tc>
          <w:tcPr>
            <w:tcW w:w="556" w:type="pct"/>
          </w:tcPr>
          <w:p w:rsidR="00260042" w:rsidRPr="00511254" w:rsidRDefault="00260042" w:rsidP="00511254">
            <w:pPr>
              <w:pStyle w:val="BodyText"/>
              <w:jc w:val="right"/>
              <w:rPr>
                <w:sz w:val="20"/>
                <w:szCs w:val="20"/>
              </w:rPr>
            </w:pPr>
            <w:r w:rsidRPr="00511254">
              <w:rPr>
                <w:rStyle w:val="Bold"/>
                <w:bCs w:val="0"/>
                <w:color w:val="auto"/>
                <w:sz w:val="20"/>
                <w:szCs w:val="20"/>
              </w:rPr>
              <w:t xml:space="preserve">466,097 </w:t>
            </w:r>
          </w:p>
        </w:tc>
      </w:tr>
      <w:tr w:rsidR="00511254" w:rsidTr="00511254">
        <w:trPr>
          <w:trHeight w:val="60"/>
        </w:trPr>
        <w:tc>
          <w:tcPr>
            <w:tcW w:w="575" w:type="pct"/>
          </w:tcPr>
          <w:p w:rsidR="00260042" w:rsidRPr="00511254" w:rsidRDefault="00260042" w:rsidP="00511254">
            <w:pPr>
              <w:pStyle w:val="BodyText"/>
              <w:rPr>
                <w:sz w:val="20"/>
                <w:szCs w:val="20"/>
              </w:rPr>
            </w:pPr>
            <w:r w:rsidRPr="00511254">
              <w:rPr>
                <w:sz w:val="20"/>
                <w:szCs w:val="20"/>
              </w:rPr>
              <w:t xml:space="preserve">$470,001 – $495,000 </w:t>
            </w:r>
          </w:p>
        </w:tc>
        <w:tc>
          <w:tcPr>
            <w:tcW w:w="550" w:type="pct"/>
          </w:tcPr>
          <w:p w:rsidR="00260042" w:rsidRPr="00511254" w:rsidRDefault="00260042" w:rsidP="00511254">
            <w:pPr>
              <w:pStyle w:val="BodyText"/>
              <w:jc w:val="right"/>
              <w:rPr>
                <w:sz w:val="20"/>
                <w:szCs w:val="20"/>
              </w:rPr>
            </w:pPr>
            <w:r w:rsidRPr="00511254">
              <w:rPr>
                <w:sz w:val="20"/>
                <w:szCs w:val="20"/>
              </w:rPr>
              <w:t>1</w:t>
            </w:r>
          </w:p>
        </w:tc>
        <w:tc>
          <w:tcPr>
            <w:tcW w:w="400" w:type="pct"/>
          </w:tcPr>
          <w:p w:rsidR="00260042" w:rsidRPr="00511254" w:rsidRDefault="00260042" w:rsidP="00511254">
            <w:pPr>
              <w:pStyle w:val="BodyText"/>
              <w:jc w:val="right"/>
              <w:rPr>
                <w:sz w:val="20"/>
                <w:szCs w:val="20"/>
              </w:rPr>
            </w:pPr>
            <w:r w:rsidRPr="00511254">
              <w:rPr>
                <w:sz w:val="20"/>
                <w:szCs w:val="20"/>
              </w:rPr>
              <w:t xml:space="preserve">330,737 </w:t>
            </w:r>
          </w:p>
        </w:tc>
        <w:tc>
          <w:tcPr>
            <w:tcW w:w="394" w:type="pct"/>
          </w:tcPr>
          <w:p w:rsidR="00260042" w:rsidRPr="00511254" w:rsidRDefault="00260042" w:rsidP="00511254">
            <w:pPr>
              <w:pStyle w:val="BodyText"/>
              <w:jc w:val="right"/>
              <w:rPr>
                <w:sz w:val="20"/>
                <w:szCs w:val="20"/>
              </w:rPr>
            </w:pPr>
            <w:r w:rsidRPr="00511254">
              <w:rPr>
                <w:sz w:val="20"/>
                <w:szCs w:val="20"/>
              </w:rPr>
              <w:t>0</w:t>
            </w:r>
          </w:p>
        </w:tc>
        <w:tc>
          <w:tcPr>
            <w:tcW w:w="538" w:type="pct"/>
          </w:tcPr>
          <w:p w:rsidR="00260042" w:rsidRPr="00511254" w:rsidRDefault="00260042" w:rsidP="00511254">
            <w:pPr>
              <w:pStyle w:val="BodyText"/>
              <w:jc w:val="right"/>
              <w:rPr>
                <w:sz w:val="20"/>
                <w:szCs w:val="20"/>
              </w:rPr>
            </w:pPr>
            <w:r w:rsidRPr="00511254">
              <w:rPr>
                <w:sz w:val="20"/>
                <w:szCs w:val="20"/>
              </w:rPr>
              <w:t xml:space="preserve"> 28,348 </w:t>
            </w:r>
          </w:p>
        </w:tc>
        <w:tc>
          <w:tcPr>
            <w:tcW w:w="644" w:type="pct"/>
          </w:tcPr>
          <w:p w:rsidR="00260042" w:rsidRPr="00511254" w:rsidRDefault="00260042" w:rsidP="00511254">
            <w:pPr>
              <w:pStyle w:val="BodyText"/>
              <w:jc w:val="right"/>
              <w:rPr>
                <w:sz w:val="20"/>
                <w:szCs w:val="20"/>
              </w:rPr>
            </w:pPr>
            <w:r w:rsidRPr="00511254">
              <w:rPr>
                <w:sz w:val="20"/>
                <w:szCs w:val="20"/>
              </w:rPr>
              <w:t xml:space="preserve">60,618 </w:t>
            </w:r>
          </w:p>
        </w:tc>
        <w:tc>
          <w:tcPr>
            <w:tcW w:w="381" w:type="pct"/>
          </w:tcPr>
          <w:p w:rsidR="00260042" w:rsidRPr="00511254" w:rsidRDefault="00260042" w:rsidP="00511254">
            <w:pPr>
              <w:pStyle w:val="BodyText"/>
              <w:jc w:val="right"/>
              <w:rPr>
                <w:sz w:val="20"/>
                <w:szCs w:val="20"/>
              </w:rPr>
            </w:pPr>
            <w:r w:rsidRPr="00511254">
              <w:rPr>
                <w:sz w:val="20"/>
                <w:szCs w:val="20"/>
              </w:rPr>
              <w:t xml:space="preserve"> 5,066 </w:t>
            </w:r>
          </w:p>
        </w:tc>
        <w:tc>
          <w:tcPr>
            <w:tcW w:w="444" w:type="pct"/>
          </w:tcPr>
          <w:p w:rsidR="00260042" w:rsidRPr="00511254" w:rsidRDefault="00260042" w:rsidP="00511254">
            <w:pPr>
              <w:pStyle w:val="BodyText"/>
              <w:jc w:val="right"/>
              <w:rPr>
                <w:sz w:val="20"/>
                <w:szCs w:val="20"/>
              </w:rPr>
            </w:pPr>
            <w:r w:rsidRPr="00511254">
              <w:rPr>
                <w:sz w:val="20"/>
                <w:szCs w:val="20"/>
              </w:rPr>
              <w:t>0</w:t>
            </w:r>
          </w:p>
        </w:tc>
        <w:tc>
          <w:tcPr>
            <w:tcW w:w="519" w:type="pct"/>
          </w:tcPr>
          <w:p w:rsidR="00260042" w:rsidRPr="00511254" w:rsidRDefault="00260042" w:rsidP="00511254">
            <w:pPr>
              <w:pStyle w:val="BodyText"/>
              <w:jc w:val="right"/>
              <w:rPr>
                <w:sz w:val="20"/>
                <w:szCs w:val="20"/>
              </w:rPr>
            </w:pPr>
            <w:r w:rsidRPr="00511254">
              <w:rPr>
                <w:sz w:val="20"/>
                <w:szCs w:val="20"/>
              </w:rPr>
              <w:t xml:space="preserve"> 58,566 </w:t>
            </w:r>
          </w:p>
        </w:tc>
        <w:tc>
          <w:tcPr>
            <w:tcW w:w="556" w:type="pct"/>
          </w:tcPr>
          <w:p w:rsidR="00260042" w:rsidRPr="00511254" w:rsidRDefault="00260042" w:rsidP="00511254">
            <w:pPr>
              <w:pStyle w:val="BodyText"/>
              <w:jc w:val="right"/>
              <w:rPr>
                <w:sz w:val="20"/>
                <w:szCs w:val="20"/>
              </w:rPr>
            </w:pPr>
            <w:r w:rsidRPr="00511254">
              <w:rPr>
                <w:b/>
                <w:bCs/>
                <w:sz w:val="20"/>
                <w:szCs w:val="20"/>
              </w:rPr>
              <w:t xml:space="preserve">483,335 </w:t>
            </w:r>
          </w:p>
        </w:tc>
      </w:tr>
    </w:tbl>
    <w:p w:rsidR="00260042" w:rsidRDefault="00260042" w:rsidP="00EA5510">
      <w:pPr>
        <w:pStyle w:val="BodyText"/>
      </w:pPr>
      <w:r>
        <w:t>(a)</w:t>
      </w:r>
      <w:r>
        <w:tab/>
        <w:t>Includes base salary, annual leave benefit, bonuses, allowances and other benefits.</w:t>
      </w:r>
    </w:p>
    <w:p w:rsidR="00260042" w:rsidRDefault="00260042" w:rsidP="00EA5510">
      <w:pPr>
        <w:pStyle w:val="BodyText"/>
      </w:pPr>
      <w:r>
        <w:t>(</w:t>
      </w:r>
      <w:proofErr w:type="gramStart"/>
      <w:r>
        <w:t>b</w:t>
      </w:r>
      <w:proofErr w:type="gramEnd"/>
      <w:r>
        <w:t>)</w:t>
      </w:r>
      <w:r>
        <w:tab/>
        <w:t xml:space="preserve">Includes contributed superannuation depending on the scheme the employee is in. When an employee is in a defined contribution scheme, such as </w:t>
      </w:r>
      <w:proofErr w:type="spellStart"/>
      <w:r>
        <w:t>PSSap</w:t>
      </w:r>
      <w:proofErr w:type="spellEnd"/>
      <w:r>
        <w:t xml:space="preserve">, this will be the superannuation </w:t>
      </w:r>
      <w:r>
        <w:lastRenderedPageBreak/>
        <w:t>amount on the individual’s pay slip. When an employee is in a defined benefits scheme, such as PSS and CSS, this will include the Notional Employer Contribution Amount and Employer Productivity Superannuation Contribution.</w:t>
      </w:r>
    </w:p>
    <w:p w:rsidR="00260042" w:rsidRDefault="00260042" w:rsidP="00EA5510">
      <w:pPr>
        <w:pStyle w:val="BodyText"/>
      </w:pPr>
      <w:r>
        <w:t>(c)</w:t>
      </w:r>
      <w:r>
        <w:tab/>
        <w:t>In accordance with accounting standards, long-term benefits include long service leave and the impacts of a reduction in the discount rate. In some cases, this has resulted in a negative long service leave expense for some employees.</w:t>
      </w:r>
    </w:p>
    <w:p w:rsidR="00260042" w:rsidRDefault="00260042" w:rsidP="00EA5510">
      <w:pPr>
        <w:pStyle w:val="BodyText"/>
      </w:pPr>
      <w:r>
        <w:t>(d)</w:t>
      </w:r>
      <w:r>
        <w:tab/>
        <w:t>Includes motor vehicle allowance and other benefits such as the provision of a car park.</w:t>
      </w:r>
    </w:p>
    <w:p w:rsidR="00260042" w:rsidRPr="00EA5510" w:rsidRDefault="00511254" w:rsidP="00EA5510">
      <w:pPr>
        <w:pStyle w:val="BodyText"/>
        <w:rPr>
          <w:b/>
        </w:rPr>
      </w:pPr>
      <w:r>
        <w:rPr>
          <w:rStyle w:val="Bold"/>
          <w:bCs w:val="0"/>
        </w:rPr>
        <w:t>Table 5</w:t>
      </w:r>
      <w:r>
        <w:rPr>
          <w:rStyle w:val="Bold"/>
          <w:bCs w:val="0"/>
        </w:rPr>
        <w:t>3</w:t>
      </w:r>
      <w:r w:rsidR="00260042" w:rsidRPr="00EA5510">
        <w:rPr>
          <w:b/>
        </w:rPr>
        <w:t xml:space="preserve"> Information about remuneration for other highly paid staff 2020–21</w:t>
      </w:r>
    </w:p>
    <w:tbl>
      <w:tblPr>
        <w:tblStyle w:val="TableGrid"/>
        <w:tblW w:w="5000" w:type="pct"/>
        <w:tblLook w:val="0000" w:firstRow="0" w:lastRow="0" w:firstColumn="0" w:lastColumn="0" w:noHBand="0" w:noVBand="0"/>
        <w:tblCaption w:val=" Information about remuneration for other highly paid staff 2020–21"/>
      </w:tblPr>
      <w:tblGrid>
        <w:gridCol w:w="1327"/>
        <w:gridCol w:w="841"/>
        <w:gridCol w:w="868"/>
        <w:gridCol w:w="895"/>
        <w:gridCol w:w="1235"/>
        <w:gridCol w:w="1455"/>
        <w:gridCol w:w="868"/>
        <w:gridCol w:w="868"/>
        <w:gridCol w:w="1161"/>
        <w:gridCol w:w="1272"/>
      </w:tblGrid>
      <w:tr w:rsidR="00260042" w:rsidRPr="00BB243C" w:rsidTr="00E0055A">
        <w:trPr>
          <w:trHeight w:val="60"/>
          <w:tblHeader/>
        </w:trPr>
        <w:tc>
          <w:tcPr>
            <w:tcW w:w="576" w:type="pct"/>
          </w:tcPr>
          <w:p w:rsidR="00260042" w:rsidRPr="00BB243C" w:rsidRDefault="00260042" w:rsidP="00E0055A">
            <w:pPr>
              <w:pStyle w:val="BodyText"/>
              <w:jc w:val="center"/>
              <w:rPr>
                <w:b/>
                <w:sz w:val="20"/>
                <w:szCs w:val="20"/>
              </w:rPr>
            </w:pPr>
            <w:r w:rsidRPr="00BB243C">
              <w:rPr>
                <w:b/>
                <w:sz w:val="20"/>
                <w:szCs w:val="20"/>
              </w:rPr>
              <w:t>Remuneration band</w:t>
            </w:r>
          </w:p>
        </w:tc>
        <w:tc>
          <w:tcPr>
            <w:tcW w:w="551" w:type="pct"/>
          </w:tcPr>
          <w:p w:rsidR="00260042" w:rsidRPr="00BB243C" w:rsidRDefault="00260042" w:rsidP="00E0055A">
            <w:pPr>
              <w:pStyle w:val="BodyText"/>
              <w:jc w:val="center"/>
              <w:rPr>
                <w:b/>
                <w:sz w:val="20"/>
                <w:szCs w:val="20"/>
              </w:rPr>
            </w:pPr>
            <w:r w:rsidRPr="00BB243C">
              <w:rPr>
                <w:b/>
                <w:sz w:val="20"/>
                <w:szCs w:val="20"/>
              </w:rPr>
              <w:t>Number of other highly paid staff</w:t>
            </w:r>
          </w:p>
        </w:tc>
        <w:tc>
          <w:tcPr>
            <w:tcW w:w="1333" w:type="pct"/>
            <w:gridSpan w:val="3"/>
          </w:tcPr>
          <w:p w:rsidR="00260042" w:rsidRPr="00BB243C" w:rsidRDefault="00260042" w:rsidP="00E0055A">
            <w:pPr>
              <w:pStyle w:val="BodyText"/>
              <w:jc w:val="center"/>
              <w:rPr>
                <w:b/>
                <w:sz w:val="20"/>
                <w:szCs w:val="20"/>
              </w:rPr>
            </w:pPr>
            <w:r w:rsidRPr="00BB243C">
              <w:rPr>
                <w:b/>
                <w:sz w:val="20"/>
                <w:szCs w:val="20"/>
              </w:rPr>
              <w:t>Short-term benefits</w:t>
            </w:r>
            <w:r w:rsidRPr="00BB243C">
              <w:rPr>
                <w:b/>
                <w:sz w:val="20"/>
                <w:szCs w:val="20"/>
                <w:vertAlign w:val="superscript"/>
              </w:rPr>
              <w:t>(a)</w:t>
            </w:r>
          </w:p>
        </w:tc>
        <w:tc>
          <w:tcPr>
            <w:tcW w:w="645" w:type="pct"/>
          </w:tcPr>
          <w:p w:rsidR="00260042" w:rsidRPr="00BB243C" w:rsidRDefault="00260042" w:rsidP="00E0055A">
            <w:pPr>
              <w:pStyle w:val="BodyText"/>
              <w:jc w:val="center"/>
              <w:rPr>
                <w:b/>
                <w:sz w:val="20"/>
                <w:szCs w:val="20"/>
              </w:rPr>
            </w:pPr>
            <w:r w:rsidRPr="00BB243C">
              <w:rPr>
                <w:b/>
                <w:sz w:val="20"/>
                <w:szCs w:val="20"/>
              </w:rPr>
              <w:t>Post-employment benefits</w:t>
            </w:r>
            <w:r w:rsidRPr="00BB243C">
              <w:rPr>
                <w:b/>
                <w:sz w:val="20"/>
                <w:szCs w:val="20"/>
                <w:vertAlign w:val="superscript"/>
              </w:rPr>
              <w:t>(b)</w:t>
            </w:r>
          </w:p>
        </w:tc>
        <w:tc>
          <w:tcPr>
            <w:tcW w:w="818" w:type="pct"/>
            <w:gridSpan w:val="2"/>
          </w:tcPr>
          <w:p w:rsidR="00260042" w:rsidRPr="00BB243C" w:rsidRDefault="00260042" w:rsidP="00E0055A">
            <w:pPr>
              <w:pStyle w:val="BodyText"/>
              <w:jc w:val="center"/>
              <w:rPr>
                <w:b/>
                <w:sz w:val="20"/>
                <w:szCs w:val="20"/>
              </w:rPr>
            </w:pPr>
            <w:r w:rsidRPr="00BB243C">
              <w:rPr>
                <w:b/>
                <w:sz w:val="20"/>
                <w:szCs w:val="20"/>
              </w:rPr>
              <w:t>Other long-term benefits</w:t>
            </w:r>
            <w:r w:rsidRPr="00BB243C">
              <w:rPr>
                <w:b/>
                <w:sz w:val="20"/>
                <w:szCs w:val="20"/>
                <w:vertAlign w:val="superscript"/>
              </w:rPr>
              <w:t>(c)</w:t>
            </w:r>
          </w:p>
        </w:tc>
        <w:tc>
          <w:tcPr>
            <w:tcW w:w="519" w:type="pct"/>
          </w:tcPr>
          <w:p w:rsidR="00260042" w:rsidRPr="00BB243C" w:rsidRDefault="00260042" w:rsidP="00E0055A">
            <w:pPr>
              <w:pStyle w:val="BodyText"/>
              <w:jc w:val="center"/>
              <w:rPr>
                <w:b/>
                <w:sz w:val="20"/>
                <w:szCs w:val="20"/>
              </w:rPr>
            </w:pPr>
            <w:r w:rsidRPr="00BB243C">
              <w:rPr>
                <w:b/>
                <w:sz w:val="20"/>
                <w:szCs w:val="20"/>
              </w:rPr>
              <w:t>Termination benefits</w:t>
            </w:r>
          </w:p>
        </w:tc>
        <w:tc>
          <w:tcPr>
            <w:tcW w:w="557" w:type="pct"/>
          </w:tcPr>
          <w:p w:rsidR="00260042" w:rsidRPr="00BB243C" w:rsidRDefault="00260042" w:rsidP="00E0055A">
            <w:pPr>
              <w:pStyle w:val="BodyText"/>
              <w:jc w:val="center"/>
              <w:rPr>
                <w:b/>
                <w:sz w:val="20"/>
                <w:szCs w:val="20"/>
              </w:rPr>
            </w:pPr>
            <w:r w:rsidRPr="00BB243C">
              <w:rPr>
                <w:b/>
                <w:sz w:val="20"/>
                <w:szCs w:val="20"/>
              </w:rPr>
              <w:t>Total remuneration</w:t>
            </w:r>
          </w:p>
        </w:tc>
      </w:tr>
      <w:tr w:rsidR="00260042" w:rsidRPr="00BB243C" w:rsidTr="00E0055A">
        <w:trPr>
          <w:trHeight w:val="2037"/>
          <w:tblHeader/>
        </w:trPr>
        <w:tc>
          <w:tcPr>
            <w:tcW w:w="576" w:type="pct"/>
          </w:tcPr>
          <w:p w:rsidR="00260042" w:rsidRPr="00BB243C" w:rsidRDefault="00260042" w:rsidP="00BB243C">
            <w:pPr>
              <w:pStyle w:val="BodyText"/>
              <w:rPr>
                <w:rFonts w:ascii="Roboto Lt" w:hAnsi="Roboto Lt"/>
                <w:sz w:val="20"/>
                <w:szCs w:val="20"/>
              </w:rPr>
            </w:pPr>
          </w:p>
        </w:tc>
        <w:tc>
          <w:tcPr>
            <w:tcW w:w="551" w:type="pct"/>
          </w:tcPr>
          <w:p w:rsidR="00260042" w:rsidRPr="00BB243C" w:rsidRDefault="00260042" w:rsidP="00BB243C">
            <w:pPr>
              <w:pStyle w:val="BodyText"/>
              <w:rPr>
                <w:rFonts w:ascii="Roboto Lt" w:hAnsi="Roboto Lt"/>
                <w:sz w:val="20"/>
                <w:szCs w:val="20"/>
              </w:rPr>
            </w:pPr>
          </w:p>
        </w:tc>
        <w:tc>
          <w:tcPr>
            <w:tcW w:w="401" w:type="pct"/>
          </w:tcPr>
          <w:p w:rsidR="00260042" w:rsidRPr="00BB243C" w:rsidRDefault="00260042" w:rsidP="00E0055A">
            <w:pPr>
              <w:pStyle w:val="BodyText"/>
              <w:jc w:val="right"/>
              <w:rPr>
                <w:rStyle w:val="Bold"/>
                <w:bCs w:val="0"/>
                <w:color w:val="auto"/>
                <w:sz w:val="20"/>
                <w:szCs w:val="20"/>
              </w:rPr>
            </w:pPr>
            <w:r w:rsidRPr="00BB243C">
              <w:rPr>
                <w:rStyle w:val="Bold"/>
                <w:bCs w:val="0"/>
                <w:color w:val="auto"/>
                <w:sz w:val="20"/>
                <w:szCs w:val="20"/>
              </w:rPr>
              <w:t xml:space="preserve">Average base salary </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394" w:type="pct"/>
          </w:tcPr>
          <w:p w:rsidR="00260042" w:rsidRPr="00BB243C" w:rsidRDefault="00260042" w:rsidP="00E0055A">
            <w:pPr>
              <w:pStyle w:val="BodyText"/>
              <w:jc w:val="right"/>
              <w:rPr>
                <w:rStyle w:val="Bold"/>
                <w:bCs w:val="0"/>
                <w:color w:val="auto"/>
                <w:sz w:val="20"/>
                <w:szCs w:val="20"/>
              </w:rPr>
            </w:pPr>
            <w:r w:rsidRPr="00BB243C">
              <w:rPr>
                <w:rStyle w:val="Bold"/>
                <w:bCs w:val="0"/>
                <w:color w:val="auto"/>
                <w:sz w:val="20"/>
                <w:szCs w:val="20"/>
              </w:rPr>
              <w:t>Average bonuses</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538" w:type="pct"/>
          </w:tcPr>
          <w:p w:rsidR="00260042" w:rsidRPr="00BB243C" w:rsidRDefault="00260042" w:rsidP="00E0055A">
            <w:pPr>
              <w:pStyle w:val="BodyText"/>
              <w:jc w:val="right"/>
              <w:rPr>
                <w:rStyle w:val="Bold"/>
                <w:bCs w:val="0"/>
                <w:color w:val="auto"/>
                <w:sz w:val="20"/>
                <w:szCs w:val="20"/>
              </w:rPr>
            </w:pPr>
            <w:r w:rsidRPr="00BB243C">
              <w:rPr>
                <w:b/>
                <w:sz w:val="20"/>
                <w:szCs w:val="20"/>
              </w:rPr>
              <w:t>Average other benefits and allowances</w:t>
            </w:r>
            <w:r w:rsidRPr="00BB243C">
              <w:rPr>
                <w:rStyle w:val="Bold"/>
                <w:sz w:val="20"/>
                <w:szCs w:val="20"/>
                <w:vertAlign w:val="superscript"/>
              </w:rPr>
              <w:t>(d)</w:t>
            </w:r>
            <w:r w:rsidRPr="00BB243C">
              <w:rPr>
                <w:rStyle w:val="Bold"/>
                <w:bCs w:val="0"/>
                <w:color w:val="auto"/>
                <w:sz w:val="20"/>
                <w:szCs w:val="20"/>
              </w:rPr>
              <w:t xml:space="preserve"> </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645" w:type="pct"/>
          </w:tcPr>
          <w:p w:rsidR="00260042" w:rsidRPr="00BB243C" w:rsidRDefault="00260042" w:rsidP="00E0055A">
            <w:pPr>
              <w:pStyle w:val="BodyText"/>
              <w:jc w:val="right"/>
              <w:rPr>
                <w:rStyle w:val="Bold"/>
                <w:bCs w:val="0"/>
                <w:color w:val="auto"/>
                <w:sz w:val="20"/>
                <w:szCs w:val="20"/>
              </w:rPr>
            </w:pPr>
            <w:r w:rsidRPr="00BB243C">
              <w:rPr>
                <w:rStyle w:val="Bold"/>
                <w:bCs w:val="0"/>
                <w:color w:val="auto"/>
                <w:sz w:val="20"/>
                <w:szCs w:val="20"/>
              </w:rPr>
              <w:t>Average superannuation contributions</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382" w:type="pct"/>
          </w:tcPr>
          <w:p w:rsidR="00260042" w:rsidRPr="00BB243C" w:rsidRDefault="00260042" w:rsidP="00E0055A">
            <w:pPr>
              <w:pStyle w:val="BodyText"/>
              <w:jc w:val="right"/>
              <w:rPr>
                <w:rStyle w:val="Bold"/>
                <w:bCs w:val="0"/>
                <w:color w:val="auto"/>
                <w:sz w:val="20"/>
                <w:szCs w:val="20"/>
              </w:rPr>
            </w:pPr>
            <w:r w:rsidRPr="00BB243C">
              <w:rPr>
                <w:rStyle w:val="Bold"/>
                <w:bCs w:val="0"/>
                <w:color w:val="auto"/>
                <w:sz w:val="20"/>
                <w:szCs w:val="20"/>
              </w:rPr>
              <w:t xml:space="preserve">Average long service leave </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436" w:type="pct"/>
          </w:tcPr>
          <w:p w:rsidR="00260042" w:rsidRPr="00BB243C" w:rsidRDefault="00260042" w:rsidP="00E0055A">
            <w:pPr>
              <w:pStyle w:val="BodyText"/>
              <w:jc w:val="right"/>
              <w:rPr>
                <w:rStyle w:val="Bold"/>
                <w:bCs w:val="0"/>
                <w:color w:val="auto"/>
                <w:sz w:val="20"/>
                <w:szCs w:val="20"/>
              </w:rPr>
            </w:pPr>
            <w:r w:rsidRPr="00BB243C">
              <w:rPr>
                <w:rStyle w:val="Bold"/>
                <w:bCs w:val="0"/>
                <w:color w:val="auto"/>
                <w:sz w:val="20"/>
                <w:szCs w:val="20"/>
              </w:rPr>
              <w:t xml:space="preserve">Average other long-term benefits </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519" w:type="pct"/>
          </w:tcPr>
          <w:p w:rsidR="00260042" w:rsidRPr="00BB243C" w:rsidRDefault="00260042" w:rsidP="00E0055A">
            <w:pPr>
              <w:pStyle w:val="BodyText"/>
              <w:jc w:val="right"/>
              <w:rPr>
                <w:rStyle w:val="Bold"/>
                <w:bCs w:val="0"/>
                <w:color w:val="auto"/>
                <w:sz w:val="20"/>
                <w:szCs w:val="20"/>
              </w:rPr>
            </w:pPr>
            <w:r w:rsidRPr="00BB243C">
              <w:rPr>
                <w:rStyle w:val="Bold"/>
                <w:bCs w:val="0"/>
                <w:color w:val="auto"/>
                <w:sz w:val="20"/>
                <w:szCs w:val="20"/>
              </w:rPr>
              <w:t>Average termination benefits</w:t>
            </w:r>
          </w:p>
          <w:p w:rsidR="00260042" w:rsidRPr="00BB243C" w:rsidRDefault="00260042" w:rsidP="00E0055A">
            <w:pPr>
              <w:pStyle w:val="BodyText"/>
              <w:jc w:val="right"/>
              <w:rPr>
                <w:sz w:val="20"/>
                <w:szCs w:val="20"/>
              </w:rPr>
            </w:pPr>
            <w:r w:rsidRPr="00BB243C">
              <w:rPr>
                <w:rStyle w:val="Bold"/>
                <w:bCs w:val="0"/>
                <w:color w:val="auto"/>
                <w:sz w:val="20"/>
                <w:szCs w:val="20"/>
              </w:rPr>
              <w:t>$</w:t>
            </w:r>
          </w:p>
        </w:tc>
        <w:tc>
          <w:tcPr>
            <w:tcW w:w="557" w:type="pct"/>
          </w:tcPr>
          <w:p w:rsidR="00260042" w:rsidRPr="00BB243C" w:rsidRDefault="00260042" w:rsidP="00E0055A">
            <w:pPr>
              <w:pStyle w:val="BodyText"/>
              <w:jc w:val="right"/>
              <w:rPr>
                <w:sz w:val="20"/>
                <w:szCs w:val="20"/>
              </w:rPr>
            </w:pPr>
            <w:r w:rsidRPr="00BB243C">
              <w:rPr>
                <w:rStyle w:val="Bold"/>
                <w:bCs w:val="0"/>
                <w:color w:val="auto"/>
                <w:sz w:val="20"/>
                <w:szCs w:val="20"/>
              </w:rPr>
              <w:t>Average total remuneration $</w:t>
            </w:r>
          </w:p>
        </w:tc>
      </w:tr>
      <w:tr w:rsidR="00260042" w:rsidRPr="00BB243C" w:rsidTr="00BB243C">
        <w:trPr>
          <w:trHeight w:val="60"/>
        </w:trPr>
        <w:tc>
          <w:tcPr>
            <w:tcW w:w="576" w:type="pct"/>
          </w:tcPr>
          <w:p w:rsidR="00260042" w:rsidRPr="00BB243C" w:rsidRDefault="00260042" w:rsidP="00BB243C">
            <w:pPr>
              <w:pStyle w:val="BodyText"/>
              <w:rPr>
                <w:sz w:val="20"/>
                <w:szCs w:val="20"/>
              </w:rPr>
            </w:pPr>
            <w:r w:rsidRPr="00BB243C">
              <w:rPr>
                <w:sz w:val="20"/>
                <w:szCs w:val="20"/>
              </w:rPr>
              <w:t xml:space="preserve">$230,001 – $245,000 </w:t>
            </w:r>
          </w:p>
        </w:tc>
        <w:tc>
          <w:tcPr>
            <w:tcW w:w="551" w:type="pct"/>
          </w:tcPr>
          <w:p w:rsidR="00260042" w:rsidRPr="00BB243C" w:rsidRDefault="00260042" w:rsidP="00BB243C">
            <w:pPr>
              <w:pStyle w:val="BodyText"/>
              <w:rPr>
                <w:sz w:val="20"/>
                <w:szCs w:val="20"/>
              </w:rPr>
            </w:pPr>
            <w:r w:rsidRPr="00BB243C">
              <w:rPr>
                <w:sz w:val="20"/>
                <w:szCs w:val="20"/>
              </w:rPr>
              <w:t>3</w:t>
            </w:r>
          </w:p>
        </w:tc>
        <w:tc>
          <w:tcPr>
            <w:tcW w:w="401" w:type="pct"/>
          </w:tcPr>
          <w:p w:rsidR="00260042" w:rsidRPr="00BB243C" w:rsidRDefault="00260042" w:rsidP="00E0055A">
            <w:pPr>
              <w:pStyle w:val="BodyText"/>
              <w:jc w:val="right"/>
              <w:rPr>
                <w:sz w:val="20"/>
                <w:szCs w:val="20"/>
              </w:rPr>
            </w:pPr>
            <w:r w:rsidRPr="00BB243C">
              <w:rPr>
                <w:sz w:val="20"/>
                <w:szCs w:val="20"/>
              </w:rPr>
              <w:t>127,464</w:t>
            </w:r>
          </w:p>
        </w:tc>
        <w:tc>
          <w:tcPr>
            <w:tcW w:w="394" w:type="pct"/>
          </w:tcPr>
          <w:p w:rsidR="00260042" w:rsidRPr="00BB243C" w:rsidRDefault="00260042" w:rsidP="00E0055A">
            <w:pPr>
              <w:pStyle w:val="BodyText"/>
              <w:jc w:val="right"/>
              <w:rPr>
                <w:sz w:val="20"/>
                <w:szCs w:val="20"/>
              </w:rPr>
            </w:pPr>
            <w:r w:rsidRPr="00BB243C">
              <w:rPr>
                <w:sz w:val="20"/>
                <w:szCs w:val="20"/>
              </w:rPr>
              <w:t>0</w:t>
            </w:r>
          </w:p>
        </w:tc>
        <w:tc>
          <w:tcPr>
            <w:tcW w:w="538" w:type="pct"/>
          </w:tcPr>
          <w:p w:rsidR="00260042" w:rsidRPr="00BB243C" w:rsidRDefault="00260042" w:rsidP="00E0055A">
            <w:pPr>
              <w:pStyle w:val="BodyText"/>
              <w:jc w:val="right"/>
              <w:rPr>
                <w:sz w:val="20"/>
                <w:szCs w:val="20"/>
              </w:rPr>
            </w:pPr>
            <w:r w:rsidRPr="00BB243C">
              <w:rPr>
                <w:sz w:val="20"/>
                <w:szCs w:val="20"/>
              </w:rPr>
              <w:t>8,533</w:t>
            </w:r>
          </w:p>
        </w:tc>
        <w:tc>
          <w:tcPr>
            <w:tcW w:w="645" w:type="pct"/>
          </w:tcPr>
          <w:p w:rsidR="00260042" w:rsidRPr="00BB243C" w:rsidRDefault="00260042" w:rsidP="00E0055A">
            <w:pPr>
              <w:pStyle w:val="BodyText"/>
              <w:jc w:val="right"/>
              <w:rPr>
                <w:sz w:val="20"/>
                <w:szCs w:val="20"/>
              </w:rPr>
            </w:pPr>
            <w:r w:rsidRPr="00BB243C">
              <w:rPr>
                <w:sz w:val="20"/>
                <w:szCs w:val="20"/>
              </w:rPr>
              <w:t>24,753</w:t>
            </w:r>
          </w:p>
        </w:tc>
        <w:tc>
          <w:tcPr>
            <w:tcW w:w="382" w:type="pct"/>
          </w:tcPr>
          <w:p w:rsidR="00260042" w:rsidRPr="00BB243C" w:rsidRDefault="00260042" w:rsidP="00E0055A">
            <w:pPr>
              <w:pStyle w:val="BodyText"/>
              <w:jc w:val="right"/>
              <w:rPr>
                <w:sz w:val="20"/>
                <w:szCs w:val="20"/>
              </w:rPr>
            </w:pPr>
            <w:r w:rsidRPr="00BB243C">
              <w:rPr>
                <w:sz w:val="20"/>
                <w:szCs w:val="20"/>
              </w:rPr>
              <w:t>(1,012)</w:t>
            </w:r>
          </w:p>
        </w:tc>
        <w:tc>
          <w:tcPr>
            <w:tcW w:w="436" w:type="pct"/>
          </w:tcPr>
          <w:p w:rsidR="00260042" w:rsidRPr="00BB243C" w:rsidRDefault="00260042" w:rsidP="00E0055A">
            <w:pPr>
              <w:pStyle w:val="BodyText"/>
              <w:jc w:val="right"/>
              <w:rPr>
                <w:sz w:val="20"/>
                <w:szCs w:val="20"/>
              </w:rPr>
            </w:pPr>
            <w:r w:rsidRPr="00BB243C">
              <w:rPr>
                <w:sz w:val="20"/>
                <w:szCs w:val="20"/>
              </w:rPr>
              <w:t>0</w:t>
            </w:r>
          </w:p>
        </w:tc>
        <w:tc>
          <w:tcPr>
            <w:tcW w:w="519" w:type="pct"/>
          </w:tcPr>
          <w:p w:rsidR="00260042" w:rsidRPr="00BB243C" w:rsidRDefault="00260042" w:rsidP="00E0055A">
            <w:pPr>
              <w:pStyle w:val="BodyText"/>
              <w:jc w:val="right"/>
              <w:rPr>
                <w:sz w:val="20"/>
                <w:szCs w:val="20"/>
              </w:rPr>
            </w:pPr>
            <w:r w:rsidRPr="00BB243C">
              <w:rPr>
                <w:sz w:val="20"/>
                <w:szCs w:val="20"/>
              </w:rPr>
              <w:t>75,750</w:t>
            </w:r>
          </w:p>
        </w:tc>
        <w:tc>
          <w:tcPr>
            <w:tcW w:w="557" w:type="pct"/>
          </w:tcPr>
          <w:p w:rsidR="00260042" w:rsidRPr="00BB243C" w:rsidRDefault="00260042" w:rsidP="00E0055A">
            <w:pPr>
              <w:pStyle w:val="BodyText"/>
              <w:jc w:val="right"/>
              <w:rPr>
                <w:sz w:val="20"/>
                <w:szCs w:val="20"/>
              </w:rPr>
            </w:pPr>
            <w:r w:rsidRPr="00BB243C">
              <w:rPr>
                <w:rStyle w:val="Bold"/>
                <w:bCs w:val="0"/>
                <w:color w:val="auto"/>
                <w:sz w:val="20"/>
                <w:szCs w:val="20"/>
              </w:rPr>
              <w:t>235,488</w:t>
            </w:r>
          </w:p>
        </w:tc>
      </w:tr>
      <w:tr w:rsidR="00260042" w:rsidRPr="00BB243C" w:rsidTr="00BB243C">
        <w:trPr>
          <w:trHeight w:val="305"/>
        </w:trPr>
        <w:tc>
          <w:tcPr>
            <w:tcW w:w="576" w:type="pct"/>
          </w:tcPr>
          <w:p w:rsidR="00260042" w:rsidRPr="00BB243C" w:rsidRDefault="00260042" w:rsidP="00BB243C">
            <w:pPr>
              <w:pStyle w:val="BodyText"/>
              <w:rPr>
                <w:sz w:val="20"/>
                <w:szCs w:val="20"/>
              </w:rPr>
            </w:pPr>
            <w:r w:rsidRPr="00BB243C">
              <w:rPr>
                <w:sz w:val="20"/>
                <w:szCs w:val="20"/>
              </w:rPr>
              <w:t xml:space="preserve">$245,001 – $270,000 </w:t>
            </w:r>
          </w:p>
        </w:tc>
        <w:tc>
          <w:tcPr>
            <w:tcW w:w="551" w:type="pct"/>
          </w:tcPr>
          <w:p w:rsidR="00260042" w:rsidRPr="00BB243C" w:rsidRDefault="00260042" w:rsidP="00BB243C">
            <w:pPr>
              <w:pStyle w:val="BodyText"/>
              <w:rPr>
                <w:sz w:val="20"/>
                <w:szCs w:val="20"/>
              </w:rPr>
            </w:pPr>
            <w:r w:rsidRPr="00BB243C">
              <w:rPr>
                <w:sz w:val="20"/>
                <w:szCs w:val="20"/>
              </w:rPr>
              <w:t>8</w:t>
            </w:r>
          </w:p>
        </w:tc>
        <w:tc>
          <w:tcPr>
            <w:tcW w:w="401" w:type="pct"/>
          </w:tcPr>
          <w:p w:rsidR="00260042" w:rsidRPr="00BB243C" w:rsidRDefault="00260042" w:rsidP="00E0055A">
            <w:pPr>
              <w:pStyle w:val="BodyText"/>
              <w:jc w:val="right"/>
              <w:rPr>
                <w:sz w:val="20"/>
                <w:szCs w:val="20"/>
              </w:rPr>
            </w:pPr>
            <w:r w:rsidRPr="00BB243C">
              <w:rPr>
                <w:sz w:val="20"/>
                <w:szCs w:val="20"/>
              </w:rPr>
              <w:t>154,589</w:t>
            </w:r>
          </w:p>
        </w:tc>
        <w:tc>
          <w:tcPr>
            <w:tcW w:w="394" w:type="pct"/>
          </w:tcPr>
          <w:p w:rsidR="00260042" w:rsidRPr="00BB243C" w:rsidRDefault="00260042" w:rsidP="00E0055A">
            <w:pPr>
              <w:pStyle w:val="BodyText"/>
              <w:jc w:val="right"/>
              <w:rPr>
                <w:sz w:val="20"/>
                <w:szCs w:val="20"/>
              </w:rPr>
            </w:pPr>
            <w:r w:rsidRPr="00BB243C">
              <w:rPr>
                <w:sz w:val="20"/>
                <w:szCs w:val="20"/>
              </w:rPr>
              <w:t>0</w:t>
            </w:r>
          </w:p>
        </w:tc>
        <w:tc>
          <w:tcPr>
            <w:tcW w:w="538" w:type="pct"/>
          </w:tcPr>
          <w:p w:rsidR="00260042" w:rsidRPr="00BB243C" w:rsidRDefault="00260042" w:rsidP="00E0055A">
            <w:pPr>
              <w:pStyle w:val="BodyText"/>
              <w:jc w:val="right"/>
              <w:rPr>
                <w:sz w:val="20"/>
                <w:szCs w:val="20"/>
              </w:rPr>
            </w:pPr>
            <w:r w:rsidRPr="00BB243C">
              <w:rPr>
                <w:sz w:val="20"/>
                <w:szCs w:val="20"/>
              </w:rPr>
              <w:t>1,181</w:t>
            </w:r>
          </w:p>
        </w:tc>
        <w:tc>
          <w:tcPr>
            <w:tcW w:w="645" w:type="pct"/>
          </w:tcPr>
          <w:p w:rsidR="00260042" w:rsidRPr="00BB243C" w:rsidRDefault="00260042" w:rsidP="00E0055A">
            <w:pPr>
              <w:pStyle w:val="BodyText"/>
              <w:jc w:val="right"/>
              <w:rPr>
                <w:sz w:val="20"/>
                <w:szCs w:val="20"/>
              </w:rPr>
            </w:pPr>
            <w:r w:rsidRPr="00BB243C">
              <w:rPr>
                <w:sz w:val="20"/>
                <w:szCs w:val="20"/>
              </w:rPr>
              <w:t>29,007</w:t>
            </w:r>
          </w:p>
        </w:tc>
        <w:tc>
          <w:tcPr>
            <w:tcW w:w="382" w:type="pct"/>
          </w:tcPr>
          <w:p w:rsidR="00260042" w:rsidRPr="00BB243C" w:rsidRDefault="00260042" w:rsidP="00E0055A">
            <w:pPr>
              <w:pStyle w:val="BodyText"/>
              <w:jc w:val="right"/>
              <w:rPr>
                <w:sz w:val="20"/>
                <w:szCs w:val="20"/>
              </w:rPr>
            </w:pPr>
            <w:r w:rsidRPr="00BB243C">
              <w:rPr>
                <w:sz w:val="20"/>
                <w:szCs w:val="20"/>
              </w:rPr>
              <w:t>(610)</w:t>
            </w:r>
          </w:p>
        </w:tc>
        <w:tc>
          <w:tcPr>
            <w:tcW w:w="436" w:type="pct"/>
          </w:tcPr>
          <w:p w:rsidR="00260042" w:rsidRPr="00BB243C" w:rsidRDefault="00260042" w:rsidP="00E0055A">
            <w:pPr>
              <w:pStyle w:val="BodyText"/>
              <w:jc w:val="right"/>
              <w:rPr>
                <w:sz w:val="20"/>
                <w:szCs w:val="20"/>
              </w:rPr>
            </w:pPr>
            <w:r w:rsidRPr="00BB243C">
              <w:rPr>
                <w:sz w:val="20"/>
                <w:szCs w:val="20"/>
              </w:rPr>
              <w:t>0</w:t>
            </w:r>
          </w:p>
        </w:tc>
        <w:tc>
          <w:tcPr>
            <w:tcW w:w="519" w:type="pct"/>
          </w:tcPr>
          <w:p w:rsidR="00260042" w:rsidRPr="00BB243C" w:rsidRDefault="00260042" w:rsidP="00E0055A">
            <w:pPr>
              <w:pStyle w:val="BodyText"/>
              <w:jc w:val="right"/>
              <w:rPr>
                <w:sz w:val="20"/>
                <w:szCs w:val="20"/>
              </w:rPr>
            </w:pPr>
            <w:r w:rsidRPr="00BB243C">
              <w:rPr>
                <w:sz w:val="20"/>
                <w:szCs w:val="20"/>
              </w:rPr>
              <w:t>71,923</w:t>
            </w:r>
          </w:p>
        </w:tc>
        <w:tc>
          <w:tcPr>
            <w:tcW w:w="557" w:type="pct"/>
          </w:tcPr>
          <w:p w:rsidR="00260042" w:rsidRPr="00BB243C" w:rsidRDefault="00260042" w:rsidP="00E0055A">
            <w:pPr>
              <w:pStyle w:val="BodyText"/>
              <w:jc w:val="right"/>
              <w:rPr>
                <w:sz w:val="20"/>
                <w:szCs w:val="20"/>
              </w:rPr>
            </w:pPr>
            <w:r w:rsidRPr="00BB243C">
              <w:rPr>
                <w:rStyle w:val="Bold"/>
                <w:bCs w:val="0"/>
                <w:color w:val="auto"/>
                <w:sz w:val="20"/>
                <w:szCs w:val="20"/>
              </w:rPr>
              <w:t>256,090</w:t>
            </w:r>
          </w:p>
        </w:tc>
      </w:tr>
      <w:tr w:rsidR="00260042" w:rsidRPr="00BB243C" w:rsidTr="00BB243C">
        <w:trPr>
          <w:trHeight w:val="60"/>
        </w:trPr>
        <w:tc>
          <w:tcPr>
            <w:tcW w:w="576" w:type="pct"/>
          </w:tcPr>
          <w:p w:rsidR="00260042" w:rsidRPr="00BB243C" w:rsidRDefault="00260042" w:rsidP="00BB243C">
            <w:pPr>
              <w:pStyle w:val="BodyText"/>
              <w:rPr>
                <w:sz w:val="20"/>
                <w:szCs w:val="20"/>
              </w:rPr>
            </w:pPr>
            <w:r w:rsidRPr="00BB243C">
              <w:rPr>
                <w:sz w:val="20"/>
                <w:szCs w:val="20"/>
              </w:rPr>
              <w:t xml:space="preserve">$270,001 – $295,000 </w:t>
            </w:r>
          </w:p>
        </w:tc>
        <w:tc>
          <w:tcPr>
            <w:tcW w:w="551" w:type="pct"/>
          </w:tcPr>
          <w:p w:rsidR="00260042" w:rsidRPr="00BB243C" w:rsidRDefault="00260042" w:rsidP="00BB243C">
            <w:pPr>
              <w:pStyle w:val="BodyText"/>
              <w:rPr>
                <w:sz w:val="20"/>
                <w:szCs w:val="20"/>
              </w:rPr>
            </w:pPr>
            <w:r w:rsidRPr="00BB243C">
              <w:rPr>
                <w:sz w:val="20"/>
                <w:szCs w:val="20"/>
              </w:rPr>
              <w:t>2</w:t>
            </w:r>
          </w:p>
        </w:tc>
        <w:tc>
          <w:tcPr>
            <w:tcW w:w="401" w:type="pct"/>
          </w:tcPr>
          <w:p w:rsidR="00260042" w:rsidRPr="00BB243C" w:rsidRDefault="00260042" w:rsidP="00E0055A">
            <w:pPr>
              <w:pStyle w:val="BodyText"/>
              <w:jc w:val="right"/>
              <w:rPr>
                <w:sz w:val="20"/>
                <w:szCs w:val="20"/>
              </w:rPr>
            </w:pPr>
            <w:r w:rsidRPr="00BB243C">
              <w:rPr>
                <w:sz w:val="20"/>
                <w:szCs w:val="20"/>
              </w:rPr>
              <w:t>163,303</w:t>
            </w:r>
          </w:p>
        </w:tc>
        <w:tc>
          <w:tcPr>
            <w:tcW w:w="394" w:type="pct"/>
          </w:tcPr>
          <w:p w:rsidR="00260042" w:rsidRPr="00BB243C" w:rsidRDefault="00260042" w:rsidP="00E0055A">
            <w:pPr>
              <w:pStyle w:val="BodyText"/>
              <w:jc w:val="right"/>
              <w:rPr>
                <w:sz w:val="20"/>
                <w:szCs w:val="20"/>
              </w:rPr>
            </w:pPr>
            <w:r w:rsidRPr="00BB243C">
              <w:rPr>
                <w:sz w:val="20"/>
                <w:szCs w:val="20"/>
              </w:rPr>
              <w:t>0</w:t>
            </w:r>
          </w:p>
        </w:tc>
        <w:tc>
          <w:tcPr>
            <w:tcW w:w="538" w:type="pct"/>
          </w:tcPr>
          <w:p w:rsidR="00260042" w:rsidRPr="00BB243C" w:rsidRDefault="00260042" w:rsidP="00E0055A">
            <w:pPr>
              <w:pStyle w:val="BodyText"/>
              <w:jc w:val="right"/>
              <w:rPr>
                <w:sz w:val="20"/>
                <w:szCs w:val="20"/>
              </w:rPr>
            </w:pPr>
            <w:r w:rsidRPr="00BB243C">
              <w:rPr>
                <w:sz w:val="20"/>
                <w:szCs w:val="20"/>
              </w:rPr>
              <w:t>2,115</w:t>
            </w:r>
          </w:p>
        </w:tc>
        <w:tc>
          <w:tcPr>
            <w:tcW w:w="645" w:type="pct"/>
          </w:tcPr>
          <w:p w:rsidR="00260042" w:rsidRPr="00BB243C" w:rsidRDefault="00260042" w:rsidP="00E0055A">
            <w:pPr>
              <w:pStyle w:val="BodyText"/>
              <w:jc w:val="right"/>
              <w:rPr>
                <w:sz w:val="20"/>
                <w:szCs w:val="20"/>
              </w:rPr>
            </w:pPr>
            <w:r w:rsidRPr="00BB243C">
              <w:rPr>
                <w:sz w:val="20"/>
                <w:szCs w:val="20"/>
              </w:rPr>
              <w:t>44,566</w:t>
            </w:r>
          </w:p>
        </w:tc>
        <w:tc>
          <w:tcPr>
            <w:tcW w:w="382" w:type="pct"/>
          </w:tcPr>
          <w:p w:rsidR="00260042" w:rsidRPr="00BB243C" w:rsidRDefault="00260042" w:rsidP="00E0055A">
            <w:pPr>
              <w:pStyle w:val="BodyText"/>
              <w:jc w:val="right"/>
              <w:rPr>
                <w:sz w:val="20"/>
                <w:szCs w:val="20"/>
              </w:rPr>
            </w:pPr>
            <w:r w:rsidRPr="00BB243C">
              <w:rPr>
                <w:sz w:val="20"/>
                <w:szCs w:val="20"/>
              </w:rPr>
              <w:t>(1,611)</w:t>
            </w:r>
          </w:p>
        </w:tc>
        <w:tc>
          <w:tcPr>
            <w:tcW w:w="436" w:type="pct"/>
          </w:tcPr>
          <w:p w:rsidR="00260042" w:rsidRPr="00BB243C" w:rsidRDefault="00260042" w:rsidP="00E0055A">
            <w:pPr>
              <w:pStyle w:val="BodyText"/>
              <w:jc w:val="right"/>
              <w:rPr>
                <w:sz w:val="20"/>
                <w:szCs w:val="20"/>
              </w:rPr>
            </w:pPr>
            <w:r w:rsidRPr="00BB243C">
              <w:rPr>
                <w:sz w:val="20"/>
                <w:szCs w:val="20"/>
              </w:rPr>
              <w:t>0</w:t>
            </w:r>
          </w:p>
        </w:tc>
        <w:tc>
          <w:tcPr>
            <w:tcW w:w="519" w:type="pct"/>
          </w:tcPr>
          <w:p w:rsidR="00260042" w:rsidRPr="00BB243C" w:rsidRDefault="00260042" w:rsidP="00E0055A">
            <w:pPr>
              <w:pStyle w:val="BodyText"/>
              <w:jc w:val="right"/>
              <w:rPr>
                <w:sz w:val="20"/>
                <w:szCs w:val="20"/>
              </w:rPr>
            </w:pPr>
            <w:r w:rsidRPr="00BB243C">
              <w:rPr>
                <w:sz w:val="20"/>
                <w:szCs w:val="20"/>
              </w:rPr>
              <w:t>63,937</w:t>
            </w:r>
          </w:p>
        </w:tc>
        <w:tc>
          <w:tcPr>
            <w:tcW w:w="557" w:type="pct"/>
          </w:tcPr>
          <w:p w:rsidR="00260042" w:rsidRPr="00BB243C" w:rsidRDefault="00260042" w:rsidP="00E0055A">
            <w:pPr>
              <w:pStyle w:val="BodyText"/>
              <w:jc w:val="right"/>
              <w:rPr>
                <w:sz w:val="20"/>
                <w:szCs w:val="20"/>
              </w:rPr>
            </w:pPr>
            <w:r w:rsidRPr="00BB243C">
              <w:rPr>
                <w:rStyle w:val="Bold"/>
                <w:bCs w:val="0"/>
                <w:color w:val="auto"/>
                <w:sz w:val="20"/>
                <w:szCs w:val="20"/>
              </w:rPr>
              <w:t>272,310</w:t>
            </w:r>
          </w:p>
        </w:tc>
      </w:tr>
      <w:tr w:rsidR="00260042" w:rsidRPr="00BB243C" w:rsidTr="00BB243C">
        <w:trPr>
          <w:trHeight w:val="60"/>
        </w:trPr>
        <w:tc>
          <w:tcPr>
            <w:tcW w:w="576" w:type="pct"/>
          </w:tcPr>
          <w:p w:rsidR="00260042" w:rsidRPr="00BB243C" w:rsidRDefault="00260042" w:rsidP="00BB243C">
            <w:pPr>
              <w:pStyle w:val="BodyText"/>
              <w:rPr>
                <w:sz w:val="20"/>
                <w:szCs w:val="20"/>
              </w:rPr>
            </w:pPr>
            <w:r w:rsidRPr="00BB243C">
              <w:rPr>
                <w:sz w:val="20"/>
                <w:szCs w:val="20"/>
              </w:rPr>
              <w:t xml:space="preserve">$295,001 – $320,000 </w:t>
            </w:r>
          </w:p>
        </w:tc>
        <w:tc>
          <w:tcPr>
            <w:tcW w:w="551" w:type="pct"/>
          </w:tcPr>
          <w:p w:rsidR="00260042" w:rsidRPr="00BB243C" w:rsidRDefault="00260042" w:rsidP="00BB243C">
            <w:pPr>
              <w:pStyle w:val="BodyText"/>
              <w:rPr>
                <w:sz w:val="20"/>
                <w:szCs w:val="20"/>
              </w:rPr>
            </w:pPr>
            <w:r w:rsidRPr="00BB243C">
              <w:rPr>
                <w:sz w:val="20"/>
                <w:szCs w:val="20"/>
              </w:rPr>
              <w:t>4</w:t>
            </w:r>
          </w:p>
        </w:tc>
        <w:tc>
          <w:tcPr>
            <w:tcW w:w="401" w:type="pct"/>
          </w:tcPr>
          <w:p w:rsidR="00260042" w:rsidRPr="00BB243C" w:rsidRDefault="00260042" w:rsidP="00E0055A">
            <w:pPr>
              <w:pStyle w:val="BodyText"/>
              <w:jc w:val="right"/>
              <w:rPr>
                <w:sz w:val="20"/>
                <w:szCs w:val="20"/>
              </w:rPr>
            </w:pPr>
            <w:r w:rsidRPr="00BB243C">
              <w:rPr>
                <w:sz w:val="20"/>
                <w:szCs w:val="20"/>
              </w:rPr>
              <w:t>134,276</w:t>
            </w:r>
          </w:p>
        </w:tc>
        <w:tc>
          <w:tcPr>
            <w:tcW w:w="394" w:type="pct"/>
          </w:tcPr>
          <w:p w:rsidR="00260042" w:rsidRPr="00BB243C" w:rsidRDefault="00260042" w:rsidP="00E0055A">
            <w:pPr>
              <w:pStyle w:val="BodyText"/>
              <w:jc w:val="right"/>
              <w:rPr>
                <w:sz w:val="20"/>
                <w:szCs w:val="20"/>
              </w:rPr>
            </w:pPr>
            <w:r w:rsidRPr="00BB243C">
              <w:rPr>
                <w:sz w:val="20"/>
                <w:szCs w:val="20"/>
              </w:rPr>
              <w:t>0</w:t>
            </w:r>
          </w:p>
        </w:tc>
        <w:tc>
          <w:tcPr>
            <w:tcW w:w="538" w:type="pct"/>
          </w:tcPr>
          <w:p w:rsidR="00260042" w:rsidRPr="00BB243C" w:rsidRDefault="00260042" w:rsidP="00E0055A">
            <w:pPr>
              <w:pStyle w:val="BodyText"/>
              <w:jc w:val="right"/>
              <w:rPr>
                <w:sz w:val="20"/>
                <w:szCs w:val="20"/>
              </w:rPr>
            </w:pPr>
            <w:r w:rsidRPr="00BB243C">
              <w:rPr>
                <w:sz w:val="20"/>
                <w:szCs w:val="20"/>
              </w:rPr>
              <w:t>0</w:t>
            </w:r>
          </w:p>
        </w:tc>
        <w:tc>
          <w:tcPr>
            <w:tcW w:w="645" w:type="pct"/>
          </w:tcPr>
          <w:p w:rsidR="00260042" w:rsidRPr="00BB243C" w:rsidRDefault="00260042" w:rsidP="00E0055A">
            <w:pPr>
              <w:pStyle w:val="BodyText"/>
              <w:jc w:val="right"/>
              <w:rPr>
                <w:sz w:val="20"/>
                <w:szCs w:val="20"/>
              </w:rPr>
            </w:pPr>
            <w:r w:rsidRPr="00BB243C">
              <w:rPr>
                <w:sz w:val="20"/>
                <w:szCs w:val="20"/>
              </w:rPr>
              <w:t>25,733</w:t>
            </w:r>
          </w:p>
        </w:tc>
        <w:tc>
          <w:tcPr>
            <w:tcW w:w="382" w:type="pct"/>
          </w:tcPr>
          <w:p w:rsidR="00260042" w:rsidRPr="00BB243C" w:rsidRDefault="00260042" w:rsidP="00E0055A">
            <w:pPr>
              <w:pStyle w:val="BodyText"/>
              <w:jc w:val="right"/>
              <w:rPr>
                <w:sz w:val="20"/>
                <w:szCs w:val="20"/>
              </w:rPr>
            </w:pPr>
            <w:r w:rsidRPr="00BB243C">
              <w:rPr>
                <w:sz w:val="20"/>
                <w:szCs w:val="20"/>
              </w:rPr>
              <w:t>(368)</w:t>
            </w:r>
          </w:p>
        </w:tc>
        <w:tc>
          <w:tcPr>
            <w:tcW w:w="436" w:type="pct"/>
          </w:tcPr>
          <w:p w:rsidR="00260042" w:rsidRPr="00BB243C" w:rsidRDefault="00260042" w:rsidP="00E0055A">
            <w:pPr>
              <w:pStyle w:val="BodyText"/>
              <w:jc w:val="right"/>
              <w:rPr>
                <w:sz w:val="20"/>
                <w:szCs w:val="20"/>
              </w:rPr>
            </w:pPr>
            <w:r w:rsidRPr="00BB243C">
              <w:rPr>
                <w:sz w:val="20"/>
                <w:szCs w:val="20"/>
              </w:rPr>
              <w:t>0</w:t>
            </w:r>
          </w:p>
        </w:tc>
        <w:tc>
          <w:tcPr>
            <w:tcW w:w="519" w:type="pct"/>
          </w:tcPr>
          <w:p w:rsidR="00260042" w:rsidRPr="00BB243C" w:rsidRDefault="00260042" w:rsidP="00E0055A">
            <w:pPr>
              <w:pStyle w:val="BodyText"/>
              <w:jc w:val="right"/>
              <w:rPr>
                <w:sz w:val="20"/>
                <w:szCs w:val="20"/>
              </w:rPr>
            </w:pPr>
            <w:r w:rsidRPr="00BB243C">
              <w:rPr>
                <w:sz w:val="20"/>
                <w:szCs w:val="20"/>
              </w:rPr>
              <w:t>149,210</w:t>
            </w:r>
          </w:p>
        </w:tc>
        <w:tc>
          <w:tcPr>
            <w:tcW w:w="557" w:type="pct"/>
          </w:tcPr>
          <w:p w:rsidR="00260042" w:rsidRPr="00BB243C" w:rsidRDefault="00260042" w:rsidP="00E0055A">
            <w:pPr>
              <w:pStyle w:val="BodyText"/>
              <w:jc w:val="right"/>
              <w:rPr>
                <w:sz w:val="20"/>
                <w:szCs w:val="20"/>
              </w:rPr>
            </w:pPr>
            <w:r w:rsidRPr="00BB243C">
              <w:rPr>
                <w:rStyle w:val="Bold"/>
                <w:bCs w:val="0"/>
                <w:color w:val="auto"/>
                <w:sz w:val="20"/>
                <w:szCs w:val="20"/>
              </w:rPr>
              <w:t>308,851</w:t>
            </w:r>
          </w:p>
        </w:tc>
      </w:tr>
      <w:tr w:rsidR="00260042" w:rsidRPr="00BB243C" w:rsidTr="00BB243C">
        <w:trPr>
          <w:trHeight w:val="60"/>
        </w:trPr>
        <w:tc>
          <w:tcPr>
            <w:tcW w:w="576" w:type="pct"/>
          </w:tcPr>
          <w:p w:rsidR="00260042" w:rsidRPr="00BB243C" w:rsidRDefault="00260042" w:rsidP="00BB243C">
            <w:pPr>
              <w:pStyle w:val="BodyText"/>
              <w:rPr>
                <w:sz w:val="20"/>
                <w:szCs w:val="20"/>
              </w:rPr>
            </w:pPr>
            <w:r w:rsidRPr="00BB243C">
              <w:rPr>
                <w:rStyle w:val="Bold"/>
                <w:bCs w:val="0"/>
                <w:color w:val="auto"/>
                <w:sz w:val="20"/>
                <w:szCs w:val="20"/>
              </w:rPr>
              <w:t>Total</w:t>
            </w:r>
          </w:p>
        </w:tc>
        <w:tc>
          <w:tcPr>
            <w:tcW w:w="551" w:type="pct"/>
          </w:tcPr>
          <w:p w:rsidR="00260042" w:rsidRPr="00BB243C" w:rsidRDefault="00260042" w:rsidP="00BB243C">
            <w:pPr>
              <w:pStyle w:val="BodyText"/>
              <w:rPr>
                <w:sz w:val="20"/>
                <w:szCs w:val="20"/>
              </w:rPr>
            </w:pPr>
            <w:r w:rsidRPr="00BB243C">
              <w:rPr>
                <w:rStyle w:val="Bold"/>
                <w:bCs w:val="0"/>
                <w:color w:val="auto"/>
                <w:sz w:val="20"/>
                <w:szCs w:val="20"/>
              </w:rPr>
              <w:t>17</w:t>
            </w:r>
          </w:p>
        </w:tc>
        <w:tc>
          <w:tcPr>
            <w:tcW w:w="401" w:type="pct"/>
          </w:tcPr>
          <w:p w:rsidR="00260042" w:rsidRPr="00BB243C" w:rsidRDefault="00260042" w:rsidP="00E0055A">
            <w:pPr>
              <w:pStyle w:val="BodyText"/>
              <w:jc w:val="right"/>
              <w:rPr>
                <w:rFonts w:ascii="Roboto Lt" w:hAnsi="Roboto Lt"/>
                <w:sz w:val="20"/>
                <w:szCs w:val="20"/>
              </w:rPr>
            </w:pPr>
          </w:p>
        </w:tc>
        <w:tc>
          <w:tcPr>
            <w:tcW w:w="394" w:type="pct"/>
          </w:tcPr>
          <w:p w:rsidR="00260042" w:rsidRPr="00BB243C" w:rsidRDefault="00260042" w:rsidP="00E0055A">
            <w:pPr>
              <w:pStyle w:val="BodyText"/>
              <w:jc w:val="right"/>
              <w:rPr>
                <w:rFonts w:ascii="Roboto Lt" w:hAnsi="Roboto Lt"/>
                <w:sz w:val="20"/>
                <w:szCs w:val="20"/>
              </w:rPr>
            </w:pPr>
          </w:p>
        </w:tc>
        <w:tc>
          <w:tcPr>
            <w:tcW w:w="538" w:type="pct"/>
          </w:tcPr>
          <w:p w:rsidR="00260042" w:rsidRPr="00BB243C" w:rsidRDefault="00260042" w:rsidP="00E0055A">
            <w:pPr>
              <w:pStyle w:val="BodyText"/>
              <w:jc w:val="right"/>
              <w:rPr>
                <w:rFonts w:ascii="Roboto Lt" w:hAnsi="Roboto Lt"/>
                <w:sz w:val="20"/>
                <w:szCs w:val="20"/>
              </w:rPr>
            </w:pPr>
          </w:p>
        </w:tc>
        <w:tc>
          <w:tcPr>
            <w:tcW w:w="645" w:type="pct"/>
          </w:tcPr>
          <w:p w:rsidR="00260042" w:rsidRPr="00BB243C" w:rsidRDefault="00260042" w:rsidP="00E0055A">
            <w:pPr>
              <w:pStyle w:val="BodyText"/>
              <w:jc w:val="right"/>
              <w:rPr>
                <w:rFonts w:ascii="Roboto Lt" w:hAnsi="Roboto Lt"/>
                <w:sz w:val="20"/>
                <w:szCs w:val="20"/>
              </w:rPr>
            </w:pPr>
          </w:p>
        </w:tc>
        <w:tc>
          <w:tcPr>
            <w:tcW w:w="382" w:type="pct"/>
          </w:tcPr>
          <w:p w:rsidR="00260042" w:rsidRPr="00BB243C" w:rsidRDefault="00260042" w:rsidP="00E0055A">
            <w:pPr>
              <w:pStyle w:val="BodyText"/>
              <w:jc w:val="right"/>
              <w:rPr>
                <w:rFonts w:ascii="Roboto Lt" w:hAnsi="Roboto Lt"/>
                <w:sz w:val="20"/>
                <w:szCs w:val="20"/>
              </w:rPr>
            </w:pPr>
          </w:p>
        </w:tc>
        <w:tc>
          <w:tcPr>
            <w:tcW w:w="436" w:type="pct"/>
          </w:tcPr>
          <w:p w:rsidR="00260042" w:rsidRPr="00BB243C" w:rsidRDefault="00260042" w:rsidP="00E0055A">
            <w:pPr>
              <w:pStyle w:val="BodyText"/>
              <w:jc w:val="right"/>
              <w:rPr>
                <w:rFonts w:ascii="Roboto Lt" w:hAnsi="Roboto Lt"/>
                <w:sz w:val="20"/>
                <w:szCs w:val="20"/>
              </w:rPr>
            </w:pPr>
          </w:p>
        </w:tc>
        <w:tc>
          <w:tcPr>
            <w:tcW w:w="519" w:type="pct"/>
          </w:tcPr>
          <w:p w:rsidR="00260042" w:rsidRPr="00BB243C" w:rsidRDefault="00260042" w:rsidP="00E0055A">
            <w:pPr>
              <w:pStyle w:val="BodyText"/>
              <w:jc w:val="right"/>
              <w:rPr>
                <w:rFonts w:ascii="Roboto Lt" w:hAnsi="Roboto Lt"/>
                <w:sz w:val="20"/>
                <w:szCs w:val="20"/>
              </w:rPr>
            </w:pPr>
          </w:p>
        </w:tc>
        <w:tc>
          <w:tcPr>
            <w:tcW w:w="557" w:type="pct"/>
          </w:tcPr>
          <w:p w:rsidR="00260042" w:rsidRPr="00BB243C" w:rsidRDefault="00260042" w:rsidP="00E0055A">
            <w:pPr>
              <w:pStyle w:val="BodyText"/>
              <w:jc w:val="right"/>
              <w:rPr>
                <w:rFonts w:ascii="Roboto Lt" w:hAnsi="Roboto Lt"/>
                <w:sz w:val="20"/>
                <w:szCs w:val="20"/>
              </w:rPr>
            </w:pPr>
          </w:p>
        </w:tc>
      </w:tr>
    </w:tbl>
    <w:p w:rsidR="00260042" w:rsidRDefault="00260042" w:rsidP="00EA5510">
      <w:pPr>
        <w:pStyle w:val="BodyText"/>
      </w:pPr>
      <w:r>
        <w:t>(a)</w:t>
      </w:r>
      <w:r>
        <w:tab/>
        <w:t>Includes base salary, annual leave benefit, bonuses, allowances and other benefits.</w:t>
      </w:r>
    </w:p>
    <w:p w:rsidR="00260042" w:rsidRDefault="00260042" w:rsidP="00EA5510">
      <w:pPr>
        <w:pStyle w:val="BodyText"/>
      </w:pPr>
      <w:r>
        <w:t>(</w:t>
      </w:r>
      <w:proofErr w:type="gramStart"/>
      <w:r>
        <w:t>b</w:t>
      </w:r>
      <w:proofErr w:type="gramEnd"/>
      <w:r>
        <w:t>)</w:t>
      </w:r>
      <w:r>
        <w:tab/>
        <w:t xml:space="preserve">Includes contributed superannuation depending on the scheme the employee is in. When an employee is in a defined contribution scheme, such as </w:t>
      </w:r>
      <w:proofErr w:type="spellStart"/>
      <w:r>
        <w:t>PSSap</w:t>
      </w:r>
      <w:proofErr w:type="spellEnd"/>
      <w:r>
        <w:t>, this will be the superannuation amount on the individual’s pay slip. When an employee is in a defined benefits scheme, such as PSS and CSS, this will include the Notional Employer Contribution Amount and Employer Productivity Superannuation Contribution.</w:t>
      </w:r>
    </w:p>
    <w:p w:rsidR="00260042" w:rsidRDefault="00260042" w:rsidP="00EA5510">
      <w:pPr>
        <w:pStyle w:val="BodyText"/>
      </w:pPr>
      <w:r>
        <w:t>(c)</w:t>
      </w:r>
      <w:r>
        <w:tab/>
        <w:t>In accordance with accounting standards, long-term benefits include long service leave and the impacts of a reduction in the discount rate. In some cases, this has resulted in a negative long service leave expense for some employees.</w:t>
      </w:r>
    </w:p>
    <w:p w:rsidR="00260042" w:rsidRDefault="00260042" w:rsidP="00EA5510">
      <w:pPr>
        <w:pStyle w:val="BodyText"/>
      </w:pPr>
      <w:r>
        <w:lastRenderedPageBreak/>
        <w:t>(d)</w:t>
      </w:r>
      <w:r>
        <w:tab/>
        <w:t>Includes motor vehicle allowance and other benefits such as the provision of a car park.</w:t>
      </w:r>
    </w:p>
    <w:p w:rsidR="00260042" w:rsidRDefault="00260042" w:rsidP="002E64CE">
      <w:pPr>
        <w:pStyle w:val="Heading3"/>
      </w:pPr>
      <w:r>
        <w:t>PGPA Rule s. 17AE (1</w:t>
      </w:r>
      <w:proofErr w:type="gramStart"/>
      <w:r>
        <w:t>)</w:t>
      </w:r>
      <w:r>
        <w:rPr>
          <w:caps/>
        </w:rPr>
        <w:t>(</w:t>
      </w:r>
      <w:proofErr w:type="gramEnd"/>
      <w:r>
        <w:rPr>
          <w:caps/>
        </w:rPr>
        <w:t xml:space="preserve">aa)(i)–(iii) </w:t>
      </w:r>
      <w:r>
        <w:t xml:space="preserve">– Accountable authority </w:t>
      </w:r>
    </w:p>
    <w:p w:rsidR="00260042" w:rsidRPr="00EA5510" w:rsidRDefault="00511254" w:rsidP="00EA5510">
      <w:pPr>
        <w:pStyle w:val="BodyText"/>
        <w:rPr>
          <w:b/>
        </w:rPr>
      </w:pPr>
      <w:r>
        <w:rPr>
          <w:rStyle w:val="Bold"/>
          <w:bCs w:val="0"/>
        </w:rPr>
        <w:t>Table 5</w:t>
      </w:r>
      <w:r>
        <w:rPr>
          <w:rStyle w:val="Bold"/>
          <w:bCs w:val="0"/>
        </w:rPr>
        <w:t>5</w:t>
      </w:r>
      <w:r w:rsidR="00260042" w:rsidRPr="00EA5510">
        <w:rPr>
          <w:b/>
        </w:rPr>
        <w:t xml:space="preserve"> Details of accountable authority during 2020–21</w:t>
      </w:r>
    </w:p>
    <w:tbl>
      <w:tblPr>
        <w:tblStyle w:val="TableGrid"/>
        <w:tblW w:w="5000" w:type="pct"/>
        <w:tblLook w:val="0000" w:firstRow="0" w:lastRow="0" w:firstColumn="0" w:lastColumn="0" w:noHBand="0" w:noVBand="0"/>
        <w:tblCaption w:val="Details of accountable authority during 2020–21"/>
      </w:tblPr>
      <w:tblGrid>
        <w:gridCol w:w="2635"/>
        <w:gridCol w:w="3047"/>
        <w:gridCol w:w="2553"/>
        <w:gridCol w:w="2555"/>
      </w:tblGrid>
      <w:tr w:rsidR="00260042" w:rsidTr="00E0055A">
        <w:trPr>
          <w:trHeight w:val="60"/>
          <w:tblHeader/>
        </w:trPr>
        <w:tc>
          <w:tcPr>
            <w:tcW w:w="1221" w:type="pct"/>
          </w:tcPr>
          <w:p w:rsidR="00260042" w:rsidRPr="00E0055A" w:rsidRDefault="00260042" w:rsidP="00E0055A">
            <w:pPr>
              <w:pStyle w:val="BodyText"/>
              <w:rPr>
                <w:b/>
              </w:rPr>
            </w:pPr>
            <w:r w:rsidRPr="00E0055A">
              <w:rPr>
                <w:b/>
              </w:rPr>
              <w:t xml:space="preserve">Name </w:t>
            </w:r>
          </w:p>
        </w:tc>
        <w:tc>
          <w:tcPr>
            <w:tcW w:w="1412" w:type="pct"/>
          </w:tcPr>
          <w:p w:rsidR="00260042" w:rsidRPr="00E0055A" w:rsidRDefault="00260042" w:rsidP="00E0055A">
            <w:pPr>
              <w:pStyle w:val="BodyText"/>
              <w:rPr>
                <w:b/>
              </w:rPr>
            </w:pPr>
            <w:r w:rsidRPr="00E0055A">
              <w:rPr>
                <w:b/>
              </w:rPr>
              <w:t>Position title/position held</w:t>
            </w:r>
          </w:p>
        </w:tc>
        <w:tc>
          <w:tcPr>
            <w:tcW w:w="1183" w:type="pct"/>
          </w:tcPr>
          <w:p w:rsidR="00260042" w:rsidRPr="00E0055A" w:rsidRDefault="00260042" w:rsidP="00E0055A">
            <w:pPr>
              <w:pStyle w:val="BodyText"/>
              <w:rPr>
                <w:b/>
              </w:rPr>
            </w:pPr>
            <w:r w:rsidRPr="00E0055A">
              <w:rPr>
                <w:b/>
              </w:rPr>
              <w:t xml:space="preserve">Date of commencement </w:t>
            </w:r>
          </w:p>
        </w:tc>
        <w:tc>
          <w:tcPr>
            <w:tcW w:w="1184" w:type="pct"/>
          </w:tcPr>
          <w:p w:rsidR="00260042" w:rsidRPr="00E0055A" w:rsidRDefault="00260042" w:rsidP="00E0055A">
            <w:pPr>
              <w:pStyle w:val="BodyText"/>
              <w:rPr>
                <w:b/>
              </w:rPr>
            </w:pPr>
            <w:r w:rsidRPr="00E0055A">
              <w:rPr>
                <w:b/>
              </w:rPr>
              <w:t>Date of cessation</w:t>
            </w:r>
          </w:p>
        </w:tc>
      </w:tr>
      <w:tr w:rsidR="00260042" w:rsidTr="00E0055A">
        <w:trPr>
          <w:trHeight w:val="60"/>
        </w:trPr>
        <w:tc>
          <w:tcPr>
            <w:tcW w:w="1221" w:type="pct"/>
          </w:tcPr>
          <w:p w:rsidR="00260042" w:rsidRDefault="00260042" w:rsidP="00E0055A">
            <w:pPr>
              <w:pStyle w:val="BodyText"/>
            </w:pPr>
            <w:r>
              <w:t>Rebecca Skinner</w:t>
            </w:r>
          </w:p>
        </w:tc>
        <w:tc>
          <w:tcPr>
            <w:tcW w:w="1412" w:type="pct"/>
          </w:tcPr>
          <w:p w:rsidR="00260042" w:rsidRDefault="00260042" w:rsidP="00E0055A">
            <w:pPr>
              <w:pStyle w:val="BodyText"/>
            </w:pPr>
            <w:r>
              <w:t>Chief Executive Officer</w:t>
            </w:r>
          </w:p>
        </w:tc>
        <w:tc>
          <w:tcPr>
            <w:tcW w:w="1183" w:type="pct"/>
          </w:tcPr>
          <w:p w:rsidR="00260042" w:rsidRDefault="00260042" w:rsidP="00E0055A">
            <w:pPr>
              <w:pStyle w:val="BodyText"/>
            </w:pPr>
            <w:r>
              <w:t>1 July 2020</w:t>
            </w:r>
          </w:p>
        </w:tc>
        <w:tc>
          <w:tcPr>
            <w:tcW w:w="1184" w:type="pct"/>
          </w:tcPr>
          <w:p w:rsidR="00260042" w:rsidRDefault="00260042" w:rsidP="00E0055A">
            <w:pPr>
              <w:pStyle w:val="BodyText"/>
            </w:pPr>
            <w:r>
              <w:t>30 June 2021</w:t>
            </w:r>
          </w:p>
        </w:tc>
      </w:tr>
    </w:tbl>
    <w:p w:rsidR="00260042" w:rsidRDefault="00260042" w:rsidP="002E64CE">
      <w:pPr>
        <w:pStyle w:val="Heading3"/>
      </w:pPr>
      <w:r>
        <w:t>PGPA Rule s. 17AG (4</w:t>
      </w:r>
      <w:proofErr w:type="gramStart"/>
      <w:r>
        <w:t>)</w:t>
      </w:r>
      <w:r>
        <w:rPr>
          <w:caps/>
        </w:rPr>
        <w:t>(</w:t>
      </w:r>
      <w:proofErr w:type="gramEnd"/>
      <w:r>
        <w:rPr>
          <w:caps/>
        </w:rPr>
        <w:t>aa)</w:t>
      </w:r>
      <w:r>
        <w:t xml:space="preserve"> Management of human resources </w:t>
      </w:r>
    </w:p>
    <w:p w:rsidR="00260042" w:rsidRPr="00EA5510" w:rsidRDefault="00511254" w:rsidP="00EA5510">
      <w:pPr>
        <w:pStyle w:val="BodyText"/>
        <w:rPr>
          <w:b/>
        </w:rPr>
      </w:pPr>
      <w:r>
        <w:rPr>
          <w:rStyle w:val="Bold"/>
          <w:bCs w:val="0"/>
        </w:rPr>
        <w:t>Table 5</w:t>
      </w:r>
      <w:r>
        <w:rPr>
          <w:rStyle w:val="Bold"/>
          <w:bCs w:val="0"/>
        </w:rPr>
        <w:t>5</w:t>
      </w:r>
      <w:r w:rsidR="00260042" w:rsidRPr="00EA5510">
        <w:rPr>
          <w:b/>
        </w:rPr>
        <w:t xml:space="preserve"> </w:t>
      </w:r>
      <w:proofErr w:type="gramStart"/>
      <w:r w:rsidR="00260042" w:rsidRPr="00EA5510">
        <w:rPr>
          <w:b/>
        </w:rPr>
        <w:t>All</w:t>
      </w:r>
      <w:proofErr w:type="gramEnd"/>
      <w:r w:rsidR="00260042" w:rsidRPr="00EA5510">
        <w:rPr>
          <w:b/>
        </w:rPr>
        <w:t xml:space="preserve"> ongoing employees 2020–21</w:t>
      </w:r>
    </w:p>
    <w:tbl>
      <w:tblPr>
        <w:tblStyle w:val="TableGrid"/>
        <w:tblW w:w="5000" w:type="pct"/>
        <w:tblLook w:val="0000" w:firstRow="0" w:lastRow="0" w:firstColumn="0" w:lastColumn="0" w:noHBand="0" w:noVBand="0"/>
        <w:tblCaption w:val="All ongoing employees 2020–21"/>
      </w:tblPr>
      <w:tblGrid>
        <w:gridCol w:w="1119"/>
        <w:gridCol w:w="943"/>
        <w:gridCol w:w="943"/>
        <w:gridCol w:w="945"/>
        <w:gridCol w:w="943"/>
        <w:gridCol w:w="943"/>
        <w:gridCol w:w="945"/>
        <w:gridCol w:w="945"/>
        <w:gridCol w:w="943"/>
        <w:gridCol w:w="1178"/>
        <w:gridCol w:w="943"/>
      </w:tblGrid>
      <w:tr w:rsidR="00260042" w:rsidRPr="00E0055A" w:rsidTr="00511254">
        <w:trPr>
          <w:trHeight w:val="60"/>
          <w:tblHeader/>
        </w:trPr>
        <w:tc>
          <w:tcPr>
            <w:tcW w:w="518" w:type="pct"/>
          </w:tcPr>
          <w:p w:rsidR="00260042" w:rsidRPr="00E0055A" w:rsidRDefault="00260042" w:rsidP="00E0055A">
            <w:pPr>
              <w:pStyle w:val="BodyText"/>
              <w:rPr>
                <w:b/>
                <w:sz w:val="20"/>
                <w:szCs w:val="20"/>
              </w:rPr>
            </w:pPr>
          </w:p>
        </w:tc>
        <w:tc>
          <w:tcPr>
            <w:tcW w:w="1312" w:type="pct"/>
            <w:gridSpan w:val="3"/>
          </w:tcPr>
          <w:p w:rsidR="00260042" w:rsidRPr="00E0055A" w:rsidRDefault="00260042" w:rsidP="00E0055A">
            <w:pPr>
              <w:pStyle w:val="BodyText"/>
              <w:jc w:val="center"/>
              <w:rPr>
                <w:b/>
                <w:sz w:val="20"/>
                <w:szCs w:val="20"/>
              </w:rPr>
            </w:pPr>
            <w:r w:rsidRPr="00E0055A">
              <w:rPr>
                <w:b/>
                <w:sz w:val="20"/>
                <w:szCs w:val="20"/>
              </w:rPr>
              <w:t>Male</w:t>
            </w:r>
          </w:p>
        </w:tc>
        <w:tc>
          <w:tcPr>
            <w:tcW w:w="1312" w:type="pct"/>
            <w:gridSpan w:val="3"/>
          </w:tcPr>
          <w:p w:rsidR="00260042" w:rsidRPr="00E0055A" w:rsidRDefault="00260042" w:rsidP="00E0055A">
            <w:pPr>
              <w:pStyle w:val="BodyText"/>
              <w:jc w:val="center"/>
              <w:rPr>
                <w:b/>
                <w:sz w:val="20"/>
                <w:szCs w:val="20"/>
              </w:rPr>
            </w:pPr>
            <w:r w:rsidRPr="00E0055A">
              <w:rPr>
                <w:b/>
                <w:sz w:val="20"/>
                <w:szCs w:val="20"/>
              </w:rPr>
              <w:t>Female</w:t>
            </w:r>
          </w:p>
        </w:tc>
        <w:tc>
          <w:tcPr>
            <w:tcW w:w="1421" w:type="pct"/>
            <w:gridSpan w:val="3"/>
          </w:tcPr>
          <w:p w:rsidR="00260042" w:rsidRPr="00E0055A" w:rsidRDefault="00260042" w:rsidP="00E0055A">
            <w:pPr>
              <w:pStyle w:val="BodyText"/>
              <w:jc w:val="center"/>
              <w:rPr>
                <w:b/>
                <w:sz w:val="20"/>
                <w:szCs w:val="20"/>
              </w:rPr>
            </w:pPr>
            <w:r w:rsidRPr="00E0055A">
              <w:rPr>
                <w:b/>
                <w:sz w:val="20"/>
                <w:szCs w:val="20"/>
              </w:rPr>
              <w:t>Non-binary</w:t>
            </w:r>
          </w:p>
        </w:tc>
        <w:tc>
          <w:tcPr>
            <w:tcW w:w="438" w:type="pct"/>
          </w:tcPr>
          <w:p w:rsidR="00260042" w:rsidRPr="00E0055A" w:rsidRDefault="00260042" w:rsidP="00E0055A">
            <w:pPr>
              <w:pStyle w:val="BodyText"/>
              <w:jc w:val="right"/>
              <w:rPr>
                <w:b/>
                <w:sz w:val="20"/>
                <w:szCs w:val="20"/>
              </w:rPr>
            </w:pPr>
          </w:p>
        </w:tc>
      </w:tr>
      <w:tr w:rsidR="00260042" w:rsidRPr="00E0055A" w:rsidTr="00511254">
        <w:trPr>
          <w:trHeight w:val="60"/>
          <w:tblHeader/>
        </w:trPr>
        <w:tc>
          <w:tcPr>
            <w:tcW w:w="518" w:type="pct"/>
          </w:tcPr>
          <w:p w:rsidR="00260042" w:rsidRPr="00E0055A" w:rsidRDefault="00260042" w:rsidP="00E0055A">
            <w:pPr>
              <w:pStyle w:val="BodyText"/>
              <w:rPr>
                <w:b/>
                <w:sz w:val="20"/>
                <w:szCs w:val="20"/>
              </w:rPr>
            </w:pPr>
          </w:p>
        </w:tc>
        <w:tc>
          <w:tcPr>
            <w:tcW w:w="437" w:type="pct"/>
          </w:tcPr>
          <w:p w:rsidR="00260042" w:rsidRPr="00E0055A" w:rsidRDefault="00260042" w:rsidP="00E0055A">
            <w:pPr>
              <w:pStyle w:val="BodyText"/>
              <w:jc w:val="right"/>
              <w:rPr>
                <w:b/>
                <w:sz w:val="20"/>
                <w:szCs w:val="20"/>
              </w:rPr>
            </w:pPr>
            <w:r w:rsidRPr="00E0055A">
              <w:rPr>
                <w:rStyle w:val="Bold"/>
                <w:sz w:val="20"/>
                <w:szCs w:val="20"/>
              </w:rPr>
              <w:t>Full-time</w:t>
            </w:r>
          </w:p>
        </w:tc>
        <w:tc>
          <w:tcPr>
            <w:tcW w:w="437" w:type="pct"/>
          </w:tcPr>
          <w:p w:rsidR="00260042" w:rsidRPr="00E0055A" w:rsidRDefault="00260042" w:rsidP="00E0055A">
            <w:pPr>
              <w:pStyle w:val="BodyText"/>
              <w:jc w:val="right"/>
              <w:rPr>
                <w:b/>
                <w:sz w:val="20"/>
                <w:szCs w:val="20"/>
              </w:rPr>
            </w:pPr>
            <w:r w:rsidRPr="00E0055A">
              <w:rPr>
                <w:rStyle w:val="Bold"/>
                <w:sz w:val="20"/>
                <w:szCs w:val="20"/>
              </w:rPr>
              <w:t>Part-time</w:t>
            </w:r>
          </w:p>
        </w:tc>
        <w:tc>
          <w:tcPr>
            <w:tcW w:w="438" w:type="pct"/>
          </w:tcPr>
          <w:p w:rsidR="00260042" w:rsidRPr="00E0055A" w:rsidRDefault="00260042" w:rsidP="00E0055A">
            <w:pPr>
              <w:pStyle w:val="BodyText"/>
              <w:jc w:val="right"/>
              <w:rPr>
                <w:b/>
                <w:sz w:val="20"/>
                <w:szCs w:val="20"/>
              </w:rPr>
            </w:pPr>
            <w:r w:rsidRPr="00E0055A">
              <w:rPr>
                <w:rStyle w:val="Bold"/>
                <w:sz w:val="20"/>
                <w:szCs w:val="20"/>
              </w:rPr>
              <w:t>Total Male</w:t>
            </w:r>
          </w:p>
        </w:tc>
        <w:tc>
          <w:tcPr>
            <w:tcW w:w="437" w:type="pct"/>
          </w:tcPr>
          <w:p w:rsidR="00260042" w:rsidRPr="00E0055A" w:rsidRDefault="00260042" w:rsidP="00E0055A">
            <w:pPr>
              <w:pStyle w:val="BodyText"/>
              <w:jc w:val="right"/>
              <w:rPr>
                <w:b/>
                <w:sz w:val="20"/>
                <w:szCs w:val="20"/>
              </w:rPr>
            </w:pPr>
            <w:r w:rsidRPr="00E0055A">
              <w:rPr>
                <w:rStyle w:val="Bold"/>
                <w:sz w:val="20"/>
                <w:szCs w:val="20"/>
              </w:rPr>
              <w:t>Full-time</w:t>
            </w:r>
          </w:p>
        </w:tc>
        <w:tc>
          <w:tcPr>
            <w:tcW w:w="437" w:type="pct"/>
          </w:tcPr>
          <w:p w:rsidR="00260042" w:rsidRPr="00E0055A" w:rsidRDefault="00260042" w:rsidP="00E0055A">
            <w:pPr>
              <w:pStyle w:val="BodyText"/>
              <w:jc w:val="right"/>
              <w:rPr>
                <w:b/>
                <w:sz w:val="20"/>
                <w:szCs w:val="20"/>
              </w:rPr>
            </w:pPr>
            <w:r w:rsidRPr="00E0055A">
              <w:rPr>
                <w:rStyle w:val="Bold"/>
                <w:sz w:val="20"/>
                <w:szCs w:val="20"/>
              </w:rPr>
              <w:t>Part-time</w:t>
            </w:r>
          </w:p>
        </w:tc>
        <w:tc>
          <w:tcPr>
            <w:tcW w:w="438" w:type="pct"/>
          </w:tcPr>
          <w:p w:rsidR="00260042" w:rsidRPr="00E0055A" w:rsidRDefault="00260042" w:rsidP="00E0055A">
            <w:pPr>
              <w:pStyle w:val="BodyText"/>
              <w:jc w:val="right"/>
              <w:rPr>
                <w:b/>
                <w:sz w:val="20"/>
                <w:szCs w:val="20"/>
              </w:rPr>
            </w:pPr>
            <w:r w:rsidRPr="00E0055A">
              <w:rPr>
                <w:rStyle w:val="Bold"/>
                <w:sz w:val="20"/>
                <w:szCs w:val="20"/>
              </w:rPr>
              <w:t>Total Female</w:t>
            </w:r>
          </w:p>
        </w:tc>
        <w:tc>
          <w:tcPr>
            <w:tcW w:w="438" w:type="pct"/>
          </w:tcPr>
          <w:p w:rsidR="00260042" w:rsidRPr="00E0055A" w:rsidRDefault="00260042" w:rsidP="00E0055A">
            <w:pPr>
              <w:pStyle w:val="BodyText"/>
              <w:jc w:val="right"/>
              <w:rPr>
                <w:b/>
                <w:sz w:val="20"/>
                <w:szCs w:val="20"/>
              </w:rPr>
            </w:pPr>
            <w:r w:rsidRPr="00E0055A">
              <w:rPr>
                <w:rStyle w:val="Bold"/>
                <w:sz w:val="20"/>
                <w:szCs w:val="20"/>
              </w:rPr>
              <w:t>Full-time</w:t>
            </w:r>
          </w:p>
        </w:tc>
        <w:tc>
          <w:tcPr>
            <w:tcW w:w="437" w:type="pct"/>
          </w:tcPr>
          <w:p w:rsidR="00260042" w:rsidRPr="00E0055A" w:rsidRDefault="00260042" w:rsidP="00E0055A">
            <w:pPr>
              <w:pStyle w:val="BodyText"/>
              <w:jc w:val="right"/>
              <w:rPr>
                <w:b/>
                <w:sz w:val="20"/>
                <w:szCs w:val="20"/>
              </w:rPr>
            </w:pPr>
            <w:r w:rsidRPr="00E0055A">
              <w:rPr>
                <w:rStyle w:val="Bold"/>
                <w:sz w:val="20"/>
                <w:szCs w:val="20"/>
              </w:rPr>
              <w:t>Part-time</w:t>
            </w:r>
          </w:p>
        </w:tc>
        <w:tc>
          <w:tcPr>
            <w:tcW w:w="546" w:type="pct"/>
          </w:tcPr>
          <w:p w:rsidR="00260042" w:rsidRPr="00E0055A" w:rsidRDefault="00260042" w:rsidP="00E0055A">
            <w:pPr>
              <w:pStyle w:val="BodyText"/>
              <w:jc w:val="right"/>
              <w:rPr>
                <w:b/>
                <w:sz w:val="20"/>
                <w:szCs w:val="20"/>
              </w:rPr>
            </w:pPr>
            <w:r w:rsidRPr="00E0055A">
              <w:rPr>
                <w:rStyle w:val="Bold"/>
                <w:sz w:val="20"/>
                <w:szCs w:val="20"/>
              </w:rPr>
              <w:t xml:space="preserve">Total </w:t>
            </w:r>
            <w:r w:rsidRPr="00E0055A">
              <w:rPr>
                <w:rStyle w:val="Bold"/>
                <w:spacing w:val="-4"/>
                <w:sz w:val="20"/>
                <w:szCs w:val="20"/>
              </w:rPr>
              <w:t>Non-binary</w:t>
            </w:r>
          </w:p>
        </w:tc>
        <w:tc>
          <w:tcPr>
            <w:tcW w:w="438" w:type="pct"/>
          </w:tcPr>
          <w:p w:rsidR="00260042" w:rsidRPr="00E0055A" w:rsidRDefault="00260042" w:rsidP="00E0055A">
            <w:pPr>
              <w:pStyle w:val="BodyText"/>
              <w:jc w:val="right"/>
              <w:rPr>
                <w:b/>
                <w:sz w:val="20"/>
                <w:szCs w:val="20"/>
              </w:rPr>
            </w:pPr>
            <w:r w:rsidRPr="00E0055A">
              <w:rPr>
                <w:rStyle w:val="Bold"/>
                <w:sz w:val="20"/>
                <w:szCs w:val="20"/>
              </w:rPr>
              <w:t>Total</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NSW</w:t>
            </w:r>
          </w:p>
        </w:tc>
        <w:tc>
          <w:tcPr>
            <w:tcW w:w="437" w:type="pct"/>
          </w:tcPr>
          <w:p w:rsidR="00260042" w:rsidRPr="00E0055A" w:rsidRDefault="00260042" w:rsidP="00E0055A">
            <w:pPr>
              <w:pStyle w:val="BodyText"/>
              <w:jc w:val="right"/>
              <w:rPr>
                <w:sz w:val="20"/>
                <w:szCs w:val="20"/>
              </w:rPr>
            </w:pPr>
            <w:r w:rsidRPr="00E0055A">
              <w:rPr>
                <w:sz w:val="20"/>
                <w:szCs w:val="20"/>
              </w:rPr>
              <w:t>1,312</w:t>
            </w:r>
          </w:p>
        </w:tc>
        <w:tc>
          <w:tcPr>
            <w:tcW w:w="437" w:type="pct"/>
          </w:tcPr>
          <w:p w:rsidR="00260042" w:rsidRPr="00E0055A" w:rsidRDefault="00260042" w:rsidP="00E0055A">
            <w:pPr>
              <w:pStyle w:val="BodyText"/>
              <w:jc w:val="right"/>
              <w:rPr>
                <w:sz w:val="20"/>
                <w:szCs w:val="20"/>
              </w:rPr>
            </w:pPr>
            <w:r w:rsidRPr="00E0055A">
              <w:rPr>
                <w:sz w:val="20"/>
                <w:szCs w:val="20"/>
              </w:rPr>
              <w:t>194</w:t>
            </w:r>
          </w:p>
        </w:tc>
        <w:tc>
          <w:tcPr>
            <w:tcW w:w="438" w:type="pct"/>
          </w:tcPr>
          <w:p w:rsidR="00260042" w:rsidRPr="00E0055A" w:rsidRDefault="00260042" w:rsidP="00E0055A">
            <w:pPr>
              <w:pStyle w:val="BodyText"/>
              <w:jc w:val="right"/>
              <w:rPr>
                <w:sz w:val="20"/>
                <w:szCs w:val="20"/>
              </w:rPr>
            </w:pPr>
            <w:r w:rsidRPr="00E0055A">
              <w:rPr>
                <w:sz w:val="20"/>
                <w:szCs w:val="20"/>
              </w:rPr>
              <w:t>1,506</w:t>
            </w:r>
          </w:p>
        </w:tc>
        <w:tc>
          <w:tcPr>
            <w:tcW w:w="437" w:type="pct"/>
          </w:tcPr>
          <w:p w:rsidR="00260042" w:rsidRPr="00E0055A" w:rsidRDefault="00260042" w:rsidP="00E0055A">
            <w:pPr>
              <w:pStyle w:val="BodyText"/>
              <w:jc w:val="right"/>
              <w:rPr>
                <w:sz w:val="20"/>
                <w:szCs w:val="20"/>
              </w:rPr>
            </w:pPr>
            <w:r w:rsidRPr="00E0055A">
              <w:rPr>
                <w:sz w:val="20"/>
                <w:szCs w:val="20"/>
              </w:rPr>
              <w:t>3,118</w:t>
            </w:r>
          </w:p>
        </w:tc>
        <w:tc>
          <w:tcPr>
            <w:tcW w:w="437" w:type="pct"/>
          </w:tcPr>
          <w:p w:rsidR="00260042" w:rsidRPr="00E0055A" w:rsidRDefault="00260042" w:rsidP="00E0055A">
            <w:pPr>
              <w:pStyle w:val="BodyText"/>
              <w:jc w:val="right"/>
              <w:rPr>
                <w:sz w:val="20"/>
                <w:szCs w:val="20"/>
              </w:rPr>
            </w:pPr>
            <w:r w:rsidRPr="00E0055A">
              <w:rPr>
                <w:sz w:val="20"/>
                <w:szCs w:val="20"/>
              </w:rPr>
              <w:t>2,074</w:t>
            </w:r>
          </w:p>
        </w:tc>
        <w:tc>
          <w:tcPr>
            <w:tcW w:w="438" w:type="pct"/>
          </w:tcPr>
          <w:p w:rsidR="00260042" w:rsidRPr="00E0055A" w:rsidRDefault="00260042" w:rsidP="00E0055A">
            <w:pPr>
              <w:pStyle w:val="BodyText"/>
              <w:jc w:val="right"/>
              <w:rPr>
                <w:sz w:val="20"/>
                <w:szCs w:val="20"/>
              </w:rPr>
            </w:pPr>
            <w:r w:rsidRPr="00E0055A">
              <w:rPr>
                <w:sz w:val="20"/>
                <w:szCs w:val="20"/>
              </w:rPr>
              <w:t>5,192</w:t>
            </w:r>
          </w:p>
        </w:tc>
        <w:tc>
          <w:tcPr>
            <w:tcW w:w="438" w:type="pct"/>
          </w:tcPr>
          <w:p w:rsidR="00260042" w:rsidRPr="00E0055A" w:rsidRDefault="00260042" w:rsidP="00E0055A">
            <w:pPr>
              <w:pStyle w:val="BodyText"/>
              <w:jc w:val="right"/>
              <w:rPr>
                <w:sz w:val="20"/>
                <w:szCs w:val="20"/>
              </w:rPr>
            </w:pPr>
            <w:r w:rsidRPr="00E0055A">
              <w:rPr>
                <w:sz w:val="20"/>
                <w:szCs w:val="20"/>
              </w:rPr>
              <w:t>3</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3</w:t>
            </w:r>
          </w:p>
        </w:tc>
        <w:tc>
          <w:tcPr>
            <w:tcW w:w="438" w:type="pct"/>
          </w:tcPr>
          <w:p w:rsidR="00260042" w:rsidRPr="00E0055A" w:rsidRDefault="00260042" w:rsidP="00E0055A">
            <w:pPr>
              <w:pStyle w:val="BodyText"/>
              <w:jc w:val="right"/>
              <w:rPr>
                <w:sz w:val="20"/>
                <w:szCs w:val="20"/>
              </w:rPr>
            </w:pPr>
            <w:r w:rsidRPr="00E0055A">
              <w:rPr>
                <w:rStyle w:val="01bodybold"/>
                <w:sz w:val="20"/>
                <w:szCs w:val="20"/>
              </w:rPr>
              <w:t>6,701</w:t>
            </w:r>
          </w:p>
        </w:tc>
      </w:tr>
      <w:tr w:rsidR="00260042" w:rsidRPr="00E0055A" w:rsidTr="00511254">
        <w:trPr>
          <w:trHeight w:val="305"/>
        </w:trPr>
        <w:tc>
          <w:tcPr>
            <w:tcW w:w="518" w:type="pct"/>
          </w:tcPr>
          <w:p w:rsidR="00260042" w:rsidRPr="00E0055A" w:rsidRDefault="00260042" w:rsidP="00E0055A">
            <w:pPr>
              <w:pStyle w:val="BodyText"/>
              <w:rPr>
                <w:sz w:val="20"/>
                <w:szCs w:val="20"/>
              </w:rPr>
            </w:pPr>
            <w:r w:rsidRPr="00E0055A">
              <w:rPr>
                <w:sz w:val="20"/>
                <w:szCs w:val="20"/>
              </w:rPr>
              <w:t>QLD</w:t>
            </w:r>
          </w:p>
        </w:tc>
        <w:tc>
          <w:tcPr>
            <w:tcW w:w="437" w:type="pct"/>
          </w:tcPr>
          <w:p w:rsidR="00260042" w:rsidRPr="00E0055A" w:rsidRDefault="00260042" w:rsidP="00E0055A">
            <w:pPr>
              <w:pStyle w:val="BodyText"/>
              <w:jc w:val="right"/>
              <w:rPr>
                <w:sz w:val="20"/>
                <w:szCs w:val="20"/>
              </w:rPr>
            </w:pPr>
            <w:r w:rsidRPr="00E0055A">
              <w:rPr>
                <w:sz w:val="20"/>
                <w:szCs w:val="20"/>
              </w:rPr>
              <w:t>1,326</w:t>
            </w:r>
          </w:p>
        </w:tc>
        <w:tc>
          <w:tcPr>
            <w:tcW w:w="437" w:type="pct"/>
          </w:tcPr>
          <w:p w:rsidR="00260042" w:rsidRPr="00E0055A" w:rsidRDefault="00260042" w:rsidP="00E0055A">
            <w:pPr>
              <w:pStyle w:val="BodyText"/>
              <w:jc w:val="right"/>
              <w:rPr>
                <w:sz w:val="20"/>
                <w:szCs w:val="20"/>
              </w:rPr>
            </w:pPr>
            <w:r w:rsidRPr="00E0055A">
              <w:rPr>
                <w:sz w:val="20"/>
                <w:szCs w:val="20"/>
              </w:rPr>
              <w:t>120</w:t>
            </w:r>
          </w:p>
        </w:tc>
        <w:tc>
          <w:tcPr>
            <w:tcW w:w="438" w:type="pct"/>
          </w:tcPr>
          <w:p w:rsidR="00260042" w:rsidRPr="00E0055A" w:rsidRDefault="00260042" w:rsidP="00E0055A">
            <w:pPr>
              <w:pStyle w:val="BodyText"/>
              <w:jc w:val="right"/>
              <w:rPr>
                <w:sz w:val="20"/>
                <w:szCs w:val="20"/>
              </w:rPr>
            </w:pPr>
            <w:r w:rsidRPr="00E0055A">
              <w:rPr>
                <w:sz w:val="20"/>
                <w:szCs w:val="20"/>
              </w:rPr>
              <w:t>1,446</w:t>
            </w:r>
          </w:p>
        </w:tc>
        <w:tc>
          <w:tcPr>
            <w:tcW w:w="437" w:type="pct"/>
          </w:tcPr>
          <w:p w:rsidR="00260042" w:rsidRPr="00E0055A" w:rsidRDefault="00260042" w:rsidP="00E0055A">
            <w:pPr>
              <w:pStyle w:val="BodyText"/>
              <w:jc w:val="right"/>
              <w:rPr>
                <w:sz w:val="20"/>
                <w:szCs w:val="20"/>
              </w:rPr>
            </w:pPr>
            <w:r w:rsidRPr="00E0055A">
              <w:rPr>
                <w:sz w:val="20"/>
                <w:szCs w:val="20"/>
              </w:rPr>
              <w:t>2,747</w:t>
            </w:r>
          </w:p>
        </w:tc>
        <w:tc>
          <w:tcPr>
            <w:tcW w:w="437" w:type="pct"/>
          </w:tcPr>
          <w:p w:rsidR="00260042" w:rsidRPr="00E0055A" w:rsidRDefault="00260042" w:rsidP="00E0055A">
            <w:pPr>
              <w:pStyle w:val="BodyText"/>
              <w:jc w:val="right"/>
              <w:rPr>
                <w:sz w:val="20"/>
                <w:szCs w:val="20"/>
              </w:rPr>
            </w:pPr>
            <w:r w:rsidRPr="00E0055A">
              <w:rPr>
                <w:sz w:val="20"/>
                <w:szCs w:val="20"/>
              </w:rPr>
              <w:t>1,277</w:t>
            </w:r>
          </w:p>
        </w:tc>
        <w:tc>
          <w:tcPr>
            <w:tcW w:w="438" w:type="pct"/>
          </w:tcPr>
          <w:p w:rsidR="00260042" w:rsidRPr="00E0055A" w:rsidRDefault="00260042" w:rsidP="00E0055A">
            <w:pPr>
              <w:pStyle w:val="BodyText"/>
              <w:jc w:val="right"/>
              <w:rPr>
                <w:sz w:val="20"/>
                <w:szCs w:val="20"/>
              </w:rPr>
            </w:pPr>
            <w:r w:rsidRPr="00E0055A">
              <w:rPr>
                <w:sz w:val="20"/>
                <w:szCs w:val="20"/>
              </w:rPr>
              <w:t>4,024</w:t>
            </w:r>
          </w:p>
        </w:tc>
        <w:tc>
          <w:tcPr>
            <w:tcW w:w="438" w:type="pct"/>
          </w:tcPr>
          <w:p w:rsidR="00260042" w:rsidRPr="00E0055A" w:rsidRDefault="00260042" w:rsidP="00E0055A">
            <w:pPr>
              <w:pStyle w:val="BodyText"/>
              <w:jc w:val="right"/>
              <w:rPr>
                <w:sz w:val="20"/>
                <w:szCs w:val="20"/>
              </w:rPr>
            </w:pPr>
            <w:r w:rsidRPr="00E0055A">
              <w:rPr>
                <w:sz w:val="20"/>
                <w:szCs w:val="20"/>
              </w:rPr>
              <w:t>6</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6</w:t>
            </w:r>
          </w:p>
        </w:tc>
        <w:tc>
          <w:tcPr>
            <w:tcW w:w="438" w:type="pct"/>
          </w:tcPr>
          <w:p w:rsidR="00260042" w:rsidRPr="00E0055A" w:rsidRDefault="00260042" w:rsidP="00E0055A">
            <w:pPr>
              <w:pStyle w:val="BodyText"/>
              <w:jc w:val="right"/>
              <w:rPr>
                <w:sz w:val="20"/>
                <w:szCs w:val="20"/>
              </w:rPr>
            </w:pPr>
            <w:r w:rsidRPr="00E0055A">
              <w:rPr>
                <w:rStyle w:val="01bodybold"/>
                <w:sz w:val="20"/>
                <w:szCs w:val="20"/>
              </w:rPr>
              <w:t>5,476</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SA</w:t>
            </w:r>
          </w:p>
        </w:tc>
        <w:tc>
          <w:tcPr>
            <w:tcW w:w="437" w:type="pct"/>
          </w:tcPr>
          <w:p w:rsidR="00260042" w:rsidRPr="00E0055A" w:rsidRDefault="00260042" w:rsidP="00E0055A">
            <w:pPr>
              <w:pStyle w:val="BodyText"/>
              <w:jc w:val="right"/>
              <w:rPr>
                <w:sz w:val="20"/>
                <w:szCs w:val="20"/>
              </w:rPr>
            </w:pPr>
            <w:r w:rsidRPr="00E0055A">
              <w:rPr>
                <w:sz w:val="20"/>
                <w:szCs w:val="20"/>
              </w:rPr>
              <w:t>691</w:t>
            </w:r>
          </w:p>
        </w:tc>
        <w:tc>
          <w:tcPr>
            <w:tcW w:w="437" w:type="pct"/>
          </w:tcPr>
          <w:p w:rsidR="00260042" w:rsidRPr="00E0055A" w:rsidRDefault="00260042" w:rsidP="00E0055A">
            <w:pPr>
              <w:pStyle w:val="BodyText"/>
              <w:jc w:val="right"/>
              <w:rPr>
                <w:sz w:val="20"/>
                <w:szCs w:val="20"/>
              </w:rPr>
            </w:pPr>
            <w:r w:rsidRPr="00E0055A">
              <w:rPr>
                <w:sz w:val="20"/>
                <w:szCs w:val="20"/>
              </w:rPr>
              <w:t>89</w:t>
            </w:r>
          </w:p>
        </w:tc>
        <w:tc>
          <w:tcPr>
            <w:tcW w:w="438" w:type="pct"/>
          </w:tcPr>
          <w:p w:rsidR="00260042" w:rsidRPr="00E0055A" w:rsidRDefault="00260042" w:rsidP="00E0055A">
            <w:pPr>
              <w:pStyle w:val="BodyText"/>
              <w:jc w:val="right"/>
              <w:rPr>
                <w:sz w:val="20"/>
                <w:szCs w:val="20"/>
              </w:rPr>
            </w:pPr>
            <w:r w:rsidRPr="00E0055A">
              <w:rPr>
                <w:sz w:val="20"/>
                <w:szCs w:val="20"/>
              </w:rPr>
              <w:t>780</w:t>
            </w:r>
          </w:p>
        </w:tc>
        <w:tc>
          <w:tcPr>
            <w:tcW w:w="437" w:type="pct"/>
          </w:tcPr>
          <w:p w:rsidR="00260042" w:rsidRPr="00E0055A" w:rsidRDefault="00260042" w:rsidP="00E0055A">
            <w:pPr>
              <w:pStyle w:val="BodyText"/>
              <w:jc w:val="right"/>
              <w:rPr>
                <w:sz w:val="20"/>
                <w:szCs w:val="20"/>
              </w:rPr>
            </w:pPr>
            <w:r w:rsidRPr="00E0055A">
              <w:rPr>
                <w:sz w:val="20"/>
                <w:szCs w:val="20"/>
              </w:rPr>
              <w:t>900</w:t>
            </w:r>
          </w:p>
        </w:tc>
        <w:tc>
          <w:tcPr>
            <w:tcW w:w="437" w:type="pct"/>
          </w:tcPr>
          <w:p w:rsidR="00260042" w:rsidRPr="00E0055A" w:rsidRDefault="00260042" w:rsidP="00E0055A">
            <w:pPr>
              <w:pStyle w:val="BodyText"/>
              <w:jc w:val="right"/>
              <w:rPr>
                <w:sz w:val="20"/>
                <w:szCs w:val="20"/>
              </w:rPr>
            </w:pPr>
            <w:r w:rsidRPr="00E0055A">
              <w:rPr>
                <w:sz w:val="20"/>
                <w:szCs w:val="20"/>
              </w:rPr>
              <w:t>552</w:t>
            </w:r>
          </w:p>
        </w:tc>
        <w:tc>
          <w:tcPr>
            <w:tcW w:w="438" w:type="pct"/>
          </w:tcPr>
          <w:p w:rsidR="00260042" w:rsidRPr="00E0055A" w:rsidRDefault="00260042" w:rsidP="00E0055A">
            <w:pPr>
              <w:pStyle w:val="BodyText"/>
              <w:jc w:val="right"/>
              <w:rPr>
                <w:sz w:val="20"/>
                <w:szCs w:val="20"/>
              </w:rPr>
            </w:pPr>
            <w:r w:rsidRPr="00E0055A">
              <w:rPr>
                <w:sz w:val="20"/>
                <w:szCs w:val="20"/>
              </w:rPr>
              <w:t>1,452</w:t>
            </w:r>
          </w:p>
        </w:tc>
        <w:tc>
          <w:tcPr>
            <w:tcW w:w="438" w:type="pct"/>
          </w:tcPr>
          <w:p w:rsidR="00260042" w:rsidRPr="00E0055A" w:rsidRDefault="00260042" w:rsidP="00E0055A">
            <w:pPr>
              <w:pStyle w:val="BodyText"/>
              <w:jc w:val="right"/>
              <w:rPr>
                <w:sz w:val="20"/>
                <w:szCs w:val="20"/>
              </w:rPr>
            </w:pPr>
            <w:r w:rsidRPr="00E0055A">
              <w:rPr>
                <w:sz w:val="20"/>
                <w:szCs w:val="20"/>
              </w:rPr>
              <w:t>1</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1</w:t>
            </w:r>
          </w:p>
        </w:tc>
        <w:tc>
          <w:tcPr>
            <w:tcW w:w="438" w:type="pct"/>
          </w:tcPr>
          <w:p w:rsidR="00260042" w:rsidRPr="00E0055A" w:rsidRDefault="00260042" w:rsidP="00E0055A">
            <w:pPr>
              <w:pStyle w:val="BodyText"/>
              <w:jc w:val="right"/>
              <w:rPr>
                <w:sz w:val="20"/>
                <w:szCs w:val="20"/>
              </w:rPr>
            </w:pPr>
            <w:r w:rsidRPr="00E0055A">
              <w:rPr>
                <w:rStyle w:val="01bodybold"/>
                <w:sz w:val="20"/>
                <w:szCs w:val="20"/>
              </w:rPr>
              <w:t>2,233</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TAS</w:t>
            </w:r>
          </w:p>
        </w:tc>
        <w:tc>
          <w:tcPr>
            <w:tcW w:w="437" w:type="pct"/>
          </w:tcPr>
          <w:p w:rsidR="00260042" w:rsidRPr="00E0055A" w:rsidRDefault="00260042" w:rsidP="00E0055A">
            <w:pPr>
              <w:pStyle w:val="BodyText"/>
              <w:jc w:val="right"/>
              <w:rPr>
                <w:sz w:val="20"/>
                <w:szCs w:val="20"/>
              </w:rPr>
            </w:pPr>
            <w:r w:rsidRPr="00E0055A">
              <w:rPr>
                <w:sz w:val="20"/>
                <w:szCs w:val="20"/>
              </w:rPr>
              <w:t>373</w:t>
            </w:r>
          </w:p>
        </w:tc>
        <w:tc>
          <w:tcPr>
            <w:tcW w:w="437" w:type="pct"/>
          </w:tcPr>
          <w:p w:rsidR="00260042" w:rsidRPr="00E0055A" w:rsidRDefault="00260042" w:rsidP="00E0055A">
            <w:pPr>
              <w:pStyle w:val="BodyText"/>
              <w:jc w:val="right"/>
              <w:rPr>
                <w:sz w:val="20"/>
                <w:szCs w:val="20"/>
              </w:rPr>
            </w:pPr>
            <w:r w:rsidRPr="00E0055A">
              <w:rPr>
                <w:sz w:val="20"/>
                <w:szCs w:val="20"/>
              </w:rPr>
              <w:t>67</w:t>
            </w:r>
          </w:p>
        </w:tc>
        <w:tc>
          <w:tcPr>
            <w:tcW w:w="438" w:type="pct"/>
          </w:tcPr>
          <w:p w:rsidR="00260042" w:rsidRPr="00E0055A" w:rsidRDefault="00260042" w:rsidP="00E0055A">
            <w:pPr>
              <w:pStyle w:val="BodyText"/>
              <w:jc w:val="right"/>
              <w:rPr>
                <w:sz w:val="20"/>
                <w:szCs w:val="20"/>
              </w:rPr>
            </w:pPr>
            <w:r w:rsidRPr="00E0055A">
              <w:rPr>
                <w:sz w:val="20"/>
                <w:szCs w:val="20"/>
              </w:rPr>
              <w:t>440</w:t>
            </w:r>
          </w:p>
        </w:tc>
        <w:tc>
          <w:tcPr>
            <w:tcW w:w="437" w:type="pct"/>
          </w:tcPr>
          <w:p w:rsidR="00260042" w:rsidRPr="00E0055A" w:rsidRDefault="00260042" w:rsidP="00E0055A">
            <w:pPr>
              <w:pStyle w:val="BodyText"/>
              <w:jc w:val="right"/>
              <w:rPr>
                <w:sz w:val="20"/>
                <w:szCs w:val="20"/>
              </w:rPr>
            </w:pPr>
            <w:r w:rsidRPr="00E0055A">
              <w:rPr>
                <w:sz w:val="20"/>
                <w:szCs w:val="20"/>
              </w:rPr>
              <w:t>552</w:t>
            </w:r>
          </w:p>
        </w:tc>
        <w:tc>
          <w:tcPr>
            <w:tcW w:w="437" w:type="pct"/>
          </w:tcPr>
          <w:p w:rsidR="00260042" w:rsidRPr="00E0055A" w:rsidRDefault="00260042" w:rsidP="00E0055A">
            <w:pPr>
              <w:pStyle w:val="BodyText"/>
              <w:jc w:val="right"/>
              <w:rPr>
                <w:sz w:val="20"/>
                <w:szCs w:val="20"/>
              </w:rPr>
            </w:pPr>
            <w:r w:rsidRPr="00E0055A">
              <w:rPr>
                <w:sz w:val="20"/>
                <w:szCs w:val="20"/>
              </w:rPr>
              <w:t>483</w:t>
            </w:r>
          </w:p>
        </w:tc>
        <w:tc>
          <w:tcPr>
            <w:tcW w:w="438" w:type="pct"/>
          </w:tcPr>
          <w:p w:rsidR="00260042" w:rsidRPr="00E0055A" w:rsidRDefault="00260042" w:rsidP="00E0055A">
            <w:pPr>
              <w:pStyle w:val="BodyText"/>
              <w:jc w:val="right"/>
              <w:rPr>
                <w:sz w:val="20"/>
                <w:szCs w:val="20"/>
              </w:rPr>
            </w:pPr>
            <w:r w:rsidRPr="00E0055A">
              <w:rPr>
                <w:sz w:val="20"/>
                <w:szCs w:val="20"/>
              </w:rPr>
              <w:t>1,035</w:t>
            </w:r>
          </w:p>
        </w:tc>
        <w:tc>
          <w:tcPr>
            <w:tcW w:w="438" w:type="pct"/>
          </w:tcPr>
          <w:p w:rsidR="00260042" w:rsidRPr="00E0055A" w:rsidRDefault="00260042" w:rsidP="00E0055A">
            <w:pPr>
              <w:pStyle w:val="BodyText"/>
              <w:jc w:val="right"/>
              <w:rPr>
                <w:sz w:val="20"/>
                <w:szCs w:val="20"/>
              </w:rPr>
            </w:pPr>
            <w:r w:rsidRPr="00E0055A">
              <w:rPr>
                <w:sz w:val="20"/>
                <w:szCs w:val="20"/>
              </w:rPr>
              <w:t>3</w:t>
            </w:r>
          </w:p>
        </w:tc>
        <w:tc>
          <w:tcPr>
            <w:tcW w:w="437" w:type="pct"/>
          </w:tcPr>
          <w:p w:rsidR="00260042" w:rsidRPr="00E0055A" w:rsidRDefault="00260042" w:rsidP="00E0055A">
            <w:pPr>
              <w:pStyle w:val="BodyText"/>
              <w:jc w:val="right"/>
              <w:rPr>
                <w:sz w:val="20"/>
                <w:szCs w:val="20"/>
              </w:rPr>
            </w:pPr>
            <w:r w:rsidRPr="00E0055A">
              <w:rPr>
                <w:sz w:val="20"/>
                <w:szCs w:val="20"/>
              </w:rPr>
              <w:t>1</w:t>
            </w:r>
          </w:p>
        </w:tc>
        <w:tc>
          <w:tcPr>
            <w:tcW w:w="546" w:type="pct"/>
          </w:tcPr>
          <w:p w:rsidR="00260042" w:rsidRPr="00E0055A" w:rsidRDefault="00260042" w:rsidP="00E0055A">
            <w:pPr>
              <w:pStyle w:val="BodyText"/>
              <w:jc w:val="right"/>
              <w:rPr>
                <w:sz w:val="20"/>
                <w:szCs w:val="20"/>
              </w:rPr>
            </w:pPr>
            <w:r w:rsidRPr="00E0055A">
              <w:rPr>
                <w:sz w:val="20"/>
                <w:szCs w:val="20"/>
              </w:rPr>
              <w:t>4</w:t>
            </w:r>
          </w:p>
        </w:tc>
        <w:tc>
          <w:tcPr>
            <w:tcW w:w="438" w:type="pct"/>
          </w:tcPr>
          <w:p w:rsidR="00260042" w:rsidRPr="00E0055A" w:rsidRDefault="00260042" w:rsidP="00E0055A">
            <w:pPr>
              <w:pStyle w:val="BodyText"/>
              <w:jc w:val="right"/>
              <w:rPr>
                <w:sz w:val="20"/>
                <w:szCs w:val="20"/>
              </w:rPr>
            </w:pPr>
            <w:r w:rsidRPr="00E0055A">
              <w:rPr>
                <w:rStyle w:val="01bodybold"/>
                <w:sz w:val="20"/>
                <w:szCs w:val="20"/>
              </w:rPr>
              <w:t>1,479</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VIC</w:t>
            </w:r>
          </w:p>
        </w:tc>
        <w:tc>
          <w:tcPr>
            <w:tcW w:w="437" w:type="pct"/>
          </w:tcPr>
          <w:p w:rsidR="00260042" w:rsidRPr="00E0055A" w:rsidRDefault="00260042" w:rsidP="00E0055A">
            <w:pPr>
              <w:pStyle w:val="BodyText"/>
              <w:jc w:val="right"/>
              <w:rPr>
                <w:sz w:val="20"/>
                <w:szCs w:val="20"/>
              </w:rPr>
            </w:pPr>
            <w:r w:rsidRPr="00E0055A">
              <w:rPr>
                <w:sz w:val="20"/>
                <w:szCs w:val="20"/>
              </w:rPr>
              <w:t>1,263</w:t>
            </w:r>
          </w:p>
        </w:tc>
        <w:tc>
          <w:tcPr>
            <w:tcW w:w="437" w:type="pct"/>
          </w:tcPr>
          <w:p w:rsidR="00260042" w:rsidRPr="00E0055A" w:rsidRDefault="00260042" w:rsidP="00E0055A">
            <w:pPr>
              <w:pStyle w:val="BodyText"/>
              <w:jc w:val="right"/>
              <w:rPr>
                <w:sz w:val="20"/>
                <w:szCs w:val="20"/>
              </w:rPr>
            </w:pPr>
            <w:r w:rsidRPr="00E0055A">
              <w:rPr>
                <w:sz w:val="20"/>
                <w:szCs w:val="20"/>
              </w:rPr>
              <w:t>140</w:t>
            </w:r>
          </w:p>
        </w:tc>
        <w:tc>
          <w:tcPr>
            <w:tcW w:w="438" w:type="pct"/>
          </w:tcPr>
          <w:p w:rsidR="00260042" w:rsidRPr="00E0055A" w:rsidRDefault="00260042" w:rsidP="00E0055A">
            <w:pPr>
              <w:pStyle w:val="BodyText"/>
              <w:jc w:val="right"/>
              <w:rPr>
                <w:sz w:val="20"/>
                <w:szCs w:val="20"/>
              </w:rPr>
            </w:pPr>
            <w:r w:rsidRPr="00E0055A">
              <w:rPr>
                <w:sz w:val="20"/>
                <w:szCs w:val="20"/>
              </w:rPr>
              <w:t>1,403</w:t>
            </w:r>
          </w:p>
        </w:tc>
        <w:tc>
          <w:tcPr>
            <w:tcW w:w="437" w:type="pct"/>
          </w:tcPr>
          <w:p w:rsidR="00260042" w:rsidRPr="00E0055A" w:rsidRDefault="00260042" w:rsidP="00E0055A">
            <w:pPr>
              <w:pStyle w:val="BodyText"/>
              <w:jc w:val="right"/>
              <w:rPr>
                <w:sz w:val="20"/>
                <w:szCs w:val="20"/>
              </w:rPr>
            </w:pPr>
            <w:r w:rsidRPr="00E0055A">
              <w:rPr>
                <w:sz w:val="20"/>
                <w:szCs w:val="20"/>
              </w:rPr>
              <w:t>2,209</w:t>
            </w:r>
          </w:p>
        </w:tc>
        <w:tc>
          <w:tcPr>
            <w:tcW w:w="437" w:type="pct"/>
          </w:tcPr>
          <w:p w:rsidR="00260042" w:rsidRPr="00E0055A" w:rsidRDefault="00260042" w:rsidP="00E0055A">
            <w:pPr>
              <w:pStyle w:val="BodyText"/>
              <w:jc w:val="right"/>
              <w:rPr>
                <w:sz w:val="20"/>
                <w:szCs w:val="20"/>
              </w:rPr>
            </w:pPr>
            <w:r w:rsidRPr="00E0055A">
              <w:rPr>
                <w:sz w:val="20"/>
                <w:szCs w:val="20"/>
              </w:rPr>
              <w:t>1,408</w:t>
            </w:r>
          </w:p>
        </w:tc>
        <w:tc>
          <w:tcPr>
            <w:tcW w:w="438" w:type="pct"/>
          </w:tcPr>
          <w:p w:rsidR="00260042" w:rsidRPr="00E0055A" w:rsidRDefault="00260042" w:rsidP="00E0055A">
            <w:pPr>
              <w:pStyle w:val="BodyText"/>
              <w:jc w:val="right"/>
              <w:rPr>
                <w:sz w:val="20"/>
                <w:szCs w:val="20"/>
              </w:rPr>
            </w:pPr>
            <w:r w:rsidRPr="00E0055A">
              <w:rPr>
                <w:sz w:val="20"/>
                <w:szCs w:val="20"/>
              </w:rPr>
              <w:t>3,617</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rStyle w:val="01bodybold"/>
                <w:sz w:val="20"/>
                <w:szCs w:val="20"/>
              </w:rPr>
              <w:t>5,020</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WA</w:t>
            </w:r>
          </w:p>
        </w:tc>
        <w:tc>
          <w:tcPr>
            <w:tcW w:w="437" w:type="pct"/>
          </w:tcPr>
          <w:p w:rsidR="00260042" w:rsidRPr="00E0055A" w:rsidRDefault="00260042" w:rsidP="00E0055A">
            <w:pPr>
              <w:pStyle w:val="BodyText"/>
              <w:jc w:val="right"/>
              <w:rPr>
                <w:sz w:val="20"/>
                <w:szCs w:val="20"/>
              </w:rPr>
            </w:pPr>
            <w:r w:rsidRPr="00E0055A">
              <w:rPr>
                <w:sz w:val="20"/>
                <w:szCs w:val="20"/>
              </w:rPr>
              <w:t>388</w:t>
            </w:r>
          </w:p>
        </w:tc>
        <w:tc>
          <w:tcPr>
            <w:tcW w:w="437" w:type="pct"/>
          </w:tcPr>
          <w:p w:rsidR="00260042" w:rsidRPr="00E0055A" w:rsidRDefault="00260042" w:rsidP="00E0055A">
            <w:pPr>
              <w:pStyle w:val="BodyText"/>
              <w:jc w:val="right"/>
              <w:rPr>
                <w:sz w:val="20"/>
                <w:szCs w:val="20"/>
              </w:rPr>
            </w:pPr>
            <w:r w:rsidRPr="00E0055A">
              <w:rPr>
                <w:sz w:val="20"/>
                <w:szCs w:val="20"/>
              </w:rPr>
              <w:t>33</w:t>
            </w:r>
          </w:p>
        </w:tc>
        <w:tc>
          <w:tcPr>
            <w:tcW w:w="438" w:type="pct"/>
          </w:tcPr>
          <w:p w:rsidR="00260042" w:rsidRPr="00E0055A" w:rsidRDefault="00260042" w:rsidP="00E0055A">
            <w:pPr>
              <w:pStyle w:val="BodyText"/>
              <w:jc w:val="right"/>
              <w:rPr>
                <w:sz w:val="20"/>
                <w:szCs w:val="20"/>
              </w:rPr>
            </w:pPr>
            <w:r w:rsidRPr="00E0055A">
              <w:rPr>
                <w:sz w:val="20"/>
                <w:szCs w:val="20"/>
              </w:rPr>
              <w:t>421</w:t>
            </w:r>
          </w:p>
        </w:tc>
        <w:tc>
          <w:tcPr>
            <w:tcW w:w="437" w:type="pct"/>
          </w:tcPr>
          <w:p w:rsidR="00260042" w:rsidRPr="00E0055A" w:rsidRDefault="00260042" w:rsidP="00E0055A">
            <w:pPr>
              <w:pStyle w:val="BodyText"/>
              <w:jc w:val="right"/>
              <w:rPr>
                <w:sz w:val="20"/>
                <w:szCs w:val="20"/>
              </w:rPr>
            </w:pPr>
            <w:r w:rsidRPr="00E0055A">
              <w:rPr>
                <w:sz w:val="20"/>
                <w:szCs w:val="20"/>
              </w:rPr>
              <w:t>857</w:t>
            </w:r>
          </w:p>
        </w:tc>
        <w:tc>
          <w:tcPr>
            <w:tcW w:w="437" w:type="pct"/>
          </w:tcPr>
          <w:p w:rsidR="00260042" w:rsidRPr="00E0055A" w:rsidRDefault="00260042" w:rsidP="00E0055A">
            <w:pPr>
              <w:pStyle w:val="BodyText"/>
              <w:jc w:val="right"/>
              <w:rPr>
                <w:sz w:val="20"/>
                <w:szCs w:val="20"/>
              </w:rPr>
            </w:pPr>
            <w:r w:rsidRPr="00E0055A">
              <w:rPr>
                <w:sz w:val="20"/>
                <w:szCs w:val="20"/>
              </w:rPr>
              <w:t>462</w:t>
            </w:r>
          </w:p>
        </w:tc>
        <w:tc>
          <w:tcPr>
            <w:tcW w:w="438" w:type="pct"/>
          </w:tcPr>
          <w:p w:rsidR="00260042" w:rsidRPr="00E0055A" w:rsidRDefault="00260042" w:rsidP="00E0055A">
            <w:pPr>
              <w:pStyle w:val="BodyText"/>
              <w:jc w:val="right"/>
              <w:rPr>
                <w:sz w:val="20"/>
                <w:szCs w:val="20"/>
              </w:rPr>
            </w:pPr>
            <w:r w:rsidRPr="00E0055A">
              <w:rPr>
                <w:sz w:val="20"/>
                <w:szCs w:val="20"/>
              </w:rPr>
              <w:t>1,319</w:t>
            </w:r>
          </w:p>
        </w:tc>
        <w:tc>
          <w:tcPr>
            <w:tcW w:w="438" w:type="pct"/>
          </w:tcPr>
          <w:p w:rsidR="00260042" w:rsidRPr="00E0055A" w:rsidRDefault="00260042" w:rsidP="00E0055A">
            <w:pPr>
              <w:pStyle w:val="BodyText"/>
              <w:jc w:val="right"/>
              <w:rPr>
                <w:sz w:val="20"/>
                <w:szCs w:val="20"/>
              </w:rPr>
            </w:pPr>
            <w:r w:rsidRPr="00E0055A">
              <w:rPr>
                <w:sz w:val="20"/>
                <w:szCs w:val="20"/>
              </w:rPr>
              <w:t>2</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2</w:t>
            </w:r>
          </w:p>
        </w:tc>
        <w:tc>
          <w:tcPr>
            <w:tcW w:w="438" w:type="pct"/>
          </w:tcPr>
          <w:p w:rsidR="00260042" w:rsidRPr="00E0055A" w:rsidRDefault="00260042" w:rsidP="00E0055A">
            <w:pPr>
              <w:pStyle w:val="BodyText"/>
              <w:jc w:val="right"/>
              <w:rPr>
                <w:sz w:val="20"/>
                <w:szCs w:val="20"/>
              </w:rPr>
            </w:pPr>
            <w:r w:rsidRPr="00E0055A">
              <w:rPr>
                <w:rStyle w:val="01bodybold"/>
                <w:sz w:val="20"/>
                <w:szCs w:val="20"/>
              </w:rPr>
              <w:t>1,742</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ACT</w:t>
            </w:r>
          </w:p>
        </w:tc>
        <w:tc>
          <w:tcPr>
            <w:tcW w:w="437" w:type="pct"/>
          </w:tcPr>
          <w:p w:rsidR="00260042" w:rsidRPr="00E0055A" w:rsidRDefault="00260042" w:rsidP="00E0055A">
            <w:pPr>
              <w:pStyle w:val="BodyText"/>
              <w:jc w:val="right"/>
              <w:rPr>
                <w:sz w:val="20"/>
                <w:szCs w:val="20"/>
              </w:rPr>
            </w:pPr>
            <w:r w:rsidRPr="00E0055A">
              <w:rPr>
                <w:sz w:val="20"/>
                <w:szCs w:val="20"/>
              </w:rPr>
              <w:t>1,712</w:t>
            </w:r>
          </w:p>
        </w:tc>
        <w:tc>
          <w:tcPr>
            <w:tcW w:w="437" w:type="pct"/>
          </w:tcPr>
          <w:p w:rsidR="00260042" w:rsidRPr="00E0055A" w:rsidRDefault="00260042" w:rsidP="00E0055A">
            <w:pPr>
              <w:pStyle w:val="BodyText"/>
              <w:jc w:val="right"/>
              <w:rPr>
                <w:sz w:val="20"/>
                <w:szCs w:val="20"/>
              </w:rPr>
            </w:pPr>
            <w:r w:rsidRPr="00E0055A">
              <w:rPr>
                <w:sz w:val="20"/>
                <w:szCs w:val="20"/>
              </w:rPr>
              <w:t>93</w:t>
            </w:r>
          </w:p>
        </w:tc>
        <w:tc>
          <w:tcPr>
            <w:tcW w:w="438" w:type="pct"/>
          </w:tcPr>
          <w:p w:rsidR="00260042" w:rsidRPr="00E0055A" w:rsidRDefault="00260042" w:rsidP="00E0055A">
            <w:pPr>
              <w:pStyle w:val="BodyText"/>
              <w:jc w:val="right"/>
              <w:rPr>
                <w:sz w:val="20"/>
                <w:szCs w:val="20"/>
              </w:rPr>
            </w:pPr>
            <w:r w:rsidRPr="00E0055A">
              <w:rPr>
                <w:sz w:val="20"/>
                <w:szCs w:val="20"/>
              </w:rPr>
              <w:t>1,805</w:t>
            </w:r>
          </w:p>
        </w:tc>
        <w:tc>
          <w:tcPr>
            <w:tcW w:w="437" w:type="pct"/>
          </w:tcPr>
          <w:p w:rsidR="00260042" w:rsidRPr="00E0055A" w:rsidRDefault="00260042" w:rsidP="00E0055A">
            <w:pPr>
              <w:pStyle w:val="BodyText"/>
              <w:jc w:val="right"/>
              <w:rPr>
                <w:sz w:val="20"/>
                <w:szCs w:val="20"/>
              </w:rPr>
            </w:pPr>
            <w:r w:rsidRPr="00E0055A">
              <w:rPr>
                <w:sz w:val="20"/>
                <w:szCs w:val="20"/>
              </w:rPr>
              <w:t>1,735</w:t>
            </w:r>
          </w:p>
        </w:tc>
        <w:tc>
          <w:tcPr>
            <w:tcW w:w="437" w:type="pct"/>
          </w:tcPr>
          <w:p w:rsidR="00260042" w:rsidRPr="00E0055A" w:rsidRDefault="00260042" w:rsidP="00E0055A">
            <w:pPr>
              <w:pStyle w:val="BodyText"/>
              <w:jc w:val="right"/>
              <w:rPr>
                <w:sz w:val="20"/>
                <w:szCs w:val="20"/>
              </w:rPr>
            </w:pPr>
            <w:r w:rsidRPr="00E0055A">
              <w:rPr>
                <w:sz w:val="20"/>
                <w:szCs w:val="20"/>
              </w:rPr>
              <w:t>401</w:t>
            </w:r>
          </w:p>
        </w:tc>
        <w:tc>
          <w:tcPr>
            <w:tcW w:w="438" w:type="pct"/>
          </w:tcPr>
          <w:p w:rsidR="00260042" w:rsidRPr="00E0055A" w:rsidRDefault="00260042" w:rsidP="00E0055A">
            <w:pPr>
              <w:pStyle w:val="BodyText"/>
              <w:jc w:val="right"/>
              <w:rPr>
                <w:sz w:val="20"/>
                <w:szCs w:val="20"/>
              </w:rPr>
            </w:pPr>
            <w:r w:rsidRPr="00E0055A">
              <w:rPr>
                <w:sz w:val="20"/>
                <w:szCs w:val="20"/>
              </w:rPr>
              <w:t>2,136</w:t>
            </w:r>
          </w:p>
        </w:tc>
        <w:tc>
          <w:tcPr>
            <w:tcW w:w="438" w:type="pct"/>
          </w:tcPr>
          <w:p w:rsidR="00260042" w:rsidRPr="00E0055A" w:rsidRDefault="00260042" w:rsidP="00E0055A">
            <w:pPr>
              <w:pStyle w:val="BodyText"/>
              <w:jc w:val="right"/>
              <w:rPr>
                <w:sz w:val="20"/>
                <w:szCs w:val="20"/>
              </w:rPr>
            </w:pPr>
            <w:r w:rsidRPr="00E0055A">
              <w:rPr>
                <w:sz w:val="20"/>
                <w:szCs w:val="20"/>
              </w:rPr>
              <w:t>1</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1</w:t>
            </w:r>
          </w:p>
        </w:tc>
        <w:tc>
          <w:tcPr>
            <w:tcW w:w="438" w:type="pct"/>
          </w:tcPr>
          <w:p w:rsidR="00260042" w:rsidRPr="00E0055A" w:rsidRDefault="00260042" w:rsidP="00E0055A">
            <w:pPr>
              <w:pStyle w:val="BodyText"/>
              <w:jc w:val="right"/>
              <w:rPr>
                <w:sz w:val="20"/>
                <w:szCs w:val="20"/>
              </w:rPr>
            </w:pPr>
            <w:r w:rsidRPr="00E0055A">
              <w:rPr>
                <w:rStyle w:val="01bodybold"/>
                <w:sz w:val="20"/>
                <w:szCs w:val="20"/>
              </w:rPr>
              <w:t>3,942</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NT</w:t>
            </w:r>
          </w:p>
        </w:tc>
        <w:tc>
          <w:tcPr>
            <w:tcW w:w="437" w:type="pct"/>
          </w:tcPr>
          <w:p w:rsidR="00260042" w:rsidRPr="00E0055A" w:rsidRDefault="00260042" w:rsidP="00E0055A">
            <w:pPr>
              <w:pStyle w:val="BodyText"/>
              <w:jc w:val="right"/>
              <w:rPr>
                <w:sz w:val="20"/>
                <w:szCs w:val="20"/>
              </w:rPr>
            </w:pPr>
            <w:r w:rsidRPr="00E0055A">
              <w:rPr>
                <w:sz w:val="20"/>
                <w:szCs w:val="20"/>
              </w:rPr>
              <w:t>61</w:t>
            </w:r>
          </w:p>
        </w:tc>
        <w:tc>
          <w:tcPr>
            <w:tcW w:w="437" w:type="pct"/>
          </w:tcPr>
          <w:p w:rsidR="00260042" w:rsidRPr="00E0055A" w:rsidRDefault="00260042" w:rsidP="00E0055A">
            <w:pPr>
              <w:pStyle w:val="BodyText"/>
              <w:jc w:val="right"/>
              <w:rPr>
                <w:sz w:val="20"/>
                <w:szCs w:val="20"/>
              </w:rPr>
            </w:pPr>
            <w:r w:rsidRPr="00E0055A">
              <w:rPr>
                <w:sz w:val="20"/>
                <w:szCs w:val="20"/>
              </w:rPr>
              <w:t>7</w:t>
            </w:r>
          </w:p>
        </w:tc>
        <w:tc>
          <w:tcPr>
            <w:tcW w:w="438" w:type="pct"/>
          </w:tcPr>
          <w:p w:rsidR="00260042" w:rsidRPr="00E0055A" w:rsidRDefault="00260042" w:rsidP="00E0055A">
            <w:pPr>
              <w:pStyle w:val="BodyText"/>
              <w:jc w:val="right"/>
              <w:rPr>
                <w:sz w:val="20"/>
                <w:szCs w:val="20"/>
              </w:rPr>
            </w:pPr>
            <w:r w:rsidRPr="00E0055A">
              <w:rPr>
                <w:sz w:val="20"/>
                <w:szCs w:val="20"/>
              </w:rPr>
              <w:t>68</w:t>
            </w:r>
          </w:p>
        </w:tc>
        <w:tc>
          <w:tcPr>
            <w:tcW w:w="437" w:type="pct"/>
          </w:tcPr>
          <w:p w:rsidR="00260042" w:rsidRPr="00E0055A" w:rsidRDefault="00260042" w:rsidP="00E0055A">
            <w:pPr>
              <w:pStyle w:val="BodyText"/>
              <w:jc w:val="right"/>
              <w:rPr>
                <w:sz w:val="20"/>
                <w:szCs w:val="20"/>
              </w:rPr>
            </w:pPr>
            <w:r w:rsidRPr="00E0055A">
              <w:rPr>
                <w:sz w:val="20"/>
                <w:szCs w:val="20"/>
              </w:rPr>
              <w:t>206</w:t>
            </w:r>
          </w:p>
        </w:tc>
        <w:tc>
          <w:tcPr>
            <w:tcW w:w="437" w:type="pct"/>
          </w:tcPr>
          <w:p w:rsidR="00260042" w:rsidRPr="00E0055A" w:rsidRDefault="00260042" w:rsidP="00E0055A">
            <w:pPr>
              <w:pStyle w:val="BodyText"/>
              <w:jc w:val="right"/>
              <w:rPr>
                <w:sz w:val="20"/>
                <w:szCs w:val="20"/>
              </w:rPr>
            </w:pPr>
            <w:r w:rsidRPr="00E0055A">
              <w:rPr>
                <w:sz w:val="20"/>
                <w:szCs w:val="20"/>
              </w:rPr>
              <w:t>65</w:t>
            </w:r>
          </w:p>
        </w:tc>
        <w:tc>
          <w:tcPr>
            <w:tcW w:w="438" w:type="pct"/>
          </w:tcPr>
          <w:p w:rsidR="00260042" w:rsidRPr="00E0055A" w:rsidRDefault="00260042" w:rsidP="00E0055A">
            <w:pPr>
              <w:pStyle w:val="BodyText"/>
              <w:jc w:val="right"/>
              <w:rPr>
                <w:sz w:val="20"/>
                <w:szCs w:val="20"/>
              </w:rPr>
            </w:pPr>
            <w:r w:rsidRPr="00E0055A">
              <w:rPr>
                <w:sz w:val="20"/>
                <w:szCs w:val="20"/>
              </w:rPr>
              <w:t>271</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rStyle w:val="01bodybold"/>
                <w:sz w:val="20"/>
                <w:szCs w:val="20"/>
              </w:rPr>
              <w:t>339</w:t>
            </w:r>
          </w:p>
        </w:tc>
      </w:tr>
      <w:tr w:rsidR="00260042" w:rsidRPr="00E0055A" w:rsidTr="00511254">
        <w:trPr>
          <w:trHeight w:val="616"/>
        </w:trPr>
        <w:tc>
          <w:tcPr>
            <w:tcW w:w="518" w:type="pct"/>
          </w:tcPr>
          <w:p w:rsidR="00260042" w:rsidRPr="00E0055A" w:rsidRDefault="00260042" w:rsidP="00E0055A">
            <w:pPr>
              <w:pStyle w:val="BodyText"/>
              <w:rPr>
                <w:sz w:val="20"/>
                <w:szCs w:val="20"/>
              </w:rPr>
            </w:pPr>
            <w:r w:rsidRPr="00E0055A">
              <w:rPr>
                <w:sz w:val="20"/>
                <w:szCs w:val="20"/>
              </w:rPr>
              <w:t>External territories</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rStyle w:val="01bodybold"/>
                <w:sz w:val="20"/>
                <w:szCs w:val="20"/>
              </w:rPr>
              <w:t>0</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sz w:val="20"/>
                <w:szCs w:val="20"/>
              </w:rPr>
              <w:t>Overseas</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sz w:val="20"/>
                <w:szCs w:val="20"/>
              </w:rPr>
              <w:t>0</w:t>
            </w:r>
          </w:p>
        </w:tc>
        <w:tc>
          <w:tcPr>
            <w:tcW w:w="437" w:type="pct"/>
          </w:tcPr>
          <w:p w:rsidR="00260042" w:rsidRPr="00E0055A" w:rsidRDefault="00260042" w:rsidP="00E0055A">
            <w:pPr>
              <w:pStyle w:val="BodyText"/>
              <w:jc w:val="right"/>
              <w:rPr>
                <w:sz w:val="20"/>
                <w:szCs w:val="20"/>
              </w:rPr>
            </w:pPr>
            <w:r w:rsidRPr="00E0055A">
              <w:rPr>
                <w:sz w:val="20"/>
                <w:szCs w:val="20"/>
              </w:rPr>
              <w:t>0</w:t>
            </w:r>
          </w:p>
        </w:tc>
        <w:tc>
          <w:tcPr>
            <w:tcW w:w="546" w:type="pct"/>
          </w:tcPr>
          <w:p w:rsidR="00260042" w:rsidRPr="00E0055A" w:rsidRDefault="00260042" w:rsidP="00E0055A">
            <w:pPr>
              <w:pStyle w:val="BodyText"/>
              <w:jc w:val="right"/>
              <w:rPr>
                <w:sz w:val="20"/>
                <w:szCs w:val="20"/>
              </w:rPr>
            </w:pPr>
            <w:r w:rsidRPr="00E0055A">
              <w:rPr>
                <w:sz w:val="20"/>
                <w:szCs w:val="20"/>
              </w:rPr>
              <w:t>0</w:t>
            </w:r>
          </w:p>
        </w:tc>
        <w:tc>
          <w:tcPr>
            <w:tcW w:w="438" w:type="pct"/>
          </w:tcPr>
          <w:p w:rsidR="00260042" w:rsidRPr="00E0055A" w:rsidRDefault="00260042" w:rsidP="00E0055A">
            <w:pPr>
              <w:pStyle w:val="BodyText"/>
              <w:jc w:val="right"/>
              <w:rPr>
                <w:sz w:val="20"/>
                <w:szCs w:val="20"/>
              </w:rPr>
            </w:pPr>
            <w:r w:rsidRPr="00E0055A">
              <w:rPr>
                <w:rStyle w:val="01bodybold"/>
                <w:sz w:val="20"/>
                <w:szCs w:val="20"/>
              </w:rPr>
              <w:t>0</w:t>
            </w:r>
          </w:p>
        </w:tc>
      </w:tr>
      <w:tr w:rsidR="00260042" w:rsidRPr="00E0055A" w:rsidTr="00511254">
        <w:trPr>
          <w:trHeight w:val="60"/>
        </w:trPr>
        <w:tc>
          <w:tcPr>
            <w:tcW w:w="518" w:type="pct"/>
          </w:tcPr>
          <w:p w:rsidR="00260042" w:rsidRPr="00E0055A" w:rsidRDefault="00260042" w:rsidP="00E0055A">
            <w:pPr>
              <w:pStyle w:val="BodyText"/>
              <w:rPr>
                <w:sz w:val="20"/>
                <w:szCs w:val="20"/>
              </w:rPr>
            </w:pPr>
            <w:r w:rsidRPr="00E0055A">
              <w:rPr>
                <w:rStyle w:val="01bodybold"/>
                <w:sz w:val="20"/>
                <w:szCs w:val="20"/>
              </w:rPr>
              <w:t>Total</w:t>
            </w:r>
          </w:p>
        </w:tc>
        <w:tc>
          <w:tcPr>
            <w:tcW w:w="437" w:type="pct"/>
          </w:tcPr>
          <w:p w:rsidR="00260042" w:rsidRPr="00E0055A" w:rsidRDefault="00260042" w:rsidP="00E0055A">
            <w:pPr>
              <w:pStyle w:val="BodyText"/>
              <w:jc w:val="right"/>
              <w:rPr>
                <w:sz w:val="20"/>
                <w:szCs w:val="20"/>
              </w:rPr>
            </w:pPr>
            <w:r w:rsidRPr="00E0055A">
              <w:rPr>
                <w:rStyle w:val="01bodybold"/>
                <w:sz w:val="20"/>
                <w:szCs w:val="20"/>
              </w:rPr>
              <w:t>7,126</w:t>
            </w:r>
          </w:p>
        </w:tc>
        <w:tc>
          <w:tcPr>
            <w:tcW w:w="437" w:type="pct"/>
          </w:tcPr>
          <w:p w:rsidR="00260042" w:rsidRPr="00E0055A" w:rsidRDefault="00260042" w:rsidP="00E0055A">
            <w:pPr>
              <w:pStyle w:val="BodyText"/>
              <w:jc w:val="right"/>
              <w:rPr>
                <w:sz w:val="20"/>
                <w:szCs w:val="20"/>
              </w:rPr>
            </w:pPr>
            <w:r w:rsidRPr="00E0055A">
              <w:rPr>
                <w:rStyle w:val="01bodybold"/>
                <w:sz w:val="20"/>
                <w:szCs w:val="20"/>
              </w:rPr>
              <w:t>743</w:t>
            </w:r>
          </w:p>
        </w:tc>
        <w:tc>
          <w:tcPr>
            <w:tcW w:w="438" w:type="pct"/>
          </w:tcPr>
          <w:p w:rsidR="00260042" w:rsidRPr="00E0055A" w:rsidRDefault="00260042" w:rsidP="00E0055A">
            <w:pPr>
              <w:pStyle w:val="BodyText"/>
              <w:jc w:val="right"/>
              <w:rPr>
                <w:sz w:val="20"/>
                <w:szCs w:val="20"/>
              </w:rPr>
            </w:pPr>
            <w:r w:rsidRPr="00E0055A">
              <w:rPr>
                <w:rStyle w:val="01bodybold"/>
                <w:sz w:val="20"/>
                <w:szCs w:val="20"/>
              </w:rPr>
              <w:t>7,869</w:t>
            </w:r>
          </w:p>
        </w:tc>
        <w:tc>
          <w:tcPr>
            <w:tcW w:w="437" w:type="pct"/>
          </w:tcPr>
          <w:p w:rsidR="00260042" w:rsidRPr="00E0055A" w:rsidRDefault="00260042" w:rsidP="00E0055A">
            <w:pPr>
              <w:pStyle w:val="BodyText"/>
              <w:jc w:val="right"/>
              <w:rPr>
                <w:sz w:val="20"/>
                <w:szCs w:val="20"/>
              </w:rPr>
            </w:pPr>
            <w:r w:rsidRPr="00E0055A">
              <w:rPr>
                <w:rStyle w:val="01bodybold"/>
                <w:sz w:val="20"/>
                <w:szCs w:val="20"/>
              </w:rPr>
              <w:t>12,324</w:t>
            </w:r>
          </w:p>
        </w:tc>
        <w:tc>
          <w:tcPr>
            <w:tcW w:w="437" w:type="pct"/>
          </w:tcPr>
          <w:p w:rsidR="00260042" w:rsidRPr="00E0055A" w:rsidRDefault="00260042" w:rsidP="00E0055A">
            <w:pPr>
              <w:pStyle w:val="BodyText"/>
              <w:jc w:val="right"/>
              <w:rPr>
                <w:sz w:val="20"/>
                <w:szCs w:val="20"/>
              </w:rPr>
            </w:pPr>
            <w:r w:rsidRPr="00E0055A">
              <w:rPr>
                <w:rStyle w:val="01bodybold"/>
                <w:sz w:val="20"/>
                <w:szCs w:val="20"/>
              </w:rPr>
              <w:t>6,722</w:t>
            </w:r>
          </w:p>
        </w:tc>
        <w:tc>
          <w:tcPr>
            <w:tcW w:w="438" w:type="pct"/>
          </w:tcPr>
          <w:p w:rsidR="00260042" w:rsidRPr="00E0055A" w:rsidRDefault="00260042" w:rsidP="00E0055A">
            <w:pPr>
              <w:pStyle w:val="BodyText"/>
              <w:jc w:val="right"/>
              <w:rPr>
                <w:sz w:val="20"/>
                <w:szCs w:val="20"/>
              </w:rPr>
            </w:pPr>
            <w:r w:rsidRPr="00E0055A">
              <w:rPr>
                <w:rStyle w:val="01bodybold"/>
                <w:sz w:val="20"/>
                <w:szCs w:val="20"/>
              </w:rPr>
              <w:t>19,046</w:t>
            </w:r>
          </w:p>
        </w:tc>
        <w:tc>
          <w:tcPr>
            <w:tcW w:w="438" w:type="pct"/>
          </w:tcPr>
          <w:p w:rsidR="00260042" w:rsidRPr="00E0055A" w:rsidRDefault="00260042" w:rsidP="00E0055A">
            <w:pPr>
              <w:pStyle w:val="BodyText"/>
              <w:jc w:val="right"/>
              <w:rPr>
                <w:sz w:val="20"/>
                <w:szCs w:val="20"/>
              </w:rPr>
            </w:pPr>
            <w:r w:rsidRPr="00E0055A">
              <w:rPr>
                <w:rStyle w:val="01bodybold"/>
                <w:sz w:val="20"/>
                <w:szCs w:val="20"/>
              </w:rPr>
              <w:t>16</w:t>
            </w:r>
          </w:p>
        </w:tc>
        <w:tc>
          <w:tcPr>
            <w:tcW w:w="437" w:type="pct"/>
          </w:tcPr>
          <w:p w:rsidR="00260042" w:rsidRPr="00E0055A" w:rsidRDefault="00260042" w:rsidP="00E0055A">
            <w:pPr>
              <w:pStyle w:val="BodyText"/>
              <w:jc w:val="right"/>
              <w:rPr>
                <w:sz w:val="20"/>
                <w:szCs w:val="20"/>
              </w:rPr>
            </w:pPr>
            <w:r w:rsidRPr="00E0055A">
              <w:rPr>
                <w:rStyle w:val="01bodybold"/>
                <w:sz w:val="20"/>
                <w:szCs w:val="20"/>
              </w:rPr>
              <w:t>1</w:t>
            </w:r>
          </w:p>
        </w:tc>
        <w:tc>
          <w:tcPr>
            <w:tcW w:w="546" w:type="pct"/>
          </w:tcPr>
          <w:p w:rsidR="00260042" w:rsidRPr="00E0055A" w:rsidRDefault="00260042" w:rsidP="00E0055A">
            <w:pPr>
              <w:pStyle w:val="BodyText"/>
              <w:jc w:val="right"/>
              <w:rPr>
                <w:sz w:val="20"/>
                <w:szCs w:val="20"/>
              </w:rPr>
            </w:pPr>
            <w:r w:rsidRPr="00E0055A">
              <w:rPr>
                <w:rStyle w:val="01bodybold"/>
                <w:sz w:val="20"/>
                <w:szCs w:val="20"/>
              </w:rPr>
              <w:t>17</w:t>
            </w:r>
          </w:p>
        </w:tc>
        <w:tc>
          <w:tcPr>
            <w:tcW w:w="438" w:type="pct"/>
          </w:tcPr>
          <w:p w:rsidR="00260042" w:rsidRPr="00E0055A" w:rsidRDefault="00260042" w:rsidP="00E0055A">
            <w:pPr>
              <w:pStyle w:val="BodyText"/>
              <w:jc w:val="right"/>
              <w:rPr>
                <w:sz w:val="20"/>
                <w:szCs w:val="20"/>
              </w:rPr>
            </w:pPr>
            <w:r w:rsidRPr="00E0055A">
              <w:rPr>
                <w:rStyle w:val="01bodybold"/>
                <w:sz w:val="20"/>
                <w:szCs w:val="20"/>
              </w:rPr>
              <w:t>26,932</w:t>
            </w:r>
          </w:p>
        </w:tc>
      </w:tr>
    </w:tbl>
    <w:p w:rsidR="00260042" w:rsidRPr="00EA5510" w:rsidRDefault="00511254" w:rsidP="00EA5510">
      <w:pPr>
        <w:pStyle w:val="BodyText"/>
        <w:rPr>
          <w:b/>
        </w:rPr>
      </w:pPr>
      <w:r>
        <w:rPr>
          <w:rStyle w:val="Bold"/>
          <w:bCs w:val="0"/>
        </w:rPr>
        <w:t>Table 5</w:t>
      </w:r>
      <w:r>
        <w:rPr>
          <w:rStyle w:val="Bold"/>
          <w:bCs w:val="0"/>
        </w:rPr>
        <w:t>6</w:t>
      </w:r>
      <w:r w:rsidR="00260042" w:rsidRPr="00EA5510">
        <w:rPr>
          <w:b/>
        </w:rPr>
        <w:t xml:space="preserve"> </w:t>
      </w:r>
      <w:proofErr w:type="gramStart"/>
      <w:r w:rsidR="00260042" w:rsidRPr="00EA5510">
        <w:rPr>
          <w:b/>
        </w:rPr>
        <w:t>All</w:t>
      </w:r>
      <w:proofErr w:type="gramEnd"/>
      <w:r w:rsidR="00260042" w:rsidRPr="00EA5510">
        <w:rPr>
          <w:b/>
        </w:rPr>
        <w:t xml:space="preserve"> ongoing employees 2019–20</w:t>
      </w:r>
    </w:p>
    <w:tbl>
      <w:tblPr>
        <w:tblStyle w:val="TableGrid"/>
        <w:tblW w:w="5000" w:type="pct"/>
        <w:tblLook w:val="0000" w:firstRow="0" w:lastRow="0" w:firstColumn="0" w:lastColumn="0" w:noHBand="0" w:noVBand="0"/>
        <w:tblCaption w:val=" All ongoing employees 2019–20"/>
      </w:tblPr>
      <w:tblGrid>
        <w:gridCol w:w="1119"/>
        <w:gridCol w:w="943"/>
        <w:gridCol w:w="943"/>
        <w:gridCol w:w="945"/>
        <w:gridCol w:w="943"/>
        <w:gridCol w:w="943"/>
        <w:gridCol w:w="945"/>
        <w:gridCol w:w="945"/>
        <w:gridCol w:w="943"/>
        <w:gridCol w:w="1178"/>
        <w:gridCol w:w="943"/>
      </w:tblGrid>
      <w:tr w:rsidR="00260042" w:rsidRPr="00FE6BAC" w:rsidTr="00511254">
        <w:trPr>
          <w:trHeight w:val="60"/>
          <w:tblHeader/>
        </w:trPr>
        <w:tc>
          <w:tcPr>
            <w:tcW w:w="518" w:type="pct"/>
          </w:tcPr>
          <w:p w:rsidR="00260042" w:rsidRPr="00FE6BAC" w:rsidRDefault="00260042" w:rsidP="00FE6BAC">
            <w:pPr>
              <w:pStyle w:val="BodyText"/>
              <w:rPr>
                <w:sz w:val="20"/>
                <w:szCs w:val="20"/>
              </w:rPr>
            </w:pPr>
          </w:p>
        </w:tc>
        <w:tc>
          <w:tcPr>
            <w:tcW w:w="1312" w:type="pct"/>
            <w:gridSpan w:val="3"/>
          </w:tcPr>
          <w:p w:rsidR="00260042" w:rsidRPr="00FE6BAC" w:rsidRDefault="00260042" w:rsidP="00FE6BAC">
            <w:pPr>
              <w:pStyle w:val="BodyText"/>
              <w:jc w:val="center"/>
              <w:rPr>
                <w:b/>
                <w:sz w:val="20"/>
                <w:szCs w:val="20"/>
              </w:rPr>
            </w:pPr>
            <w:r w:rsidRPr="00FE6BAC">
              <w:rPr>
                <w:b/>
                <w:sz w:val="20"/>
                <w:szCs w:val="20"/>
              </w:rPr>
              <w:t>Male</w:t>
            </w:r>
          </w:p>
        </w:tc>
        <w:tc>
          <w:tcPr>
            <w:tcW w:w="1312" w:type="pct"/>
            <w:gridSpan w:val="3"/>
          </w:tcPr>
          <w:p w:rsidR="00260042" w:rsidRPr="00FE6BAC" w:rsidRDefault="00260042" w:rsidP="00FE6BAC">
            <w:pPr>
              <w:pStyle w:val="BodyText"/>
              <w:jc w:val="center"/>
              <w:rPr>
                <w:b/>
                <w:sz w:val="20"/>
                <w:szCs w:val="20"/>
              </w:rPr>
            </w:pPr>
            <w:r w:rsidRPr="00FE6BAC">
              <w:rPr>
                <w:b/>
                <w:sz w:val="20"/>
                <w:szCs w:val="20"/>
              </w:rPr>
              <w:t>Female</w:t>
            </w:r>
          </w:p>
        </w:tc>
        <w:tc>
          <w:tcPr>
            <w:tcW w:w="1421" w:type="pct"/>
            <w:gridSpan w:val="3"/>
          </w:tcPr>
          <w:p w:rsidR="00260042" w:rsidRPr="00FE6BAC" w:rsidRDefault="00260042" w:rsidP="00FE6BAC">
            <w:pPr>
              <w:pStyle w:val="BodyText"/>
              <w:jc w:val="center"/>
              <w:rPr>
                <w:b/>
                <w:sz w:val="20"/>
                <w:szCs w:val="20"/>
              </w:rPr>
            </w:pPr>
            <w:r w:rsidRPr="00FE6BAC">
              <w:rPr>
                <w:b/>
                <w:sz w:val="20"/>
                <w:szCs w:val="20"/>
              </w:rPr>
              <w:t>Non-binary</w:t>
            </w:r>
          </w:p>
        </w:tc>
        <w:tc>
          <w:tcPr>
            <w:tcW w:w="438" w:type="pct"/>
          </w:tcPr>
          <w:p w:rsidR="00260042" w:rsidRPr="00FE6BAC" w:rsidRDefault="00260042" w:rsidP="00FE6BAC">
            <w:pPr>
              <w:pStyle w:val="BodyText"/>
              <w:jc w:val="right"/>
              <w:rPr>
                <w:sz w:val="20"/>
                <w:szCs w:val="20"/>
              </w:rPr>
            </w:pPr>
          </w:p>
        </w:tc>
      </w:tr>
      <w:tr w:rsidR="00260042" w:rsidRPr="00FE6BAC" w:rsidTr="00511254">
        <w:trPr>
          <w:trHeight w:val="60"/>
          <w:tblHeader/>
        </w:trPr>
        <w:tc>
          <w:tcPr>
            <w:tcW w:w="518" w:type="pct"/>
          </w:tcPr>
          <w:p w:rsidR="00260042" w:rsidRPr="00FE6BAC" w:rsidRDefault="00260042" w:rsidP="00FE6BAC">
            <w:pPr>
              <w:pStyle w:val="BodyText"/>
              <w:rPr>
                <w:sz w:val="20"/>
                <w:szCs w:val="20"/>
              </w:rPr>
            </w:pPr>
          </w:p>
        </w:tc>
        <w:tc>
          <w:tcPr>
            <w:tcW w:w="437" w:type="pct"/>
          </w:tcPr>
          <w:p w:rsidR="00260042" w:rsidRPr="00FE6BAC" w:rsidRDefault="00260042" w:rsidP="00FE6BAC">
            <w:pPr>
              <w:pStyle w:val="BodyText"/>
              <w:jc w:val="right"/>
              <w:rPr>
                <w:sz w:val="20"/>
                <w:szCs w:val="20"/>
              </w:rPr>
            </w:pPr>
            <w:r w:rsidRPr="00FE6BAC">
              <w:rPr>
                <w:rStyle w:val="Bold"/>
                <w:sz w:val="20"/>
                <w:szCs w:val="20"/>
              </w:rPr>
              <w:t>Full-time</w:t>
            </w:r>
          </w:p>
        </w:tc>
        <w:tc>
          <w:tcPr>
            <w:tcW w:w="437" w:type="pct"/>
          </w:tcPr>
          <w:p w:rsidR="00260042" w:rsidRPr="00FE6BAC" w:rsidRDefault="00260042" w:rsidP="00FE6BAC">
            <w:pPr>
              <w:pStyle w:val="BodyText"/>
              <w:jc w:val="right"/>
              <w:rPr>
                <w:sz w:val="20"/>
                <w:szCs w:val="20"/>
              </w:rPr>
            </w:pPr>
            <w:r w:rsidRPr="00FE6BAC">
              <w:rPr>
                <w:rStyle w:val="Bold"/>
                <w:sz w:val="20"/>
                <w:szCs w:val="20"/>
              </w:rPr>
              <w:t>Part-time</w:t>
            </w:r>
          </w:p>
        </w:tc>
        <w:tc>
          <w:tcPr>
            <w:tcW w:w="438" w:type="pct"/>
          </w:tcPr>
          <w:p w:rsidR="00260042" w:rsidRPr="00FE6BAC" w:rsidRDefault="00260042" w:rsidP="00FE6BAC">
            <w:pPr>
              <w:pStyle w:val="BodyText"/>
              <w:jc w:val="right"/>
              <w:rPr>
                <w:sz w:val="20"/>
                <w:szCs w:val="20"/>
              </w:rPr>
            </w:pPr>
            <w:r w:rsidRPr="00FE6BAC">
              <w:rPr>
                <w:rStyle w:val="Bold"/>
                <w:sz w:val="20"/>
                <w:szCs w:val="20"/>
              </w:rPr>
              <w:t>Total Male</w:t>
            </w:r>
          </w:p>
        </w:tc>
        <w:tc>
          <w:tcPr>
            <w:tcW w:w="437" w:type="pct"/>
          </w:tcPr>
          <w:p w:rsidR="00260042" w:rsidRPr="00FE6BAC" w:rsidRDefault="00260042" w:rsidP="00FE6BAC">
            <w:pPr>
              <w:pStyle w:val="BodyText"/>
              <w:jc w:val="right"/>
              <w:rPr>
                <w:sz w:val="20"/>
                <w:szCs w:val="20"/>
              </w:rPr>
            </w:pPr>
            <w:r w:rsidRPr="00FE6BAC">
              <w:rPr>
                <w:rStyle w:val="Bold"/>
                <w:sz w:val="20"/>
                <w:szCs w:val="20"/>
              </w:rPr>
              <w:t>Full-time</w:t>
            </w:r>
          </w:p>
        </w:tc>
        <w:tc>
          <w:tcPr>
            <w:tcW w:w="437" w:type="pct"/>
          </w:tcPr>
          <w:p w:rsidR="00260042" w:rsidRPr="00FE6BAC" w:rsidRDefault="00260042" w:rsidP="00FE6BAC">
            <w:pPr>
              <w:pStyle w:val="BodyText"/>
              <w:jc w:val="right"/>
              <w:rPr>
                <w:sz w:val="20"/>
                <w:szCs w:val="20"/>
              </w:rPr>
            </w:pPr>
            <w:r w:rsidRPr="00FE6BAC">
              <w:rPr>
                <w:rStyle w:val="Bold"/>
                <w:sz w:val="20"/>
                <w:szCs w:val="20"/>
              </w:rPr>
              <w:t>Part-time</w:t>
            </w:r>
          </w:p>
        </w:tc>
        <w:tc>
          <w:tcPr>
            <w:tcW w:w="438" w:type="pct"/>
          </w:tcPr>
          <w:p w:rsidR="00260042" w:rsidRPr="00FE6BAC" w:rsidRDefault="00260042" w:rsidP="00FE6BAC">
            <w:pPr>
              <w:pStyle w:val="BodyText"/>
              <w:jc w:val="right"/>
              <w:rPr>
                <w:sz w:val="20"/>
                <w:szCs w:val="20"/>
              </w:rPr>
            </w:pPr>
            <w:r w:rsidRPr="00FE6BAC">
              <w:rPr>
                <w:rStyle w:val="Bold"/>
                <w:sz w:val="20"/>
                <w:szCs w:val="20"/>
              </w:rPr>
              <w:t>Total Female</w:t>
            </w:r>
          </w:p>
        </w:tc>
        <w:tc>
          <w:tcPr>
            <w:tcW w:w="438" w:type="pct"/>
          </w:tcPr>
          <w:p w:rsidR="00260042" w:rsidRPr="00FE6BAC" w:rsidRDefault="00260042" w:rsidP="00FE6BAC">
            <w:pPr>
              <w:pStyle w:val="BodyText"/>
              <w:jc w:val="right"/>
              <w:rPr>
                <w:sz w:val="20"/>
                <w:szCs w:val="20"/>
              </w:rPr>
            </w:pPr>
            <w:r w:rsidRPr="00FE6BAC">
              <w:rPr>
                <w:rStyle w:val="Bold"/>
                <w:sz w:val="20"/>
                <w:szCs w:val="20"/>
              </w:rPr>
              <w:t>Full-time</w:t>
            </w:r>
          </w:p>
        </w:tc>
        <w:tc>
          <w:tcPr>
            <w:tcW w:w="437" w:type="pct"/>
          </w:tcPr>
          <w:p w:rsidR="00260042" w:rsidRPr="00FE6BAC" w:rsidRDefault="00260042" w:rsidP="00FE6BAC">
            <w:pPr>
              <w:pStyle w:val="BodyText"/>
              <w:jc w:val="right"/>
              <w:rPr>
                <w:sz w:val="20"/>
                <w:szCs w:val="20"/>
              </w:rPr>
            </w:pPr>
            <w:r w:rsidRPr="00FE6BAC">
              <w:rPr>
                <w:rStyle w:val="Bold"/>
                <w:sz w:val="20"/>
                <w:szCs w:val="20"/>
              </w:rPr>
              <w:t>Part-time</w:t>
            </w:r>
          </w:p>
        </w:tc>
        <w:tc>
          <w:tcPr>
            <w:tcW w:w="546" w:type="pct"/>
          </w:tcPr>
          <w:p w:rsidR="00260042" w:rsidRPr="00FE6BAC" w:rsidRDefault="00260042" w:rsidP="00FE6BAC">
            <w:pPr>
              <w:pStyle w:val="BodyText"/>
              <w:jc w:val="right"/>
              <w:rPr>
                <w:sz w:val="20"/>
                <w:szCs w:val="20"/>
              </w:rPr>
            </w:pPr>
            <w:r w:rsidRPr="00FE6BAC">
              <w:rPr>
                <w:rStyle w:val="Bold"/>
                <w:sz w:val="20"/>
                <w:szCs w:val="20"/>
              </w:rPr>
              <w:t xml:space="preserve">Total </w:t>
            </w:r>
            <w:r w:rsidRPr="00FE6BAC">
              <w:rPr>
                <w:rStyle w:val="Bold"/>
                <w:spacing w:val="-4"/>
                <w:sz w:val="20"/>
                <w:szCs w:val="20"/>
              </w:rPr>
              <w:t>Non-binary</w:t>
            </w:r>
          </w:p>
        </w:tc>
        <w:tc>
          <w:tcPr>
            <w:tcW w:w="438" w:type="pct"/>
          </w:tcPr>
          <w:p w:rsidR="00260042" w:rsidRPr="00FE6BAC" w:rsidRDefault="00260042" w:rsidP="00FE6BAC">
            <w:pPr>
              <w:pStyle w:val="BodyText"/>
              <w:jc w:val="right"/>
              <w:rPr>
                <w:sz w:val="20"/>
                <w:szCs w:val="20"/>
              </w:rPr>
            </w:pPr>
            <w:r w:rsidRPr="00FE6BAC">
              <w:rPr>
                <w:rStyle w:val="Bold"/>
                <w:sz w:val="20"/>
                <w:szCs w:val="20"/>
              </w:rPr>
              <w:t>Total</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NSW</w:t>
            </w:r>
          </w:p>
        </w:tc>
        <w:tc>
          <w:tcPr>
            <w:tcW w:w="437" w:type="pct"/>
          </w:tcPr>
          <w:p w:rsidR="00260042" w:rsidRPr="00FE6BAC" w:rsidRDefault="00260042" w:rsidP="00FE6BAC">
            <w:pPr>
              <w:pStyle w:val="BodyText"/>
              <w:jc w:val="right"/>
              <w:rPr>
                <w:sz w:val="20"/>
                <w:szCs w:val="20"/>
              </w:rPr>
            </w:pPr>
            <w:r w:rsidRPr="00FE6BAC">
              <w:rPr>
                <w:sz w:val="20"/>
                <w:szCs w:val="20"/>
              </w:rPr>
              <w:t>1,340</w:t>
            </w:r>
          </w:p>
        </w:tc>
        <w:tc>
          <w:tcPr>
            <w:tcW w:w="437" w:type="pct"/>
          </w:tcPr>
          <w:p w:rsidR="00260042" w:rsidRPr="00FE6BAC" w:rsidRDefault="00260042" w:rsidP="00FE6BAC">
            <w:pPr>
              <w:pStyle w:val="BodyText"/>
              <w:jc w:val="right"/>
              <w:rPr>
                <w:sz w:val="20"/>
                <w:szCs w:val="20"/>
              </w:rPr>
            </w:pPr>
            <w:r w:rsidRPr="00FE6BAC">
              <w:rPr>
                <w:sz w:val="20"/>
                <w:szCs w:val="20"/>
              </w:rPr>
              <w:t>190</w:t>
            </w:r>
          </w:p>
        </w:tc>
        <w:tc>
          <w:tcPr>
            <w:tcW w:w="438" w:type="pct"/>
          </w:tcPr>
          <w:p w:rsidR="00260042" w:rsidRPr="00FE6BAC" w:rsidRDefault="00260042" w:rsidP="00FE6BAC">
            <w:pPr>
              <w:pStyle w:val="BodyText"/>
              <w:jc w:val="right"/>
              <w:rPr>
                <w:sz w:val="20"/>
                <w:szCs w:val="20"/>
              </w:rPr>
            </w:pPr>
            <w:r w:rsidRPr="00FE6BAC">
              <w:rPr>
                <w:sz w:val="20"/>
                <w:szCs w:val="20"/>
              </w:rPr>
              <w:t>1,530</w:t>
            </w:r>
          </w:p>
        </w:tc>
        <w:tc>
          <w:tcPr>
            <w:tcW w:w="437" w:type="pct"/>
          </w:tcPr>
          <w:p w:rsidR="00260042" w:rsidRPr="00FE6BAC" w:rsidRDefault="00260042" w:rsidP="00FE6BAC">
            <w:pPr>
              <w:pStyle w:val="BodyText"/>
              <w:jc w:val="right"/>
              <w:rPr>
                <w:sz w:val="20"/>
                <w:szCs w:val="20"/>
              </w:rPr>
            </w:pPr>
            <w:r w:rsidRPr="00FE6BAC">
              <w:rPr>
                <w:sz w:val="20"/>
                <w:szCs w:val="20"/>
              </w:rPr>
              <w:t>3,246</w:t>
            </w:r>
          </w:p>
        </w:tc>
        <w:tc>
          <w:tcPr>
            <w:tcW w:w="437" w:type="pct"/>
          </w:tcPr>
          <w:p w:rsidR="00260042" w:rsidRPr="00FE6BAC" w:rsidRDefault="00260042" w:rsidP="00FE6BAC">
            <w:pPr>
              <w:pStyle w:val="BodyText"/>
              <w:jc w:val="right"/>
              <w:rPr>
                <w:sz w:val="20"/>
                <w:szCs w:val="20"/>
              </w:rPr>
            </w:pPr>
            <w:r w:rsidRPr="00FE6BAC">
              <w:rPr>
                <w:sz w:val="20"/>
                <w:szCs w:val="20"/>
              </w:rPr>
              <w:t>2,097</w:t>
            </w:r>
          </w:p>
        </w:tc>
        <w:tc>
          <w:tcPr>
            <w:tcW w:w="438" w:type="pct"/>
          </w:tcPr>
          <w:p w:rsidR="00260042" w:rsidRPr="00FE6BAC" w:rsidRDefault="00260042" w:rsidP="00FE6BAC">
            <w:pPr>
              <w:pStyle w:val="BodyText"/>
              <w:jc w:val="right"/>
              <w:rPr>
                <w:sz w:val="20"/>
                <w:szCs w:val="20"/>
              </w:rPr>
            </w:pPr>
            <w:r w:rsidRPr="00FE6BAC">
              <w:rPr>
                <w:sz w:val="20"/>
                <w:szCs w:val="20"/>
              </w:rPr>
              <w:t>5,343</w:t>
            </w:r>
          </w:p>
        </w:tc>
        <w:tc>
          <w:tcPr>
            <w:tcW w:w="438" w:type="pct"/>
          </w:tcPr>
          <w:p w:rsidR="00260042" w:rsidRPr="00FE6BAC" w:rsidRDefault="00260042" w:rsidP="00FE6BAC">
            <w:pPr>
              <w:pStyle w:val="BodyText"/>
              <w:jc w:val="right"/>
              <w:rPr>
                <w:sz w:val="20"/>
                <w:szCs w:val="20"/>
              </w:rPr>
            </w:pPr>
            <w:r w:rsidRPr="00FE6BAC">
              <w:rPr>
                <w:sz w:val="20"/>
                <w:szCs w:val="20"/>
              </w:rPr>
              <w:t>4</w:t>
            </w:r>
          </w:p>
        </w:tc>
        <w:tc>
          <w:tcPr>
            <w:tcW w:w="437" w:type="pct"/>
          </w:tcPr>
          <w:p w:rsidR="00260042" w:rsidRPr="00FE6BAC" w:rsidRDefault="00260042" w:rsidP="00FE6BAC">
            <w:pPr>
              <w:pStyle w:val="BodyText"/>
              <w:jc w:val="right"/>
              <w:rPr>
                <w:sz w:val="20"/>
                <w:szCs w:val="20"/>
              </w:rPr>
            </w:pPr>
            <w:r w:rsidRPr="00FE6BAC">
              <w:rPr>
                <w:sz w:val="20"/>
                <w:szCs w:val="20"/>
              </w:rPr>
              <w:t>1</w:t>
            </w:r>
          </w:p>
        </w:tc>
        <w:tc>
          <w:tcPr>
            <w:tcW w:w="546" w:type="pct"/>
          </w:tcPr>
          <w:p w:rsidR="00260042" w:rsidRPr="00FE6BAC" w:rsidRDefault="00260042" w:rsidP="00FE6BAC">
            <w:pPr>
              <w:pStyle w:val="BodyText"/>
              <w:jc w:val="right"/>
              <w:rPr>
                <w:sz w:val="20"/>
                <w:szCs w:val="20"/>
              </w:rPr>
            </w:pPr>
            <w:r w:rsidRPr="00FE6BAC">
              <w:rPr>
                <w:sz w:val="20"/>
                <w:szCs w:val="20"/>
              </w:rPr>
              <w:t>5</w:t>
            </w:r>
          </w:p>
        </w:tc>
        <w:tc>
          <w:tcPr>
            <w:tcW w:w="438" w:type="pct"/>
          </w:tcPr>
          <w:p w:rsidR="00260042" w:rsidRPr="00FE6BAC" w:rsidRDefault="00260042" w:rsidP="00FE6BAC">
            <w:pPr>
              <w:pStyle w:val="BodyText"/>
              <w:jc w:val="right"/>
              <w:rPr>
                <w:sz w:val="20"/>
                <w:szCs w:val="20"/>
              </w:rPr>
            </w:pPr>
            <w:r w:rsidRPr="00FE6BAC">
              <w:rPr>
                <w:rStyle w:val="01bodybold"/>
                <w:sz w:val="20"/>
                <w:szCs w:val="20"/>
              </w:rPr>
              <w:t>6,878</w:t>
            </w:r>
          </w:p>
        </w:tc>
      </w:tr>
      <w:tr w:rsidR="00260042" w:rsidRPr="00FE6BAC" w:rsidTr="00511254">
        <w:trPr>
          <w:trHeight w:val="305"/>
        </w:trPr>
        <w:tc>
          <w:tcPr>
            <w:tcW w:w="518" w:type="pct"/>
          </w:tcPr>
          <w:p w:rsidR="00260042" w:rsidRPr="00FE6BAC" w:rsidRDefault="00260042" w:rsidP="00FE6BAC">
            <w:pPr>
              <w:pStyle w:val="BodyText"/>
              <w:rPr>
                <w:sz w:val="20"/>
                <w:szCs w:val="20"/>
              </w:rPr>
            </w:pPr>
            <w:r w:rsidRPr="00FE6BAC">
              <w:rPr>
                <w:sz w:val="20"/>
                <w:szCs w:val="20"/>
              </w:rPr>
              <w:t>QLD</w:t>
            </w:r>
          </w:p>
        </w:tc>
        <w:tc>
          <w:tcPr>
            <w:tcW w:w="437" w:type="pct"/>
          </w:tcPr>
          <w:p w:rsidR="00260042" w:rsidRPr="00FE6BAC" w:rsidRDefault="00260042" w:rsidP="00FE6BAC">
            <w:pPr>
              <w:pStyle w:val="BodyText"/>
              <w:jc w:val="right"/>
              <w:rPr>
                <w:sz w:val="20"/>
                <w:szCs w:val="20"/>
              </w:rPr>
            </w:pPr>
            <w:r w:rsidRPr="00FE6BAC">
              <w:rPr>
                <w:sz w:val="20"/>
                <w:szCs w:val="20"/>
              </w:rPr>
              <w:t>1,328</w:t>
            </w:r>
          </w:p>
        </w:tc>
        <w:tc>
          <w:tcPr>
            <w:tcW w:w="437" w:type="pct"/>
          </w:tcPr>
          <w:p w:rsidR="00260042" w:rsidRPr="00FE6BAC" w:rsidRDefault="00260042" w:rsidP="00FE6BAC">
            <w:pPr>
              <w:pStyle w:val="BodyText"/>
              <w:jc w:val="right"/>
              <w:rPr>
                <w:sz w:val="20"/>
                <w:szCs w:val="20"/>
              </w:rPr>
            </w:pPr>
            <w:r w:rsidRPr="00FE6BAC">
              <w:rPr>
                <w:sz w:val="20"/>
                <w:szCs w:val="20"/>
              </w:rPr>
              <w:t>97</w:t>
            </w:r>
          </w:p>
        </w:tc>
        <w:tc>
          <w:tcPr>
            <w:tcW w:w="438" w:type="pct"/>
          </w:tcPr>
          <w:p w:rsidR="00260042" w:rsidRPr="00FE6BAC" w:rsidRDefault="00260042" w:rsidP="00FE6BAC">
            <w:pPr>
              <w:pStyle w:val="BodyText"/>
              <w:jc w:val="right"/>
              <w:rPr>
                <w:sz w:val="20"/>
                <w:szCs w:val="20"/>
              </w:rPr>
            </w:pPr>
            <w:r w:rsidRPr="00FE6BAC">
              <w:rPr>
                <w:sz w:val="20"/>
                <w:szCs w:val="20"/>
              </w:rPr>
              <w:t>1,425</w:t>
            </w:r>
          </w:p>
        </w:tc>
        <w:tc>
          <w:tcPr>
            <w:tcW w:w="437" w:type="pct"/>
          </w:tcPr>
          <w:p w:rsidR="00260042" w:rsidRPr="00FE6BAC" w:rsidRDefault="00260042" w:rsidP="00FE6BAC">
            <w:pPr>
              <w:pStyle w:val="BodyText"/>
              <w:jc w:val="right"/>
              <w:rPr>
                <w:sz w:val="20"/>
                <w:szCs w:val="20"/>
              </w:rPr>
            </w:pPr>
            <w:r w:rsidRPr="00FE6BAC">
              <w:rPr>
                <w:sz w:val="20"/>
                <w:szCs w:val="20"/>
              </w:rPr>
              <w:t>2,754</w:t>
            </w:r>
          </w:p>
        </w:tc>
        <w:tc>
          <w:tcPr>
            <w:tcW w:w="437" w:type="pct"/>
          </w:tcPr>
          <w:p w:rsidR="00260042" w:rsidRPr="00FE6BAC" w:rsidRDefault="00260042" w:rsidP="00FE6BAC">
            <w:pPr>
              <w:pStyle w:val="BodyText"/>
              <w:jc w:val="right"/>
              <w:rPr>
                <w:sz w:val="20"/>
                <w:szCs w:val="20"/>
              </w:rPr>
            </w:pPr>
            <w:r w:rsidRPr="00FE6BAC">
              <w:rPr>
                <w:sz w:val="20"/>
                <w:szCs w:val="20"/>
              </w:rPr>
              <w:t>1,245</w:t>
            </w:r>
          </w:p>
        </w:tc>
        <w:tc>
          <w:tcPr>
            <w:tcW w:w="438" w:type="pct"/>
          </w:tcPr>
          <w:p w:rsidR="00260042" w:rsidRPr="00FE6BAC" w:rsidRDefault="00260042" w:rsidP="00FE6BAC">
            <w:pPr>
              <w:pStyle w:val="BodyText"/>
              <w:jc w:val="right"/>
              <w:rPr>
                <w:sz w:val="20"/>
                <w:szCs w:val="20"/>
              </w:rPr>
            </w:pPr>
            <w:r w:rsidRPr="00FE6BAC">
              <w:rPr>
                <w:sz w:val="20"/>
                <w:szCs w:val="20"/>
              </w:rPr>
              <w:t>3,999</w:t>
            </w:r>
          </w:p>
        </w:tc>
        <w:tc>
          <w:tcPr>
            <w:tcW w:w="438" w:type="pct"/>
          </w:tcPr>
          <w:p w:rsidR="00260042" w:rsidRPr="00FE6BAC" w:rsidRDefault="00260042" w:rsidP="00FE6BAC">
            <w:pPr>
              <w:pStyle w:val="BodyText"/>
              <w:jc w:val="right"/>
              <w:rPr>
                <w:sz w:val="20"/>
                <w:szCs w:val="20"/>
              </w:rPr>
            </w:pPr>
            <w:r w:rsidRPr="00FE6BAC">
              <w:rPr>
                <w:sz w:val="20"/>
                <w:szCs w:val="20"/>
              </w:rPr>
              <w:t>4</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4</w:t>
            </w:r>
          </w:p>
        </w:tc>
        <w:tc>
          <w:tcPr>
            <w:tcW w:w="438" w:type="pct"/>
          </w:tcPr>
          <w:p w:rsidR="00260042" w:rsidRPr="00FE6BAC" w:rsidRDefault="00260042" w:rsidP="00FE6BAC">
            <w:pPr>
              <w:pStyle w:val="BodyText"/>
              <w:jc w:val="right"/>
              <w:rPr>
                <w:sz w:val="20"/>
                <w:szCs w:val="20"/>
              </w:rPr>
            </w:pPr>
            <w:r w:rsidRPr="00FE6BAC">
              <w:rPr>
                <w:rStyle w:val="01bodybold"/>
                <w:sz w:val="20"/>
                <w:szCs w:val="20"/>
              </w:rPr>
              <w:t>5,428</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SA</w:t>
            </w:r>
          </w:p>
        </w:tc>
        <w:tc>
          <w:tcPr>
            <w:tcW w:w="437" w:type="pct"/>
          </w:tcPr>
          <w:p w:rsidR="00260042" w:rsidRPr="00FE6BAC" w:rsidRDefault="00260042" w:rsidP="00FE6BAC">
            <w:pPr>
              <w:pStyle w:val="BodyText"/>
              <w:jc w:val="right"/>
              <w:rPr>
                <w:sz w:val="20"/>
                <w:szCs w:val="20"/>
              </w:rPr>
            </w:pPr>
            <w:r w:rsidRPr="00FE6BAC">
              <w:rPr>
                <w:sz w:val="20"/>
                <w:szCs w:val="20"/>
              </w:rPr>
              <w:t>716</w:t>
            </w:r>
          </w:p>
        </w:tc>
        <w:tc>
          <w:tcPr>
            <w:tcW w:w="437" w:type="pct"/>
          </w:tcPr>
          <w:p w:rsidR="00260042" w:rsidRPr="00FE6BAC" w:rsidRDefault="00260042" w:rsidP="00FE6BAC">
            <w:pPr>
              <w:pStyle w:val="BodyText"/>
              <w:jc w:val="right"/>
              <w:rPr>
                <w:sz w:val="20"/>
                <w:szCs w:val="20"/>
              </w:rPr>
            </w:pPr>
            <w:r w:rsidRPr="00FE6BAC">
              <w:rPr>
                <w:sz w:val="20"/>
                <w:szCs w:val="20"/>
              </w:rPr>
              <w:t>78</w:t>
            </w:r>
          </w:p>
        </w:tc>
        <w:tc>
          <w:tcPr>
            <w:tcW w:w="438" w:type="pct"/>
          </w:tcPr>
          <w:p w:rsidR="00260042" w:rsidRPr="00FE6BAC" w:rsidRDefault="00260042" w:rsidP="00FE6BAC">
            <w:pPr>
              <w:pStyle w:val="BodyText"/>
              <w:jc w:val="right"/>
              <w:rPr>
                <w:sz w:val="20"/>
                <w:szCs w:val="20"/>
              </w:rPr>
            </w:pPr>
            <w:r w:rsidRPr="00FE6BAC">
              <w:rPr>
                <w:sz w:val="20"/>
                <w:szCs w:val="20"/>
              </w:rPr>
              <w:t>794</w:t>
            </w:r>
          </w:p>
        </w:tc>
        <w:tc>
          <w:tcPr>
            <w:tcW w:w="437" w:type="pct"/>
          </w:tcPr>
          <w:p w:rsidR="00260042" w:rsidRPr="00FE6BAC" w:rsidRDefault="00260042" w:rsidP="00FE6BAC">
            <w:pPr>
              <w:pStyle w:val="BodyText"/>
              <w:jc w:val="right"/>
              <w:rPr>
                <w:sz w:val="20"/>
                <w:szCs w:val="20"/>
              </w:rPr>
            </w:pPr>
            <w:r w:rsidRPr="00FE6BAC">
              <w:rPr>
                <w:sz w:val="20"/>
                <w:szCs w:val="20"/>
              </w:rPr>
              <w:t>945</w:t>
            </w:r>
          </w:p>
        </w:tc>
        <w:tc>
          <w:tcPr>
            <w:tcW w:w="437" w:type="pct"/>
          </w:tcPr>
          <w:p w:rsidR="00260042" w:rsidRPr="00FE6BAC" w:rsidRDefault="00260042" w:rsidP="00FE6BAC">
            <w:pPr>
              <w:pStyle w:val="BodyText"/>
              <w:jc w:val="right"/>
              <w:rPr>
                <w:sz w:val="20"/>
                <w:szCs w:val="20"/>
              </w:rPr>
            </w:pPr>
            <w:r w:rsidRPr="00FE6BAC">
              <w:rPr>
                <w:sz w:val="20"/>
                <w:szCs w:val="20"/>
              </w:rPr>
              <w:t>568</w:t>
            </w:r>
          </w:p>
        </w:tc>
        <w:tc>
          <w:tcPr>
            <w:tcW w:w="438" w:type="pct"/>
          </w:tcPr>
          <w:p w:rsidR="00260042" w:rsidRPr="00FE6BAC" w:rsidRDefault="00260042" w:rsidP="00FE6BAC">
            <w:pPr>
              <w:pStyle w:val="BodyText"/>
              <w:jc w:val="right"/>
              <w:rPr>
                <w:sz w:val="20"/>
                <w:szCs w:val="20"/>
              </w:rPr>
            </w:pPr>
            <w:r w:rsidRPr="00FE6BAC">
              <w:rPr>
                <w:sz w:val="20"/>
                <w:szCs w:val="20"/>
              </w:rPr>
              <w:t>1,513</w:t>
            </w:r>
          </w:p>
        </w:tc>
        <w:tc>
          <w:tcPr>
            <w:tcW w:w="438" w:type="pct"/>
          </w:tcPr>
          <w:p w:rsidR="00260042" w:rsidRPr="00FE6BAC" w:rsidRDefault="00260042" w:rsidP="00FE6BAC">
            <w:pPr>
              <w:pStyle w:val="BodyText"/>
              <w:jc w:val="right"/>
              <w:rPr>
                <w:sz w:val="20"/>
                <w:szCs w:val="20"/>
              </w:rPr>
            </w:pPr>
            <w:r w:rsidRPr="00FE6BAC">
              <w:rPr>
                <w:sz w:val="20"/>
                <w:szCs w:val="20"/>
              </w:rPr>
              <w:t>5</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5</w:t>
            </w:r>
          </w:p>
        </w:tc>
        <w:tc>
          <w:tcPr>
            <w:tcW w:w="438" w:type="pct"/>
          </w:tcPr>
          <w:p w:rsidR="00260042" w:rsidRPr="00FE6BAC" w:rsidRDefault="00260042" w:rsidP="00FE6BAC">
            <w:pPr>
              <w:pStyle w:val="BodyText"/>
              <w:jc w:val="right"/>
              <w:rPr>
                <w:sz w:val="20"/>
                <w:szCs w:val="20"/>
              </w:rPr>
            </w:pPr>
            <w:r w:rsidRPr="00FE6BAC">
              <w:rPr>
                <w:rStyle w:val="01bodybold"/>
                <w:sz w:val="20"/>
                <w:szCs w:val="20"/>
              </w:rPr>
              <w:t>2,312</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TAS</w:t>
            </w:r>
          </w:p>
        </w:tc>
        <w:tc>
          <w:tcPr>
            <w:tcW w:w="437" w:type="pct"/>
          </w:tcPr>
          <w:p w:rsidR="00260042" w:rsidRPr="00FE6BAC" w:rsidRDefault="00260042" w:rsidP="00FE6BAC">
            <w:pPr>
              <w:pStyle w:val="BodyText"/>
              <w:jc w:val="right"/>
              <w:rPr>
                <w:sz w:val="20"/>
                <w:szCs w:val="20"/>
              </w:rPr>
            </w:pPr>
            <w:r w:rsidRPr="00FE6BAC">
              <w:rPr>
                <w:sz w:val="20"/>
                <w:szCs w:val="20"/>
              </w:rPr>
              <w:t>387</w:t>
            </w:r>
          </w:p>
        </w:tc>
        <w:tc>
          <w:tcPr>
            <w:tcW w:w="437" w:type="pct"/>
          </w:tcPr>
          <w:p w:rsidR="00260042" w:rsidRPr="00FE6BAC" w:rsidRDefault="00260042" w:rsidP="00FE6BAC">
            <w:pPr>
              <w:pStyle w:val="BodyText"/>
              <w:jc w:val="right"/>
              <w:rPr>
                <w:sz w:val="20"/>
                <w:szCs w:val="20"/>
              </w:rPr>
            </w:pPr>
            <w:r w:rsidRPr="00FE6BAC">
              <w:rPr>
                <w:sz w:val="20"/>
                <w:szCs w:val="20"/>
              </w:rPr>
              <w:t>70</w:t>
            </w:r>
          </w:p>
        </w:tc>
        <w:tc>
          <w:tcPr>
            <w:tcW w:w="438" w:type="pct"/>
          </w:tcPr>
          <w:p w:rsidR="00260042" w:rsidRPr="00FE6BAC" w:rsidRDefault="00260042" w:rsidP="00FE6BAC">
            <w:pPr>
              <w:pStyle w:val="BodyText"/>
              <w:jc w:val="right"/>
              <w:rPr>
                <w:sz w:val="20"/>
                <w:szCs w:val="20"/>
              </w:rPr>
            </w:pPr>
            <w:r w:rsidRPr="00FE6BAC">
              <w:rPr>
                <w:sz w:val="20"/>
                <w:szCs w:val="20"/>
              </w:rPr>
              <w:t>457</w:t>
            </w:r>
          </w:p>
        </w:tc>
        <w:tc>
          <w:tcPr>
            <w:tcW w:w="437" w:type="pct"/>
          </w:tcPr>
          <w:p w:rsidR="00260042" w:rsidRPr="00FE6BAC" w:rsidRDefault="00260042" w:rsidP="00FE6BAC">
            <w:pPr>
              <w:pStyle w:val="BodyText"/>
              <w:jc w:val="right"/>
              <w:rPr>
                <w:sz w:val="20"/>
                <w:szCs w:val="20"/>
              </w:rPr>
            </w:pPr>
            <w:r w:rsidRPr="00FE6BAC">
              <w:rPr>
                <w:sz w:val="20"/>
                <w:szCs w:val="20"/>
              </w:rPr>
              <w:t>564</w:t>
            </w:r>
          </w:p>
        </w:tc>
        <w:tc>
          <w:tcPr>
            <w:tcW w:w="437" w:type="pct"/>
          </w:tcPr>
          <w:p w:rsidR="00260042" w:rsidRPr="00FE6BAC" w:rsidRDefault="00260042" w:rsidP="00FE6BAC">
            <w:pPr>
              <w:pStyle w:val="BodyText"/>
              <w:jc w:val="right"/>
              <w:rPr>
                <w:sz w:val="20"/>
                <w:szCs w:val="20"/>
              </w:rPr>
            </w:pPr>
            <w:r w:rsidRPr="00FE6BAC">
              <w:rPr>
                <w:sz w:val="20"/>
                <w:szCs w:val="20"/>
              </w:rPr>
              <w:t>496</w:t>
            </w:r>
          </w:p>
        </w:tc>
        <w:tc>
          <w:tcPr>
            <w:tcW w:w="438" w:type="pct"/>
          </w:tcPr>
          <w:p w:rsidR="00260042" w:rsidRPr="00FE6BAC" w:rsidRDefault="00260042" w:rsidP="00FE6BAC">
            <w:pPr>
              <w:pStyle w:val="BodyText"/>
              <w:jc w:val="right"/>
              <w:rPr>
                <w:sz w:val="20"/>
                <w:szCs w:val="20"/>
              </w:rPr>
            </w:pPr>
            <w:r w:rsidRPr="00FE6BAC">
              <w:rPr>
                <w:sz w:val="20"/>
                <w:szCs w:val="20"/>
              </w:rPr>
              <w:t>1,060</w:t>
            </w:r>
          </w:p>
        </w:tc>
        <w:tc>
          <w:tcPr>
            <w:tcW w:w="438" w:type="pct"/>
          </w:tcPr>
          <w:p w:rsidR="00260042" w:rsidRPr="00FE6BAC" w:rsidRDefault="00260042" w:rsidP="00FE6BAC">
            <w:pPr>
              <w:pStyle w:val="BodyText"/>
              <w:jc w:val="right"/>
              <w:rPr>
                <w:sz w:val="20"/>
                <w:szCs w:val="20"/>
              </w:rPr>
            </w:pPr>
            <w:r w:rsidRPr="00FE6BAC">
              <w:rPr>
                <w:sz w:val="20"/>
                <w:szCs w:val="20"/>
              </w:rPr>
              <w:t>4</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4</w:t>
            </w:r>
          </w:p>
        </w:tc>
        <w:tc>
          <w:tcPr>
            <w:tcW w:w="438" w:type="pct"/>
          </w:tcPr>
          <w:p w:rsidR="00260042" w:rsidRPr="00FE6BAC" w:rsidRDefault="00260042" w:rsidP="00FE6BAC">
            <w:pPr>
              <w:pStyle w:val="BodyText"/>
              <w:jc w:val="right"/>
              <w:rPr>
                <w:sz w:val="20"/>
                <w:szCs w:val="20"/>
              </w:rPr>
            </w:pPr>
            <w:r w:rsidRPr="00FE6BAC">
              <w:rPr>
                <w:rStyle w:val="01bodybold"/>
                <w:sz w:val="20"/>
                <w:szCs w:val="20"/>
              </w:rPr>
              <w:t>1,521</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VIC</w:t>
            </w:r>
          </w:p>
        </w:tc>
        <w:tc>
          <w:tcPr>
            <w:tcW w:w="437" w:type="pct"/>
          </w:tcPr>
          <w:p w:rsidR="00260042" w:rsidRPr="00FE6BAC" w:rsidRDefault="00260042" w:rsidP="00FE6BAC">
            <w:pPr>
              <w:pStyle w:val="BodyText"/>
              <w:jc w:val="right"/>
              <w:rPr>
                <w:sz w:val="20"/>
                <w:szCs w:val="20"/>
              </w:rPr>
            </w:pPr>
            <w:r w:rsidRPr="00FE6BAC">
              <w:rPr>
                <w:sz w:val="20"/>
                <w:szCs w:val="20"/>
              </w:rPr>
              <w:t>1,308</w:t>
            </w:r>
          </w:p>
        </w:tc>
        <w:tc>
          <w:tcPr>
            <w:tcW w:w="437" w:type="pct"/>
          </w:tcPr>
          <w:p w:rsidR="00260042" w:rsidRPr="00FE6BAC" w:rsidRDefault="00260042" w:rsidP="00FE6BAC">
            <w:pPr>
              <w:pStyle w:val="BodyText"/>
              <w:jc w:val="right"/>
              <w:rPr>
                <w:sz w:val="20"/>
                <w:szCs w:val="20"/>
              </w:rPr>
            </w:pPr>
            <w:r w:rsidRPr="00FE6BAC">
              <w:rPr>
                <w:sz w:val="20"/>
                <w:szCs w:val="20"/>
              </w:rPr>
              <w:t>140</w:t>
            </w:r>
          </w:p>
        </w:tc>
        <w:tc>
          <w:tcPr>
            <w:tcW w:w="438" w:type="pct"/>
          </w:tcPr>
          <w:p w:rsidR="00260042" w:rsidRPr="00FE6BAC" w:rsidRDefault="00260042" w:rsidP="00FE6BAC">
            <w:pPr>
              <w:pStyle w:val="BodyText"/>
              <w:jc w:val="right"/>
              <w:rPr>
                <w:sz w:val="20"/>
                <w:szCs w:val="20"/>
              </w:rPr>
            </w:pPr>
            <w:r w:rsidRPr="00FE6BAC">
              <w:rPr>
                <w:sz w:val="20"/>
                <w:szCs w:val="20"/>
              </w:rPr>
              <w:t>1,448</w:t>
            </w:r>
          </w:p>
        </w:tc>
        <w:tc>
          <w:tcPr>
            <w:tcW w:w="437" w:type="pct"/>
          </w:tcPr>
          <w:p w:rsidR="00260042" w:rsidRPr="00FE6BAC" w:rsidRDefault="00260042" w:rsidP="00FE6BAC">
            <w:pPr>
              <w:pStyle w:val="BodyText"/>
              <w:jc w:val="right"/>
              <w:rPr>
                <w:sz w:val="20"/>
                <w:szCs w:val="20"/>
              </w:rPr>
            </w:pPr>
            <w:r w:rsidRPr="00FE6BAC">
              <w:rPr>
                <w:sz w:val="20"/>
                <w:szCs w:val="20"/>
              </w:rPr>
              <w:t>2,327</w:t>
            </w:r>
          </w:p>
        </w:tc>
        <w:tc>
          <w:tcPr>
            <w:tcW w:w="437" w:type="pct"/>
          </w:tcPr>
          <w:p w:rsidR="00260042" w:rsidRPr="00FE6BAC" w:rsidRDefault="00260042" w:rsidP="00FE6BAC">
            <w:pPr>
              <w:pStyle w:val="BodyText"/>
              <w:jc w:val="right"/>
              <w:rPr>
                <w:sz w:val="20"/>
                <w:szCs w:val="20"/>
              </w:rPr>
            </w:pPr>
            <w:r w:rsidRPr="00FE6BAC">
              <w:rPr>
                <w:sz w:val="20"/>
                <w:szCs w:val="20"/>
              </w:rPr>
              <w:t>1,467</w:t>
            </w:r>
          </w:p>
        </w:tc>
        <w:tc>
          <w:tcPr>
            <w:tcW w:w="438" w:type="pct"/>
          </w:tcPr>
          <w:p w:rsidR="00260042" w:rsidRPr="00FE6BAC" w:rsidRDefault="00260042" w:rsidP="00FE6BAC">
            <w:pPr>
              <w:pStyle w:val="BodyText"/>
              <w:jc w:val="right"/>
              <w:rPr>
                <w:sz w:val="20"/>
                <w:szCs w:val="20"/>
              </w:rPr>
            </w:pPr>
            <w:r w:rsidRPr="00FE6BAC">
              <w:rPr>
                <w:sz w:val="20"/>
                <w:szCs w:val="20"/>
              </w:rPr>
              <w:t>3,794</w:t>
            </w:r>
          </w:p>
        </w:tc>
        <w:tc>
          <w:tcPr>
            <w:tcW w:w="438" w:type="pct"/>
          </w:tcPr>
          <w:p w:rsidR="00260042" w:rsidRPr="00FE6BAC" w:rsidRDefault="00260042" w:rsidP="00FE6BAC">
            <w:pPr>
              <w:pStyle w:val="BodyText"/>
              <w:jc w:val="right"/>
              <w:rPr>
                <w:sz w:val="20"/>
                <w:szCs w:val="20"/>
              </w:rPr>
            </w:pPr>
            <w:r w:rsidRPr="00FE6BAC">
              <w:rPr>
                <w:sz w:val="20"/>
                <w:szCs w:val="20"/>
              </w:rPr>
              <w:t>4</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4</w:t>
            </w:r>
          </w:p>
        </w:tc>
        <w:tc>
          <w:tcPr>
            <w:tcW w:w="438" w:type="pct"/>
          </w:tcPr>
          <w:p w:rsidR="00260042" w:rsidRPr="00FE6BAC" w:rsidRDefault="00260042" w:rsidP="00FE6BAC">
            <w:pPr>
              <w:pStyle w:val="BodyText"/>
              <w:jc w:val="right"/>
              <w:rPr>
                <w:sz w:val="20"/>
                <w:szCs w:val="20"/>
              </w:rPr>
            </w:pPr>
            <w:r w:rsidRPr="00FE6BAC">
              <w:rPr>
                <w:rStyle w:val="01bodybold"/>
                <w:sz w:val="20"/>
                <w:szCs w:val="20"/>
              </w:rPr>
              <w:t>5,246</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WA</w:t>
            </w:r>
          </w:p>
        </w:tc>
        <w:tc>
          <w:tcPr>
            <w:tcW w:w="437" w:type="pct"/>
          </w:tcPr>
          <w:p w:rsidR="00260042" w:rsidRPr="00FE6BAC" w:rsidRDefault="00260042" w:rsidP="00FE6BAC">
            <w:pPr>
              <w:pStyle w:val="BodyText"/>
              <w:jc w:val="right"/>
              <w:rPr>
                <w:sz w:val="20"/>
                <w:szCs w:val="20"/>
              </w:rPr>
            </w:pPr>
            <w:r w:rsidRPr="00FE6BAC">
              <w:rPr>
                <w:sz w:val="20"/>
                <w:szCs w:val="20"/>
              </w:rPr>
              <w:t>388</w:t>
            </w:r>
          </w:p>
        </w:tc>
        <w:tc>
          <w:tcPr>
            <w:tcW w:w="437" w:type="pct"/>
          </w:tcPr>
          <w:p w:rsidR="00260042" w:rsidRPr="00FE6BAC" w:rsidRDefault="00260042" w:rsidP="00FE6BAC">
            <w:pPr>
              <w:pStyle w:val="BodyText"/>
              <w:jc w:val="right"/>
              <w:rPr>
                <w:sz w:val="20"/>
                <w:szCs w:val="20"/>
              </w:rPr>
            </w:pPr>
            <w:r w:rsidRPr="00FE6BAC">
              <w:rPr>
                <w:sz w:val="20"/>
                <w:szCs w:val="20"/>
              </w:rPr>
              <w:t>29</w:t>
            </w:r>
          </w:p>
        </w:tc>
        <w:tc>
          <w:tcPr>
            <w:tcW w:w="438" w:type="pct"/>
          </w:tcPr>
          <w:p w:rsidR="00260042" w:rsidRPr="00FE6BAC" w:rsidRDefault="00260042" w:rsidP="00FE6BAC">
            <w:pPr>
              <w:pStyle w:val="BodyText"/>
              <w:jc w:val="right"/>
              <w:rPr>
                <w:sz w:val="20"/>
                <w:szCs w:val="20"/>
              </w:rPr>
            </w:pPr>
            <w:r w:rsidRPr="00FE6BAC">
              <w:rPr>
                <w:sz w:val="20"/>
                <w:szCs w:val="20"/>
              </w:rPr>
              <w:t>417</w:t>
            </w:r>
          </w:p>
        </w:tc>
        <w:tc>
          <w:tcPr>
            <w:tcW w:w="437" w:type="pct"/>
          </w:tcPr>
          <w:p w:rsidR="00260042" w:rsidRPr="00FE6BAC" w:rsidRDefault="00260042" w:rsidP="00FE6BAC">
            <w:pPr>
              <w:pStyle w:val="BodyText"/>
              <w:jc w:val="right"/>
              <w:rPr>
                <w:sz w:val="20"/>
                <w:szCs w:val="20"/>
              </w:rPr>
            </w:pPr>
            <w:r w:rsidRPr="00FE6BAC">
              <w:rPr>
                <w:sz w:val="20"/>
                <w:szCs w:val="20"/>
              </w:rPr>
              <w:t>865</w:t>
            </w:r>
          </w:p>
        </w:tc>
        <w:tc>
          <w:tcPr>
            <w:tcW w:w="437" w:type="pct"/>
          </w:tcPr>
          <w:p w:rsidR="00260042" w:rsidRPr="00FE6BAC" w:rsidRDefault="00260042" w:rsidP="00FE6BAC">
            <w:pPr>
              <w:pStyle w:val="BodyText"/>
              <w:jc w:val="right"/>
              <w:rPr>
                <w:sz w:val="20"/>
                <w:szCs w:val="20"/>
              </w:rPr>
            </w:pPr>
            <w:r w:rsidRPr="00FE6BAC">
              <w:rPr>
                <w:sz w:val="20"/>
                <w:szCs w:val="20"/>
              </w:rPr>
              <w:t>481</w:t>
            </w:r>
          </w:p>
        </w:tc>
        <w:tc>
          <w:tcPr>
            <w:tcW w:w="438" w:type="pct"/>
          </w:tcPr>
          <w:p w:rsidR="00260042" w:rsidRPr="00FE6BAC" w:rsidRDefault="00260042" w:rsidP="00FE6BAC">
            <w:pPr>
              <w:pStyle w:val="BodyText"/>
              <w:jc w:val="right"/>
              <w:rPr>
                <w:sz w:val="20"/>
                <w:szCs w:val="20"/>
              </w:rPr>
            </w:pPr>
            <w:r w:rsidRPr="00FE6BAC">
              <w:rPr>
                <w:sz w:val="20"/>
                <w:szCs w:val="20"/>
              </w:rPr>
              <w:t>1,346</w:t>
            </w:r>
          </w:p>
        </w:tc>
        <w:tc>
          <w:tcPr>
            <w:tcW w:w="438" w:type="pct"/>
          </w:tcPr>
          <w:p w:rsidR="00260042" w:rsidRPr="00FE6BAC" w:rsidRDefault="00260042" w:rsidP="00FE6BAC">
            <w:pPr>
              <w:pStyle w:val="BodyText"/>
              <w:jc w:val="right"/>
              <w:rPr>
                <w:sz w:val="20"/>
                <w:szCs w:val="20"/>
              </w:rPr>
            </w:pPr>
            <w:r w:rsidRPr="00FE6BAC">
              <w:rPr>
                <w:sz w:val="20"/>
                <w:szCs w:val="20"/>
              </w:rPr>
              <w:t>2</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2</w:t>
            </w:r>
          </w:p>
        </w:tc>
        <w:tc>
          <w:tcPr>
            <w:tcW w:w="438" w:type="pct"/>
          </w:tcPr>
          <w:p w:rsidR="00260042" w:rsidRPr="00FE6BAC" w:rsidRDefault="00260042" w:rsidP="00FE6BAC">
            <w:pPr>
              <w:pStyle w:val="BodyText"/>
              <w:jc w:val="right"/>
              <w:rPr>
                <w:sz w:val="20"/>
                <w:szCs w:val="20"/>
              </w:rPr>
            </w:pPr>
            <w:r w:rsidRPr="00FE6BAC">
              <w:rPr>
                <w:rStyle w:val="01bodybold"/>
                <w:sz w:val="20"/>
                <w:szCs w:val="20"/>
              </w:rPr>
              <w:t>1,765</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ACT</w:t>
            </w:r>
          </w:p>
        </w:tc>
        <w:tc>
          <w:tcPr>
            <w:tcW w:w="437" w:type="pct"/>
          </w:tcPr>
          <w:p w:rsidR="00260042" w:rsidRPr="00FE6BAC" w:rsidRDefault="00260042" w:rsidP="00FE6BAC">
            <w:pPr>
              <w:pStyle w:val="BodyText"/>
              <w:jc w:val="right"/>
              <w:rPr>
                <w:sz w:val="20"/>
                <w:szCs w:val="20"/>
              </w:rPr>
            </w:pPr>
            <w:r w:rsidRPr="00FE6BAC">
              <w:rPr>
                <w:sz w:val="20"/>
                <w:szCs w:val="20"/>
              </w:rPr>
              <w:t>1,726</w:t>
            </w:r>
          </w:p>
        </w:tc>
        <w:tc>
          <w:tcPr>
            <w:tcW w:w="437" w:type="pct"/>
          </w:tcPr>
          <w:p w:rsidR="00260042" w:rsidRPr="00FE6BAC" w:rsidRDefault="00260042" w:rsidP="00FE6BAC">
            <w:pPr>
              <w:pStyle w:val="BodyText"/>
              <w:jc w:val="right"/>
              <w:rPr>
                <w:sz w:val="20"/>
                <w:szCs w:val="20"/>
              </w:rPr>
            </w:pPr>
            <w:r w:rsidRPr="00FE6BAC">
              <w:rPr>
                <w:sz w:val="20"/>
                <w:szCs w:val="20"/>
              </w:rPr>
              <w:t>98</w:t>
            </w:r>
          </w:p>
        </w:tc>
        <w:tc>
          <w:tcPr>
            <w:tcW w:w="438" w:type="pct"/>
          </w:tcPr>
          <w:p w:rsidR="00260042" w:rsidRPr="00FE6BAC" w:rsidRDefault="00260042" w:rsidP="00FE6BAC">
            <w:pPr>
              <w:pStyle w:val="BodyText"/>
              <w:jc w:val="right"/>
              <w:rPr>
                <w:sz w:val="20"/>
                <w:szCs w:val="20"/>
              </w:rPr>
            </w:pPr>
            <w:r w:rsidRPr="00FE6BAC">
              <w:rPr>
                <w:sz w:val="20"/>
                <w:szCs w:val="20"/>
              </w:rPr>
              <w:t>1,824</w:t>
            </w:r>
          </w:p>
        </w:tc>
        <w:tc>
          <w:tcPr>
            <w:tcW w:w="437" w:type="pct"/>
          </w:tcPr>
          <w:p w:rsidR="00260042" w:rsidRPr="00FE6BAC" w:rsidRDefault="00260042" w:rsidP="00FE6BAC">
            <w:pPr>
              <w:pStyle w:val="BodyText"/>
              <w:jc w:val="right"/>
              <w:rPr>
                <w:sz w:val="20"/>
                <w:szCs w:val="20"/>
              </w:rPr>
            </w:pPr>
            <w:r w:rsidRPr="00FE6BAC">
              <w:rPr>
                <w:sz w:val="20"/>
                <w:szCs w:val="20"/>
              </w:rPr>
              <w:t>1,730</w:t>
            </w:r>
          </w:p>
        </w:tc>
        <w:tc>
          <w:tcPr>
            <w:tcW w:w="437" w:type="pct"/>
          </w:tcPr>
          <w:p w:rsidR="00260042" w:rsidRPr="00FE6BAC" w:rsidRDefault="00260042" w:rsidP="00FE6BAC">
            <w:pPr>
              <w:pStyle w:val="BodyText"/>
              <w:jc w:val="right"/>
              <w:rPr>
                <w:sz w:val="20"/>
                <w:szCs w:val="20"/>
              </w:rPr>
            </w:pPr>
            <w:r w:rsidRPr="00FE6BAC">
              <w:rPr>
                <w:sz w:val="20"/>
                <w:szCs w:val="20"/>
              </w:rPr>
              <w:t>444</w:t>
            </w:r>
          </w:p>
        </w:tc>
        <w:tc>
          <w:tcPr>
            <w:tcW w:w="438" w:type="pct"/>
          </w:tcPr>
          <w:p w:rsidR="00260042" w:rsidRPr="00FE6BAC" w:rsidRDefault="00260042" w:rsidP="00FE6BAC">
            <w:pPr>
              <w:pStyle w:val="BodyText"/>
              <w:jc w:val="right"/>
              <w:rPr>
                <w:sz w:val="20"/>
                <w:szCs w:val="20"/>
              </w:rPr>
            </w:pPr>
            <w:r w:rsidRPr="00FE6BAC">
              <w:rPr>
                <w:sz w:val="20"/>
                <w:szCs w:val="20"/>
              </w:rPr>
              <w:t>2,174</w:t>
            </w:r>
          </w:p>
        </w:tc>
        <w:tc>
          <w:tcPr>
            <w:tcW w:w="438" w:type="pct"/>
          </w:tcPr>
          <w:p w:rsidR="00260042" w:rsidRPr="00FE6BAC" w:rsidRDefault="00260042" w:rsidP="00FE6BAC">
            <w:pPr>
              <w:pStyle w:val="BodyText"/>
              <w:jc w:val="right"/>
              <w:rPr>
                <w:sz w:val="20"/>
                <w:szCs w:val="20"/>
              </w:rPr>
            </w:pPr>
            <w:r w:rsidRPr="00FE6BAC">
              <w:rPr>
                <w:sz w:val="20"/>
                <w:szCs w:val="20"/>
              </w:rPr>
              <w:t>13</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13</w:t>
            </w:r>
          </w:p>
        </w:tc>
        <w:tc>
          <w:tcPr>
            <w:tcW w:w="438" w:type="pct"/>
          </w:tcPr>
          <w:p w:rsidR="00260042" w:rsidRPr="00FE6BAC" w:rsidRDefault="00260042" w:rsidP="00FE6BAC">
            <w:pPr>
              <w:pStyle w:val="BodyText"/>
              <w:jc w:val="right"/>
              <w:rPr>
                <w:sz w:val="20"/>
                <w:szCs w:val="20"/>
              </w:rPr>
            </w:pPr>
            <w:r w:rsidRPr="00FE6BAC">
              <w:rPr>
                <w:rStyle w:val="01bodybold"/>
                <w:sz w:val="20"/>
                <w:szCs w:val="20"/>
              </w:rPr>
              <w:t>4,011</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NT</w:t>
            </w:r>
          </w:p>
        </w:tc>
        <w:tc>
          <w:tcPr>
            <w:tcW w:w="437" w:type="pct"/>
          </w:tcPr>
          <w:p w:rsidR="00260042" w:rsidRPr="00FE6BAC" w:rsidRDefault="00260042" w:rsidP="00FE6BAC">
            <w:pPr>
              <w:pStyle w:val="BodyText"/>
              <w:jc w:val="right"/>
              <w:rPr>
                <w:sz w:val="20"/>
                <w:szCs w:val="20"/>
              </w:rPr>
            </w:pPr>
            <w:r w:rsidRPr="00FE6BAC">
              <w:rPr>
                <w:sz w:val="20"/>
                <w:szCs w:val="20"/>
              </w:rPr>
              <w:t>75</w:t>
            </w:r>
          </w:p>
        </w:tc>
        <w:tc>
          <w:tcPr>
            <w:tcW w:w="437" w:type="pct"/>
          </w:tcPr>
          <w:p w:rsidR="00260042" w:rsidRPr="00FE6BAC" w:rsidRDefault="00260042" w:rsidP="00FE6BAC">
            <w:pPr>
              <w:pStyle w:val="BodyText"/>
              <w:jc w:val="right"/>
              <w:rPr>
                <w:sz w:val="20"/>
                <w:szCs w:val="20"/>
              </w:rPr>
            </w:pPr>
            <w:r w:rsidRPr="00FE6BAC">
              <w:rPr>
                <w:sz w:val="20"/>
                <w:szCs w:val="20"/>
              </w:rPr>
              <w:t>3</w:t>
            </w:r>
          </w:p>
        </w:tc>
        <w:tc>
          <w:tcPr>
            <w:tcW w:w="438" w:type="pct"/>
          </w:tcPr>
          <w:p w:rsidR="00260042" w:rsidRPr="00FE6BAC" w:rsidRDefault="00260042" w:rsidP="00FE6BAC">
            <w:pPr>
              <w:pStyle w:val="BodyText"/>
              <w:jc w:val="right"/>
              <w:rPr>
                <w:sz w:val="20"/>
                <w:szCs w:val="20"/>
              </w:rPr>
            </w:pPr>
            <w:r w:rsidRPr="00FE6BAC">
              <w:rPr>
                <w:sz w:val="20"/>
                <w:szCs w:val="20"/>
              </w:rPr>
              <w:t>78</w:t>
            </w:r>
          </w:p>
        </w:tc>
        <w:tc>
          <w:tcPr>
            <w:tcW w:w="437" w:type="pct"/>
          </w:tcPr>
          <w:p w:rsidR="00260042" w:rsidRPr="00FE6BAC" w:rsidRDefault="00260042" w:rsidP="00FE6BAC">
            <w:pPr>
              <w:pStyle w:val="BodyText"/>
              <w:jc w:val="right"/>
              <w:rPr>
                <w:sz w:val="20"/>
                <w:szCs w:val="20"/>
              </w:rPr>
            </w:pPr>
            <w:r w:rsidRPr="00FE6BAC">
              <w:rPr>
                <w:sz w:val="20"/>
                <w:szCs w:val="20"/>
              </w:rPr>
              <w:t>241</w:t>
            </w:r>
          </w:p>
        </w:tc>
        <w:tc>
          <w:tcPr>
            <w:tcW w:w="437" w:type="pct"/>
          </w:tcPr>
          <w:p w:rsidR="00260042" w:rsidRPr="00FE6BAC" w:rsidRDefault="00260042" w:rsidP="00FE6BAC">
            <w:pPr>
              <w:pStyle w:val="BodyText"/>
              <w:jc w:val="right"/>
              <w:rPr>
                <w:sz w:val="20"/>
                <w:szCs w:val="20"/>
              </w:rPr>
            </w:pPr>
            <w:r w:rsidRPr="00FE6BAC">
              <w:rPr>
                <w:sz w:val="20"/>
                <w:szCs w:val="20"/>
              </w:rPr>
              <w:t>69</w:t>
            </w:r>
          </w:p>
        </w:tc>
        <w:tc>
          <w:tcPr>
            <w:tcW w:w="438" w:type="pct"/>
          </w:tcPr>
          <w:p w:rsidR="00260042" w:rsidRPr="00FE6BAC" w:rsidRDefault="00260042" w:rsidP="00FE6BAC">
            <w:pPr>
              <w:pStyle w:val="BodyText"/>
              <w:jc w:val="right"/>
              <w:rPr>
                <w:sz w:val="20"/>
                <w:szCs w:val="20"/>
              </w:rPr>
            </w:pPr>
            <w:r w:rsidRPr="00FE6BAC">
              <w:rPr>
                <w:sz w:val="20"/>
                <w:szCs w:val="20"/>
              </w:rPr>
              <w:t>310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rStyle w:val="01bodybold"/>
                <w:sz w:val="20"/>
                <w:szCs w:val="20"/>
              </w:rPr>
              <w:t>388</w:t>
            </w:r>
          </w:p>
        </w:tc>
      </w:tr>
      <w:tr w:rsidR="00260042" w:rsidRPr="00FE6BAC" w:rsidTr="00511254">
        <w:trPr>
          <w:trHeight w:val="616"/>
        </w:trPr>
        <w:tc>
          <w:tcPr>
            <w:tcW w:w="518" w:type="pct"/>
          </w:tcPr>
          <w:p w:rsidR="00260042" w:rsidRPr="00FE6BAC" w:rsidRDefault="00260042" w:rsidP="00FE6BAC">
            <w:pPr>
              <w:pStyle w:val="BodyText"/>
              <w:rPr>
                <w:sz w:val="20"/>
                <w:szCs w:val="20"/>
              </w:rPr>
            </w:pPr>
            <w:r w:rsidRPr="00FE6BAC">
              <w:rPr>
                <w:sz w:val="20"/>
                <w:szCs w:val="20"/>
              </w:rPr>
              <w:t>External territories</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rStyle w:val="01bodybold"/>
                <w:sz w:val="20"/>
                <w:szCs w:val="20"/>
              </w:rPr>
              <w:t>0</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sz w:val="20"/>
                <w:szCs w:val="20"/>
              </w:rPr>
              <w:t>Overseas</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sz w:val="20"/>
                <w:szCs w:val="20"/>
              </w:rPr>
              <w:t>0</w:t>
            </w:r>
          </w:p>
        </w:tc>
        <w:tc>
          <w:tcPr>
            <w:tcW w:w="437" w:type="pct"/>
          </w:tcPr>
          <w:p w:rsidR="00260042" w:rsidRPr="00FE6BAC" w:rsidRDefault="00260042" w:rsidP="00FE6BAC">
            <w:pPr>
              <w:pStyle w:val="BodyText"/>
              <w:jc w:val="right"/>
              <w:rPr>
                <w:sz w:val="20"/>
                <w:szCs w:val="20"/>
              </w:rPr>
            </w:pPr>
            <w:r w:rsidRPr="00FE6BAC">
              <w:rPr>
                <w:sz w:val="20"/>
                <w:szCs w:val="20"/>
              </w:rPr>
              <w:t>0</w:t>
            </w:r>
          </w:p>
        </w:tc>
        <w:tc>
          <w:tcPr>
            <w:tcW w:w="546" w:type="pct"/>
          </w:tcPr>
          <w:p w:rsidR="00260042" w:rsidRPr="00FE6BAC" w:rsidRDefault="00260042" w:rsidP="00FE6BAC">
            <w:pPr>
              <w:pStyle w:val="BodyText"/>
              <w:jc w:val="right"/>
              <w:rPr>
                <w:sz w:val="20"/>
                <w:szCs w:val="20"/>
              </w:rPr>
            </w:pPr>
            <w:r w:rsidRPr="00FE6BAC">
              <w:rPr>
                <w:sz w:val="20"/>
                <w:szCs w:val="20"/>
              </w:rPr>
              <w:t>0</w:t>
            </w:r>
          </w:p>
        </w:tc>
        <w:tc>
          <w:tcPr>
            <w:tcW w:w="438" w:type="pct"/>
          </w:tcPr>
          <w:p w:rsidR="00260042" w:rsidRPr="00FE6BAC" w:rsidRDefault="00260042" w:rsidP="00FE6BAC">
            <w:pPr>
              <w:pStyle w:val="BodyText"/>
              <w:jc w:val="right"/>
              <w:rPr>
                <w:sz w:val="20"/>
                <w:szCs w:val="20"/>
              </w:rPr>
            </w:pPr>
            <w:r w:rsidRPr="00FE6BAC">
              <w:rPr>
                <w:rStyle w:val="01bodybold"/>
                <w:sz w:val="20"/>
                <w:szCs w:val="20"/>
              </w:rPr>
              <w:t>0</w:t>
            </w:r>
          </w:p>
        </w:tc>
      </w:tr>
      <w:tr w:rsidR="00260042" w:rsidRPr="00FE6BAC" w:rsidTr="00511254">
        <w:trPr>
          <w:trHeight w:val="60"/>
        </w:trPr>
        <w:tc>
          <w:tcPr>
            <w:tcW w:w="518" w:type="pct"/>
          </w:tcPr>
          <w:p w:rsidR="00260042" w:rsidRPr="00FE6BAC" w:rsidRDefault="00260042" w:rsidP="00FE6BAC">
            <w:pPr>
              <w:pStyle w:val="BodyText"/>
              <w:rPr>
                <w:sz w:val="20"/>
                <w:szCs w:val="20"/>
              </w:rPr>
            </w:pPr>
            <w:r w:rsidRPr="00FE6BAC">
              <w:rPr>
                <w:rStyle w:val="01bodybold"/>
                <w:sz w:val="20"/>
                <w:szCs w:val="20"/>
              </w:rPr>
              <w:t>Total</w:t>
            </w:r>
          </w:p>
        </w:tc>
        <w:tc>
          <w:tcPr>
            <w:tcW w:w="437" w:type="pct"/>
          </w:tcPr>
          <w:p w:rsidR="00260042" w:rsidRPr="00FE6BAC" w:rsidRDefault="00260042" w:rsidP="00FE6BAC">
            <w:pPr>
              <w:pStyle w:val="BodyText"/>
              <w:jc w:val="right"/>
              <w:rPr>
                <w:sz w:val="20"/>
                <w:szCs w:val="20"/>
              </w:rPr>
            </w:pPr>
            <w:r w:rsidRPr="00FE6BAC">
              <w:rPr>
                <w:rStyle w:val="01bodybold"/>
                <w:sz w:val="20"/>
                <w:szCs w:val="20"/>
              </w:rPr>
              <w:t>7,268</w:t>
            </w:r>
          </w:p>
        </w:tc>
        <w:tc>
          <w:tcPr>
            <w:tcW w:w="437" w:type="pct"/>
          </w:tcPr>
          <w:p w:rsidR="00260042" w:rsidRPr="00FE6BAC" w:rsidRDefault="00260042" w:rsidP="00FE6BAC">
            <w:pPr>
              <w:pStyle w:val="BodyText"/>
              <w:jc w:val="right"/>
              <w:rPr>
                <w:sz w:val="20"/>
                <w:szCs w:val="20"/>
              </w:rPr>
            </w:pPr>
            <w:r w:rsidRPr="00FE6BAC">
              <w:rPr>
                <w:rStyle w:val="01bodybold"/>
                <w:sz w:val="20"/>
                <w:szCs w:val="20"/>
              </w:rPr>
              <w:t>705</w:t>
            </w:r>
          </w:p>
        </w:tc>
        <w:tc>
          <w:tcPr>
            <w:tcW w:w="438" w:type="pct"/>
          </w:tcPr>
          <w:p w:rsidR="00260042" w:rsidRPr="00FE6BAC" w:rsidRDefault="00260042" w:rsidP="00FE6BAC">
            <w:pPr>
              <w:pStyle w:val="BodyText"/>
              <w:jc w:val="right"/>
              <w:rPr>
                <w:sz w:val="20"/>
                <w:szCs w:val="20"/>
              </w:rPr>
            </w:pPr>
            <w:r w:rsidRPr="00FE6BAC">
              <w:rPr>
                <w:rStyle w:val="01bodybold"/>
                <w:sz w:val="20"/>
                <w:szCs w:val="20"/>
              </w:rPr>
              <w:t>7,973</w:t>
            </w:r>
          </w:p>
        </w:tc>
        <w:tc>
          <w:tcPr>
            <w:tcW w:w="437" w:type="pct"/>
          </w:tcPr>
          <w:p w:rsidR="00260042" w:rsidRPr="00FE6BAC" w:rsidRDefault="00260042" w:rsidP="00FE6BAC">
            <w:pPr>
              <w:pStyle w:val="BodyText"/>
              <w:jc w:val="right"/>
              <w:rPr>
                <w:sz w:val="20"/>
                <w:szCs w:val="20"/>
              </w:rPr>
            </w:pPr>
            <w:r w:rsidRPr="00FE6BAC">
              <w:rPr>
                <w:rStyle w:val="01bodybold"/>
                <w:sz w:val="20"/>
                <w:szCs w:val="20"/>
              </w:rPr>
              <w:t>12,672</w:t>
            </w:r>
          </w:p>
        </w:tc>
        <w:tc>
          <w:tcPr>
            <w:tcW w:w="437" w:type="pct"/>
          </w:tcPr>
          <w:p w:rsidR="00260042" w:rsidRPr="00FE6BAC" w:rsidRDefault="00260042" w:rsidP="00FE6BAC">
            <w:pPr>
              <w:pStyle w:val="BodyText"/>
              <w:jc w:val="right"/>
              <w:rPr>
                <w:sz w:val="20"/>
                <w:szCs w:val="20"/>
              </w:rPr>
            </w:pPr>
            <w:r w:rsidRPr="00FE6BAC">
              <w:rPr>
                <w:rStyle w:val="01bodybold"/>
                <w:sz w:val="20"/>
                <w:szCs w:val="20"/>
              </w:rPr>
              <w:t>6,867</w:t>
            </w:r>
          </w:p>
        </w:tc>
        <w:tc>
          <w:tcPr>
            <w:tcW w:w="438" w:type="pct"/>
          </w:tcPr>
          <w:p w:rsidR="00260042" w:rsidRPr="00FE6BAC" w:rsidRDefault="00260042" w:rsidP="00FE6BAC">
            <w:pPr>
              <w:pStyle w:val="BodyText"/>
              <w:jc w:val="right"/>
              <w:rPr>
                <w:sz w:val="20"/>
                <w:szCs w:val="20"/>
              </w:rPr>
            </w:pPr>
            <w:r w:rsidRPr="00FE6BAC">
              <w:rPr>
                <w:rStyle w:val="01bodybold"/>
                <w:sz w:val="20"/>
                <w:szCs w:val="20"/>
              </w:rPr>
              <w:t>19,539</w:t>
            </w:r>
          </w:p>
        </w:tc>
        <w:tc>
          <w:tcPr>
            <w:tcW w:w="438" w:type="pct"/>
          </w:tcPr>
          <w:p w:rsidR="00260042" w:rsidRPr="00FE6BAC" w:rsidRDefault="00260042" w:rsidP="00FE6BAC">
            <w:pPr>
              <w:pStyle w:val="BodyText"/>
              <w:jc w:val="right"/>
              <w:rPr>
                <w:sz w:val="20"/>
                <w:szCs w:val="20"/>
              </w:rPr>
            </w:pPr>
            <w:r w:rsidRPr="00FE6BAC">
              <w:rPr>
                <w:rStyle w:val="01bodybold"/>
                <w:sz w:val="20"/>
                <w:szCs w:val="20"/>
              </w:rPr>
              <w:t>36</w:t>
            </w:r>
          </w:p>
        </w:tc>
        <w:tc>
          <w:tcPr>
            <w:tcW w:w="437" w:type="pct"/>
          </w:tcPr>
          <w:p w:rsidR="00260042" w:rsidRPr="00FE6BAC" w:rsidRDefault="00260042" w:rsidP="00FE6BAC">
            <w:pPr>
              <w:pStyle w:val="BodyText"/>
              <w:jc w:val="right"/>
              <w:rPr>
                <w:sz w:val="20"/>
                <w:szCs w:val="20"/>
              </w:rPr>
            </w:pPr>
            <w:r w:rsidRPr="00FE6BAC">
              <w:rPr>
                <w:rStyle w:val="01bodybold"/>
                <w:sz w:val="20"/>
                <w:szCs w:val="20"/>
              </w:rPr>
              <w:t>1</w:t>
            </w:r>
          </w:p>
        </w:tc>
        <w:tc>
          <w:tcPr>
            <w:tcW w:w="546" w:type="pct"/>
          </w:tcPr>
          <w:p w:rsidR="00260042" w:rsidRPr="00FE6BAC" w:rsidRDefault="00260042" w:rsidP="00FE6BAC">
            <w:pPr>
              <w:pStyle w:val="BodyText"/>
              <w:jc w:val="right"/>
              <w:rPr>
                <w:sz w:val="20"/>
                <w:szCs w:val="20"/>
              </w:rPr>
            </w:pPr>
            <w:r w:rsidRPr="00FE6BAC">
              <w:rPr>
                <w:rStyle w:val="01bodybold"/>
                <w:sz w:val="20"/>
                <w:szCs w:val="20"/>
              </w:rPr>
              <w:t>37</w:t>
            </w:r>
          </w:p>
        </w:tc>
        <w:tc>
          <w:tcPr>
            <w:tcW w:w="438" w:type="pct"/>
          </w:tcPr>
          <w:p w:rsidR="00260042" w:rsidRPr="00FE6BAC" w:rsidRDefault="00260042" w:rsidP="00FE6BAC">
            <w:pPr>
              <w:pStyle w:val="BodyText"/>
              <w:jc w:val="right"/>
              <w:rPr>
                <w:sz w:val="20"/>
                <w:szCs w:val="20"/>
              </w:rPr>
            </w:pPr>
            <w:r w:rsidRPr="00FE6BAC">
              <w:rPr>
                <w:rStyle w:val="01bodybold"/>
                <w:sz w:val="20"/>
                <w:szCs w:val="20"/>
              </w:rPr>
              <w:t>27,549</w:t>
            </w:r>
          </w:p>
        </w:tc>
      </w:tr>
    </w:tbl>
    <w:p w:rsidR="00260042" w:rsidRPr="00EA5510" w:rsidRDefault="00511254" w:rsidP="00EA5510">
      <w:pPr>
        <w:pStyle w:val="BodyText"/>
        <w:rPr>
          <w:b/>
        </w:rPr>
      </w:pPr>
      <w:r>
        <w:rPr>
          <w:rStyle w:val="Bold"/>
          <w:bCs w:val="0"/>
        </w:rPr>
        <w:t>Table 5</w:t>
      </w:r>
      <w:r>
        <w:rPr>
          <w:rStyle w:val="Bold"/>
          <w:bCs w:val="0"/>
        </w:rPr>
        <w:t>7</w:t>
      </w:r>
      <w:r w:rsidR="00260042" w:rsidRPr="00EA5510">
        <w:rPr>
          <w:b/>
        </w:rPr>
        <w:t xml:space="preserve"> </w:t>
      </w:r>
      <w:proofErr w:type="gramStart"/>
      <w:r w:rsidR="00260042" w:rsidRPr="00EA5510">
        <w:rPr>
          <w:b/>
        </w:rPr>
        <w:t>All</w:t>
      </w:r>
      <w:proofErr w:type="gramEnd"/>
      <w:r w:rsidR="00260042" w:rsidRPr="00EA5510">
        <w:rPr>
          <w:b/>
        </w:rPr>
        <w:t xml:space="preserve"> non-ongoing employees 2020–21</w:t>
      </w:r>
      <w:r w:rsidR="00260042" w:rsidRPr="00EA5510">
        <w:rPr>
          <w:b/>
          <w:vertAlign w:val="superscript"/>
        </w:rPr>
        <w:t>(a)</w:t>
      </w:r>
    </w:p>
    <w:tbl>
      <w:tblPr>
        <w:tblStyle w:val="TableGrid"/>
        <w:tblW w:w="5000" w:type="pct"/>
        <w:tblLook w:val="0000" w:firstRow="0" w:lastRow="0" w:firstColumn="0" w:lastColumn="0" w:noHBand="0" w:noVBand="0"/>
        <w:tblCaption w:val=" All non-ongoing employees 2020–21(a)"/>
      </w:tblPr>
      <w:tblGrid>
        <w:gridCol w:w="1117"/>
        <w:gridCol w:w="943"/>
        <w:gridCol w:w="943"/>
        <w:gridCol w:w="945"/>
        <w:gridCol w:w="943"/>
        <w:gridCol w:w="943"/>
        <w:gridCol w:w="945"/>
        <w:gridCol w:w="945"/>
        <w:gridCol w:w="943"/>
        <w:gridCol w:w="1178"/>
        <w:gridCol w:w="945"/>
      </w:tblGrid>
      <w:tr w:rsidR="00260042" w:rsidRPr="001C2FF3" w:rsidTr="001C2FF3">
        <w:trPr>
          <w:trHeight w:val="60"/>
          <w:tblHeader/>
        </w:trPr>
        <w:tc>
          <w:tcPr>
            <w:tcW w:w="517" w:type="pct"/>
          </w:tcPr>
          <w:p w:rsidR="00260042" w:rsidRPr="001C2FF3" w:rsidRDefault="00260042" w:rsidP="001C2FF3">
            <w:pPr>
              <w:pStyle w:val="BodyText"/>
              <w:rPr>
                <w:b/>
                <w:sz w:val="20"/>
                <w:szCs w:val="20"/>
              </w:rPr>
            </w:pPr>
          </w:p>
        </w:tc>
        <w:tc>
          <w:tcPr>
            <w:tcW w:w="1312" w:type="pct"/>
            <w:gridSpan w:val="3"/>
          </w:tcPr>
          <w:p w:rsidR="00260042" w:rsidRPr="001C2FF3" w:rsidRDefault="00260042" w:rsidP="001C2FF3">
            <w:pPr>
              <w:pStyle w:val="BodyText"/>
              <w:jc w:val="center"/>
              <w:rPr>
                <w:b/>
                <w:sz w:val="20"/>
                <w:szCs w:val="20"/>
              </w:rPr>
            </w:pPr>
            <w:r w:rsidRPr="001C2FF3">
              <w:rPr>
                <w:b/>
                <w:sz w:val="20"/>
                <w:szCs w:val="20"/>
              </w:rPr>
              <w:t>Male</w:t>
            </w:r>
          </w:p>
        </w:tc>
        <w:tc>
          <w:tcPr>
            <w:tcW w:w="1312" w:type="pct"/>
            <w:gridSpan w:val="3"/>
          </w:tcPr>
          <w:p w:rsidR="00260042" w:rsidRPr="001C2FF3" w:rsidRDefault="00260042" w:rsidP="001C2FF3">
            <w:pPr>
              <w:pStyle w:val="BodyText"/>
              <w:jc w:val="center"/>
              <w:rPr>
                <w:b/>
                <w:sz w:val="20"/>
                <w:szCs w:val="20"/>
              </w:rPr>
            </w:pPr>
            <w:r w:rsidRPr="001C2FF3">
              <w:rPr>
                <w:b/>
                <w:sz w:val="20"/>
                <w:szCs w:val="20"/>
              </w:rPr>
              <w:t>Female</w:t>
            </w:r>
          </w:p>
        </w:tc>
        <w:tc>
          <w:tcPr>
            <w:tcW w:w="1421" w:type="pct"/>
            <w:gridSpan w:val="3"/>
          </w:tcPr>
          <w:p w:rsidR="00260042" w:rsidRPr="001C2FF3" w:rsidRDefault="00260042" w:rsidP="001C2FF3">
            <w:pPr>
              <w:pStyle w:val="BodyText"/>
              <w:jc w:val="center"/>
              <w:rPr>
                <w:b/>
                <w:sz w:val="20"/>
                <w:szCs w:val="20"/>
              </w:rPr>
            </w:pPr>
            <w:r w:rsidRPr="001C2FF3">
              <w:rPr>
                <w:b/>
                <w:sz w:val="20"/>
                <w:szCs w:val="20"/>
              </w:rPr>
              <w:t>Non-binary</w:t>
            </w:r>
          </w:p>
        </w:tc>
        <w:tc>
          <w:tcPr>
            <w:tcW w:w="438" w:type="pct"/>
          </w:tcPr>
          <w:p w:rsidR="00260042" w:rsidRPr="001C2FF3" w:rsidRDefault="00260042" w:rsidP="001C2FF3">
            <w:pPr>
              <w:pStyle w:val="BodyText"/>
              <w:jc w:val="right"/>
              <w:rPr>
                <w:b/>
                <w:sz w:val="20"/>
                <w:szCs w:val="20"/>
              </w:rPr>
            </w:pPr>
          </w:p>
        </w:tc>
      </w:tr>
      <w:tr w:rsidR="00260042" w:rsidRPr="001C2FF3" w:rsidTr="001C2FF3">
        <w:trPr>
          <w:trHeight w:val="60"/>
          <w:tblHeader/>
        </w:trPr>
        <w:tc>
          <w:tcPr>
            <w:tcW w:w="517" w:type="pct"/>
          </w:tcPr>
          <w:p w:rsidR="00260042" w:rsidRPr="001C2FF3" w:rsidRDefault="00260042" w:rsidP="001C2FF3">
            <w:pPr>
              <w:pStyle w:val="BodyText"/>
              <w:rPr>
                <w:b/>
                <w:sz w:val="20"/>
                <w:szCs w:val="20"/>
              </w:rPr>
            </w:pPr>
          </w:p>
        </w:tc>
        <w:tc>
          <w:tcPr>
            <w:tcW w:w="437" w:type="pct"/>
          </w:tcPr>
          <w:p w:rsidR="00260042" w:rsidRPr="001C2FF3" w:rsidRDefault="00260042" w:rsidP="001C2FF3">
            <w:pPr>
              <w:pStyle w:val="BodyText"/>
              <w:jc w:val="right"/>
              <w:rPr>
                <w:b/>
                <w:sz w:val="20"/>
                <w:szCs w:val="20"/>
              </w:rPr>
            </w:pPr>
            <w:r w:rsidRPr="001C2FF3">
              <w:rPr>
                <w:rStyle w:val="Bold"/>
                <w:sz w:val="20"/>
                <w:szCs w:val="20"/>
              </w:rPr>
              <w:t>Full-time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Part-time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Total Male</w:t>
            </w:r>
          </w:p>
        </w:tc>
        <w:tc>
          <w:tcPr>
            <w:tcW w:w="437" w:type="pct"/>
          </w:tcPr>
          <w:p w:rsidR="00260042" w:rsidRPr="001C2FF3" w:rsidRDefault="00260042" w:rsidP="001C2FF3">
            <w:pPr>
              <w:pStyle w:val="BodyText"/>
              <w:jc w:val="right"/>
              <w:rPr>
                <w:b/>
                <w:sz w:val="20"/>
                <w:szCs w:val="20"/>
              </w:rPr>
            </w:pPr>
            <w:r w:rsidRPr="001C2FF3">
              <w:rPr>
                <w:rStyle w:val="Bold"/>
                <w:sz w:val="20"/>
                <w:szCs w:val="20"/>
              </w:rPr>
              <w:t>Full-time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Part-time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Total Female</w:t>
            </w:r>
          </w:p>
        </w:tc>
        <w:tc>
          <w:tcPr>
            <w:tcW w:w="438" w:type="pct"/>
          </w:tcPr>
          <w:p w:rsidR="00260042" w:rsidRPr="001C2FF3" w:rsidRDefault="00260042" w:rsidP="001C2FF3">
            <w:pPr>
              <w:pStyle w:val="BodyText"/>
              <w:jc w:val="right"/>
              <w:rPr>
                <w:b/>
                <w:sz w:val="20"/>
                <w:szCs w:val="20"/>
              </w:rPr>
            </w:pPr>
            <w:r w:rsidRPr="001C2FF3">
              <w:rPr>
                <w:rStyle w:val="Bold"/>
                <w:sz w:val="20"/>
                <w:szCs w:val="20"/>
              </w:rPr>
              <w:t>Full-time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Part-time</w:t>
            </w:r>
          </w:p>
        </w:tc>
        <w:tc>
          <w:tcPr>
            <w:tcW w:w="545" w:type="pct"/>
          </w:tcPr>
          <w:p w:rsidR="00260042" w:rsidRPr="001C2FF3" w:rsidRDefault="00260042" w:rsidP="001C2FF3">
            <w:pPr>
              <w:pStyle w:val="BodyText"/>
              <w:jc w:val="right"/>
              <w:rPr>
                <w:b/>
                <w:sz w:val="20"/>
                <w:szCs w:val="20"/>
              </w:rPr>
            </w:pPr>
            <w:r w:rsidRPr="001C2FF3">
              <w:rPr>
                <w:rStyle w:val="Bold"/>
                <w:sz w:val="20"/>
                <w:szCs w:val="20"/>
              </w:rPr>
              <w:t xml:space="preserve">Total </w:t>
            </w:r>
            <w:r w:rsidRPr="001C2FF3">
              <w:rPr>
                <w:rStyle w:val="Bold"/>
                <w:spacing w:val="-4"/>
                <w:sz w:val="20"/>
                <w:szCs w:val="20"/>
              </w:rPr>
              <w:t>Non-binary</w:t>
            </w:r>
          </w:p>
        </w:tc>
        <w:tc>
          <w:tcPr>
            <w:tcW w:w="438" w:type="pct"/>
          </w:tcPr>
          <w:p w:rsidR="00260042" w:rsidRPr="001C2FF3" w:rsidRDefault="00260042" w:rsidP="001C2FF3">
            <w:pPr>
              <w:pStyle w:val="BodyText"/>
              <w:jc w:val="right"/>
              <w:rPr>
                <w:b/>
                <w:sz w:val="20"/>
                <w:szCs w:val="20"/>
              </w:rPr>
            </w:pPr>
            <w:r w:rsidRPr="001C2FF3">
              <w:rPr>
                <w:rStyle w:val="Bold"/>
                <w:sz w:val="20"/>
                <w:szCs w:val="20"/>
              </w:rPr>
              <w:t>Total</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NSW</w:t>
            </w:r>
          </w:p>
        </w:tc>
        <w:tc>
          <w:tcPr>
            <w:tcW w:w="437" w:type="pct"/>
          </w:tcPr>
          <w:p w:rsidR="00260042" w:rsidRPr="001C2FF3" w:rsidRDefault="00260042" w:rsidP="001C2FF3">
            <w:pPr>
              <w:pStyle w:val="BodyText"/>
              <w:jc w:val="right"/>
              <w:rPr>
                <w:sz w:val="20"/>
                <w:szCs w:val="20"/>
              </w:rPr>
            </w:pPr>
            <w:r w:rsidRPr="001C2FF3">
              <w:rPr>
                <w:sz w:val="20"/>
                <w:szCs w:val="20"/>
              </w:rPr>
              <w:t>273</w:t>
            </w:r>
          </w:p>
        </w:tc>
        <w:tc>
          <w:tcPr>
            <w:tcW w:w="437" w:type="pct"/>
          </w:tcPr>
          <w:p w:rsidR="00260042" w:rsidRPr="001C2FF3" w:rsidRDefault="00260042" w:rsidP="001C2FF3">
            <w:pPr>
              <w:pStyle w:val="BodyText"/>
              <w:jc w:val="right"/>
              <w:rPr>
                <w:sz w:val="20"/>
                <w:szCs w:val="20"/>
              </w:rPr>
            </w:pPr>
            <w:r w:rsidRPr="001C2FF3">
              <w:rPr>
                <w:sz w:val="20"/>
                <w:szCs w:val="20"/>
              </w:rPr>
              <w:t>178</w:t>
            </w:r>
          </w:p>
        </w:tc>
        <w:tc>
          <w:tcPr>
            <w:tcW w:w="437" w:type="pct"/>
          </w:tcPr>
          <w:p w:rsidR="00260042" w:rsidRPr="001C2FF3" w:rsidRDefault="00260042" w:rsidP="001C2FF3">
            <w:pPr>
              <w:pStyle w:val="BodyText"/>
              <w:jc w:val="right"/>
              <w:rPr>
                <w:sz w:val="20"/>
                <w:szCs w:val="20"/>
              </w:rPr>
            </w:pPr>
            <w:r w:rsidRPr="001C2FF3">
              <w:rPr>
                <w:sz w:val="20"/>
                <w:szCs w:val="20"/>
              </w:rPr>
              <w:t>451</w:t>
            </w:r>
          </w:p>
        </w:tc>
        <w:tc>
          <w:tcPr>
            <w:tcW w:w="437" w:type="pct"/>
          </w:tcPr>
          <w:p w:rsidR="00260042" w:rsidRPr="001C2FF3" w:rsidRDefault="00260042" w:rsidP="001C2FF3">
            <w:pPr>
              <w:pStyle w:val="BodyText"/>
              <w:jc w:val="right"/>
              <w:rPr>
                <w:sz w:val="20"/>
                <w:szCs w:val="20"/>
              </w:rPr>
            </w:pPr>
            <w:r w:rsidRPr="001C2FF3">
              <w:rPr>
                <w:sz w:val="20"/>
                <w:szCs w:val="20"/>
              </w:rPr>
              <w:t>677</w:t>
            </w:r>
          </w:p>
        </w:tc>
        <w:tc>
          <w:tcPr>
            <w:tcW w:w="437" w:type="pct"/>
          </w:tcPr>
          <w:p w:rsidR="00260042" w:rsidRPr="001C2FF3" w:rsidRDefault="00260042" w:rsidP="001C2FF3">
            <w:pPr>
              <w:pStyle w:val="BodyText"/>
              <w:jc w:val="right"/>
              <w:rPr>
                <w:sz w:val="20"/>
                <w:szCs w:val="20"/>
              </w:rPr>
            </w:pPr>
            <w:r w:rsidRPr="001C2FF3">
              <w:rPr>
                <w:sz w:val="20"/>
                <w:szCs w:val="20"/>
              </w:rPr>
              <w:t>689</w:t>
            </w:r>
          </w:p>
        </w:tc>
        <w:tc>
          <w:tcPr>
            <w:tcW w:w="437" w:type="pct"/>
          </w:tcPr>
          <w:p w:rsidR="00260042" w:rsidRPr="001C2FF3" w:rsidRDefault="00260042" w:rsidP="001C2FF3">
            <w:pPr>
              <w:pStyle w:val="BodyText"/>
              <w:jc w:val="right"/>
              <w:rPr>
                <w:sz w:val="20"/>
                <w:szCs w:val="20"/>
              </w:rPr>
            </w:pPr>
            <w:r w:rsidRPr="001C2FF3">
              <w:rPr>
                <w:sz w:val="20"/>
                <w:szCs w:val="20"/>
              </w:rPr>
              <w:t>1,366</w:t>
            </w:r>
          </w:p>
        </w:tc>
        <w:tc>
          <w:tcPr>
            <w:tcW w:w="438" w:type="pct"/>
          </w:tcPr>
          <w:p w:rsidR="00260042" w:rsidRPr="001C2FF3" w:rsidRDefault="00260042" w:rsidP="001C2FF3">
            <w:pPr>
              <w:pStyle w:val="BodyText"/>
              <w:jc w:val="right"/>
              <w:rPr>
                <w:sz w:val="20"/>
                <w:szCs w:val="20"/>
              </w:rPr>
            </w:pPr>
            <w:r w:rsidRPr="001C2FF3">
              <w:rPr>
                <w:sz w:val="20"/>
                <w:szCs w:val="20"/>
              </w:rPr>
              <w:t>6</w:t>
            </w:r>
          </w:p>
        </w:tc>
        <w:tc>
          <w:tcPr>
            <w:tcW w:w="437" w:type="pct"/>
          </w:tcPr>
          <w:p w:rsidR="00260042" w:rsidRPr="001C2FF3" w:rsidRDefault="00260042" w:rsidP="001C2FF3">
            <w:pPr>
              <w:pStyle w:val="BodyText"/>
              <w:jc w:val="right"/>
              <w:rPr>
                <w:sz w:val="20"/>
                <w:szCs w:val="20"/>
              </w:rPr>
            </w:pPr>
            <w:r w:rsidRPr="001C2FF3">
              <w:rPr>
                <w:sz w:val="20"/>
                <w:szCs w:val="20"/>
              </w:rPr>
              <w:t>1</w:t>
            </w:r>
          </w:p>
        </w:tc>
        <w:tc>
          <w:tcPr>
            <w:tcW w:w="545" w:type="pct"/>
          </w:tcPr>
          <w:p w:rsidR="00260042" w:rsidRPr="001C2FF3" w:rsidRDefault="00260042" w:rsidP="001C2FF3">
            <w:pPr>
              <w:pStyle w:val="BodyText"/>
              <w:jc w:val="right"/>
              <w:rPr>
                <w:sz w:val="20"/>
                <w:szCs w:val="20"/>
              </w:rPr>
            </w:pPr>
            <w:r w:rsidRPr="001C2FF3">
              <w:rPr>
                <w:sz w:val="20"/>
                <w:szCs w:val="20"/>
              </w:rPr>
              <w:t>7</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1,824</w:t>
            </w:r>
          </w:p>
        </w:tc>
      </w:tr>
      <w:tr w:rsidR="00260042" w:rsidRPr="001C2FF3" w:rsidTr="001C2FF3">
        <w:trPr>
          <w:trHeight w:val="305"/>
        </w:trPr>
        <w:tc>
          <w:tcPr>
            <w:tcW w:w="517" w:type="pct"/>
          </w:tcPr>
          <w:p w:rsidR="00260042" w:rsidRPr="001C2FF3" w:rsidRDefault="00260042" w:rsidP="001C2FF3">
            <w:pPr>
              <w:pStyle w:val="BodyText"/>
              <w:rPr>
                <w:sz w:val="20"/>
                <w:szCs w:val="20"/>
              </w:rPr>
            </w:pPr>
            <w:r w:rsidRPr="001C2FF3">
              <w:rPr>
                <w:sz w:val="20"/>
                <w:szCs w:val="20"/>
              </w:rPr>
              <w:t>QLD</w:t>
            </w:r>
          </w:p>
        </w:tc>
        <w:tc>
          <w:tcPr>
            <w:tcW w:w="437" w:type="pct"/>
          </w:tcPr>
          <w:p w:rsidR="00260042" w:rsidRPr="001C2FF3" w:rsidRDefault="00260042" w:rsidP="001C2FF3">
            <w:pPr>
              <w:pStyle w:val="BodyText"/>
              <w:jc w:val="right"/>
              <w:rPr>
                <w:sz w:val="20"/>
                <w:szCs w:val="20"/>
              </w:rPr>
            </w:pPr>
            <w:r w:rsidRPr="001C2FF3">
              <w:rPr>
                <w:sz w:val="20"/>
                <w:szCs w:val="20"/>
              </w:rPr>
              <w:t>289</w:t>
            </w:r>
          </w:p>
        </w:tc>
        <w:tc>
          <w:tcPr>
            <w:tcW w:w="437" w:type="pct"/>
          </w:tcPr>
          <w:p w:rsidR="00260042" w:rsidRPr="001C2FF3" w:rsidRDefault="00260042" w:rsidP="001C2FF3">
            <w:pPr>
              <w:pStyle w:val="BodyText"/>
              <w:jc w:val="right"/>
              <w:rPr>
                <w:sz w:val="20"/>
                <w:szCs w:val="20"/>
              </w:rPr>
            </w:pPr>
            <w:r w:rsidRPr="001C2FF3">
              <w:rPr>
                <w:sz w:val="20"/>
                <w:szCs w:val="20"/>
              </w:rPr>
              <w:t>218</w:t>
            </w:r>
          </w:p>
        </w:tc>
        <w:tc>
          <w:tcPr>
            <w:tcW w:w="437" w:type="pct"/>
          </w:tcPr>
          <w:p w:rsidR="00260042" w:rsidRPr="001C2FF3" w:rsidRDefault="00260042" w:rsidP="001C2FF3">
            <w:pPr>
              <w:pStyle w:val="BodyText"/>
              <w:jc w:val="right"/>
              <w:rPr>
                <w:sz w:val="20"/>
                <w:szCs w:val="20"/>
              </w:rPr>
            </w:pPr>
            <w:r w:rsidRPr="001C2FF3">
              <w:rPr>
                <w:sz w:val="20"/>
                <w:szCs w:val="20"/>
              </w:rPr>
              <w:t>507</w:t>
            </w:r>
          </w:p>
        </w:tc>
        <w:tc>
          <w:tcPr>
            <w:tcW w:w="437" w:type="pct"/>
          </w:tcPr>
          <w:p w:rsidR="00260042" w:rsidRPr="001C2FF3" w:rsidRDefault="00260042" w:rsidP="001C2FF3">
            <w:pPr>
              <w:pStyle w:val="BodyText"/>
              <w:jc w:val="right"/>
              <w:rPr>
                <w:sz w:val="20"/>
                <w:szCs w:val="20"/>
              </w:rPr>
            </w:pPr>
            <w:r w:rsidRPr="001C2FF3">
              <w:rPr>
                <w:sz w:val="20"/>
                <w:szCs w:val="20"/>
              </w:rPr>
              <w:t>562</w:t>
            </w:r>
          </w:p>
        </w:tc>
        <w:tc>
          <w:tcPr>
            <w:tcW w:w="437" w:type="pct"/>
          </w:tcPr>
          <w:p w:rsidR="00260042" w:rsidRPr="001C2FF3" w:rsidRDefault="00260042" w:rsidP="001C2FF3">
            <w:pPr>
              <w:pStyle w:val="BodyText"/>
              <w:jc w:val="right"/>
              <w:rPr>
                <w:sz w:val="20"/>
                <w:szCs w:val="20"/>
              </w:rPr>
            </w:pPr>
            <w:r w:rsidRPr="001C2FF3">
              <w:rPr>
                <w:sz w:val="20"/>
                <w:szCs w:val="20"/>
              </w:rPr>
              <w:t>497</w:t>
            </w:r>
          </w:p>
        </w:tc>
        <w:tc>
          <w:tcPr>
            <w:tcW w:w="437" w:type="pct"/>
          </w:tcPr>
          <w:p w:rsidR="00260042" w:rsidRPr="001C2FF3" w:rsidRDefault="00260042" w:rsidP="001C2FF3">
            <w:pPr>
              <w:pStyle w:val="BodyText"/>
              <w:jc w:val="right"/>
              <w:rPr>
                <w:sz w:val="20"/>
                <w:szCs w:val="20"/>
              </w:rPr>
            </w:pPr>
            <w:r w:rsidRPr="001C2FF3">
              <w:rPr>
                <w:sz w:val="20"/>
                <w:szCs w:val="20"/>
              </w:rPr>
              <w:t>1,059</w:t>
            </w:r>
          </w:p>
        </w:tc>
        <w:tc>
          <w:tcPr>
            <w:tcW w:w="438" w:type="pct"/>
          </w:tcPr>
          <w:p w:rsidR="00260042" w:rsidRPr="001C2FF3" w:rsidRDefault="00260042" w:rsidP="001C2FF3">
            <w:pPr>
              <w:pStyle w:val="BodyText"/>
              <w:jc w:val="right"/>
              <w:rPr>
                <w:sz w:val="20"/>
                <w:szCs w:val="20"/>
              </w:rPr>
            </w:pPr>
            <w:r w:rsidRPr="001C2FF3">
              <w:rPr>
                <w:sz w:val="20"/>
                <w:szCs w:val="20"/>
              </w:rPr>
              <w:t>4</w:t>
            </w:r>
          </w:p>
        </w:tc>
        <w:tc>
          <w:tcPr>
            <w:tcW w:w="437" w:type="pct"/>
          </w:tcPr>
          <w:p w:rsidR="00260042" w:rsidRPr="001C2FF3" w:rsidRDefault="00260042" w:rsidP="001C2FF3">
            <w:pPr>
              <w:pStyle w:val="BodyText"/>
              <w:jc w:val="right"/>
              <w:rPr>
                <w:sz w:val="20"/>
                <w:szCs w:val="20"/>
              </w:rPr>
            </w:pPr>
            <w:r w:rsidRPr="001C2FF3">
              <w:rPr>
                <w:sz w:val="20"/>
                <w:szCs w:val="20"/>
              </w:rPr>
              <w:t>3</w:t>
            </w:r>
          </w:p>
        </w:tc>
        <w:tc>
          <w:tcPr>
            <w:tcW w:w="545" w:type="pct"/>
          </w:tcPr>
          <w:p w:rsidR="00260042" w:rsidRPr="001C2FF3" w:rsidRDefault="00260042" w:rsidP="001C2FF3">
            <w:pPr>
              <w:pStyle w:val="BodyText"/>
              <w:jc w:val="right"/>
              <w:rPr>
                <w:sz w:val="20"/>
                <w:szCs w:val="20"/>
              </w:rPr>
            </w:pPr>
            <w:r w:rsidRPr="001C2FF3">
              <w:rPr>
                <w:sz w:val="20"/>
                <w:szCs w:val="20"/>
              </w:rPr>
              <w:t>7</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1,573</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SA</w:t>
            </w:r>
          </w:p>
        </w:tc>
        <w:tc>
          <w:tcPr>
            <w:tcW w:w="437" w:type="pct"/>
          </w:tcPr>
          <w:p w:rsidR="00260042" w:rsidRPr="001C2FF3" w:rsidRDefault="00260042" w:rsidP="001C2FF3">
            <w:pPr>
              <w:pStyle w:val="BodyText"/>
              <w:jc w:val="right"/>
              <w:rPr>
                <w:sz w:val="20"/>
                <w:szCs w:val="20"/>
              </w:rPr>
            </w:pPr>
            <w:r w:rsidRPr="001C2FF3">
              <w:rPr>
                <w:sz w:val="20"/>
                <w:szCs w:val="20"/>
              </w:rPr>
              <w:t>115</w:t>
            </w:r>
          </w:p>
        </w:tc>
        <w:tc>
          <w:tcPr>
            <w:tcW w:w="437" w:type="pct"/>
          </w:tcPr>
          <w:p w:rsidR="00260042" w:rsidRPr="001C2FF3" w:rsidRDefault="00260042" w:rsidP="001C2FF3">
            <w:pPr>
              <w:pStyle w:val="BodyText"/>
              <w:jc w:val="right"/>
              <w:rPr>
                <w:sz w:val="20"/>
                <w:szCs w:val="20"/>
              </w:rPr>
            </w:pPr>
            <w:r w:rsidRPr="001C2FF3">
              <w:rPr>
                <w:sz w:val="20"/>
                <w:szCs w:val="20"/>
              </w:rPr>
              <w:t>122</w:t>
            </w:r>
          </w:p>
        </w:tc>
        <w:tc>
          <w:tcPr>
            <w:tcW w:w="437" w:type="pct"/>
          </w:tcPr>
          <w:p w:rsidR="00260042" w:rsidRPr="001C2FF3" w:rsidRDefault="00260042" w:rsidP="001C2FF3">
            <w:pPr>
              <w:pStyle w:val="BodyText"/>
              <w:jc w:val="right"/>
              <w:rPr>
                <w:sz w:val="20"/>
                <w:szCs w:val="20"/>
              </w:rPr>
            </w:pPr>
            <w:r w:rsidRPr="001C2FF3">
              <w:rPr>
                <w:sz w:val="20"/>
                <w:szCs w:val="20"/>
              </w:rPr>
              <w:t>237</w:t>
            </w:r>
          </w:p>
        </w:tc>
        <w:tc>
          <w:tcPr>
            <w:tcW w:w="437" w:type="pct"/>
          </w:tcPr>
          <w:p w:rsidR="00260042" w:rsidRPr="001C2FF3" w:rsidRDefault="00260042" w:rsidP="001C2FF3">
            <w:pPr>
              <w:pStyle w:val="BodyText"/>
              <w:jc w:val="right"/>
              <w:rPr>
                <w:sz w:val="20"/>
                <w:szCs w:val="20"/>
              </w:rPr>
            </w:pPr>
            <w:r w:rsidRPr="001C2FF3">
              <w:rPr>
                <w:sz w:val="20"/>
                <w:szCs w:val="20"/>
              </w:rPr>
              <w:t>156</w:t>
            </w:r>
          </w:p>
        </w:tc>
        <w:tc>
          <w:tcPr>
            <w:tcW w:w="437" w:type="pct"/>
          </w:tcPr>
          <w:p w:rsidR="00260042" w:rsidRPr="001C2FF3" w:rsidRDefault="00260042" w:rsidP="001C2FF3">
            <w:pPr>
              <w:pStyle w:val="BodyText"/>
              <w:jc w:val="right"/>
              <w:rPr>
                <w:sz w:val="20"/>
                <w:szCs w:val="20"/>
              </w:rPr>
            </w:pPr>
            <w:r w:rsidRPr="001C2FF3">
              <w:rPr>
                <w:sz w:val="20"/>
                <w:szCs w:val="20"/>
              </w:rPr>
              <w:t>199</w:t>
            </w:r>
          </w:p>
        </w:tc>
        <w:tc>
          <w:tcPr>
            <w:tcW w:w="437" w:type="pct"/>
          </w:tcPr>
          <w:p w:rsidR="00260042" w:rsidRPr="001C2FF3" w:rsidRDefault="00260042" w:rsidP="001C2FF3">
            <w:pPr>
              <w:pStyle w:val="BodyText"/>
              <w:jc w:val="right"/>
              <w:rPr>
                <w:sz w:val="20"/>
                <w:szCs w:val="20"/>
              </w:rPr>
            </w:pPr>
            <w:r w:rsidRPr="001C2FF3">
              <w:rPr>
                <w:sz w:val="20"/>
                <w:szCs w:val="20"/>
              </w:rPr>
              <w:t>355</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1</w:t>
            </w:r>
          </w:p>
        </w:tc>
        <w:tc>
          <w:tcPr>
            <w:tcW w:w="545" w:type="pct"/>
          </w:tcPr>
          <w:p w:rsidR="00260042" w:rsidRPr="001C2FF3" w:rsidRDefault="00260042" w:rsidP="001C2FF3">
            <w:pPr>
              <w:pStyle w:val="BodyText"/>
              <w:jc w:val="right"/>
              <w:rPr>
                <w:sz w:val="20"/>
                <w:szCs w:val="20"/>
              </w:rPr>
            </w:pPr>
            <w:r w:rsidRPr="001C2FF3">
              <w:rPr>
                <w:sz w:val="20"/>
                <w:szCs w:val="20"/>
              </w:rPr>
              <w:t>1</w:t>
            </w:r>
          </w:p>
        </w:tc>
        <w:tc>
          <w:tcPr>
            <w:tcW w:w="438" w:type="pct"/>
          </w:tcPr>
          <w:p w:rsidR="00260042" w:rsidRPr="001C2FF3" w:rsidRDefault="00260042" w:rsidP="001C2FF3">
            <w:pPr>
              <w:pStyle w:val="BodyText"/>
              <w:jc w:val="right"/>
              <w:rPr>
                <w:sz w:val="20"/>
                <w:szCs w:val="20"/>
              </w:rPr>
            </w:pPr>
            <w:r w:rsidRPr="001C2FF3">
              <w:rPr>
                <w:rStyle w:val="01bodybold"/>
                <w:sz w:val="20"/>
                <w:szCs w:val="20"/>
              </w:rPr>
              <w:t>593</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TAS</w:t>
            </w:r>
          </w:p>
        </w:tc>
        <w:tc>
          <w:tcPr>
            <w:tcW w:w="437" w:type="pct"/>
          </w:tcPr>
          <w:p w:rsidR="00260042" w:rsidRPr="001C2FF3" w:rsidRDefault="00260042" w:rsidP="001C2FF3">
            <w:pPr>
              <w:pStyle w:val="BodyText"/>
              <w:jc w:val="right"/>
              <w:rPr>
                <w:sz w:val="20"/>
                <w:szCs w:val="20"/>
              </w:rPr>
            </w:pPr>
            <w:r w:rsidRPr="001C2FF3">
              <w:rPr>
                <w:sz w:val="20"/>
                <w:szCs w:val="20"/>
              </w:rPr>
              <w:t>64</w:t>
            </w:r>
          </w:p>
        </w:tc>
        <w:tc>
          <w:tcPr>
            <w:tcW w:w="437" w:type="pct"/>
          </w:tcPr>
          <w:p w:rsidR="00260042" w:rsidRPr="001C2FF3" w:rsidRDefault="00260042" w:rsidP="001C2FF3">
            <w:pPr>
              <w:pStyle w:val="BodyText"/>
              <w:jc w:val="right"/>
              <w:rPr>
                <w:sz w:val="20"/>
                <w:szCs w:val="20"/>
              </w:rPr>
            </w:pPr>
            <w:r w:rsidRPr="001C2FF3">
              <w:rPr>
                <w:sz w:val="20"/>
                <w:szCs w:val="20"/>
              </w:rPr>
              <w:t>21</w:t>
            </w:r>
          </w:p>
        </w:tc>
        <w:tc>
          <w:tcPr>
            <w:tcW w:w="437" w:type="pct"/>
          </w:tcPr>
          <w:p w:rsidR="00260042" w:rsidRPr="001C2FF3" w:rsidRDefault="00260042" w:rsidP="001C2FF3">
            <w:pPr>
              <w:pStyle w:val="BodyText"/>
              <w:jc w:val="right"/>
              <w:rPr>
                <w:sz w:val="20"/>
                <w:szCs w:val="20"/>
              </w:rPr>
            </w:pPr>
            <w:r w:rsidRPr="001C2FF3">
              <w:rPr>
                <w:sz w:val="20"/>
                <w:szCs w:val="20"/>
              </w:rPr>
              <w:t>85</w:t>
            </w:r>
          </w:p>
        </w:tc>
        <w:tc>
          <w:tcPr>
            <w:tcW w:w="437" w:type="pct"/>
          </w:tcPr>
          <w:p w:rsidR="00260042" w:rsidRPr="001C2FF3" w:rsidRDefault="00260042" w:rsidP="001C2FF3">
            <w:pPr>
              <w:pStyle w:val="BodyText"/>
              <w:jc w:val="right"/>
              <w:rPr>
                <w:sz w:val="20"/>
                <w:szCs w:val="20"/>
              </w:rPr>
            </w:pPr>
            <w:r w:rsidRPr="001C2FF3">
              <w:rPr>
                <w:sz w:val="20"/>
                <w:szCs w:val="20"/>
              </w:rPr>
              <w:t>82</w:t>
            </w:r>
          </w:p>
        </w:tc>
        <w:tc>
          <w:tcPr>
            <w:tcW w:w="437" w:type="pct"/>
          </w:tcPr>
          <w:p w:rsidR="00260042" w:rsidRPr="001C2FF3" w:rsidRDefault="00260042" w:rsidP="001C2FF3">
            <w:pPr>
              <w:pStyle w:val="BodyText"/>
              <w:jc w:val="right"/>
              <w:rPr>
                <w:sz w:val="20"/>
                <w:szCs w:val="20"/>
              </w:rPr>
            </w:pPr>
            <w:r w:rsidRPr="001C2FF3">
              <w:rPr>
                <w:sz w:val="20"/>
                <w:szCs w:val="20"/>
              </w:rPr>
              <w:t>45</w:t>
            </w:r>
          </w:p>
        </w:tc>
        <w:tc>
          <w:tcPr>
            <w:tcW w:w="437" w:type="pct"/>
          </w:tcPr>
          <w:p w:rsidR="00260042" w:rsidRPr="001C2FF3" w:rsidRDefault="00260042" w:rsidP="001C2FF3">
            <w:pPr>
              <w:pStyle w:val="BodyText"/>
              <w:jc w:val="right"/>
              <w:rPr>
                <w:sz w:val="20"/>
                <w:szCs w:val="20"/>
              </w:rPr>
            </w:pPr>
            <w:r w:rsidRPr="001C2FF3">
              <w:rPr>
                <w:sz w:val="20"/>
                <w:szCs w:val="20"/>
              </w:rPr>
              <w:t>127</w:t>
            </w:r>
          </w:p>
        </w:tc>
        <w:tc>
          <w:tcPr>
            <w:tcW w:w="438" w:type="pct"/>
          </w:tcPr>
          <w:p w:rsidR="00260042" w:rsidRPr="001C2FF3" w:rsidRDefault="00260042" w:rsidP="001C2FF3">
            <w:pPr>
              <w:pStyle w:val="BodyText"/>
              <w:jc w:val="right"/>
              <w:rPr>
                <w:sz w:val="20"/>
                <w:szCs w:val="20"/>
              </w:rPr>
            </w:pPr>
            <w:r w:rsidRPr="001C2FF3">
              <w:rPr>
                <w:sz w:val="20"/>
                <w:szCs w:val="20"/>
              </w:rPr>
              <w:t>1</w:t>
            </w:r>
          </w:p>
        </w:tc>
        <w:tc>
          <w:tcPr>
            <w:tcW w:w="437" w:type="pct"/>
          </w:tcPr>
          <w:p w:rsidR="00260042" w:rsidRPr="001C2FF3" w:rsidRDefault="00260042" w:rsidP="001C2FF3">
            <w:pPr>
              <w:pStyle w:val="BodyText"/>
              <w:jc w:val="right"/>
              <w:rPr>
                <w:sz w:val="20"/>
                <w:szCs w:val="20"/>
              </w:rPr>
            </w:pPr>
            <w:r w:rsidRPr="001C2FF3">
              <w:rPr>
                <w:sz w:val="20"/>
                <w:szCs w:val="20"/>
              </w:rPr>
              <w:t>1</w:t>
            </w:r>
          </w:p>
        </w:tc>
        <w:tc>
          <w:tcPr>
            <w:tcW w:w="545" w:type="pct"/>
          </w:tcPr>
          <w:p w:rsidR="00260042" w:rsidRPr="001C2FF3" w:rsidRDefault="00260042" w:rsidP="001C2FF3">
            <w:pPr>
              <w:pStyle w:val="BodyText"/>
              <w:jc w:val="right"/>
              <w:rPr>
                <w:sz w:val="20"/>
                <w:szCs w:val="20"/>
              </w:rPr>
            </w:pPr>
            <w:r w:rsidRPr="001C2FF3">
              <w:rPr>
                <w:sz w:val="20"/>
                <w:szCs w:val="20"/>
              </w:rPr>
              <w:t>2</w:t>
            </w:r>
          </w:p>
        </w:tc>
        <w:tc>
          <w:tcPr>
            <w:tcW w:w="438" w:type="pct"/>
          </w:tcPr>
          <w:p w:rsidR="00260042" w:rsidRPr="001C2FF3" w:rsidRDefault="00260042" w:rsidP="001C2FF3">
            <w:pPr>
              <w:pStyle w:val="BodyText"/>
              <w:jc w:val="right"/>
              <w:rPr>
                <w:sz w:val="20"/>
                <w:szCs w:val="20"/>
              </w:rPr>
            </w:pPr>
            <w:r w:rsidRPr="001C2FF3">
              <w:rPr>
                <w:rStyle w:val="01bodybold"/>
                <w:sz w:val="20"/>
                <w:szCs w:val="20"/>
              </w:rPr>
              <w:t>214</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VIC</w:t>
            </w:r>
          </w:p>
        </w:tc>
        <w:tc>
          <w:tcPr>
            <w:tcW w:w="437" w:type="pct"/>
          </w:tcPr>
          <w:p w:rsidR="00260042" w:rsidRPr="001C2FF3" w:rsidRDefault="00260042" w:rsidP="001C2FF3">
            <w:pPr>
              <w:pStyle w:val="BodyText"/>
              <w:jc w:val="right"/>
              <w:rPr>
                <w:sz w:val="20"/>
                <w:szCs w:val="20"/>
              </w:rPr>
            </w:pPr>
            <w:r w:rsidRPr="001C2FF3">
              <w:rPr>
                <w:sz w:val="20"/>
                <w:szCs w:val="20"/>
              </w:rPr>
              <w:t>209</w:t>
            </w:r>
          </w:p>
        </w:tc>
        <w:tc>
          <w:tcPr>
            <w:tcW w:w="437" w:type="pct"/>
          </w:tcPr>
          <w:p w:rsidR="00260042" w:rsidRPr="001C2FF3" w:rsidRDefault="00260042" w:rsidP="001C2FF3">
            <w:pPr>
              <w:pStyle w:val="BodyText"/>
              <w:jc w:val="right"/>
              <w:rPr>
                <w:sz w:val="20"/>
                <w:szCs w:val="20"/>
              </w:rPr>
            </w:pPr>
            <w:r w:rsidRPr="001C2FF3">
              <w:rPr>
                <w:sz w:val="20"/>
                <w:szCs w:val="20"/>
              </w:rPr>
              <w:t>185</w:t>
            </w:r>
          </w:p>
        </w:tc>
        <w:tc>
          <w:tcPr>
            <w:tcW w:w="437" w:type="pct"/>
          </w:tcPr>
          <w:p w:rsidR="00260042" w:rsidRPr="001C2FF3" w:rsidRDefault="00260042" w:rsidP="001C2FF3">
            <w:pPr>
              <w:pStyle w:val="BodyText"/>
              <w:jc w:val="right"/>
              <w:rPr>
                <w:sz w:val="20"/>
                <w:szCs w:val="20"/>
              </w:rPr>
            </w:pPr>
            <w:r w:rsidRPr="001C2FF3">
              <w:rPr>
                <w:sz w:val="20"/>
                <w:szCs w:val="20"/>
              </w:rPr>
              <w:t>394</w:t>
            </w:r>
          </w:p>
        </w:tc>
        <w:tc>
          <w:tcPr>
            <w:tcW w:w="437" w:type="pct"/>
          </w:tcPr>
          <w:p w:rsidR="00260042" w:rsidRPr="001C2FF3" w:rsidRDefault="00260042" w:rsidP="001C2FF3">
            <w:pPr>
              <w:pStyle w:val="BodyText"/>
              <w:jc w:val="right"/>
              <w:rPr>
                <w:sz w:val="20"/>
                <w:szCs w:val="20"/>
              </w:rPr>
            </w:pPr>
            <w:r w:rsidRPr="001C2FF3">
              <w:rPr>
                <w:sz w:val="20"/>
                <w:szCs w:val="20"/>
              </w:rPr>
              <w:t>370</w:t>
            </w:r>
          </w:p>
        </w:tc>
        <w:tc>
          <w:tcPr>
            <w:tcW w:w="437" w:type="pct"/>
          </w:tcPr>
          <w:p w:rsidR="00260042" w:rsidRPr="001C2FF3" w:rsidRDefault="00260042" w:rsidP="001C2FF3">
            <w:pPr>
              <w:pStyle w:val="BodyText"/>
              <w:jc w:val="right"/>
              <w:rPr>
                <w:sz w:val="20"/>
                <w:szCs w:val="20"/>
              </w:rPr>
            </w:pPr>
            <w:r w:rsidRPr="001C2FF3">
              <w:rPr>
                <w:sz w:val="20"/>
                <w:szCs w:val="20"/>
              </w:rPr>
              <w:t>499</w:t>
            </w:r>
          </w:p>
        </w:tc>
        <w:tc>
          <w:tcPr>
            <w:tcW w:w="437" w:type="pct"/>
          </w:tcPr>
          <w:p w:rsidR="00260042" w:rsidRPr="001C2FF3" w:rsidRDefault="00260042" w:rsidP="001C2FF3">
            <w:pPr>
              <w:pStyle w:val="BodyText"/>
              <w:jc w:val="right"/>
              <w:rPr>
                <w:sz w:val="20"/>
                <w:szCs w:val="20"/>
              </w:rPr>
            </w:pPr>
            <w:r w:rsidRPr="001C2FF3">
              <w:rPr>
                <w:sz w:val="20"/>
                <w:szCs w:val="20"/>
              </w:rPr>
              <w:t>869</w:t>
            </w:r>
          </w:p>
        </w:tc>
        <w:tc>
          <w:tcPr>
            <w:tcW w:w="438" w:type="pct"/>
          </w:tcPr>
          <w:p w:rsidR="00260042" w:rsidRPr="001C2FF3" w:rsidRDefault="00260042" w:rsidP="001C2FF3">
            <w:pPr>
              <w:pStyle w:val="BodyText"/>
              <w:jc w:val="right"/>
              <w:rPr>
                <w:sz w:val="20"/>
                <w:szCs w:val="20"/>
              </w:rPr>
            </w:pPr>
            <w:r w:rsidRPr="001C2FF3">
              <w:rPr>
                <w:sz w:val="20"/>
                <w:szCs w:val="20"/>
              </w:rPr>
              <w:t>10</w:t>
            </w:r>
          </w:p>
        </w:tc>
        <w:tc>
          <w:tcPr>
            <w:tcW w:w="437" w:type="pct"/>
          </w:tcPr>
          <w:p w:rsidR="00260042" w:rsidRPr="001C2FF3" w:rsidRDefault="00260042" w:rsidP="001C2FF3">
            <w:pPr>
              <w:pStyle w:val="BodyText"/>
              <w:jc w:val="right"/>
              <w:rPr>
                <w:sz w:val="20"/>
                <w:szCs w:val="20"/>
              </w:rPr>
            </w:pPr>
            <w:r w:rsidRPr="001C2FF3">
              <w:rPr>
                <w:sz w:val="20"/>
                <w:szCs w:val="20"/>
              </w:rPr>
              <w:t>3</w:t>
            </w:r>
          </w:p>
        </w:tc>
        <w:tc>
          <w:tcPr>
            <w:tcW w:w="545" w:type="pct"/>
          </w:tcPr>
          <w:p w:rsidR="00260042" w:rsidRPr="001C2FF3" w:rsidRDefault="00260042" w:rsidP="001C2FF3">
            <w:pPr>
              <w:pStyle w:val="BodyText"/>
              <w:jc w:val="right"/>
              <w:rPr>
                <w:sz w:val="20"/>
                <w:szCs w:val="20"/>
              </w:rPr>
            </w:pPr>
            <w:r w:rsidRPr="001C2FF3">
              <w:rPr>
                <w:sz w:val="20"/>
                <w:szCs w:val="20"/>
              </w:rPr>
              <w:t>13</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1,276</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WA</w:t>
            </w:r>
          </w:p>
        </w:tc>
        <w:tc>
          <w:tcPr>
            <w:tcW w:w="437" w:type="pct"/>
          </w:tcPr>
          <w:p w:rsidR="00260042" w:rsidRPr="001C2FF3" w:rsidRDefault="00260042" w:rsidP="001C2FF3">
            <w:pPr>
              <w:pStyle w:val="BodyText"/>
              <w:jc w:val="right"/>
              <w:rPr>
                <w:sz w:val="20"/>
                <w:szCs w:val="20"/>
              </w:rPr>
            </w:pPr>
            <w:r w:rsidRPr="001C2FF3">
              <w:rPr>
                <w:sz w:val="20"/>
                <w:szCs w:val="20"/>
              </w:rPr>
              <w:t>105</w:t>
            </w:r>
          </w:p>
        </w:tc>
        <w:tc>
          <w:tcPr>
            <w:tcW w:w="437" w:type="pct"/>
          </w:tcPr>
          <w:p w:rsidR="00260042" w:rsidRPr="001C2FF3" w:rsidRDefault="00260042" w:rsidP="001C2FF3">
            <w:pPr>
              <w:pStyle w:val="BodyText"/>
              <w:jc w:val="right"/>
              <w:rPr>
                <w:sz w:val="20"/>
                <w:szCs w:val="20"/>
              </w:rPr>
            </w:pPr>
            <w:r w:rsidRPr="001C2FF3">
              <w:rPr>
                <w:sz w:val="20"/>
                <w:szCs w:val="20"/>
              </w:rPr>
              <w:t>87</w:t>
            </w:r>
          </w:p>
        </w:tc>
        <w:tc>
          <w:tcPr>
            <w:tcW w:w="437" w:type="pct"/>
          </w:tcPr>
          <w:p w:rsidR="00260042" w:rsidRPr="001C2FF3" w:rsidRDefault="00260042" w:rsidP="001C2FF3">
            <w:pPr>
              <w:pStyle w:val="BodyText"/>
              <w:jc w:val="right"/>
              <w:rPr>
                <w:sz w:val="20"/>
                <w:szCs w:val="20"/>
              </w:rPr>
            </w:pPr>
            <w:r w:rsidRPr="001C2FF3">
              <w:rPr>
                <w:sz w:val="20"/>
                <w:szCs w:val="20"/>
              </w:rPr>
              <w:t>192</w:t>
            </w:r>
          </w:p>
        </w:tc>
        <w:tc>
          <w:tcPr>
            <w:tcW w:w="437" w:type="pct"/>
          </w:tcPr>
          <w:p w:rsidR="00260042" w:rsidRPr="001C2FF3" w:rsidRDefault="00260042" w:rsidP="001C2FF3">
            <w:pPr>
              <w:pStyle w:val="BodyText"/>
              <w:jc w:val="right"/>
              <w:rPr>
                <w:sz w:val="20"/>
                <w:szCs w:val="20"/>
              </w:rPr>
            </w:pPr>
            <w:r w:rsidRPr="001C2FF3">
              <w:rPr>
                <w:sz w:val="20"/>
                <w:szCs w:val="20"/>
              </w:rPr>
              <w:t>183</w:t>
            </w:r>
          </w:p>
        </w:tc>
        <w:tc>
          <w:tcPr>
            <w:tcW w:w="437" w:type="pct"/>
          </w:tcPr>
          <w:p w:rsidR="00260042" w:rsidRPr="001C2FF3" w:rsidRDefault="00260042" w:rsidP="001C2FF3">
            <w:pPr>
              <w:pStyle w:val="BodyText"/>
              <w:jc w:val="right"/>
              <w:rPr>
                <w:sz w:val="20"/>
                <w:szCs w:val="20"/>
              </w:rPr>
            </w:pPr>
            <w:r w:rsidRPr="001C2FF3">
              <w:rPr>
                <w:sz w:val="20"/>
                <w:szCs w:val="20"/>
              </w:rPr>
              <w:t>313</w:t>
            </w:r>
          </w:p>
        </w:tc>
        <w:tc>
          <w:tcPr>
            <w:tcW w:w="437" w:type="pct"/>
          </w:tcPr>
          <w:p w:rsidR="00260042" w:rsidRPr="001C2FF3" w:rsidRDefault="00260042" w:rsidP="001C2FF3">
            <w:pPr>
              <w:pStyle w:val="BodyText"/>
              <w:jc w:val="right"/>
              <w:rPr>
                <w:sz w:val="20"/>
                <w:szCs w:val="20"/>
              </w:rPr>
            </w:pPr>
            <w:r w:rsidRPr="001C2FF3">
              <w:rPr>
                <w:sz w:val="20"/>
                <w:szCs w:val="20"/>
              </w:rPr>
              <w:t>496</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2</w:t>
            </w:r>
          </w:p>
        </w:tc>
        <w:tc>
          <w:tcPr>
            <w:tcW w:w="545" w:type="pct"/>
          </w:tcPr>
          <w:p w:rsidR="00260042" w:rsidRPr="001C2FF3" w:rsidRDefault="00260042" w:rsidP="001C2FF3">
            <w:pPr>
              <w:pStyle w:val="BodyText"/>
              <w:jc w:val="right"/>
              <w:rPr>
                <w:sz w:val="20"/>
                <w:szCs w:val="20"/>
              </w:rPr>
            </w:pPr>
            <w:r w:rsidRPr="001C2FF3">
              <w:rPr>
                <w:sz w:val="20"/>
                <w:szCs w:val="20"/>
              </w:rPr>
              <w:t>2</w:t>
            </w:r>
          </w:p>
        </w:tc>
        <w:tc>
          <w:tcPr>
            <w:tcW w:w="438" w:type="pct"/>
          </w:tcPr>
          <w:p w:rsidR="00260042" w:rsidRPr="001C2FF3" w:rsidRDefault="00260042" w:rsidP="001C2FF3">
            <w:pPr>
              <w:pStyle w:val="BodyText"/>
              <w:jc w:val="right"/>
              <w:rPr>
                <w:sz w:val="20"/>
                <w:szCs w:val="20"/>
              </w:rPr>
            </w:pPr>
            <w:r w:rsidRPr="001C2FF3">
              <w:rPr>
                <w:rStyle w:val="01bodybold"/>
                <w:sz w:val="20"/>
                <w:szCs w:val="20"/>
              </w:rPr>
              <w:t>690</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lastRenderedPageBreak/>
              <w:t>ACT</w:t>
            </w:r>
          </w:p>
        </w:tc>
        <w:tc>
          <w:tcPr>
            <w:tcW w:w="437" w:type="pct"/>
          </w:tcPr>
          <w:p w:rsidR="00260042" w:rsidRPr="001C2FF3" w:rsidRDefault="00260042" w:rsidP="001C2FF3">
            <w:pPr>
              <w:pStyle w:val="BodyText"/>
              <w:jc w:val="right"/>
              <w:rPr>
                <w:sz w:val="20"/>
                <w:szCs w:val="20"/>
              </w:rPr>
            </w:pPr>
            <w:r w:rsidRPr="001C2FF3">
              <w:rPr>
                <w:sz w:val="20"/>
                <w:szCs w:val="20"/>
              </w:rPr>
              <w:t>214</w:t>
            </w:r>
          </w:p>
        </w:tc>
        <w:tc>
          <w:tcPr>
            <w:tcW w:w="437" w:type="pct"/>
          </w:tcPr>
          <w:p w:rsidR="00260042" w:rsidRPr="001C2FF3" w:rsidRDefault="00260042" w:rsidP="001C2FF3">
            <w:pPr>
              <w:pStyle w:val="BodyText"/>
              <w:jc w:val="right"/>
              <w:rPr>
                <w:sz w:val="20"/>
                <w:szCs w:val="20"/>
              </w:rPr>
            </w:pPr>
            <w:r w:rsidRPr="001C2FF3">
              <w:rPr>
                <w:sz w:val="20"/>
                <w:szCs w:val="20"/>
              </w:rPr>
              <w:t>136</w:t>
            </w:r>
          </w:p>
        </w:tc>
        <w:tc>
          <w:tcPr>
            <w:tcW w:w="437" w:type="pct"/>
          </w:tcPr>
          <w:p w:rsidR="00260042" w:rsidRPr="001C2FF3" w:rsidRDefault="00260042" w:rsidP="001C2FF3">
            <w:pPr>
              <w:pStyle w:val="BodyText"/>
              <w:jc w:val="right"/>
              <w:rPr>
                <w:sz w:val="20"/>
                <w:szCs w:val="20"/>
              </w:rPr>
            </w:pPr>
            <w:r w:rsidRPr="001C2FF3">
              <w:rPr>
                <w:sz w:val="20"/>
                <w:szCs w:val="20"/>
              </w:rPr>
              <w:t>350</w:t>
            </w:r>
          </w:p>
        </w:tc>
        <w:tc>
          <w:tcPr>
            <w:tcW w:w="437" w:type="pct"/>
          </w:tcPr>
          <w:p w:rsidR="00260042" w:rsidRPr="001C2FF3" w:rsidRDefault="00260042" w:rsidP="001C2FF3">
            <w:pPr>
              <w:pStyle w:val="BodyText"/>
              <w:jc w:val="right"/>
              <w:rPr>
                <w:sz w:val="20"/>
                <w:szCs w:val="20"/>
              </w:rPr>
            </w:pPr>
            <w:r w:rsidRPr="001C2FF3">
              <w:rPr>
                <w:sz w:val="20"/>
                <w:szCs w:val="20"/>
              </w:rPr>
              <w:t>272</w:t>
            </w:r>
          </w:p>
        </w:tc>
        <w:tc>
          <w:tcPr>
            <w:tcW w:w="437" w:type="pct"/>
          </w:tcPr>
          <w:p w:rsidR="00260042" w:rsidRPr="001C2FF3" w:rsidRDefault="00260042" w:rsidP="001C2FF3">
            <w:pPr>
              <w:pStyle w:val="BodyText"/>
              <w:jc w:val="right"/>
              <w:rPr>
                <w:sz w:val="20"/>
                <w:szCs w:val="20"/>
              </w:rPr>
            </w:pPr>
            <w:r w:rsidRPr="001C2FF3">
              <w:rPr>
                <w:sz w:val="20"/>
                <w:szCs w:val="20"/>
              </w:rPr>
              <w:t>214</w:t>
            </w:r>
          </w:p>
        </w:tc>
        <w:tc>
          <w:tcPr>
            <w:tcW w:w="437" w:type="pct"/>
          </w:tcPr>
          <w:p w:rsidR="00260042" w:rsidRPr="001C2FF3" w:rsidRDefault="00260042" w:rsidP="001C2FF3">
            <w:pPr>
              <w:pStyle w:val="BodyText"/>
              <w:jc w:val="right"/>
              <w:rPr>
                <w:sz w:val="20"/>
                <w:szCs w:val="20"/>
              </w:rPr>
            </w:pPr>
            <w:r w:rsidRPr="001C2FF3">
              <w:rPr>
                <w:sz w:val="20"/>
                <w:szCs w:val="20"/>
              </w:rPr>
              <w:t>486</w:t>
            </w:r>
          </w:p>
        </w:tc>
        <w:tc>
          <w:tcPr>
            <w:tcW w:w="438" w:type="pct"/>
          </w:tcPr>
          <w:p w:rsidR="00260042" w:rsidRPr="001C2FF3" w:rsidRDefault="00260042" w:rsidP="001C2FF3">
            <w:pPr>
              <w:pStyle w:val="BodyText"/>
              <w:jc w:val="right"/>
              <w:rPr>
                <w:sz w:val="20"/>
                <w:szCs w:val="20"/>
              </w:rPr>
            </w:pPr>
            <w:r w:rsidRPr="001C2FF3">
              <w:rPr>
                <w:sz w:val="20"/>
                <w:szCs w:val="20"/>
              </w:rPr>
              <w:t>7</w:t>
            </w:r>
          </w:p>
        </w:tc>
        <w:tc>
          <w:tcPr>
            <w:tcW w:w="437" w:type="pct"/>
          </w:tcPr>
          <w:p w:rsidR="00260042" w:rsidRPr="001C2FF3" w:rsidRDefault="00260042" w:rsidP="001C2FF3">
            <w:pPr>
              <w:pStyle w:val="BodyText"/>
              <w:jc w:val="right"/>
              <w:rPr>
                <w:sz w:val="20"/>
                <w:szCs w:val="20"/>
              </w:rPr>
            </w:pPr>
            <w:r w:rsidRPr="001C2FF3">
              <w:rPr>
                <w:sz w:val="20"/>
                <w:szCs w:val="20"/>
              </w:rPr>
              <w:t>3</w:t>
            </w:r>
          </w:p>
        </w:tc>
        <w:tc>
          <w:tcPr>
            <w:tcW w:w="545" w:type="pct"/>
          </w:tcPr>
          <w:p w:rsidR="00260042" w:rsidRPr="001C2FF3" w:rsidRDefault="00260042" w:rsidP="001C2FF3">
            <w:pPr>
              <w:pStyle w:val="BodyText"/>
              <w:jc w:val="right"/>
              <w:rPr>
                <w:sz w:val="20"/>
                <w:szCs w:val="20"/>
              </w:rPr>
            </w:pPr>
            <w:r w:rsidRPr="001C2FF3">
              <w:rPr>
                <w:sz w:val="20"/>
                <w:szCs w:val="20"/>
              </w:rPr>
              <w:t>10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846</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NT</w:t>
            </w:r>
          </w:p>
        </w:tc>
        <w:tc>
          <w:tcPr>
            <w:tcW w:w="437" w:type="pct"/>
          </w:tcPr>
          <w:p w:rsidR="00260042" w:rsidRPr="001C2FF3" w:rsidRDefault="00260042" w:rsidP="001C2FF3">
            <w:pPr>
              <w:pStyle w:val="BodyText"/>
              <w:jc w:val="right"/>
              <w:rPr>
                <w:sz w:val="20"/>
                <w:szCs w:val="20"/>
              </w:rPr>
            </w:pPr>
            <w:r w:rsidRPr="001C2FF3">
              <w:rPr>
                <w:sz w:val="20"/>
                <w:szCs w:val="20"/>
              </w:rPr>
              <w:t>15</w:t>
            </w:r>
          </w:p>
        </w:tc>
        <w:tc>
          <w:tcPr>
            <w:tcW w:w="437" w:type="pct"/>
          </w:tcPr>
          <w:p w:rsidR="00260042" w:rsidRPr="001C2FF3" w:rsidRDefault="00260042" w:rsidP="001C2FF3">
            <w:pPr>
              <w:pStyle w:val="BodyText"/>
              <w:jc w:val="right"/>
              <w:rPr>
                <w:sz w:val="20"/>
                <w:szCs w:val="20"/>
              </w:rPr>
            </w:pPr>
            <w:r w:rsidRPr="001C2FF3">
              <w:rPr>
                <w:sz w:val="20"/>
                <w:szCs w:val="20"/>
              </w:rPr>
              <w:t>8</w:t>
            </w:r>
          </w:p>
        </w:tc>
        <w:tc>
          <w:tcPr>
            <w:tcW w:w="437" w:type="pct"/>
          </w:tcPr>
          <w:p w:rsidR="00260042" w:rsidRPr="001C2FF3" w:rsidRDefault="00260042" w:rsidP="001C2FF3">
            <w:pPr>
              <w:pStyle w:val="BodyText"/>
              <w:jc w:val="right"/>
              <w:rPr>
                <w:sz w:val="20"/>
                <w:szCs w:val="20"/>
              </w:rPr>
            </w:pPr>
            <w:r w:rsidRPr="001C2FF3">
              <w:rPr>
                <w:sz w:val="20"/>
                <w:szCs w:val="20"/>
              </w:rPr>
              <w:t>23</w:t>
            </w:r>
          </w:p>
        </w:tc>
        <w:tc>
          <w:tcPr>
            <w:tcW w:w="437" w:type="pct"/>
          </w:tcPr>
          <w:p w:rsidR="00260042" w:rsidRPr="001C2FF3" w:rsidRDefault="00260042" w:rsidP="001C2FF3">
            <w:pPr>
              <w:pStyle w:val="BodyText"/>
              <w:jc w:val="right"/>
              <w:rPr>
                <w:sz w:val="20"/>
                <w:szCs w:val="20"/>
              </w:rPr>
            </w:pPr>
            <w:r w:rsidRPr="001C2FF3">
              <w:rPr>
                <w:sz w:val="20"/>
                <w:szCs w:val="20"/>
              </w:rPr>
              <w:t>38</w:t>
            </w:r>
          </w:p>
        </w:tc>
        <w:tc>
          <w:tcPr>
            <w:tcW w:w="437" w:type="pct"/>
          </w:tcPr>
          <w:p w:rsidR="00260042" w:rsidRPr="001C2FF3" w:rsidRDefault="00260042" w:rsidP="001C2FF3">
            <w:pPr>
              <w:pStyle w:val="BodyText"/>
              <w:jc w:val="right"/>
              <w:rPr>
                <w:sz w:val="20"/>
                <w:szCs w:val="20"/>
              </w:rPr>
            </w:pPr>
            <w:r w:rsidRPr="001C2FF3">
              <w:rPr>
                <w:sz w:val="20"/>
                <w:szCs w:val="20"/>
              </w:rPr>
              <w:t>38</w:t>
            </w:r>
          </w:p>
        </w:tc>
        <w:tc>
          <w:tcPr>
            <w:tcW w:w="437" w:type="pct"/>
          </w:tcPr>
          <w:p w:rsidR="00260042" w:rsidRPr="001C2FF3" w:rsidRDefault="00260042" w:rsidP="001C2FF3">
            <w:pPr>
              <w:pStyle w:val="BodyText"/>
              <w:jc w:val="right"/>
              <w:rPr>
                <w:sz w:val="20"/>
                <w:szCs w:val="20"/>
              </w:rPr>
            </w:pPr>
            <w:r w:rsidRPr="001C2FF3">
              <w:rPr>
                <w:sz w:val="20"/>
                <w:szCs w:val="20"/>
              </w:rPr>
              <w:t>76</w:t>
            </w:r>
          </w:p>
        </w:tc>
        <w:tc>
          <w:tcPr>
            <w:tcW w:w="438" w:type="pct"/>
          </w:tcPr>
          <w:p w:rsidR="00260042" w:rsidRPr="001C2FF3" w:rsidRDefault="00260042" w:rsidP="001C2FF3">
            <w:pPr>
              <w:pStyle w:val="BodyText"/>
              <w:jc w:val="right"/>
              <w:rPr>
                <w:sz w:val="20"/>
                <w:szCs w:val="20"/>
              </w:rPr>
            </w:pPr>
            <w:r w:rsidRPr="001C2FF3">
              <w:rPr>
                <w:sz w:val="20"/>
                <w:szCs w:val="20"/>
              </w:rPr>
              <w:t>2</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2</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101</w:t>
            </w:r>
          </w:p>
        </w:tc>
      </w:tr>
      <w:tr w:rsidR="00260042" w:rsidRPr="001C2FF3" w:rsidTr="001C2FF3">
        <w:trPr>
          <w:trHeight w:val="616"/>
        </w:trPr>
        <w:tc>
          <w:tcPr>
            <w:tcW w:w="517" w:type="pct"/>
          </w:tcPr>
          <w:p w:rsidR="00260042" w:rsidRPr="001C2FF3" w:rsidRDefault="00260042" w:rsidP="001C2FF3">
            <w:pPr>
              <w:pStyle w:val="BodyText"/>
              <w:rPr>
                <w:sz w:val="20"/>
                <w:szCs w:val="20"/>
              </w:rPr>
            </w:pPr>
            <w:r w:rsidRPr="001C2FF3">
              <w:rPr>
                <w:sz w:val="20"/>
                <w:szCs w:val="20"/>
              </w:rPr>
              <w:t>External territories</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0</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Overseas</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0</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rStyle w:val="01bodybold"/>
                <w:sz w:val="20"/>
                <w:szCs w:val="20"/>
              </w:rPr>
              <w:t>Total</w:t>
            </w:r>
          </w:p>
        </w:tc>
        <w:tc>
          <w:tcPr>
            <w:tcW w:w="437" w:type="pct"/>
          </w:tcPr>
          <w:p w:rsidR="00260042" w:rsidRPr="001C2FF3" w:rsidRDefault="00260042" w:rsidP="001C2FF3">
            <w:pPr>
              <w:pStyle w:val="BodyText"/>
              <w:jc w:val="right"/>
              <w:rPr>
                <w:sz w:val="20"/>
                <w:szCs w:val="20"/>
              </w:rPr>
            </w:pPr>
            <w:r w:rsidRPr="001C2FF3">
              <w:rPr>
                <w:rStyle w:val="01bodybold"/>
                <w:sz w:val="20"/>
                <w:szCs w:val="20"/>
              </w:rPr>
              <w:t>1,284</w:t>
            </w:r>
          </w:p>
        </w:tc>
        <w:tc>
          <w:tcPr>
            <w:tcW w:w="437" w:type="pct"/>
          </w:tcPr>
          <w:p w:rsidR="00260042" w:rsidRPr="001C2FF3" w:rsidRDefault="00260042" w:rsidP="001C2FF3">
            <w:pPr>
              <w:pStyle w:val="BodyText"/>
              <w:jc w:val="right"/>
              <w:rPr>
                <w:sz w:val="20"/>
                <w:szCs w:val="20"/>
              </w:rPr>
            </w:pPr>
            <w:r w:rsidRPr="001C2FF3">
              <w:rPr>
                <w:rStyle w:val="01bodybold"/>
                <w:sz w:val="20"/>
                <w:szCs w:val="20"/>
              </w:rPr>
              <w:t>955</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2,239</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2,340</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2,494</w:t>
            </w:r>
          </w:p>
        </w:tc>
        <w:tc>
          <w:tcPr>
            <w:tcW w:w="437" w:type="pct"/>
          </w:tcPr>
          <w:p w:rsidR="00260042" w:rsidRPr="001C2FF3" w:rsidRDefault="00260042" w:rsidP="001C2FF3">
            <w:pPr>
              <w:pStyle w:val="BodyText"/>
              <w:jc w:val="right"/>
              <w:rPr>
                <w:sz w:val="20"/>
                <w:szCs w:val="20"/>
              </w:rPr>
            </w:pPr>
            <w:r w:rsidRPr="001C2FF3">
              <w:rPr>
                <w:rStyle w:val="01bodybold"/>
                <w:sz w:val="20"/>
                <w:szCs w:val="20"/>
              </w:rPr>
              <w:t>4,834</w:t>
            </w:r>
          </w:p>
        </w:tc>
        <w:tc>
          <w:tcPr>
            <w:tcW w:w="438" w:type="pct"/>
          </w:tcPr>
          <w:p w:rsidR="00260042" w:rsidRPr="001C2FF3" w:rsidRDefault="00260042" w:rsidP="001C2FF3">
            <w:pPr>
              <w:pStyle w:val="BodyText"/>
              <w:jc w:val="right"/>
              <w:rPr>
                <w:sz w:val="20"/>
                <w:szCs w:val="20"/>
              </w:rPr>
            </w:pPr>
            <w:r w:rsidRPr="001C2FF3">
              <w:rPr>
                <w:rStyle w:val="01bodybold"/>
                <w:sz w:val="20"/>
                <w:szCs w:val="20"/>
              </w:rPr>
              <w:t>30</w:t>
            </w:r>
          </w:p>
        </w:tc>
        <w:tc>
          <w:tcPr>
            <w:tcW w:w="437" w:type="pct"/>
          </w:tcPr>
          <w:p w:rsidR="00260042" w:rsidRPr="001C2FF3" w:rsidRDefault="00260042" w:rsidP="001C2FF3">
            <w:pPr>
              <w:pStyle w:val="BodyText"/>
              <w:jc w:val="right"/>
              <w:rPr>
                <w:sz w:val="20"/>
                <w:szCs w:val="20"/>
              </w:rPr>
            </w:pPr>
            <w:r w:rsidRPr="001C2FF3">
              <w:rPr>
                <w:rStyle w:val="01bodybold"/>
                <w:sz w:val="20"/>
                <w:szCs w:val="20"/>
              </w:rPr>
              <w:t>14</w:t>
            </w:r>
          </w:p>
        </w:tc>
        <w:tc>
          <w:tcPr>
            <w:tcW w:w="545" w:type="pct"/>
          </w:tcPr>
          <w:p w:rsidR="00260042" w:rsidRPr="001C2FF3" w:rsidRDefault="00260042" w:rsidP="001C2FF3">
            <w:pPr>
              <w:pStyle w:val="BodyText"/>
              <w:jc w:val="right"/>
              <w:rPr>
                <w:sz w:val="20"/>
                <w:szCs w:val="20"/>
              </w:rPr>
            </w:pPr>
            <w:r w:rsidRPr="001C2FF3">
              <w:rPr>
                <w:rStyle w:val="01bodybold"/>
                <w:sz w:val="20"/>
                <w:szCs w:val="20"/>
              </w:rPr>
              <w:t>44</w:t>
            </w:r>
          </w:p>
        </w:tc>
        <w:tc>
          <w:tcPr>
            <w:tcW w:w="438" w:type="pct"/>
          </w:tcPr>
          <w:p w:rsidR="00260042" w:rsidRPr="001C2FF3" w:rsidRDefault="00260042" w:rsidP="001C2FF3">
            <w:pPr>
              <w:pStyle w:val="BodyText"/>
              <w:jc w:val="right"/>
              <w:rPr>
                <w:sz w:val="20"/>
                <w:szCs w:val="20"/>
              </w:rPr>
            </w:pPr>
            <w:r w:rsidRPr="001C2FF3">
              <w:rPr>
                <w:rStyle w:val="01bodybold"/>
                <w:sz w:val="20"/>
                <w:szCs w:val="20"/>
              </w:rPr>
              <w:t>7,117</w:t>
            </w:r>
          </w:p>
        </w:tc>
      </w:tr>
    </w:tbl>
    <w:p w:rsidR="00260042" w:rsidRDefault="00260042" w:rsidP="00EA5510">
      <w:pPr>
        <w:pStyle w:val="BodyText"/>
      </w:pPr>
      <w:r>
        <w:t>(a)</w:t>
      </w:r>
      <w:r>
        <w:tab/>
        <w:t>Non-ongoing employees include irregular/intermittent staff.</w:t>
      </w:r>
    </w:p>
    <w:p w:rsidR="00260042" w:rsidRPr="00EA5510" w:rsidRDefault="00511254" w:rsidP="00EA5510">
      <w:pPr>
        <w:pStyle w:val="BodyText"/>
        <w:rPr>
          <w:b/>
        </w:rPr>
      </w:pPr>
      <w:r>
        <w:rPr>
          <w:rStyle w:val="Bold"/>
          <w:bCs w:val="0"/>
        </w:rPr>
        <w:t>Table 5</w:t>
      </w:r>
      <w:r>
        <w:rPr>
          <w:rStyle w:val="Bold"/>
          <w:bCs w:val="0"/>
        </w:rPr>
        <w:t>8</w:t>
      </w:r>
      <w:r w:rsidR="00260042" w:rsidRPr="00EA5510">
        <w:rPr>
          <w:b/>
        </w:rPr>
        <w:t xml:space="preserve"> </w:t>
      </w:r>
      <w:proofErr w:type="gramStart"/>
      <w:r w:rsidR="00260042" w:rsidRPr="00EA5510">
        <w:rPr>
          <w:b/>
        </w:rPr>
        <w:t>All</w:t>
      </w:r>
      <w:proofErr w:type="gramEnd"/>
      <w:r w:rsidR="00260042" w:rsidRPr="00EA5510">
        <w:rPr>
          <w:b/>
        </w:rPr>
        <w:t xml:space="preserve"> non-ongoing employees 2019–20</w:t>
      </w:r>
      <w:r w:rsidR="00260042" w:rsidRPr="00EA5510">
        <w:rPr>
          <w:b/>
          <w:vertAlign w:val="superscript"/>
        </w:rPr>
        <w:t>(a)</w:t>
      </w:r>
    </w:p>
    <w:tbl>
      <w:tblPr>
        <w:tblStyle w:val="TableGrid"/>
        <w:tblW w:w="5000" w:type="pct"/>
        <w:tblLook w:val="0000" w:firstRow="0" w:lastRow="0" w:firstColumn="0" w:lastColumn="0" w:noHBand="0" w:noVBand="0"/>
        <w:tblCaption w:val=" All non-ongoing employees 2019–20(a)"/>
      </w:tblPr>
      <w:tblGrid>
        <w:gridCol w:w="1117"/>
        <w:gridCol w:w="943"/>
        <w:gridCol w:w="943"/>
        <w:gridCol w:w="945"/>
        <w:gridCol w:w="943"/>
        <w:gridCol w:w="943"/>
        <w:gridCol w:w="945"/>
        <w:gridCol w:w="945"/>
        <w:gridCol w:w="943"/>
        <w:gridCol w:w="1178"/>
        <w:gridCol w:w="945"/>
      </w:tblGrid>
      <w:tr w:rsidR="00260042" w:rsidRPr="001C2FF3" w:rsidTr="001C2FF3">
        <w:trPr>
          <w:trHeight w:val="60"/>
          <w:tblHeader/>
        </w:trPr>
        <w:tc>
          <w:tcPr>
            <w:tcW w:w="517" w:type="pct"/>
          </w:tcPr>
          <w:p w:rsidR="00260042" w:rsidRPr="001C2FF3" w:rsidRDefault="00260042" w:rsidP="001C2FF3">
            <w:pPr>
              <w:pStyle w:val="BodyText"/>
              <w:rPr>
                <w:b/>
                <w:sz w:val="20"/>
                <w:szCs w:val="20"/>
              </w:rPr>
            </w:pPr>
          </w:p>
        </w:tc>
        <w:tc>
          <w:tcPr>
            <w:tcW w:w="1312" w:type="pct"/>
            <w:gridSpan w:val="3"/>
          </w:tcPr>
          <w:p w:rsidR="00260042" w:rsidRPr="001C2FF3" w:rsidRDefault="00260042" w:rsidP="001C2FF3">
            <w:pPr>
              <w:pStyle w:val="BodyText"/>
              <w:jc w:val="center"/>
              <w:rPr>
                <w:b/>
                <w:sz w:val="20"/>
                <w:szCs w:val="20"/>
              </w:rPr>
            </w:pPr>
            <w:r w:rsidRPr="001C2FF3">
              <w:rPr>
                <w:b/>
                <w:sz w:val="20"/>
                <w:szCs w:val="20"/>
              </w:rPr>
              <w:t>Male</w:t>
            </w:r>
          </w:p>
        </w:tc>
        <w:tc>
          <w:tcPr>
            <w:tcW w:w="1312" w:type="pct"/>
            <w:gridSpan w:val="3"/>
          </w:tcPr>
          <w:p w:rsidR="00260042" w:rsidRPr="001C2FF3" w:rsidRDefault="00260042" w:rsidP="001C2FF3">
            <w:pPr>
              <w:pStyle w:val="BodyText"/>
              <w:jc w:val="center"/>
              <w:rPr>
                <w:b/>
                <w:sz w:val="20"/>
                <w:szCs w:val="20"/>
              </w:rPr>
            </w:pPr>
            <w:r w:rsidRPr="001C2FF3">
              <w:rPr>
                <w:b/>
                <w:sz w:val="20"/>
                <w:szCs w:val="20"/>
              </w:rPr>
              <w:t>Female</w:t>
            </w:r>
          </w:p>
        </w:tc>
        <w:tc>
          <w:tcPr>
            <w:tcW w:w="1421" w:type="pct"/>
            <w:gridSpan w:val="3"/>
          </w:tcPr>
          <w:p w:rsidR="00260042" w:rsidRPr="001C2FF3" w:rsidRDefault="00260042" w:rsidP="001C2FF3">
            <w:pPr>
              <w:pStyle w:val="BodyText"/>
              <w:jc w:val="center"/>
              <w:rPr>
                <w:b/>
                <w:sz w:val="20"/>
                <w:szCs w:val="20"/>
              </w:rPr>
            </w:pPr>
            <w:r w:rsidRPr="001C2FF3">
              <w:rPr>
                <w:b/>
                <w:sz w:val="20"/>
                <w:szCs w:val="20"/>
              </w:rPr>
              <w:t>Non-binary</w:t>
            </w:r>
          </w:p>
        </w:tc>
        <w:tc>
          <w:tcPr>
            <w:tcW w:w="438" w:type="pct"/>
          </w:tcPr>
          <w:p w:rsidR="00260042" w:rsidRPr="001C2FF3" w:rsidRDefault="00260042" w:rsidP="001C2FF3">
            <w:pPr>
              <w:pStyle w:val="BodyText"/>
              <w:jc w:val="center"/>
              <w:rPr>
                <w:b/>
                <w:sz w:val="20"/>
                <w:szCs w:val="20"/>
              </w:rPr>
            </w:pPr>
          </w:p>
        </w:tc>
      </w:tr>
      <w:tr w:rsidR="00260042" w:rsidRPr="001C2FF3" w:rsidTr="001C2FF3">
        <w:trPr>
          <w:trHeight w:val="60"/>
          <w:tblHeader/>
        </w:trPr>
        <w:tc>
          <w:tcPr>
            <w:tcW w:w="517" w:type="pct"/>
          </w:tcPr>
          <w:p w:rsidR="00260042" w:rsidRPr="001C2FF3" w:rsidRDefault="00260042" w:rsidP="001C2FF3">
            <w:pPr>
              <w:pStyle w:val="BodyText"/>
              <w:rPr>
                <w:b/>
                <w:sz w:val="20"/>
                <w:szCs w:val="20"/>
              </w:rPr>
            </w:pPr>
          </w:p>
        </w:tc>
        <w:tc>
          <w:tcPr>
            <w:tcW w:w="437" w:type="pct"/>
          </w:tcPr>
          <w:p w:rsidR="00260042" w:rsidRPr="001C2FF3" w:rsidRDefault="00260042" w:rsidP="001C2FF3">
            <w:pPr>
              <w:pStyle w:val="BodyText"/>
              <w:jc w:val="right"/>
              <w:rPr>
                <w:b/>
                <w:sz w:val="20"/>
                <w:szCs w:val="20"/>
              </w:rPr>
            </w:pPr>
            <w:r w:rsidRPr="001C2FF3">
              <w:rPr>
                <w:rStyle w:val="Bold"/>
                <w:sz w:val="20"/>
                <w:szCs w:val="20"/>
              </w:rPr>
              <w:t>Full-time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Part-time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Total Male</w:t>
            </w:r>
          </w:p>
        </w:tc>
        <w:tc>
          <w:tcPr>
            <w:tcW w:w="437" w:type="pct"/>
          </w:tcPr>
          <w:p w:rsidR="00260042" w:rsidRPr="001C2FF3" w:rsidRDefault="00260042" w:rsidP="001C2FF3">
            <w:pPr>
              <w:pStyle w:val="BodyText"/>
              <w:jc w:val="right"/>
              <w:rPr>
                <w:b/>
                <w:sz w:val="20"/>
                <w:szCs w:val="20"/>
              </w:rPr>
            </w:pPr>
            <w:r w:rsidRPr="001C2FF3">
              <w:rPr>
                <w:rStyle w:val="Bold"/>
                <w:sz w:val="20"/>
                <w:szCs w:val="20"/>
              </w:rPr>
              <w:t>Full-time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Part-time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Total Female</w:t>
            </w:r>
          </w:p>
        </w:tc>
        <w:tc>
          <w:tcPr>
            <w:tcW w:w="438" w:type="pct"/>
          </w:tcPr>
          <w:p w:rsidR="00260042" w:rsidRPr="001C2FF3" w:rsidRDefault="00260042" w:rsidP="001C2FF3">
            <w:pPr>
              <w:pStyle w:val="BodyText"/>
              <w:jc w:val="right"/>
              <w:rPr>
                <w:b/>
                <w:sz w:val="20"/>
                <w:szCs w:val="20"/>
              </w:rPr>
            </w:pPr>
            <w:r w:rsidRPr="001C2FF3">
              <w:rPr>
                <w:rStyle w:val="Bold"/>
                <w:sz w:val="20"/>
                <w:szCs w:val="20"/>
              </w:rPr>
              <w:t>Full-time</w:t>
            </w:r>
          </w:p>
        </w:tc>
        <w:tc>
          <w:tcPr>
            <w:tcW w:w="437" w:type="pct"/>
          </w:tcPr>
          <w:p w:rsidR="00260042" w:rsidRPr="001C2FF3" w:rsidRDefault="00260042" w:rsidP="001C2FF3">
            <w:pPr>
              <w:pStyle w:val="BodyText"/>
              <w:jc w:val="right"/>
              <w:rPr>
                <w:b/>
                <w:sz w:val="20"/>
                <w:szCs w:val="20"/>
              </w:rPr>
            </w:pPr>
            <w:r w:rsidRPr="001C2FF3">
              <w:rPr>
                <w:rStyle w:val="Bold"/>
                <w:sz w:val="20"/>
                <w:szCs w:val="20"/>
              </w:rPr>
              <w:t>Part-time</w:t>
            </w:r>
          </w:p>
        </w:tc>
        <w:tc>
          <w:tcPr>
            <w:tcW w:w="545" w:type="pct"/>
          </w:tcPr>
          <w:p w:rsidR="00260042" w:rsidRPr="001C2FF3" w:rsidRDefault="00260042" w:rsidP="001C2FF3">
            <w:pPr>
              <w:pStyle w:val="BodyText"/>
              <w:jc w:val="right"/>
              <w:rPr>
                <w:b/>
                <w:sz w:val="20"/>
                <w:szCs w:val="20"/>
              </w:rPr>
            </w:pPr>
            <w:r w:rsidRPr="001C2FF3">
              <w:rPr>
                <w:rStyle w:val="Bold"/>
                <w:sz w:val="20"/>
                <w:szCs w:val="20"/>
              </w:rPr>
              <w:t xml:space="preserve">Total </w:t>
            </w:r>
            <w:r w:rsidRPr="001C2FF3">
              <w:rPr>
                <w:rStyle w:val="Bold"/>
                <w:spacing w:val="-4"/>
                <w:sz w:val="20"/>
                <w:szCs w:val="20"/>
              </w:rPr>
              <w:t>Non-binary</w:t>
            </w:r>
          </w:p>
        </w:tc>
        <w:tc>
          <w:tcPr>
            <w:tcW w:w="438" w:type="pct"/>
          </w:tcPr>
          <w:p w:rsidR="00260042" w:rsidRPr="001C2FF3" w:rsidRDefault="00260042" w:rsidP="001C2FF3">
            <w:pPr>
              <w:pStyle w:val="BodyText"/>
              <w:jc w:val="right"/>
              <w:rPr>
                <w:b/>
                <w:sz w:val="20"/>
                <w:szCs w:val="20"/>
              </w:rPr>
            </w:pPr>
            <w:r w:rsidRPr="001C2FF3">
              <w:rPr>
                <w:rStyle w:val="Bold"/>
                <w:sz w:val="20"/>
                <w:szCs w:val="20"/>
              </w:rPr>
              <w:t>Total</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NSW</w:t>
            </w:r>
          </w:p>
        </w:tc>
        <w:tc>
          <w:tcPr>
            <w:tcW w:w="437" w:type="pct"/>
          </w:tcPr>
          <w:p w:rsidR="00260042" w:rsidRPr="001C2FF3" w:rsidRDefault="00260042" w:rsidP="001C2FF3">
            <w:pPr>
              <w:pStyle w:val="BodyText"/>
              <w:jc w:val="right"/>
              <w:rPr>
                <w:sz w:val="20"/>
                <w:szCs w:val="20"/>
              </w:rPr>
            </w:pPr>
            <w:r w:rsidRPr="001C2FF3">
              <w:rPr>
                <w:sz w:val="20"/>
                <w:szCs w:val="20"/>
              </w:rPr>
              <w:t>74</w:t>
            </w:r>
          </w:p>
        </w:tc>
        <w:tc>
          <w:tcPr>
            <w:tcW w:w="437" w:type="pct"/>
          </w:tcPr>
          <w:p w:rsidR="00260042" w:rsidRPr="001C2FF3" w:rsidRDefault="00260042" w:rsidP="001C2FF3">
            <w:pPr>
              <w:pStyle w:val="BodyText"/>
              <w:jc w:val="right"/>
              <w:rPr>
                <w:sz w:val="20"/>
                <w:szCs w:val="20"/>
              </w:rPr>
            </w:pPr>
            <w:r w:rsidRPr="001C2FF3">
              <w:rPr>
                <w:sz w:val="20"/>
                <w:szCs w:val="20"/>
              </w:rPr>
              <w:t>188</w:t>
            </w:r>
          </w:p>
        </w:tc>
        <w:tc>
          <w:tcPr>
            <w:tcW w:w="437" w:type="pct"/>
          </w:tcPr>
          <w:p w:rsidR="00260042" w:rsidRPr="001C2FF3" w:rsidRDefault="00260042" w:rsidP="001C2FF3">
            <w:pPr>
              <w:pStyle w:val="BodyText"/>
              <w:jc w:val="right"/>
              <w:rPr>
                <w:sz w:val="20"/>
                <w:szCs w:val="20"/>
              </w:rPr>
            </w:pPr>
            <w:r w:rsidRPr="001C2FF3">
              <w:rPr>
                <w:sz w:val="20"/>
                <w:szCs w:val="20"/>
              </w:rPr>
              <w:t>262</w:t>
            </w:r>
          </w:p>
        </w:tc>
        <w:tc>
          <w:tcPr>
            <w:tcW w:w="437" w:type="pct"/>
          </w:tcPr>
          <w:p w:rsidR="00260042" w:rsidRPr="001C2FF3" w:rsidRDefault="00260042" w:rsidP="001C2FF3">
            <w:pPr>
              <w:pStyle w:val="BodyText"/>
              <w:jc w:val="right"/>
              <w:rPr>
                <w:sz w:val="20"/>
                <w:szCs w:val="20"/>
              </w:rPr>
            </w:pPr>
            <w:r w:rsidRPr="001C2FF3">
              <w:rPr>
                <w:sz w:val="20"/>
                <w:szCs w:val="20"/>
              </w:rPr>
              <w:t>125</w:t>
            </w:r>
          </w:p>
        </w:tc>
        <w:tc>
          <w:tcPr>
            <w:tcW w:w="437" w:type="pct"/>
          </w:tcPr>
          <w:p w:rsidR="00260042" w:rsidRPr="001C2FF3" w:rsidRDefault="00260042" w:rsidP="001C2FF3">
            <w:pPr>
              <w:pStyle w:val="BodyText"/>
              <w:jc w:val="right"/>
              <w:rPr>
                <w:sz w:val="20"/>
                <w:szCs w:val="20"/>
              </w:rPr>
            </w:pPr>
            <w:r w:rsidRPr="001C2FF3">
              <w:rPr>
                <w:sz w:val="20"/>
                <w:szCs w:val="20"/>
              </w:rPr>
              <w:t>659</w:t>
            </w:r>
          </w:p>
        </w:tc>
        <w:tc>
          <w:tcPr>
            <w:tcW w:w="437" w:type="pct"/>
          </w:tcPr>
          <w:p w:rsidR="00260042" w:rsidRPr="001C2FF3" w:rsidRDefault="00260042" w:rsidP="001C2FF3">
            <w:pPr>
              <w:pStyle w:val="BodyText"/>
              <w:jc w:val="right"/>
              <w:rPr>
                <w:sz w:val="20"/>
                <w:szCs w:val="20"/>
              </w:rPr>
            </w:pPr>
            <w:r w:rsidRPr="001C2FF3">
              <w:rPr>
                <w:sz w:val="20"/>
                <w:szCs w:val="20"/>
              </w:rPr>
              <w:t>784</w:t>
            </w:r>
          </w:p>
        </w:tc>
        <w:tc>
          <w:tcPr>
            <w:tcW w:w="438" w:type="pct"/>
          </w:tcPr>
          <w:p w:rsidR="00260042" w:rsidRPr="001C2FF3" w:rsidRDefault="00260042" w:rsidP="001C2FF3">
            <w:pPr>
              <w:pStyle w:val="BodyText"/>
              <w:jc w:val="right"/>
              <w:rPr>
                <w:sz w:val="20"/>
                <w:szCs w:val="20"/>
              </w:rPr>
            </w:pPr>
            <w:r w:rsidRPr="001C2FF3">
              <w:rPr>
                <w:sz w:val="20"/>
                <w:szCs w:val="20"/>
              </w:rPr>
              <w:t>2</w:t>
            </w:r>
          </w:p>
        </w:tc>
        <w:tc>
          <w:tcPr>
            <w:tcW w:w="437" w:type="pct"/>
          </w:tcPr>
          <w:p w:rsidR="00260042" w:rsidRPr="001C2FF3" w:rsidRDefault="00260042" w:rsidP="001C2FF3">
            <w:pPr>
              <w:pStyle w:val="BodyText"/>
              <w:jc w:val="right"/>
              <w:rPr>
                <w:sz w:val="20"/>
                <w:szCs w:val="20"/>
              </w:rPr>
            </w:pPr>
            <w:r w:rsidRPr="001C2FF3">
              <w:rPr>
                <w:sz w:val="20"/>
                <w:szCs w:val="20"/>
              </w:rPr>
              <w:t>12</w:t>
            </w:r>
          </w:p>
        </w:tc>
        <w:tc>
          <w:tcPr>
            <w:tcW w:w="545" w:type="pct"/>
          </w:tcPr>
          <w:p w:rsidR="00260042" w:rsidRPr="001C2FF3" w:rsidRDefault="00260042" w:rsidP="001C2FF3">
            <w:pPr>
              <w:pStyle w:val="BodyText"/>
              <w:jc w:val="right"/>
              <w:rPr>
                <w:sz w:val="20"/>
                <w:szCs w:val="20"/>
              </w:rPr>
            </w:pPr>
            <w:r w:rsidRPr="001C2FF3">
              <w:rPr>
                <w:sz w:val="20"/>
                <w:szCs w:val="20"/>
              </w:rPr>
              <w:t>14</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1,060</w:t>
            </w:r>
          </w:p>
        </w:tc>
      </w:tr>
      <w:tr w:rsidR="00260042" w:rsidRPr="001C2FF3" w:rsidTr="001C2FF3">
        <w:trPr>
          <w:trHeight w:val="305"/>
        </w:trPr>
        <w:tc>
          <w:tcPr>
            <w:tcW w:w="517" w:type="pct"/>
          </w:tcPr>
          <w:p w:rsidR="00260042" w:rsidRPr="001C2FF3" w:rsidRDefault="00260042" w:rsidP="001C2FF3">
            <w:pPr>
              <w:pStyle w:val="BodyText"/>
              <w:rPr>
                <w:sz w:val="20"/>
                <w:szCs w:val="20"/>
              </w:rPr>
            </w:pPr>
            <w:r w:rsidRPr="001C2FF3">
              <w:rPr>
                <w:sz w:val="20"/>
                <w:szCs w:val="20"/>
              </w:rPr>
              <w:t>QLD</w:t>
            </w:r>
          </w:p>
        </w:tc>
        <w:tc>
          <w:tcPr>
            <w:tcW w:w="437" w:type="pct"/>
          </w:tcPr>
          <w:p w:rsidR="00260042" w:rsidRPr="001C2FF3" w:rsidRDefault="00260042" w:rsidP="001C2FF3">
            <w:pPr>
              <w:pStyle w:val="BodyText"/>
              <w:jc w:val="right"/>
              <w:rPr>
                <w:sz w:val="20"/>
                <w:szCs w:val="20"/>
              </w:rPr>
            </w:pPr>
            <w:r w:rsidRPr="001C2FF3">
              <w:rPr>
                <w:sz w:val="20"/>
                <w:szCs w:val="20"/>
              </w:rPr>
              <w:t>56</w:t>
            </w:r>
          </w:p>
        </w:tc>
        <w:tc>
          <w:tcPr>
            <w:tcW w:w="437" w:type="pct"/>
          </w:tcPr>
          <w:p w:rsidR="00260042" w:rsidRPr="001C2FF3" w:rsidRDefault="00260042" w:rsidP="001C2FF3">
            <w:pPr>
              <w:pStyle w:val="BodyText"/>
              <w:jc w:val="right"/>
              <w:rPr>
                <w:sz w:val="20"/>
                <w:szCs w:val="20"/>
              </w:rPr>
            </w:pPr>
            <w:r w:rsidRPr="001C2FF3">
              <w:rPr>
                <w:sz w:val="20"/>
                <w:szCs w:val="20"/>
              </w:rPr>
              <w:t>265</w:t>
            </w:r>
          </w:p>
        </w:tc>
        <w:tc>
          <w:tcPr>
            <w:tcW w:w="437" w:type="pct"/>
          </w:tcPr>
          <w:p w:rsidR="00260042" w:rsidRPr="001C2FF3" w:rsidRDefault="00260042" w:rsidP="001C2FF3">
            <w:pPr>
              <w:pStyle w:val="BodyText"/>
              <w:jc w:val="right"/>
              <w:rPr>
                <w:sz w:val="20"/>
                <w:szCs w:val="20"/>
              </w:rPr>
            </w:pPr>
            <w:r w:rsidRPr="001C2FF3">
              <w:rPr>
                <w:sz w:val="20"/>
                <w:szCs w:val="20"/>
              </w:rPr>
              <w:t>321</w:t>
            </w:r>
          </w:p>
        </w:tc>
        <w:tc>
          <w:tcPr>
            <w:tcW w:w="437" w:type="pct"/>
          </w:tcPr>
          <w:p w:rsidR="00260042" w:rsidRPr="001C2FF3" w:rsidRDefault="00260042" w:rsidP="001C2FF3">
            <w:pPr>
              <w:pStyle w:val="BodyText"/>
              <w:jc w:val="right"/>
              <w:rPr>
                <w:sz w:val="20"/>
                <w:szCs w:val="20"/>
              </w:rPr>
            </w:pPr>
            <w:r w:rsidRPr="001C2FF3">
              <w:rPr>
                <w:sz w:val="20"/>
                <w:szCs w:val="20"/>
              </w:rPr>
              <w:t>124</w:t>
            </w:r>
          </w:p>
        </w:tc>
        <w:tc>
          <w:tcPr>
            <w:tcW w:w="437" w:type="pct"/>
          </w:tcPr>
          <w:p w:rsidR="00260042" w:rsidRPr="001C2FF3" w:rsidRDefault="00260042" w:rsidP="001C2FF3">
            <w:pPr>
              <w:pStyle w:val="BodyText"/>
              <w:jc w:val="right"/>
              <w:rPr>
                <w:sz w:val="20"/>
                <w:szCs w:val="20"/>
              </w:rPr>
            </w:pPr>
            <w:r w:rsidRPr="001C2FF3">
              <w:rPr>
                <w:sz w:val="20"/>
                <w:szCs w:val="20"/>
              </w:rPr>
              <w:t>641</w:t>
            </w:r>
          </w:p>
        </w:tc>
        <w:tc>
          <w:tcPr>
            <w:tcW w:w="437" w:type="pct"/>
          </w:tcPr>
          <w:p w:rsidR="00260042" w:rsidRPr="001C2FF3" w:rsidRDefault="00260042" w:rsidP="001C2FF3">
            <w:pPr>
              <w:pStyle w:val="BodyText"/>
              <w:jc w:val="right"/>
              <w:rPr>
                <w:sz w:val="20"/>
                <w:szCs w:val="20"/>
              </w:rPr>
            </w:pPr>
            <w:r w:rsidRPr="001C2FF3">
              <w:rPr>
                <w:sz w:val="20"/>
                <w:szCs w:val="20"/>
              </w:rPr>
              <w:t>765</w:t>
            </w:r>
          </w:p>
        </w:tc>
        <w:tc>
          <w:tcPr>
            <w:tcW w:w="438" w:type="pct"/>
          </w:tcPr>
          <w:p w:rsidR="00260042" w:rsidRPr="001C2FF3" w:rsidRDefault="00260042" w:rsidP="001C2FF3">
            <w:pPr>
              <w:pStyle w:val="BodyText"/>
              <w:jc w:val="right"/>
              <w:rPr>
                <w:sz w:val="20"/>
                <w:szCs w:val="20"/>
              </w:rPr>
            </w:pPr>
            <w:r w:rsidRPr="001C2FF3">
              <w:rPr>
                <w:sz w:val="20"/>
                <w:szCs w:val="20"/>
              </w:rPr>
              <w:t>2</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2</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1,088</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SA</w:t>
            </w:r>
          </w:p>
        </w:tc>
        <w:tc>
          <w:tcPr>
            <w:tcW w:w="437" w:type="pct"/>
          </w:tcPr>
          <w:p w:rsidR="00260042" w:rsidRPr="001C2FF3" w:rsidRDefault="00260042" w:rsidP="001C2FF3">
            <w:pPr>
              <w:pStyle w:val="BodyText"/>
              <w:jc w:val="right"/>
              <w:rPr>
                <w:sz w:val="20"/>
                <w:szCs w:val="20"/>
              </w:rPr>
            </w:pPr>
            <w:r w:rsidRPr="001C2FF3">
              <w:rPr>
                <w:sz w:val="20"/>
                <w:szCs w:val="20"/>
              </w:rPr>
              <w:t>30</w:t>
            </w:r>
          </w:p>
        </w:tc>
        <w:tc>
          <w:tcPr>
            <w:tcW w:w="437" w:type="pct"/>
          </w:tcPr>
          <w:p w:rsidR="00260042" w:rsidRPr="001C2FF3" w:rsidRDefault="00260042" w:rsidP="001C2FF3">
            <w:pPr>
              <w:pStyle w:val="BodyText"/>
              <w:jc w:val="right"/>
              <w:rPr>
                <w:sz w:val="20"/>
                <w:szCs w:val="20"/>
              </w:rPr>
            </w:pPr>
            <w:r w:rsidRPr="001C2FF3">
              <w:rPr>
                <w:sz w:val="20"/>
                <w:szCs w:val="20"/>
              </w:rPr>
              <w:t>88</w:t>
            </w:r>
          </w:p>
        </w:tc>
        <w:tc>
          <w:tcPr>
            <w:tcW w:w="437" w:type="pct"/>
          </w:tcPr>
          <w:p w:rsidR="00260042" w:rsidRPr="001C2FF3" w:rsidRDefault="00260042" w:rsidP="001C2FF3">
            <w:pPr>
              <w:pStyle w:val="BodyText"/>
              <w:jc w:val="right"/>
              <w:rPr>
                <w:sz w:val="20"/>
                <w:szCs w:val="20"/>
              </w:rPr>
            </w:pPr>
            <w:r w:rsidRPr="001C2FF3">
              <w:rPr>
                <w:sz w:val="20"/>
                <w:szCs w:val="20"/>
              </w:rPr>
              <w:t>118</w:t>
            </w:r>
          </w:p>
        </w:tc>
        <w:tc>
          <w:tcPr>
            <w:tcW w:w="437" w:type="pct"/>
          </w:tcPr>
          <w:p w:rsidR="00260042" w:rsidRPr="001C2FF3" w:rsidRDefault="00260042" w:rsidP="001C2FF3">
            <w:pPr>
              <w:pStyle w:val="BodyText"/>
              <w:jc w:val="right"/>
              <w:rPr>
                <w:sz w:val="20"/>
                <w:szCs w:val="20"/>
              </w:rPr>
            </w:pPr>
            <w:r w:rsidRPr="001C2FF3">
              <w:rPr>
                <w:sz w:val="20"/>
                <w:szCs w:val="20"/>
              </w:rPr>
              <w:t>61</w:t>
            </w:r>
          </w:p>
        </w:tc>
        <w:tc>
          <w:tcPr>
            <w:tcW w:w="437" w:type="pct"/>
          </w:tcPr>
          <w:p w:rsidR="00260042" w:rsidRPr="001C2FF3" w:rsidRDefault="00260042" w:rsidP="001C2FF3">
            <w:pPr>
              <w:pStyle w:val="BodyText"/>
              <w:jc w:val="right"/>
              <w:rPr>
                <w:sz w:val="20"/>
                <w:szCs w:val="20"/>
              </w:rPr>
            </w:pPr>
            <w:r w:rsidRPr="001C2FF3">
              <w:rPr>
                <w:sz w:val="20"/>
                <w:szCs w:val="20"/>
              </w:rPr>
              <w:t>154</w:t>
            </w:r>
          </w:p>
        </w:tc>
        <w:tc>
          <w:tcPr>
            <w:tcW w:w="437" w:type="pct"/>
          </w:tcPr>
          <w:p w:rsidR="00260042" w:rsidRPr="001C2FF3" w:rsidRDefault="00260042" w:rsidP="001C2FF3">
            <w:pPr>
              <w:pStyle w:val="BodyText"/>
              <w:jc w:val="right"/>
              <w:rPr>
                <w:sz w:val="20"/>
                <w:szCs w:val="20"/>
              </w:rPr>
            </w:pPr>
            <w:r w:rsidRPr="001C2FF3">
              <w:rPr>
                <w:sz w:val="20"/>
                <w:szCs w:val="20"/>
              </w:rPr>
              <w:t>215</w:t>
            </w:r>
          </w:p>
        </w:tc>
        <w:tc>
          <w:tcPr>
            <w:tcW w:w="438" w:type="pct"/>
          </w:tcPr>
          <w:p w:rsidR="00260042" w:rsidRPr="001C2FF3" w:rsidRDefault="00260042" w:rsidP="001C2FF3">
            <w:pPr>
              <w:pStyle w:val="BodyText"/>
              <w:jc w:val="right"/>
              <w:rPr>
                <w:sz w:val="20"/>
                <w:szCs w:val="20"/>
              </w:rPr>
            </w:pPr>
            <w:r w:rsidRPr="001C2FF3">
              <w:rPr>
                <w:sz w:val="20"/>
                <w:szCs w:val="20"/>
              </w:rPr>
              <w:t>1</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1</w:t>
            </w:r>
          </w:p>
        </w:tc>
        <w:tc>
          <w:tcPr>
            <w:tcW w:w="438" w:type="pct"/>
          </w:tcPr>
          <w:p w:rsidR="00260042" w:rsidRPr="001C2FF3" w:rsidRDefault="00260042" w:rsidP="001C2FF3">
            <w:pPr>
              <w:pStyle w:val="BodyText"/>
              <w:jc w:val="right"/>
              <w:rPr>
                <w:sz w:val="20"/>
                <w:szCs w:val="20"/>
              </w:rPr>
            </w:pPr>
            <w:r w:rsidRPr="001C2FF3">
              <w:rPr>
                <w:rStyle w:val="01bodybold"/>
                <w:sz w:val="20"/>
                <w:szCs w:val="20"/>
              </w:rPr>
              <w:t>334</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TAS</w:t>
            </w:r>
          </w:p>
        </w:tc>
        <w:tc>
          <w:tcPr>
            <w:tcW w:w="437" w:type="pct"/>
          </w:tcPr>
          <w:p w:rsidR="00260042" w:rsidRPr="001C2FF3" w:rsidRDefault="00260042" w:rsidP="001C2FF3">
            <w:pPr>
              <w:pStyle w:val="BodyText"/>
              <w:jc w:val="right"/>
              <w:rPr>
                <w:sz w:val="20"/>
                <w:szCs w:val="20"/>
              </w:rPr>
            </w:pPr>
            <w:r w:rsidRPr="001C2FF3">
              <w:rPr>
                <w:sz w:val="20"/>
                <w:szCs w:val="20"/>
              </w:rPr>
              <w:t>13</w:t>
            </w:r>
          </w:p>
        </w:tc>
        <w:tc>
          <w:tcPr>
            <w:tcW w:w="437" w:type="pct"/>
          </w:tcPr>
          <w:p w:rsidR="00260042" w:rsidRPr="001C2FF3" w:rsidRDefault="00260042" w:rsidP="001C2FF3">
            <w:pPr>
              <w:pStyle w:val="BodyText"/>
              <w:jc w:val="right"/>
              <w:rPr>
                <w:sz w:val="20"/>
                <w:szCs w:val="20"/>
              </w:rPr>
            </w:pPr>
            <w:r w:rsidRPr="001C2FF3">
              <w:rPr>
                <w:sz w:val="20"/>
                <w:szCs w:val="20"/>
              </w:rPr>
              <w:t>20</w:t>
            </w:r>
          </w:p>
        </w:tc>
        <w:tc>
          <w:tcPr>
            <w:tcW w:w="437" w:type="pct"/>
          </w:tcPr>
          <w:p w:rsidR="00260042" w:rsidRPr="001C2FF3" w:rsidRDefault="00260042" w:rsidP="001C2FF3">
            <w:pPr>
              <w:pStyle w:val="BodyText"/>
              <w:jc w:val="right"/>
              <w:rPr>
                <w:sz w:val="20"/>
                <w:szCs w:val="20"/>
              </w:rPr>
            </w:pPr>
            <w:r w:rsidRPr="001C2FF3">
              <w:rPr>
                <w:sz w:val="20"/>
                <w:szCs w:val="20"/>
              </w:rPr>
              <w:t>33</w:t>
            </w:r>
          </w:p>
        </w:tc>
        <w:tc>
          <w:tcPr>
            <w:tcW w:w="437" w:type="pct"/>
          </w:tcPr>
          <w:p w:rsidR="00260042" w:rsidRPr="001C2FF3" w:rsidRDefault="00260042" w:rsidP="001C2FF3">
            <w:pPr>
              <w:pStyle w:val="BodyText"/>
              <w:jc w:val="right"/>
              <w:rPr>
                <w:sz w:val="20"/>
                <w:szCs w:val="20"/>
              </w:rPr>
            </w:pPr>
            <w:r w:rsidRPr="001C2FF3">
              <w:rPr>
                <w:sz w:val="20"/>
                <w:szCs w:val="20"/>
              </w:rPr>
              <w:t>24</w:t>
            </w:r>
          </w:p>
        </w:tc>
        <w:tc>
          <w:tcPr>
            <w:tcW w:w="437" w:type="pct"/>
          </w:tcPr>
          <w:p w:rsidR="00260042" w:rsidRPr="001C2FF3" w:rsidRDefault="00260042" w:rsidP="001C2FF3">
            <w:pPr>
              <w:pStyle w:val="BodyText"/>
              <w:jc w:val="right"/>
              <w:rPr>
                <w:sz w:val="20"/>
                <w:szCs w:val="20"/>
              </w:rPr>
            </w:pPr>
            <w:r w:rsidRPr="001C2FF3">
              <w:rPr>
                <w:sz w:val="20"/>
                <w:szCs w:val="20"/>
              </w:rPr>
              <w:t>61</w:t>
            </w:r>
          </w:p>
        </w:tc>
        <w:tc>
          <w:tcPr>
            <w:tcW w:w="437" w:type="pct"/>
          </w:tcPr>
          <w:p w:rsidR="00260042" w:rsidRPr="001C2FF3" w:rsidRDefault="00260042" w:rsidP="001C2FF3">
            <w:pPr>
              <w:pStyle w:val="BodyText"/>
              <w:jc w:val="right"/>
              <w:rPr>
                <w:sz w:val="20"/>
                <w:szCs w:val="20"/>
              </w:rPr>
            </w:pPr>
            <w:r w:rsidRPr="001C2FF3">
              <w:rPr>
                <w:sz w:val="20"/>
                <w:szCs w:val="20"/>
              </w:rPr>
              <w:t>85</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118</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VIC</w:t>
            </w:r>
          </w:p>
        </w:tc>
        <w:tc>
          <w:tcPr>
            <w:tcW w:w="437" w:type="pct"/>
          </w:tcPr>
          <w:p w:rsidR="00260042" w:rsidRPr="001C2FF3" w:rsidRDefault="00260042" w:rsidP="001C2FF3">
            <w:pPr>
              <w:pStyle w:val="BodyText"/>
              <w:jc w:val="right"/>
              <w:rPr>
                <w:sz w:val="20"/>
                <w:szCs w:val="20"/>
              </w:rPr>
            </w:pPr>
            <w:r w:rsidRPr="001C2FF3">
              <w:rPr>
                <w:sz w:val="20"/>
                <w:szCs w:val="20"/>
              </w:rPr>
              <w:t>58</w:t>
            </w:r>
          </w:p>
        </w:tc>
        <w:tc>
          <w:tcPr>
            <w:tcW w:w="437" w:type="pct"/>
          </w:tcPr>
          <w:p w:rsidR="00260042" w:rsidRPr="001C2FF3" w:rsidRDefault="00260042" w:rsidP="001C2FF3">
            <w:pPr>
              <w:pStyle w:val="BodyText"/>
              <w:jc w:val="right"/>
              <w:rPr>
                <w:sz w:val="20"/>
                <w:szCs w:val="20"/>
              </w:rPr>
            </w:pPr>
            <w:r w:rsidRPr="001C2FF3">
              <w:rPr>
                <w:sz w:val="20"/>
                <w:szCs w:val="20"/>
              </w:rPr>
              <w:t>223</w:t>
            </w:r>
          </w:p>
        </w:tc>
        <w:tc>
          <w:tcPr>
            <w:tcW w:w="437" w:type="pct"/>
          </w:tcPr>
          <w:p w:rsidR="00260042" w:rsidRPr="001C2FF3" w:rsidRDefault="00260042" w:rsidP="001C2FF3">
            <w:pPr>
              <w:pStyle w:val="BodyText"/>
              <w:jc w:val="right"/>
              <w:rPr>
                <w:sz w:val="20"/>
                <w:szCs w:val="20"/>
              </w:rPr>
            </w:pPr>
            <w:r w:rsidRPr="001C2FF3">
              <w:rPr>
                <w:sz w:val="20"/>
                <w:szCs w:val="20"/>
              </w:rPr>
              <w:t>281</w:t>
            </w:r>
          </w:p>
        </w:tc>
        <w:tc>
          <w:tcPr>
            <w:tcW w:w="437" w:type="pct"/>
          </w:tcPr>
          <w:p w:rsidR="00260042" w:rsidRPr="001C2FF3" w:rsidRDefault="00260042" w:rsidP="001C2FF3">
            <w:pPr>
              <w:pStyle w:val="BodyText"/>
              <w:jc w:val="right"/>
              <w:rPr>
                <w:sz w:val="20"/>
                <w:szCs w:val="20"/>
              </w:rPr>
            </w:pPr>
            <w:r w:rsidRPr="001C2FF3">
              <w:rPr>
                <w:sz w:val="20"/>
                <w:szCs w:val="20"/>
              </w:rPr>
              <w:t>79</w:t>
            </w:r>
          </w:p>
        </w:tc>
        <w:tc>
          <w:tcPr>
            <w:tcW w:w="437" w:type="pct"/>
          </w:tcPr>
          <w:p w:rsidR="00260042" w:rsidRPr="001C2FF3" w:rsidRDefault="00260042" w:rsidP="001C2FF3">
            <w:pPr>
              <w:pStyle w:val="BodyText"/>
              <w:jc w:val="right"/>
              <w:rPr>
                <w:sz w:val="20"/>
                <w:szCs w:val="20"/>
              </w:rPr>
            </w:pPr>
            <w:r w:rsidRPr="001C2FF3">
              <w:rPr>
                <w:sz w:val="20"/>
                <w:szCs w:val="20"/>
              </w:rPr>
              <w:t>598</w:t>
            </w:r>
          </w:p>
        </w:tc>
        <w:tc>
          <w:tcPr>
            <w:tcW w:w="437" w:type="pct"/>
          </w:tcPr>
          <w:p w:rsidR="00260042" w:rsidRPr="001C2FF3" w:rsidRDefault="00260042" w:rsidP="001C2FF3">
            <w:pPr>
              <w:pStyle w:val="BodyText"/>
              <w:jc w:val="right"/>
              <w:rPr>
                <w:sz w:val="20"/>
                <w:szCs w:val="20"/>
              </w:rPr>
            </w:pPr>
            <w:r w:rsidRPr="001C2FF3">
              <w:rPr>
                <w:sz w:val="20"/>
                <w:szCs w:val="20"/>
              </w:rPr>
              <w:t>677</w:t>
            </w:r>
          </w:p>
        </w:tc>
        <w:tc>
          <w:tcPr>
            <w:tcW w:w="438" w:type="pct"/>
          </w:tcPr>
          <w:p w:rsidR="00260042" w:rsidRPr="001C2FF3" w:rsidRDefault="00260042" w:rsidP="001C2FF3">
            <w:pPr>
              <w:pStyle w:val="BodyText"/>
              <w:jc w:val="right"/>
              <w:rPr>
                <w:sz w:val="20"/>
                <w:szCs w:val="20"/>
              </w:rPr>
            </w:pPr>
            <w:r w:rsidRPr="001C2FF3">
              <w:rPr>
                <w:sz w:val="20"/>
                <w:szCs w:val="20"/>
              </w:rPr>
              <w:t>1</w:t>
            </w:r>
          </w:p>
        </w:tc>
        <w:tc>
          <w:tcPr>
            <w:tcW w:w="437" w:type="pct"/>
          </w:tcPr>
          <w:p w:rsidR="00260042" w:rsidRPr="001C2FF3" w:rsidRDefault="00260042" w:rsidP="001C2FF3">
            <w:pPr>
              <w:pStyle w:val="BodyText"/>
              <w:jc w:val="right"/>
              <w:rPr>
                <w:sz w:val="20"/>
                <w:szCs w:val="20"/>
              </w:rPr>
            </w:pPr>
            <w:r w:rsidRPr="001C2FF3">
              <w:rPr>
                <w:sz w:val="20"/>
                <w:szCs w:val="20"/>
              </w:rPr>
              <w:t>6</w:t>
            </w:r>
          </w:p>
        </w:tc>
        <w:tc>
          <w:tcPr>
            <w:tcW w:w="545" w:type="pct"/>
          </w:tcPr>
          <w:p w:rsidR="00260042" w:rsidRPr="001C2FF3" w:rsidRDefault="00260042" w:rsidP="001C2FF3">
            <w:pPr>
              <w:pStyle w:val="BodyText"/>
              <w:jc w:val="right"/>
              <w:rPr>
                <w:sz w:val="20"/>
                <w:szCs w:val="20"/>
              </w:rPr>
            </w:pPr>
            <w:r w:rsidRPr="001C2FF3">
              <w:rPr>
                <w:sz w:val="20"/>
                <w:szCs w:val="20"/>
              </w:rPr>
              <w:t>7</w:t>
            </w:r>
          </w:p>
        </w:tc>
        <w:tc>
          <w:tcPr>
            <w:tcW w:w="438" w:type="pct"/>
          </w:tcPr>
          <w:p w:rsidR="00260042" w:rsidRPr="001C2FF3" w:rsidRDefault="00260042" w:rsidP="001C2FF3">
            <w:pPr>
              <w:pStyle w:val="BodyText"/>
              <w:jc w:val="right"/>
              <w:rPr>
                <w:sz w:val="20"/>
                <w:szCs w:val="20"/>
              </w:rPr>
            </w:pPr>
            <w:r w:rsidRPr="001C2FF3">
              <w:rPr>
                <w:rStyle w:val="01bodybold"/>
                <w:sz w:val="20"/>
                <w:szCs w:val="20"/>
              </w:rPr>
              <w:t>965</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WA</w:t>
            </w:r>
          </w:p>
        </w:tc>
        <w:tc>
          <w:tcPr>
            <w:tcW w:w="437" w:type="pct"/>
          </w:tcPr>
          <w:p w:rsidR="00260042" w:rsidRPr="001C2FF3" w:rsidRDefault="00260042" w:rsidP="001C2FF3">
            <w:pPr>
              <w:pStyle w:val="BodyText"/>
              <w:jc w:val="right"/>
              <w:rPr>
                <w:sz w:val="20"/>
                <w:szCs w:val="20"/>
              </w:rPr>
            </w:pPr>
            <w:r w:rsidRPr="001C2FF3">
              <w:rPr>
                <w:sz w:val="20"/>
                <w:szCs w:val="20"/>
              </w:rPr>
              <w:t>15</w:t>
            </w:r>
          </w:p>
        </w:tc>
        <w:tc>
          <w:tcPr>
            <w:tcW w:w="437" w:type="pct"/>
          </w:tcPr>
          <w:p w:rsidR="00260042" w:rsidRPr="001C2FF3" w:rsidRDefault="00260042" w:rsidP="001C2FF3">
            <w:pPr>
              <w:pStyle w:val="BodyText"/>
              <w:jc w:val="right"/>
              <w:rPr>
                <w:sz w:val="20"/>
                <w:szCs w:val="20"/>
              </w:rPr>
            </w:pPr>
            <w:r w:rsidRPr="001C2FF3">
              <w:rPr>
                <w:sz w:val="20"/>
                <w:szCs w:val="20"/>
              </w:rPr>
              <w:t>68</w:t>
            </w:r>
          </w:p>
        </w:tc>
        <w:tc>
          <w:tcPr>
            <w:tcW w:w="437" w:type="pct"/>
          </w:tcPr>
          <w:p w:rsidR="00260042" w:rsidRPr="001C2FF3" w:rsidRDefault="00260042" w:rsidP="001C2FF3">
            <w:pPr>
              <w:pStyle w:val="BodyText"/>
              <w:jc w:val="right"/>
              <w:rPr>
                <w:sz w:val="20"/>
                <w:szCs w:val="20"/>
              </w:rPr>
            </w:pPr>
            <w:r w:rsidRPr="001C2FF3">
              <w:rPr>
                <w:sz w:val="20"/>
                <w:szCs w:val="20"/>
              </w:rPr>
              <w:t>83</w:t>
            </w:r>
          </w:p>
        </w:tc>
        <w:tc>
          <w:tcPr>
            <w:tcW w:w="437" w:type="pct"/>
          </w:tcPr>
          <w:p w:rsidR="00260042" w:rsidRPr="001C2FF3" w:rsidRDefault="00260042" w:rsidP="001C2FF3">
            <w:pPr>
              <w:pStyle w:val="BodyText"/>
              <w:jc w:val="right"/>
              <w:rPr>
                <w:sz w:val="20"/>
                <w:szCs w:val="20"/>
              </w:rPr>
            </w:pPr>
            <w:r w:rsidRPr="001C2FF3">
              <w:rPr>
                <w:sz w:val="20"/>
                <w:szCs w:val="20"/>
              </w:rPr>
              <w:t>34</w:t>
            </w:r>
          </w:p>
        </w:tc>
        <w:tc>
          <w:tcPr>
            <w:tcW w:w="437" w:type="pct"/>
          </w:tcPr>
          <w:p w:rsidR="00260042" w:rsidRPr="001C2FF3" w:rsidRDefault="00260042" w:rsidP="001C2FF3">
            <w:pPr>
              <w:pStyle w:val="BodyText"/>
              <w:jc w:val="right"/>
              <w:rPr>
                <w:sz w:val="20"/>
                <w:szCs w:val="20"/>
              </w:rPr>
            </w:pPr>
            <w:r w:rsidRPr="001C2FF3">
              <w:rPr>
                <w:sz w:val="20"/>
                <w:szCs w:val="20"/>
              </w:rPr>
              <w:t>293</w:t>
            </w:r>
          </w:p>
        </w:tc>
        <w:tc>
          <w:tcPr>
            <w:tcW w:w="437" w:type="pct"/>
          </w:tcPr>
          <w:p w:rsidR="00260042" w:rsidRPr="001C2FF3" w:rsidRDefault="00260042" w:rsidP="001C2FF3">
            <w:pPr>
              <w:pStyle w:val="BodyText"/>
              <w:jc w:val="right"/>
              <w:rPr>
                <w:sz w:val="20"/>
                <w:szCs w:val="20"/>
              </w:rPr>
            </w:pPr>
            <w:r w:rsidRPr="001C2FF3">
              <w:rPr>
                <w:sz w:val="20"/>
                <w:szCs w:val="20"/>
              </w:rPr>
              <w:t>327</w:t>
            </w:r>
          </w:p>
        </w:tc>
        <w:tc>
          <w:tcPr>
            <w:tcW w:w="438" w:type="pct"/>
          </w:tcPr>
          <w:p w:rsidR="00260042" w:rsidRPr="001C2FF3" w:rsidRDefault="00260042" w:rsidP="001C2FF3">
            <w:pPr>
              <w:pStyle w:val="BodyText"/>
              <w:jc w:val="right"/>
              <w:rPr>
                <w:sz w:val="20"/>
                <w:szCs w:val="20"/>
              </w:rPr>
            </w:pPr>
            <w:r w:rsidRPr="001C2FF3">
              <w:rPr>
                <w:sz w:val="20"/>
                <w:szCs w:val="20"/>
              </w:rPr>
              <w:t>1</w:t>
            </w:r>
          </w:p>
        </w:tc>
        <w:tc>
          <w:tcPr>
            <w:tcW w:w="437" w:type="pct"/>
          </w:tcPr>
          <w:p w:rsidR="00260042" w:rsidRPr="001C2FF3" w:rsidRDefault="00260042" w:rsidP="001C2FF3">
            <w:pPr>
              <w:pStyle w:val="BodyText"/>
              <w:jc w:val="right"/>
              <w:rPr>
                <w:sz w:val="20"/>
                <w:szCs w:val="20"/>
              </w:rPr>
            </w:pPr>
            <w:r w:rsidRPr="001C2FF3">
              <w:rPr>
                <w:sz w:val="20"/>
                <w:szCs w:val="20"/>
              </w:rPr>
              <w:t>4</w:t>
            </w:r>
          </w:p>
        </w:tc>
        <w:tc>
          <w:tcPr>
            <w:tcW w:w="545" w:type="pct"/>
          </w:tcPr>
          <w:p w:rsidR="00260042" w:rsidRPr="001C2FF3" w:rsidRDefault="00260042" w:rsidP="001C2FF3">
            <w:pPr>
              <w:pStyle w:val="BodyText"/>
              <w:jc w:val="right"/>
              <w:rPr>
                <w:sz w:val="20"/>
                <w:szCs w:val="20"/>
              </w:rPr>
            </w:pPr>
            <w:r w:rsidRPr="001C2FF3">
              <w:rPr>
                <w:sz w:val="20"/>
                <w:szCs w:val="20"/>
              </w:rPr>
              <w:t>5</w:t>
            </w:r>
          </w:p>
        </w:tc>
        <w:tc>
          <w:tcPr>
            <w:tcW w:w="438" w:type="pct"/>
          </w:tcPr>
          <w:p w:rsidR="00260042" w:rsidRPr="001C2FF3" w:rsidRDefault="00260042" w:rsidP="001C2FF3">
            <w:pPr>
              <w:pStyle w:val="BodyText"/>
              <w:jc w:val="right"/>
              <w:rPr>
                <w:sz w:val="20"/>
                <w:szCs w:val="20"/>
              </w:rPr>
            </w:pPr>
            <w:r w:rsidRPr="001C2FF3">
              <w:rPr>
                <w:rStyle w:val="01bodybold"/>
                <w:sz w:val="20"/>
                <w:szCs w:val="20"/>
              </w:rPr>
              <w:t>415</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ACT</w:t>
            </w:r>
          </w:p>
        </w:tc>
        <w:tc>
          <w:tcPr>
            <w:tcW w:w="437" w:type="pct"/>
          </w:tcPr>
          <w:p w:rsidR="00260042" w:rsidRPr="001C2FF3" w:rsidRDefault="00260042" w:rsidP="001C2FF3">
            <w:pPr>
              <w:pStyle w:val="BodyText"/>
              <w:jc w:val="right"/>
              <w:rPr>
                <w:sz w:val="20"/>
                <w:szCs w:val="20"/>
              </w:rPr>
            </w:pPr>
            <w:r w:rsidRPr="001C2FF3">
              <w:rPr>
                <w:sz w:val="20"/>
                <w:szCs w:val="20"/>
              </w:rPr>
              <w:t>14</w:t>
            </w:r>
          </w:p>
        </w:tc>
        <w:tc>
          <w:tcPr>
            <w:tcW w:w="437" w:type="pct"/>
          </w:tcPr>
          <w:p w:rsidR="00260042" w:rsidRPr="001C2FF3" w:rsidRDefault="00260042" w:rsidP="001C2FF3">
            <w:pPr>
              <w:pStyle w:val="BodyText"/>
              <w:jc w:val="right"/>
              <w:rPr>
                <w:sz w:val="20"/>
                <w:szCs w:val="20"/>
              </w:rPr>
            </w:pPr>
            <w:r w:rsidRPr="001C2FF3">
              <w:rPr>
                <w:sz w:val="20"/>
                <w:szCs w:val="20"/>
              </w:rPr>
              <w:t>52</w:t>
            </w:r>
          </w:p>
        </w:tc>
        <w:tc>
          <w:tcPr>
            <w:tcW w:w="437" w:type="pct"/>
          </w:tcPr>
          <w:p w:rsidR="00260042" w:rsidRPr="001C2FF3" w:rsidRDefault="00260042" w:rsidP="001C2FF3">
            <w:pPr>
              <w:pStyle w:val="BodyText"/>
              <w:jc w:val="right"/>
              <w:rPr>
                <w:sz w:val="20"/>
                <w:szCs w:val="20"/>
              </w:rPr>
            </w:pPr>
            <w:r w:rsidRPr="001C2FF3">
              <w:rPr>
                <w:sz w:val="20"/>
                <w:szCs w:val="20"/>
              </w:rPr>
              <w:t>66</w:t>
            </w:r>
          </w:p>
        </w:tc>
        <w:tc>
          <w:tcPr>
            <w:tcW w:w="437" w:type="pct"/>
          </w:tcPr>
          <w:p w:rsidR="00260042" w:rsidRPr="001C2FF3" w:rsidRDefault="00260042" w:rsidP="001C2FF3">
            <w:pPr>
              <w:pStyle w:val="BodyText"/>
              <w:jc w:val="right"/>
              <w:rPr>
                <w:sz w:val="20"/>
                <w:szCs w:val="20"/>
              </w:rPr>
            </w:pPr>
            <w:r w:rsidRPr="001C2FF3">
              <w:rPr>
                <w:sz w:val="20"/>
                <w:szCs w:val="20"/>
              </w:rPr>
              <w:t>24</w:t>
            </w:r>
          </w:p>
        </w:tc>
        <w:tc>
          <w:tcPr>
            <w:tcW w:w="437" w:type="pct"/>
          </w:tcPr>
          <w:p w:rsidR="00260042" w:rsidRPr="001C2FF3" w:rsidRDefault="00260042" w:rsidP="001C2FF3">
            <w:pPr>
              <w:pStyle w:val="BodyText"/>
              <w:jc w:val="right"/>
              <w:rPr>
                <w:sz w:val="20"/>
                <w:szCs w:val="20"/>
              </w:rPr>
            </w:pPr>
            <w:r w:rsidRPr="001C2FF3">
              <w:rPr>
                <w:sz w:val="20"/>
                <w:szCs w:val="20"/>
              </w:rPr>
              <w:t>86</w:t>
            </w:r>
          </w:p>
        </w:tc>
        <w:tc>
          <w:tcPr>
            <w:tcW w:w="437" w:type="pct"/>
          </w:tcPr>
          <w:p w:rsidR="00260042" w:rsidRPr="001C2FF3" w:rsidRDefault="00260042" w:rsidP="001C2FF3">
            <w:pPr>
              <w:pStyle w:val="BodyText"/>
              <w:jc w:val="right"/>
              <w:rPr>
                <w:sz w:val="20"/>
                <w:szCs w:val="20"/>
              </w:rPr>
            </w:pPr>
            <w:r w:rsidRPr="001C2FF3">
              <w:rPr>
                <w:sz w:val="20"/>
                <w:szCs w:val="20"/>
              </w:rPr>
              <w:t>110</w:t>
            </w:r>
          </w:p>
        </w:tc>
        <w:tc>
          <w:tcPr>
            <w:tcW w:w="438" w:type="pct"/>
          </w:tcPr>
          <w:p w:rsidR="00260042" w:rsidRPr="001C2FF3" w:rsidRDefault="00260042" w:rsidP="001C2FF3">
            <w:pPr>
              <w:pStyle w:val="BodyText"/>
              <w:jc w:val="right"/>
              <w:rPr>
                <w:sz w:val="20"/>
                <w:szCs w:val="20"/>
              </w:rPr>
            </w:pPr>
            <w:r w:rsidRPr="001C2FF3">
              <w:rPr>
                <w:sz w:val="20"/>
                <w:szCs w:val="20"/>
              </w:rPr>
              <w:t>2</w:t>
            </w:r>
          </w:p>
        </w:tc>
        <w:tc>
          <w:tcPr>
            <w:tcW w:w="437" w:type="pct"/>
          </w:tcPr>
          <w:p w:rsidR="00260042" w:rsidRPr="001C2FF3" w:rsidRDefault="00260042" w:rsidP="001C2FF3">
            <w:pPr>
              <w:pStyle w:val="BodyText"/>
              <w:jc w:val="right"/>
              <w:rPr>
                <w:sz w:val="20"/>
                <w:szCs w:val="20"/>
              </w:rPr>
            </w:pPr>
            <w:r w:rsidRPr="001C2FF3">
              <w:rPr>
                <w:sz w:val="20"/>
                <w:szCs w:val="20"/>
              </w:rPr>
              <w:t>1</w:t>
            </w:r>
          </w:p>
        </w:tc>
        <w:tc>
          <w:tcPr>
            <w:tcW w:w="545" w:type="pct"/>
          </w:tcPr>
          <w:p w:rsidR="00260042" w:rsidRPr="001C2FF3" w:rsidRDefault="00260042" w:rsidP="001C2FF3">
            <w:pPr>
              <w:pStyle w:val="BodyText"/>
              <w:jc w:val="right"/>
              <w:rPr>
                <w:sz w:val="20"/>
                <w:szCs w:val="20"/>
              </w:rPr>
            </w:pPr>
            <w:r w:rsidRPr="001C2FF3">
              <w:rPr>
                <w:sz w:val="20"/>
                <w:szCs w:val="20"/>
              </w:rPr>
              <w:t>3</w:t>
            </w:r>
          </w:p>
        </w:tc>
        <w:tc>
          <w:tcPr>
            <w:tcW w:w="438" w:type="pct"/>
          </w:tcPr>
          <w:p w:rsidR="00260042" w:rsidRPr="001C2FF3" w:rsidRDefault="00260042" w:rsidP="001C2FF3">
            <w:pPr>
              <w:pStyle w:val="BodyText"/>
              <w:jc w:val="right"/>
              <w:rPr>
                <w:sz w:val="20"/>
                <w:szCs w:val="20"/>
              </w:rPr>
            </w:pPr>
            <w:r w:rsidRPr="001C2FF3">
              <w:rPr>
                <w:rStyle w:val="01bodybold"/>
                <w:sz w:val="20"/>
                <w:szCs w:val="20"/>
              </w:rPr>
              <w:t>179</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NT</w:t>
            </w:r>
          </w:p>
        </w:tc>
        <w:tc>
          <w:tcPr>
            <w:tcW w:w="437" w:type="pct"/>
          </w:tcPr>
          <w:p w:rsidR="00260042" w:rsidRPr="001C2FF3" w:rsidRDefault="00260042" w:rsidP="001C2FF3">
            <w:pPr>
              <w:pStyle w:val="BodyText"/>
              <w:jc w:val="right"/>
              <w:rPr>
                <w:sz w:val="20"/>
                <w:szCs w:val="20"/>
              </w:rPr>
            </w:pPr>
            <w:r w:rsidRPr="001C2FF3">
              <w:rPr>
                <w:sz w:val="20"/>
                <w:szCs w:val="20"/>
              </w:rPr>
              <w:t>2</w:t>
            </w:r>
          </w:p>
        </w:tc>
        <w:tc>
          <w:tcPr>
            <w:tcW w:w="437" w:type="pct"/>
          </w:tcPr>
          <w:p w:rsidR="00260042" w:rsidRPr="001C2FF3" w:rsidRDefault="00260042" w:rsidP="001C2FF3">
            <w:pPr>
              <w:pStyle w:val="BodyText"/>
              <w:jc w:val="right"/>
              <w:rPr>
                <w:sz w:val="20"/>
                <w:szCs w:val="20"/>
              </w:rPr>
            </w:pPr>
            <w:r w:rsidRPr="001C2FF3">
              <w:rPr>
                <w:sz w:val="20"/>
                <w:szCs w:val="20"/>
              </w:rPr>
              <w:t>12</w:t>
            </w:r>
          </w:p>
        </w:tc>
        <w:tc>
          <w:tcPr>
            <w:tcW w:w="437" w:type="pct"/>
          </w:tcPr>
          <w:p w:rsidR="00260042" w:rsidRPr="001C2FF3" w:rsidRDefault="00260042" w:rsidP="001C2FF3">
            <w:pPr>
              <w:pStyle w:val="BodyText"/>
              <w:jc w:val="right"/>
              <w:rPr>
                <w:sz w:val="20"/>
                <w:szCs w:val="20"/>
              </w:rPr>
            </w:pPr>
            <w:r w:rsidRPr="001C2FF3">
              <w:rPr>
                <w:sz w:val="20"/>
                <w:szCs w:val="20"/>
              </w:rPr>
              <w:t>14</w:t>
            </w:r>
          </w:p>
        </w:tc>
        <w:tc>
          <w:tcPr>
            <w:tcW w:w="437" w:type="pct"/>
          </w:tcPr>
          <w:p w:rsidR="00260042" w:rsidRPr="001C2FF3" w:rsidRDefault="00260042" w:rsidP="001C2FF3">
            <w:pPr>
              <w:pStyle w:val="BodyText"/>
              <w:jc w:val="right"/>
              <w:rPr>
                <w:sz w:val="20"/>
                <w:szCs w:val="20"/>
              </w:rPr>
            </w:pPr>
            <w:r w:rsidRPr="001C2FF3">
              <w:rPr>
                <w:sz w:val="20"/>
                <w:szCs w:val="20"/>
              </w:rPr>
              <w:t>5</w:t>
            </w:r>
          </w:p>
        </w:tc>
        <w:tc>
          <w:tcPr>
            <w:tcW w:w="437" w:type="pct"/>
          </w:tcPr>
          <w:p w:rsidR="00260042" w:rsidRPr="001C2FF3" w:rsidRDefault="00260042" w:rsidP="001C2FF3">
            <w:pPr>
              <w:pStyle w:val="BodyText"/>
              <w:jc w:val="right"/>
              <w:rPr>
                <w:sz w:val="20"/>
                <w:szCs w:val="20"/>
              </w:rPr>
            </w:pPr>
            <w:r w:rsidRPr="001C2FF3">
              <w:rPr>
                <w:sz w:val="20"/>
                <w:szCs w:val="20"/>
              </w:rPr>
              <w:t>26</w:t>
            </w:r>
          </w:p>
        </w:tc>
        <w:tc>
          <w:tcPr>
            <w:tcW w:w="437" w:type="pct"/>
          </w:tcPr>
          <w:p w:rsidR="00260042" w:rsidRPr="001C2FF3" w:rsidRDefault="00260042" w:rsidP="001C2FF3">
            <w:pPr>
              <w:pStyle w:val="BodyText"/>
              <w:jc w:val="right"/>
              <w:rPr>
                <w:sz w:val="20"/>
                <w:szCs w:val="20"/>
              </w:rPr>
            </w:pPr>
            <w:r w:rsidRPr="001C2FF3">
              <w:rPr>
                <w:sz w:val="20"/>
                <w:szCs w:val="20"/>
              </w:rPr>
              <w:t>31</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45</w:t>
            </w:r>
          </w:p>
        </w:tc>
      </w:tr>
      <w:tr w:rsidR="00260042" w:rsidRPr="001C2FF3" w:rsidTr="001C2FF3">
        <w:trPr>
          <w:trHeight w:val="616"/>
        </w:trPr>
        <w:tc>
          <w:tcPr>
            <w:tcW w:w="517" w:type="pct"/>
          </w:tcPr>
          <w:p w:rsidR="00260042" w:rsidRPr="001C2FF3" w:rsidRDefault="00260042" w:rsidP="001C2FF3">
            <w:pPr>
              <w:pStyle w:val="BodyText"/>
              <w:rPr>
                <w:sz w:val="20"/>
                <w:szCs w:val="20"/>
              </w:rPr>
            </w:pPr>
            <w:r w:rsidRPr="001C2FF3">
              <w:rPr>
                <w:sz w:val="20"/>
                <w:szCs w:val="20"/>
              </w:rPr>
              <w:t>External territories</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0</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sz w:val="20"/>
                <w:szCs w:val="20"/>
              </w:rPr>
              <w:t>Overseas</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sz w:val="20"/>
                <w:szCs w:val="20"/>
              </w:rPr>
              <w:t>0</w:t>
            </w:r>
          </w:p>
        </w:tc>
        <w:tc>
          <w:tcPr>
            <w:tcW w:w="437" w:type="pct"/>
          </w:tcPr>
          <w:p w:rsidR="00260042" w:rsidRPr="001C2FF3" w:rsidRDefault="00260042" w:rsidP="001C2FF3">
            <w:pPr>
              <w:pStyle w:val="BodyText"/>
              <w:jc w:val="right"/>
              <w:rPr>
                <w:sz w:val="20"/>
                <w:szCs w:val="20"/>
              </w:rPr>
            </w:pPr>
            <w:r w:rsidRPr="001C2FF3">
              <w:rPr>
                <w:sz w:val="20"/>
                <w:szCs w:val="20"/>
              </w:rPr>
              <w:t>0</w:t>
            </w:r>
          </w:p>
        </w:tc>
        <w:tc>
          <w:tcPr>
            <w:tcW w:w="545" w:type="pct"/>
          </w:tcPr>
          <w:p w:rsidR="00260042" w:rsidRPr="001C2FF3" w:rsidRDefault="00260042" w:rsidP="001C2FF3">
            <w:pPr>
              <w:pStyle w:val="BodyText"/>
              <w:jc w:val="right"/>
              <w:rPr>
                <w:sz w:val="20"/>
                <w:szCs w:val="20"/>
              </w:rPr>
            </w:pPr>
            <w:r w:rsidRPr="001C2FF3">
              <w:rPr>
                <w:sz w:val="20"/>
                <w:szCs w:val="20"/>
              </w:rPr>
              <w:t>0</w:t>
            </w:r>
          </w:p>
        </w:tc>
        <w:tc>
          <w:tcPr>
            <w:tcW w:w="438" w:type="pct"/>
          </w:tcPr>
          <w:p w:rsidR="00260042" w:rsidRPr="001C2FF3" w:rsidRDefault="00260042" w:rsidP="001C2FF3">
            <w:pPr>
              <w:pStyle w:val="BodyText"/>
              <w:jc w:val="right"/>
              <w:rPr>
                <w:sz w:val="20"/>
                <w:szCs w:val="20"/>
              </w:rPr>
            </w:pPr>
            <w:r w:rsidRPr="001C2FF3">
              <w:rPr>
                <w:rStyle w:val="01bodybold"/>
                <w:sz w:val="20"/>
                <w:szCs w:val="20"/>
              </w:rPr>
              <w:t>0</w:t>
            </w:r>
          </w:p>
        </w:tc>
      </w:tr>
      <w:tr w:rsidR="00260042" w:rsidRPr="001C2FF3" w:rsidTr="001C2FF3">
        <w:trPr>
          <w:trHeight w:val="60"/>
        </w:trPr>
        <w:tc>
          <w:tcPr>
            <w:tcW w:w="517" w:type="pct"/>
          </w:tcPr>
          <w:p w:rsidR="00260042" w:rsidRPr="001C2FF3" w:rsidRDefault="00260042" w:rsidP="001C2FF3">
            <w:pPr>
              <w:pStyle w:val="BodyText"/>
              <w:rPr>
                <w:sz w:val="20"/>
                <w:szCs w:val="20"/>
              </w:rPr>
            </w:pPr>
            <w:r w:rsidRPr="001C2FF3">
              <w:rPr>
                <w:rStyle w:val="01bodybold"/>
                <w:sz w:val="20"/>
                <w:szCs w:val="20"/>
              </w:rPr>
              <w:t>Total</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262</w:t>
            </w:r>
          </w:p>
        </w:tc>
        <w:tc>
          <w:tcPr>
            <w:tcW w:w="437" w:type="pct"/>
          </w:tcPr>
          <w:p w:rsidR="00260042" w:rsidRPr="001C2FF3" w:rsidRDefault="00260042" w:rsidP="001C2FF3">
            <w:pPr>
              <w:pStyle w:val="BodyText"/>
              <w:jc w:val="right"/>
              <w:rPr>
                <w:sz w:val="20"/>
                <w:szCs w:val="20"/>
              </w:rPr>
            </w:pPr>
            <w:r w:rsidRPr="001C2FF3">
              <w:rPr>
                <w:rStyle w:val="01bodybold"/>
                <w:sz w:val="20"/>
                <w:szCs w:val="20"/>
              </w:rPr>
              <w:t>916</w:t>
            </w:r>
          </w:p>
        </w:tc>
        <w:tc>
          <w:tcPr>
            <w:tcW w:w="437" w:type="pct"/>
          </w:tcPr>
          <w:p w:rsidR="00260042" w:rsidRPr="001C2FF3" w:rsidRDefault="00260042" w:rsidP="001C2FF3">
            <w:pPr>
              <w:pStyle w:val="BodyText"/>
              <w:jc w:val="right"/>
              <w:rPr>
                <w:sz w:val="20"/>
                <w:szCs w:val="20"/>
              </w:rPr>
            </w:pPr>
            <w:r w:rsidRPr="001C2FF3">
              <w:rPr>
                <w:rStyle w:val="01bodybold"/>
                <w:sz w:val="20"/>
                <w:szCs w:val="20"/>
              </w:rPr>
              <w:t>1,178</w:t>
            </w:r>
          </w:p>
        </w:tc>
        <w:tc>
          <w:tcPr>
            <w:tcW w:w="437" w:type="pct"/>
          </w:tcPr>
          <w:p w:rsidR="00260042" w:rsidRPr="001C2FF3" w:rsidRDefault="00260042" w:rsidP="001C2FF3">
            <w:pPr>
              <w:pStyle w:val="BodyText"/>
              <w:jc w:val="right"/>
              <w:rPr>
                <w:sz w:val="20"/>
                <w:szCs w:val="20"/>
              </w:rPr>
            </w:pPr>
            <w:r w:rsidRPr="001C2FF3">
              <w:rPr>
                <w:rStyle w:val="01bodybold"/>
                <w:sz w:val="20"/>
                <w:szCs w:val="20"/>
              </w:rPr>
              <w:t>476</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2,518</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2,994</w:t>
            </w:r>
          </w:p>
        </w:tc>
        <w:tc>
          <w:tcPr>
            <w:tcW w:w="438" w:type="pct"/>
          </w:tcPr>
          <w:p w:rsidR="00260042" w:rsidRPr="001C2FF3" w:rsidRDefault="00260042" w:rsidP="001C2FF3">
            <w:pPr>
              <w:pStyle w:val="BodyText"/>
              <w:jc w:val="right"/>
              <w:rPr>
                <w:sz w:val="20"/>
                <w:szCs w:val="20"/>
              </w:rPr>
            </w:pPr>
            <w:r w:rsidRPr="001C2FF3">
              <w:rPr>
                <w:rStyle w:val="01bodybold"/>
                <w:sz w:val="20"/>
                <w:szCs w:val="20"/>
              </w:rPr>
              <w:t>9</w:t>
            </w:r>
          </w:p>
        </w:tc>
        <w:tc>
          <w:tcPr>
            <w:tcW w:w="437" w:type="pct"/>
          </w:tcPr>
          <w:p w:rsidR="00260042" w:rsidRPr="001C2FF3" w:rsidRDefault="00260042" w:rsidP="001C2FF3">
            <w:pPr>
              <w:pStyle w:val="BodyText"/>
              <w:jc w:val="right"/>
              <w:rPr>
                <w:sz w:val="20"/>
                <w:szCs w:val="20"/>
              </w:rPr>
            </w:pPr>
            <w:r w:rsidRPr="001C2FF3">
              <w:rPr>
                <w:rStyle w:val="01bodybold"/>
                <w:sz w:val="20"/>
                <w:szCs w:val="20"/>
              </w:rPr>
              <w:t>23</w:t>
            </w:r>
          </w:p>
        </w:tc>
        <w:tc>
          <w:tcPr>
            <w:tcW w:w="545" w:type="pct"/>
          </w:tcPr>
          <w:p w:rsidR="00260042" w:rsidRPr="001C2FF3" w:rsidRDefault="00260042" w:rsidP="001C2FF3">
            <w:pPr>
              <w:pStyle w:val="BodyText"/>
              <w:jc w:val="right"/>
              <w:rPr>
                <w:sz w:val="20"/>
                <w:szCs w:val="20"/>
              </w:rPr>
            </w:pPr>
            <w:r w:rsidRPr="001C2FF3">
              <w:rPr>
                <w:rStyle w:val="01bodybold"/>
                <w:sz w:val="20"/>
                <w:szCs w:val="20"/>
              </w:rPr>
              <w:t>32</w:t>
            </w:r>
          </w:p>
        </w:tc>
        <w:tc>
          <w:tcPr>
            <w:tcW w:w="438" w:type="pct"/>
          </w:tcPr>
          <w:p w:rsidR="00260042" w:rsidRPr="001C2FF3" w:rsidRDefault="00260042" w:rsidP="001C2FF3">
            <w:pPr>
              <w:pStyle w:val="BodyText"/>
              <w:jc w:val="right"/>
              <w:rPr>
                <w:sz w:val="20"/>
                <w:szCs w:val="20"/>
              </w:rPr>
            </w:pPr>
            <w:r w:rsidRPr="001C2FF3">
              <w:rPr>
                <w:rStyle w:val="01bodybold"/>
                <w:sz w:val="20"/>
                <w:szCs w:val="20"/>
              </w:rPr>
              <w:t>4,204</w:t>
            </w:r>
          </w:p>
        </w:tc>
      </w:tr>
    </w:tbl>
    <w:p w:rsidR="00260042" w:rsidRDefault="00260042" w:rsidP="00EA5510">
      <w:pPr>
        <w:pStyle w:val="BodyText"/>
      </w:pPr>
      <w:r>
        <w:lastRenderedPageBreak/>
        <w:t>(a)</w:t>
      </w:r>
      <w:r>
        <w:tab/>
        <w:t>Non-ongoing employees include irregular/intermittent staff.</w:t>
      </w:r>
    </w:p>
    <w:p w:rsidR="00260042" w:rsidRDefault="00260042" w:rsidP="002E64CE">
      <w:pPr>
        <w:pStyle w:val="Heading3"/>
      </w:pPr>
      <w:r>
        <w:t>PGPA Rule s. 17AG (4</w:t>
      </w:r>
      <w:proofErr w:type="gramStart"/>
      <w:r>
        <w:t>)</w:t>
      </w:r>
      <w:r>
        <w:rPr>
          <w:caps/>
        </w:rPr>
        <w:t>(</w:t>
      </w:r>
      <w:proofErr w:type="gramEnd"/>
      <w:r>
        <w:rPr>
          <w:caps/>
        </w:rPr>
        <w:t>b)(i)–(iv)</w:t>
      </w:r>
      <w:r>
        <w:t xml:space="preserve"> Australian Public Sector (APS) classification and gender </w:t>
      </w:r>
    </w:p>
    <w:p w:rsidR="00260042" w:rsidRPr="00EA5510" w:rsidRDefault="00511254" w:rsidP="00EA5510">
      <w:pPr>
        <w:pStyle w:val="BodyText"/>
        <w:rPr>
          <w:b/>
        </w:rPr>
      </w:pPr>
      <w:r>
        <w:rPr>
          <w:rStyle w:val="Bold"/>
          <w:bCs w:val="0"/>
        </w:rPr>
        <w:t>Table 5</w:t>
      </w:r>
      <w:r>
        <w:rPr>
          <w:rStyle w:val="Bold"/>
          <w:bCs w:val="0"/>
        </w:rPr>
        <w:t>9</w:t>
      </w:r>
      <w:r w:rsidR="00260042" w:rsidRPr="00EA5510">
        <w:rPr>
          <w:b/>
        </w:rPr>
        <w:t xml:space="preserve"> Australian Public Service Act ongoing employees 2020–21</w:t>
      </w:r>
    </w:p>
    <w:tbl>
      <w:tblPr>
        <w:tblStyle w:val="TableGrid"/>
        <w:tblW w:w="5000" w:type="pct"/>
        <w:tblLook w:val="0000" w:firstRow="0" w:lastRow="0" w:firstColumn="0" w:lastColumn="0" w:noHBand="0" w:noVBand="0"/>
        <w:tblCaption w:val=" Australian Public Service Act ongoing employees 2020–21"/>
      </w:tblPr>
      <w:tblGrid>
        <w:gridCol w:w="1485"/>
        <w:gridCol w:w="917"/>
        <w:gridCol w:w="917"/>
        <w:gridCol w:w="919"/>
        <w:gridCol w:w="917"/>
        <w:gridCol w:w="917"/>
        <w:gridCol w:w="917"/>
        <w:gridCol w:w="917"/>
        <w:gridCol w:w="917"/>
        <w:gridCol w:w="1139"/>
        <w:gridCol w:w="828"/>
      </w:tblGrid>
      <w:tr w:rsidR="00260042" w:rsidRPr="001C2FF3" w:rsidTr="00511254">
        <w:trPr>
          <w:trHeight w:val="60"/>
          <w:tblHeader/>
        </w:trPr>
        <w:tc>
          <w:tcPr>
            <w:tcW w:w="688" w:type="pct"/>
          </w:tcPr>
          <w:p w:rsidR="00260042" w:rsidRPr="001C2FF3" w:rsidRDefault="00260042" w:rsidP="001C2FF3">
            <w:pPr>
              <w:pStyle w:val="BodyText"/>
              <w:rPr>
                <w:b/>
                <w:sz w:val="20"/>
                <w:szCs w:val="20"/>
              </w:rPr>
            </w:pPr>
          </w:p>
        </w:tc>
        <w:tc>
          <w:tcPr>
            <w:tcW w:w="1276" w:type="pct"/>
            <w:gridSpan w:val="3"/>
          </w:tcPr>
          <w:p w:rsidR="00260042" w:rsidRPr="001C2FF3" w:rsidRDefault="00260042" w:rsidP="001C2FF3">
            <w:pPr>
              <w:pStyle w:val="BodyText"/>
              <w:jc w:val="center"/>
              <w:rPr>
                <w:b/>
                <w:sz w:val="20"/>
                <w:szCs w:val="20"/>
              </w:rPr>
            </w:pPr>
            <w:r w:rsidRPr="001C2FF3">
              <w:rPr>
                <w:b/>
                <w:sz w:val="20"/>
                <w:szCs w:val="20"/>
              </w:rPr>
              <w:t>Male</w:t>
            </w:r>
          </w:p>
        </w:tc>
        <w:tc>
          <w:tcPr>
            <w:tcW w:w="1275" w:type="pct"/>
            <w:gridSpan w:val="3"/>
          </w:tcPr>
          <w:p w:rsidR="00260042" w:rsidRPr="001C2FF3" w:rsidRDefault="00260042" w:rsidP="001C2FF3">
            <w:pPr>
              <w:pStyle w:val="BodyText"/>
              <w:jc w:val="center"/>
              <w:rPr>
                <w:b/>
                <w:sz w:val="20"/>
                <w:szCs w:val="20"/>
              </w:rPr>
            </w:pPr>
            <w:r w:rsidRPr="001C2FF3">
              <w:rPr>
                <w:b/>
                <w:sz w:val="20"/>
                <w:szCs w:val="20"/>
              </w:rPr>
              <w:t>Female</w:t>
            </w:r>
          </w:p>
        </w:tc>
        <w:tc>
          <w:tcPr>
            <w:tcW w:w="1378" w:type="pct"/>
            <w:gridSpan w:val="3"/>
          </w:tcPr>
          <w:p w:rsidR="00260042" w:rsidRPr="001C2FF3" w:rsidRDefault="00260042" w:rsidP="001C2FF3">
            <w:pPr>
              <w:pStyle w:val="BodyText"/>
              <w:jc w:val="center"/>
              <w:rPr>
                <w:b/>
                <w:sz w:val="20"/>
                <w:szCs w:val="20"/>
              </w:rPr>
            </w:pPr>
            <w:r w:rsidRPr="001C2FF3">
              <w:rPr>
                <w:b/>
                <w:sz w:val="20"/>
                <w:szCs w:val="20"/>
              </w:rPr>
              <w:t>Non-binary</w:t>
            </w:r>
          </w:p>
        </w:tc>
        <w:tc>
          <w:tcPr>
            <w:tcW w:w="384" w:type="pct"/>
          </w:tcPr>
          <w:p w:rsidR="00260042" w:rsidRPr="001C2FF3" w:rsidRDefault="00260042" w:rsidP="001C2FF3">
            <w:pPr>
              <w:pStyle w:val="BodyText"/>
              <w:jc w:val="right"/>
              <w:rPr>
                <w:b/>
                <w:sz w:val="20"/>
                <w:szCs w:val="20"/>
              </w:rPr>
            </w:pPr>
          </w:p>
        </w:tc>
      </w:tr>
      <w:tr w:rsidR="00260042" w:rsidRPr="001C2FF3" w:rsidTr="00511254">
        <w:trPr>
          <w:trHeight w:val="60"/>
          <w:tblHeader/>
        </w:trPr>
        <w:tc>
          <w:tcPr>
            <w:tcW w:w="688" w:type="pct"/>
          </w:tcPr>
          <w:p w:rsidR="00260042" w:rsidRPr="001C2FF3" w:rsidRDefault="00260042" w:rsidP="001C2FF3">
            <w:pPr>
              <w:pStyle w:val="BodyText"/>
              <w:rPr>
                <w:sz w:val="20"/>
                <w:szCs w:val="20"/>
              </w:rPr>
            </w:pPr>
            <w:r w:rsidRPr="001C2FF3">
              <w:rPr>
                <w:rStyle w:val="Bold"/>
                <w:sz w:val="20"/>
                <w:szCs w:val="20"/>
              </w:rPr>
              <w:t>Substantive classification</w:t>
            </w:r>
          </w:p>
        </w:tc>
        <w:tc>
          <w:tcPr>
            <w:tcW w:w="425" w:type="pct"/>
          </w:tcPr>
          <w:p w:rsidR="00260042" w:rsidRPr="001C2FF3" w:rsidRDefault="00260042" w:rsidP="001C2FF3">
            <w:pPr>
              <w:pStyle w:val="BodyText"/>
              <w:jc w:val="right"/>
              <w:rPr>
                <w:sz w:val="20"/>
                <w:szCs w:val="20"/>
              </w:rPr>
            </w:pPr>
            <w:r w:rsidRPr="001C2FF3">
              <w:rPr>
                <w:rStyle w:val="Bold"/>
                <w:sz w:val="20"/>
                <w:szCs w:val="20"/>
              </w:rPr>
              <w:t>Full-time</w:t>
            </w:r>
          </w:p>
        </w:tc>
        <w:tc>
          <w:tcPr>
            <w:tcW w:w="425" w:type="pct"/>
          </w:tcPr>
          <w:p w:rsidR="00260042" w:rsidRPr="001C2FF3" w:rsidRDefault="00260042" w:rsidP="001C2FF3">
            <w:pPr>
              <w:pStyle w:val="BodyText"/>
              <w:jc w:val="right"/>
              <w:rPr>
                <w:sz w:val="20"/>
                <w:szCs w:val="20"/>
              </w:rPr>
            </w:pPr>
            <w:r w:rsidRPr="001C2FF3">
              <w:rPr>
                <w:rStyle w:val="Bold"/>
                <w:sz w:val="20"/>
                <w:szCs w:val="20"/>
              </w:rPr>
              <w:t>Part-time</w:t>
            </w:r>
          </w:p>
        </w:tc>
        <w:tc>
          <w:tcPr>
            <w:tcW w:w="426" w:type="pct"/>
          </w:tcPr>
          <w:p w:rsidR="00260042" w:rsidRPr="001C2FF3" w:rsidRDefault="00260042" w:rsidP="001C2FF3">
            <w:pPr>
              <w:pStyle w:val="BodyText"/>
              <w:jc w:val="right"/>
              <w:rPr>
                <w:sz w:val="20"/>
                <w:szCs w:val="20"/>
              </w:rPr>
            </w:pPr>
            <w:r w:rsidRPr="001C2FF3">
              <w:rPr>
                <w:rStyle w:val="Bold"/>
                <w:sz w:val="20"/>
                <w:szCs w:val="20"/>
              </w:rPr>
              <w:t>Total Male</w:t>
            </w:r>
          </w:p>
        </w:tc>
        <w:tc>
          <w:tcPr>
            <w:tcW w:w="425" w:type="pct"/>
          </w:tcPr>
          <w:p w:rsidR="00260042" w:rsidRPr="001C2FF3" w:rsidRDefault="00260042" w:rsidP="001C2FF3">
            <w:pPr>
              <w:pStyle w:val="BodyText"/>
              <w:jc w:val="right"/>
              <w:rPr>
                <w:sz w:val="20"/>
                <w:szCs w:val="20"/>
              </w:rPr>
            </w:pPr>
            <w:r w:rsidRPr="001C2FF3">
              <w:rPr>
                <w:rStyle w:val="Bold"/>
                <w:sz w:val="20"/>
                <w:szCs w:val="20"/>
              </w:rPr>
              <w:t>Full-time</w:t>
            </w:r>
          </w:p>
        </w:tc>
        <w:tc>
          <w:tcPr>
            <w:tcW w:w="425" w:type="pct"/>
          </w:tcPr>
          <w:p w:rsidR="00260042" w:rsidRPr="001C2FF3" w:rsidRDefault="00260042" w:rsidP="001C2FF3">
            <w:pPr>
              <w:pStyle w:val="BodyText"/>
              <w:jc w:val="right"/>
              <w:rPr>
                <w:sz w:val="20"/>
                <w:szCs w:val="20"/>
              </w:rPr>
            </w:pPr>
            <w:r w:rsidRPr="001C2FF3">
              <w:rPr>
                <w:rStyle w:val="Bold"/>
                <w:sz w:val="20"/>
                <w:szCs w:val="20"/>
              </w:rPr>
              <w:t>Part-time</w:t>
            </w:r>
          </w:p>
        </w:tc>
        <w:tc>
          <w:tcPr>
            <w:tcW w:w="425" w:type="pct"/>
          </w:tcPr>
          <w:p w:rsidR="00260042" w:rsidRPr="001C2FF3" w:rsidRDefault="00260042" w:rsidP="001C2FF3">
            <w:pPr>
              <w:pStyle w:val="BodyText"/>
              <w:jc w:val="right"/>
              <w:rPr>
                <w:sz w:val="20"/>
                <w:szCs w:val="20"/>
              </w:rPr>
            </w:pPr>
            <w:r w:rsidRPr="001C2FF3">
              <w:rPr>
                <w:rStyle w:val="Bold"/>
                <w:sz w:val="20"/>
                <w:szCs w:val="20"/>
              </w:rPr>
              <w:t>Total Female</w:t>
            </w:r>
          </w:p>
        </w:tc>
        <w:tc>
          <w:tcPr>
            <w:tcW w:w="425" w:type="pct"/>
          </w:tcPr>
          <w:p w:rsidR="00260042" w:rsidRPr="001C2FF3" w:rsidRDefault="00260042" w:rsidP="001C2FF3">
            <w:pPr>
              <w:pStyle w:val="BodyText"/>
              <w:jc w:val="right"/>
              <w:rPr>
                <w:sz w:val="20"/>
                <w:szCs w:val="20"/>
              </w:rPr>
            </w:pPr>
            <w:r w:rsidRPr="001C2FF3">
              <w:rPr>
                <w:rStyle w:val="Bold"/>
                <w:sz w:val="20"/>
                <w:szCs w:val="20"/>
              </w:rPr>
              <w:t>Full-time</w:t>
            </w:r>
          </w:p>
        </w:tc>
        <w:tc>
          <w:tcPr>
            <w:tcW w:w="425" w:type="pct"/>
          </w:tcPr>
          <w:p w:rsidR="00260042" w:rsidRPr="001C2FF3" w:rsidRDefault="00260042" w:rsidP="001C2FF3">
            <w:pPr>
              <w:pStyle w:val="BodyText"/>
              <w:jc w:val="right"/>
              <w:rPr>
                <w:sz w:val="20"/>
                <w:szCs w:val="20"/>
              </w:rPr>
            </w:pPr>
            <w:r w:rsidRPr="001C2FF3">
              <w:rPr>
                <w:rStyle w:val="Bold"/>
                <w:sz w:val="20"/>
                <w:szCs w:val="20"/>
              </w:rPr>
              <w:t>Part-time</w:t>
            </w:r>
          </w:p>
        </w:tc>
        <w:tc>
          <w:tcPr>
            <w:tcW w:w="528" w:type="pct"/>
          </w:tcPr>
          <w:p w:rsidR="00260042" w:rsidRPr="001C2FF3" w:rsidRDefault="00260042" w:rsidP="001C2FF3">
            <w:pPr>
              <w:pStyle w:val="BodyText"/>
              <w:jc w:val="right"/>
              <w:rPr>
                <w:sz w:val="20"/>
                <w:szCs w:val="20"/>
              </w:rPr>
            </w:pPr>
            <w:r w:rsidRPr="001C2FF3">
              <w:rPr>
                <w:rStyle w:val="Bold"/>
                <w:sz w:val="20"/>
                <w:szCs w:val="20"/>
              </w:rPr>
              <w:t xml:space="preserve">Total </w:t>
            </w:r>
            <w:r w:rsidRPr="001C2FF3">
              <w:rPr>
                <w:rStyle w:val="Bold"/>
                <w:spacing w:val="-4"/>
                <w:sz w:val="20"/>
                <w:szCs w:val="20"/>
              </w:rPr>
              <w:t>Non-binary</w:t>
            </w:r>
          </w:p>
        </w:tc>
        <w:tc>
          <w:tcPr>
            <w:tcW w:w="384" w:type="pct"/>
          </w:tcPr>
          <w:p w:rsidR="00260042" w:rsidRPr="001C2FF3" w:rsidRDefault="00260042" w:rsidP="001C2FF3">
            <w:pPr>
              <w:pStyle w:val="BodyText"/>
              <w:jc w:val="right"/>
              <w:rPr>
                <w:sz w:val="20"/>
                <w:szCs w:val="20"/>
              </w:rPr>
            </w:pPr>
            <w:r w:rsidRPr="001C2FF3">
              <w:rPr>
                <w:rStyle w:val="Bold"/>
                <w:sz w:val="20"/>
                <w:szCs w:val="20"/>
              </w:rPr>
              <w:t>Total</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SES 3</w:t>
            </w:r>
          </w:p>
        </w:tc>
        <w:tc>
          <w:tcPr>
            <w:tcW w:w="425" w:type="pct"/>
          </w:tcPr>
          <w:p w:rsidR="00260042" w:rsidRPr="001C2FF3" w:rsidRDefault="00260042" w:rsidP="001C2FF3">
            <w:pPr>
              <w:pStyle w:val="BodyText"/>
              <w:jc w:val="right"/>
              <w:rPr>
                <w:sz w:val="20"/>
                <w:szCs w:val="20"/>
              </w:rPr>
            </w:pPr>
            <w:r w:rsidRPr="001C2FF3">
              <w:rPr>
                <w:sz w:val="20"/>
                <w:szCs w:val="20"/>
              </w:rPr>
              <w:t>4</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6" w:type="pct"/>
          </w:tcPr>
          <w:p w:rsidR="00260042" w:rsidRPr="001C2FF3" w:rsidRDefault="00260042" w:rsidP="001C2FF3">
            <w:pPr>
              <w:pStyle w:val="BodyText"/>
              <w:jc w:val="right"/>
              <w:rPr>
                <w:sz w:val="20"/>
                <w:szCs w:val="20"/>
              </w:rPr>
            </w:pPr>
            <w:r w:rsidRPr="001C2FF3">
              <w:rPr>
                <w:sz w:val="20"/>
                <w:szCs w:val="20"/>
              </w:rPr>
              <w:t>4</w:t>
            </w:r>
          </w:p>
        </w:tc>
        <w:tc>
          <w:tcPr>
            <w:tcW w:w="425" w:type="pct"/>
          </w:tcPr>
          <w:p w:rsidR="00260042" w:rsidRPr="001C2FF3" w:rsidRDefault="00260042" w:rsidP="001C2FF3">
            <w:pPr>
              <w:pStyle w:val="BodyText"/>
              <w:jc w:val="right"/>
              <w:rPr>
                <w:sz w:val="20"/>
                <w:szCs w:val="20"/>
              </w:rPr>
            </w:pPr>
            <w:r w:rsidRPr="001C2FF3">
              <w:rPr>
                <w:sz w:val="20"/>
                <w:szCs w:val="20"/>
              </w:rPr>
              <w:t>3</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3</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7</w:t>
            </w:r>
          </w:p>
        </w:tc>
      </w:tr>
      <w:tr w:rsidR="00260042" w:rsidRPr="001C2FF3" w:rsidTr="00511254">
        <w:trPr>
          <w:trHeight w:val="305"/>
        </w:trPr>
        <w:tc>
          <w:tcPr>
            <w:tcW w:w="688" w:type="pct"/>
          </w:tcPr>
          <w:p w:rsidR="00260042" w:rsidRPr="001C2FF3" w:rsidRDefault="00260042" w:rsidP="001C2FF3">
            <w:pPr>
              <w:pStyle w:val="BodyText"/>
              <w:rPr>
                <w:sz w:val="20"/>
                <w:szCs w:val="20"/>
              </w:rPr>
            </w:pPr>
            <w:r w:rsidRPr="001C2FF3">
              <w:rPr>
                <w:sz w:val="20"/>
                <w:szCs w:val="20"/>
              </w:rPr>
              <w:t>SES 2</w:t>
            </w:r>
          </w:p>
        </w:tc>
        <w:tc>
          <w:tcPr>
            <w:tcW w:w="425" w:type="pct"/>
          </w:tcPr>
          <w:p w:rsidR="00260042" w:rsidRPr="001C2FF3" w:rsidRDefault="00260042" w:rsidP="001C2FF3">
            <w:pPr>
              <w:pStyle w:val="BodyText"/>
              <w:jc w:val="right"/>
              <w:rPr>
                <w:sz w:val="20"/>
                <w:szCs w:val="20"/>
              </w:rPr>
            </w:pPr>
            <w:r w:rsidRPr="001C2FF3">
              <w:rPr>
                <w:sz w:val="20"/>
                <w:szCs w:val="20"/>
              </w:rPr>
              <w:t>15</w:t>
            </w:r>
          </w:p>
        </w:tc>
        <w:tc>
          <w:tcPr>
            <w:tcW w:w="425" w:type="pct"/>
          </w:tcPr>
          <w:p w:rsidR="00260042" w:rsidRPr="001C2FF3" w:rsidRDefault="00260042" w:rsidP="001C2FF3">
            <w:pPr>
              <w:pStyle w:val="BodyText"/>
              <w:jc w:val="right"/>
              <w:rPr>
                <w:sz w:val="20"/>
                <w:szCs w:val="20"/>
              </w:rPr>
            </w:pPr>
            <w:r w:rsidRPr="001C2FF3">
              <w:rPr>
                <w:sz w:val="20"/>
                <w:szCs w:val="20"/>
              </w:rPr>
              <w:t>1</w:t>
            </w:r>
          </w:p>
        </w:tc>
        <w:tc>
          <w:tcPr>
            <w:tcW w:w="426" w:type="pct"/>
          </w:tcPr>
          <w:p w:rsidR="00260042" w:rsidRPr="001C2FF3" w:rsidRDefault="00260042" w:rsidP="001C2FF3">
            <w:pPr>
              <w:pStyle w:val="BodyText"/>
              <w:jc w:val="right"/>
              <w:rPr>
                <w:sz w:val="20"/>
                <w:szCs w:val="20"/>
              </w:rPr>
            </w:pPr>
            <w:r w:rsidRPr="001C2FF3">
              <w:rPr>
                <w:sz w:val="20"/>
                <w:szCs w:val="20"/>
              </w:rPr>
              <w:t>16</w:t>
            </w:r>
          </w:p>
        </w:tc>
        <w:tc>
          <w:tcPr>
            <w:tcW w:w="425" w:type="pct"/>
          </w:tcPr>
          <w:p w:rsidR="00260042" w:rsidRPr="001C2FF3" w:rsidRDefault="00260042" w:rsidP="001C2FF3">
            <w:pPr>
              <w:pStyle w:val="BodyText"/>
              <w:jc w:val="right"/>
              <w:rPr>
                <w:sz w:val="20"/>
                <w:szCs w:val="20"/>
              </w:rPr>
            </w:pPr>
            <w:r w:rsidRPr="001C2FF3">
              <w:rPr>
                <w:sz w:val="20"/>
                <w:szCs w:val="20"/>
              </w:rPr>
              <w:t>16</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16</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32</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SES 1</w:t>
            </w:r>
          </w:p>
        </w:tc>
        <w:tc>
          <w:tcPr>
            <w:tcW w:w="425" w:type="pct"/>
          </w:tcPr>
          <w:p w:rsidR="00260042" w:rsidRPr="001C2FF3" w:rsidRDefault="00260042" w:rsidP="001C2FF3">
            <w:pPr>
              <w:pStyle w:val="BodyText"/>
              <w:jc w:val="right"/>
              <w:rPr>
                <w:sz w:val="20"/>
                <w:szCs w:val="20"/>
              </w:rPr>
            </w:pPr>
            <w:r w:rsidRPr="001C2FF3">
              <w:rPr>
                <w:sz w:val="20"/>
                <w:szCs w:val="20"/>
              </w:rPr>
              <w:t>53</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6" w:type="pct"/>
          </w:tcPr>
          <w:p w:rsidR="00260042" w:rsidRPr="001C2FF3" w:rsidRDefault="00260042" w:rsidP="001C2FF3">
            <w:pPr>
              <w:pStyle w:val="BodyText"/>
              <w:jc w:val="right"/>
              <w:rPr>
                <w:sz w:val="20"/>
                <w:szCs w:val="20"/>
              </w:rPr>
            </w:pPr>
            <w:r w:rsidRPr="001C2FF3">
              <w:rPr>
                <w:sz w:val="20"/>
                <w:szCs w:val="20"/>
              </w:rPr>
              <w:t>53</w:t>
            </w:r>
          </w:p>
        </w:tc>
        <w:tc>
          <w:tcPr>
            <w:tcW w:w="425" w:type="pct"/>
          </w:tcPr>
          <w:p w:rsidR="00260042" w:rsidRPr="001C2FF3" w:rsidRDefault="00260042" w:rsidP="001C2FF3">
            <w:pPr>
              <w:pStyle w:val="BodyText"/>
              <w:jc w:val="right"/>
              <w:rPr>
                <w:sz w:val="20"/>
                <w:szCs w:val="20"/>
              </w:rPr>
            </w:pPr>
            <w:r w:rsidRPr="001C2FF3">
              <w:rPr>
                <w:sz w:val="20"/>
                <w:szCs w:val="20"/>
              </w:rPr>
              <w:t>72</w:t>
            </w:r>
          </w:p>
        </w:tc>
        <w:tc>
          <w:tcPr>
            <w:tcW w:w="425" w:type="pct"/>
          </w:tcPr>
          <w:p w:rsidR="00260042" w:rsidRPr="001C2FF3" w:rsidRDefault="00260042" w:rsidP="001C2FF3">
            <w:pPr>
              <w:pStyle w:val="BodyText"/>
              <w:jc w:val="right"/>
              <w:rPr>
                <w:sz w:val="20"/>
                <w:szCs w:val="20"/>
              </w:rPr>
            </w:pPr>
            <w:r w:rsidRPr="001C2FF3">
              <w:rPr>
                <w:sz w:val="20"/>
                <w:szCs w:val="20"/>
              </w:rPr>
              <w:t>1</w:t>
            </w:r>
          </w:p>
        </w:tc>
        <w:tc>
          <w:tcPr>
            <w:tcW w:w="425" w:type="pct"/>
          </w:tcPr>
          <w:p w:rsidR="00260042" w:rsidRPr="001C2FF3" w:rsidRDefault="00260042" w:rsidP="001C2FF3">
            <w:pPr>
              <w:pStyle w:val="BodyText"/>
              <w:jc w:val="right"/>
              <w:rPr>
                <w:sz w:val="20"/>
                <w:szCs w:val="20"/>
              </w:rPr>
            </w:pPr>
            <w:r w:rsidRPr="001C2FF3">
              <w:rPr>
                <w:sz w:val="20"/>
                <w:szCs w:val="20"/>
              </w:rPr>
              <w:t>73</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126</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EL 2</w:t>
            </w:r>
          </w:p>
        </w:tc>
        <w:tc>
          <w:tcPr>
            <w:tcW w:w="425" w:type="pct"/>
          </w:tcPr>
          <w:p w:rsidR="00260042" w:rsidRPr="001C2FF3" w:rsidRDefault="00260042" w:rsidP="001C2FF3">
            <w:pPr>
              <w:pStyle w:val="BodyText"/>
              <w:jc w:val="right"/>
              <w:rPr>
                <w:sz w:val="20"/>
                <w:szCs w:val="20"/>
              </w:rPr>
            </w:pPr>
            <w:r w:rsidRPr="001C2FF3">
              <w:rPr>
                <w:sz w:val="20"/>
                <w:szCs w:val="20"/>
              </w:rPr>
              <w:t>433</w:t>
            </w:r>
          </w:p>
        </w:tc>
        <w:tc>
          <w:tcPr>
            <w:tcW w:w="425" w:type="pct"/>
          </w:tcPr>
          <w:p w:rsidR="00260042" w:rsidRPr="001C2FF3" w:rsidRDefault="00260042" w:rsidP="001C2FF3">
            <w:pPr>
              <w:pStyle w:val="BodyText"/>
              <w:jc w:val="right"/>
              <w:rPr>
                <w:sz w:val="20"/>
                <w:szCs w:val="20"/>
              </w:rPr>
            </w:pPr>
            <w:r w:rsidRPr="001C2FF3">
              <w:rPr>
                <w:sz w:val="20"/>
                <w:szCs w:val="20"/>
              </w:rPr>
              <w:t>10</w:t>
            </w:r>
          </w:p>
        </w:tc>
        <w:tc>
          <w:tcPr>
            <w:tcW w:w="426" w:type="pct"/>
          </w:tcPr>
          <w:p w:rsidR="00260042" w:rsidRPr="001C2FF3" w:rsidRDefault="00260042" w:rsidP="001C2FF3">
            <w:pPr>
              <w:pStyle w:val="BodyText"/>
              <w:jc w:val="right"/>
              <w:rPr>
                <w:sz w:val="20"/>
                <w:szCs w:val="20"/>
              </w:rPr>
            </w:pPr>
            <w:r w:rsidRPr="001C2FF3">
              <w:rPr>
                <w:sz w:val="20"/>
                <w:szCs w:val="20"/>
              </w:rPr>
              <w:t>443</w:t>
            </w:r>
          </w:p>
        </w:tc>
        <w:tc>
          <w:tcPr>
            <w:tcW w:w="425" w:type="pct"/>
          </w:tcPr>
          <w:p w:rsidR="00260042" w:rsidRPr="001C2FF3" w:rsidRDefault="00260042" w:rsidP="001C2FF3">
            <w:pPr>
              <w:pStyle w:val="BodyText"/>
              <w:jc w:val="right"/>
              <w:rPr>
                <w:sz w:val="20"/>
                <w:szCs w:val="20"/>
              </w:rPr>
            </w:pPr>
            <w:r w:rsidRPr="001C2FF3">
              <w:rPr>
                <w:sz w:val="20"/>
                <w:szCs w:val="20"/>
              </w:rPr>
              <w:t>429</w:t>
            </w:r>
          </w:p>
        </w:tc>
        <w:tc>
          <w:tcPr>
            <w:tcW w:w="425" w:type="pct"/>
          </w:tcPr>
          <w:p w:rsidR="00260042" w:rsidRPr="001C2FF3" w:rsidRDefault="00260042" w:rsidP="001C2FF3">
            <w:pPr>
              <w:pStyle w:val="BodyText"/>
              <w:jc w:val="right"/>
              <w:rPr>
                <w:sz w:val="20"/>
                <w:szCs w:val="20"/>
              </w:rPr>
            </w:pPr>
            <w:r w:rsidRPr="001C2FF3">
              <w:rPr>
                <w:sz w:val="20"/>
                <w:szCs w:val="20"/>
              </w:rPr>
              <w:t>47</w:t>
            </w:r>
          </w:p>
        </w:tc>
        <w:tc>
          <w:tcPr>
            <w:tcW w:w="425" w:type="pct"/>
          </w:tcPr>
          <w:p w:rsidR="00260042" w:rsidRPr="001C2FF3" w:rsidRDefault="00260042" w:rsidP="001C2FF3">
            <w:pPr>
              <w:pStyle w:val="BodyText"/>
              <w:jc w:val="right"/>
              <w:rPr>
                <w:sz w:val="20"/>
                <w:szCs w:val="20"/>
              </w:rPr>
            </w:pPr>
            <w:r w:rsidRPr="001C2FF3">
              <w:rPr>
                <w:sz w:val="20"/>
                <w:szCs w:val="20"/>
              </w:rPr>
              <w:t>476</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919</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EL 1</w:t>
            </w:r>
          </w:p>
        </w:tc>
        <w:tc>
          <w:tcPr>
            <w:tcW w:w="425" w:type="pct"/>
          </w:tcPr>
          <w:p w:rsidR="00260042" w:rsidRPr="001C2FF3" w:rsidRDefault="00260042" w:rsidP="001C2FF3">
            <w:pPr>
              <w:pStyle w:val="BodyText"/>
              <w:jc w:val="right"/>
              <w:rPr>
                <w:sz w:val="20"/>
                <w:szCs w:val="20"/>
              </w:rPr>
            </w:pPr>
            <w:r w:rsidRPr="001C2FF3">
              <w:rPr>
                <w:sz w:val="20"/>
                <w:szCs w:val="20"/>
              </w:rPr>
              <w:t>1,081</w:t>
            </w:r>
          </w:p>
        </w:tc>
        <w:tc>
          <w:tcPr>
            <w:tcW w:w="425" w:type="pct"/>
          </w:tcPr>
          <w:p w:rsidR="00260042" w:rsidRPr="001C2FF3" w:rsidRDefault="00260042" w:rsidP="001C2FF3">
            <w:pPr>
              <w:pStyle w:val="BodyText"/>
              <w:jc w:val="right"/>
              <w:rPr>
                <w:sz w:val="20"/>
                <w:szCs w:val="20"/>
              </w:rPr>
            </w:pPr>
            <w:r w:rsidRPr="001C2FF3">
              <w:rPr>
                <w:sz w:val="20"/>
                <w:szCs w:val="20"/>
              </w:rPr>
              <w:t>42</w:t>
            </w:r>
          </w:p>
        </w:tc>
        <w:tc>
          <w:tcPr>
            <w:tcW w:w="426" w:type="pct"/>
          </w:tcPr>
          <w:p w:rsidR="00260042" w:rsidRPr="001C2FF3" w:rsidRDefault="00260042" w:rsidP="001C2FF3">
            <w:pPr>
              <w:pStyle w:val="BodyText"/>
              <w:jc w:val="right"/>
              <w:rPr>
                <w:sz w:val="20"/>
                <w:szCs w:val="20"/>
              </w:rPr>
            </w:pPr>
            <w:r w:rsidRPr="001C2FF3">
              <w:rPr>
                <w:sz w:val="20"/>
                <w:szCs w:val="20"/>
              </w:rPr>
              <w:t>1,123</w:t>
            </w:r>
          </w:p>
        </w:tc>
        <w:tc>
          <w:tcPr>
            <w:tcW w:w="425" w:type="pct"/>
          </w:tcPr>
          <w:p w:rsidR="00260042" w:rsidRPr="001C2FF3" w:rsidRDefault="00260042" w:rsidP="001C2FF3">
            <w:pPr>
              <w:pStyle w:val="BodyText"/>
              <w:jc w:val="right"/>
              <w:rPr>
                <w:sz w:val="20"/>
                <w:szCs w:val="20"/>
              </w:rPr>
            </w:pPr>
            <w:r w:rsidRPr="001C2FF3">
              <w:rPr>
                <w:sz w:val="20"/>
                <w:szCs w:val="20"/>
              </w:rPr>
              <w:t>1,185</w:t>
            </w:r>
          </w:p>
        </w:tc>
        <w:tc>
          <w:tcPr>
            <w:tcW w:w="425" w:type="pct"/>
          </w:tcPr>
          <w:p w:rsidR="00260042" w:rsidRPr="001C2FF3" w:rsidRDefault="00260042" w:rsidP="001C2FF3">
            <w:pPr>
              <w:pStyle w:val="BodyText"/>
              <w:jc w:val="right"/>
              <w:rPr>
                <w:sz w:val="20"/>
                <w:szCs w:val="20"/>
              </w:rPr>
            </w:pPr>
            <w:r w:rsidRPr="001C2FF3">
              <w:rPr>
                <w:sz w:val="20"/>
                <w:szCs w:val="20"/>
              </w:rPr>
              <w:t>289</w:t>
            </w:r>
          </w:p>
        </w:tc>
        <w:tc>
          <w:tcPr>
            <w:tcW w:w="425" w:type="pct"/>
          </w:tcPr>
          <w:p w:rsidR="00260042" w:rsidRPr="001C2FF3" w:rsidRDefault="00260042" w:rsidP="001C2FF3">
            <w:pPr>
              <w:pStyle w:val="BodyText"/>
              <w:jc w:val="right"/>
              <w:rPr>
                <w:sz w:val="20"/>
                <w:szCs w:val="20"/>
              </w:rPr>
            </w:pPr>
            <w:r w:rsidRPr="001C2FF3">
              <w:rPr>
                <w:sz w:val="20"/>
                <w:szCs w:val="20"/>
              </w:rPr>
              <w:t>1,474</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2,597</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APS 6</w:t>
            </w:r>
          </w:p>
        </w:tc>
        <w:tc>
          <w:tcPr>
            <w:tcW w:w="425" w:type="pct"/>
          </w:tcPr>
          <w:p w:rsidR="00260042" w:rsidRPr="001C2FF3" w:rsidRDefault="00260042" w:rsidP="001C2FF3">
            <w:pPr>
              <w:pStyle w:val="BodyText"/>
              <w:jc w:val="right"/>
              <w:rPr>
                <w:sz w:val="20"/>
                <w:szCs w:val="20"/>
              </w:rPr>
            </w:pPr>
            <w:r w:rsidRPr="001C2FF3">
              <w:rPr>
                <w:sz w:val="20"/>
                <w:szCs w:val="20"/>
              </w:rPr>
              <w:t>1,661</w:t>
            </w:r>
          </w:p>
        </w:tc>
        <w:tc>
          <w:tcPr>
            <w:tcW w:w="425" w:type="pct"/>
          </w:tcPr>
          <w:p w:rsidR="00260042" w:rsidRPr="001C2FF3" w:rsidRDefault="00260042" w:rsidP="001C2FF3">
            <w:pPr>
              <w:pStyle w:val="BodyText"/>
              <w:jc w:val="right"/>
              <w:rPr>
                <w:sz w:val="20"/>
                <w:szCs w:val="20"/>
              </w:rPr>
            </w:pPr>
            <w:r w:rsidRPr="001C2FF3">
              <w:rPr>
                <w:sz w:val="20"/>
                <w:szCs w:val="20"/>
              </w:rPr>
              <w:t>120</w:t>
            </w:r>
          </w:p>
        </w:tc>
        <w:tc>
          <w:tcPr>
            <w:tcW w:w="426" w:type="pct"/>
          </w:tcPr>
          <w:p w:rsidR="00260042" w:rsidRPr="001C2FF3" w:rsidRDefault="00260042" w:rsidP="001C2FF3">
            <w:pPr>
              <w:pStyle w:val="BodyText"/>
              <w:jc w:val="right"/>
              <w:rPr>
                <w:sz w:val="20"/>
                <w:szCs w:val="20"/>
              </w:rPr>
            </w:pPr>
            <w:r w:rsidRPr="001C2FF3">
              <w:rPr>
                <w:sz w:val="20"/>
                <w:szCs w:val="20"/>
              </w:rPr>
              <w:t>1,781</w:t>
            </w:r>
          </w:p>
        </w:tc>
        <w:tc>
          <w:tcPr>
            <w:tcW w:w="425" w:type="pct"/>
          </w:tcPr>
          <w:p w:rsidR="00260042" w:rsidRPr="001C2FF3" w:rsidRDefault="00260042" w:rsidP="001C2FF3">
            <w:pPr>
              <w:pStyle w:val="BodyText"/>
              <w:jc w:val="right"/>
              <w:rPr>
                <w:sz w:val="20"/>
                <w:szCs w:val="20"/>
              </w:rPr>
            </w:pPr>
            <w:r w:rsidRPr="001C2FF3">
              <w:rPr>
                <w:sz w:val="20"/>
                <w:szCs w:val="20"/>
              </w:rPr>
              <w:t>2,379</w:t>
            </w:r>
          </w:p>
        </w:tc>
        <w:tc>
          <w:tcPr>
            <w:tcW w:w="425" w:type="pct"/>
          </w:tcPr>
          <w:p w:rsidR="00260042" w:rsidRPr="001C2FF3" w:rsidRDefault="00260042" w:rsidP="001C2FF3">
            <w:pPr>
              <w:pStyle w:val="BodyText"/>
              <w:jc w:val="right"/>
              <w:rPr>
                <w:sz w:val="20"/>
                <w:szCs w:val="20"/>
              </w:rPr>
            </w:pPr>
            <w:r w:rsidRPr="001C2FF3">
              <w:rPr>
                <w:sz w:val="20"/>
                <w:szCs w:val="20"/>
              </w:rPr>
              <w:t>1,161</w:t>
            </w:r>
          </w:p>
        </w:tc>
        <w:tc>
          <w:tcPr>
            <w:tcW w:w="425" w:type="pct"/>
          </w:tcPr>
          <w:p w:rsidR="00260042" w:rsidRPr="001C2FF3" w:rsidRDefault="00260042" w:rsidP="001C2FF3">
            <w:pPr>
              <w:pStyle w:val="BodyText"/>
              <w:jc w:val="right"/>
              <w:rPr>
                <w:sz w:val="20"/>
                <w:szCs w:val="20"/>
              </w:rPr>
            </w:pPr>
            <w:r w:rsidRPr="001C2FF3">
              <w:rPr>
                <w:sz w:val="20"/>
                <w:szCs w:val="20"/>
              </w:rPr>
              <w:t>3,540</w:t>
            </w:r>
          </w:p>
        </w:tc>
        <w:tc>
          <w:tcPr>
            <w:tcW w:w="425" w:type="pct"/>
          </w:tcPr>
          <w:p w:rsidR="00260042" w:rsidRPr="001C2FF3" w:rsidRDefault="00260042" w:rsidP="001C2FF3">
            <w:pPr>
              <w:pStyle w:val="BodyText"/>
              <w:jc w:val="right"/>
              <w:rPr>
                <w:sz w:val="20"/>
                <w:szCs w:val="20"/>
              </w:rPr>
            </w:pPr>
            <w:r w:rsidRPr="001C2FF3">
              <w:rPr>
                <w:sz w:val="20"/>
                <w:szCs w:val="20"/>
              </w:rPr>
              <w:t>2</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2</w:t>
            </w:r>
          </w:p>
        </w:tc>
        <w:tc>
          <w:tcPr>
            <w:tcW w:w="384" w:type="pct"/>
          </w:tcPr>
          <w:p w:rsidR="00260042" w:rsidRPr="001C2FF3" w:rsidRDefault="00260042" w:rsidP="001C2FF3">
            <w:pPr>
              <w:pStyle w:val="BodyText"/>
              <w:jc w:val="right"/>
              <w:rPr>
                <w:sz w:val="20"/>
                <w:szCs w:val="20"/>
              </w:rPr>
            </w:pPr>
            <w:r w:rsidRPr="001C2FF3">
              <w:rPr>
                <w:rStyle w:val="01bodybold"/>
                <w:sz w:val="20"/>
                <w:szCs w:val="20"/>
              </w:rPr>
              <w:t>5,323</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APS 5</w:t>
            </w:r>
          </w:p>
        </w:tc>
        <w:tc>
          <w:tcPr>
            <w:tcW w:w="425" w:type="pct"/>
          </w:tcPr>
          <w:p w:rsidR="00260042" w:rsidRPr="001C2FF3" w:rsidRDefault="00260042" w:rsidP="001C2FF3">
            <w:pPr>
              <w:pStyle w:val="BodyText"/>
              <w:jc w:val="right"/>
              <w:rPr>
                <w:sz w:val="20"/>
                <w:szCs w:val="20"/>
              </w:rPr>
            </w:pPr>
            <w:r w:rsidRPr="001C2FF3">
              <w:rPr>
                <w:sz w:val="20"/>
                <w:szCs w:val="20"/>
              </w:rPr>
              <w:t>995</w:t>
            </w:r>
          </w:p>
        </w:tc>
        <w:tc>
          <w:tcPr>
            <w:tcW w:w="425" w:type="pct"/>
          </w:tcPr>
          <w:p w:rsidR="00260042" w:rsidRPr="001C2FF3" w:rsidRDefault="00260042" w:rsidP="001C2FF3">
            <w:pPr>
              <w:pStyle w:val="BodyText"/>
              <w:jc w:val="right"/>
              <w:rPr>
                <w:sz w:val="20"/>
                <w:szCs w:val="20"/>
              </w:rPr>
            </w:pPr>
            <w:r w:rsidRPr="001C2FF3">
              <w:rPr>
                <w:sz w:val="20"/>
                <w:szCs w:val="20"/>
              </w:rPr>
              <w:t>65</w:t>
            </w:r>
          </w:p>
        </w:tc>
        <w:tc>
          <w:tcPr>
            <w:tcW w:w="426" w:type="pct"/>
          </w:tcPr>
          <w:p w:rsidR="00260042" w:rsidRPr="001C2FF3" w:rsidRDefault="00260042" w:rsidP="001C2FF3">
            <w:pPr>
              <w:pStyle w:val="BodyText"/>
              <w:jc w:val="right"/>
              <w:rPr>
                <w:sz w:val="20"/>
                <w:szCs w:val="20"/>
              </w:rPr>
            </w:pPr>
            <w:r w:rsidRPr="001C2FF3">
              <w:rPr>
                <w:sz w:val="20"/>
                <w:szCs w:val="20"/>
              </w:rPr>
              <w:t>1,060</w:t>
            </w:r>
          </w:p>
        </w:tc>
        <w:tc>
          <w:tcPr>
            <w:tcW w:w="425" w:type="pct"/>
          </w:tcPr>
          <w:p w:rsidR="00260042" w:rsidRPr="001C2FF3" w:rsidRDefault="00260042" w:rsidP="001C2FF3">
            <w:pPr>
              <w:pStyle w:val="BodyText"/>
              <w:jc w:val="right"/>
              <w:rPr>
                <w:sz w:val="20"/>
                <w:szCs w:val="20"/>
              </w:rPr>
            </w:pPr>
            <w:r w:rsidRPr="001C2FF3">
              <w:rPr>
                <w:sz w:val="20"/>
                <w:szCs w:val="20"/>
              </w:rPr>
              <w:t>1,667</w:t>
            </w:r>
          </w:p>
        </w:tc>
        <w:tc>
          <w:tcPr>
            <w:tcW w:w="425" w:type="pct"/>
          </w:tcPr>
          <w:p w:rsidR="00260042" w:rsidRPr="001C2FF3" w:rsidRDefault="00260042" w:rsidP="001C2FF3">
            <w:pPr>
              <w:pStyle w:val="BodyText"/>
              <w:jc w:val="right"/>
              <w:rPr>
                <w:sz w:val="20"/>
                <w:szCs w:val="20"/>
              </w:rPr>
            </w:pPr>
            <w:r w:rsidRPr="001C2FF3">
              <w:rPr>
                <w:sz w:val="20"/>
                <w:szCs w:val="20"/>
              </w:rPr>
              <w:t>618</w:t>
            </w:r>
          </w:p>
        </w:tc>
        <w:tc>
          <w:tcPr>
            <w:tcW w:w="425" w:type="pct"/>
          </w:tcPr>
          <w:p w:rsidR="00260042" w:rsidRPr="001C2FF3" w:rsidRDefault="00260042" w:rsidP="001C2FF3">
            <w:pPr>
              <w:pStyle w:val="BodyText"/>
              <w:jc w:val="right"/>
              <w:rPr>
                <w:sz w:val="20"/>
                <w:szCs w:val="20"/>
              </w:rPr>
            </w:pPr>
            <w:r w:rsidRPr="001C2FF3">
              <w:rPr>
                <w:sz w:val="20"/>
                <w:szCs w:val="20"/>
              </w:rPr>
              <w:t>2,285</w:t>
            </w:r>
          </w:p>
        </w:tc>
        <w:tc>
          <w:tcPr>
            <w:tcW w:w="425" w:type="pct"/>
          </w:tcPr>
          <w:p w:rsidR="00260042" w:rsidRPr="001C2FF3" w:rsidRDefault="00260042" w:rsidP="001C2FF3">
            <w:pPr>
              <w:pStyle w:val="BodyText"/>
              <w:jc w:val="right"/>
              <w:rPr>
                <w:sz w:val="20"/>
                <w:szCs w:val="20"/>
              </w:rPr>
            </w:pPr>
            <w:r w:rsidRPr="001C2FF3">
              <w:rPr>
                <w:sz w:val="20"/>
                <w:szCs w:val="20"/>
              </w:rPr>
              <w:t>2</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2</w:t>
            </w:r>
          </w:p>
        </w:tc>
        <w:tc>
          <w:tcPr>
            <w:tcW w:w="384" w:type="pct"/>
          </w:tcPr>
          <w:p w:rsidR="00260042" w:rsidRPr="001C2FF3" w:rsidRDefault="00260042" w:rsidP="001C2FF3">
            <w:pPr>
              <w:pStyle w:val="BodyText"/>
              <w:jc w:val="right"/>
              <w:rPr>
                <w:sz w:val="20"/>
                <w:szCs w:val="20"/>
              </w:rPr>
            </w:pPr>
            <w:r w:rsidRPr="001C2FF3">
              <w:rPr>
                <w:rStyle w:val="01bodybold"/>
                <w:sz w:val="20"/>
                <w:szCs w:val="20"/>
              </w:rPr>
              <w:t>3,347</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APS 4</w:t>
            </w:r>
          </w:p>
        </w:tc>
        <w:tc>
          <w:tcPr>
            <w:tcW w:w="425" w:type="pct"/>
          </w:tcPr>
          <w:p w:rsidR="00260042" w:rsidRPr="001C2FF3" w:rsidRDefault="00260042" w:rsidP="001C2FF3">
            <w:pPr>
              <w:pStyle w:val="BodyText"/>
              <w:jc w:val="right"/>
              <w:rPr>
                <w:sz w:val="20"/>
                <w:szCs w:val="20"/>
              </w:rPr>
            </w:pPr>
            <w:r w:rsidRPr="001C2FF3">
              <w:rPr>
                <w:sz w:val="20"/>
                <w:szCs w:val="20"/>
              </w:rPr>
              <w:t>2,180</w:t>
            </w:r>
          </w:p>
        </w:tc>
        <w:tc>
          <w:tcPr>
            <w:tcW w:w="425" w:type="pct"/>
          </w:tcPr>
          <w:p w:rsidR="00260042" w:rsidRPr="001C2FF3" w:rsidRDefault="00260042" w:rsidP="001C2FF3">
            <w:pPr>
              <w:pStyle w:val="BodyText"/>
              <w:jc w:val="right"/>
              <w:rPr>
                <w:sz w:val="20"/>
                <w:szCs w:val="20"/>
              </w:rPr>
            </w:pPr>
            <w:r w:rsidRPr="001C2FF3">
              <w:rPr>
                <w:sz w:val="20"/>
                <w:szCs w:val="20"/>
              </w:rPr>
              <w:t>417</w:t>
            </w:r>
          </w:p>
        </w:tc>
        <w:tc>
          <w:tcPr>
            <w:tcW w:w="426" w:type="pct"/>
          </w:tcPr>
          <w:p w:rsidR="00260042" w:rsidRPr="001C2FF3" w:rsidRDefault="00260042" w:rsidP="001C2FF3">
            <w:pPr>
              <w:pStyle w:val="BodyText"/>
              <w:jc w:val="right"/>
              <w:rPr>
                <w:sz w:val="20"/>
                <w:szCs w:val="20"/>
              </w:rPr>
            </w:pPr>
            <w:r w:rsidRPr="001C2FF3">
              <w:rPr>
                <w:sz w:val="20"/>
                <w:szCs w:val="20"/>
              </w:rPr>
              <w:t>2,597</w:t>
            </w:r>
          </w:p>
        </w:tc>
        <w:tc>
          <w:tcPr>
            <w:tcW w:w="425" w:type="pct"/>
          </w:tcPr>
          <w:p w:rsidR="00260042" w:rsidRPr="001C2FF3" w:rsidRDefault="00260042" w:rsidP="001C2FF3">
            <w:pPr>
              <w:pStyle w:val="BodyText"/>
              <w:jc w:val="right"/>
              <w:rPr>
                <w:sz w:val="20"/>
                <w:szCs w:val="20"/>
              </w:rPr>
            </w:pPr>
            <w:r w:rsidRPr="001C2FF3">
              <w:rPr>
                <w:sz w:val="20"/>
                <w:szCs w:val="20"/>
              </w:rPr>
              <w:t>4,926</w:t>
            </w:r>
          </w:p>
        </w:tc>
        <w:tc>
          <w:tcPr>
            <w:tcW w:w="425" w:type="pct"/>
          </w:tcPr>
          <w:p w:rsidR="00260042" w:rsidRPr="001C2FF3" w:rsidRDefault="00260042" w:rsidP="001C2FF3">
            <w:pPr>
              <w:pStyle w:val="BodyText"/>
              <w:jc w:val="right"/>
              <w:rPr>
                <w:sz w:val="20"/>
                <w:szCs w:val="20"/>
              </w:rPr>
            </w:pPr>
            <w:r w:rsidRPr="001C2FF3">
              <w:rPr>
                <w:sz w:val="20"/>
                <w:szCs w:val="20"/>
              </w:rPr>
              <w:t>3,916</w:t>
            </w:r>
          </w:p>
        </w:tc>
        <w:tc>
          <w:tcPr>
            <w:tcW w:w="425" w:type="pct"/>
          </w:tcPr>
          <w:p w:rsidR="00260042" w:rsidRPr="001C2FF3" w:rsidRDefault="00260042" w:rsidP="001C2FF3">
            <w:pPr>
              <w:pStyle w:val="BodyText"/>
              <w:jc w:val="right"/>
              <w:rPr>
                <w:sz w:val="20"/>
                <w:szCs w:val="20"/>
              </w:rPr>
            </w:pPr>
            <w:r w:rsidRPr="001C2FF3">
              <w:rPr>
                <w:sz w:val="20"/>
                <w:szCs w:val="20"/>
              </w:rPr>
              <w:t>8,842</w:t>
            </w:r>
          </w:p>
        </w:tc>
        <w:tc>
          <w:tcPr>
            <w:tcW w:w="425" w:type="pct"/>
          </w:tcPr>
          <w:p w:rsidR="00260042" w:rsidRPr="001C2FF3" w:rsidRDefault="00260042" w:rsidP="001C2FF3">
            <w:pPr>
              <w:pStyle w:val="BodyText"/>
              <w:jc w:val="right"/>
              <w:rPr>
                <w:sz w:val="20"/>
                <w:szCs w:val="20"/>
              </w:rPr>
            </w:pPr>
            <w:r w:rsidRPr="001C2FF3">
              <w:rPr>
                <w:sz w:val="20"/>
                <w:szCs w:val="20"/>
              </w:rPr>
              <w:t>6</w:t>
            </w:r>
          </w:p>
        </w:tc>
        <w:tc>
          <w:tcPr>
            <w:tcW w:w="425" w:type="pct"/>
          </w:tcPr>
          <w:p w:rsidR="00260042" w:rsidRPr="001C2FF3" w:rsidRDefault="00260042" w:rsidP="001C2FF3">
            <w:pPr>
              <w:pStyle w:val="BodyText"/>
              <w:jc w:val="right"/>
              <w:rPr>
                <w:sz w:val="20"/>
                <w:szCs w:val="20"/>
              </w:rPr>
            </w:pPr>
            <w:r w:rsidRPr="001C2FF3">
              <w:rPr>
                <w:sz w:val="20"/>
                <w:szCs w:val="20"/>
              </w:rPr>
              <w:t>1</w:t>
            </w:r>
          </w:p>
        </w:tc>
        <w:tc>
          <w:tcPr>
            <w:tcW w:w="528" w:type="pct"/>
          </w:tcPr>
          <w:p w:rsidR="00260042" w:rsidRPr="001C2FF3" w:rsidRDefault="00260042" w:rsidP="001C2FF3">
            <w:pPr>
              <w:pStyle w:val="BodyText"/>
              <w:jc w:val="right"/>
              <w:rPr>
                <w:sz w:val="20"/>
                <w:szCs w:val="20"/>
              </w:rPr>
            </w:pPr>
            <w:r w:rsidRPr="001C2FF3">
              <w:rPr>
                <w:sz w:val="20"/>
                <w:szCs w:val="20"/>
              </w:rPr>
              <w:t>7</w:t>
            </w:r>
          </w:p>
        </w:tc>
        <w:tc>
          <w:tcPr>
            <w:tcW w:w="384" w:type="pct"/>
          </w:tcPr>
          <w:p w:rsidR="00260042" w:rsidRPr="001C2FF3" w:rsidRDefault="00260042" w:rsidP="001C2FF3">
            <w:pPr>
              <w:pStyle w:val="BodyText"/>
              <w:jc w:val="right"/>
              <w:rPr>
                <w:sz w:val="20"/>
                <w:szCs w:val="20"/>
              </w:rPr>
            </w:pPr>
            <w:r w:rsidRPr="001C2FF3">
              <w:rPr>
                <w:rStyle w:val="01bodybold"/>
                <w:sz w:val="20"/>
                <w:szCs w:val="20"/>
              </w:rPr>
              <w:t>11,446</w:t>
            </w:r>
          </w:p>
        </w:tc>
      </w:tr>
      <w:tr w:rsidR="00260042" w:rsidRPr="001C2FF3" w:rsidTr="00511254">
        <w:trPr>
          <w:trHeight w:val="376"/>
        </w:trPr>
        <w:tc>
          <w:tcPr>
            <w:tcW w:w="688" w:type="pct"/>
          </w:tcPr>
          <w:p w:rsidR="00260042" w:rsidRPr="001C2FF3" w:rsidRDefault="00260042" w:rsidP="001C2FF3">
            <w:pPr>
              <w:pStyle w:val="BodyText"/>
              <w:rPr>
                <w:sz w:val="20"/>
                <w:szCs w:val="20"/>
              </w:rPr>
            </w:pPr>
            <w:r w:rsidRPr="001C2FF3">
              <w:rPr>
                <w:sz w:val="20"/>
                <w:szCs w:val="20"/>
              </w:rPr>
              <w:t>APS 3</w:t>
            </w:r>
          </w:p>
        </w:tc>
        <w:tc>
          <w:tcPr>
            <w:tcW w:w="425" w:type="pct"/>
          </w:tcPr>
          <w:p w:rsidR="00260042" w:rsidRPr="001C2FF3" w:rsidRDefault="00260042" w:rsidP="001C2FF3">
            <w:pPr>
              <w:pStyle w:val="BodyText"/>
              <w:jc w:val="right"/>
              <w:rPr>
                <w:sz w:val="20"/>
                <w:szCs w:val="20"/>
              </w:rPr>
            </w:pPr>
            <w:r w:rsidRPr="001C2FF3">
              <w:rPr>
                <w:sz w:val="20"/>
                <w:szCs w:val="20"/>
              </w:rPr>
              <w:t>549</w:t>
            </w:r>
          </w:p>
        </w:tc>
        <w:tc>
          <w:tcPr>
            <w:tcW w:w="425" w:type="pct"/>
          </w:tcPr>
          <w:p w:rsidR="00260042" w:rsidRPr="001C2FF3" w:rsidRDefault="00260042" w:rsidP="001C2FF3">
            <w:pPr>
              <w:pStyle w:val="BodyText"/>
              <w:jc w:val="right"/>
              <w:rPr>
                <w:sz w:val="20"/>
                <w:szCs w:val="20"/>
              </w:rPr>
            </w:pPr>
            <w:r w:rsidRPr="001C2FF3">
              <w:rPr>
                <w:sz w:val="20"/>
                <w:szCs w:val="20"/>
              </w:rPr>
              <w:t>73</w:t>
            </w:r>
          </w:p>
        </w:tc>
        <w:tc>
          <w:tcPr>
            <w:tcW w:w="426" w:type="pct"/>
          </w:tcPr>
          <w:p w:rsidR="00260042" w:rsidRPr="001C2FF3" w:rsidRDefault="00260042" w:rsidP="001C2FF3">
            <w:pPr>
              <w:pStyle w:val="BodyText"/>
              <w:jc w:val="right"/>
              <w:rPr>
                <w:sz w:val="20"/>
                <w:szCs w:val="20"/>
              </w:rPr>
            </w:pPr>
            <w:r w:rsidRPr="001C2FF3">
              <w:rPr>
                <w:sz w:val="20"/>
                <w:szCs w:val="20"/>
              </w:rPr>
              <w:t>622</w:t>
            </w:r>
          </w:p>
        </w:tc>
        <w:tc>
          <w:tcPr>
            <w:tcW w:w="425" w:type="pct"/>
          </w:tcPr>
          <w:p w:rsidR="00260042" w:rsidRPr="001C2FF3" w:rsidRDefault="00260042" w:rsidP="001C2FF3">
            <w:pPr>
              <w:pStyle w:val="BodyText"/>
              <w:jc w:val="right"/>
              <w:rPr>
                <w:sz w:val="20"/>
                <w:szCs w:val="20"/>
              </w:rPr>
            </w:pPr>
            <w:r w:rsidRPr="001C2FF3">
              <w:rPr>
                <w:sz w:val="20"/>
                <w:szCs w:val="20"/>
              </w:rPr>
              <w:t>1,371</w:t>
            </w:r>
          </w:p>
        </w:tc>
        <w:tc>
          <w:tcPr>
            <w:tcW w:w="425" w:type="pct"/>
          </w:tcPr>
          <w:p w:rsidR="00260042" w:rsidRPr="001C2FF3" w:rsidRDefault="00260042" w:rsidP="001C2FF3">
            <w:pPr>
              <w:pStyle w:val="BodyText"/>
              <w:jc w:val="right"/>
              <w:rPr>
                <w:sz w:val="20"/>
                <w:szCs w:val="20"/>
              </w:rPr>
            </w:pPr>
            <w:r w:rsidRPr="001C2FF3">
              <w:rPr>
                <w:sz w:val="20"/>
                <w:szCs w:val="20"/>
              </w:rPr>
              <w:t>659</w:t>
            </w:r>
          </w:p>
        </w:tc>
        <w:tc>
          <w:tcPr>
            <w:tcW w:w="425" w:type="pct"/>
          </w:tcPr>
          <w:p w:rsidR="00260042" w:rsidRPr="001C2FF3" w:rsidRDefault="00260042" w:rsidP="001C2FF3">
            <w:pPr>
              <w:pStyle w:val="BodyText"/>
              <w:jc w:val="right"/>
              <w:rPr>
                <w:sz w:val="20"/>
                <w:szCs w:val="20"/>
              </w:rPr>
            </w:pPr>
            <w:r w:rsidRPr="001C2FF3">
              <w:rPr>
                <w:sz w:val="20"/>
                <w:szCs w:val="20"/>
              </w:rPr>
              <w:t>2,030</w:t>
            </w:r>
          </w:p>
        </w:tc>
        <w:tc>
          <w:tcPr>
            <w:tcW w:w="425" w:type="pct"/>
          </w:tcPr>
          <w:p w:rsidR="00260042" w:rsidRPr="001C2FF3" w:rsidRDefault="00260042" w:rsidP="001C2FF3">
            <w:pPr>
              <w:pStyle w:val="BodyText"/>
              <w:jc w:val="right"/>
              <w:rPr>
                <w:sz w:val="20"/>
                <w:szCs w:val="20"/>
              </w:rPr>
            </w:pPr>
            <w:r w:rsidRPr="001C2FF3">
              <w:rPr>
                <w:sz w:val="20"/>
                <w:szCs w:val="20"/>
              </w:rPr>
              <w:t>2</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2</w:t>
            </w:r>
          </w:p>
        </w:tc>
        <w:tc>
          <w:tcPr>
            <w:tcW w:w="384" w:type="pct"/>
          </w:tcPr>
          <w:p w:rsidR="00260042" w:rsidRPr="001C2FF3" w:rsidRDefault="00260042" w:rsidP="001C2FF3">
            <w:pPr>
              <w:pStyle w:val="BodyText"/>
              <w:jc w:val="right"/>
              <w:rPr>
                <w:sz w:val="20"/>
                <w:szCs w:val="20"/>
              </w:rPr>
            </w:pPr>
            <w:r w:rsidRPr="001C2FF3">
              <w:rPr>
                <w:rStyle w:val="01bodybold"/>
                <w:sz w:val="20"/>
                <w:szCs w:val="20"/>
              </w:rPr>
              <w:t>2,654</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APS 2</w:t>
            </w:r>
          </w:p>
        </w:tc>
        <w:tc>
          <w:tcPr>
            <w:tcW w:w="425" w:type="pct"/>
          </w:tcPr>
          <w:p w:rsidR="00260042" w:rsidRPr="001C2FF3" w:rsidRDefault="00260042" w:rsidP="001C2FF3">
            <w:pPr>
              <w:pStyle w:val="BodyText"/>
              <w:jc w:val="right"/>
              <w:rPr>
                <w:sz w:val="20"/>
                <w:szCs w:val="20"/>
              </w:rPr>
            </w:pPr>
            <w:r w:rsidRPr="001C2FF3">
              <w:rPr>
                <w:sz w:val="20"/>
                <w:szCs w:val="20"/>
              </w:rPr>
              <w:t>25</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6" w:type="pct"/>
          </w:tcPr>
          <w:p w:rsidR="00260042" w:rsidRPr="001C2FF3" w:rsidRDefault="00260042" w:rsidP="001C2FF3">
            <w:pPr>
              <w:pStyle w:val="BodyText"/>
              <w:jc w:val="right"/>
              <w:rPr>
                <w:sz w:val="20"/>
                <w:szCs w:val="20"/>
              </w:rPr>
            </w:pPr>
            <w:r w:rsidRPr="001C2FF3">
              <w:rPr>
                <w:sz w:val="20"/>
                <w:szCs w:val="20"/>
              </w:rPr>
              <w:t>25</w:t>
            </w:r>
          </w:p>
        </w:tc>
        <w:tc>
          <w:tcPr>
            <w:tcW w:w="425" w:type="pct"/>
          </w:tcPr>
          <w:p w:rsidR="00260042" w:rsidRPr="001C2FF3" w:rsidRDefault="00260042" w:rsidP="001C2FF3">
            <w:pPr>
              <w:pStyle w:val="BodyText"/>
              <w:jc w:val="right"/>
              <w:rPr>
                <w:sz w:val="20"/>
                <w:szCs w:val="20"/>
              </w:rPr>
            </w:pPr>
            <w:r w:rsidRPr="001C2FF3">
              <w:rPr>
                <w:sz w:val="20"/>
                <w:szCs w:val="20"/>
              </w:rPr>
              <w:t>24</w:t>
            </w:r>
          </w:p>
        </w:tc>
        <w:tc>
          <w:tcPr>
            <w:tcW w:w="425" w:type="pct"/>
          </w:tcPr>
          <w:p w:rsidR="00260042" w:rsidRPr="001C2FF3" w:rsidRDefault="00260042" w:rsidP="001C2FF3">
            <w:pPr>
              <w:pStyle w:val="BodyText"/>
              <w:jc w:val="right"/>
              <w:rPr>
                <w:sz w:val="20"/>
                <w:szCs w:val="20"/>
              </w:rPr>
            </w:pPr>
            <w:r w:rsidRPr="001C2FF3">
              <w:rPr>
                <w:sz w:val="20"/>
                <w:szCs w:val="20"/>
              </w:rPr>
              <w:t>17</w:t>
            </w:r>
          </w:p>
        </w:tc>
        <w:tc>
          <w:tcPr>
            <w:tcW w:w="425" w:type="pct"/>
          </w:tcPr>
          <w:p w:rsidR="00260042" w:rsidRPr="001C2FF3" w:rsidRDefault="00260042" w:rsidP="001C2FF3">
            <w:pPr>
              <w:pStyle w:val="BodyText"/>
              <w:jc w:val="right"/>
              <w:rPr>
                <w:sz w:val="20"/>
                <w:szCs w:val="20"/>
              </w:rPr>
            </w:pPr>
            <w:r w:rsidRPr="001C2FF3">
              <w:rPr>
                <w:sz w:val="20"/>
                <w:szCs w:val="20"/>
              </w:rPr>
              <w:t>41</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66</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APS 1</w:t>
            </w:r>
          </w:p>
        </w:tc>
        <w:tc>
          <w:tcPr>
            <w:tcW w:w="425" w:type="pct"/>
          </w:tcPr>
          <w:p w:rsidR="00260042" w:rsidRPr="001C2FF3" w:rsidRDefault="00260042" w:rsidP="001C2FF3">
            <w:pPr>
              <w:pStyle w:val="BodyText"/>
              <w:jc w:val="right"/>
              <w:rPr>
                <w:sz w:val="20"/>
                <w:szCs w:val="20"/>
              </w:rPr>
            </w:pPr>
            <w:r w:rsidRPr="001C2FF3">
              <w:rPr>
                <w:sz w:val="20"/>
                <w:szCs w:val="20"/>
              </w:rPr>
              <w:t>25</w:t>
            </w:r>
          </w:p>
        </w:tc>
        <w:tc>
          <w:tcPr>
            <w:tcW w:w="425" w:type="pct"/>
          </w:tcPr>
          <w:p w:rsidR="00260042" w:rsidRPr="001C2FF3" w:rsidRDefault="00260042" w:rsidP="001C2FF3">
            <w:pPr>
              <w:pStyle w:val="BodyText"/>
              <w:jc w:val="right"/>
              <w:rPr>
                <w:sz w:val="20"/>
                <w:szCs w:val="20"/>
              </w:rPr>
            </w:pPr>
            <w:r w:rsidRPr="001C2FF3">
              <w:rPr>
                <w:sz w:val="20"/>
                <w:szCs w:val="20"/>
              </w:rPr>
              <w:t>6</w:t>
            </w:r>
          </w:p>
        </w:tc>
        <w:tc>
          <w:tcPr>
            <w:tcW w:w="426" w:type="pct"/>
          </w:tcPr>
          <w:p w:rsidR="00260042" w:rsidRPr="001C2FF3" w:rsidRDefault="00260042" w:rsidP="001C2FF3">
            <w:pPr>
              <w:pStyle w:val="BodyText"/>
              <w:jc w:val="right"/>
              <w:rPr>
                <w:sz w:val="20"/>
                <w:szCs w:val="20"/>
              </w:rPr>
            </w:pPr>
            <w:r w:rsidRPr="001C2FF3">
              <w:rPr>
                <w:sz w:val="20"/>
                <w:szCs w:val="20"/>
              </w:rPr>
              <w:t>31</w:t>
            </w:r>
          </w:p>
        </w:tc>
        <w:tc>
          <w:tcPr>
            <w:tcW w:w="425" w:type="pct"/>
          </w:tcPr>
          <w:p w:rsidR="00260042" w:rsidRPr="001C2FF3" w:rsidRDefault="00260042" w:rsidP="001C2FF3">
            <w:pPr>
              <w:pStyle w:val="BodyText"/>
              <w:jc w:val="right"/>
              <w:rPr>
                <w:sz w:val="20"/>
                <w:szCs w:val="20"/>
              </w:rPr>
            </w:pPr>
            <w:r w:rsidRPr="001C2FF3">
              <w:rPr>
                <w:sz w:val="20"/>
                <w:szCs w:val="20"/>
              </w:rPr>
              <w:t>29</w:t>
            </w:r>
          </w:p>
        </w:tc>
        <w:tc>
          <w:tcPr>
            <w:tcW w:w="425" w:type="pct"/>
          </w:tcPr>
          <w:p w:rsidR="00260042" w:rsidRPr="001C2FF3" w:rsidRDefault="00260042" w:rsidP="001C2FF3">
            <w:pPr>
              <w:pStyle w:val="BodyText"/>
              <w:jc w:val="right"/>
              <w:rPr>
                <w:sz w:val="20"/>
                <w:szCs w:val="20"/>
              </w:rPr>
            </w:pPr>
            <w:r w:rsidRPr="001C2FF3">
              <w:rPr>
                <w:sz w:val="20"/>
                <w:szCs w:val="20"/>
              </w:rPr>
              <w:t>7</w:t>
            </w:r>
          </w:p>
        </w:tc>
        <w:tc>
          <w:tcPr>
            <w:tcW w:w="425" w:type="pct"/>
          </w:tcPr>
          <w:p w:rsidR="00260042" w:rsidRPr="001C2FF3" w:rsidRDefault="00260042" w:rsidP="001C2FF3">
            <w:pPr>
              <w:pStyle w:val="BodyText"/>
              <w:jc w:val="right"/>
              <w:rPr>
                <w:sz w:val="20"/>
                <w:szCs w:val="20"/>
              </w:rPr>
            </w:pPr>
            <w:r w:rsidRPr="001C2FF3">
              <w:rPr>
                <w:sz w:val="20"/>
                <w:szCs w:val="20"/>
              </w:rPr>
              <w:t>36</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0</w:t>
            </w:r>
          </w:p>
        </w:tc>
        <w:tc>
          <w:tcPr>
            <w:tcW w:w="384" w:type="pct"/>
          </w:tcPr>
          <w:p w:rsidR="00260042" w:rsidRPr="001C2FF3" w:rsidRDefault="00260042" w:rsidP="001C2FF3">
            <w:pPr>
              <w:pStyle w:val="BodyText"/>
              <w:jc w:val="right"/>
              <w:rPr>
                <w:sz w:val="20"/>
                <w:szCs w:val="20"/>
              </w:rPr>
            </w:pPr>
            <w:r w:rsidRPr="001C2FF3">
              <w:rPr>
                <w:rStyle w:val="01bodybold"/>
                <w:sz w:val="20"/>
                <w:szCs w:val="20"/>
              </w:rPr>
              <w:t>67</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sz w:val="20"/>
                <w:szCs w:val="20"/>
              </w:rPr>
              <w:t>Other</w:t>
            </w:r>
          </w:p>
        </w:tc>
        <w:tc>
          <w:tcPr>
            <w:tcW w:w="425" w:type="pct"/>
          </w:tcPr>
          <w:p w:rsidR="00260042" w:rsidRPr="001C2FF3" w:rsidRDefault="00260042" w:rsidP="001C2FF3">
            <w:pPr>
              <w:pStyle w:val="BodyText"/>
              <w:jc w:val="right"/>
              <w:rPr>
                <w:sz w:val="20"/>
                <w:szCs w:val="20"/>
              </w:rPr>
            </w:pPr>
            <w:r w:rsidRPr="001C2FF3">
              <w:rPr>
                <w:sz w:val="20"/>
                <w:szCs w:val="20"/>
              </w:rPr>
              <w:t>105</w:t>
            </w:r>
          </w:p>
        </w:tc>
        <w:tc>
          <w:tcPr>
            <w:tcW w:w="425" w:type="pct"/>
          </w:tcPr>
          <w:p w:rsidR="00260042" w:rsidRPr="001C2FF3" w:rsidRDefault="00260042" w:rsidP="001C2FF3">
            <w:pPr>
              <w:pStyle w:val="BodyText"/>
              <w:jc w:val="right"/>
              <w:rPr>
                <w:sz w:val="20"/>
                <w:szCs w:val="20"/>
              </w:rPr>
            </w:pPr>
            <w:r w:rsidRPr="001C2FF3">
              <w:rPr>
                <w:sz w:val="20"/>
                <w:szCs w:val="20"/>
              </w:rPr>
              <w:t>9</w:t>
            </w:r>
          </w:p>
        </w:tc>
        <w:tc>
          <w:tcPr>
            <w:tcW w:w="426" w:type="pct"/>
          </w:tcPr>
          <w:p w:rsidR="00260042" w:rsidRPr="001C2FF3" w:rsidRDefault="00260042" w:rsidP="001C2FF3">
            <w:pPr>
              <w:pStyle w:val="BodyText"/>
              <w:jc w:val="right"/>
              <w:rPr>
                <w:sz w:val="20"/>
                <w:szCs w:val="20"/>
              </w:rPr>
            </w:pPr>
            <w:r w:rsidRPr="001C2FF3">
              <w:rPr>
                <w:sz w:val="20"/>
                <w:szCs w:val="20"/>
              </w:rPr>
              <w:t>114</w:t>
            </w:r>
          </w:p>
        </w:tc>
        <w:tc>
          <w:tcPr>
            <w:tcW w:w="425" w:type="pct"/>
          </w:tcPr>
          <w:p w:rsidR="00260042" w:rsidRPr="001C2FF3" w:rsidRDefault="00260042" w:rsidP="001C2FF3">
            <w:pPr>
              <w:pStyle w:val="BodyText"/>
              <w:jc w:val="right"/>
              <w:rPr>
                <w:sz w:val="20"/>
                <w:szCs w:val="20"/>
              </w:rPr>
            </w:pPr>
            <w:r w:rsidRPr="001C2FF3">
              <w:rPr>
                <w:sz w:val="20"/>
                <w:szCs w:val="20"/>
              </w:rPr>
              <w:t>223</w:t>
            </w:r>
          </w:p>
        </w:tc>
        <w:tc>
          <w:tcPr>
            <w:tcW w:w="425" w:type="pct"/>
          </w:tcPr>
          <w:p w:rsidR="00260042" w:rsidRPr="001C2FF3" w:rsidRDefault="00260042" w:rsidP="001C2FF3">
            <w:pPr>
              <w:pStyle w:val="BodyText"/>
              <w:jc w:val="right"/>
              <w:rPr>
                <w:sz w:val="20"/>
                <w:szCs w:val="20"/>
              </w:rPr>
            </w:pPr>
            <w:r w:rsidRPr="001C2FF3">
              <w:rPr>
                <w:sz w:val="20"/>
                <w:szCs w:val="20"/>
              </w:rPr>
              <w:t>7</w:t>
            </w:r>
          </w:p>
        </w:tc>
        <w:tc>
          <w:tcPr>
            <w:tcW w:w="425" w:type="pct"/>
          </w:tcPr>
          <w:p w:rsidR="00260042" w:rsidRPr="001C2FF3" w:rsidRDefault="00260042" w:rsidP="001C2FF3">
            <w:pPr>
              <w:pStyle w:val="BodyText"/>
              <w:jc w:val="right"/>
              <w:rPr>
                <w:sz w:val="20"/>
                <w:szCs w:val="20"/>
              </w:rPr>
            </w:pPr>
            <w:r w:rsidRPr="001C2FF3">
              <w:rPr>
                <w:sz w:val="20"/>
                <w:szCs w:val="20"/>
              </w:rPr>
              <w:t>230</w:t>
            </w:r>
          </w:p>
        </w:tc>
        <w:tc>
          <w:tcPr>
            <w:tcW w:w="425" w:type="pct"/>
          </w:tcPr>
          <w:p w:rsidR="00260042" w:rsidRPr="001C2FF3" w:rsidRDefault="00260042" w:rsidP="001C2FF3">
            <w:pPr>
              <w:pStyle w:val="BodyText"/>
              <w:jc w:val="right"/>
              <w:rPr>
                <w:sz w:val="20"/>
                <w:szCs w:val="20"/>
              </w:rPr>
            </w:pPr>
            <w:r w:rsidRPr="001C2FF3">
              <w:rPr>
                <w:sz w:val="20"/>
                <w:szCs w:val="20"/>
              </w:rPr>
              <w:t>4</w:t>
            </w:r>
          </w:p>
        </w:tc>
        <w:tc>
          <w:tcPr>
            <w:tcW w:w="425" w:type="pct"/>
          </w:tcPr>
          <w:p w:rsidR="00260042" w:rsidRPr="001C2FF3" w:rsidRDefault="00260042" w:rsidP="001C2FF3">
            <w:pPr>
              <w:pStyle w:val="BodyText"/>
              <w:jc w:val="right"/>
              <w:rPr>
                <w:sz w:val="20"/>
                <w:szCs w:val="20"/>
              </w:rPr>
            </w:pPr>
            <w:r w:rsidRPr="001C2FF3">
              <w:rPr>
                <w:sz w:val="20"/>
                <w:szCs w:val="20"/>
              </w:rPr>
              <w:t>0</w:t>
            </w:r>
          </w:p>
        </w:tc>
        <w:tc>
          <w:tcPr>
            <w:tcW w:w="528" w:type="pct"/>
          </w:tcPr>
          <w:p w:rsidR="00260042" w:rsidRPr="001C2FF3" w:rsidRDefault="00260042" w:rsidP="001C2FF3">
            <w:pPr>
              <w:pStyle w:val="BodyText"/>
              <w:jc w:val="right"/>
              <w:rPr>
                <w:sz w:val="20"/>
                <w:szCs w:val="20"/>
              </w:rPr>
            </w:pPr>
            <w:r w:rsidRPr="001C2FF3">
              <w:rPr>
                <w:sz w:val="20"/>
                <w:szCs w:val="20"/>
              </w:rPr>
              <w:t>4</w:t>
            </w:r>
          </w:p>
        </w:tc>
        <w:tc>
          <w:tcPr>
            <w:tcW w:w="384" w:type="pct"/>
          </w:tcPr>
          <w:p w:rsidR="00260042" w:rsidRPr="001C2FF3" w:rsidRDefault="00260042" w:rsidP="001C2FF3">
            <w:pPr>
              <w:pStyle w:val="BodyText"/>
              <w:jc w:val="right"/>
              <w:rPr>
                <w:sz w:val="20"/>
                <w:szCs w:val="20"/>
              </w:rPr>
            </w:pPr>
            <w:r w:rsidRPr="001C2FF3">
              <w:rPr>
                <w:rStyle w:val="01bodybold"/>
                <w:sz w:val="20"/>
                <w:szCs w:val="20"/>
              </w:rPr>
              <w:t>348</w:t>
            </w:r>
          </w:p>
        </w:tc>
      </w:tr>
      <w:tr w:rsidR="00260042" w:rsidRPr="001C2FF3" w:rsidTr="00511254">
        <w:trPr>
          <w:trHeight w:val="60"/>
        </w:trPr>
        <w:tc>
          <w:tcPr>
            <w:tcW w:w="688" w:type="pct"/>
          </w:tcPr>
          <w:p w:rsidR="00260042" w:rsidRPr="001C2FF3" w:rsidRDefault="00260042" w:rsidP="001C2FF3">
            <w:pPr>
              <w:pStyle w:val="BodyText"/>
              <w:rPr>
                <w:sz w:val="20"/>
                <w:szCs w:val="20"/>
              </w:rPr>
            </w:pPr>
            <w:r w:rsidRPr="001C2FF3">
              <w:rPr>
                <w:rStyle w:val="Bold"/>
                <w:sz w:val="20"/>
                <w:szCs w:val="20"/>
              </w:rPr>
              <w:t>Total</w:t>
            </w:r>
          </w:p>
        </w:tc>
        <w:tc>
          <w:tcPr>
            <w:tcW w:w="425" w:type="pct"/>
          </w:tcPr>
          <w:p w:rsidR="00260042" w:rsidRPr="001C2FF3" w:rsidRDefault="00260042" w:rsidP="001C2FF3">
            <w:pPr>
              <w:pStyle w:val="BodyText"/>
              <w:jc w:val="right"/>
              <w:rPr>
                <w:sz w:val="20"/>
                <w:szCs w:val="20"/>
              </w:rPr>
            </w:pPr>
            <w:r w:rsidRPr="001C2FF3">
              <w:rPr>
                <w:rStyle w:val="Bold"/>
                <w:sz w:val="20"/>
                <w:szCs w:val="20"/>
              </w:rPr>
              <w:t>7,126</w:t>
            </w:r>
          </w:p>
        </w:tc>
        <w:tc>
          <w:tcPr>
            <w:tcW w:w="425" w:type="pct"/>
          </w:tcPr>
          <w:p w:rsidR="00260042" w:rsidRPr="001C2FF3" w:rsidRDefault="00260042" w:rsidP="001C2FF3">
            <w:pPr>
              <w:pStyle w:val="BodyText"/>
              <w:jc w:val="right"/>
              <w:rPr>
                <w:sz w:val="20"/>
                <w:szCs w:val="20"/>
              </w:rPr>
            </w:pPr>
            <w:r w:rsidRPr="001C2FF3">
              <w:rPr>
                <w:rStyle w:val="Bold"/>
                <w:sz w:val="20"/>
                <w:szCs w:val="20"/>
              </w:rPr>
              <w:t>743</w:t>
            </w:r>
          </w:p>
        </w:tc>
        <w:tc>
          <w:tcPr>
            <w:tcW w:w="426" w:type="pct"/>
          </w:tcPr>
          <w:p w:rsidR="00260042" w:rsidRPr="001C2FF3" w:rsidRDefault="00260042" w:rsidP="001C2FF3">
            <w:pPr>
              <w:pStyle w:val="BodyText"/>
              <w:jc w:val="right"/>
              <w:rPr>
                <w:sz w:val="20"/>
                <w:szCs w:val="20"/>
              </w:rPr>
            </w:pPr>
            <w:r w:rsidRPr="001C2FF3">
              <w:rPr>
                <w:rStyle w:val="Bold"/>
                <w:sz w:val="20"/>
                <w:szCs w:val="20"/>
              </w:rPr>
              <w:t>7,869</w:t>
            </w:r>
          </w:p>
        </w:tc>
        <w:tc>
          <w:tcPr>
            <w:tcW w:w="425" w:type="pct"/>
          </w:tcPr>
          <w:p w:rsidR="00260042" w:rsidRPr="001C2FF3" w:rsidRDefault="00260042" w:rsidP="001C2FF3">
            <w:pPr>
              <w:pStyle w:val="BodyText"/>
              <w:jc w:val="right"/>
              <w:rPr>
                <w:sz w:val="20"/>
                <w:szCs w:val="20"/>
              </w:rPr>
            </w:pPr>
            <w:r w:rsidRPr="001C2FF3">
              <w:rPr>
                <w:rStyle w:val="Bold"/>
                <w:sz w:val="20"/>
                <w:szCs w:val="20"/>
              </w:rPr>
              <w:t>12,324</w:t>
            </w:r>
          </w:p>
        </w:tc>
        <w:tc>
          <w:tcPr>
            <w:tcW w:w="425" w:type="pct"/>
          </w:tcPr>
          <w:p w:rsidR="00260042" w:rsidRPr="001C2FF3" w:rsidRDefault="00260042" w:rsidP="001C2FF3">
            <w:pPr>
              <w:pStyle w:val="BodyText"/>
              <w:jc w:val="right"/>
              <w:rPr>
                <w:sz w:val="20"/>
                <w:szCs w:val="20"/>
              </w:rPr>
            </w:pPr>
            <w:r w:rsidRPr="001C2FF3">
              <w:rPr>
                <w:rStyle w:val="Bold"/>
                <w:sz w:val="20"/>
                <w:szCs w:val="20"/>
              </w:rPr>
              <w:t>6,722</w:t>
            </w:r>
          </w:p>
        </w:tc>
        <w:tc>
          <w:tcPr>
            <w:tcW w:w="425" w:type="pct"/>
          </w:tcPr>
          <w:p w:rsidR="00260042" w:rsidRPr="001C2FF3" w:rsidRDefault="00260042" w:rsidP="001C2FF3">
            <w:pPr>
              <w:pStyle w:val="BodyText"/>
              <w:jc w:val="right"/>
              <w:rPr>
                <w:sz w:val="20"/>
                <w:szCs w:val="20"/>
              </w:rPr>
            </w:pPr>
            <w:r w:rsidRPr="001C2FF3">
              <w:rPr>
                <w:rStyle w:val="Bold"/>
                <w:sz w:val="20"/>
                <w:szCs w:val="20"/>
              </w:rPr>
              <w:t>19,046</w:t>
            </w:r>
          </w:p>
        </w:tc>
        <w:tc>
          <w:tcPr>
            <w:tcW w:w="425" w:type="pct"/>
          </w:tcPr>
          <w:p w:rsidR="00260042" w:rsidRPr="001C2FF3" w:rsidRDefault="00260042" w:rsidP="001C2FF3">
            <w:pPr>
              <w:pStyle w:val="BodyText"/>
              <w:jc w:val="right"/>
              <w:rPr>
                <w:sz w:val="20"/>
                <w:szCs w:val="20"/>
              </w:rPr>
            </w:pPr>
            <w:r w:rsidRPr="001C2FF3">
              <w:rPr>
                <w:rStyle w:val="Bold"/>
                <w:sz w:val="20"/>
                <w:szCs w:val="20"/>
              </w:rPr>
              <w:t>16</w:t>
            </w:r>
          </w:p>
        </w:tc>
        <w:tc>
          <w:tcPr>
            <w:tcW w:w="425" w:type="pct"/>
          </w:tcPr>
          <w:p w:rsidR="00260042" w:rsidRPr="001C2FF3" w:rsidRDefault="00260042" w:rsidP="001C2FF3">
            <w:pPr>
              <w:pStyle w:val="BodyText"/>
              <w:jc w:val="right"/>
              <w:rPr>
                <w:sz w:val="20"/>
                <w:szCs w:val="20"/>
              </w:rPr>
            </w:pPr>
            <w:r w:rsidRPr="001C2FF3">
              <w:rPr>
                <w:rStyle w:val="Bold"/>
                <w:sz w:val="20"/>
                <w:szCs w:val="20"/>
              </w:rPr>
              <w:t>1</w:t>
            </w:r>
          </w:p>
        </w:tc>
        <w:tc>
          <w:tcPr>
            <w:tcW w:w="528" w:type="pct"/>
          </w:tcPr>
          <w:p w:rsidR="00260042" w:rsidRPr="001C2FF3" w:rsidRDefault="00260042" w:rsidP="001C2FF3">
            <w:pPr>
              <w:pStyle w:val="BodyText"/>
              <w:jc w:val="right"/>
              <w:rPr>
                <w:sz w:val="20"/>
                <w:szCs w:val="20"/>
              </w:rPr>
            </w:pPr>
            <w:r w:rsidRPr="001C2FF3">
              <w:rPr>
                <w:rStyle w:val="Bold"/>
                <w:sz w:val="20"/>
                <w:szCs w:val="20"/>
              </w:rPr>
              <w:t>17</w:t>
            </w:r>
          </w:p>
        </w:tc>
        <w:tc>
          <w:tcPr>
            <w:tcW w:w="384" w:type="pct"/>
          </w:tcPr>
          <w:p w:rsidR="00260042" w:rsidRPr="001C2FF3" w:rsidRDefault="00260042" w:rsidP="001C2FF3">
            <w:pPr>
              <w:pStyle w:val="BodyText"/>
              <w:jc w:val="right"/>
              <w:rPr>
                <w:sz w:val="20"/>
                <w:szCs w:val="20"/>
              </w:rPr>
            </w:pPr>
            <w:r w:rsidRPr="001C2FF3">
              <w:rPr>
                <w:rStyle w:val="Bold"/>
                <w:sz w:val="20"/>
                <w:szCs w:val="20"/>
              </w:rPr>
              <w:t>26,932</w:t>
            </w:r>
          </w:p>
        </w:tc>
      </w:tr>
    </w:tbl>
    <w:p w:rsidR="00260042" w:rsidRPr="00EA5510" w:rsidRDefault="00511254" w:rsidP="00EA5510">
      <w:pPr>
        <w:pStyle w:val="BodyText"/>
        <w:rPr>
          <w:b/>
        </w:rPr>
      </w:pPr>
      <w:r>
        <w:rPr>
          <w:rStyle w:val="Bold"/>
          <w:bCs w:val="0"/>
        </w:rPr>
        <w:t xml:space="preserve">Table </w:t>
      </w:r>
      <w:r>
        <w:rPr>
          <w:rStyle w:val="Bold"/>
          <w:bCs w:val="0"/>
        </w:rPr>
        <w:t>60</w:t>
      </w:r>
      <w:r w:rsidR="00260042" w:rsidRPr="00EA5510">
        <w:rPr>
          <w:b/>
        </w:rPr>
        <w:t xml:space="preserve"> Australian Public Service Act ongoing employees 2019–20</w:t>
      </w:r>
    </w:p>
    <w:tbl>
      <w:tblPr>
        <w:tblStyle w:val="TableGrid"/>
        <w:tblW w:w="5000" w:type="pct"/>
        <w:tblLook w:val="0000" w:firstRow="0" w:lastRow="0" w:firstColumn="0" w:lastColumn="0" w:noHBand="0" w:noVBand="0"/>
        <w:tblCaption w:val=" Australian Public Service Act ongoing employees 2019–20"/>
      </w:tblPr>
      <w:tblGrid>
        <w:gridCol w:w="1485"/>
        <w:gridCol w:w="917"/>
        <w:gridCol w:w="917"/>
        <w:gridCol w:w="919"/>
        <w:gridCol w:w="917"/>
        <w:gridCol w:w="917"/>
        <w:gridCol w:w="917"/>
        <w:gridCol w:w="917"/>
        <w:gridCol w:w="917"/>
        <w:gridCol w:w="1139"/>
        <w:gridCol w:w="828"/>
      </w:tblGrid>
      <w:tr w:rsidR="00260042" w:rsidRPr="002869C9" w:rsidTr="00511254">
        <w:trPr>
          <w:trHeight w:val="60"/>
          <w:tblHeader/>
        </w:trPr>
        <w:tc>
          <w:tcPr>
            <w:tcW w:w="688" w:type="pct"/>
          </w:tcPr>
          <w:p w:rsidR="00260042" w:rsidRPr="002869C9" w:rsidRDefault="00260042" w:rsidP="002869C9">
            <w:pPr>
              <w:pStyle w:val="BodyText"/>
              <w:rPr>
                <w:b/>
                <w:sz w:val="20"/>
                <w:szCs w:val="20"/>
              </w:rPr>
            </w:pPr>
          </w:p>
        </w:tc>
        <w:tc>
          <w:tcPr>
            <w:tcW w:w="1276" w:type="pct"/>
            <w:gridSpan w:val="3"/>
          </w:tcPr>
          <w:p w:rsidR="00260042" w:rsidRPr="002869C9" w:rsidRDefault="00260042" w:rsidP="002869C9">
            <w:pPr>
              <w:pStyle w:val="BodyText"/>
              <w:jc w:val="center"/>
              <w:rPr>
                <w:b/>
                <w:sz w:val="20"/>
                <w:szCs w:val="20"/>
              </w:rPr>
            </w:pPr>
            <w:r w:rsidRPr="002869C9">
              <w:rPr>
                <w:b/>
                <w:sz w:val="20"/>
                <w:szCs w:val="20"/>
              </w:rPr>
              <w:t>Male</w:t>
            </w:r>
          </w:p>
        </w:tc>
        <w:tc>
          <w:tcPr>
            <w:tcW w:w="1275" w:type="pct"/>
            <w:gridSpan w:val="3"/>
          </w:tcPr>
          <w:p w:rsidR="00260042" w:rsidRPr="002869C9" w:rsidRDefault="00260042" w:rsidP="002869C9">
            <w:pPr>
              <w:pStyle w:val="BodyText"/>
              <w:jc w:val="center"/>
              <w:rPr>
                <w:b/>
                <w:sz w:val="20"/>
                <w:szCs w:val="20"/>
              </w:rPr>
            </w:pPr>
            <w:r w:rsidRPr="002869C9">
              <w:rPr>
                <w:b/>
                <w:sz w:val="20"/>
                <w:szCs w:val="20"/>
              </w:rPr>
              <w:t>Female</w:t>
            </w:r>
          </w:p>
        </w:tc>
        <w:tc>
          <w:tcPr>
            <w:tcW w:w="1378" w:type="pct"/>
            <w:gridSpan w:val="3"/>
          </w:tcPr>
          <w:p w:rsidR="00260042" w:rsidRPr="002869C9" w:rsidRDefault="00260042" w:rsidP="002869C9">
            <w:pPr>
              <w:pStyle w:val="BodyText"/>
              <w:jc w:val="center"/>
              <w:rPr>
                <w:b/>
                <w:sz w:val="20"/>
                <w:szCs w:val="20"/>
              </w:rPr>
            </w:pPr>
            <w:r w:rsidRPr="002869C9">
              <w:rPr>
                <w:b/>
                <w:sz w:val="20"/>
                <w:szCs w:val="20"/>
              </w:rPr>
              <w:t>Non-binary</w:t>
            </w:r>
          </w:p>
        </w:tc>
        <w:tc>
          <w:tcPr>
            <w:tcW w:w="384" w:type="pct"/>
          </w:tcPr>
          <w:p w:rsidR="00260042" w:rsidRPr="002869C9" w:rsidRDefault="00260042" w:rsidP="002869C9">
            <w:pPr>
              <w:pStyle w:val="BodyText"/>
              <w:jc w:val="right"/>
              <w:rPr>
                <w:b/>
                <w:sz w:val="20"/>
                <w:szCs w:val="20"/>
              </w:rPr>
            </w:pPr>
          </w:p>
        </w:tc>
      </w:tr>
      <w:tr w:rsidR="00260042" w:rsidRPr="002869C9" w:rsidTr="00511254">
        <w:trPr>
          <w:trHeight w:val="60"/>
          <w:tblHeader/>
        </w:trPr>
        <w:tc>
          <w:tcPr>
            <w:tcW w:w="688" w:type="pct"/>
          </w:tcPr>
          <w:p w:rsidR="00260042" w:rsidRPr="002869C9" w:rsidRDefault="00260042" w:rsidP="002869C9">
            <w:pPr>
              <w:pStyle w:val="BodyText"/>
              <w:rPr>
                <w:sz w:val="20"/>
                <w:szCs w:val="20"/>
              </w:rPr>
            </w:pPr>
            <w:r w:rsidRPr="002869C9">
              <w:rPr>
                <w:rStyle w:val="Bold"/>
                <w:sz w:val="20"/>
                <w:szCs w:val="20"/>
              </w:rPr>
              <w:t>Substantive classification</w:t>
            </w:r>
          </w:p>
        </w:tc>
        <w:tc>
          <w:tcPr>
            <w:tcW w:w="425" w:type="pct"/>
          </w:tcPr>
          <w:p w:rsidR="00260042" w:rsidRPr="002869C9" w:rsidRDefault="00260042" w:rsidP="002869C9">
            <w:pPr>
              <w:pStyle w:val="BodyText"/>
              <w:jc w:val="right"/>
              <w:rPr>
                <w:sz w:val="20"/>
                <w:szCs w:val="20"/>
              </w:rPr>
            </w:pPr>
            <w:r w:rsidRPr="002869C9">
              <w:rPr>
                <w:rStyle w:val="Bold"/>
                <w:sz w:val="20"/>
                <w:szCs w:val="20"/>
              </w:rPr>
              <w:t>Full-time</w:t>
            </w:r>
          </w:p>
        </w:tc>
        <w:tc>
          <w:tcPr>
            <w:tcW w:w="425" w:type="pct"/>
          </w:tcPr>
          <w:p w:rsidR="00260042" w:rsidRPr="002869C9" w:rsidRDefault="00260042" w:rsidP="002869C9">
            <w:pPr>
              <w:pStyle w:val="BodyText"/>
              <w:jc w:val="right"/>
              <w:rPr>
                <w:sz w:val="20"/>
                <w:szCs w:val="20"/>
              </w:rPr>
            </w:pPr>
            <w:r w:rsidRPr="002869C9">
              <w:rPr>
                <w:rStyle w:val="Bold"/>
                <w:sz w:val="20"/>
                <w:szCs w:val="20"/>
              </w:rPr>
              <w:t>Part-time</w:t>
            </w:r>
          </w:p>
        </w:tc>
        <w:tc>
          <w:tcPr>
            <w:tcW w:w="426" w:type="pct"/>
          </w:tcPr>
          <w:p w:rsidR="00260042" w:rsidRPr="002869C9" w:rsidRDefault="00260042" w:rsidP="002869C9">
            <w:pPr>
              <w:pStyle w:val="BodyText"/>
              <w:jc w:val="right"/>
              <w:rPr>
                <w:sz w:val="20"/>
                <w:szCs w:val="20"/>
              </w:rPr>
            </w:pPr>
            <w:r w:rsidRPr="002869C9">
              <w:rPr>
                <w:rStyle w:val="Bold"/>
                <w:sz w:val="20"/>
                <w:szCs w:val="20"/>
              </w:rPr>
              <w:t>Total Male</w:t>
            </w:r>
          </w:p>
        </w:tc>
        <w:tc>
          <w:tcPr>
            <w:tcW w:w="425" w:type="pct"/>
          </w:tcPr>
          <w:p w:rsidR="00260042" w:rsidRPr="002869C9" w:rsidRDefault="00260042" w:rsidP="002869C9">
            <w:pPr>
              <w:pStyle w:val="BodyText"/>
              <w:jc w:val="right"/>
              <w:rPr>
                <w:sz w:val="20"/>
                <w:szCs w:val="20"/>
              </w:rPr>
            </w:pPr>
            <w:r w:rsidRPr="002869C9">
              <w:rPr>
                <w:rStyle w:val="Bold"/>
                <w:sz w:val="20"/>
                <w:szCs w:val="20"/>
              </w:rPr>
              <w:t>Full-time</w:t>
            </w:r>
          </w:p>
        </w:tc>
        <w:tc>
          <w:tcPr>
            <w:tcW w:w="425" w:type="pct"/>
          </w:tcPr>
          <w:p w:rsidR="00260042" w:rsidRPr="002869C9" w:rsidRDefault="00260042" w:rsidP="002869C9">
            <w:pPr>
              <w:pStyle w:val="BodyText"/>
              <w:jc w:val="right"/>
              <w:rPr>
                <w:sz w:val="20"/>
                <w:szCs w:val="20"/>
              </w:rPr>
            </w:pPr>
            <w:r w:rsidRPr="002869C9">
              <w:rPr>
                <w:rStyle w:val="Bold"/>
                <w:sz w:val="20"/>
                <w:szCs w:val="20"/>
              </w:rPr>
              <w:t>Part-time</w:t>
            </w:r>
          </w:p>
        </w:tc>
        <w:tc>
          <w:tcPr>
            <w:tcW w:w="425" w:type="pct"/>
          </w:tcPr>
          <w:p w:rsidR="00260042" w:rsidRPr="002869C9" w:rsidRDefault="00260042" w:rsidP="002869C9">
            <w:pPr>
              <w:pStyle w:val="BodyText"/>
              <w:jc w:val="right"/>
              <w:rPr>
                <w:sz w:val="20"/>
                <w:szCs w:val="20"/>
              </w:rPr>
            </w:pPr>
            <w:r w:rsidRPr="002869C9">
              <w:rPr>
                <w:rStyle w:val="Bold"/>
                <w:sz w:val="20"/>
                <w:szCs w:val="20"/>
              </w:rPr>
              <w:t>Total Female</w:t>
            </w:r>
          </w:p>
        </w:tc>
        <w:tc>
          <w:tcPr>
            <w:tcW w:w="425" w:type="pct"/>
          </w:tcPr>
          <w:p w:rsidR="00260042" w:rsidRPr="002869C9" w:rsidRDefault="00260042" w:rsidP="002869C9">
            <w:pPr>
              <w:pStyle w:val="BodyText"/>
              <w:jc w:val="right"/>
              <w:rPr>
                <w:sz w:val="20"/>
                <w:szCs w:val="20"/>
              </w:rPr>
            </w:pPr>
            <w:r w:rsidRPr="002869C9">
              <w:rPr>
                <w:rStyle w:val="Bold"/>
                <w:sz w:val="20"/>
                <w:szCs w:val="20"/>
              </w:rPr>
              <w:t>Full-time</w:t>
            </w:r>
          </w:p>
        </w:tc>
        <w:tc>
          <w:tcPr>
            <w:tcW w:w="425" w:type="pct"/>
          </w:tcPr>
          <w:p w:rsidR="00260042" w:rsidRPr="002869C9" w:rsidRDefault="00260042" w:rsidP="002869C9">
            <w:pPr>
              <w:pStyle w:val="BodyText"/>
              <w:jc w:val="right"/>
              <w:rPr>
                <w:sz w:val="20"/>
                <w:szCs w:val="20"/>
              </w:rPr>
            </w:pPr>
            <w:r w:rsidRPr="002869C9">
              <w:rPr>
                <w:rStyle w:val="Bold"/>
                <w:sz w:val="20"/>
                <w:szCs w:val="20"/>
              </w:rPr>
              <w:t>Part-time</w:t>
            </w:r>
          </w:p>
        </w:tc>
        <w:tc>
          <w:tcPr>
            <w:tcW w:w="528" w:type="pct"/>
          </w:tcPr>
          <w:p w:rsidR="00260042" w:rsidRPr="002869C9" w:rsidRDefault="00260042" w:rsidP="002869C9">
            <w:pPr>
              <w:pStyle w:val="BodyText"/>
              <w:jc w:val="right"/>
              <w:rPr>
                <w:sz w:val="20"/>
                <w:szCs w:val="20"/>
              </w:rPr>
            </w:pPr>
            <w:r w:rsidRPr="002869C9">
              <w:rPr>
                <w:rStyle w:val="Bold"/>
                <w:sz w:val="20"/>
                <w:szCs w:val="20"/>
              </w:rPr>
              <w:t xml:space="preserve">Total </w:t>
            </w:r>
            <w:r w:rsidRPr="002869C9">
              <w:rPr>
                <w:rStyle w:val="Bold"/>
                <w:spacing w:val="-4"/>
                <w:sz w:val="20"/>
                <w:szCs w:val="20"/>
              </w:rPr>
              <w:t>Non-binary</w:t>
            </w:r>
          </w:p>
        </w:tc>
        <w:tc>
          <w:tcPr>
            <w:tcW w:w="384" w:type="pct"/>
          </w:tcPr>
          <w:p w:rsidR="00260042" w:rsidRPr="002869C9" w:rsidRDefault="00260042" w:rsidP="002869C9">
            <w:pPr>
              <w:pStyle w:val="BodyText"/>
              <w:jc w:val="right"/>
              <w:rPr>
                <w:sz w:val="20"/>
                <w:szCs w:val="20"/>
              </w:rPr>
            </w:pPr>
            <w:r w:rsidRPr="002869C9">
              <w:rPr>
                <w:rStyle w:val="Bold"/>
                <w:sz w:val="20"/>
                <w:szCs w:val="20"/>
              </w:rPr>
              <w:t>Total</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SES 3</w:t>
            </w:r>
          </w:p>
        </w:tc>
        <w:tc>
          <w:tcPr>
            <w:tcW w:w="425" w:type="pct"/>
          </w:tcPr>
          <w:p w:rsidR="00260042" w:rsidRPr="002869C9" w:rsidRDefault="00260042" w:rsidP="002869C9">
            <w:pPr>
              <w:pStyle w:val="BodyText"/>
              <w:jc w:val="right"/>
              <w:rPr>
                <w:sz w:val="20"/>
                <w:szCs w:val="20"/>
              </w:rPr>
            </w:pPr>
            <w:r w:rsidRPr="002869C9">
              <w:rPr>
                <w:sz w:val="20"/>
                <w:szCs w:val="20"/>
              </w:rPr>
              <w:t>2</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6" w:type="pct"/>
          </w:tcPr>
          <w:p w:rsidR="00260042" w:rsidRPr="002869C9" w:rsidRDefault="00260042" w:rsidP="002869C9">
            <w:pPr>
              <w:pStyle w:val="BodyText"/>
              <w:jc w:val="right"/>
              <w:rPr>
                <w:sz w:val="20"/>
                <w:szCs w:val="20"/>
              </w:rPr>
            </w:pPr>
            <w:r w:rsidRPr="002869C9">
              <w:rPr>
                <w:sz w:val="20"/>
                <w:szCs w:val="20"/>
              </w:rPr>
              <w:t>2</w:t>
            </w:r>
          </w:p>
        </w:tc>
        <w:tc>
          <w:tcPr>
            <w:tcW w:w="425" w:type="pct"/>
          </w:tcPr>
          <w:p w:rsidR="00260042" w:rsidRPr="002869C9" w:rsidRDefault="00260042" w:rsidP="002869C9">
            <w:pPr>
              <w:pStyle w:val="BodyText"/>
              <w:jc w:val="right"/>
              <w:rPr>
                <w:sz w:val="20"/>
                <w:szCs w:val="20"/>
              </w:rPr>
            </w:pPr>
            <w:r w:rsidRPr="002869C9">
              <w:rPr>
                <w:sz w:val="20"/>
                <w:szCs w:val="20"/>
              </w:rPr>
              <w:t>3</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5" w:type="pct"/>
          </w:tcPr>
          <w:p w:rsidR="00260042" w:rsidRPr="002869C9" w:rsidRDefault="00260042" w:rsidP="002869C9">
            <w:pPr>
              <w:pStyle w:val="BodyText"/>
              <w:jc w:val="right"/>
              <w:rPr>
                <w:sz w:val="20"/>
                <w:szCs w:val="20"/>
              </w:rPr>
            </w:pPr>
            <w:r w:rsidRPr="002869C9">
              <w:rPr>
                <w:sz w:val="20"/>
                <w:szCs w:val="20"/>
              </w:rPr>
              <w:t>3</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0</w:t>
            </w:r>
          </w:p>
        </w:tc>
        <w:tc>
          <w:tcPr>
            <w:tcW w:w="384" w:type="pct"/>
          </w:tcPr>
          <w:p w:rsidR="00260042" w:rsidRPr="002869C9" w:rsidRDefault="00260042" w:rsidP="002869C9">
            <w:pPr>
              <w:pStyle w:val="BodyText"/>
              <w:jc w:val="right"/>
              <w:rPr>
                <w:sz w:val="20"/>
                <w:szCs w:val="20"/>
              </w:rPr>
            </w:pPr>
            <w:r w:rsidRPr="002869C9">
              <w:rPr>
                <w:rStyle w:val="01bodybold"/>
                <w:sz w:val="20"/>
                <w:szCs w:val="20"/>
              </w:rPr>
              <w:t>5</w:t>
            </w:r>
          </w:p>
        </w:tc>
      </w:tr>
      <w:tr w:rsidR="00260042" w:rsidRPr="002869C9" w:rsidTr="00511254">
        <w:trPr>
          <w:trHeight w:val="305"/>
        </w:trPr>
        <w:tc>
          <w:tcPr>
            <w:tcW w:w="688" w:type="pct"/>
          </w:tcPr>
          <w:p w:rsidR="00260042" w:rsidRPr="002869C9" w:rsidRDefault="00260042" w:rsidP="002869C9">
            <w:pPr>
              <w:pStyle w:val="BodyText"/>
              <w:rPr>
                <w:sz w:val="20"/>
                <w:szCs w:val="20"/>
              </w:rPr>
            </w:pPr>
            <w:r w:rsidRPr="002869C9">
              <w:rPr>
                <w:sz w:val="20"/>
                <w:szCs w:val="20"/>
              </w:rPr>
              <w:lastRenderedPageBreak/>
              <w:t>SES 2</w:t>
            </w:r>
          </w:p>
        </w:tc>
        <w:tc>
          <w:tcPr>
            <w:tcW w:w="425" w:type="pct"/>
          </w:tcPr>
          <w:p w:rsidR="00260042" w:rsidRPr="002869C9" w:rsidRDefault="00260042" w:rsidP="002869C9">
            <w:pPr>
              <w:pStyle w:val="BodyText"/>
              <w:jc w:val="right"/>
              <w:rPr>
                <w:sz w:val="20"/>
                <w:szCs w:val="20"/>
              </w:rPr>
            </w:pPr>
            <w:r w:rsidRPr="002869C9">
              <w:rPr>
                <w:sz w:val="20"/>
                <w:szCs w:val="20"/>
              </w:rPr>
              <w:t>15</w:t>
            </w:r>
          </w:p>
        </w:tc>
        <w:tc>
          <w:tcPr>
            <w:tcW w:w="425" w:type="pct"/>
          </w:tcPr>
          <w:p w:rsidR="00260042" w:rsidRPr="002869C9" w:rsidRDefault="00260042" w:rsidP="002869C9">
            <w:pPr>
              <w:pStyle w:val="BodyText"/>
              <w:jc w:val="right"/>
              <w:rPr>
                <w:sz w:val="20"/>
                <w:szCs w:val="20"/>
              </w:rPr>
            </w:pPr>
            <w:r w:rsidRPr="002869C9">
              <w:rPr>
                <w:sz w:val="20"/>
                <w:szCs w:val="20"/>
              </w:rPr>
              <w:t>2</w:t>
            </w:r>
          </w:p>
        </w:tc>
        <w:tc>
          <w:tcPr>
            <w:tcW w:w="426" w:type="pct"/>
          </w:tcPr>
          <w:p w:rsidR="00260042" w:rsidRPr="002869C9" w:rsidRDefault="00260042" w:rsidP="002869C9">
            <w:pPr>
              <w:pStyle w:val="BodyText"/>
              <w:jc w:val="right"/>
              <w:rPr>
                <w:sz w:val="20"/>
                <w:szCs w:val="20"/>
              </w:rPr>
            </w:pPr>
            <w:r w:rsidRPr="002869C9">
              <w:rPr>
                <w:sz w:val="20"/>
                <w:szCs w:val="20"/>
              </w:rPr>
              <w:t>17</w:t>
            </w:r>
          </w:p>
        </w:tc>
        <w:tc>
          <w:tcPr>
            <w:tcW w:w="425" w:type="pct"/>
          </w:tcPr>
          <w:p w:rsidR="00260042" w:rsidRPr="002869C9" w:rsidRDefault="00260042" w:rsidP="002869C9">
            <w:pPr>
              <w:pStyle w:val="BodyText"/>
              <w:jc w:val="right"/>
              <w:rPr>
                <w:sz w:val="20"/>
                <w:szCs w:val="20"/>
              </w:rPr>
            </w:pPr>
            <w:r w:rsidRPr="002869C9">
              <w:rPr>
                <w:sz w:val="20"/>
                <w:szCs w:val="20"/>
              </w:rPr>
              <w:t>11</w:t>
            </w:r>
          </w:p>
        </w:tc>
        <w:tc>
          <w:tcPr>
            <w:tcW w:w="425" w:type="pct"/>
          </w:tcPr>
          <w:p w:rsidR="00260042" w:rsidRPr="002869C9" w:rsidRDefault="00260042" w:rsidP="002869C9">
            <w:pPr>
              <w:pStyle w:val="BodyText"/>
              <w:jc w:val="right"/>
              <w:rPr>
                <w:sz w:val="20"/>
                <w:szCs w:val="20"/>
              </w:rPr>
            </w:pPr>
            <w:r w:rsidRPr="002869C9">
              <w:rPr>
                <w:sz w:val="20"/>
                <w:szCs w:val="20"/>
              </w:rPr>
              <w:t>1</w:t>
            </w:r>
          </w:p>
        </w:tc>
        <w:tc>
          <w:tcPr>
            <w:tcW w:w="425" w:type="pct"/>
          </w:tcPr>
          <w:p w:rsidR="00260042" w:rsidRPr="002869C9" w:rsidRDefault="00260042" w:rsidP="002869C9">
            <w:pPr>
              <w:pStyle w:val="BodyText"/>
              <w:jc w:val="right"/>
              <w:rPr>
                <w:sz w:val="20"/>
                <w:szCs w:val="20"/>
              </w:rPr>
            </w:pPr>
            <w:r w:rsidRPr="002869C9">
              <w:rPr>
                <w:sz w:val="20"/>
                <w:szCs w:val="20"/>
              </w:rPr>
              <w:t>12</w:t>
            </w:r>
          </w:p>
        </w:tc>
        <w:tc>
          <w:tcPr>
            <w:tcW w:w="425" w:type="pct"/>
          </w:tcPr>
          <w:p w:rsidR="00260042" w:rsidRPr="002869C9" w:rsidRDefault="00260042" w:rsidP="002869C9">
            <w:pPr>
              <w:pStyle w:val="BodyText"/>
              <w:jc w:val="right"/>
              <w:rPr>
                <w:sz w:val="20"/>
                <w:szCs w:val="20"/>
              </w:rPr>
            </w:pPr>
            <w:r w:rsidRPr="002869C9">
              <w:rPr>
                <w:sz w:val="20"/>
                <w:szCs w:val="20"/>
              </w:rPr>
              <w:t>1</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1</w:t>
            </w:r>
          </w:p>
        </w:tc>
        <w:tc>
          <w:tcPr>
            <w:tcW w:w="384" w:type="pct"/>
          </w:tcPr>
          <w:p w:rsidR="00260042" w:rsidRPr="002869C9" w:rsidRDefault="00260042" w:rsidP="002869C9">
            <w:pPr>
              <w:pStyle w:val="BodyText"/>
              <w:jc w:val="right"/>
              <w:rPr>
                <w:sz w:val="20"/>
                <w:szCs w:val="20"/>
              </w:rPr>
            </w:pPr>
            <w:r w:rsidRPr="002869C9">
              <w:rPr>
                <w:rStyle w:val="01bodybold"/>
                <w:sz w:val="20"/>
                <w:szCs w:val="20"/>
              </w:rPr>
              <w:t>30</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SES 1</w:t>
            </w:r>
          </w:p>
        </w:tc>
        <w:tc>
          <w:tcPr>
            <w:tcW w:w="425" w:type="pct"/>
          </w:tcPr>
          <w:p w:rsidR="00260042" w:rsidRPr="002869C9" w:rsidRDefault="00260042" w:rsidP="002869C9">
            <w:pPr>
              <w:pStyle w:val="BodyText"/>
              <w:jc w:val="right"/>
              <w:rPr>
                <w:sz w:val="20"/>
                <w:szCs w:val="20"/>
              </w:rPr>
            </w:pPr>
            <w:r w:rsidRPr="002869C9">
              <w:rPr>
                <w:sz w:val="20"/>
                <w:szCs w:val="20"/>
              </w:rPr>
              <w:t>50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6" w:type="pct"/>
          </w:tcPr>
          <w:p w:rsidR="00260042" w:rsidRPr="002869C9" w:rsidRDefault="00260042" w:rsidP="002869C9">
            <w:pPr>
              <w:pStyle w:val="BodyText"/>
              <w:jc w:val="right"/>
              <w:rPr>
                <w:sz w:val="20"/>
                <w:szCs w:val="20"/>
              </w:rPr>
            </w:pPr>
            <w:r w:rsidRPr="002869C9">
              <w:rPr>
                <w:sz w:val="20"/>
                <w:szCs w:val="20"/>
              </w:rPr>
              <w:t>50</w:t>
            </w:r>
          </w:p>
        </w:tc>
        <w:tc>
          <w:tcPr>
            <w:tcW w:w="425" w:type="pct"/>
          </w:tcPr>
          <w:p w:rsidR="00260042" w:rsidRPr="002869C9" w:rsidRDefault="00260042" w:rsidP="002869C9">
            <w:pPr>
              <w:pStyle w:val="BodyText"/>
              <w:jc w:val="right"/>
              <w:rPr>
                <w:sz w:val="20"/>
                <w:szCs w:val="20"/>
              </w:rPr>
            </w:pPr>
            <w:r w:rsidRPr="002869C9">
              <w:rPr>
                <w:sz w:val="20"/>
                <w:szCs w:val="20"/>
              </w:rPr>
              <w:t>56</w:t>
            </w:r>
          </w:p>
        </w:tc>
        <w:tc>
          <w:tcPr>
            <w:tcW w:w="425" w:type="pct"/>
          </w:tcPr>
          <w:p w:rsidR="00260042" w:rsidRPr="002869C9" w:rsidRDefault="00260042" w:rsidP="002869C9">
            <w:pPr>
              <w:pStyle w:val="BodyText"/>
              <w:jc w:val="right"/>
              <w:rPr>
                <w:sz w:val="20"/>
                <w:szCs w:val="20"/>
              </w:rPr>
            </w:pPr>
            <w:r w:rsidRPr="002869C9">
              <w:rPr>
                <w:sz w:val="20"/>
                <w:szCs w:val="20"/>
              </w:rPr>
              <w:t>1</w:t>
            </w:r>
          </w:p>
        </w:tc>
        <w:tc>
          <w:tcPr>
            <w:tcW w:w="425" w:type="pct"/>
          </w:tcPr>
          <w:p w:rsidR="00260042" w:rsidRPr="002869C9" w:rsidRDefault="00260042" w:rsidP="002869C9">
            <w:pPr>
              <w:pStyle w:val="BodyText"/>
              <w:jc w:val="right"/>
              <w:rPr>
                <w:sz w:val="20"/>
                <w:szCs w:val="20"/>
              </w:rPr>
            </w:pPr>
            <w:r w:rsidRPr="002869C9">
              <w:rPr>
                <w:sz w:val="20"/>
                <w:szCs w:val="20"/>
              </w:rPr>
              <w:t>57</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0</w:t>
            </w:r>
          </w:p>
        </w:tc>
        <w:tc>
          <w:tcPr>
            <w:tcW w:w="384" w:type="pct"/>
          </w:tcPr>
          <w:p w:rsidR="00260042" w:rsidRPr="002869C9" w:rsidRDefault="00260042" w:rsidP="002869C9">
            <w:pPr>
              <w:pStyle w:val="BodyText"/>
              <w:jc w:val="right"/>
              <w:rPr>
                <w:sz w:val="20"/>
                <w:szCs w:val="20"/>
              </w:rPr>
            </w:pPr>
            <w:r w:rsidRPr="002869C9">
              <w:rPr>
                <w:rStyle w:val="01bodybold"/>
                <w:sz w:val="20"/>
                <w:szCs w:val="20"/>
              </w:rPr>
              <w:t>107</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EL 2</w:t>
            </w:r>
          </w:p>
        </w:tc>
        <w:tc>
          <w:tcPr>
            <w:tcW w:w="425" w:type="pct"/>
          </w:tcPr>
          <w:p w:rsidR="00260042" w:rsidRPr="002869C9" w:rsidRDefault="00260042" w:rsidP="002869C9">
            <w:pPr>
              <w:pStyle w:val="BodyText"/>
              <w:jc w:val="right"/>
              <w:rPr>
                <w:sz w:val="20"/>
                <w:szCs w:val="20"/>
              </w:rPr>
            </w:pPr>
            <w:r w:rsidRPr="002869C9">
              <w:rPr>
                <w:sz w:val="20"/>
                <w:szCs w:val="20"/>
              </w:rPr>
              <w:t>388</w:t>
            </w:r>
          </w:p>
        </w:tc>
        <w:tc>
          <w:tcPr>
            <w:tcW w:w="425" w:type="pct"/>
          </w:tcPr>
          <w:p w:rsidR="00260042" w:rsidRPr="002869C9" w:rsidRDefault="00260042" w:rsidP="002869C9">
            <w:pPr>
              <w:pStyle w:val="BodyText"/>
              <w:jc w:val="right"/>
              <w:rPr>
                <w:sz w:val="20"/>
                <w:szCs w:val="20"/>
              </w:rPr>
            </w:pPr>
            <w:r w:rsidRPr="002869C9">
              <w:rPr>
                <w:sz w:val="20"/>
                <w:szCs w:val="20"/>
              </w:rPr>
              <w:t>11</w:t>
            </w:r>
          </w:p>
        </w:tc>
        <w:tc>
          <w:tcPr>
            <w:tcW w:w="426" w:type="pct"/>
          </w:tcPr>
          <w:p w:rsidR="00260042" w:rsidRPr="002869C9" w:rsidRDefault="00260042" w:rsidP="002869C9">
            <w:pPr>
              <w:pStyle w:val="BodyText"/>
              <w:jc w:val="right"/>
              <w:rPr>
                <w:sz w:val="20"/>
                <w:szCs w:val="20"/>
              </w:rPr>
            </w:pPr>
            <w:r w:rsidRPr="002869C9">
              <w:rPr>
                <w:sz w:val="20"/>
                <w:szCs w:val="20"/>
              </w:rPr>
              <w:t>399</w:t>
            </w:r>
          </w:p>
        </w:tc>
        <w:tc>
          <w:tcPr>
            <w:tcW w:w="425" w:type="pct"/>
          </w:tcPr>
          <w:p w:rsidR="00260042" w:rsidRPr="002869C9" w:rsidRDefault="00260042" w:rsidP="002869C9">
            <w:pPr>
              <w:pStyle w:val="BodyText"/>
              <w:jc w:val="right"/>
              <w:rPr>
                <w:sz w:val="20"/>
                <w:szCs w:val="20"/>
              </w:rPr>
            </w:pPr>
            <w:r w:rsidRPr="002869C9">
              <w:rPr>
                <w:sz w:val="20"/>
                <w:szCs w:val="20"/>
              </w:rPr>
              <w:t>398</w:t>
            </w:r>
          </w:p>
        </w:tc>
        <w:tc>
          <w:tcPr>
            <w:tcW w:w="425" w:type="pct"/>
          </w:tcPr>
          <w:p w:rsidR="00260042" w:rsidRPr="002869C9" w:rsidRDefault="00260042" w:rsidP="002869C9">
            <w:pPr>
              <w:pStyle w:val="BodyText"/>
              <w:jc w:val="right"/>
              <w:rPr>
                <w:sz w:val="20"/>
                <w:szCs w:val="20"/>
              </w:rPr>
            </w:pPr>
            <w:r w:rsidRPr="002869C9">
              <w:rPr>
                <w:sz w:val="20"/>
                <w:szCs w:val="20"/>
              </w:rPr>
              <w:t>45</w:t>
            </w:r>
          </w:p>
        </w:tc>
        <w:tc>
          <w:tcPr>
            <w:tcW w:w="425" w:type="pct"/>
          </w:tcPr>
          <w:p w:rsidR="00260042" w:rsidRPr="002869C9" w:rsidRDefault="00260042" w:rsidP="002869C9">
            <w:pPr>
              <w:pStyle w:val="BodyText"/>
              <w:jc w:val="right"/>
              <w:rPr>
                <w:sz w:val="20"/>
                <w:szCs w:val="20"/>
              </w:rPr>
            </w:pPr>
            <w:r w:rsidRPr="002869C9">
              <w:rPr>
                <w:sz w:val="20"/>
                <w:szCs w:val="20"/>
              </w:rPr>
              <w:t>443</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0</w:t>
            </w:r>
          </w:p>
        </w:tc>
        <w:tc>
          <w:tcPr>
            <w:tcW w:w="384" w:type="pct"/>
          </w:tcPr>
          <w:p w:rsidR="00260042" w:rsidRPr="002869C9" w:rsidRDefault="00260042" w:rsidP="002869C9">
            <w:pPr>
              <w:pStyle w:val="BodyText"/>
              <w:jc w:val="right"/>
              <w:rPr>
                <w:sz w:val="20"/>
                <w:szCs w:val="20"/>
              </w:rPr>
            </w:pPr>
            <w:r w:rsidRPr="002869C9">
              <w:rPr>
                <w:rStyle w:val="01bodybold"/>
                <w:sz w:val="20"/>
                <w:szCs w:val="20"/>
              </w:rPr>
              <w:t>842</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EL 1</w:t>
            </w:r>
          </w:p>
        </w:tc>
        <w:tc>
          <w:tcPr>
            <w:tcW w:w="425" w:type="pct"/>
          </w:tcPr>
          <w:p w:rsidR="00260042" w:rsidRPr="002869C9" w:rsidRDefault="00260042" w:rsidP="002869C9">
            <w:pPr>
              <w:pStyle w:val="BodyText"/>
              <w:jc w:val="right"/>
              <w:rPr>
                <w:sz w:val="20"/>
                <w:szCs w:val="20"/>
              </w:rPr>
            </w:pPr>
            <w:r w:rsidRPr="002869C9">
              <w:rPr>
                <w:sz w:val="20"/>
                <w:szCs w:val="20"/>
              </w:rPr>
              <w:t>1,050</w:t>
            </w:r>
          </w:p>
        </w:tc>
        <w:tc>
          <w:tcPr>
            <w:tcW w:w="425" w:type="pct"/>
          </w:tcPr>
          <w:p w:rsidR="00260042" w:rsidRPr="002869C9" w:rsidRDefault="00260042" w:rsidP="002869C9">
            <w:pPr>
              <w:pStyle w:val="BodyText"/>
              <w:jc w:val="right"/>
              <w:rPr>
                <w:sz w:val="20"/>
                <w:szCs w:val="20"/>
              </w:rPr>
            </w:pPr>
            <w:r w:rsidRPr="002869C9">
              <w:rPr>
                <w:sz w:val="20"/>
                <w:szCs w:val="20"/>
              </w:rPr>
              <w:t>40</w:t>
            </w:r>
          </w:p>
        </w:tc>
        <w:tc>
          <w:tcPr>
            <w:tcW w:w="426" w:type="pct"/>
          </w:tcPr>
          <w:p w:rsidR="00260042" w:rsidRPr="002869C9" w:rsidRDefault="00260042" w:rsidP="002869C9">
            <w:pPr>
              <w:pStyle w:val="BodyText"/>
              <w:jc w:val="right"/>
              <w:rPr>
                <w:sz w:val="20"/>
                <w:szCs w:val="20"/>
              </w:rPr>
            </w:pPr>
            <w:r w:rsidRPr="002869C9">
              <w:rPr>
                <w:sz w:val="20"/>
                <w:szCs w:val="20"/>
              </w:rPr>
              <w:t>1,090</w:t>
            </w:r>
          </w:p>
        </w:tc>
        <w:tc>
          <w:tcPr>
            <w:tcW w:w="425" w:type="pct"/>
          </w:tcPr>
          <w:p w:rsidR="00260042" w:rsidRPr="002869C9" w:rsidRDefault="00260042" w:rsidP="002869C9">
            <w:pPr>
              <w:pStyle w:val="BodyText"/>
              <w:jc w:val="right"/>
              <w:rPr>
                <w:sz w:val="20"/>
                <w:szCs w:val="20"/>
              </w:rPr>
            </w:pPr>
            <w:r w:rsidRPr="002869C9">
              <w:rPr>
                <w:sz w:val="20"/>
                <w:szCs w:val="20"/>
              </w:rPr>
              <w:t>1,157</w:t>
            </w:r>
          </w:p>
        </w:tc>
        <w:tc>
          <w:tcPr>
            <w:tcW w:w="425" w:type="pct"/>
          </w:tcPr>
          <w:p w:rsidR="00260042" w:rsidRPr="002869C9" w:rsidRDefault="00260042" w:rsidP="002869C9">
            <w:pPr>
              <w:pStyle w:val="BodyText"/>
              <w:jc w:val="right"/>
              <w:rPr>
                <w:sz w:val="20"/>
                <w:szCs w:val="20"/>
              </w:rPr>
            </w:pPr>
            <w:r w:rsidRPr="002869C9">
              <w:rPr>
                <w:sz w:val="20"/>
                <w:szCs w:val="20"/>
              </w:rPr>
              <w:t>281</w:t>
            </w:r>
          </w:p>
        </w:tc>
        <w:tc>
          <w:tcPr>
            <w:tcW w:w="425" w:type="pct"/>
          </w:tcPr>
          <w:p w:rsidR="00260042" w:rsidRPr="002869C9" w:rsidRDefault="00260042" w:rsidP="002869C9">
            <w:pPr>
              <w:pStyle w:val="BodyText"/>
              <w:jc w:val="right"/>
              <w:rPr>
                <w:sz w:val="20"/>
                <w:szCs w:val="20"/>
              </w:rPr>
            </w:pPr>
            <w:r w:rsidRPr="002869C9">
              <w:rPr>
                <w:sz w:val="20"/>
                <w:szCs w:val="20"/>
              </w:rPr>
              <w:t>1,438</w:t>
            </w:r>
          </w:p>
        </w:tc>
        <w:tc>
          <w:tcPr>
            <w:tcW w:w="425" w:type="pct"/>
          </w:tcPr>
          <w:p w:rsidR="00260042" w:rsidRPr="002869C9" w:rsidRDefault="00260042" w:rsidP="002869C9">
            <w:pPr>
              <w:pStyle w:val="BodyText"/>
              <w:jc w:val="right"/>
              <w:rPr>
                <w:sz w:val="20"/>
                <w:szCs w:val="20"/>
              </w:rPr>
            </w:pPr>
            <w:r w:rsidRPr="002869C9">
              <w:rPr>
                <w:sz w:val="20"/>
                <w:szCs w:val="20"/>
              </w:rPr>
              <w:t>2</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2</w:t>
            </w:r>
          </w:p>
        </w:tc>
        <w:tc>
          <w:tcPr>
            <w:tcW w:w="384" w:type="pct"/>
          </w:tcPr>
          <w:p w:rsidR="00260042" w:rsidRPr="002869C9" w:rsidRDefault="00260042" w:rsidP="002869C9">
            <w:pPr>
              <w:pStyle w:val="BodyText"/>
              <w:jc w:val="right"/>
              <w:rPr>
                <w:sz w:val="20"/>
                <w:szCs w:val="20"/>
              </w:rPr>
            </w:pPr>
            <w:r w:rsidRPr="002869C9">
              <w:rPr>
                <w:rStyle w:val="01bodybold"/>
                <w:sz w:val="20"/>
                <w:szCs w:val="20"/>
              </w:rPr>
              <w:t>2,530</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APS 6</w:t>
            </w:r>
          </w:p>
        </w:tc>
        <w:tc>
          <w:tcPr>
            <w:tcW w:w="425" w:type="pct"/>
          </w:tcPr>
          <w:p w:rsidR="00260042" w:rsidRPr="002869C9" w:rsidRDefault="00260042" w:rsidP="002869C9">
            <w:pPr>
              <w:pStyle w:val="BodyText"/>
              <w:jc w:val="right"/>
              <w:rPr>
                <w:sz w:val="20"/>
                <w:szCs w:val="20"/>
              </w:rPr>
            </w:pPr>
            <w:r w:rsidRPr="002869C9">
              <w:rPr>
                <w:sz w:val="20"/>
                <w:szCs w:val="20"/>
              </w:rPr>
              <w:t>1,715</w:t>
            </w:r>
          </w:p>
        </w:tc>
        <w:tc>
          <w:tcPr>
            <w:tcW w:w="425" w:type="pct"/>
          </w:tcPr>
          <w:p w:rsidR="00260042" w:rsidRPr="002869C9" w:rsidRDefault="00260042" w:rsidP="002869C9">
            <w:pPr>
              <w:pStyle w:val="BodyText"/>
              <w:jc w:val="right"/>
              <w:rPr>
                <w:sz w:val="20"/>
                <w:szCs w:val="20"/>
              </w:rPr>
            </w:pPr>
            <w:r w:rsidRPr="002869C9">
              <w:rPr>
                <w:sz w:val="20"/>
                <w:szCs w:val="20"/>
              </w:rPr>
              <w:t>106</w:t>
            </w:r>
          </w:p>
        </w:tc>
        <w:tc>
          <w:tcPr>
            <w:tcW w:w="426" w:type="pct"/>
          </w:tcPr>
          <w:p w:rsidR="00260042" w:rsidRPr="002869C9" w:rsidRDefault="00260042" w:rsidP="002869C9">
            <w:pPr>
              <w:pStyle w:val="BodyText"/>
              <w:jc w:val="right"/>
              <w:rPr>
                <w:sz w:val="20"/>
                <w:szCs w:val="20"/>
              </w:rPr>
            </w:pPr>
            <w:r w:rsidRPr="002869C9">
              <w:rPr>
                <w:sz w:val="20"/>
                <w:szCs w:val="20"/>
              </w:rPr>
              <w:t>1,821</w:t>
            </w:r>
          </w:p>
        </w:tc>
        <w:tc>
          <w:tcPr>
            <w:tcW w:w="425" w:type="pct"/>
          </w:tcPr>
          <w:p w:rsidR="00260042" w:rsidRPr="002869C9" w:rsidRDefault="00260042" w:rsidP="002869C9">
            <w:pPr>
              <w:pStyle w:val="BodyText"/>
              <w:jc w:val="right"/>
              <w:rPr>
                <w:sz w:val="20"/>
                <w:szCs w:val="20"/>
              </w:rPr>
            </w:pPr>
            <w:r w:rsidRPr="002869C9">
              <w:rPr>
                <w:sz w:val="20"/>
                <w:szCs w:val="20"/>
              </w:rPr>
              <w:t>2,462</w:t>
            </w:r>
          </w:p>
        </w:tc>
        <w:tc>
          <w:tcPr>
            <w:tcW w:w="425" w:type="pct"/>
          </w:tcPr>
          <w:p w:rsidR="00260042" w:rsidRPr="002869C9" w:rsidRDefault="00260042" w:rsidP="002869C9">
            <w:pPr>
              <w:pStyle w:val="BodyText"/>
              <w:jc w:val="right"/>
              <w:rPr>
                <w:sz w:val="20"/>
                <w:szCs w:val="20"/>
              </w:rPr>
            </w:pPr>
            <w:r w:rsidRPr="002869C9">
              <w:rPr>
                <w:sz w:val="20"/>
                <w:szCs w:val="20"/>
              </w:rPr>
              <w:t>1,167</w:t>
            </w:r>
          </w:p>
        </w:tc>
        <w:tc>
          <w:tcPr>
            <w:tcW w:w="425" w:type="pct"/>
          </w:tcPr>
          <w:p w:rsidR="00260042" w:rsidRPr="002869C9" w:rsidRDefault="00260042" w:rsidP="002869C9">
            <w:pPr>
              <w:pStyle w:val="BodyText"/>
              <w:jc w:val="right"/>
              <w:rPr>
                <w:sz w:val="20"/>
                <w:szCs w:val="20"/>
              </w:rPr>
            </w:pPr>
            <w:r w:rsidRPr="002869C9">
              <w:rPr>
                <w:sz w:val="20"/>
                <w:szCs w:val="20"/>
              </w:rPr>
              <w:t>3,629</w:t>
            </w:r>
          </w:p>
        </w:tc>
        <w:tc>
          <w:tcPr>
            <w:tcW w:w="425" w:type="pct"/>
          </w:tcPr>
          <w:p w:rsidR="00260042" w:rsidRPr="002869C9" w:rsidRDefault="00260042" w:rsidP="002869C9">
            <w:pPr>
              <w:pStyle w:val="BodyText"/>
              <w:jc w:val="right"/>
              <w:rPr>
                <w:sz w:val="20"/>
                <w:szCs w:val="20"/>
              </w:rPr>
            </w:pPr>
            <w:r w:rsidRPr="002869C9">
              <w:rPr>
                <w:sz w:val="20"/>
                <w:szCs w:val="20"/>
              </w:rPr>
              <w:t>6</w:t>
            </w:r>
          </w:p>
        </w:tc>
        <w:tc>
          <w:tcPr>
            <w:tcW w:w="425" w:type="pct"/>
          </w:tcPr>
          <w:p w:rsidR="00260042" w:rsidRPr="002869C9" w:rsidRDefault="00260042" w:rsidP="002869C9">
            <w:pPr>
              <w:pStyle w:val="BodyText"/>
              <w:jc w:val="right"/>
              <w:rPr>
                <w:sz w:val="20"/>
                <w:szCs w:val="20"/>
              </w:rPr>
            </w:pPr>
            <w:r w:rsidRPr="002869C9">
              <w:rPr>
                <w:sz w:val="20"/>
                <w:szCs w:val="20"/>
              </w:rPr>
              <w:t>1</w:t>
            </w:r>
          </w:p>
        </w:tc>
        <w:tc>
          <w:tcPr>
            <w:tcW w:w="528" w:type="pct"/>
          </w:tcPr>
          <w:p w:rsidR="00260042" w:rsidRPr="002869C9" w:rsidRDefault="00260042" w:rsidP="002869C9">
            <w:pPr>
              <w:pStyle w:val="BodyText"/>
              <w:jc w:val="right"/>
              <w:rPr>
                <w:sz w:val="20"/>
                <w:szCs w:val="20"/>
              </w:rPr>
            </w:pPr>
            <w:r w:rsidRPr="002869C9">
              <w:rPr>
                <w:sz w:val="20"/>
                <w:szCs w:val="20"/>
              </w:rPr>
              <w:t>7</w:t>
            </w:r>
          </w:p>
        </w:tc>
        <w:tc>
          <w:tcPr>
            <w:tcW w:w="384" w:type="pct"/>
          </w:tcPr>
          <w:p w:rsidR="00260042" w:rsidRPr="002869C9" w:rsidRDefault="00260042" w:rsidP="002869C9">
            <w:pPr>
              <w:pStyle w:val="BodyText"/>
              <w:jc w:val="right"/>
              <w:rPr>
                <w:sz w:val="20"/>
                <w:szCs w:val="20"/>
              </w:rPr>
            </w:pPr>
            <w:r w:rsidRPr="002869C9">
              <w:rPr>
                <w:rStyle w:val="01bodybold"/>
                <w:sz w:val="20"/>
                <w:szCs w:val="20"/>
              </w:rPr>
              <w:t>5,457</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APS 5</w:t>
            </w:r>
          </w:p>
        </w:tc>
        <w:tc>
          <w:tcPr>
            <w:tcW w:w="425" w:type="pct"/>
          </w:tcPr>
          <w:p w:rsidR="00260042" w:rsidRPr="002869C9" w:rsidRDefault="00260042" w:rsidP="002869C9">
            <w:pPr>
              <w:pStyle w:val="BodyText"/>
              <w:jc w:val="right"/>
              <w:rPr>
                <w:sz w:val="20"/>
                <w:szCs w:val="20"/>
              </w:rPr>
            </w:pPr>
            <w:r w:rsidRPr="002869C9">
              <w:rPr>
                <w:sz w:val="20"/>
                <w:szCs w:val="20"/>
              </w:rPr>
              <w:t>1,025</w:t>
            </w:r>
          </w:p>
        </w:tc>
        <w:tc>
          <w:tcPr>
            <w:tcW w:w="425" w:type="pct"/>
          </w:tcPr>
          <w:p w:rsidR="00260042" w:rsidRPr="002869C9" w:rsidRDefault="00260042" w:rsidP="002869C9">
            <w:pPr>
              <w:pStyle w:val="BodyText"/>
              <w:jc w:val="right"/>
              <w:rPr>
                <w:sz w:val="20"/>
                <w:szCs w:val="20"/>
              </w:rPr>
            </w:pPr>
            <w:r w:rsidRPr="002869C9">
              <w:rPr>
                <w:sz w:val="20"/>
                <w:szCs w:val="20"/>
              </w:rPr>
              <w:t>56</w:t>
            </w:r>
          </w:p>
        </w:tc>
        <w:tc>
          <w:tcPr>
            <w:tcW w:w="426" w:type="pct"/>
          </w:tcPr>
          <w:p w:rsidR="00260042" w:rsidRPr="002869C9" w:rsidRDefault="00260042" w:rsidP="002869C9">
            <w:pPr>
              <w:pStyle w:val="BodyText"/>
              <w:jc w:val="right"/>
              <w:rPr>
                <w:sz w:val="20"/>
                <w:szCs w:val="20"/>
              </w:rPr>
            </w:pPr>
            <w:r w:rsidRPr="002869C9">
              <w:rPr>
                <w:sz w:val="20"/>
                <w:szCs w:val="20"/>
              </w:rPr>
              <w:t>1,081</w:t>
            </w:r>
          </w:p>
        </w:tc>
        <w:tc>
          <w:tcPr>
            <w:tcW w:w="425" w:type="pct"/>
          </w:tcPr>
          <w:p w:rsidR="00260042" w:rsidRPr="002869C9" w:rsidRDefault="00260042" w:rsidP="002869C9">
            <w:pPr>
              <w:pStyle w:val="BodyText"/>
              <w:jc w:val="right"/>
              <w:rPr>
                <w:sz w:val="20"/>
                <w:szCs w:val="20"/>
              </w:rPr>
            </w:pPr>
            <w:r w:rsidRPr="002869C9">
              <w:rPr>
                <w:sz w:val="20"/>
                <w:szCs w:val="20"/>
              </w:rPr>
              <w:t>1,741</w:t>
            </w:r>
          </w:p>
        </w:tc>
        <w:tc>
          <w:tcPr>
            <w:tcW w:w="425" w:type="pct"/>
          </w:tcPr>
          <w:p w:rsidR="00260042" w:rsidRPr="002869C9" w:rsidRDefault="00260042" w:rsidP="002869C9">
            <w:pPr>
              <w:pStyle w:val="BodyText"/>
              <w:jc w:val="right"/>
              <w:rPr>
                <w:sz w:val="20"/>
                <w:szCs w:val="20"/>
              </w:rPr>
            </w:pPr>
            <w:r w:rsidRPr="002869C9">
              <w:rPr>
                <w:sz w:val="20"/>
                <w:szCs w:val="20"/>
              </w:rPr>
              <w:t>571</w:t>
            </w:r>
          </w:p>
        </w:tc>
        <w:tc>
          <w:tcPr>
            <w:tcW w:w="425" w:type="pct"/>
          </w:tcPr>
          <w:p w:rsidR="00260042" w:rsidRPr="002869C9" w:rsidRDefault="00260042" w:rsidP="002869C9">
            <w:pPr>
              <w:pStyle w:val="BodyText"/>
              <w:jc w:val="right"/>
              <w:rPr>
                <w:sz w:val="20"/>
                <w:szCs w:val="20"/>
              </w:rPr>
            </w:pPr>
            <w:r w:rsidRPr="002869C9">
              <w:rPr>
                <w:sz w:val="20"/>
                <w:szCs w:val="20"/>
              </w:rPr>
              <w:t>2,312</w:t>
            </w:r>
          </w:p>
        </w:tc>
        <w:tc>
          <w:tcPr>
            <w:tcW w:w="425" w:type="pct"/>
          </w:tcPr>
          <w:p w:rsidR="00260042" w:rsidRPr="002869C9" w:rsidRDefault="00260042" w:rsidP="002869C9">
            <w:pPr>
              <w:pStyle w:val="BodyText"/>
              <w:jc w:val="right"/>
              <w:rPr>
                <w:sz w:val="20"/>
                <w:szCs w:val="20"/>
              </w:rPr>
            </w:pPr>
            <w:r w:rsidRPr="002869C9">
              <w:rPr>
                <w:sz w:val="20"/>
                <w:szCs w:val="20"/>
              </w:rPr>
              <w:t>8</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8</w:t>
            </w:r>
          </w:p>
        </w:tc>
        <w:tc>
          <w:tcPr>
            <w:tcW w:w="384" w:type="pct"/>
          </w:tcPr>
          <w:p w:rsidR="00260042" w:rsidRPr="002869C9" w:rsidRDefault="00260042" w:rsidP="002869C9">
            <w:pPr>
              <w:pStyle w:val="BodyText"/>
              <w:jc w:val="right"/>
              <w:rPr>
                <w:sz w:val="20"/>
                <w:szCs w:val="20"/>
              </w:rPr>
            </w:pPr>
            <w:r w:rsidRPr="002869C9">
              <w:rPr>
                <w:rStyle w:val="01bodybold"/>
                <w:sz w:val="20"/>
                <w:szCs w:val="20"/>
              </w:rPr>
              <w:t>3,401</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APS 4</w:t>
            </w:r>
          </w:p>
        </w:tc>
        <w:tc>
          <w:tcPr>
            <w:tcW w:w="425" w:type="pct"/>
          </w:tcPr>
          <w:p w:rsidR="00260042" w:rsidRPr="002869C9" w:rsidRDefault="00260042" w:rsidP="002869C9">
            <w:pPr>
              <w:pStyle w:val="BodyText"/>
              <w:jc w:val="right"/>
              <w:rPr>
                <w:sz w:val="20"/>
                <w:szCs w:val="20"/>
              </w:rPr>
            </w:pPr>
            <w:r w:rsidRPr="002869C9">
              <w:rPr>
                <w:sz w:val="20"/>
                <w:szCs w:val="20"/>
              </w:rPr>
              <w:t>2,312</w:t>
            </w:r>
          </w:p>
        </w:tc>
        <w:tc>
          <w:tcPr>
            <w:tcW w:w="425" w:type="pct"/>
          </w:tcPr>
          <w:p w:rsidR="00260042" w:rsidRPr="002869C9" w:rsidRDefault="00260042" w:rsidP="002869C9">
            <w:pPr>
              <w:pStyle w:val="BodyText"/>
              <w:jc w:val="right"/>
              <w:rPr>
                <w:sz w:val="20"/>
                <w:szCs w:val="20"/>
              </w:rPr>
            </w:pPr>
            <w:r w:rsidRPr="002869C9">
              <w:rPr>
                <w:sz w:val="20"/>
                <w:szCs w:val="20"/>
              </w:rPr>
              <w:t>390</w:t>
            </w:r>
          </w:p>
        </w:tc>
        <w:tc>
          <w:tcPr>
            <w:tcW w:w="426" w:type="pct"/>
          </w:tcPr>
          <w:p w:rsidR="00260042" w:rsidRPr="002869C9" w:rsidRDefault="00260042" w:rsidP="002869C9">
            <w:pPr>
              <w:pStyle w:val="BodyText"/>
              <w:jc w:val="right"/>
              <w:rPr>
                <w:sz w:val="20"/>
                <w:szCs w:val="20"/>
              </w:rPr>
            </w:pPr>
            <w:r w:rsidRPr="002869C9">
              <w:rPr>
                <w:sz w:val="20"/>
                <w:szCs w:val="20"/>
              </w:rPr>
              <w:t>2,702</w:t>
            </w:r>
          </w:p>
        </w:tc>
        <w:tc>
          <w:tcPr>
            <w:tcW w:w="425" w:type="pct"/>
          </w:tcPr>
          <w:p w:rsidR="00260042" w:rsidRPr="002869C9" w:rsidRDefault="00260042" w:rsidP="002869C9">
            <w:pPr>
              <w:pStyle w:val="BodyText"/>
              <w:jc w:val="right"/>
              <w:rPr>
                <w:sz w:val="20"/>
                <w:szCs w:val="20"/>
              </w:rPr>
            </w:pPr>
            <w:r w:rsidRPr="002869C9">
              <w:rPr>
                <w:sz w:val="20"/>
                <w:szCs w:val="20"/>
              </w:rPr>
              <w:t>5,143</w:t>
            </w:r>
          </w:p>
        </w:tc>
        <w:tc>
          <w:tcPr>
            <w:tcW w:w="425" w:type="pct"/>
          </w:tcPr>
          <w:p w:rsidR="00260042" w:rsidRPr="002869C9" w:rsidRDefault="00260042" w:rsidP="002869C9">
            <w:pPr>
              <w:pStyle w:val="BodyText"/>
              <w:jc w:val="right"/>
              <w:rPr>
                <w:sz w:val="20"/>
                <w:szCs w:val="20"/>
              </w:rPr>
            </w:pPr>
            <w:r w:rsidRPr="002869C9">
              <w:rPr>
                <w:sz w:val="20"/>
                <w:szCs w:val="20"/>
              </w:rPr>
              <w:t>4,014</w:t>
            </w:r>
          </w:p>
        </w:tc>
        <w:tc>
          <w:tcPr>
            <w:tcW w:w="425" w:type="pct"/>
          </w:tcPr>
          <w:p w:rsidR="00260042" w:rsidRPr="002869C9" w:rsidRDefault="00260042" w:rsidP="002869C9">
            <w:pPr>
              <w:pStyle w:val="BodyText"/>
              <w:jc w:val="right"/>
              <w:rPr>
                <w:sz w:val="20"/>
                <w:szCs w:val="20"/>
              </w:rPr>
            </w:pPr>
            <w:r w:rsidRPr="002869C9">
              <w:rPr>
                <w:sz w:val="20"/>
                <w:szCs w:val="20"/>
              </w:rPr>
              <w:t>9,157</w:t>
            </w:r>
          </w:p>
        </w:tc>
        <w:tc>
          <w:tcPr>
            <w:tcW w:w="425" w:type="pct"/>
          </w:tcPr>
          <w:p w:rsidR="00260042" w:rsidRPr="002869C9" w:rsidRDefault="00260042" w:rsidP="002869C9">
            <w:pPr>
              <w:pStyle w:val="BodyText"/>
              <w:jc w:val="right"/>
              <w:rPr>
                <w:sz w:val="20"/>
                <w:szCs w:val="20"/>
              </w:rPr>
            </w:pPr>
            <w:r w:rsidRPr="002869C9">
              <w:rPr>
                <w:sz w:val="20"/>
                <w:szCs w:val="20"/>
              </w:rPr>
              <w:t>10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10</w:t>
            </w:r>
          </w:p>
        </w:tc>
        <w:tc>
          <w:tcPr>
            <w:tcW w:w="384" w:type="pct"/>
          </w:tcPr>
          <w:p w:rsidR="00260042" w:rsidRPr="002869C9" w:rsidRDefault="00260042" w:rsidP="002869C9">
            <w:pPr>
              <w:pStyle w:val="BodyText"/>
              <w:jc w:val="right"/>
              <w:rPr>
                <w:sz w:val="20"/>
                <w:szCs w:val="20"/>
              </w:rPr>
            </w:pPr>
            <w:r w:rsidRPr="002869C9">
              <w:rPr>
                <w:rStyle w:val="01bodybold"/>
                <w:sz w:val="20"/>
                <w:szCs w:val="20"/>
              </w:rPr>
              <w:t>11,869</w:t>
            </w:r>
          </w:p>
        </w:tc>
      </w:tr>
      <w:tr w:rsidR="00260042" w:rsidRPr="002869C9" w:rsidTr="00511254">
        <w:trPr>
          <w:trHeight w:val="376"/>
        </w:trPr>
        <w:tc>
          <w:tcPr>
            <w:tcW w:w="688" w:type="pct"/>
          </w:tcPr>
          <w:p w:rsidR="00260042" w:rsidRPr="002869C9" w:rsidRDefault="00260042" w:rsidP="002869C9">
            <w:pPr>
              <w:pStyle w:val="BodyText"/>
              <w:rPr>
                <w:sz w:val="20"/>
                <w:szCs w:val="20"/>
              </w:rPr>
            </w:pPr>
            <w:r w:rsidRPr="002869C9">
              <w:rPr>
                <w:sz w:val="20"/>
                <w:szCs w:val="20"/>
              </w:rPr>
              <w:t>APS 3</w:t>
            </w:r>
          </w:p>
        </w:tc>
        <w:tc>
          <w:tcPr>
            <w:tcW w:w="425" w:type="pct"/>
          </w:tcPr>
          <w:p w:rsidR="00260042" w:rsidRPr="002869C9" w:rsidRDefault="00260042" w:rsidP="002869C9">
            <w:pPr>
              <w:pStyle w:val="BodyText"/>
              <w:jc w:val="right"/>
              <w:rPr>
                <w:sz w:val="20"/>
                <w:szCs w:val="20"/>
              </w:rPr>
            </w:pPr>
            <w:r w:rsidRPr="002869C9">
              <w:rPr>
                <w:sz w:val="20"/>
                <w:szCs w:val="20"/>
              </w:rPr>
              <w:t>574</w:t>
            </w:r>
          </w:p>
        </w:tc>
        <w:tc>
          <w:tcPr>
            <w:tcW w:w="425" w:type="pct"/>
          </w:tcPr>
          <w:p w:rsidR="00260042" w:rsidRPr="002869C9" w:rsidRDefault="00260042" w:rsidP="002869C9">
            <w:pPr>
              <w:pStyle w:val="BodyText"/>
              <w:jc w:val="right"/>
              <w:rPr>
                <w:sz w:val="20"/>
                <w:szCs w:val="20"/>
              </w:rPr>
            </w:pPr>
            <w:r w:rsidRPr="002869C9">
              <w:rPr>
                <w:sz w:val="20"/>
                <w:szCs w:val="20"/>
              </w:rPr>
              <w:t>73</w:t>
            </w:r>
          </w:p>
        </w:tc>
        <w:tc>
          <w:tcPr>
            <w:tcW w:w="426" w:type="pct"/>
          </w:tcPr>
          <w:p w:rsidR="00260042" w:rsidRPr="002869C9" w:rsidRDefault="00260042" w:rsidP="002869C9">
            <w:pPr>
              <w:pStyle w:val="BodyText"/>
              <w:jc w:val="right"/>
              <w:rPr>
                <w:sz w:val="20"/>
                <w:szCs w:val="20"/>
              </w:rPr>
            </w:pPr>
            <w:r w:rsidRPr="002869C9">
              <w:rPr>
                <w:sz w:val="20"/>
                <w:szCs w:val="20"/>
              </w:rPr>
              <w:t>647</w:t>
            </w:r>
          </w:p>
        </w:tc>
        <w:tc>
          <w:tcPr>
            <w:tcW w:w="425" w:type="pct"/>
          </w:tcPr>
          <w:p w:rsidR="00260042" w:rsidRPr="002869C9" w:rsidRDefault="00260042" w:rsidP="002869C9">
            <w:pPr>
              <w:pStyle w:val="BodyText"/>
              <w:jc w:val="right"/>
              <w:rPr>
                <w:sz w:val="20"/>
                <w:szCs w:val="20"/>
              </w:rPr>
            </w:pPr>
            <w:r w:rsidRPr="002869C9">
              <w:rPr>
                <w:sz w:val="20"/>
                <w:szCs w:val="20"/>
              </w:rPr>
              <w:t>1,473</w:t>
            </w:r>
          </w:p>
        </w:tc>
        <w:tc>
          <w:tcPr>
            <w:tcW w:w="425" w:type="pct"/>
          </w:tcPr>
          <w:p w:rsidR="00260042" w:rsidRPr="002869C9" w:rsidRDefault="00260042" w:rsidP="002869C9">
            <w:pPr>
              <w:pStyle w:val="BodyText"/>
              <w:jc w:val="right"/>
              <w:rPr>
                <w:sz w:val="20"/>
                <w:szCs w:val="20"/>
              </w:rPr>
            </w:pPr>
            <w:r w:rsidRPr="002869C9">
              <w:rPr>
                <w:sz w:val="20"/>
                <w:szCs w:val="20"/>
              </w:rPr>
              <w:t>750</w:t>
            </w:r>
          </w:p>
        </w:tc>
        <w:tc>
          <w:tcPr>
            <w:tcW w:w="425" w:type="pct"/>
          </w:tcPr>
          <w:p w:rsidR="00260042" w:rsidRPr="002869C9" w:rsidRDefault="00260042" w:rsidP="002869C9">
            <w:pPr>
              <w:pStyle w:val="BodyText"/>
              <w:jc w:val="right"/>
              <w:rPr>
                <w:sz w:val="20"/>
                <w:szCs w:val="20"/>
              </w:rPr>
            </w:pPr>
            <w:r w:rsidRPr="002869C9">
              <w:rPr>
                <w:sz w:val="20"/>
                <w:szCs w:val="20"/>
              </w:rPr>
              <w:t>2,223</w:t>
            </w:r>
          </w:p>
        </w:tc>
        <w:tc>
          <w:tcPr>
            <w:tcW w:w="425" w:type="pct"/>
          </w:tcPr>
          <w:p w:rsidR="00260042" w:rsidRPr="002869C9" w:rsidRDefault="00260042" w:rsidP="002869C9">
            <w:pPr>
              <w:pStyle w:val="BodyText"/>
              <w:jc w:val="right"/>
              <w:rPr>
                <w:sz w:val="20"/>
                <w:szCs w:val="20"/>
              </w:rPr>
            </w:pPr>
            <w:r w:rsidRPr="002869C9">
              <w:rPr>
                <w:sz w:val="20"/>
                <w:szCs w:val="20"/>
              </w:rPr>
              <w:t>8</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8</w:t>
            </w:r>
          </w:p>
        </w:tc>
        <w:tc>
          <w:tcPr>
            <w:tcW w:w="384" w:type="pct"/>
          </w:tcPr>
          <w:p w:rsidR="00260042" w:rsidRPr="002869C9" w:rsidRDefault="00260042" w:rsidP="002869C9">
            <w:pPr>
              <w:pStyle w:val="BodyText"/>
              <w:jc w:val="right"/>
              <w:rPr>
                <w:sz w:val="20"/>
                <w:szCs w:val="20"/>
              </w:rPr>
            </w:pPr>
            <w:r w:rsidRPr="002869C9">
              <w:rPr>
                <w:rStyle w:val="01bodybold"/>
                <w:sz w:val="20"/>
                <w:szCs w:val="20"/>
              </w:rPr>
              <w:t>2,878</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APS 2</w:t>
            </w:r>
          </w:p>
        </w:tc>
        <w:tc>
          <w:tcPr>
            <w:tcW w:w="425" w:type="pct"/>
          </w:tcPr>
          <w:p w:rsidR="00260042" w:rsidRPr="002869C9" w:rsidRDefault="00260042" w:rsidP="002869C9">
            <w:pPr>
              <w:pStyle w:val="BodyText"/>
              <w:jc w:val="right"/>
              <w:rPr>
                <w:sz w:val="20"/>
                <w:szCs w:val="20"/>
              </w:rPr>
            </w:pPr>
            <w:r w:rsidRPr="002869C9">
              <w:rPr>
                <w:sz w:val="20"/>
                <w:szCs w:val="20"/>
              </w:rPr>
              <w:t>32</w:t>
            </w:r>
          </w:p>
        </w:tc>
        <w:tc>
          <w:tcPr>
            <w:tcW w:w="425" w:type="pct"/>
          </w:tcPr>
          <w:p w:rsidR="00260042" w:rsidRPr="002869C9" w:rsidRDefault="00260042" w:rsidP="002869C9">
            <w:pPr>
              <w:pStyle w:val="BodyText"/>
              <w:jc w:val="right"/>
              <w:rPr>
                <w:sz w:val="20"/>
                <w:szCs w:val="20"/>
              </w:rPr>
            </w:pPr>
            <w:r w:rsidRPr="002869C9">
              <w:rPr>
                <w:sz w:val="20"/>
                <w:szCs w:val="20"/>
              </w:rPr>
              <w:t>3</w:t>
            </w:r>
          </w:p>
        </w:tc>
        <w:tc>
          <w:tcPr>
            <w:tcW w:w="426" w:type="pct"/>
          </w:tcPr>
          <w:p w:rsidR="00260042" w:rsidRPr="002869C9" w:rsidRDefault="00260042" w:rsidP="002869C9">
            <w:pPr>
              <w:pStyle w:val="BodyText"/>
              <w:jc w:val="right"/>
              <w:rPr>
                <w:sz w:val="20"/>
                <w:szCs w:val="20"/>
              </w:rPr>
            </w:pPr>
            <w:r w:rsidRPr="002869C9">
              <w:rPr>
                <w:sz w:val="20"/>
                <w:szCs w:val="20"/>
              </w:rPr>
              <w:t>35</w:t>
            </w:r>
          </w:p>
        </w:tc>
        <w:tc>
          <w:tcPr>
            <w:tcW w:w="425" w:type="pct"/>
          </w:tcPr>
          <w:p w:rsidR="00260042" w:rsidRPr="002869C9" w:rsidRDefault="00260042" w:rsidP="002869C9">
            <w:pPr>
              <w:pStyle w:val="BodyText"/>
              <w:jc w:val="right"/>
              <w:rPr>
                <w:sz w:val="20"/>
                <w:szCs w:val="20"/>
              </w:rPr>
            </w:pPr>
            <w:r w:rsidRPr="002869C9">
              <w:rPr>
                <w:sz w:val="20"/>
                <w:szCs w:val="20"/>
              </w:rPr>
              <w:t>28</w:t>
            </w:r>
          </w:p>
        </w:tc>
        <w:tc>
          <w:tcPr>
            <w:tcW w:w="425" w:type="pct"/>
          </w:tcPr>
          <w:p w:rsidR="00260042" w:rsidRPr="002869C9" w:rsidRDefault="00260042" w:rsidP="002869C9">
            <w:pPr>
              <w:pStyle w:val="BodyText"/>
              <w:jc w:val="right"/>
              <w:rPr>
                <w:sz w:val="20"/>
                <w:szCs w:val="20"/>
              </w:rPr>
            </w:pPr>
            <w:r w:rsidRPr="002869C9">
              <w:rPr>
                <w:sz w:val="20"/>
                <w:szCs w:val="20"/>
              </w:rPr>
              <w:t>16</w:t>
            </w:r>
          </w:p>
        </w:tc>
        <w:tc>
          <w:tcPr>
            <w:tcW w:w="425" w:type="pct"/>
          </w:tcPr>
          <w:p w:rsidR="00260042" w:rsidRPr="002869C9" w:rsidRDefault="00260042" w:rsidP="002869C9">
            <w:pPr>
              <w:pStyle w:val="BodyText"/>
              <w:jc w:val="right"/>
              <w:rPr>
                <w:sz w:val="20"/>
                <w:szCs w:val="20"/>
              </w:rPr>
            </w:pPr>
            <w:r w:rsidRPr="002869C9">
              <w:rPr>
                <w:sz w:val="20"/>
                <w:szCs w:val="20"/>
              </w:rPr>
              <w:t>44</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0</w:t>
            </w:r>
          </w:p>
        </w:tc>
        <w:tc>
          <w:tcPr>
            <w:tcW w:w="384" w:type="pct"/>
          </w:tcPr>
          <w:p w:rsidR="00260042" w:rsidRPr="002869C9" w:rsidRDefault="00260042" w:rsidP="002869C9">
            <w:pPr>
              <w:pStyle w:val="BodyText"/>
              <w:jc w:val="right"/>
              <w:rPr>
                <w:sz w:val="20"/>
                <w:szCs w:val="20"/>
              </w:rPr>
            </w:pPr>
            <w:r w:rsidRPr="002869C9">
              <w:rPr>
                <w:rStyle w:val="01bodybold"/>
                <w:sz w:val="20"/>
                <w:szCs w:val="20"/>
              </w:rPr>
              <w:t>79</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APS 1</w:t>
            </w:r>
          </w:p>
        </w:tc>
        <w:tc>
          <w:tcPr>
            <w:tcW w:w="425" w:type="pct"/>
          </w:tcPr>
          <w:p w:rsidR="00260042" w:rsidRPr="002869C9" w:rsidRDefault="00260042" w:rsidP="002869C9">
            <w:pPr>
              <w:pStyle w:val="BodyText"/>
              <w:jc w:val="right"/>
              <w:rPr>
                <w:sz w:val="20"/>
                <w:szCs w:val="20"/>
              </w:rPr>
            </w:pPr>
            <w:r w:rsidRPr="002869C9">
              <w:rPr>
                <w:sz w:val="20"/>
                <w:szCs w:val="20"/>
              </w:rPr>
              <w:t>26</w:t>
            </w:r>
          </w:p>
        </w:tc>
        <w:tc>
          <w:tcPr>
            <w:tcW w:w="425" w:type="pct"/>
          </w:tcPr>
          <w:p w:rsidR="00260042" w:rsidRPr="002869C9" w:rsidRDefault="00260042" w:rsidP="002869C9">
            <w:pPr>
              <w:pStyle w:val="BodyText"/>
              <w:jc w:val="right"/>
              <w:rPr>
                <w:sz w:val="20"/>
                <w:szCs w:val="20"/>
              </w:rPr>
            </w:pPr>
            <w:r w:rsidRPr="002869C9">
              <w:rPr>
                <w:sz w:val="20"/>
                <w:szCs w:val="20"/>
              </w:rPr>
              <w:t>7</w:t>
            </w:r>
          </w:p>
        </w:tc>
        <w:tc>
          <w:tcPr>
            <w:tcW w:w="426" w:type="pct"/>
          </w:tcPr>
          <w:p w:rsidR="00260042" w:rsidRPr="002869C9" w:rsidRDefault="00260042" w:rsidP="002869C9">
            <w:pPr>
              <w:pStyle w:val="BodyText"/>
              <w:jc w:val="right"/>
              <w:rPr>
                <w:sz w:val="20"/>
                <w:szCs w:val="20"/>
              </w:rPr>
            </w:pPr>
            <w:r w:rsidRPr="002869C9">
              <w:rPr>
                <w:sz w:val="20"/>
                <w:szCs w:val="20"/>
              </w:rPr>
              <w:t>33</w:t>
            </w:r>
          </w:p>
        </w:tc>
        <w:tc>
          <w:tcPr>
            <w:tcW w:w="425" w:type="pct"/>
          </w:tcPr>
          <w:p w:rsidR="00260042" w:rsidRPr="002869C9" w:rsidRDefault="00260042" w:rsidP="002869C9">
            <w:pPr>
              <w:pStyle w:val="BodyText"/>
              <w:jc w:val="right"/>
              <w:rPr>
                <w:sz w:val="20"/>
                <w:szCs w:val="20"/>
              </w:rPr>
            </w:pPr>
            <w:r w:rsidRPr="002869C9">
              <w:rPr>
                <w:sz w:val="20"/>
                <w:szCs w:val="20"/>
              </w:rPr>
              <w:t>32</w:t>
            </w:r>
          </w:p>
        </w:tc>
        <w:tc>
          <w:tcPr>
            <w:tcW w:w="425" w:type="pct"/>
          </w:tcPr>
          <w:p w:rsidR="00260042" w:rsidRPr="002869C9" w:rsidRDefault="00260042" w:rsidP="002869C9">
            <w:pPr>
              <w:pStyle w:val="BodyText"/>
              <w:jc w:val="right"/>
              <w:rPr>
                <w:sz w:val="20"/>
                <w:szCs w:val="20"/>
              </w:rPr>
            </w:pPr>
            <w:r w:rsidRPr="002869C9">
              <w:rPr>
                <w:sz w:val="20"/>
                <w:szCs w:val="20"/>
              </w:rPr>
              <w:t>7</w:t>
            </w:r>
          </w:p>
        </w:tc>
        <w:tc>
          <w:tcPr>
            <w:tcW w:w="425" w:type="pct"/>
          </w:tcPr>
          <w:p w:rsidR="00260042" w:rsidRPr="002869C9" w:rsidRDefault="00260042" w:rsidP="002869C9">
            <w:pPr>
              <w:pStyle w:val="BodyText"/>
              <w:jc w:val="right"/>
              <w:rPr>
                <w:sz w:val="20"/>
                <w:szCs w:val="20"/>
              </w:rPr>
            </w:pPr>
            <w:r w:rsidRPr="002869C9">
              <w:rPr>
                <w:sz w:val="20"/>
                <w:szCs w:val="20"/>
              </w:rPr>
              <w:t>39</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0</w:t>
            </w:r>
          </w:p>
        </w:tc>
        <w:tc>
          <w:tcPr>
            <w:tcW w:w="384" w:type="pct"/>
          </w:tcPr>
          <w:p w:rsidR="00260042" w:rsidRPr="002869C9" w:rsidRDefault="00260042" w:rsidP="002869C9">
            <w:pPr>
              <w:pStyle w:val="BodyText"/>
              <w:jc w:val="right"/>
              <w:rPr>
                <w:sz w:val="20"/>
                <w:szCs w:val="20"/>
              </w:rPr>
            </w:pPr>
            <w:r w:rsidRPr="002869C9">
              <w:rPr>
                <w:rStyle w:val="01bodybold"/>
                <w:sz w:val="20"/>
                <w:szCs w:val="20"/>
              </w:rPr>
              <w:t>72</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sz w:val="20"/>
                <w:szCs w:val="20"/>
              </w:rPr>
              <w:t>Other</w:t>
            </w:r>
          </w:p>
        </w:tc>
        <w:tc>
          <w:tcPr>
            <w:tcW w:w="425" w:type="pct"/>
          </w:tcPr>
          <w:p w:rsidR="00260042" w:rsidRPr="002869C9" w:rsidRDefault="00260042" w:rsidP="002869C9">
            <w:pPr>
              <w:pStyle w:val="BodyText"/>
              <w:jc w:val="right"/>
              <w:rPr>
                <w:sz w:val="20"/>
                <w:szCs w:val="20"/>
              </w:rPr>
            </w:pPr>
            <w:r w:rsidRPr="002869C9">
              <w:rPr>
                <w:sz w:val="20"/>
                <w:szCs w:val="20"/>
              </w:rPr>
              <w:t>79</w:t>
            </w:r>
          </w:p>
        </w:tc>
        <w:tc>
          <w:tcPr>
            <w:tcW w:w="425" w:type="pct"/>
          </w:tcPr>
          <w:p w:rsidR="00260042" w:rsidRPr="002869C9" w:rsidRDefault="00260042" w:rsidP="002869C9">
            <w:pPr>
              <w:pStyle w:val="BodyText"/>
              <w:jc w:val="right"/>
              <w:rPr>
                <w:sz w:val="20"/>
                <w:szCs w:val="20"/>
              </w:rPr>
            </w:pPr>
            <w:r w:rsidRPr="002869C9">
              <w:rPr>
                <w:sz w:val="20"/>
                <w:szCs w:val="20"/>
              </w:rPr>
              <w:t>17</w:t>
            </w:r>
          </w:p>
        </w:tc>
        <w:tc>
          <w:tcPr>
            <w:tcW w:w="426" w:type="pct"/>
          </w:tcPr>
          <w:p w:rsidR="00260042" w:rsidRPr="002869C9" w:rsidRDefault="00260042" w:rsidP="002869C9">
            <w:pPr>
              <w:pStyle w:val="BodyText"/>
              <w:jc w:val="right"/>
              <w:rPr>
                <w:sz w:val="20"/>
                <w:szCs w:val="20"/>
              </w:rPr>
            </w:pPr>
            <w:r w:rsidRPr="002869C9">
              <w:rPr>
                <w:sz w:val="20"/>
                <w:szCs w:val="20"/>
              </w:rPr>
              <w:t>96</w:t>
            </w:r>
          </w:p>
        </w:tc>
        <w:tc>
          <w:tcPr>
            <w:tcW w:w="425" w:type="pct"/>
          </w:tcPr>
          <w:p w:rsidR="00260042" w:rsidRPr="002869C9" w:rsidRDefault="00260042" w:rsidP="002869C9">
            <w:pPr>
              <w:pStyle w:val="BodyText"/>
              <w:jc w:val="right"/>
              <w:rPr>
                <w:sz w:val="20"/>
                <w:szCs w:val="20"/>
              </w:rPr>
            </w:pPr>
            <w:r w:rsidRPr="002869C9">
              <w:rPr>
                <w:sz w:val="20"/>
                <w:szCs w:val="20"/>
              </w:rPr>
              <w:t>168</w:t>
            </w:r>
          </w:p>
        </w:tc>
        <w:tc>
          <w:tcPr>
            <w:tcW w:w="425" w:type="pct"/>
          </w:tcPr>
          <w:p w:rsidR="00260042" w:rsidRPr="002869C9" w:rsidRDefault="00260042" w:rsidP="002869C9">
            <w:pPr>
              <w:pStyle w:val="BodyText"/>
              <w:jc w:val="right"/>
              <w:rPr>
                <w:sz w:val="20"/>
                <w:szCs w:val="20"/>
              </w:rPr>
            </w:pPr>
            <w:r w:rsidRPr="002869C9">
              <w:rPr>
                <w:sz w:val="20"/>
                <w:szCs w:val="20"/>
              </w:rPr>
              <w:t>14</w:t>
            </w:r>
          </w:p>
        </w:tc>
        <w:tc>
          <w:tcPr>
            <w:tcW w:w="425" w:type="pct"/>
          </w:tcPr>
          <w:p w:rsidR="00260042" w:rsidRPr="002869C9" w:rsidRDefault="00260042" w:rsidP="002869C9">
            <w:pPr>
              <w:pStyle w:val="BodyText"/>
              <w:jc w:val="right"/>
              <w:rPr>
                <w:sz w:val="20"/>
                <w:szCs w:val="20"/>
              </w:rPr>
            </w:pPr>
            <w:r w:rsidRPr="002869C9">
              <w:rPr>
                <w:sz w:val="20"/>
                <w:szCs w:val="20"/>
              </w:rPr>
              <w:t>182</w:t>
            </w:r>
          </w:p>
        </w:tc>
        <w:tc>
          <w:tcPr>
            <w:tcW w:w="425" w:type="pct"/>
          </w:tcPr>
          <w:p w:rsidR="00260042" w:rsidRPr="002869C9" w:rsidRDefault="00260042" w:rsidP="002869C9">
            <w:pPr>
              <w:pStyle w:val="BodyText"/>
              <w:jc w:val="right"/>
              <w:rPr>
                <w:sz w:val="20"/>
                <w:szCs w:val="20"/>
              </w:rPr>
            </w:pPr>
            <w:r w:rsidRPr="002869C9">
              <w:rPr>
                <w:sz w:val="20"/>
                <w:szCs w:val="20"/>
              </w:rPr>
              <w:t>1</w:t>
            </w:r>
          </w:p>
        </w:tc>
        <w:tc>
          <w:tcPr>
            <w:tcW w:w="425" w:type="pct"/>
          </w:tcPr>
          <w:p w:rsidR="00260042" w:rsidRPr="002869C9" w:rsidRDefault="00260042" w:rsidP="002869C9">
            <w:pPr>
              <w:pStyle w:val="BodyText"/>
              <w:jc w:val="right"/>
              <w:rPr>
                <w:sz w:val="20"/>
                <w:szCs w:val="20"/>
              </w:rPr>
            </w:pPr>
            <w:r w:rsidRPr="002869C9">
              <w:rPr>
                <w:sz w:val="20"/>
                <w:szCs w:val="20"/>
              </w:rPr>
              <w:t>0</w:t>
            </w:r>
          </w:p>
        </w:tc>
        <w:tc>
          <w:tcPr>
            <w:tcW w:w="528" w:type="pct"/>
          </w:tcPr>
          <w:p w:rsidR="00260042" w:rsidRPr="002869C9" w:rsidRDefault="00260042" w:rsidP="002869C9">
            <w:pPr>
              <w:pStyle w:val="BodyText"/>
              <w:jc w:val="right"/>
              <w:rPr>
                <w:sz w:val="20"/>
                <w:szCs w:val="20"/>
              </w:rPr>
            </w:pPr>
            <w:r w:rsidRPr="002869C9">
              <w:rPr>
                <w:sz w:val="20"/>
                <w:szCs w:val="20"/>
              </w:rPr>
              <w:t>1</w:t>
            </w:r>
          </w:p>
        </w:tc>
        <w:tc>
          <w:tcPr>
            <w:tcW w:w="384" w:type="pct"/>
          </w:tcPr>
          <w:p w:rsidR="00260042" w:rsidRPr="002869C9" w:rsidRDefault="00260042" w:rsidP="002869C9">
            <w:pPr>
              <w:pStyle w:val="BodyText"/>
              <w:jc w:val="right"/>
              <w:rPr>
                <w:sz w:val="20"/>
                <w:szCs w:val="20"/>
              </w:rPr>
            </w:pPr>
            <w:r w:rsidRPr="002869C9">
              <w:rPr>
                <w:rStyle w:val="01bodybold"/>
                <w:sz w:val="20"/>
                <w:szCs w:val="20"/>
              </w:rPr>
              <w:t>279</w:t>
            </w:r>
          </w:p>
        </w:tc>
      </w:tr>
      <w:tr w:rsidR="00260042" w:rsidRPr="002869C9" w:rsidTr="00511254">
        <w:trPr>
          <w:trHeight w:val="60"/>
        </w:trPr>
        <w:tc>
          <w:tcPr>
            <w:tcW w:w="688" w:type="pct"/>
          </w:tcPr>
          <w:p w:rsidR="00260042" w:rsidRPr="002869C9" w:rsidRDefault="00260042" w:rsidP="002869C9">
            <w:pPr>
              <w:pStyle w:val="BodyText"/>
              <w:rPr>
                <w:sz w:val="20"/>
                <w:szCs w:val="20"/>
              </w:rPr>
            </w:pPr>
            <w:r w:rsidRPr="002869C9">
              <w:rPr>
                <w:rStyle w:val="Bold"/>
                <w:sz w:val="20"/>
                <w:szCs w:val="20"/>
              </w:rPr>
              <w:t>Total</w:t>
            </w:r>
          </w:p>
        </w:tc>
        <w:tc>
          <w:tcPr>
            <w:tcW w:w="425" w:type="pct"/>
          </w:tcPr>
          <w:p w:rsidR="00260042" w:rsidRPr="002869C9" w:rsidRDefault="00260042" w:rsidP="002869C9">
            <w:pPr>
              <w:pStyle w:val="BodyText"/>
              <w:jc w:val="right"/>
              <w:rPr>
                <w:sz w:val="20"/>
                <w:szCs w:val="20"/>
              </w:rPr>
            </w:pPr>
            <w:r w:rsidRPr="002869C9">
              <w:rPr>
                <w:rStyle w:val="Bold"/>
                <w:sz w:val="20"/>
                <w:szCs w:val="20"/>
              </w:rPr>
              <w:t>7,268</w:t>
            </w:r>
          </w:p>
        </w:tc>
        <w:tc>
          <w:tcPr>
            <w:tcW w:w="425" w:type="pct"/>
          </w:tcPr>
          <w:p w:rsidR="00260042" w:rsidRPr="002869C9" w:rsidRDefault="00260042" w:rsidP="002869C9">
            <w:pPr>
              <w:pStyle w:val="BodyText"/>
              <w:jc w:val="right"/>
              <w:rPr>
                <w:sz w:val="20"/>
                <w:szCs w:val="20"/>
              </w:rPr>
            </w:pPr>
            <w:r w:rsidRPr="002869C9">
              <w:rPr>
                <w:rStyle w:val="Bold"/>
                <w:sz w:val="20"/>
                <w:szCs w:val="20"/>
              </w:rPr>
              <w:t>705</w:t>
            </w:r>
          </w:p>
        </w:tc>
        <w:tc>
          <w:tcPr>
            <w:tcW w:w="426" w:type="pct"/>
          </w:tcPr>
          <w:p w:rsidR="00260042" w:rsidRPr="002869C9" w:rsidRDefault="00260042" w:rsidP="002869C9">
            <w:pPr>
              <w:pStyle w:val="BodyText"/>
              <w:jc w:val="right"/>
              <w:rPr>
                <w:sz w:val="20"/>
                <w:szCs w:val="20"/>
              </w:rPr>
            </w:pPr>
            <w:r w:rsidRPr="002869C9">
              <w:rPr>
                <w:rStyle w:val="Bold"/>
                <w:sz w:val="20"/>
                <w:szCs w:val="20"/>
              </w:rPr>
              <w:t>7,973</w:t>
            </w:r>
          </w:p>
        </w:tc>
        <w:tc>
          <w:tcPr>
            <w:tcW w:w="425" w:type="pct"/>
          </w:tcPr>
          <w:p w:rsidR="00260042" w:rsidRPr="002869C9" w:rsidRDefault="00260042" w:rsidP="002869C9">
            <w:pPr>
              <w:pStyle w:val="BodyText"/>
              <w:jc w:val="right"/>
              <w:rPr>
                <w:sz w:val="20"/>
                <w:szCs w:val="20"/>
              </w:rPr>
            </w:pPr>
            <w:r w:rsidRPr="002869C9">
              <w:rPr>
                <w:rStyle w:val="Bold"/>
                <w:sz w:val="20"/>
                <w:szCs w:val="20"/>
              </w:rPr>
              <w:t>12,672</w:t>
            </w:r>
          </w:p>
        </w:tc>
        <w:tc>
          <w:tcPr>
            <w:tcW w:w="425" w:type="pct"/>
          </w:tcPr>
          <w:p w:rsidR="00260042" w:rsidRPr="002869C9" w:rsidRDefault="00260042" w:rsidP="002869C9">
            <w:pPr>
              <w:pStyle w:val="BodyText"/>
              <w:jc w:val="right"/>
              <w:rPr>
                <w:sz w:val="20"/>
                <w:szCs w:val="20"/>
              </w:rPr>
            </w:pPr>
            <w:r w:rsidRPr="002869C9">
              <w:rPr>
                <w:rStyle w:val="Bold"/>
                <w:sz w:val="20"/>
                <w:szCs w:val="20"/>
              </w:rPr>
              <w:t>6,867</w:t>
            </w:r>
          </w:p>
        </w:tc>
        <w:tc>
          <w:tcPr>
            <w:tcW w:w="425" w:type="pct"/>
          </w:tcPr>
          <w:p w:rsidR="00260042" w:rsidRPr="002869C9" w:rsidRDefault="00260042" w:rsidP="002869C9">
            <w:pPr>
              <w:pStyle w:val="BodyText"/>
              <w:jc w:val="right"/>
              <w:rPr>
                <w:sz w:val="20"/>
                <w:szCs w:val="20"/>
              </w:rPr>
            </w:pPr>
            <w:r w:rsidRPr="002869C9">
              <w:rPr>
                <w:rStyle w:val="Bold"/>
                <w:sz w:val="20"/>
                <w:szCs w:val="20"/>
              </w:rPr>
              <w:t>19,539</w:t>
            </w:r>
          </w:p>
        </w:tc>
        <w:tc>
          <w:tcPr>
            <w:tcW w:w="425" w:type="pct"/>
          </w:tcPr>
          <w:p w:rsidR="00260042" w:rsidRPr="002869C9" w:rsidRDefault="00260042" w:rsidP="002869C9">
            <w:pPr>
              <w:pStyle w:val="BodyText"/>
              <w:jc w:val="right"/>
              <w:rPr>
                <w:sz w:val="20"/>
                <w:szCs w:val="20"/>
              </w:rPr>
            </w:pPr>
            <w:r w:rsidRPr="002869C9">
              <w:rPr>
                <w:rStyle w:val="Bold"/>
                <w:sz w:val="20"/>
                <w:szCs w:val="20"/>
              </w:rPr>
              <w:t>36</w:t>
            </w:r>
          </w:p>
        </w:tc>
        <w:tc>
          <w:tcPr>
            <w:tcW w:w="425" w:type="pct"/>
          </w:tcPr>
          <w:p w:rsidR="00260042" w:rsidRPr="002869C9" w:rsidRDefault="00260042" w:rsidP="002869C9">
            <w:pPr>
              <w:pStyle w:val="BodyText"/>
              <w:jc w:val="right"/>
              <w:rPr>
                <w:sz w:val="20"/>
                <w:szCs w:val="20"/>
              </w:rPr>
            </w:pPr>
            <w:r w:rsidRPr="002869C9">
              <w:rPr>
                <w:rStyle w:val="Bold"/>
                <w:sz w:val="20"/>
                <w:szCs w:val="20"/>
              </w:rPr>
              <w:t>1</w:t>
            </w:r>
          </w:p>
        </w:tc>
        <w:tc>
          <w:tcPr>
            <w:tcW w:w="528" w:type="pct"/>
          </w:tcPr>
          <w:p w:rsidR="00260042" w:rsidRPr="002869C9" w:rsidRDefault="00260042" w:rsidP="002869C9">
            <w:pPr>
              <w:pStyle w:val="BodyText"/>
              <w:jc w:val="right"/>
              <w:rPr>
                <w:sz w:val="20"/>
                <w:szCs w:val="20"/>
              </w:rPr>
            </w:pPr>
            <w:r w:rsidRPr="002869C9">
              <w:rPr>
                <w:rStyle w:val="Bold"/>
                <w:sz w:val="20"/>
                <w:szCs w:val="20"/>
              </w:rPr>
              <w:t>37</w:t>
            </w:r>
          </w:p>
        </w:tc>
        <w:tc>
          <w:tcPr>
            <w:tcW w:w="384" w:type="pct"/>
          </w:tcPr>
          <w:p w:rsidR="00260042" w:rsidRPr="002869C9" w:rsidRDefault="00260042" w:rsidP="002869C9">
            <w:pPr>
              <w:pStyle w:val="BodyText"/>
              <w:jc w:val="right"/>
              <w:rPr>
                <w:sz w:val="20"/>
                <w:szCs w:val="20"/>
              </w:rPr>
            </w:pPr>
            <w:r w:rsidRPr="002869C9">
              <w:rPr>
                <w:rStyle w:val="Bold"/>
                <w:sz w:val="20"/>
                <w:szCs w:val="20"/>
              </w:rPr>
              <w:t>27,549</w:t>
            </w:r>
          </w:p>
        </w:tc>
      </w:tr>
    </w:tbl>
    <w:p w:rsidR="00260042" w:rsidRPr="00EA5510" w:rsidRDefault="00511254" w:rsidP="00EA5510">
      <w:pPr>
        <w:pStyle w:val="BodyText"/>
        <w:rPr>
          <w:b/>
        </w:rPr>
      </w:pPr>
      <w:r>
        <w:rPr>
          <w:rStyle w:val="Bold"/>
          <w:bCs w:val="0"/>
        </w:rPr>
        <w:t>Table 6</w:t>
      </w:r>
      <w:r>
        <w:rPr>
          <w:rStyle w:val="Bold"/>
          <w:bCs w:val="0"/>
        </w:rPr>
        <w:t>1</w:t>
      </w:r>
      <w:r w:rsidR="00260042" w:rsidRPr="00EA5510">
        <w:rPr>
          <w:b/>
        </w:rPr>
        <w:t xml:space="preserve"> Australian Public Service Act non-ongoing employees 2020–21</w:t>
      </w:r>
      <w:r w:rsidR="00260042" w:rsidRPr="00EA5510">
        <w:rPr>
          <w:b/>
          <w:vertAlign w:val="superscript"/>
        </w:rPr>
        <w:t>(a)</w:t>
      </w:r>
    </w:p>
    <w:tbl>
      <w:tblPr>
        <w:tblStyle w:val="TableGrid"/>
        <w:tblW w:w="5000" w:type="pct"/>
        <w:tblLook w:val="0000" w:firstRow="0" w:lastRow="0" w:firstColumn="0" w:lastColumn="0" w:noHBand="0" w:noVBand="0"/>
        <w:tblCaption w:val=" Australian Public Service Act ongoing employees 2019–20"/>
      </w:tblPr>
      <w:tblGrid>
        <w:gridCol w:w="1484"/>
        <w:gridCol w:w="919"/>
        <w:gridCol w:w="919"/>
        <w:gridCol w:w="921"/>
        <w:gridCol w:w="919"/>
        <w:gridCol w:w="919"/>
        <w:gridCol w:w="919"/>
        <w:gridCol w:w="920"/>
        <w:gridCol w:w="920"/>
        <w:gridCol w:w="1142"/>
        <w:gridCol w:w="808"/>
      </w:tblGrid>
      <w:tr w:rsidR="00260042" w:rsidRPr="002869C9" w:rsidTr="002869C9">
        <w:trPr>
          <w:trHeight w:val="60"/>
          <w:tblHeader/>
        </w:trPr>
        <w:tc>
          <w:tcPr>
            <w:tcW w:w="638" w:type="pct"/>
          </w:tcPr>
          <w:p w:rsidR="00260042" w:rsidRPr="002869C9" w:rsidRDefault="00260042" w:rsidP="002869C9">
            <w:pPr>
              <w:pStyle w:val="BodyText"/>
              <w:rPr>
                <w:b/>
                <w:sz w:val="20"/>
                <w:szCs w:val="20"/>
              </w:rPr>
            </w:pPr>
          </w:p>
        </w:tc>
        <w:tc>
          <w:tcPr>
            <w:tcW w:w="1294" w:type="pct"/>
            <w:gridSpan w:val="3"/>
          </w:tcPr>
          <w:p w:rsidR="00260042" w:rsidRPr="002869C9" w:rsidRDefault="00260042" w:rsidP="002869C9">
            <w:pPr>
              <w:pStyle w:val="BodyText"/>
              <w:jc w:val="center"/>
              <w:rPr>
                <w:b/>
                <w:sz w:val="20"/>
                <w:szCs w:val="20"/>
              </w:rPr>
            </w:pPr>
            <w:r w:rsidRPr="002869C9">
              <w:rPr>
                <w:b/>
                <w:sz w:val="20"/>
                <w:szCs w:val="20"/>
              </w:rPr>
              <w:t>Male</w:t>
            </w:r>
          </w:p>
        </w:tc>
        <w:tc>
          <w:tcPr>
            <w:tcW w:w="1293" w:type="pct"/>
            <w:gridSpan w:val="3"/>
          </w:tcPr>
          <w:p w:rsidR="00260042" w:rsidRPr="002869C9" w:rsidRDefault="00260042" w:rsidP="002869C9">
            <w:pPr>
              <w:pStyle w:val="BodyText"/>
              <w:jc w:val="center"/>
              <w:rPr>
                <w:b/>
                <w:sz w:val="20"/>
                <w:szCs w:val="20"/>
              </w:rPr>
            </w:pPr>
            <w:r w:rsidRPr="002869C9">
              <w:rPr>
                <w:b/>
                <w:sz w:val="20"/>
                <w:szCs w:val="20"/>
              </w:rPr>
              <w:t>Female</w:t>
            </w:r>
          </w:p>
        </w:tc>
        <w:tc>
          <w:tcPr>
            <w:tcW w:w="1396" w:type="pct"/>
            <w:gridSpan w:val="3"/>
          </w:tcPr>
          <w:p w:rsidR="00260042" w:rsidRPr="002869C9" w:rsidRDefault="00260042" w:rsidP="002869C9">
            <w:pPr>
              <w:pStyle w:val="BodyText"/>
              <w:jc w:val="center"/>
              <w:rPr>
                <w:b/>
                <w:sz w:val="20"/>
                <w:szCs w:val="20"/>
              </w:rPr>
            </w:pPr>
            <w:r w:rsidRPr="002869C9">
              <w:rPr>
                <w:b/>
                <w:sz w:val="20"/>
                <w:szCs w:val="20"/>
              </w:rPr>
              <w:t>Non-binary</w:t>
            </w:r>
          </w:p>
        </w:tc>
        <w:tc>
          <w:tcPr>
            <w:tcW w:w="379" w:type="pct"/>
          </w:tcPr>
          <w:p w:rsidR="00260042" w:rsidRPr="002869C9" w:rsidRDefault="00260042" w:rsidP="002869C9">
            <w:pPr>
              <w:pStyle w:val="BodyText"/>
              <w:jc w:val="right"/>
              <w:rPr>
                <w:b/>
                <w:sz w:val="20"/>
                <w:szCs w:val="20"/>
              </w:rPr>
            </w:pPr>
          </w:p>
        </w:tc>
      </w:tr>
      <w:tr w:rsidR="00260042" w:rsidRPr="002869C9" w:rsidTr="002869C9">
        <w:trPr>
          <w:trHeight w:val="60"/>
          <w:tblHeader/>
        </w:trPr>
        <w:tc>
          <w:tcPr>
            <w:tcW w:w="638" w:type="pct"/>
          </w:tcPr>
          <w:p w:rsidR="00260042" w:rsidRPr="002869C9" w:rsidRDefault="00260042" w:rsidP="002869C9">
            <w:pPr>
              <w:pStyle w:val="BodyText"/>
              <w:rPr>
                <w:sz w:val="20"/>
                <w:szCs w:val="20"/>
              </w:rPr>
            </w:pPr>
            <w:r w:rsidRPr="002869C9">
              <w:rPr>
                <w:rStyle w:val="Bold"/>
                <w:sz w:val="20"/>
                <w:szCs w:val="20"/>
              </w:rPr>
              <w:t>Substantive classification</w:t>
            </w:r>
          </w:p>
        </w:tc>
        <w:tc>
          <w:tcPr>
            <w:tcW w:w="431" w:type="pct"/>
          </w:tcPr>
          <w:p w:rsidR="00260042" w:rsidRPr="002869C9" w:rsidRDefault="00260042" w:rsidP="002869C9">
            <w:pPr>
              <w:pStyle w:val="BodyText"/>
              <w:jc w:val="right"/>
              <w:rPr>
                <w:sz w:val="20"/>
                <w:szCs w:val="20"/>
              </w:rPr>
            </w:pPr>
            <w:r w:rsidRPr="002869C9">
              <w:rPr>
                <w:rStyle w:val="Bold"/>
                <w:sz w:val="20"/>
                <w:szCs w:val="20"/>
              </w:rPr>
              <w:t>Full-time</w:t>
            </w:r>
          </w:p>
        </w:tc>
        <w:tc>
          <w:tcPr>
            <w:tcW w:w="431" w:type="pct"/>
          </w:tcPr>
          <w:p w:rsidR="00260042" w:rsidRPr="002869C9" w:rsidRDefault="00260042" w:rsidP="002869C9">
            <w:pPr>
              <w:pStyle w:val="BodyText"/>
              <w:jc w:val="right"/>
              <w:rPr>
                <w:sz w:val="20"/>
                <w:szCs w:val="20"/>
              </w:rPr>
            </w:pPr>
            <w:r w:rsidRPr="002869C9">
              <w:rPr>
                <w:rStyle w:val="Bold"/>
                <w:sz w:val="20"/>
                <w:szCs w:val="20"/>
              </w:rPr>
              <w:t>Part-time</w:t>
            </w:r>
          </w:p>
        </w:tc>
        <w:tc>
          <w:tcPr>
            <w:tcW w:w="431" w:type="pct"/>
          </w:tcPr>
          <w:p w:rsidR="00260042" w:rsidRPr="002869C9" w:rsidRDefault="00260042" w:rsidP="002869C9">
            <w:pPr>
              <w:pStyle w:val="BodyText"/>
              <w:jc w:val="right"/>
              <w:rPr>
                <w:sz w:val="20"/>
                <w:szCs w:val="20"/>
              </w:rPr>
            </w:pPr>
            <w:r w:rsidRPr="002869C9">
              <w:rPr>
                <w:rStyle w:val="Bold"/>
                <w:sz w:val="20"/>
                <w:szCs w:val="20"/>
              </w:rPr>
              <w:t>Total Male</w:t>
            </w:r>
          </w:p>
        </w:tc>
        <w:tc>
          <w:tcPr>
            <w:tcW w:w="431" w:type="pct"/>
          </w:tcPr>
          <w:p w:rsidR="00260042" w:rsidRPr="002869C9" w:rsidRDefault="00260042" w:rsidP="002869C9">
            <w:pPr>
              <w:pStyle w:val="BodyText"/>
              <w:jc w:val="right"/>
              <w:rPr>
                <w:sz w:val="20"/>
                <w:szCs w:val="20"/>
              </w:rPr>
            </w:pPr>
            <w:r w:rsidRPr="002869C9">
              <w:rPr>
                <w:rStyle w:val="Bold"/>
                <w:sz w:val="20"/>
                <w:szCs w:val="20"/>
              </w:rPr>
              <w:t>Full-time</w:t>
            </w:r>
          </w:p>
        </w:tc>
        <w:tc>
          <w:tcPr>
            <w:tcW w:w="431" w:type="pct"/>
          </w:tcPr>
          <w:p w:rsidR="00260042" w:rsidRPr="002869C9" w:rsidRDefault="00260042" w:rsidP="002869C9">
            <w:pPr>
              <w:pStyle w:val="BodyText"/>
              <w:jc w:val="right"/>
              <w:rPr>
                <w:sz w:val="20"/>
                <w:szCs w:val="20"/>
              </w:rPr>
            </w:pPr>
            <w:r w:rsidRPr="002869C9">
              <w:rPr>
                <w:rStyle w:val="Bold"/>
                <w:sz w:val="20"/>
                <w:szCs w:val="20"/>
              </w:rPr>
              <w:t>Part-time</w:t>
            </w:r>
          </w:p>
        </w:tc>
        <w:tc>
          <w:tcPr>
            <w:tcW w:w="431" w:type="pct"/>
          </w:tcPr>
          <w:p w:rsidR="00260042" w:rsidRPr="002869C9" w:rsidRDefault="00260042" w:rsidP="002869C9">
            <w:pPr>
              <w:pStyle w:val="BodyText"/>
              <w:jc w:val="right"/>
              <w:rPr>
                <w:sz w:val="20"/>
                <w:szCs w:val="20"/>
              </w:rPr>
            </w:pPr>
            <w:r w:rsidRPr="002869C9">
              <w:rPr>
                <w:rStyle w:val="Bold"/>
                <w:sz w:val="20"/>
                <w:szCs w:val="20"/>
              </w:rPr>
              <w:t>Total Female</w:t>
            </w:r>
          </w:p>
        </w:tc>
        <w:tc>
          <w:tcPr>
            <w:tcW w:w="431" w:type="pct"/>
          </w:tcPr>
          <w:p w:rsidR="00260042" w:rsidRPr="002869C9" w:rsidRDefault="00260042" w:rsidP="002869C9">
            <w:pPr>
              <w:pStyle w:val="BodyText"/>
              <w:jc w:val="right"/>
              <w:rPr>
                <w:sz w:val="20"/>
                <w:szCs w:val="20"/>
              </w:rPr>
            </w:pPr>
            <w:r w:rsidRPr="002869C9">
              <w:rPr>
                <w:rStyle w:val="Bold"/>
                <w:sz w:val="20"/>
                <w:szCs w:val="20"/>
              </w:rPr>
              <w:t>Full-time</w:t>
            </w:r>
          </w:p>
        </w:tc>
        <w:tc>
          <w:tcPr>
            <w:tcW w:w="431" w:type="pct"/>
          </w:tcPr>
          <w:p w:rsidR="00260042" w:rsidRPr="002869C9" w:rsidRDefault="00260042" w:rsidP="002869C9">
            <w:pPr>
              <w:pStyle w:val="BodyText"/>
              <w:jc w:val="right"/>
              <w:rPr>
                <w:sz w:val="20"/>
                <w:szCs w:val="20"/>
              </w:rPr>
            </w:pPr>
            <w:r w:rsidRPr="002869C9">
              <w:rPr>
                <w:rStyle w:val="Bold"/>
                <w:sz w:val="20"/>
                <w:szCs w:val="20"/>
              </w:rPr>
              <w:t>Part-time</w:t>
            </w:r>
          </w:p>
        </w:tc>
        <w:tc>
          <w:tcPr>
            <w:tcW w:w="534" w:type="pct"/>
          </w:tcPr>
          <w:p w:rsidR="00260042" w:rsidRPr="002869C9" w:rsidRDefault="00260042" w:rsidP="002869C9">
            <w:pPr>
              <w:pStyle w:val="BodyText"/>
              <w:jc w:val="right"/>
              <w:rPr>
                <w:sz w:val="20"/>
                <w:szCs w:val="20"/>
              </w:rPr>
            </w:pPr>
            <w:r w:rsidRPr="002869C9">
              <w:rPr>
                <w:rStyle w:val="Bold"/>
                <w:sz w:val="20"/>
                <w:szCs w:val="20"/>
              </w:rPr>
              <w:t xml:space="preserve">Total </w:t>
            </w:r>
            <w:r w:rsidRPr="002869C9">
              <w:rPr>
                <w:rStyle w:val="Bold"/>
                <w:spacing w:val="-4"/>
                <w:sz w:val="20"/>
                <w:szCs w:val="20"/>
              </w:rPr>
              <w:t>Non-binary</w:t>
            </w:r>
          </w:p>
        </w:tc>
        <w:tc>
          <w:tcPr>
            <w:tcW w:w="379" w:type="pct"/>
          </w:tcPr>
          <w:p w:rsidR="00260042" w:rsidRPr="002869C9" w:rsidRDefault="00260042" w:rsidP="002869C9">
            <w:pPr>
              <w:pStyle w:val="BodyText"/>
              <w:jc w:val="right"/>
              <w:rPr>
                <w:sz w:val="20"/>
                <w:szCs w:val="20"/>
              </w:rPr>
            </w:pPr>
            <w:r w:rsidRPr="002869C9">
              <w:rPr>
                <w:rStyle w:val="Bold"/>
                <w:sz w:val="20"/>
                <w:szCs w:val="20"/>
              </w:rPr>
              <w:t>Total</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SES 3</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305"/>
        </w:trPr>
        <w:tc>
          <w:tcPr>
            <w:tcW w:w="638" w:type="pct"/>
          </w:tcPr>
          <w:p w:rsidR="00260042" w:rsidRPr="002869C9" w:rsidRDefault="00260042" w:rsidP="002869C9">
            <w:pPr>
              <w:pStyle w:val="BodyText"/>
              <w:rPr>
                <w:sz w:val="20"/>
                <w:szCs w:val="20"/>
              </w:rPr>
            </w:pPr>
            <w:r w:rsidRPr="002869C9">
              <w:rPr>
                <w:sz w:val="20"/>
                <w:szCs w:val="20"/>
              </w:rPr>
              <w:t>SES 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SES 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EL 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3</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3</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4</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EL 1</w:t>
            </w:r>
          </w:p>
        </w:tc>
        <w:tc>
          <w:tcPr>
            <w:tcW w:w="431" w:type="pct"/>
          </w:tcPr>
          <w:p w:rsidR="00260042" w:rsidRPr="002869C9" w:rsidRDefault="00260042" w:rsidP="002869C9">
            <w:pPr>
              <w:pStyle w:val="BodyText"/>
              <w:jc w:val="right"/>
              <w:rPr>
                <w:sz w:val="20"/>
                <w:szCs w:val="20"/>
              </w:rPr>
            </w:pPr>
            <w:r w:rsidRPr="002869C9">
              <w:rPr>
                <w:sz w:val="20"/>
                <w:szCs w:val="20"/>
              </w:rPr>
              <w:t>5</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7</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3</w:t>
            </w:r>
          </w:p>
        </w:tc>
        <w:tc>
          <w:tcPr>
            <w:tcW w:w="431" w:type="pct"/>
          </w:tcPr>
          <w:p w:rsidR="00260042" w:rsidRPr="002869C9" w:rsidRDefault="00260042" w:rsidP="002869C9">
            <w:pPr>
              <w:pStyle w:val="BodyText"/>
              <w:jc w:val="right"/>
              <w:rPr>
                <w:sz w:val="20"/>
                <w:szCs w:val="20"/>
              </w:rPr>
            </w:pPr>
            <w:r w:rsidRPr="002869C9">
              <w:rPr>
                <w:sz w:val="20"/>
                <w:szCs w:val="20"/>
              </w:rPr>
              <w:t>5</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1</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13</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lastRenderedPageBreak/>
              <w:t>APS 6</w:t>
            </w:r>
          </w:p>
        </w:tc>
        <w:tc>
          <w:tcPr>
            <w:tcW w:w="431" w:type="pct"/>
          </w:tcPr>
          <w:p w:rsidR="00260042" w:rsidRPr="002869C9" w:rsidRDefault="00260042" w:rsidP="002869C9">
            <w:pPr>
              <w:pStyle w:val="BodyText"/>
              <w:jc w:val="right"/>
              <w:rPr>
                <w:sz w:val="20"/>
                <w:szCs w:val="20"/>
              </w:rPr>
            </w:pPr>
            <w:r w:rsidRPr="002869C9">
              <w:rPr>
                <w:sz w:val="20"/>
                <w:szCs w:val="20"/>
              </w:rPr>
              <w:t>14</w:t>
            </w:r>
          </w:p>
        </w:tc>
        <w:tc>
          <w:tcPr>
            <w:tcW w:w="431" w:type="pct"/>
          </w:tcPr>
          <w:p w:rsidR="00260042" w:rsidRPr="002869C9" w:rsidRDefault="00260042" w:rsidP="002869C9">
            <w:pPr>
              <w:pStyle w:val="BodyText"/>
              <w:jc w:val="right"/>
              <w:rPr>
                <w:sz w:val="20"/>
                <w:szCs w:val="20"/>
              </w:rPr>
            </w:pPr>
            <w:r w:rsidRPr="002869C9">
              <w:rPr>
                <w:sz w:val="20"/>
                <w:szCs w:val="20"/>
              </w:rPr>
              <w:t>5</w:t>
            </w:r>
          </w:p>
        </w:tc>
        <w:tc>
          <w:tcPr>
            <w:tcW w:w="431" w:type="pct"/>
          </w:tcPr>
          <w:p w:rsidR="00260042" w:rsidRPr="002869C9" w:rsidRDefault="00260042" w:rsidP="002869C9">
            <w:pPr>
              <w:pStyle w:val="BodyText"/>
              <w:jc w:val="right"/>
              <w:rPr>
                <w:sz w:val="20"/>
                <w:szCs w:val="20"/>
              </w:rPr>
            </w:pPr>
            <w:r w:rsidRPr="002869C9">
              <w:rPr>
                <w:sz w:val="20"/>
                <w:szCs w:val="20"/>
              </w:rPr>
              <w:t>19</w:t>
            </w:r>
          </w:p>
        </w:tc>
        <w:tc>
          <w:tcPr>
            <w:tcW w:w="431" w:type="pct"/>
          </w:tcPr>
          <w:p w:rsidR="00260042" w:rsidRPr="002869C9" w:rsidRDefault="00260042" w:rsidP="002869C9">
            <w:pPr>
              <w:pStyle w:val="BodyText"/>
              <w:jc w:val="right"/>
              <w:rPr>
                <w:sz w:val="20"/>
                <w:szCs w:val="20"/>
              </w:rPr>
            </w:pPr>
            <w:r w:rsidRPr="002869C9">
              <w:rPr>
                <w:sz w:val="20"/>
                <w:szCs w:val="20"/>
              </w:rPr>
              <w:t>35</w:t>
            </w:r>
          </w:p>
        </w:tc>
        <w:tc>
          <w:tcPr>
            <w:tcW w:w="431" w:type="pct"/>
          </w:tcPr>
          <w:p w:rsidR="00260042" w:rsidRPr="002869C9" w:rsidRDefault="00260042" w:rsidP="002869C9">
            <w:pPr>
              <w:pStyle w:val="BodyText"/>
              <w:jc w:val="right"/>
              <w:rPr>
                <w:sz w:val="20"/>
                <w:szCs w:val="20"/>
              </w:rPr>
            </w:pPr>
            <w:r w:rsidRPr="002869C9">
              <w:rPr>
                <w:sz w:val="20"/>
                <w:szCs w:val="20"/>
              </w:rPr>
              <w:t>16</w:t>
            </w:r>
          </w:p>
        </w:tc>
        <w:tc>
          <w:tcPr>
            <w:tcW w:w="431" w:type="pct"/>
          </w:tcPr>
          <w:p w:rsidR="00260042" w:rsidRPr="002869C9" w:rsidRDefault="00260042" w:rsidP="002869C9">
            <w:pPr>
              <w:pStyle w:val="BodyText"/>
              <w:jc w:val="right"/>
              <w:rPr>
                <w:sz w:val="20"/>
                <w:szCs w:val="20"/>
              </w:rPr>
            </w:pPr>
            <w:r w:rsidRPr="002869C9">
              <w:rPr>
                <w:sz w:val="20"/>
                <w:szCs w:val="20"/>
              </w:rPr>
              <w:t>51</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534" w:type="pct"/>
          </w:tcPr>
          <w:p w:rsidR="00260042" w:rsidRPr="002869C9" w:rsidRDefault="00260042" w:rsidP="002869C9">
            <w:pPr>
              <w:pStyle w:val="BodyText"/>
              <w:jc w:val="right"/>
              <w:rPr>
                <w:sz w:val="20"/>
                <w:szCs w:val="20"/>
              </w:rPr>
            </w:pPr>
            <w:r w:rsidRPr="002869C9">
              <w:rPr>
                <w:sz w:val="20"/>
                <w:szCs w:val="20"/>
              </w:rPr>
              <w:t>2</w:t>
            </w:r>
          </w:p>
        </w:tc>
        <w:tc>
          <w:tcPr>
            <w:tcW w:w="379" w:type="pct"/>
          </w:tcPr>
          <w:p w:rsidR="00260042" w:rsidRPr="002869C9" w:rsidRDefault="00260042" w:rsidP="002869C9">
            <w:pPr>
              <w:pStyle w:val="BodyText"/>
              <w:jc w:val="right"/>
              <w:rPr>
                <w:sz w:val="20"/>
                <w:szCs w:val="20"/>
              </w:rPr>
            </w:pPr>
            <w:r w:rsidRPr="002869C9">
              <w:rPr>
                <w:rStyle w:val="01bodybold"/>
                <w:sz w:val="20"/>
                <w:szCs w:val="20"/>
              </w:rPr>
              <w:t>72</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5</w:t>
            </w:r>
          </w:p>
        </w:tc>
        <w:tc>
          <w:tcPr>
            <w:tcW w:w="431" w:type="pct"/>
          </w:tcPr>
          <w:p w:rsidR="00260042" w:rsidRPr="002869C9" w:rsidRDefault="00260042" w:rsidP="002869C9">
            <w:pPr>
              <w:pStyle w:val="BodyText"/>
              <w:jc w:val="right"/>
              <w:rPr>
                <w:sz w:val="20"/>
                <w:szCs w:val="20"/>
              </w:rPr>
            </w:pPr>
            <w:r w:rsidRPr="002869C9">
              <w:rPr>
                <w:sz w:val="20"/>
                <w:szCs w:val="20"/>
              </w:rPr>
              <w:t>56</w:t>
            </w:r>
          </w:p>
        </w:tc>
        <w:tc>
          <w:tcPr>
            <w:tcW w:w="431" w:type="pct"/>
          </w:tcPr>
          <w:p w:rsidR="00260042" w:rsidRPr="002869C9" w:rsidRDefault="00260042" w:rsidP="002869C9">
            <w:pPr>
              <w:pStyle w:val="BodyText"/>
              <w:jc w:val="right"/>
              <w:rPr>
                <w:sz w:val="20"/>
                <w:szCs w:val="20"/>
              </w:rPr>
            </w:pPr>
            <w:r w:rsidRPr="002869C9">
              <w:rPr>
                <w:sz w:val="20"/>
                <w:szCs w:val="20"/>
              </w:rPr>
              <w:t>15</w:t>
            </w:r>
          </w:p>
        </w:tc>
        <w:tc>
          <w:tcPr>
            <w:tcW w:w="431" w:type="pct"/>
          </w:tcPr>
          <w:p w:rsidR="00260042" w:rsidRPr="002869C9" w:rsidRDefault="00260042" w:rsidP="002869C9">
            <w:pPr>
              <w:pStyle w:val="BodyText"/>
              <w:jc w:val="right"/>
              <w:rPr>
                <w:sz w:val="20"/>
                <w:szCs w:val="20"/>
              </w:rPr>
            </w:pPr>
            <w:r w:rsidRPr="002869C9">
              <w:rPr>
                <w:sz w:val="20"/>
                <w:szCs w:val="20"/>
              </w:rPr>
              <w:t>71</w:t>
            </w:r>
          </w:p>
        </w:tc>
        <w:tc>
          <w:tcPr>
            <w:tcW w:w="431" w:type="pct"/>
          </w:tcPr>
          <w:p w:rsidR="00260042" w:rsidRPr="002869C9" w:rsidRDefault="00260042" w:rsidP="002869C9">
            <w:pPr>
              <w:pStyle w:val="BodyText"/>
              <w:jc w:val="right"/>
              <w:rPr>
                <w:sz w:val="20"/>
                <w:szCs w:val="20"/>
              </w:rPr>
            </w:pPr>
            <w:r w:rsidRPr="002869C9">
              <w:rPr>
                <w:sz w:val="20"/>
                <w:szCs w:val="20"/>
              </w:rPr>
              <w:t>88</w:t>
            </w:r>
          </w:p>
        </w:tc>
        <w:tc>
          <w:tcPr>
            <w:tcW w:w="431" w:type="pct"/>
          </w:tcPr>
          <w:p w:rsidR="00260042" w:rsidRPr="002869C9" w:rsidRDefault="00260042" w:rsidP="002869C9">
            <w:pPr>
              <w:pStyle w:val="BodyText"/>
              <w:jc w:val="right"/>
              <w:rPr>
                <w:sz w:val="20"/>
                <w:szCs w:val="20"/>
              </w:rPr>
            </w:pPr>
            <w:r w:rsidRPr="002869C9">
              <w:rPr>
                <w:sz w:val="20"/>
                <w:szCs w:val="20"/>
              </w:rPr>
              <w:t>19</w:t>
            </w:r>
          </w:p>
        </w:tc>
        <w:tc>
          <w:tcPr>
            <w:tcW w:w="431" w:type="pct"/>
          </w:tcPr>
          <w:p w:rsidR="00260042" w:rsidRPr="002869C9" w:rsidRDefault="00260042" w:rsidP="002869C9">
            <w:pPr>
              <w:pStyle w:val="BodyText"/>
              <w:jc w:val="right"/>
              <w:rPr>
                <w:sz w:val="20"/>
                <w:szCs w:val="20"/>
              </w:rPr>
            </w:pPr>
            <w:r w:rsidRPr="002869C9">
              <w:rPr>
                <w:sz w:val="20"/>
                <w:szCs w:val="20"/>
              </w:rPr>
              <w:t>107</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2</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180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4</w:t>
            </w:r>
          </w:p>
        </w:tc>
        <w:tc>
          <w:tcPr>
            <w:tcW w:w="431" w:type="pct"/>
          </w:tcPr>
          <w:p w:rsidR="00260042" w:rsidRPr="002869C9" w:rsidRDefault="00260042" w:rsidP="002869C9">
            <w:pPr>
              <w:pStyle w:val="BodyText"/>
              <w:jc w:val="right"/>
              <w:rPr>
                <w:sz w:val="20"/>
                <w:szCs w:val="20"/>
              </w:rPr>
            </w:pPr>
            <w:r w:rsidRPr="002869C9">
              <w:rPr>
                <w:sz w:val="20"/>
                <w:szCs w:val="20"/>
              </w:rPr>
              <w:t>414</w:t>
            </w:r>
          </w:p>
        </w:tc>
        <w:tc>
          <w:tcPr>
            <w:tcW w:w="431" w:type="pct"/>
          </w:tcPr>
          <w:p w:rsidR="00260042" w:rsidRPr="002869C9" w:rsidRDefault="00260042" w:rsidP="002869C9">
            <w:pPr>
              <w:pStyle w:val="BodyText"/>
              <w:jc w:val="right"/>
              <w:rPr>
                <w:sz w:val="20"/>
                <w:szCs w:val="20"/>
              </w:rPr>
            </w:pPr>
            <w:r w:rsidRPr="002869C9">
              <w:rPr>
                <w:sz w:val="20"/>
                <w:szCs w:val="20"/>
              </w:rPr>
              <w:t>85</w:t>
            </w:r>
          </w:p>
        </w:tc>
        <w:tc>
          <w:tcPr>
            <w:tcW w:w="431" w:type="pct"/>
          </w:tcPr>
          <w:p w:rsidR="00260042" w:rsidRPr="002869C9" w:rsidRDefault="00260042" w:rsidP="002869C9">
            <w:pPr>
              <w:pStyle w:val="BodyText"/>
              <w:jc w:val="right"/>
              <w:rPr>
                <w:sz w:val="20"/>
                <w:szCs w:val="20"/>
              </w:rPr>
            </w:pPr>
            <w:r w:rsidRPr="002869C9">
              <w:rPr>
                <w:sz w:val="20"/>
                <w:szCs w:val="20"/>
              </w:rPr>
              <w:t>499</w:t>
            </w:r>
          </w:p>
        </w:tc>
        <w:tc>
          <w:tcPr>
            <w:tcW w:w="431" w:type="pct"/>
          </w:tcPr>
          <w:p w:rsidR="00260042" w:rsidRPr="002869C9" w:rsidRDefault="00260042" w:rsidP="002869C9">
            <w:pPr>
              <w:pStyle w:val="BodyText"/>
              <w:jc w:val="right"/>
              <w:rPr>
                <w:sz w:val="20"/>
                <w:szCs w:val="20"/>
              </w:rPr>
            </w:pPr>
            <w:r w:rsidRPr="002869C9">
              <w:rPr>
                <w:sz w:val="20"/>
                <w:szCs w:val="20"/>
              </w:rPr>
              <w:t>629</w:t>
            </w:r>
          </w:p>
        </w:tc>
        <w:tc>
          <w:tcPr>
            <w:tcW w:w="431" w:type="pct"/>
          </w:tcPr>
          <w:p w:rsidR="00260042" w:rsidRPr="002869C9" w:rsidRDefault="00260042" w:rsidP="002869C9">
            <w:pPr>
              <w:pStyle w:val="BodyText"/>
              <w:jc w:val="right"/>
              <w:rPr>
                <w:sz w:val="20"/>
                <w:szCs w:val="20"/>
              </w:rPr>
            </w:pPr>
            <w:r w:rsidRPr="002869C9">
              <w:rPr>
                <w:sz w:val="20"/>
                <w:szCs w:val="20"/>
              </w:rPr>
              <w:t>206</w:t>
            </w:r>
          </w:p>
        </w:tc>
        <w:tc>
          <w:tcPr>
            <w:tcW w:w="431" w:type="pct"/>
          </w:tcPr>
          <w:p w:rsidR="00260042" w:rsidRPr="002869C9" w:rsidRDefault="00260042" w:rsidP="002869C9">
            <w:pPr>
              <w:pStyle w:val="BodyText"/>
              <w:jc w:val="right"/>
              <w:rPr>
                <w:sz w:val="20"/>
                <w:szCs w:val="20"/>
              </w:rPr>
            </w:pPr>
            <w:r w:rsidRPr="002869C9">
              <w:rPr>
                <w:sz w:val="20"/>
                <w:szCs w:val="20"/>
              </w:rPr>
              <w:t>835</w:t>
            </w:r>
          </w:p>
        </w:tc>
        <w:tc>
          <w:tcPr>
            <w:tcW w:w="431" w:type="pct"/>
          </w:tcPr>
          <w:p w:rsidR="00260042" w:rsidRPr="002869C9" w:rsidRDefault="00260042" w:rsidP="002869C9">
            <w:pPr>
              <w:pStyle w:val="BodyText"/>
              <w:jc w:val="right"/>
              <w:rPr>
                <w:sz w:val="20"/>
                <w:szCs w:val="20"/>
              </w:rPr>
            </w:pPr>
            <w:r w:rsidRPr="002869C9">
              <w:rPr>
                <w:sz w:val="20"/>
                <w:szCs w:val="20"/>
              </w:rPr>
              <w:t>9</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534" w:type="pct"/>
          </w:tcPr>
          <w:p w:rsidR="00260042" w:rsidRPr="002869C9" w:rsidRDefault="00260042" w:rsidP="002869C9">
            <w:pPr>
              <w:pStyle w:val="BodyText"/>
              <w:jc w:val="right"/>
              <w:rPr>
                <w:sz w:val="20"/>
                <w:szCs w:val="20"/>
              </w:rPr>
            </w:pPr>
            <w:r w:rsidRPr="002869C9">
              <w:rPr>
                <w:sz w:val="20"/>
                <w:szCs w:val="20"/>
              </w:rPr>
              <w:t>11</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1,345</w:t>
            </w:r>
          </w:p>
        </w:tc>
      </w:tr>
      <w:tr w:rsidR="00260042" w:rsidRPr="002869C9" w:rsidTr="002869C9">
        <w:trPr>
          <w:trHeight w:val="376"/>
        </w:trPr>
        <w:tc>
          <w:tcPr>
            <w:tcW w:w="638" w:type="pct"/>
          </w:tcPr>
          <w:p w:rsidR="00260042" w:rsidRPr="002869C9" w:rsidRDefault="00260042" w:rsidP="002869C9">
            <w:pPr>
              <w:pStyle w:val="BodyText"/>
              <w:rPr>
                <w:sz w:val="20"/>
                <w:szCs w:val="20"/>
              </w:rPr>
            </w:pPr>
            <w:r w:rsidRPr="002869C9">
              <w:rPr>
                <w:sz w:val="20"/>
                <w:szCs w:val="20"/>
              </w:rPr>
              <w:t>APS 3</w:t>
            </w:r>
          </w:p>
        </w:tc>
        <w:tc>
          <w:tcPr>
            <w:tcW w:w="431" w:type="pct"/>
          </w:tcPr>
          <w:p w:rsidR="00260042" w:rsidRPr="002869C9" w:rsidRDefault="00260042" w:rsidP="002869C9">
            <w:pPr>
              <w:pStyle w:val="BodyText"/>
              <w:jc w:val="right"/>
              <w:rPr>
                <w:sz w:val="20"/>
                <w:szCs w:val="20"/>
              </w:rPr>
            </w:pPr>
            <w:r w:rsidRPr="002869C9">
              <w:rPr>
                <w:sz w:val="20"/>
                <w:szCs w:val="20"/>
              </w:rPr>
              <w:t>795</w:t>
            </w:r>
          </w:p>
        </w:tc>
        <w:tc>
          <w:tcPr>
            <w:tcW w:w="431" w:type="pct"/>
          </w:tcPr>
          <w:p w:rsidR="00260042" w:rsidRPr="002869C9" w:rsidRDefault="00260042" w:rsidP="002869C9">
            <w:pPr>
              <w:pStyle w:val="BodyText"/>
              <w:jc w:val="right"/>
              <w:rPr>
                <w:sz w:val="20"/>
                <w:szCs w:val="20"/>
              </w:rPr>
            </w:pPr>
            <w:r w:rsidRPr="002869C9">
              <w:rPr>
                <w:sz w:val="20"/>
                <w:szCs w:val="20"/>
              </w:rPr>
              <w:t>847</w:t>
            </w:r>
          </w:p>
        </w:tc>
        <w:tc>
          <w:tcPr>
            <w:tcW w:w="431" w:type="pct"/>
          </w:tcPr>
          <w:p w:rsidR="00260042" w:rsidRPr="002869C9" w:rsidRDefault="00260042" w:rsidP="002869C9">
            <w:pPr>
              <w:pStyle w:val="BodyText"/>
              <w:jc w:val="right"/>
              <w:rPr>
                <w:sz w:val="20"/>
                <w:szCs w:val="20"/>
              </w:rPr>
            </w:pPr>
            <w:r w:rsidRPr="002869C9">
              <w:rPr>
                <w:sz w:val="20"/>
                <w:szCs w:val="20"/>
              </w:rPr>
              <w:t>1,642</w:t>
            </w:r>
          </w:p>
        </w:tc>
        <w:tc>
          <w:tcPr>
            <w:tcW w:w="431" w:type="pct"/>
          </w:tcPr>
          <w:p w:rsidR="00260042" w:rsidRPr="002869C9" w:rsidRDefault="00260042" w:rsidP="002869C9">
            <w:pPr>
              <w:pStyle w:val="BodyText"/>
              <w:jc w:val="right"/>
              <w:rPr>
                <w:sz w:val="20"/>
                <w:szCs w:val="20"/>
              </w:rPr>
            </w:pPr>
            <w:r w:rsidRPr="002869C9">
              <w:rPr>
                <w:sz w:val="20"/>
                <w:szCs w:val="20"/>
              </w:rPr>
              <w:t>1,582</w:t>
            </w:r>
          </w:p>
        </w:tc>
        <w:tc>
          <w:tcPr>
            <w:tcW w:w="431" w:type="pct"/>
          </w:tcPr>
          <w:p w:rsidR="00260042" w:rsidRPr="002869C9" w:rsidRDefault="00260042" w:rsidP="002869C9">
            <w:pPr>
              <w:pStyle w:val="BodyText"/>
              <w:jc w:val="right"/>
              <w:rPr>
                <w:sz w:val="20"/>
                <w:szCs w:val="20"/>
              </w:rPr>
            </w:pPr>
            <w:r w:rsidRPr="002869C9">
              <w:rPr>
                <w:sz w:val="20"/>
                <w:szCs w:val="20"/>
              </w:rPr>
              <w:t>2,250</w:t>
            </w:r>
          </w:p>
        </w:tc>
        <w:tc>
          <w:tcPr>
            <w:tcW w:w="431" w:type="pct"/>
          </w:tcPr>
          <w:p w:rsidR="00260042" w:rsidRPr="002869C9" w:rsidRDefault="00260042" w:rsidP="002869C9">
            <w:pPr>
              <w:pStyle w:val="BodyText"/>
              <w:jc w:val="right"/>
              <w:rPr>
                <w:sz w:val="20"/>
                <w:szCs w:val="20"/>
              </w:rPr>
            </w:pPr>
            <w:r w:rsidRPr="002869C9">
              <w:rPr>
                <w:sz w:val="20"/>
                <w:szCs w:val="20"/>
              </w:rPr>
              <w:t>3,832</w:t>
            </w:r>
          </w:p>
        </w:tc>
        <w:tc>
          <w:tcPr>
            <w:tcW w:w="431" w:type="pct"/>
          </w:tcPr>
          <w:p w:rsidR="00260042" w:rsidRPr="002869C9" w:rsidRDefault="00260042" w:rsidP="002869C9">
            <w:pPr>
              <w:pStyle w:val="BodyText"/>
              <w:jc w:val="right"/>
              <w:rPr>
                <w:sz w:val="20"/>
                <w:szCs w:val="20"/>
              </w:rPr>
            </w:pPr>
            <w:r w:rsidRPr="002869C9">
              <w:rPr>
                <w:sz w:val="20"/>
                <w:szCs w:val="20"/>
              </w:rPr>
              <w:t>17</w:t>
            </w:r>
          </w:p>
        </w:tc>
        <w:tc>
          <w:tcPr>
            <w:tcW w:w="431" w:type="pct"/>
          </w:tcPr>
          <w:p w:rsidR="00260042" w:rsidRPr="002869C9" w:rsidRDefault="00260042" w:rsidP="002869C9">
            <w:pPr>
              <w:pStyle w:val="BodyText"/>
              <w:jc w:val="right"/>
              <w:rPr>
                <w:sz w:val="20"/>
                <w:szCs w:val="20"/>
              </w:rPr>
            </w:pPr>
            <w:r w:rsidRPr="002869C9">
              <w:rPr>
                <w:sz w:val="20"/>
                <w:szCs w:val="20"/>
              </w:rPr>
              <w:t>11</w:t>
            </w:r>
          </w:p>
        </w:tc>
        <w:tc>
          <w:tcPr>
            <w:tcW w:w="534" w:type="pct"/>
          </w:tcPr>
          <w:p w:rsidR="00260042" w:rsidRPr="002869C9" w:rsidRDefault="00260042" w:rsidP="002869C9">
            <w:pPr>
              <w:pStyle w:val="BodyText"/>
              <w:jc w:val="right"/>
              <w:rPr>
                <w:sz w:val="20"/>
                <w:szCs w:val="20"/>
              </w:rPr>
            </w:pPr>
            <w:r w:rsidRPr="002869C9">
              <w:rPr>
                <w:sz w:val="20"/>
                <w:szCs w:val="20"/>
              </w:rPr>
              <w:t>28</w:t>
            </w:r>
          </w:p>
        </w:tc>
        <w:tc>
          <w:tcPr>
            <w:tcW w:w="379" w:type="pct"/>
          </w:tcPr>
          <w:p w:rsidR="00260042" w:rsidRPr="002869C9" w:rsidRDefault="00260042" w:rsidP="002869C9">
            <w:pPr>
              <w:pStyle w:val="BodyText"/>
              <w:jc w:val="right"/>
              <w:rPr>
                <w:sz w:val="20"/>
                <w:szCs w:val="20"/>
              </w:rPr>
            </w:pPr>
            <w:r w:rsidRPr="002869C9">
              <w:rPr>
                <w:rStyle w:val="01bodybold"/>
                <w:sz w:val="20"/>
                <w:szCs w:val="20"/>
              </w:rPr>
              <w:t>5,502</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Other</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rStyle w:val="Bold"/>
                <w:sz w:val="20"/>
                <w:szCs w:val="20"/>
              </w:rPr>
              <w:t>Total</w:t>
            </w:r>
          </w:p>
        </w:tc>
        <w:tc>
          <w:tcPr>
            <w:tcW w:w="431" w:type="pct"/>
          </w:tcPr>
          <w:p w:rsidR="00260042" w:rsidRPr="002869C9" w:rsidRDefault="00260042" w:rsidP="002869C9">
            <w:pPr>
              <w:pStyle w:val="BodyText"/>
              <w:jc w:val="right"/>
              <w:rPr>
                <w:sz w:val="20"/>
                <w:szCs w:val="20"/>
              </w:rPr>
            </w:pPr>
            <w:r w:rsidRPr="002869C9">
              <w:rPr>
                <w:rStyle w:val="Bold"/>
                <w:sz w:val="20"/>
                <w:szCs w:val="20"/>
              </w:rPr>
              <w:t>1,284</w:t>
            </w:r>
          </w:p>
        </w:tc>
        <w:tc>
          <w:tcPr>
            <w:tcW w:w="431" w:type="pct"/>
          </w:tcPr>
          <w:p w:rsidR="00260042" w:rsidRPr="002869C9" w:rsidRDefault="00260042" w:rsidP="002869C9">
            <w:pPr>
              <w:pStyle w:val="BodyText"/>
              <w:jc w:val="right"/>
              <w:rPr>
                <w:sz w:val="20"/>
                <w:szCs w:val="20"/>
              </w:rPr>
            </w:pPr>
            <w:r w:rsidRPr="002869C9">
              <w:rPr>
                <w:rStyle w:val="Bold"/>
                <w:sz w:val="20"/>
                <w:szCs w:val="20"/>
              </w:rPr>
              <w:t>955</w:t>
            </w:r>
          </w:p>
        </w:tc>
        <w:tc>
          <w:tcPr>
            <w:tcW w:w="431" w:type="pct"/>
          </w:tcPr>
          <w:p w:rsidR="00260042" w:rsidRPr="002869C9" w:rsidRDefault="00260042" w:rsidP="002869C9">
            <w:pPr>
              <w:pStyle w:val="BodyText"/>
              <w:jc w:val="right"/>
              <w:rPr>
                <w:sz w:val="20"/>
                <w:szCs w:val="20"/>
              </w:rPr>
            </w:pPr>
            <w:r w:rsidRPr="002869C9">
              <w:rPr>
                <w:rStyle w:val="Bold"/>
                <w:sz w:val="20"/>
                <w:szCs w:val="20"/>
              </w:rPr>
              <w:t>2,239</w:t>
            </w:r>
          </w:p>
        </w:tc>
        <w:tc>
          <w:tcPr>
            <w:tcW w:w="431" w:type="pct"/>
          </w:tcPr>
          <w:p w:rsidR="00260042" w:rsidRPr="002869C9" w:rsidRDefault="00260042" w:rsidP="002869C9">
            <w:pPr>
              <w:pStyle w:val="BodyText"/>
              <w:jc w:val="right"/>
              <w:rPr>
                <w:sz w:val="20"/>
                <w:szCs w:val="20"/>
              </w:rPr>
            </w:pPr>
            <w:r w:rsidRPr="002869C9">
              <w:rPr>
                <w:rStyle w:val="Bold"/>
                <w:sz w:val="20"/>
                <w:szCs w:val="20"/>
              </w:rPr>
              <w:t>2,340</w:t>
            </w:r>
          </w:p>
        </w:tc>
        <w:tc>
          <w:tcPr>
            <w:tcW w:w="431" w:type="pct"/>
          </w:tcPr>
          <w:p w:rsidR="00260042" w:rsidRPr="002869C9" w:rsidRDefault="00260042" w:rsidP="002869C9">
            <w:pPr>
              <w:pStyle w:val="BodyText"/>
              <w:jc w:val="right"/>
              <w:rPr>
                <w:sz w:val="20"/>
                <w:szCs w:val="20"/>
              </w:rPr>
            </w:pPr>
            <w:r w:rsidRPr="002869C9">
              <w:rPr>
                <w:rStyle w:val="Bold"/>
                <w:sz w:val="20"/>
                <w:szCs w:val="20"/>
              </w:rPr>
              <w:t>2,494</w:t>
            </w:r>
          </w:p>
        </w:tc>
        <w:tc>
          <w:tcPr>
            <w:tcW w:w="431" w:type="pct"/>
          </w:tcPr>
          <w:p w:rsidR="00260042" w:rsidRPr="002869C9" w:rsidRDefault="00260042" w:rsidP="002869C9">
            <w:pPr>
              <w:pStyle w:val="BodyText"/>
              <w:jc w:val="right"/>
              <w:rPr>
                <w:sz w:val="20"/>
                <w:szCs w:val="20"/>
              </w:rPr>
            </w:pPr>
            <w:r w:rsidRPr="002869C9">
              <w:rPr>
                <w:rStyle w:val="Bold"/>
                <w:sz w:val="20"/>
                <w:szCs w:val="20"/>
              </w:rPr>
              <w:t>4,834</w:t>
            </w:r>
          </w:p>
        </w:tc>
        <w:tc>
          <w:tcPr>
            <w:tcW w:w="431" w:type="pct"/>
          </w:tcPr>
          <w:p w:rsidR="00260042" w:rsidRPr="002869C9" w:rsidRDefault="00260042" w:rsidP="002869C9">
            <w:pPr>
              <w:pStyle w:val="BodyText"/>
              <w:jc w:val="right"/>
              <w:rPr>
                <w:sz w:val="20"/>
                <w:szCs w:val="20"/>
              </w:rPr>
            </w:pPr>
            <w:r w:rsidRPr="002869C9">
              <w:rPr>
                <w:rStyle w:val="Bold"/>
                <w:sz w:val="20"/>
                <w:szCs w:val="20"/>
              </w:rPr>
              <w:t>30</w:t>
            </w:r>
          </w:p>
        </w:tc>
        <w:tc>
          <w:tcPr>
            <w:tcW w:w="431" w:type="pct"/>
          </w:tcPr>
          <w:p w:rsidR="00260042" w:rsidRPr="002869C9" w:rsidRDefault="00260042" w:rsidP="002869C9">
            <w:pPr>
              <w:pStyle w:val="BodyText"/>
              <w:jc w:val="right"/>
              <w:rPr>
                <w:sz w:val="20"/>
                <w:szCs w:val="20"/>
              </w:rPr>
            </w:pPr>
            <w:r w:rsidRPr="002869C9">
              <w:rPr>
                <w:rStyle w:val="Bold"/>
                <w:sz w:val="20"/>
                <w:szCs w:val="20"/>
              </w:rPr>
              <w:t>14</w:t>
            </w:r>
          </w:p>
        </w:tc>
        <w:tc>
          <w:tcPr>
            <w:tcW w:w="534" w:type="pct"/>
          </w:tcPr>
          <w:p w:rsidR="00260042" w:rsidRPr="002869C9" w:rsidRDefault="00260042" w:rsidP="002869C9">
            <w:pPr>
              <w:pStyle w:val="BodyText"/>
              <w:jc w:val="right"/>
              <w:rPr>
                <w:sz w:val="20"/>
                <w:szCs w:val="20"/>
              </w:rPr>
            </w:pPr>
            <w:r w:rsidRPr="002869C9">
              <w:rPr>
                <w:rStyle w:val="Bold"/>
                <w:sz w:val="20"/>
                <w:szCs w:val="20"/>
              </w:rPr>
              <w:t>44</w:t>
            </w:r>
          </w:p>
        </w:tc>
        <w:tc>
          <w:tcPr>
            <w:tcW w:w="379" w:type="pct"/>
          </w:tcPr>
          <w:p w:rsidR="00260042" w:rsidRPr="002869C9" w:rsidRDefault="00260042" w:rsidP="002869C9">
            <w:pPr>
              <w:pStyle w:val="BodyText"/>
              <w:jc w:val="right"/>
              <w:rPr>
                <w:sz w:val="20"/>
                <w:szCs w:val="20"/>
              </w:rPr>
            </w:pPr>
            <w:r w:rsidRPr="002869C9">
              <w:rPr>
                <w:rStyle w:val="Bold"/>
                <w:sz w:val="20"/>
                <w:szCs w:val="20"/>
              </w:rPr>
              <w:t>7,117</w:t>
            </w:r>
          </w:p>
        </w:tc>
      </w:tr>
    </w:tbl>
    <w:p w:rsidR="00260042" w:rsidRDefault="00260042" w:rsidP="00EA5510">
      <w:pPr>
        <w:pStyle w:val="BodyText"/>
      </w:pPr>
      <w:r>
        <w:t>(a)</w:t>
      </w:r>
      <w:r>
        <w:tab/>
        <w:t>Non-ongoing employees include irregular/intermittent staff.</w:t>
      </w:r>
    </w:p>
    <w:p w:rsidR="00260042" w:rsidRPr="00EA5510" w:rsidRDefault="00511254" w:rsidP="00EA5510">
      <w:pPr>
        <w:pStyle w:val="BodyText"/>
        <w:rPr>
          <w:b/>
        </w:rPr>
      </w:pPr>
      <w:r>
        <w:rPr>
          <w:rStyle w:val="Bold"/>
          <w:bCs w:val="0"/>
        </w:rPr>
        <w:t>Table 6</w:t>
      </w:r>
      <w:r>
        <w:rPr>
          <w:rStyle w:val="Bold"/>
          <w:bCs w:val="0"/>
        </w:rPr>
        <w:t>2</w:t>
      </w:r>
      <w:r w:rsidR="00260042" w:rsidRPr="00EA5510">
        <w:rPr>
          <w:b/>
        </w:rPr>
        <w:t xml:space="preserve"> Australian Public Service Act non-ongoing employees 2019–20</w:t>
      </w:r>
      <w:r w:rsidR="00260042" w:rsidRPr="00EA5510">
        <w:rPr>
          <w:b/>
          <w:vertAlign w:val="superscript"/>
        </w:rPr>
        <w:t>(a)</w:t>
      </w:r>
    </w:p>
    <w:tbl>
      <w:tblPr>
        <w:tblStyle w:val="TableGrid"/>
        <w:tblW w:w="5000" w:type="pct"/>
        <w:tblLook w:val="0000" w:firstRow="0" w:lastRow="0" w:firstColumn="0" w:lastColumn="0" w:noHBand="0" w:noVBand="0"/>
        <w:tblCaption w:val=" Australian Public Service Act non-ongoing employees 2019–20"/>
      </w:tblPr>
      <w:tblGrid>
        <w:gridCol w:w="1484"/>
        <w:gridCol w:w="919"/>
        <w:gridCol w:w="919"/>
        <w:gridCol w:w="921"/>
        <w:gridCol w:w="919"/>
        <w:gridCol w:w="919"/>
        <w:gridCol w:w="919"/>
        <w:gridCol w:w="920"/>
        <w:gridCol w:w="920"/>
        <w:gridCol w:w="1142"/>
        <w:gridCol w:w="808"/>
      </w:tblGrid>
      <w:tr w:rsidR="00260042" w:rsidRPr="002869C9" w:rsidTr="002869C9">
        <w:trPr>
          <w:trHeight w:val="60"/>
          <w:tblHeader/>
        </w:trPr>
        <w:tc>
          <w:tcPr>
            <w:tcW w:w="638" w:type="pct"/>
          </w:tcPr>
          <w:p w:rsidR="00260042" w:rsidRPr="002869C9" w:rsidRDefault="00260042" w:rsidP="002869C9">
            <w:pPr>
              <w:pStyle w:val="BodyText"/>
              <w:rPr>
                <w:b/>
                <w:sz w:val="20"/>
                <w:szCs w:val="20"/>
              </w:rPr>
            </w:pPr>
          </w:p>
        </w:tc>
        <w:tc>
          <w:tcPr>
            <w:tcW w:w="1294" w:type="pct"/>
            <w:gridSpan w:val="3"/>
          </w:tcPr>
          <w:p w:rsidR="00260042" w:rsidRPr="002869C9" w:rsidRDefault="00260042" w:rsidP="002869C9">
            <w:pPr>
              <w:pStyle w:val="BodyText"/>
              <w:jc w:val="center"/>
              <w:rPr>
                <w:b/>
                <w:sz w:val="20"/>
                <w:szCs w:val="20"/>
              </w:rPr>
            </w:pPr>
            <w:r w:rsidRPr="002869C9">
              <w:rPr>
                <w:b/>
                <w:sz w:val="20"/>
                <w:szCs w:val="20"/>
              </w:rPr>
              <w:t>Male</w:t>
            </w:r>
          </w:p>
        </w:tc>
        <w:tc>
          <w:tcPr>
            <w:tcW w:w="1293" w:type="pct"/>
            <w:gridSpan w:val="3"/>
          </w:tcPr>
          <w:p w:rsidR="00260042" w:rsidRPr="002869C9" w:rsidRDefault="00260042" w:rsidP="002869C9">
            <w:pPr>
              <w:pStyle w:val="BodyText"/>
              <w:jc w:val="center"/>
              <w:rPr>
                <w:b/>
                <w:sz w:val="20"/>
                <w:szCs w:val="20"/>
              </w:rPr>
            </w:pPr>
            <w:r w:rsidRPr="002869C9">
              <w:rPr>
                <w:b/>
                <w:sz w:val="20"/>
                <w:szCs w:val="20"/>
              </w:rPr>
              <w:t>Female</w:t>
            </w:r>
          </w:p>
        </w:tc>
        <w:tc>
          <w:tcPr>
            <w:tcW w:w="1396" w:type="pct"/>
            <w:gridSpan w:val="3"/>
          </w:tcPr>
          <w:p w:rsidR="00260042" w:rsidRPr="002869C9" w:rsidRDefault="00260042" w:rsidP="002869C9">
            <w:pPr>
              <w:pStyle w:val="BodyText"/>
              <w:jc w:val="center"/>
              <w:rPr>
                <w:b/>
                <w:sz w:val="20"/>
                <w:szCs w:val="20"/>
              </w:rPr>
            </w:pPr>
            <w:r w:rsidRPr="002869C9">
              <w:rPr>
                <w:b/>
                <w:sz w:val="20"/>
                <w:szCs w:val="20"/>
              </w:rPr>
              <w:t>Non-binary</w:t>
            </w:r>
          </w:p>
        </w:tc>
        <w:tc>
          <w:tcPr>
            <w:tcW w:w="379" w:type="pct"/>
          </w:tcPr>
          <w:p w:rsidR="00260042" w:rsidRPr="002869C9" w:rsidRDefault="00260042" w:rsidP="002869C9">
            <w:pPr>
              <w:pStyle w:val="BodyText"/>
              <w:jc w:val="center"/>
              <w:rPr>
                <w:b/>
                <w:sz w:val="20"/>
                <w:szCs w:val="20"/>
              </w:rPr>
            </w:pPr>
          </w:p>
        </w:tc>
      </w:tr>
      <w:tr w:rsidR="00260042" w:rsidRPr="002869C9" w:rsidTr="002869C9">
        <w:trPr>
          <w:trHeight w:val="60"/>
          <w:tblHeader/>
        </w:trPr>
        <w:tc>
          <w:tcPr>
            <w:tcW w:w="638" w:type="pct"/>
          </w:tcPr>
          <w:p w:rsidR="00260042" w:rsidRPr="002869C9" w:rsidRDefault="00260042" w:rsidP="002869C9">
            <w:pPr>
              <w:pStyle w:val="BodyText"/>
              <w:rPr>
                <w:sz w:val="20"/>
                <w:szCs w:val="20"/>
              </w:rPr>
            </w:pPr>
            <w:r w:rsidRPr="002869C9">
              <w:rPr>
                <w:rStyle w:val="Bold"/>
                <w:sz w:val="20"/>
                <w:szCs w:val="20"/>
              </w:rPr>
              <w:t>Substantive classification</w:t>
            </w:r>
          </w:p>
        </w:tc>
        <w:tc>
          <w:tcPr>
            <w:tcW w:w="431" w:type="pct"/>
          </w:tcPr>
          <w:p w:rsidR="00260042" w:rsidRPr="002869C9" w:rsidRDefault="00260042" w:rsidP="002869C9">
            <w:pPr>
              <w:pStyle w:val="BodyText"/>
              <w:jc w:val="right"/>
              <w:rPr>
                <w:sz w:val="20"/>
                <w:szCs w:val="20"/>
              </w:rPr>
            </w:pPr>
            <w:r w:rsidRPr="002869C9">
              <w:rPr>
                <w:rStyle w:val="Bold"/>
                <w:sz w:val="20"/>
                <w:szCs w:val="20"/>
              </w:rPr>
              <w:t>Full-time</w:t>
            </w:r>
          </w:p>
        </w:tc>
        <w:tc>
          <w:tcPr>
            <w:tcW w:w="431" w:type="pct"/>
          </w:tcPr>
          <w:p w:rsidR="00260042" w:rsidRPr="002869C9" w:rsidRDefault="00260042" w:rsidP="002869C9">
            <w:pPr>
              <w:pStyle w:val="BodyText"/>
              <w:jc w:val="right"/>
              <w:rPr>
                <w:sz w:val="20"/>
                <w:szCs w:val="20"/>
              </w:rPr>
            </w:pPr>
            <w:r w:rsidRPr="002869C9">
              <w:rPr>
                <w:rStyle w:val="Bold"/>
                <w:sz w:val="20"/>
                <w:szCs w:val="20"/>
              </w:rPr>
              <w:t>Part-time</w:t>
            </w:r>
          </w:p>
        </w:tc>
        <w:tc>
          <w:tcPr>
            <w:tcW w:w="431" w:type="pct"/>
          </w:tcPr>
          <w:p w:rsidR="00260042" w:rsidRPr="002869C9" w:rsidRDefault="00260042" w:rsidP="002869C9">
            <w:pPr>
              <w:pStyle w:val="BodyText"/>
              <w:jc w:val="right"/>
              <w:rPr>
                <w:sz w:val="20"/>
                <w:szCs w:val="20"/>
              </w:rPr>
            </w:pPr>
            <w:r w:rsidRPr="002869C9">
              <w:rPr>
                <w:rStyle w:val="Bold"/>
                <w:sz w:val="20"/>
                <w:szCs w:val="20"/>
              </w:rPr>
              <w:t>Total Male</w:t>
            </w:r>
          </w:p>
        </w:tc>
        <w:tc>
          <w:tcPr>
            <w:tcW w:w="431" w:type="pct"/>
          </w:tcPr>
          <w:p w:rsidR="00260042" w:rsidRPr="002869C9" w:rsidRDefault="00260042" w:rsidP="002869C9">
            <w:pPr>
              <w:pStyle w:val="BodyText"/>
              <w:jc w:val="right"/>
              <w:rPr>
                <w:sz w:val="20"/>
                <w:szCs w:val="20"/>
              </w:rPr>
            </w:pPr>
            <w:r w:rsidRPr="002869C9">
              <w:rPr>
                <w:rStyle w:val="Bold"/>
                <w:sz w:val="20"/>
                <w:szCs w:val="20"/>
              </w:rPr>
              <w:t>Full-time</w:t>
            </w:r>
          </w:p>
        </w:tc>
        <w:tc>
          <w:tcPr>
            <w:tcW w:w="431" w:type="pct"/>
          </w:tcPr>
          <w:p w:rsidR="00260042" w:rsidRPr="002869C9" w:rsidRDefault="00260042" w:rsidP="002869C9">
            <w:pPr>
              <w:pStyle w:val="BodyText"/>
              <w:jc w:val="right"/>
              <w:rPr>
                <w:sz w:val="20"/>
                <w:szCs w:val="20"/>
              </w:rPr>
            </w:pPr>
            <w:r w:rsidRPr="002869C9">
              <w:rPr>
                <w:rStyle w:val="Bold"/>
                <w:sz w:val="20"/>
                <w:szCs w:val="20"/>
              </w:rPr>
              <w:t>Part-time</w:t>
            </w:r>
          </w:p>
        </w:tc>
        <w:tc>
          <w:tcPr>
            <w:tcW w:w="431" w:type="pct"/>
          </w:tcPr>
          <w:p w:rsidR="00260042" w:rsidRPr="002869C9" w:rsidRDefault="00260042" w:rsidP="002869C9">
            <w:pPr>
              <w:pStyle w:val="BodyText"/>
              <w:jc w:val="right"/>
              <w:rPr>
                <w:sz w:val="20"/>
                <w:szCs w:val="20"/>
              </w:rPr>
            </w:pPr>
            <w:r w:rsidRPr="002869C9">
              <w:rPr>
                <w:rStyle w:val="Bold"/>
                <w:sz w:val="20"/>
                <w:szCs w:val="20"/>
              </w:rPr>
              <w:t>Total Female</w:t>
            </w:r>
          </w:p>
        </w:tc>
        <w:tc>
          <w:tcPr>
            <w:tcW w:w="431" w:type="pct"/>
          </w:tcPr>
          <w:p w:rsidR="00260042" w:rsidRPr="002869C9" w:rsidRDefault="00260042" w:rsidP="002869C9">
            <w:pPr>
              <w:pStyle w:val="BodyText"/>
              <w:jc w:val="right"/>
              <w:rPr>
                <w:sz w:val="20"/>
                <w:szCs w:val="20"/>
              </w:rPr>
            </w:pPr>
            <w:r w:rsidRPr="002869C9">
              <w:rPr>
                <w:rStyle w:val="Bold"/>
                <w:sz w:val="20"/>
                <w:szCs w:val="20"/>
              </w:rPr>
              <w:t>Full-time</w:t>
            </w:r>
          </w:p>
        </w:tc>
        <w:tc>
          <w:tcPr>
            <w:tcW w:w="431" w:type="pct"/>
          </w:tcPr>
          <w:p w:rsidR="00260042" w:rsidRPr="002869C9" w:rsidRDefault="00260042" w:rsidP="002869C9">
            <w:pPr>
              <w:pStyle w:val="BodyText"/>
              <w:jc w:val="right"/>
              <w:rPr>
                <w:sz w:val="20"/>
                <w:szCs w:val="20"/>
              </w:rPr>
            </w:pPr>
            <w:r w:rsidRPr="002869C9">
              <w:rPr>
                <w:rStyle w:val="Bold"/>
                <w:sz w:val="20"/>
                <w:szCs w:val="20"/>
              </w:rPr>
              <w:t>Part-time</w:t>
            </w:r>
          </w:p>
        </w:tc>
        <w:tc>
          <w:tcPr>
            <w:tcW w:w="534" w:type="pct"/>
          </w:tcPr>
          <w:p w:rsidR="00260042" w:rsidRPr="002869C9" w:rsidRDefault="00260042" w:rsidP="002869C9">
            <w:pPr>
              <w:pStyle w:val="BodyText"/>
              <w:jc w:val="right"/>
              <w:rPr>
                <w:sz w:val="20"/>
                <w:szCs w:val="20"/>
              </w:rPr>
            </w:pPr>
            <w:r w:rsidRPr="002869C9">
              <w:rPr>
                <w:rStyle w:val="Bold"/>
                <w:sz w:val="20"/>
                <w:szCs w:val="20"/>
              </w:rPr>
              <w:t xml:space="preserve">Total </w:t>
            </w:r>
            <w:r w:rsidRPr="002869C9">
              <w:rPr>
                <w:rStyle w:val="Bold"/>
                <w:spacing w:val="-4"/>
                <w:sz w:val="20"/>
                <w:szCs w:val="20"/>
              </w:rPr>
              <w:t>Non-binary</w:t>
            </w:r>
          </w:p>
        </w:tc>
        <w:tc>
          <w:tcPr>
            <w:tcW w:w="379" w:type="pct"/>
          </w:tcPr>
          <w:p w:rsidR="00260042" w:rsidRPr="002869C9" w:rsidRDefault="00260042" w:rsidP="002869C9">
            <w:pPr>
              <w:pStyle w:val="BodyText"/>
              <w:jc w:val="right"/>
              <w:rPr>
                <w:sz w:val="20"/>
                <w:szCs w:val="20"/>
              </w:rPr>
            </w:pPr>
            <w:r w:rsidRPr="002869C9">
              <w:rPr>
                <w:rStyle w:val="Bold"/>
                <w:sz w:val="20"/>
                <w:szCs w:val="20"/>
              </w:rPr>
              <w:t>Total</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SES 3</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w:t>
            </w:r>
          </w:p>
        </w:tc>
      </w:tr>
      <w:tr w:rsidR="00260042" w:rsidRPr="002869C9" w:rsidTr="002869C9">
        <w:trPr>
          <w:trHeight w:val="305"/>
        </w:trPr>
        <w:tc>
          <w:tcPr>
            <w:tcW w:w="638" w:type="pct"/>
          </w:tcPr>
          <w:p w:rsidR="00260042" w:rsidRPr="002869C9" w:rsidRDefault="00260042" w:rsidP="002869C9">
            <w:pPr>
              <w:pStyle w:val="BodyText"/>
              <w:rPr>
                <w:sz w:val="20"/>
                <w:szCs w:val="20"/>
              </w:rPr>
            </w:pPr>
            <w:r w:rsidRPr="002869C9">
              <w:rPr>
                <w:sz w:val="20"/>
                <w:szCs w:val="20"/>
              </w:rPr>
              <w:t>SES 2</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SES 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EL 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2</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EL 1</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3</w:t>
            </w:r>
          </w:p>
        </w:tc>
        <w:tc>
          <w:tcPr>
            <w:tcW w:w="431" w:type="pct"/>
          </w:tcPr>
          <w:p w:rsidR="00260042" w:rsidRPr="002869C9" w:rsidRDefault="00260042" w:rsidP="002869C9">
            <w:pPr>
              <w:pStyle w:val="BodyText"/>
              <w:jc w:val="right"/>
              <w:rPr>
                <w:sz w:val="20"/>
                <w:szCs w:val="20"/>
              </w:rPr>
            </w:pPr>
            <w:r w:rsidRPr="002869C9">
              <w:rPr>
                <w:sz w:val="20"/>
                <w:szCs w:val="20"/>
              </w:rPr>
              <w:t>5</w:t>
            </w:r>
          </w:p>
        </w:tc>
        <w:tc>
          <w:tcPr>
            <w:tcW w:w="431" w:type="pct"/>
          </w:tcPr>
          <w:p w:rsidR="00260042" w:rsidRPr="002869C9" w:rsidRDefault="00260042" w:rsidP="002869C9">
            <w:pPr>
              <w:pStyle w:val="BodyText"/>
              <w:jc w:val="right"/>
              <w:rPr>
                <w:sz w:val="20"/>
                <w:szCs w:val="20"/>
              </w:rPr>
            </w:pPr>
            <w:r w:rsidRPr="002869C9">
              <w:rPr>
                <w:sz w:val="20"/>
                <w:szCs w:val="20"/>
              </w:rPr>
              <w:t>4</w:t>
            </w:r>
          </w:p>
        </w:tc>
        <w:tc>
          <w:tcPr>
            <w:tcW w:w="431" w:type="pct"/>
          </w:tcPr>
          <w:p w:rsidR="00260042" w:rsidRPr="002869C9" w:rsidRDefault="00260042" w:rsidP="002869C9">
            <w:pPr>
              <w:pStyle w:val="BodyText"/>
              <w:jc w:val="right"/>
              <w:rPr>
                <w:sz w:val="20"/>
                <w:szCs w:val="20"/>
              </w:rPr>
            </w:pPr>
            <w:r w:rsidRPr="002869C9">
              <w:rPr>
                <w:sz w:val="20"/>
                <w:szCs w:val="20"/>
              </w:rPr>
              <w:t>9</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12</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6</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8</w:t>
            </w:r>
          </w:p>
        </w:tc>
        <w:tc>
          <w:tcPr>
            <w:tcW w:w="431" w:type="pct"/>
          </w:tcPr>
          <w:p w:rsidR="00260042" w:rsidRPr="002869C9" w:rsidRDefault="00260042" w:rsidP="002869C9">
            <w:pPr>
              <w:pStyle w:val="BodyText"/>
              <w:jc w:val="right"/>
              <w:rPr>
                <w:sz w:val="20"/>
                <w:szCs w:val="20"/>
              </w:rPr>
            </w:pPr>
            <w:r w:rsidRPr="002869C9">
              <w:rPr>
                <w:sz w:val="20"/>
                <w:szCs w:val="20"/>
              </w:rPr>
              <w:t>7</w:t>
            </w:r>
          </w:p>
        </w:tc>
        <w:tc>
          <w:tcPr>
            <w:tcW w:w="431" w:type="pct"/>
          </w:tcPr>
          <w:p w:rsidR="00260042" w:rsidRPr="002869C9" w:rsidRDefault="00260042" w:rsidP="002869C9">
            <w:pPr>
              <w:pStyle w:val="BodyText"/>
              <w:jc w:val="right"/>
              <w:rPr>
                <w:sz w:val="20"/>
                <w:szCs w:val="20"/>
              </w:rPr>
            </w:pPr>
            <w:r w:rsidRPr="002869C9">
              <w:rPr>
                <w:sz w:val="20"/>
                <w:szCs w:val="20"/>
              </w:rPr>
              <w:t>15</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17</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5</w:t>
            </w:r>
          </w:p>
        </w:tc>
        <w:tc>
          <w:tcPr>
            <w:tcW w:w="431" w:type="pct"/>
          </w:tcPr>
          <w:p w:rsidR="00260042" w:rsidRPr="002869C9" w:rsidRDefault="00260042" w:rsidP="002869C9">
            <w:pPr>
              <w:pStyle w:val="BodyText"/>
              <w:jc w:val="right"/>
              <w:rPr>
                <w:sz w:val="20"/>
                <w:szCs w:val="20"/>
              </w:rPr>
            </w:pPr>
            <w:r w:rsidRPr="002869C9">
              <w:rPr>
                <w:sz w:val="20"/>
                <w:szCs w:val="20"/>
              </w:rPr>
              <w:t>9</w:t>
            </w:r>
          </w:p>
        </w:tc>
        <w:tc>
          <w:tcPr>
            <w:tcW w:w="431" w:type="pct"/>
          </w:tcPr>
          <w:p w:rsidR="00260042" w:rsidRPr="002869C9" w:rsidRDefault="00260042" w:rsidP="002869C9">
            <w:pPr>
              <w:pStyle w:val="BodyText"/>
              <w:jc w:val="right"/>
              <w:rPr>
                <w:sz w:val="20"/>
                <w:szCs w:val="20"/>
              </w:rPr>
            </w:pPr>
            <w:r w:rsidRPr="002869C9">
              <w:rPr>
                <w:sz w:val="20"/>
                <w:szCs w:val="20"/>
              </w:rPr>
              <w:t>10</w:t>
            </w:r>
          </w:p>
        </w:tc>
        <w:tc>
          <w:tcPr>
            <w:tcW w:w="431" w:type="pct"/>
          </w:tcPr>
          <w:p w:rsidR="00260042" w:rsidRPr="002869C9" w:rsidRDefault="00260042" w:rsidP="002869C9">
            <w:pPr>
              <w:pStyle w:val="BodyText"/>
              <w:jc w:val="right"/>
              <w:rPr>
                <w:sz w:val="20"/>
                <w:szCs w:val="20"/>
              </w:rPr>
            </w:pPr>
            <w:r w:rsidRPr="002869C9">
              <w:rPr>
                <w:sz w:val="20"/>
                <w:szCs w:val="20"/>
              </w:rPr>
              <w:t>19</w:t>
            </w:r>
          </w:p>
        </w:tc>
        <w:tc>
          <w:tcPr>
            <w:tcW w:w="431" w:type="pct"/>
          </w:tcPr>
          <w:p w:rsidR="00260042" w:rsidRPr="002869C9" w:rsidRDefault="00260042" w:rsidP="002869C9">
            <w:pPr>
              <w:pStyle w:val="BodyText"/>
              <w:jc w:val="right"/>
              <w:rPr>
                <w:sz w:val="20"/>
                <w:szCs w:val="20"/>
              </w:rPr>
            </w:pPr>
            <w:r w:rsidRPr="002869C9">
              <w:rPr>
                <w:sz w:val="20"/>
                <w:szCs w:val="20"/>
              </w:rPr>
              <w:t>6</w:t>
            </w:r>
          </w:p>
        </w:tc>
        <w:tc>
          <w:tcPr>
            <w:tcW w:w="431" w:type="pct"/>
          </w:tcPr>
          <w:p w:rsidR="00260042" w:rsidRPr="002869C9" w:rsidRDefault="00260042" w:rsidP="002869C9">
            <w:pPr>
              <w:pStyle w:val="BodyText"/>
              <w:jc w:val="right"/>
              <w:rPr>
                <w:sz w:val="20"/>
                <w:szCs w:val="20"/>
              </w:rPr>
            </w:pPr>
            <w:r w:rsidRPr="002869C9">
              <w:rPr>
                <w:sz w:val="20"/>
                <w:szCs w:val="20"/>
              </w:rPr>
              <w:t>9</w:t>
            </w:r>
          </w:p>
        </w:tc>
        <w:tc>
          <w:tcPr>
            <w:tcW w:w="431" w:type="pct"/>
          </w:tcPr>
          <w:p w:rsidR="00260042" w:rsidRPr="002869C9" w:rsidRDefault="00260042" w:rsidP="002869C9">
            <w:pPr>
              <w:pStyle w:val="BodyText"/>
              <w:jc w:val="right"/>
              <w:rPr>
                <w:sz w:val="20"/>
                <w:szCs w:val="20"/>
              </w:rPr>
            </w:pPr>
            <w:r w:rsidRPr="002869C9">
              <w:rPr>
                <w:sz w:val="20"/>
                <w:szCs w:val="20"/>
              </w:rPr>
              <w:t>15</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1</w:t>
            </w:r>
          </w:p>
        </w:tc>
        <w:tc>
          <w:tcPr>
            <w:tcW w:w="379" w:type="pct"/>
          </w:tcPr>
          <w:p w:rsidR="00260042" w:rsidRPr="002869C9" w:rsidRDefault="00260042" w:rsidP="002869C9">
            <w:pPr>
              <w:pStyle w:val="BodyText"/>
              <w:jc w:val="right"/>
              <w:rPr>
                <w:sz w:val="20"/>
                <w:szCs w:val="20"/>
              </w:rPr>
            </w:pPr>
            <w:r w:rsidRPr="002869C9">
              <w:rPr>
                <w:rStyle w:val="01bodybold"/>
                <w:sz w:val="20"/>
                <w:szCs w:val="20"/>
              </w:rPr>
              <w:t>35</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4</w:t>
            </w:r>
          </w:p>
        </w:tc>
        <w:tc>
          <w:tcPr>
            <w:tcW w:w="431" w:type="pct"/>
          </w:tcPr>
          <w:p w:rsidR="00260042" w:rsidRPr="002869C9" w:rsidRDefault="00260042" w:rsidP="002869C9">
            <w:pPr>
              <w:pStyle w:val="BodyText"/>
              <w:jc w:val="right"/>
              <w:rPr>
                <w:sz w:val="20"/>
                <w:szCs w:val="20"/>
              </w:rPr>
            </w:pPr>
            <w:r w:rsidRPr="002869C9">
              <w:rPr>
                <w:sz w:val="20"/>
                <w:szCs w:val="20"/>
              </w:rPr>
              <w:t>17</w:t>
            </w:r>
          </w:p>
        </w:tc>
        <w:tc>
          <w:tcPr>
            <w:tcW w:w="431" w:type="pct"/>
          </w:tcPr>
          <w:p w:rsidR="00260042" w:rsidRPr="002869C9" w:rsidRDefault="00260042" w:rsidP="002869C9">
            <w:pPr>
              <w:pStyle w:val="BodyText"/>
              <w:jc w:val="right"/>
              <w:rPr>
                <w:sz w:val="20"/>
                <w:szCs w:val="20"/>
              </w:rPr>
            </w:pPr>
            <w:r w:rsidRPr="002869C9">
              <w:rPr>
                <w:sz w:val="20"/>
                <w:szCs w:val="20"/>
              </w:rPr>
              <w:t>76</w:t>
            </w:r>
          </w:p>
        </w:tc>
        <w:tc>
          <w:tcPr>
            <w:tcW w:w="431" w:type="pct"/>
          </w:tcPr>
          <w:p w:rsidR="00260042" w:rsidRPr="002869C9" w:rsidRDefault="00260042" w:rsidP="002869C9">
            <w:pPr>
              <w:pStyle w:val="BodyText"/>
              <w:jc w:val="right"/>
              <w:rPr>
                <w:sz w:val="20"/>
                <w:szCs w:val="20"/>
              </w:rPr>
            </w:pPr>
            <w:r w:rsidRPr="002869C9">
              <w:rPr>
                <w:sz w:val="20"/>
                <w:szCs w:val="20"/>
              </w:rPr>
              <w:t>93</w:t>
            </w:r>
          </w:p>
        </w:tc>
        <w:tc>
          <w:tcPr>
            <w:tcW w:w="431" w:type="pct"/>
          </w:tcPr>
          <w:p w:rsidR="00260042" w:rsidRPr="002869C9" w:rsidRDefault="00260042" w:rsidP="002869C9">
            <w:pPr>
              <w:pStyle w:val="BodyText"/>
              <w:jc w:val="right"/>
              <w:rPr>
                <w:sz w:val="20"/>
                <w:szCs w:val="20"/>
              </w:rPr>
            </w:pPr>
            <w:r w:rsidRPr="002869C9">
              <w:rPr>
                <w:sz w:val="20"/>
                <w:szCs w:val="20"/>
              </w:rPr>
              <w:t>26</w:t>
            </w:r>
          </w:p>
        </w:tc>
        <w:tc>
          <w:tcPr>
            <w:tcW w:w="431" w:type="pct"/>
          </w:tcPr>
          <w:p w:rsidR="00260042" w:rsidRPr="002869C9" w:rsidRDefault="00260042" w:rsidP="002869C9">
            <w:pPr>
              <w:pStyle w:val="BodyText"/>
              <w:jc w:val="right"/>
              <w:rPr>
                <w:sz w:val="20"/>
                <w:szCs w:val="20"/>
              </w:rPr>
            </w:pPr>
            <w:r w:rsidRPr="002869C9">
              <w:rPr>
                <w:sz w:val="20"/>
                <w:szCs w:val="20"/>
              </w:rPr>
              <w:t>141</w:t>
            </w:r>
          </w:p>
        </w:tc>
        <w:tc>
          <w:tcPr>
            <w:tcW w:w="431" w:type="pct"/>
          </w:tcPr>
          <w:p w:rsidR="00260042" w:rsidRPr="002869C9" w:rsidRDefault="00260042" w:rsidP="002869C9">
            <w:pPr>
              <w:pStyle w:val="BodyText"/>
              <w:jc w:val="right"/>
              <w:rPr>
                <w:sz w:val="20"/>
                <w:szCs w:val="20"/>
              </w:rPr>
            </w:pPr>
            <w:r w:rsidRPr="002869C9">
              <w:rPr>
                <w:sz w:val="20"/>
                <w:szCs w:val="20"/>
              </w:rPr>
              <w:t>167</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1</w:t>
            </w:r>
          </w:p>
        </w:tc>
        <w:tc>
          <w:tcPr>
            <w:tcW w:w="534" w:type="pct"/>
          </w:tcPr>
          <w:p w:rsidR="00260042" w:rsidRPr="002869C9" w:rsidRDefault="00260042" w:rsidP="002869C9">
            <w:pPr>
              <w:pStyle w:val="BodyText"/>
              <w:jc w:val="right"/>
              <w:rPr>
                <w:sz w:val="20"/>
                <w:szCs w:val="20"/>
              </w:rPr>
            </w:pPr>
            <w:r w:rsidRPr="002869C9">
              <w:rPr>
                <w:sz w:val="20"/>
                <w:szCs w:val="20"/>
              </w:rPr>
              <w:t>1</w:t>
            </w:r>
          </w:p>
        </w:tc>
        <w:tc>
          <w:tcPr>
            <w:tcW w:w="379" w:type="pct"/>
          </w:tcPr>
          <w:p w:rsidR="00260042" w:rsidRPr="002869C9" w:rsidRDefault="00260042" w:rsidP="002869C9">
            <w:pPr>
              <w:pStyle w:val="BodyText"/>
              <w:jc w:val="right"/>
              <w:rPr>
                <w:sz w:val="20"/>
                <w:szCs w:val="20"/>
              </w:rPr>
            </w:pPr>
            <w:r w:rsidRPr="002869C9">
              <w:rPr>
                <w:rStyle w:val="01bodybold"/>
                <w:sz w:val="20"/>
                <w:szCs w:val="20"/>
              </w:rPr>
              <w:t>261</w:t>
            </w:r>
          </w:p>
        </w:tc>
      </w:tr>
      <w:tr w:rsidR="00260042" w:rsidRPr="002869C9" w:rsidTr="002869C9">
        <w:trPr>
          <w:trHeight w:val="376"/>
        </w:trPr>
        <w:tc>
          <w:tcPr>
            <w:tcW w:w="638" w:type="pct"/>
          </w:tcPr>
          <w:p w:rsidR="00260042" w:rsidRPr="002869C9" w:rsidRDefault="00260042" w:rsidP="002869C9">
            <w:pPr>
              <w:pStyle w:val="BodyText"/>
              <w:rPr>
                <w:sz w:val="20"/>
                <w:szCs w:val="20"/>
              </w:rPr>
            </w:pPr>
            <w:r w:rsidRPr="002869C9">
              <w:rPr>
                <w:sz w:val="20"/>
                <w:szCs w:val="20"/>
              </w:rPr>
              <w:t>APS 3</w:t>
            </w:r>
          </w:p>
        </w:tc>
        <w:tc>
          <w:tcPr>
            <w:tcW w:w="431" w:type="pct"/>
          </w:tcPr>
          <w:p w:rsidR="00260042" w:rsidRPr="002869C9" w:rsidRDefault="00260042" w:rsidP="002869C9">
            <w:pPr>
              <w:pStyle w:val="BodyText"/>
              <w:jc w:val="right"/>
              <w:rPr>
                <w:sz w:val="20"/>
                <w:szCs w:val="20"/>
              </w:rPr>
            </w:pPr>
            <w:r w:rsidRPr="002869C9">
              <w:rPr>
                <w:sz w:val="20"/>
                <w:szCs w:val="20"/>
              </w:rPr>
              <w:t>231</w:t>
            </w:r>
          </w:p>
        </w:tc>
        <w:tc>
          <w:tcPr>
            <w:tcW w:w="431" w:type="pct"/>
          </w:tcPr>
          <w:p w:rsidR="00260042" w:rsidRPr="002869C9" w:rsidRDefault="00260042" w:rsidP="002869C9">
            <w:pPr>
              <w:pStyle w:val="BodyText"/>
              <w:jc w:val="right"/>
              <w:rPr>
                <w:sz w:val="20"/>
                <w:szCs w:val="20"/>
              </w:rPr>
            </w:pPr>
            <w:r w:rsidRPr="002869C9">
              <w:rPr>
                <w:sz w:val="20"/>
                <w:szCs w:val="20"/>
              </w:rPr>
              <w:t>827</w:t>
            </w:r>
          </w:p>
        </w:tc>
        <w:tc>
          <w:tcPr>
            <w:tcW w:w="431" w:type="pct"/>
          </w:tcPr>
          <w:p w:rsidR="00260042" w:rsidRPr="002869C9" w:rsidRDefault="00260042" w:rsidP="002869C9">
            <w:pPr>
              <w:pStyle w:val="BodyText"/>
              <w:jc w:val="right"/>
              <w:rPr>
                <w:sz w:val="20"/>
                <w:szCs w:val="20"/>
              </w:rPr>
            </w:pPr>
            <w:r w:rsidRPr="002869C9">
              <w:rPr>
                <w:sz w:val="20"/>
                <w:szCs w:val="20"/>
              </w:rPr>
              <w:t>1,058</w:t>
            </w:r>
          </w:p>
        </w:tc>
        <w:tc>
          <w:tcPr>
            <w:tcW w:w="431" w:type="pct"/>
          </w:tcPr>
          <w:p w:rsidR="00260042" w:rsidRPr="002869C9" w:rsidRDefault="00260042" w:rsidP="002869C9">
            <w:pPr>
              <w:pStyle w:val="BodyText"/>
              <w:jc w:val="right"/>
              <w:rPr>
                <w:sz w:val="20"/>
                <w:szCs w:val="20"/>
              </w:rPr>
            </w:pPr>
            <w:r w:rsidRPr="002869C9">
              <w:rPr>
                <w:sz w:val="20"/>
                <w:szCs w:val="20"/>
              </w:rPr>
              <w:t>428</w:t>
            </w:r>
          </w:p>
        </w:tc>
        <w:tc>
          <w:tcPr>
            <w:tcW w:w="431" w:type="pct"/>
          </w:tcPr>
          <w:p w:rsidR="00260042" w:rsidRPr="002869C9" w:rsidRDefault="00260042" w:rsidP="002869C9">
            <w:pPr>
              <w:pStyle w:val="BodyText"/>
              <w:jc w:val="right"/>
              <w:rPr>
                <w:sz w:val="20"/>
                <w:szCs w:val="20"/>
              </w:rPr>
            </w:pPr>
            <w:r w:rsidRPr="002869C9">
              <w:rPr>
                <w:sz w:val="20"/>
                <w:szCs w:val="20"/>
              </w:rPr>
              <w:t>2,357</w:t>
            </w:r>
          </w:p>
        </w:tc>
        <w:tc>
          <w:tcPr>
            <w:tcW w:w="431" w:type="pct"/>
          </w:tcPr>
          <w:p w:rsidR="00260042" w:rsidRPr="002869C9" w:rsidRDefault="00260042" w:rsidP="002869C9">
            <w:pPr>
              <w:pStyle w:val="BodyText"/>
              <w:jc w:val="right"/>
              <w:rPr>
                <w:sz w:val="20"/>
                <w:szCs w:val="20"/>
              </w:rPr>
            </w:pPr>
            <w:r w:rsidRPr="002869C9">
              <w:rPr>
                <w:sz w:val="20"/>
                <w:szCs w:val="20"/>
              </w:rPr>
              <w:t>2,785</w:t>
            </w:r>
          </w:p>
        </w:tc>
        <w:tc>
          <w:tcPr>
            <w:tcW w:w="431" w:type="pct"/>
          </w:tcPr>
          <w:p w:rsidR="00260042" w:rsidRPr="002869C9" w:rsidRDefault="00260042" w:rsidP="002869C9">
            <w:pPr>
              <w:pStyle w:val="BodyText"/>
              <w:jc w:val="right"/>
              <w:rPr>
                <w:sz w:val="20"/>
                <w:szCs w:val="20"/>
              </w:rPr>
            </w:pPr>
            <w:r w:rsidRPr="002869C9">
              <w:rPr>
                <w:sz w:val="20"/>
                <w:szCs w:val="20"/>
              </w:rPr>
              <w:t>8</w:t>
            </w:r>
          </w:p>
        </w:tc>
        <w:tc>
          <w:tcPr>
            <w:tcW w:w="431" w:type="pct"/>
          </w:tcPr>
          <w:p w:rsidR="00260042" w:rsidRPr="002869C9" w:rsidRDefault="00260042" w:rsidP="002869C9">
            <w:pPr>
              <w:pStyle w:val="BodyText"/>
              <w:jc w:val="right"/>
              <w:rPr>
                <w:sz w:val="20"/>
                <w:szCs w:val="20"/>
              </w:rPr>
            </w:pPr>
            <w:r w:rsidRPr="002869C9">
              <w:rPr>
                <w:sz w:val="20"/>
                <w:szCs w:val="20"/>
              </w:rPr>
              <w:t>22</w:t>
            </w:r>
          </w:p>
        </w:tc>
        <w:tc>
          <w:tcPr>
            <w:tcW w:w="534" w:type="pct"/>
          </w:tcPr>
          <w:p w:rsidR="00260042" w:rsidRPr="002869C9" w:rsidRDefault="00260042" w:rsidP="002869C9">
            <w:pPr>
              <w:pStyle w:val="BodyText"/>
              <w:jc w:val="right"/>
              <w:rPr>
                <w:sz w:val="20"/>
                <w:szCs w:val="20"/>
              </w:rPr>
            </w:pPr>
            <w:r w:rsidRPr="002869C9">
              <w:rPr>
                <w:sz w:val="20"/>
                <w:szCs w:val="20"/>
              </w:rPr>
              <w:t>30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3,873</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lastRenderedPageBreak/>
              <w:t>APS 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2</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2</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APS 1</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sz w:val="20"/>
                <w:szCs w:val="20"/>
              </w:rPr>
              <w:t>Other</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431" w:type="pct"/>
          </w:tcPr>
          <w:p w:rsidR="00260042" w:rsidRPr="002869C9" w:rsidRDefault="00260042" w:rsidP="002869C9">
            <w:pPr>
              <w:pStyle w:val="BodyText"/>
              <w:jc w:val="right"/>
              <w:rPr>
                <w:sz w:val="20"/>
                <w:szCs w:val="20"/>
              </w:rPr>
            </w:pPr>
            <w:r w:rsidRPr="002869C9">
              <w:rPr>
                <w:sz w:val="20"/>
                <w:szCs w:val="20"/>
              </w:rPr>
              <w:t>0</w:t>
            </w:r>
          </w:p>
        </w:tc>
        <w:tc>
          <w:tcPr>
            <w:tcW w:w="534" w:type="pct"/>
          </w:tcPr>
          <w:p w:rsidR="00260042" w:rsidRPr="002869C9" w:rsidRDefault="00260042" w:rsidP="002869C9">
            <w:pPr>
              <w:pStyle w:val="BodyText"/>
              <w:jc w:val="right"/>
              <w:rPr>
                <w:sz w:val="20"/>
                <w:szCs w:val="20"/>
              </w:rPr>
            </w:pPr>
            <w:r w:rsidRPr="002869C9">
              <w:rPr>
                <w:sz w:val="20"/>
                <w:szCs w:val="20"/>
              </w:rPr>
              <w:t>0</w:t>
            </w:r>
          </w:p>
        </w:tc>
        <w:tc>
          <w:tcPr>
            <w:tcW w:w="379" w:type="pct"/>
          </w:tcPr>
          <w:p w:rsidR="00260042" w:rsidRPr="002869C9" w:rsidRDefault="00260042" w:rsidP="002869C9">
            <w:pPr>
              <w:pStyle w:val="BodyText"/>
              <w:jc w:val="right"/>
              <w:rPr>
                <w:sz w:val="20"/>
                <w:szCs w:val="20"/>
              </w:rPr>
            </w:pPr>
            <w:r w:rsidRPr="002869C9">
              <w:rPr>
                <w:rStyle w:val="01bodybold"/>
                <w:sz w:val="20"/>
                <w:szCs w:val="20"/>
              </w:rPr>
              <w:t>0</w:t>
            </w:r>
          </w:p>
        </w:tc>
      </w:tr>
      <w:tr w:rsidR="00260042" w:rsidRPr="002869C9" w:rsidTr="002869C9">
        <w:trPr>
          <w:trHeight w:val="60"/>
        </w:trPr>
        <w:tc>
          <w:tcPr>
            <w:tcW w:w="638" w:type="pct"/>
          </w:tcPr>
          <w:p w:rsidR="00260042" w:rsidRPr="002869C9" w:rsidRDefault="00260042" w:rsidP="002869C9">
            <w:pPr>
              <w:pStyle w:val="BodyText"/>
              <w:rPr>
                <w:sz w:val="20"/>
                <w:szCs w:val="20"/>
              </w:rPr>
            </w:pPr>
            <w:r w:rsidRPr="002869C9">
              <w:rPr>
                <w:rStyle w:val="Bold"/>
                <w:sz w:val="20"/>
                <w:szCs w:val="20"/>
              </w:rPr>
              <w:t>Total</w:t>
            </w:r>
          </w:p>
        </w:tc>
        <w:tc>
          <w:tcPr>
            <w:tcW w:w="431" w:type="pct"/>
          </w:tcPr>
          <w:p w:rsidR="00260042" w:rsidRPr="002869C9" w:rsidRDefault="00260042" w:rsidP="002869C9">
            <w:pPr>
              <w:pStyle w:val="BodyText"/>
              <w:jc w:val="right"/>
              <w:rPr>
                <w:sz w:val="20"/>
                <w:szCs w:val="20"/>
              </w:rPr>
            </w:pPr>
            <w:r w:rsidRPr="002869C9">
              <w:rPr>
                <w:rStyle w:val="Bold"/>
                <w:sz w:val="20"/>
                <w:szCs w:val="20"/>
              </w:rPr>
              <w:t>262</w:t>
            </w:r>
          </w:p>
        </w:tc>
        <w:tc>
          <w:tcPr>
            <w:tcW w:w="431" w:type="pct"/>
          </w:tcPr>
          <w:p w:rsidR="00260042" w:rsidRPr="002869C9" w:rsidRDefault="00260042" w:rsidP="002869C9">
            <w:pPr>
              <w:pStyle w:val="BodyText"/>
              <w:jc w:val="right"/>
              <w:rPr>
                <w:sz w:val="20"/>
                <w:szCs w:val="20"/>
              </w:rPr>
            </w:pPr>
            <w:r w:rsidRPr="002869C9">
              <w:rPr>
                <w:rStyle w:val="Bold"/>
                <w:sz w:val="20"/>
                <w:szCs w:val="20"/>
              </w:rPr>
              <w:t>916</w:t>
            </w:r>
          </w:p>
        </w:tc>
        <w:tc>
          <w:tcPr>
            <w:tcW w:w="431" w:type="pct"/>
          </w:tcPr>
          <w:p w:rsidR="00260042" w:rsidRPr="002869C9" w:rsidRDefault="00260042" w:rsidP="002869C9">
            <w:pPr>
              <w:pStyle w:val="BodyText"/>
              <w:jc w:val="right"/>
              <w:rPr>
                <w:sz w:val="20"/>
                <w:szCs w:val="20"/>
              </w:rPr>
            </w:pPr>
            <w:r w:rsidRPr="002869C9">
              <w:rPr>
                <w:rStyle w:val="Bold"/>
                <w:sz w:val="20"/>
                <w:szCs w:val="20"/>
              </w:rPr>
              <w:t>1,178</w:t>
            </w:r>
          </w:p>
        </w:tc>
        <w:tc>
          <w:tcPr>
            <w:tcW w:w="431" w:type="pct"/>
          </w:tcPr>
          <w:p w:rsidR="00260042" w:rsidRPr="002869C9" w:rsidRDefault="00260042" w:rsidP="002869C9">
            <w:pPr>
              <w:pStyle w:val="BodyText"/>
              <w:jc w:val="right"/>
              <w:rPr>
                <w:sz w:val="20"/>
                <w:szCs w:val="20"/>
              </w:rPr>
            </w:pPr>
            <w:r w:rsidRPr="002869C9">
              <w:rPr>
                <w:rStyle w:val="Bold"/>
                <w:sz w:val="20"/>
                <w:szCs w:val="20"/>
              </w:rPr>
              <w:t>476</w:t>
            </w:r>
          </w:p>
        </w:tc>
        <w:tc>
          <w:tcPr>
            <w:tcW w:w="431" w:type="pct"/>
          </w:tcPr>
          <w:p w:rsidR="00260042" w:rsidRPr="002869C9" w:rsidRDefault="00260042" w:rsidP="002869C9">
            <w:pPr>
              <w:pStyle w:val="BodyText"/>
              <w:jc w:val="right"/>
              <w:rPr>
                <w:sz w:val="20"/>
                <w:szCs w:val="20"/>
              </w:rPr>
            </w:pPr>
            <w:r w:rsidRPr="002869C9">
              <w:rPr>
                <w:rStyle w:val="Bold"/>
                <w:sz w:val="20"/>
                <w:szCs w:val="20"/>
              </w:rPr>
              <w:t>2,518</w:t>
            </w:r>
          </w:p>
        </w:tc>
        <w:tc>
          <w:tcPr>
            <w:tcW w:w="431" w:type="pct"/>
          </w:tcPr>
          <w:p w:rsidR="00260042" w:rsidRPr="002869C9" w:rsidRDefault="00260042" w:rsidP="002869C9">
            <w:pPr>
              <w:pStyle w:val="BodyText"/>
              <w:jc w:val="right"/>
              <w:rPr>
                <w:sz w:val="20"/>
                <w:szCs w:val="20"/>
              </w:rPr>
            </w:pPr>
            <w:r w:rsidRPr="002869C9">
              <w:rPr>
                <w:rStyle w:val="Bold"/>
                <w:sz w:val="20"/>
                <w:szCs w:val="20"/>
              </w:rPr>
              <w:t>2,994</w:t>
            </w:r>
          </w:p>
        </w:tc>
        <w:tc>
          <w:tcPr>
            <w:tcW w:w="431" w:type="pct"/>
          </w:tcPr>
          <w:p w:rsidR="00260042" w:rsidRPr="002869C9" w:rsidRDefault="00260042" w:rsidP="002869C9">
            <w:pPr>
              <w:pStyle w:val="BodyText"/>
              <w:jc w:val="right"/>
              <w:rPr>
                <w:sz w:val="20"/>
                <w:szCs w:val="20"/>
              </w:rPr>
            </w:pPr>
            <w:r w:rsidRPr="002869C9">
              <w:rPr>
                <w:rStyle w:val="Bold"/>
                <w:sz w:val="20"/>
                <w:szCs w:val="20"/>
              </w:rPr>
              <w:t>9</w:t>
            </w:r>
          </w:p>
        </w:tc>
        <w:tc>
          <w:tcPr>
            <w:tcW w:w="431" w:type="pct"/>
          </w:tcPr>
          <w:p w:rsidR="00260042" w:rsidRPr="002869C9" w:rsidRDefault="00260042" w:rsidP="002869C9">
            <w:pPr>
              <w:pStyle w:val="BodyText"/>
              <w:jc w:val="right"/>
              <w:rPr>
                <w:sz w:val="20"/>
                <w:szCs w:val="20"/>
              </w:rPr>
            </w:pPr>
            <w:r w:rsidRPr="002869C9">
              <w:rPr>
                <w:rStyle w:val="Bold"/>
                <w:sz w:val="20"/>
                <w:szCs w:val="20"/>
              </w:rPr>
              <w:t>23</w:t>
            </w:r>
          </w:p>
        </w:tc>
        <w:tc>
          <w:tcPr>
            <w:tcW w:w="534" w:type="pct"/>
          </w:tcPr>
          <w:p w:rsidR="00260042" w:rsidRPr="002869C9" w:rsidRDefault="00260042" w:rsidP="002869C9">
            <w:pPr>
              <w:pStyle w:val="BodyText"/>
              <w:jc w:val="right"/>
              <w:rPr>
                <w:sz w:val="20"/>
                <w:szCs w:val="20"/>
              </w:rPr>
            </w:pPr>
            <w:r w:rsidRPr="002869C9">
              <w:rPr>
                <w:rStyle w:val="Bold"/>
                <w:sz w:val="20"/>
                <w:szCs w:val="20"/>
              </w:rPr>
              <w:t>32</w:t>
            </w:r>
          </w:p>
        </w:tc>
        <w:tc>
          <w:tcPr>
            <w:tcW w:w="379" w:type="pct"/>
          </w:tcPr>
          <w:p w:rsidR="00260042" w:rsidRPr="002869C9" w:rsidRDefault="00260042" w:rsidP="002869C9">
            <w:pPr>
              <w:pStyle w:val="BodyText"/>
              <w:jc w:val="right"/>
              <w:rPr>
                <w:sz w:val="20"/>
                <w:szCs w:val="20"/>
              </w:rPr>
            </w:pPr>
            <w:r w:rsidRPr="002869C9">
              <w:rPr>
                <w:rStyle w:val="Bold"/>
                <w:sz w:val="20"/>
                <w:szCs w:val="20"/>
              </w:rPr>
              <w:t>4,204</w:t>
            </w:r>
          </w:p>
        </w:tc>
      </w:tr>
    </w:tbl>
    <w:p w:rsidR="00260042" w:rsidRDefault="00260042" w:rsidP="00EA5510">
      <w:pPr>
        <w:pStyle w:val="BodyText"/>
      </w:pPr>
      <w:r>
        <w:t>(a)</w:t>
      </w:r>
      <w:r>
        <w:tab/>
        <w:t>Non-ongoing employees include irregular/intermittent staff.</w:t>
      </w:r>
    </w:p>
    <w:p w:rsidR="00260042" w:rsidRDefault="00260042" w:rsidP="002E64CE">
      <w:pPr>
        <w:pStyle w:val="Heading3"/>
      </w:pPr>
      <w:r>
        <w:t>PGPA Rule s. 17AG (4</w:t>
      </w:r>
      <w:proofErr w:type="gramStart"/>
      <w:r>
        <w:t>)</w:t>
      </w:r>
      <w:r>
        <w:rPr>
          <w:caps/>
        </w:rPr>
        <w:t>(</w:t>
      </w:r>
      <w:proofErr w:type="gramEnd"/>
      <w:r>
        <w:rPr>
          <w:caps/>
        </w:rPr>
        <w:t>b)(i)–(iii)</w:t>
      </w:r>
      <w:r>
        <w:t xml:space="preserve"> Employment type by full-time and part-time status</w:t>
      </w:r>
    </w:p>
    <w:p w:rsidR="00260042" w:rsidRPr="00EA5510" w:rsidRDefault="00511254" w:rsidP="00EA5510">
      <w:pPr>
        <w:pStyle w:val="BodyText"/>
        <w:rPr>
          <w:b/>
        </w:rPr>
      </w:pPr>
      <w:r>
        <w:rPr>
          <w:rStyle w:val="Bold"/>
          <w:bCs w:val="0"/>
        </w:rPr>
        <w:t>Table 6</w:t>
      </w:r>
      <w:r>
        <w:rPr>
          <w:rStyle w:val="Bold"/>
          <w:bCs w:val="0"/>
        </w:rPr>
        <w:t>3</w:t>
      </w:r>
      <w:r w:rsidR="00260042" w:rsidRPr="00EA5510">
        <w:rPr>
          <w:b/>
        </w:rPr>
        <w:t xml:space="preserve"> Australian Public Service Act employees by full-time and part-time status 2020–21</w:t>
      </w:r>
    </w:p>
    <w:tbl>
      <w:tblPr>
        <w:tblStyle w:val="TableGrid"/>
        <w:tblW w:w="5000" w:type="pct"/>
        <w:tblLook w:val="0000" w:firstRow="0" w:lastRow="0" w:firstColumn="0" w:lastColumn="0" w:noHBand="0" w:noVBand="0"/>
        <w:tblCaption w:val="Australian Public Service Act employees by full-time and part-time status 2020–21"/>
      </w:tblPr>
      <w:tblGrid>
        <w:gridCol w:w="1564"/>
        <w:gridCol w:w="1318"/>
        <w:gridCol w:w="1318"/>
        <w:gridCol w:w="1319"/>
        <w:gridCol w:w="1319"/>
        <w:gridCol w:w="1319"/>
        <w:gridCol w:w="1319"/>
        <w:gridCol w:w="1314"/>
      </w:tblGrid>
      <w:tr w:rsidR="00260042" w:rsidRPr="002869C9" w:rsidTr="002869C9">
        <w:trPr>
          <w:trHeight w:val="60"/>
          <w:tblHeader/>
        </w:trPr>
        <w:tc>
          <w:tcPr>
            <w:tcW w:w="725" w:type="pct"/>
          </w:tcPr>
          <w:p w:rsidR="00260042" w:rsidRPr="002869C9" w:rsidRDefault="00260042" w:rsidP="002869C9">
            <w:pPr>
              <w:pStyle w:val="BodyText"/>
              <w:rPr>
                <w:b/>
                <w:sz w:val="20"/>
                <w:szCs w:val="20"/>
              </w:rPr>
            </w:pPr>
          </w:p>
        </w:tc>
        <w:tc>
          <w:tcPr>
            <w:tcW w:w="1832" w:type="pct"/>
            <w:gridSpan w:val="3"/>
          </w:tcPr>
          <w:p w:rsidR="00260042" w:rsidRPr="002869C9" w:rsidRDefault="00260042" w:rsidP="002869C9">
            <w:pPr>
              <w:pStyle w:val="BodyText"/>
              <w:jc w:val="center"/>
              <w:rPr>
                <w:b/>
                <w:sz w:val="20"/>
                <w:szCs w:val="20"/>
              </w:rPr>
            </w:pPr>
            <w:r w:rsidRPr="002869C9">
              <w:rPr>
                <w:b/>
                <w:sz w:val="20"/>
                <w:szCs w:val="20"/>
              </w:rPr>
              <w:t>Ongoing</w:t>
            </w:r>
          </w:p>
        </w:tc>
        <w:tc>
          <w:tcPr>
            <w:tcW w:w="1832" w:type="pct"/>
            <w:gridSpan w:val="3"/>
          </w:tcPr>
          <w:p w:rsidR="00260042" w:rsidRPr="002869C9" w:rsidRDefault="00260042" w:rsidP="002869C9">
            <w:pPr>
              <w:pStyle w:val="BodyText"/>
              <w:jc w:val="center"/>
              <w:rPr>
                <w:b/>
                <w:sz w:val="20"/>
                <w:szCs w:val="20"/>
              </w:rPr>
            </w:pPr>
            <w:r w:rsidRPr="002869C9">
              <w:rPr>
                <w:b/>
                <w:sz w:val="20"/>
                <w:szCs w:val="20"/>
              </w:rPr>
              <w:t>Non-ongoing</w:t>
            </w:r>
            <w:r w:rsidRPr="002869C9">
              <w:rPr>
                <w:b/>
                <w:sz w:val="20"/>
                <w:szCs w:val="20"/>
                <w:vertAlign w:val="superscript"/>
              </w:rPr>
              <w:t>(a)</w:t>
            </w:r>
          </w:p>
        </w:tc>
        <w:tc>
          <w:tcPr>
            <w:tcW w:w="611" w:type="pct"/>
          </w:tcPr>
          <w:p w:rsidR="00260042" w:rsidRPr="002869C9" w:rsidRDefault="00260042" w:rsidP="002869C9">
            <w:pPr>
              <w:pStyle w:val="BodyText"/>
              <w:jc w:val="right"/>
              <w:rPr>
                <w:b/>
                <w:sz w:val="20"/>
                <w:szCs w:val="20"/>
              </w:rPr>
            </w:pPr>
          </w:p>
        </w:tc>
      </w:tr>
      <w:tr w:rsidR="00260042" w:rsidRPr="002869C9" w:rsidTr="002869C9">
        <w:trPr>
          <w:trHeight w:val="616"/>
          <w:tblHeader/>
        </w:trPr>
        <w:tc>
          <w:tcPr>
            <w:tcW w:w="725" w:type="pct"/>
          </w:tcPr>
          <w:p w:rsidR="00260042" w:rsidRPr="002869C9" w:rsidRDefault="00260042" w:rsidP="002869C9">
            <w:pPr>
              <w:pStyle w:val="BodyText"/>
              <w:rPr>
                <w:sz w:val="20"/>
                <w:szCs w:val="20"/>
              </w:rPr>
            </w:pPr>
            <w:r w:rsidRPr="002869C9">
              <w:rPr>
                <w:rStyle w:val="Bold"/>
                <w:sz w:val="20"/>
                <w:szCs w:val="20"/>
              </w:rPr>
              <w:t>Substantive classification</w:t>
            </w:r>
          </w:p>
        </w:tc>
        <w:tc>
          <w:tcPr>
            <w:tcW w:w="611" w:type="pct"/>
          </w:tcPr>
          <w:p w:rsidR="00260042" w:rsidRPr="002869C9" w:rsidRDefault="00260042" w:rsidP="002869C9">
            <w:pPr>
              <w:pStyle w:val="BodyText"/>
              <w:jc w:val="right"/>
              <w:rPr>
                <w:sz w:val="20"/>
                <w:szCs w:val="20"/>
              </w:rPr>
            </w:pPr>
            <w:r w:rsidRPr="002869C9">
              <w:rPr>
                <w:rStyle w:val="Bold"/>
                <w:sz w:val="20"/>
                <w:szCs w:val="20"/>
              </w:rPr>
              <w:t>Full-time</w:t>
            </w:r>
          </w:p>
        </w:tc>
        <w:tc>
          <w:tcPr>
            <w:tcW w:w="611" w:type="pct"/>
          </w:tcPr>
          <w:p w:rsidR="00260042" w:rsidRPr="002869C9" w:rsidRDefault="00260042" w:rsidP="002869C9">
            <w:pPr>
              <w:pStyle w:val="BodyText"/>
              <w:jc w:val="right"/>
              <w:rPr>
                <w:sz w:val="20"/>
                <w:szCs w:val="20"/>
              </w:rPr>
            </w:pPr>
            <w:r w:rsidRPr="002869C9">
              <w:rPr>
                <w:rStyle w:val="Bold"/>
                <w:sz w:val="20"/>
                <w:szCs w:val="20"/>
              </w:rPr>
              <w:t>Part-time</w:t>
            </w:r>
          </w:p>
        </w:tc>
        <w:tc>
          <w:tcPr>
            <w:tcW w:w="611" w:type="pct"/>
          </w:tcPr>
          <w:p w:rsidR="00260042" w:rsidRPr="002869C9" w:rsidRDefault="00260042" w:rsidP="002869C9">
            <w:pPr>
              <w:pStyle w:val="BodyText"/>
              <w:jc w:val="right"/>
              <w:rPr>
                <w:sz w:val="20"/>
                <w:szCs w:val="20"/>
              </w:rPr>
            </w:pPr>
            <w:r w:rsidRPr="002869C9">
              <w:rPr>
                <w:rStyle w:val="Bold"/>
                <w:sz w:val="20"/>
                <w:szCs w:val="20"/>
              </w:rPr>
              <w:t>Total Ongoing</w:t>
            </w:r>
          </w:p>
        </w:tc>
        <w:tc>
          <w:tcPr>
            <w:tcW w:w="611" w:type="pct"/>
          </w:tcPr>
          <w:p w:rsidR="00260042" w:rsidRPr="002869C9" w:rsidRDefault="00260042" w:rsidP="002869C9">
            <w:pPr>
              <w:pStyle w:val="BodyText"/>
              <w:jc w:val="right"/>
              <w:rPr>
                <w:sz w:val="20"/>
                <w:szCs w:val="20"/>
              </w:rPr>
            </w:pPr>
            <w:r w:rsidRPr="002869C9">
              <w:rPr>
                <w:rStyle w:val="Bold"/>
                <w:sz w:val="20"/>
                <w:szCs w:val="20"/>
              </w:rPr>
              <w:t>Full-time</w:t>
            </w:r>
          </w:p>
        </w:tc>
        <w:tc>
          <w:tcPr>
            <w:tcW w:w="611" w:type="pct"/>
          </w:tcPr>
          <w:p w:rsidR="00260042" w:rsidRPr="002869C9" w:rsidRDefault="00260042" w:rsidP="002869C9">
            <w:pPr>
              <w:pStyle w:val="BodyText"/>
              <w:jc w:val="right"/>
              <w:rPr>
                <w:sz w:val="20"/>
                <w:szCs w:val="20"/>
              </w:rPr>
            </w:pPr>
            <w:r w:rsidRPr="002869C9">
              <w:rPr>
                <w:rStyle w:val="Bold"/>
                <w:sz w:val="20"/>
                <w:szCs w:val="20"/>
              </w:rPr>
              <w:t>Part-time</w:t>
            </w:r>
          </w:p>
        </w:tc>
        <w:tc>
          <w:tcPr>
            <w:tcW w:w="611" w:type="pct"/>
          </w:tcPr>
          <w:p w:rsidR="00260042" w:rsidRPr="002869C9" w:rsidRDefault="00260042" w:rsidP="002869C9">
            <w:pPr>
              <w:pStyle w:val="BodyText"/>
              <w:jc w:val="right"/>
              <w:rPr>
                <w:sz w:val="20"/>
                <w:szCs w:val="20"/>
              </w:rPr>
            </w:pPr>
            <w:r w:rsidRPr="002869C9">
              <w:rPr>
                <w:rStyle w:val="Bold"/>
                <w:spacing w:val="-4"/>
                <w:sz w:val="20"/>
                <w:szCs w:val="20"/>
              </w:rPr>
              <w:t>Total Non-ongoing</w:t>
            </w:r>
          </w:p>
        </w:tc>
        <w:tc>
          <w:tcPr>
            <w:tcW w:w="611" w:type="pct"/>
          </w:tcPr>
          <w:p w:rsidR="00260042" w:rsidRPr="002869C9" w:rsidRDefault="00260042" w:rsidP="002869C9">
            <w:pPr>
              <w:pStyle w:val="BodyText"/>
              <w:jc w:val="right"/>
              <w:rPr>
                <w:sz w:val="20"/>
                <w:szCs w:val="20"/>
              </w:rPr>
            </w:pPr>
            <w:r w:rsidRPr="002869C9">
              <w:rPr>
                <w:rStyle w:val="Bold"/>
                <w:sz w:val="20"/>
                <w:szCs w:val="20"/>
              </w:rPr>
              <w:t>Total</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SES 3</w:t>
            </w:r>
          </w:p>
        </w:tc>
        <w:tc>
          <w:tcPr>
            <w:tcW w:w="611" w:type="pct"/>
          </w:tcPr>
          <w:p w:rsidR="00260042" w:rsidRPr="002869C9" w:rsidRDefault="00260042" w:rsidP="002869C9">
            <w:pPr>
              <w:pStyle w:val="BodyText"/>
              <w:jc w:val="right"/>
              <w:rPr>
                <w:sz w:val="20"/>
                <w:szCs w:val="20"/>
              </w:rPr>
            </w:pPr>
            <w:r w:rsidRPr="002869C9">
              <w:rPr>
                <w:sz w:val="20"/>
                <w:szCs w:val="20"/>
              </w:rPr>
              <w:t>7</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7</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7</w:t>
            </w:r>
          </w:p>
        </w:tc>
      </w:tr>
      <w:tr w:rsidR="00260042" w:rsidRPr="002869C9" w:rsidTr="002869C9">
        <w:trPr>
          <w:trHeight w:val="305"/>
        </w:trPr>
        <w:tc>
          <w:tcPr>
            <w:tcW w:w="725" w:type="pct"/>
          </w:tcPr>
          <w:p w:rsidR="00260042" w:rsidRPr="002869C9" w:rsidRDefault="00260042" w:rsidP="002869C9">
            <w:pPr>
              <w:pStyle w:val="BodyText"/>
              <w:rPr>
                <w:sz w:val="20"/>
                <w:szCs w:val="20"/>
              </w:rPr>
            </w:pPr>
            <w:r w:rsidRPr="002869C9">
              <w:rPr>
                <w:sz w:val="20"/>
                <w:szCs w:val="20"/>
              </w:rPr>
              <w:t>SES 2</w:t>
            </w:r>
          </w:p>
        </w:tc>
        <w:tc>
          <w:tcPr>
            <w:tcW w:w="611" w:type="pct"/>
          </w:tcPr>
          <w:p w:rsidR="00260042" w:rsidRPr="002869C9" w:rsidRDefault="00260042" w:rsidP="002869C9">
            <w:pPr>
              <w:pStyle w:val="BodyText"/>
              <w:jc w:val="right"/>
              <w:rPr>
                <w:sz w:val="20"/>
                <w:szCs w:val="20"/>
              </w:rPr>
            </w:pPr>
            <w:r w:rsidRPr="002869C9">
              <w:rPr>
                <w:sz w:val="20"/>
                <w:szCs w:val="20"/>
              </w:rPr>
              <w:t>31</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32</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32</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SES 1</w:t>
            </w:r>
          </w:p>
        </w:tc>
        <w:tc>
          <w:tcPr>
            <w:tcW w:w="611" w:type="pct"/>
          </w:tcPr>
          <w:p w:rsidR="00260042" w:rsidRPr="002869C9" w:rsidRDefault="00260042" w:rsidP="002869C9">
            <w:pPr>
              <w:pStyle w:val="BodyText"/>
              <w:jc w:val="right"/>
              <w:rPr>
                <w:sz w:val="20"/>
                <w:szCs w:val="20"/>
              </w:rPr>
            </w:pPr>
            <w:r w:rsidRPr="002869C9">
              <w:rPr>
                <w:sz w:val="20"/>
                <w:szCs w:val="20"/>
              </w:rPr>
              <w:t>125</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126</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126</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EL 2</w:t>
            </w:r>
          </w:p>
        </w:tc>
        <w:tc>
          <w:tcPr>
            <w:tcW w:w="611" w:type="pct"/>
          </w:tcPr>
          <w:p w:rsidR="00260042" w:rsidRPr="002869C9" w:rsidRDefault="00260042" w:rsidP="002869C9">
            <w:pPr>
              <w:pStyle w:val="BodyText"/>
              <w:jc w:val="right"/>
              <w:rPr>
                <w:sz w:val="20"/>
                <w:szCs w:val="20"/>
              </w:rPr>
            </w:pPr>
            <w:r w:rsidRPr="002869C9">
              <w:rPr>
                <w:sz w:val="20"/>
                <w:szCs w:val="20"/>
              </w:rPr>
              <w:t>862</w:t>
            </w:r>
          </w:p>
        </w:tc>
        <w:tc>
          <w:tcPr>
            <w:tcW w:w="611" w:type="pct"/>
          </w:tcPr>
          <w:p w:rsidR="00260042" w:rsidRPr="002869C9" w:rsidRDefault="00260042" w:rsidP="002869C9">
            <w:pPr>
              <w:pStyle w:val="BodyText"/>
              <w:jc w:val="right"/>
              <w:rPr>
                <w:sz w:val="20"/>
                <w:szCs w:val="20"/>
              </w:rPr>
            </w:pPr>
            <w:r w:rsidRPr="002869C9">
              <w:rPr>
                <w:sz w:val="20"/>
                <w:szCs w:val="20"/>
              </w:rPr>
              <w:t>57</w:t>
            </w:r>
          </w:p>
        </w:tc>
        <w:tc>
          <w:tcPr>
            <w:tcW w:w="611" w:type="pct"/>
          </w:tcPr>
          <w:p w:rsidR="00260042" w:rsidRPr="002869C9" w:rsidRDefault="00260042" w:rsidP="002869C9">
            <w:pPr>
              <w:pStyle w:val="BodyText"/>
              <w:jc w:val="right"/>
              <w:rPr>
                <w:sz w:val="20"/>
                <w:szCs w:val="20"/>
              </w:rPr>
            </w:pPr>
            <w:r w:rsidRPr="002869C9">
              <w:rPr>
                <w:sz w:val="20"/>
                <w:szCs w:val="20"/>
              </w:rPr>
              <w:t>919</w:t>
            </w:r>
          </w:p>
        </w:tc>
        <w:tc>
          <w:tcPr>
            <w:tcW w:w="611" w:type="pct"/>
          </w:tcPr>
          <w:p w:rsidR="00260042" w:rsidRPr="002869C9" w:rsidRDefault="00260042" w:rsidP="002869C9">
            <w:pPr>
              <w:pStyle w:val="BodyText"/>
              <w:jc w:val="right"/>
              <w:rPr>
                <w:sz w:val="20"/>
                <w:szCs w:val="20"/>
              </w:rPr>
            </w:pPr>
            <w:r w:rsidRPr="002869C9">
              <w:rPr>
                <w:sz w:val="20"/>
                <w:szCs w:val="20"/>
              </w:rPr>
              <w:t>3</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4</w:t>
            </w:r>
          </w:p>
        </w:tc>
        <w:tc>
          <w:tcPr>
            <w:tcW w:w="611" w:type="pct"/>
          </w:tcPr>
          <w:p w:rsidR="00260042" w:rsidRPr="002869C9" w:rsidRDefault="00260042" w:rsidP="002869C9">
            <w:pPr>
              <w:pStyle w:val="BodyText"/>
              <w:jc w:val="right"/>
              <w:rPr>
                <w:sz w:val="20"/>
                <w:szCs w:val="20"/>
              </w:rPr>
            </w:pPr>
            <w:r w:rsidRPr="002869C9">
              <w:rPr>
                <w:rStyle w:val="01bodybold"/>
                <w:sz w:val="20"/>
                <w:szCs w:val="20"/>
              </w:rPr>
              <w:t>923</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EL 1</w:t>
            </w:r>
          </w:p>
        </w:tc>
        <w:tc>
          <w:tcPr>
            <w:tcW w:w="611" w:type="pct"/>
          </w:tcPr>
          <w:p w:rsidR="00260042" w:rsidRPr="002869C9" w:rsidRDefault="00260042" w:rsidP="002869C9">
            <w:pPr>
              <w:pStyle w:val="BodyText"/>
              <w:jc w:val="right"/>
              <w:rPr>
                <w:sz w:val="20"/>
                <w:szCs w:val="20"/>
              </w:rPr>
            </w:pPr>
            <w:r w:rsidRPr="002869C9">
              <w:rPr>
                <w:sz w:val="20"/>
                <w:szCs w:val="20"/>
              </w:rPr>
              <w:t>2,266</w:t>
            </w:r>
          </w:p>
        </w:tc>
        <w:tc>
          <w:tcPr>
            <w:tcW w:w="611" w:type="pct"/>
          </w:tcPr>
          <w:p w:rsidR="00260042" w:rsidRPr="002869C9" w:rsidRDefault="00260042" w:rsidP="002869C9">
            <w:pPr>
              <w:pStyle w:val="BodyText"/>
              <w:jc w:val="right"/>
              <w:rPr>
                <w:sz w:val="20"/>
                <w:szCs w:val="20"/>
              </w:rPr>
            </w:pPr>
            <w:r w:rsidRPr="002869C9">
              <w:rPr>
                <w:sz w:val="20"/>
                <w:szCs w:val="20"/>
              </w:rPr>
              <w:t>331</w:t>
            </w:r>
          </w:p>
        </w:tc>
        <w:tc>
          <w:tcPr>
            <w:tcW w:w="611" w:type="pct"/>
          </w:tcPr>
          <w:p w:rsidR="00260042" w:rsidRPr="002869C9" w:rsidRDefault="00260042" w:rsidP="002869C9">
            <w:pPr>
              <w:pStyle w:val="BodyText"/>
              <w:jc w:val="right"/>
              <w:rPr>
                <w:sz w:val="20"/>
                <w:szCs w:val="20"/>
              </w:rPr>
            </w:pPr>
            <w:r w:rsidRPr="002869C9">
              <w:rPr>
                <w:sz w:val="20"/>
                <w:szCs w:val="20"/>
              </w:rPr>
              <w:t>2,597</w:t>
            </w:r>
          </w:p>
        </w:tc>
        <w:tc>
          <w:tcPr>
            <w:tcW w:w="611" w:type="pct"/>
          </w:tcPr>
          <w:p w:rsidR="00260042" w:rsidRPr="002869C9" w:rsidRDefault="00260042" w:rsidP="002869C9">
            <w:pPr>
              <w:pStyle w:val="BodyText"/>
              <w:jc w:val="right"/>
              <w:rPr>
                <w:sz w:val="20"/>
                <w:szCs w:val="20"/>
              </w:rPr>
            </w:pPr>
            <w:r w:rsidRPr="002869C9">
              <w:rPr>
                <w:sz w:val="20"/>
                <w:szCs w:val="20"/>
              </w:rPr>
              <w:t>8</w:t>
            </w:r>
          </w:p>
        </w:tc>
        <w:tc>
          <w:tcPr>
            <w:tcW w:w="611" w:type="pct"/>
          </w:tcPr>
          <w:p w:rsidR="00260042" w:rsidRPr="002869C9" w:rsidRDefault="00260042" w:rsidP="002869C9">
            <w:pPr>
              <w:pStyle w:val="BodyText"/>
              <w:jc w:val="right"/>
              <w:rPr>
                <w:sz w:val="20"/>
                <w:szCs w:val="20"/>
              </w:rPr>
            </w:pPr>
            <w:r w:rsidRPr="002869C9">
              <w:rPr>
                <w:sz w:val="20"/>
                <w:szCs w:val="20"/>
              </w:rPr>
              <w:t>5</w:t>
            </w:r>
          </w:p>
        </w:tc>
        <w:tc>
          <w:tcPr>
            <w:tcW w:w="611" w:type="pct"/>
          </w:tcPr>
          <w:p w:rsidR="00260042" w:rsidRPr="002869C9" w:rsidRDefault="00260042" w:rsidP="002869C9">
            <w:pPr>
              <w:pStyle w:val="BodyText"/>
              <w:jc w:val="right"/>
              <w:rPr>
                <w:sz w:val="20"/>
                <w:szCs w:val="20"/>
              </w:rPr>
            </w:pPr>
            <w:r w:rsidRPr="002869C9">
              <w:rPr>
                <w:sz w:val="20"/>
                <w:szCs w:val="20"/>
              </w:rPr>
              <w:t>13</w:t>
            </w:r>
          </w:p>
        </w:tc>
        <w:tc>
          <w:tcPr>
            <w:tcW w:w="611" w:type="pct"/>
          </w:tcPr>
          <w:p w:rsidR="00260042" w:rsidRPr="002869C9" w:rsidRDefault="00260042" w:rsidP="002869C9">
            <w:pPr>
              <w:pStyle w:val="BodyText"/>
              <w:jc w:val="right"/>
              <w:rPr>
                <w:sz w:val="20"/>
                <w:szCs w:val="20"/>
              </w:rPr>
            </w:pPr>
            <w:r w:rsidRPr="002869C9">
              <w:rPr>
                <w:rStyle w:val="01bodybold"/>
                <w:sz w:val="20"/>
                <w:szCs w:val="20"/>
              </w:rPr>
              <w:t>2,610</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6</w:t>
            </w:r>
          </w:p>
        </w:tc>
        <w:tc>
          <w:tcPr>
            <w:tcW w:w="611" w:type="pct"/>
          </w:tcPr>
          <w:p w:rsidR="00260042" w:rsidRPr="002869C9" w:rsidRDefault="00260042" w:rsidP="002869C9">
            <w:pPr>
              <w:pStyle w:val="BodyText"/>
              <w:jc w:val="right"/>
              <w:rPr>
                <w:sz w:val="20"/>
                <w:szCs w:val="20"/>
              </w:rPr>
            </w:pPr>
            <w:r w:rsidRPr="002869C9">
              <w:rPr>
                <w:sz w:val="20"/>
                <w:szCs w:val="20"/>
              </w:rPr>
              <w:t>4,042</w:t>
            </w:r>
          </w:p>
        </w:tc>
        <w:tc>
          <w:tcPr>
            <w:tcW w:w="611" w:type="pct"/>
          </w:tcPr>
          <w:p w:rsidR="00260042" w:rsidRPr="002869C9" w:rsidRDefault="00260042" w:rsidP="002869C9">
            <w:pPr>
              <w:pStyle w:val="BodyText"/>
              <w:jc w:val="right"/>
              <w:rPr>
                <w:sz w:val="20"/>
                <w:szCs w:val="20"/>
              </w:rPr>
            </w:pPr>
            <w:r w:rsidRPr="002869C9">
              <w:rPr>
                <w:sz w:val="20"/>
                <w:szCs w:val="20"/>
              </w:rPr>
              <w:t>1,281</w:t>
            </w:r>
          </w:p>
        </w:tc>
        <w:tc>
          <w:tcPr>
            <w:tcW w:w="611" w:type="pct"/>
          </w:tcPr>
          <w:p w:rsidR="00260042" w:rsidRPr="002869C9" w:rsidRDefault="00260042" w:rsidP="002869C9">
            <w:pPr>
              <w:pStyle w:val="BodyText"/>
              <w:jc w:val="right"/>
              <w:rPr>
                <w:sz w:val="20"/>
                <w:szCs w:val="20"/>
              </w:rPr>
            </w:pPr>
            <w:r w:rsidRPr="002869C9">
              <w:rPr>
                <w:sz w:val="20"/>
                <w:szCs w:val="20"/>
              </w:rPr>
              <w:t>5,323</w:t>
            </w:r>
          </w:p>
        </w:tc>
        <w:tc>
          <w:tcPr>
            <w:tcW w:w="611" w:type="pct"/>
          </w:tcPr>
          <w:p w:rsidR="00260042" w:rsidRPr="002869C9" w:rsidRDefault="00260042" w:rsidP="002869C9">
            <w:pPr>
              <w:pStyle w:val="BodyText"/>
              <w:jc w:val="right"/>
              <w:rPr>
                <w:sz w:val="20"/>
                <w:szCs w:val="20"/>
              </w:rPr>
            </w:pPr>
            <w:r w:rsidRPr="002869C9">
              <w:rPr>
                <w:sz w:val="20"/>
                <w:szCs w:val="20"/>
              </w:rPr>
              <w:t>50</w:t>
            </w:r>
          </w:p>
        </w:tc>
        <w:tc>
          <w:tcPr>
            <w:tcW w:w="611" w:type="pct"/>
          </w:tcPr>
          <w:p w:rsidR="00260042" w:rsidRPr="002869C9" w:rsidRDefault="00260042" w:rsidP="002869C9">
            <w:pPr>
              <w:pStyle w:val="BodyText"/>
              <w:jc w:val="right"/>
              <w:rPr>
                <w:sz w:val="20"/>
                <w:szCs w:val="20"/>
              </w:rPr>
            </w:pPr>
            <w:r w:rsidRPr="002869C9">
              <w:rPr>
                <w:sz w:val="20"/>
                <w:szCs w:val="20"/>
              </w:rPr>
              <w:t>22</w:t>
            </w:r>
          </w:p>
        </w:tc>
        <w:tc>
          <w:tcPr>
            <w:tcW w:w="611" w:type="pct"/>
          </w:tcPr>
          <w:p w:rsidR="00260042" w:rsidRPr="002869C9" w:rsidRDefault="00260042" w:rsidP="002869C9">
            <w:pPr>
              <w:pStyle w:val="BodyText"/>
              <w:jc w:val="right"/>
              <w:rPr>
                <w:sz w:val="20"/>
                <w:szCs w:val="20"/>
              </w:rPr>
            </w:pPr>
            <w:r w:rsidRPr="002869C9">
              <w:rPr>
                <w:sz w:val="20"/>
                <w:szCs w:val="20"/>
              </w:rPr>
              <w:t>72</w:t>
            </w:r>
          </w:p>
        </w:tc>
        <w:tc>
          <w:tcPr>
            <w:tcW w:w="611" w:type="pct"/>
          </w:tcPr>
          <w:p w:rsidR="00260042" w:rsidRPr="002869C9" w:rsidRDefault="00260042" w:rsidP="002869C9">
            <w:pPr>
              <w:pStyle w:val="BodyText"/>
              <w:jc w:val="right"/>
              <w:rPr>
                <w:sz w:val="20"/>
                <w:szCs w:val="20"/>
              </w:rPr>
            </w:pPr>
            <w:r w:rsidRPr="002869C9">
              <w:rPr>
                <w:rStyle w:val="01bodybold"/>
                <w:sz w:val="20"/>
                <w:szCs w:val="20"/>
              </w:rPr>
              <w:t>5,395</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5</w:t>
            </w:r>
          </w:p>
        </w:tc>
        <w:tc>
          <w:tcPr>
            <w:tcW w:w="611" w:type="pct"/>
          </w:tcPr>
          <w:p w:rsidR="00260042" w:rsidRPr="002869C9" w:rsidRDefault="00260042" w:rsidP="002869C9">
            <w:pPr>
              <w:pStyle w:val="BodyText"/>
              <w:jc w:val="right"/>
              <w:rPr>
                <w:sz w:val="20"/>
                <w:szCs w:val="20"/>
              </w:rPr>
            </w:pPr>
            <w:r w:rsidRPr="002869C9">
              <w:rPr>
                <w:sz w:val="20"/>
                <w:szCs w:val="20"/>
              </w:rPr>
              <w:t>2,664</w:t>
            </w:r>
          </w:p>
        </w:tc>
        <w:tc>
          <w:tcPr>
            <w:tcW w:w="611" w:type="pct"/>
          </w:tcPr>
          <w:p w:rsidR="00260042" w:rsidRPr="002869C9" w:rsidRDefault="00260042" w:rsidP="002869C9">
            <w:pPr>
              <w:pStyle w:val="BodyText"/>
              <w:jc w:val="right"/>
              <w:rPr>
                <w:sz w:val="20"/>
                <w:szCs w:val="20"/>
              </w:rPr>
            </w:pPr>
            <w:r w:rsidRPr="002869C9">
              <w:rPr>
                <w:sz w:val="20"/>
                <w:szCs w:val="20"/>
              </w:rPr>
              <w:t>683</w:t>
            </w:r>
          </w:p>
        </w:tc>
        <w:tc>
          <w:tcPr>
            <w:tcW w:w="611" w:type="pct"/>
          </w:tcPr>
          <w:p w:rsidR="00260042" w:rsidRPr="002869C9" w:rsidRDefault="00260042" w:rsidP="002869C9">
            <w:pPr>
              <w:pStyle w:val="BodyText"/>
              <w:jc w:val="right"/>
              <w:rPr>
                <w:sz w:val="20"/>
                <w:szCs w:val="20"/>
              </w:rPr>
            </w:pPr>
            <w:r w:rsidRPr="002869C9">
              <w:rPr>
                <w:sz w:val="20"/>
                <w:szCs w:val="20"/>
              </w:rPr>
              <w:t>3,347</w:t>
            </w:r>
          </w:p>
        </w:tc>
        <w:tc>
          <w:tcPr>
            <w:tcW w:w="611" w:type="pct"/>
          </w:tcPr>
          <w:p w:rsidR="00260042" w:rsidRPr="002869C9" w:rsidRDefault="00260042" w:rsidP="002869C9">
            <w:pPr>
              <w:pStyle w:val="BodyText"/>
              <w:jc w:val="right"/>
              <w:rPr>
                <w:sz w:val="20"/>
                <w:szCs w:val="20"/>
              </w:rPr>
            </w:pPr>
            <w:r w:rsidRPr="002869C9">
              <w:rPr>
                <w:sz w:val="20"/>
                <w:szCs w:val="20"/>
              </w:rPr>
              <w:t>146</w:t>
            </w:r>
          </w:p>
        </w:tc>
        <w:tc>
          <w:tcPr>
            <w:tcW w:w="611" w:type="pct"/>
          </w:tcPr>
          <w:p w:rsidR="00260042" w:rsidRPr="002869C9" w:rsidRDefault="00260042" w:rsidP="002869C9">
            <w:pPr>
              <w:pStyle w:val="BodyText"/>
              <w:jc w:val="right"/>
              <w:rPr>
                <w:sz w:val="20"/>
                <w:szCs w:val="20"/>
              </w:rPr>
            </w:pPr>
            <w:r w:rsidRPr="002869C9">
              <w:rPr>
                <w:sz w:val="20"/>
                <w:szCs w:val="20"/>
              </w:rPr>
              <w:t>34</w:t>
            </w:r>
          </w:p>
        </w:tc>
        <w:tc>
          <w:tcPr>
            <w:tcW w:w="611" w:type="pct"/>
          </w:tcPr>
          <w:p w:rsidR="00260042" w:rsidRPr="002869C9" w:rsidRDefault="00260042" w:rsidP="002869C9">
            <w:pPr>
              <w:pStyle w:val="BodyText"/>
              <w:jc w:val="right"/>
              <w:rPr>
                <w:sz w:val="20"/>
                <w:szCs w:val="20"/>
              </w:rPr>
            </w:pPr>
            <w:r w:rsidRPr="002869C9">
              <w:rPr>
                <w:sz w:val="20"/>
                <w:szCs w:val="20"/>
              </w:rPr>
              <w:t>180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3,527</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4</w:t>
            </w:r>
          </w:p>
        </w:tc>
        <w:tc>
          <w:tcPr>
            <w:tcW w:w="611" w:type="pct"/>
          </w:tcPr>
          <w:p w:rsidR="00260042" w:rsidRPr="002869C9" w:rsidRDefault="00260042" w:rsidP="002869C9">
            <w:pPr>
              <w:pStyle w:val="BodyText"/>
              <w:jc w:val="right"/>
              <w:rPr>
                <w:sz w:val="20"/>
                <w:szCs w:val="20"/>
              </w:rPr>
            </w:pPr>
            <w:r w:rsidRPr="002869C9">
              <w:rPr>
                <w:sz w:val="20"/>
                <w:szCs w:val="20"/>
              </w:rPr>
              <w:t>7,112</w:t>
            </w:r>
          </w:p>
        </w:tc>
        <w:tc>
          <w:tcPr>
            <w:tcW w:w="611" w:type="pct"/>
          </w:tcPr>
          <w:p w:rsidR="00260042" w:rsidRPr="002869C9" w:rsidRDefault="00260042" w:rsidP="002869C9">
            <w:pPr>
              <w:pStyle w:val="BodyText"/>
              <w:jc w:val="right"/>
              <w:rPr>
                <w:sz w:val="20"/>
                <w:szCs w:val="20"/>
              </w:rPr>
            </w:pPr>
            <w:r w:rsidRPr="002869C9">
              <w:rPr>
                <w:sz w:val="20"/>
                <w:szCs w:val="20"/>
              </w:rPr>
              <w:t>4,334</w:t>
            </w:r>
          </w:p>
        </w:tc>
        <w:tc>
          <w:tcPr>
            <w:tcW w:w="611" w:type="pct"/>
          </w:tcPr>
          <w:p w:rsidR="00260042" w:rsidRPr="002869C9" w:rsidRDefault="00260042" w:rsidP="002869C9">
            <w:pPr>
              <w:pStyle w:val="BodyText"/>
              <w:jc w:val="right"/>
              <w:rPr>
                <w:sz w:val="20"/>
                <w:szCs w:val="20"/>
              </w:rPr>
            </w:pPr>
            <w:r w:rsidRPr="002869C9">
              <w:rPr>
                <w:sz w:val="20"/>
                <w:szCs w:val="20"/>
              </w:rPr>
              <w:t>11,446</w:t>
            </w:r>
          </w:p>
        </w:tc>
        <w:tc>
          <w:tcPr>
            <w:tcW w:w="611" w:type="pct"/>
          </w:tcPr>
          <w:p w:rsidR="00260042" w:rsidRPr="002869C9" w:rsidRDefault="00260042" w:rsidP="002869C9">
            <w:pPr>
              <w:pStyle w:val="BodyText"/>
              <w:jc w:val="right"/>
              <w:rPr>
                <w:sz w:val="20"/>
                <w:szCs w:val="20"/>
              </w:rPr>
            </w:pPr>
            <w:r w:rsidRPr="002869C9">
              <w:rPr>
                <w:sz w:val="20"/>
                <w:szCs w:val="20"/>
              </w:rPr>
              <w:t>1,052</w:t>
            </w:r>
          </w:p>
        </w:tc>
        <w:tc>
          <w:tcPr>
            <w:tcW w:w="611" w:type="pct"/>
          </w:tcPr>
          <w:p w:rsidR="00260042" w:rsidRPr="002869C9" w:rsidRDefault="00260042" w:rsidP="002869C9">
            <w:pPr>
              <w:pStyle w:val="BodyText"/>
              <w:jc w:val="right"/>
              <w:rPr>
                <w:sz w:val="20"/>
                <w:szCs w:val="20"/>
              </w:rPr>
            </w:pPr>
            <w:r w:rsidRPr="002869C9">
              <w:rPr>
                <w:sz w:val="20"/>
                <w:szCs w:val="20"/>
              </w:rPr>
              <w:t>293</w:t>
            </w:r>
          </w:p>
        </w:tc>
        <w:tc>
          <w:tcPr>
            <w:tcW w:w="611" w:type="pct"/>
          </w:tcPr>
          <w:p w:rsidR="00260042" w:rsidRPr="002869C9" w:rsidRDefault="00260042" w:rsidP="002869C9">
            <w:pPr>
              <w:pStyle w:val="BodyText"/>
              <w:jc w:val="right"/>
              <w:rPr>
                <w:sz w:val="20"/>
                <w:szCs w:val="20"/>
              </w:rPr>
            </w:pPr>
            <w:r w:rsidRPr="002869C9">
              <w:rPr>
                <w:sz w:val="20"/>
                <w:szCs w:val="20"/>
              </w:rPr>
              <w:t>1,345</w:t>
            </w:r>
          </w:p>
        </w:tc>
        <w:tc>
          <w:tcPr>
            <w:tcW w:w="611" w:type="pct"/>
          </w:tcPr>
          <w:p w:rsidR="00260042" w:rsidRPr="002869C9" w:rsidRDefault="00260042" w:rsidP="002869C9">
            <w:pPr>
              <w:pStyle w:val="BodyText"/>
              <w:jc w:val="right"/>
              <w:rPr>
                <w:sz w:val="20"/>
                <w:szCs w:val="20"/>
              </w:rPr>
            </w:pPr>
            <w:r w:rsidRPr="002869C9">
              <w:rPr>
                <w:rStyle w:val="01bodybold"/>
                <w:sz w:val="20"/>
                <w:szCs w:val="20"/>
              </w:rPr>
              <w:t>12,791</w:t>
            </w:r>
          </w:p>
        </w:tc>
      </w:tr>
      <w:tr w:rsidR="00260042" w:rsidRPr="002869C9" w:rsidTr="002869C9">
        <w:trPr>
          <w:trHeight w:val="376"/>
        </w:trPr>
        <w:tc>
          <w:tcPr>
            <w:tcW w:w="725" w:type="pct"/>
          </w:tcPr>
          <w:p w:rsidR="00260042" w:rsidRPr="002869C9" w:rsidRDefault="00260042" w:rsidP="002869C9">
            <w:pPr>
              <w:pStyle w:val="BodyText"/>
              <w:rPr>
                <w:sz w:val="20"/>
                <w:szCs w:val="20"/>
              </w:rPr>
            </w:pPr>
            <w:r w:rsidRPr="002869C9">
              <w:rPr>
                <w:sz w:val="20"/>
                <w:szCs w:val="20"/>
              </w:rPr>
              <w:t>APS 3</w:t>
            </w:r>
          </w:p>
        </w:tc>
        <w:tc>
          <w:tcPr>
            <w:tcW w:w="611" w:type="pct"/>
          </w:tcPr>
          <w:p w:rsidR="00260042" w:rsidRPr="002869C9" w:rsidRDefault="00260042" w:rsidP="002869C9">
            <w:pPr>
              <w:pStyle w:val="BodyText"/>
              <w:jc w:val="right"/>
              <w:rPr>
                <w:sz w:val="20"/>
                <w:szCs w:val="20"/>
              </w:rPr>
            </w:pPr>
            <w:r w:rsidRPr="002869C9">
              <w:rPr>
                <w:sz w:val="20"/>
                <w:szCs w:val="20"/>
              </w:rPr>
              <w:t>1,922</w:t>
            </w:r>
          </w:p>
        </w:tc>
        <w:tc>
          <w:tcPr>
            <w:tcW w:w="611" w:type="pct"/>
          </w:tcPr>
          <w:p w:rsidR="00260042" w:rsidRPr="002869C9" w:rsidRDefault="00260042" w:rsidP="002869C9">
            <w:pPr>
              <w:pStyle w:val="BodyText"/>
              <w:jc w:val="right"/>
              <w:rPr>
                <w:sz w:val="20"/>
                <w:szCs w:val="20"/>
              </w:rPr>
            </w:pPr>
            <w:r w:rsidRPr="002869C9">
              <w:rPr>
                <w:sz w:val="20"/>
                <w:szCs w:val="20"/>
              </w:rPr>
              <w:t>732</w:t>
            </w:r>
          </w:p>
        </w:tc>
        <w:tc>
          <w:tcPr>
            <w:tcW w:w="611" w:type="pct"/>
          </w:tcPr>
          <w:p w:rsidR="00260042" w:rsidRPr="002869C9" w:rsidRDefault="00260042" w:rsidP="002869C9">
            <w:pPr>
              <w:pStyle w:val="BodyText"/>
              <w:jc w:val="right"/>
              <w:rPr>
                <w:sz w:val="20"/>
                <w:szCs w:val="20"/>
              </w:rPr>
            </w:pPr>
            <w:r w:rsidRPr="002869C9">
              <w:rPr>
                <w:sz w:val="20"/>
                <w:szCs w:val="20"/>
              </w:rPr>
              <w:t>2,654</w:t>
            </w:r>
          </w:p>
        </w:tc>
        <w:tc>
          <w:tcPr>
            <w:tcW w:w="611" w:type="pct"/>
          </w:tcPr>
          <w:p w:rsidR="00260042" w:rsidRPr="002869C9" w:rsidRDefault="00260042" w:rsidP="002869C9">
            <w:pPr>
              <w:pStyle w:val="BodyText"/>
              <w:jc w:val="right"/>
              <w:rPr>
                <w:sz w:val="20"/>
                <w:szCs w:val="20"/>
              </w:rPr>
            </w:pPr>
            <w:r w:rsidRPr="002869C9">
              <w:rPr>
                <w:sz w:val="20"/>
                <w:szCs w:val="20"/>
              </w:rPr>
              <w:t>2,394</w:t>
            </w:r>
          </w:p>
        </w:tc>
        <w:tc>
          <w:tcPr>
            <w:tcW w:w="611" w:type="pct"/>
          </w:tcPr>
          <w:p w:rsidR="00260042" w:rsidRPr="002869C9" w:rsidRDefault="00260042" w:rsidP="002869C9">
            <w:pPr>
              <w:pStyle w:val="BodyText"/>
              <w:jc w:val="right"/>
              <w:rPr>
                <w:sz w:val="20"/>
                <w:szCs w:val="20"/>
              </w:rPr>
            </w:pPr>
            <w:r w:rsidRPr="002869C9">
              <w:rPr>
                <w:sz w:val="20"/>
                <w:szCs w:val="20"/>
              </w:rPr>
              <w:t>3,108</w:t>
            </w:r>
          </w:p>
        </w:tc>
        <w:tc>
          <w:tcPr>
            <w:tcW w:w="611" w:type="pct"/>
          </w:tcPr>
          <w:p w:rsidR="00260042" w:rsidRPr="002869C9" w:rsidRDefault="00260042" w:rsidP="002869C9">
            <w:pPr>
              <w:pStyle w:val="BodyText"/>
              <w:jc w:val="right"/>
              <w:rPr>
                <w:sz w:val="20"/>
                <w:szCs w:val="20"/>
              </w:rPr>
            </w:pPr>
            <w:r w:rsidRPr="002869C9">
              <w:rPr>
                <w:sz w:val="20"/>
                <w:szCs w:val="20"/>
              </w:rPr>
              <w:t>5,502</w:t>
            </w:r>
          </w:p>
        </w:tc>
        <w:tc>
          <w:tcPr>
            <w:tcW w:w="611" w:type="pct"/>
          </w:tcPr>
          <w:p w:rsidR="00260042" w:rsidRPr="002869C9" w:rsidRDefault="00260042" w:rsidP="002869C9">
            <w:pPr>
              <w:pStyle w:val="BodyText"/>
              <w:jc w:val="right"/>
              <w:rPr>
                <w:sz w:val="20"/>
                <w:szCs w:val="20"/>
              </w:rPr>
            </w:pPr>
            <w:r w:rsidRPr="002869C9">
              <w:rPr>
                <w:rStyle w:val="01bodybold"/>
                <w:sz w:val="20"/>
                <w:szCs w:val="20"/>
              </w:rPr>
              <w:t>8,156</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2</w:t>
            </w:r>
          </w:p>
        </w:tc>
        <w:tc>
          <w:tcPr>
            <w:tcW w:w="611" w:type="pct"/>
          </w:tcPr>
          <w:p w:rsidR="00260042" w:rsidRPr="002869C9" w:rsidRDefault="00260042" w:rsidP="002869C9">
            <w:pPr>
              <w:pStyle w:val="BodyText"/>
              <w:jc w:val="right"/>
              <w:rPr>
                <w:sz w:val="20"/>
                <w:szCs w:val="20"/>
              </w:rPr>
            </w:pPr>
            <w:r w:rsidRPr="002869C9">
              <w:rPr>
                <w:sz w:val="20"/>
                <w:szCs w:val="20"/>
              </w:rPr>
              <w:t>49</w:t>
            </w:r>
          </w:p>
        </w:tc>
        <w:tc>
          <w:tcPr>
            <w:tcW w:w="611" w:type="pct"/>
          </w:tcPr>
          <w:p w:rsidR="00260042" w:rsidRPr="002869C9" w:rsidRDefault="00260042" w:rsidP="002869C9">
            <w:pPr>
              <w:pStyle w:val="BodyText"/>
              <w:jc w:val="right"/>
              <w:rPr>
                <w:sz w:val="20"/>
                <w:szCs w:val="20"/>
              </w:rPr>
            </w:pPr>
            <w:r w:rsidRPr="002869C9">
              <w:rPr>
                <w:sz w:val="20"/>
                <w:szCs w:val="20"/>
              </w:rPr>
              <w:t>17</w:t>
            </w:r>
          </w:p>
        </w:tc>
        <w:tc>
          <w:tcPr>
            <w:tcW w:w="611" w:type="pct"/>
          </w:tcPr>
          <w:p w:rsidR="00260042" w:rsidRPr="002869C9" w:rsidRDefault="00260042" w:rsidP="002869C9">
            <w:pPr>
              <w:pStyle w:val="BodyText"/>
              <w:jc w:val="right"/>
              <w:rPr>
                <w:sz w:val="20"/>
                <w:szCs w:val="20"/>
              </w:rPr>
            </w:pPr>
            <w:r w:rsidRPr="002869C9">
              <w:rPr>
                <w:sz w:val="20"/>
                <w:szCs w:val="20"/>
              </w:rPr>
              <w:t>66</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66</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1</w:t>
            </w:r>
          </w:p>
        </w:tc>
        <w:tc>
          <w:tcPr>
            <w:tcW w:w="611" w:type="pct"/>
          </w:tcPr>
          <w:p w:rsidR="00260042" w:rsidRPr="002869C9" w:rsidRDefault="00260042" w:rsidP="002869C9">
            <w:pPr>
              <w:pStyle w:val="BodyText"/>
              <w:jc w:val="right"/>
              <w:rPr>
                <w:sz w:val="20"/>
                <w:szCs w:val="20"/>
              </w:rPr>
            </w:pPr>
            <w:r w:rsidRPr="002869C9">
              <w:rPr>
                <w:sz w:val="20"/>
                <w:szCs w:val="20"/>
              </w:rPr>
              <w:t>54</w:t>
            </w:r>
          </w:p>
        </w:tc>
        <w:tc>
          <w:tcPr>
            <w:tcW w:w="611" w:type="pct"/>
          </w:tcPr>
          <w:p w:rsidR="00260042" w:rsidRPr="002869C9" w:rsidRDefault="00260042" w:rsidP="002869C9">
            <w:pPr>
              <w:pStyle w:val="BodyText"/>
              <w:jc w:val="right"/>
              <w:rPr>
                <w:sz w:val="20"/>
                <w:szCs w:val="20"/>
              </w:rPr>
            </w:pPr>
            <w:r w:rsidRPr="002869C9">
              <w:rPr>
                <w:sz w:val="20"/>
                <w:szCs w:val="20"/>
              </w:rPr>
              <w:t>13</w:t>
            </w:r>
          </w:p>
        </w:tc>
        <w:tc>
          <w:tcPr>
            <w:tcW w:w="611" w:type="pct"/>
          </w:tcPr>
          <w:p w:rsidR="00260042" w:rsidRPr="002869C9" w:rsidRDefault="00260042" w:rsidP="002869C9">
            <w:pPr>
              <w:pStyle w:val="BodyText"/>
              <w:jc w:val="right"/>
              <w:rPr>
                <w:sz w:val="20"/>
                <w:szCs w:val="20"/>
              </w:rPr>
            </w:pPr>
            <w:r w:rsidRPr="002869C9">
              <w:rPr>
                <w:sz w:val="20"/>
                <w:szCs w:val="20"/>
              </w:rPr>
              <w:t>67</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rStyle w:val="01bodybold"/>
                <w:sz w:val="20"/>
                <w:szCs w:val="20"/>
              </w:rPr>
              <w:t>68</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lastRenderedPageBreak/>
              <w:t>Other</w:t>
            </w:r>
          </w:p>
        </w:tc>
        <w:tc>
          <w:tcPr>
            <w:tcW w:w="611" w:type="pct"/>
          </w:tcPr>
          <w:p w:rsidR="00260042" w:rsidRPr="002869C9" w:rsidRDefault="00260042" w:rsidP="002869C9">
            <w:pPr>
              <w:pStyle w:val="BodyText"/>
              <w:jc w:val="right"/>
              <w:rPr>
                <w:sz w:val="20"/>
                <w:szCs w:val="20"/>
              </w:rPr>
            </w:pPr>
            <w:r w:rsidRPr="002869C9">
              <w:rPr>
                <w:sz w:val="20"/>
                <w:szCs w:val="20"/>
              </w:rPr>
              <w:t>332</w:t>
            </w:r>
          </w:p>
        </w:tc>
        <w:tc>
          <w:tcPr>
            <w:tcW w:w="611" w:type="pct"/>
          </w:tcPr>
          <w:p w:rsidR="00260042" w:rsidRPr="002869C9" w:rsidRDefault="00260042" w:rsidP="002869C9">
            <w:pPr>
              <w:pStyle w:val="BodyText"/>
              <w:jc w:val="right"/>
              <w:rPr>
                <w:sz w:val="20"/>
                <w:szCs w:val="20"/>
              </w:rPr>
            </w:pPr>
            <w:r w:rsidRPr="002869C9">
              <w:rPr>
                <w:sz w:val="20"/>
                <w:szCs w:val="20"/>
              </w:rPr>
              <w:t>16</w:t>
            </w:r>
          </w:p>
        </w:tc>
        <w:tc>
          <w:tcPr>
            <w:tcW w:w="611" w:type="pct"/>
          </w:tcPr>
          <w:p w:rsidR="00260042" w:rsidRPr="002869C9" w:rsidRDefault="00260042" w:rsidP="002869C9">
            <w:pPr>
              <w:pStyle w:val="BodyText"/>
              <w:jc w:val="right"/>
              <w:rPr>
                <w:sz w:val="20"/>
                <w:szCs w:val="20"/>
              </w:rPr>
            </w:pPr>
            <w:r w:rsidRPr="002869C9">
              <w:rPr>
                <w:sz w:val="20"/>
                <w:szCs w:val="20"/>
              </w:rPr>
              <w:t>348</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348</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rStyle w:val="Bold"/>
                <w:sz w:val="20"/>
                <w:szCs w:val="20"/>
              </w:rPr>
              <w:t>Total</w:t>
            </w:r>
          </w:p>
        </w:tc>
        <w:tc>
          <w:tcPr>
            <w:tcW w:w="611" w:type="pct"/>
          </w:tcPr>
          <w:p w:rsidR="00260042" w:rsidRPr="002869C9" w:rsidRDefault="00260042" w:rsidP="002869C9">
            <w:pPr>
              <w:pStyle w:val="BodyText"/>
              <w:jc w:val="right"/>
              <w:rPr>
                <w:sz w:val="20"/>
                <w:szCs w:val="20"/>
              </w:rPr>
            </w:pPr>
            <w:r w:rsidRPr="002869C9">
              <w:rPr>
                <w:rStyle w:val="Bold"/>
                <w:sz w:val="20"/>
                <w:szCs w:val="20"/>
              </w:rPr>
              <w:t>19,466</w:t>
            </w:r>
          </w:p>
        </w:tc>
        <w:tc>
          <w:tcPr>
            <w:tcW w:w="611" w:type="pct"/>
          </w:tcPr>
          <w:p w:rsidR="00260042" w:rsidRPr="002869C9" w:rsidRDefault="00260042" w:rsidP="002869C9">
            <w:pPr>
              <w:pStyle w:val="BodyText"/>
              <w:jc w:val="right"/>
              <w:rPr>
                <w:sz w:val="20"/>
                <w:szCs w:val="20"/>
              </w:rPr>
            </w:pPr>
            <w:r w:rsidRPr="002869C9">
              <w:rPr>
                <w:rStyle w:val="Bold"/>
                <w:sz w:val="20"/>
                <w:szCs w:val="20"/>
              </w:rPr>
              <w:t>7,466</w:t>
            </w:r>
          </w:p>
        </w:tc>
        <w:tc>
          <w:tcPr>
            <w:tcW w:w="611" w:type="pct"/>
          </w:tcPr>
          <w:p w:rsidR="00260042" w:rsidRPr="002869C9" w:rsidRDefault="00260042" w:rsidP="002869C9">
            <w:pPr>
              <w:pStyle w:val="BodyText"/>
              <w:jc w:val="right"/>
              <w:rPr>
                <w:sz w:val="20"/>
                <w:szCs w:val="20"/>
              </w:rPr>
            </w:pPr>
            <w:r w:rsidRPr="002869C9">
              <w:rPr>
                <w:rStyle w:val="Bold"/>
                <w:sz w:val="20"/>
                <w:szCs w:val="20"/>
              </w:rPr>
              <w:t>26,932</w:t>
            </w:r>
          </w:p>
        </w:tc>
        <w:tc>
          <w:tcPr>
            <w:tcW w:w="611" w:type="pct"/>
          </w:tcPr>
          <w:p w:rsidR="00260042" w:rsidRPr="002869C9" w:rsidRDefault="00260042" w:rsidP="002869C9">
            <w:pPr>
              <w:pStyle w:val="BodyText"/>
              <w:jc w:val="right"/>
              <w:rPr>
                <w:sz w:val="20"/>
                <w:szCs w:val="20"/>
              </w:rPr>
            </w:pPr>
            <w:r w:rsidRPr="002869C9">
              <w:rPr>
                <w:rStyle w:val="Bold"/>
                <w:sz w:val="20"/>
                <w:szCs w:val="20"/>
              </w:rPr>
              <w:t>3,654</w:t>
            </w:r>
          </w:p>
        </w:tc>
        <w:tc>
          <w:tcPr>
            <w:tcW w:w="611" w:type="pct"/>
          </w:tcPr>
          <w:p w:rsidR="00260042" w:rsidRPr="002869C9" w:rsidRDefault="00260042" w:rsidP="002869C9">
            <w:pPr>
              <w:pStyle w:val="BodyText"/>
              <w:jc w:val="right"/>
              <w:rPr>
                <w:sz w:val="20"/>
                <w:szCs w:val="20"/>
              </w:rPr>
            </w:pPr>
            <w:r w:rsidRPr="002869C9">
              <w:rPr>
                <w:rStyle w:val="Bold"/>
                <w:sz w:val="20"/>
                <w:szCs w:val="20"/>
              </w:rPr>
              <w:t>3,463</w:t>
            </w:r>
          </w:p>
        </w:tc>
        <w:tc>
          <w:tcPr>
            <w:tcW w:w="611" w:type="pct"/>
          </w:tcPr>
          <w:p w:rsidR="00260042" w:rsidRPr="002869C9" w:rsidRDefault="00260042" w:rsidP="002869C9">
            <w:pPr>
              <w:pStyle w:val="BodyText"/>
              <w:jc w:val="right"/>
              <w:rPr>
                <w:sz w:val="20"/>
                <w:szCs w:val="20"/>
              </w:rPr>
            </w:pPr>
            <w:r w:rsidRPr="002869C9">
              <w:rPr>
                <w:rStyle w:val="Bold"/>
                <w:sz w:val="20"/>
                <w:szCs w:val="20"/>
              </w:rPr>
              <w:t>7,117</w:t>
            </w:r>
          </w:p>
        </w:tc>
        <w:tc>
          <w:tcPr>
            <w:tcW w:w="611" w:type="pct"/>
          </w:tcPr>
          <w:p w:rsidR="00260042" w:rsidRPr="002869C9" w:rsidRDefault="00260042" w:rsidP="002869C9">
            <w:pPr>
              <w:pStyle w:val="BodyText"/>
              <w:jc w:val="right"/>
              <w:rPr>
                <w:sz w:val="20"/>
                <w:szCs w:val="20"/>
              </w:rPr>
            </w:pPr>
            <w:r w:rsidRPr="002869C9">
              <w:rPr>
                <w:rStyle w:val="Bold"/>
                <w:sz w:val="20"/>
                <w:szCs w:val="20"/>
              </w:rPr>
              <w:t>34,049</w:t>
            </w:r>
          </w:p>
        </w:tc>
      </w:tr>
    </w:tbl>
    <w:p w:rsidR="00260042" w:rsidRDefault="00260042" w:rsidP="00EA5510">
      <w:pPr>
        <w:pStyle w:val="BodyText"/>
      </w:pPr>
      <w:r>
        <w:t>(a)</w:t>
      </w:r>
      <w:r>
        <w:tab/>
        <w:t>Non-ongoing employees include irregular/intermittent staff.</w:t>
      </w:r>
    </w:p>
    <w:p w:rsidR="00260042" w:rsidRPr="00EA5510" w:rsidRDefault="00511254" w:rsidP="00EA5510">
      <w:pPr>
        <w:pStyle w:val="BodyText"/>
        <w:rPr>
          <w:b/>
        </w:rPr>
      </w:pPr>
      <w:r>
        <w:rPr>
          <w:rStyle w:val="Bold"/>
          <w:bCs w:val="0"/>
        </w:rPr>
        <w:t>Table 6</w:t>
      </w:r>
      <w:r>
        <w:rPr>
          <w:rStyle w:val="Bold"/>
          <w:bCs w:val="0"/>
        </w:rPr>
        <w:t>4</w:t>
      </w:r>
      <w:r w:rsidR="00260042" w:rsidRPr="00EA5510">
        <w:rPr>
          <w:b/>
        </w:rPr>
        <w:t xml:space="preserve"> Australian Public Service Act employees by full-time and part-time status 2019–20</w:t>
      </w:r>
    </w:p>
    <w:tbl>
      <w:tblPr>
        <w:tblStyle w:val="TableGrid"/>
        <w:tblW w:w="5000" w:type="pct"/>
        <w:tblLook w:val="0000" w:firstRow="0" w:lastRow="0" w:firstColumn="0" w:lastColumn="0" w:noHBand="0" w:noVBand="0"/>
        <w:tblCaption w:val=" Australian Public Service Act employees by full-time and part-time status 2019–20"/>
      </w:tblPr>
      <w:tblGrid>
        <w:gridCol w:w="1564"/>
        <w:gridCol w:w="1318"/>
        <w:gridCol w:w="1318"/>
        <w:gridCol w:w="1319"/>
        <w:gridCol w:w="1319"/>
        <w:gridCol w:w="1319"/>
        <w:gridCol w:w="1319"/>
        <w:gridCol w:w="1314"/>
      </w:tblGrid>
      <w:tr w:rsidR="00260042" w:rsidRPr="002869C9" w:rsidTr="002869C9">
        <w:trPr>
          <w:trHeight w:val="60"/>
          <w:tblHeader/>
        </w:trPr>
        <w:tc>
          <w:tcPr>
            <w:tcW w:w="725" w:type="pct"/>
          </w:tcPr>
          <w:p w:rsidR="00260042" w:rsidRPr="002869C9" w:rsidRDefault="00260042" w:rsidP="002869C9">
            <w:pPr>
              <w:pStyle w:val="BodyText"/>
              <w:rPr>
                <w:b/>
                <w:sz w:val="20"/>
                <w:szCs w:val="20"/>
              </w:rPr>
            </w:pPr>
          </w:p>
        </w:tc>
        <w:tc>
          <w:tcPr>
            <w:tcW w:w="1832" w:type="pct"/>
            <w:gridSpan w:val="3"/>
          </w:tcPr>
          <w:p w:rsidR="00260042" w:rsidRPr="002869C9" w:rsidRDefault="00260042" w:rsidP="002869C9">
            <w:pPr>
              <w:pStyle w:val="BodyText"/>
              <w:jc w:val="center"/>
              <w:rPr>
                <w:b/>
                <w:sz w:val="20"/>
                <w:szCs w:val="20"/>
              </w:rPr>
            </w:pPr>
            <w:r w:rsidRPr="002869C9">
              <w:rPr>
                <w:b/>
                <w:sz w:val="20"/>
                <w:szCs w:val="20"/>
              </w:rPr>
              <w:t>Ongoing</w:t>
            </w:r>
          </w:p>
        </w:tc>
        <w:tc>
          <w:tcPr>
            <w:tcW w:w="1832" w:type="pct"/>
            <w:gridSpan w:val="3"/>
          </w:tcPr>
          <w:p w:rsidR="00260042" w:rsidRPr="002869C9" w:rsidRDefault="00260042" w:rsidP="002869C9">
            <w:pPr>
              <w:pStyle w:val="BodyText"/>
              <w:jc w:val="center"/>
              <w:rPr>
                <w:b/>
                <w:sz w:val="20"/>
                <w:szCs w:val="20"/>
              </w:rPr>
            </w:pPr>
            <w:r w:rsidRPr="002869C9">
              <w:rPr>
                <w:b/>
                <w:sz w:val="20"/>
                <w:szCs w:val="20"/>
              </w:rPr>
              <w:t>Non-ongoing</w:t>
            </w:r>
            <w:r w:rsidRPr="002869C9">
              <w:rPr>
                <w:b/>
                <w:sz w:val="20"/>
                <w:szCs w:val="20"/>
                <w:vertAlign w:val="superscript"/>
              </w:rPr>
              <w:t>(a)</w:t>
            </w:r>
          </w:p>
        </w:tc>
        <w:tc>
          <w:tcPr>
            <w:tcW w:w="611" w:type="pct"/>
          </w:tcPr>
          <w:p w:rsidR="00260042" w:rsidRPr="002869C9" w:rsidRDefault="00260042" w:rsidP="002869C9">
            <w:pPr>
              <w:pStyle w:val="BodyText"/>
              <w:jc w:val="right"/>
              <w:rPr>
                <w:b/>
                <w:sz w:val="20"/>
                <w:szCs w:val="20"/>
              </w:rPr>
            </w:pPr>
          </w:p>
        </w:tc>
      </w:tr>
      <w:tr w:rsidR="00260042" w:rsidRPr="002869C9" w:rsidTr="002869C9">
        <w:trPr>
          <w:trHeight w:val="616"/>
          <w:tblHeader/>
        </w:trPr>
        <w:tc>
          <w:tcPr>
            <w:tcW w:w="725" w:type="pct"/>
          </w:tcPr>
          <w:p w:rsidR="00260042" w:rsidRPr="002869C9" w:rsidRDefault="00260042" w:rsidP="002869C9">
            <w:pPr>
              <w:pStyle w:val="BodyText"/>
              <w:rPr>
                <w:sz w:val="20"/>
                <w:szCs w:val="20"/>
              </w:rPr>
            </w:pPr>
            <w:r w:rsidRPr="002869C9">
              <w:rPr>
                <w:rStyle w:val="Bold"/>
                <w:sz w:val="20"/>
                <w:szCs w:val="20"/>
              </w:rPr>
              <w:t>Substantive classification</w:t>
            </w:r>
          </w:p>
        </w:tc>
        <w:tc>
          <w:tcPr>
            <w:tcW w:w="611" w:type="pct"/>
          </w:tcPr>
          <w:p w:rsidR="00260042" w:rsidRPr="002869C9" w:rsidRDefault="00260042" w:rsidP="002869C9">
            <w:pPr>
              <w:pStyle w:val="BodyText"/>
              <w:jc w:val="right"/>
              <w:rPr>
                <w:sz w:val="20"/>
                <w:szCs w:val="20"/>
              </w:rPr>
            </w:pPr>
            <w:r w:rsidRPr="002869C9">
              <w:rPr>
                <w:rStyle w:val="Bold"/>
                <w:sz w:val="20"/>
                <w:szCs w:val="20"/>
              </w:rPr>
              <w:t>Full-time</w:t>
            </w:r>
          </w:p>
        </w:tc>
        <w:tc>
          <w:tcPr>
            <w:tcW w:w="611" w:type="pct"/>
          </w:tcPr>
          <w:p w:rsidR="00260042" w:rsidRPr="002869C9" w:rsidRDefault="00260042" w:rsidP="002869C9">
            <w:pPr>
              <w:pStyle w:val="BodyText"/>
              <w:jc w:val="right"/>
              <w:rPr>
                <w:sz w:val="20"/>
                <w:szCs w:val="20"/>
              </w:rPr>
            </w:pPr>
            <w:r w:rsidRPr="002869C9">
              <w:rPr>
                <w:rStyle w:val="Bold"/>
                <w:sz w:val="20"/>
                <w:szCs w:val="20"/>
              </w:rPr>
              <w:t>Part-time</w:t>
            </w:r>
          </w:p>
        </w:tc>
        <w:tc>
          <w:tcPr>
            <w:tcW w:w="611" w:type="pct"/>
          </w:tcPr>
          <w:p w:rsidR="00260042" w:rsidRPr="002869C9" w:rsidRDefault="00260042" w:rsidP="002869C9">
            <w:pPr>
              <w:pStyle w:val="BodyText"/>
              <w:jc w:val="right"/>
              <w:rPr>
                <w:sz w:val="20"/>
                <w:szCs w:val="20"/>
              </w:rPr>
            </w:pPr>
            <w:r w:rsidRPr="002869C9">
              <w:rPr>
                <w:rStyle w:val="Bold"/>
                <w:sz w:val="20"/>
                <w:szCs w:val="20"/>
              </w:rPr>
              <w:t>Total Ongoing</w:t>
            </w:r>
          </w:p>
        </w:tc>
        <w:tc>
          <w:tcPr>
            <w:tcW w:w="611" w:type="pct"/>
          </w:tcPr>
          <w:p w:rsidR="00260042" w:rsidRPr="002869C9" w:rsidRDefault="00260042" w:rsidP="002869C9">
            <w:pPr>
              <w:pStyle w:val="BodyText"/>
              <w:jc w:val="right"/>
              <w:rPr>
                <w:sz w:val="20"/>
                <w:szCs w:val="20"/>
              </w:rPr>
            </w:pPr>
            <w:r w:rsidRPr="002869C9">
              <w:rPr>
                <w:rStyle w:val="Bold"/>
                <w:sz w:val="20"/>
                <w:szCs w:val="20"/>
              </w:rPr>
              <w:t>Full-time</w:t>
            </w:r>
          </w:p>
        </w:tc>
        <w:tc>
          <w:tcPr>
            <w:tcW w:w="611" w:type="pct"/>
          </w:tcPr>
          <w:p w:rsidR="00260042" w:rsidRPr="002869C9" w:rsidRDefault="00260042" w:rsidP="002869C9">
            <w:pPr>
              <w:pStyle w:val="BodyText"/>
              <w:jc w:val="right"/>
              <w:rPr>
                <w:sz w:val="20"/>
                <w:szCs w:val="20"/>
              </w:rPr>
            </w:pPr>
            <w:r w:rsidRPr="002869C9">
              <w:rPr>
                <w:rStyle w:val="Bold"/>
                <w:sz w:val="20"/>
                <w:szCs w:val="20"/>
              </w:rPr>
              <w:t>Part-time</w:t>
            </w:r>
          </w:p>
        </w:tc>
        <w:tc>
          <w:tcPr>
            <w:tcW w:w="611" w:type="pct"/>
          </w:tcPr>
          <w:p w:rsidR="00260042" w:rsidRPr="002869C9" w:rsidRDefault="00260042" w:rsidP="002869C9">
            <w:pPr>
              <w:pStyle w:val="BodyText"/>
              <w:jc w:val="right"/>
              <w:rPr>
                <w:sz w:val="20"/>
                <w:szCs w:val="20"/>
              </w:rPr>
            </w:pPr>
            <w:r w:rsidRPr="002869C9">
              <w:rPr>
                <w:rStyle w:val="Bold"/>
                <w:spacing w:val="-4"/>
                <w:sz w:val="20"/>
                <w:szCs w:val="20"/>
              </w:rPr>
              <w:t>Total Non-ongoing</w:t>
            </w:r>
          </w:p>
        </w:tc>
        <w:tc>
          <w:tcPr>
            <w:tcW w:w="611" w:type="pct"/>
          </w:tcPr>
          <w:p w:rsidR="00260042" w:rsidRPr="002869C9" w:rsidRDefault="00260042" w:rsidP="002869C9">
            <w:pPr>
              <w:pStyle w:val="BodyText"/>
              <w:jc w:val="right"/>
              <w:rPr>
                <w:sz w:val="20"/>
                <w:szCs w:val="20"/>
              </w:rPr>
            </w:pPr>
            <w:r w:rsidRPr="002869C9">
              <w:rPr>
                <w:rStyle w:val="Bold"/>
                <w:sz w:val="20"/>
                <w:szCs w:val="20"/>
              </w:rPr>
              <w:t>Total</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SES 3</w:t>
            </w:r>
          </w:p>
        </w:tc>
        <w:tc>
          <w:tcPr>
            <w:tcW w:w="611" w:type="pct"/>
          </w:tcPr>
          <w:p w:rsidR="00260042" w:rsidRPr="002869C9" w:rsidRDefault="00260042" w:rsidP="002869C9">
            <w:pPr>
              <w:pStyle w:val="BodyText"/>
              <w:jc w:val="right"/>
              <w:rPr>
                <w:sz w:val="20"/>
                <w:szCs w:val="20"/>
              </w:rPr>
            </w:pPr>
            <w:r w:rsidRPr="002869C9">
              <w:rPr>
                <w:sz w:val="20"/>
                <w:szCs w:val="20"/>
              </w:rPr>
              <w:t>5</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5</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rStyle w:val="01bodybold"/>
                <w:sz w:val="20"/>
                <w:szCs w:val="20"/>
              </w:rPr>
              <w:t>6</w:t>
            </w:r>
          </w:p>
        </w:tc>
      </w:tr>
      <w:tr w:rsidR="00260042" w:rsidRPr="002869C9" w:rsidTr="002869C9">
        <w:trPr>
          <w:trHeight w:val="305"/>
        </w:trPr>
        <w:tc>
          <w:tcPr>
            <w:tcW w:w="725" w:type="pct"/>
          </w:tcPr>
          <w:p w:rsidR="00260042" w:rsidRPr="002869C9" w:rsidRDefault="00260042" w:rsidP="002869C9">
            <w:pPr>
              <w:pStyle w:val="BodyText"/>
              <w:rPr>
                <w:sz w:val="20"/>
                <w:szCs w:val="20"/>
              </w:rPr>
            </w:pPr>
            <w:r w:rsidRPr="002869C9">
              <w:rPr>
                <w:sz w:val="20"/>
                <w:szCs w:val="20"/>
              </w:rPr>
              <w:t>SES 2</w:t>
            </w:r>
          </w:p>
        </w:tc>
        <w:tc>
          <w:tcPr>
            <w:tcW w:w="611" w:type="pct"/>
          </w:tcPr>
          <w:p w:rsidR="00260042" w:rsidRPr="002869C9" w:rsidRDefault="00260042" w:rsidP="002869C9">
            <w:pPr>
              <w:pStyle w:val="BodyText"/>
              <w:jc w:val="right"/>
              <w:rPr>
                <w:sz w:val="20"/>
                <w:szCs w:val="20"/>
              </w:rPr>
            </w:pPr>
            <w:r w:rsidRPr="002869C9">
              <w:rPr>
                <w:sz w:val="20"/>
                <w:szCs w:val="20"/>
              </w:rPr>
              <w:t>27</w:t>
            </w:r>
          </w:p>
        </w:tc>
        <w:tc>
          <w:tcPr>
            <w:tcW w:w="611" w:type="pct"/>
          </w:tcPr>
          <w:p w:rsidR="00260042" w:rsidRPr="002869C9" w:rsidRDefault="00260042" w:rsidP="002869C9">
            <w:pPr>
              <w:pStyle w:val="BodyText"/>
              <w:jc w:val="right"/>
              <w:rPr>
                <w:sz w:val="20"/>
                <w:szCs w:val="20"/>
              </w:rPr>
            </w:pPr>
            <w:r w:rsidRPr="002869C9">
              <w:rPr>
                <w:sz w:val="20"/>
                <w:szCs w:val="20"/>
              </w:rPr>
              <w:t>3</w:t>
            </w:r>
          </w:p>
        </w:tc>
        <w:tc>
          <w:tcPr>
            <w:tcW w:w="611" w:type="pct"/>
          </w:tcPr>
          <w:p w:rsidR="00260042" w:rsidRPr="002869C9" w:rsidRDefault="00260042" w:rsidP="002869C9">
            <w:pPr>
              <w:pStyle w:val="BodyText"/>
              <w:jc w:val="right"/>
              <w:rPr>
                <w:sz w:val="20"/>
                <w:szCs w:val="20"/>
              </w:rPr>
            </w:pPr>
            <w:r w:rsidRPr="002869C9">
              <w:rPr>
                <w:sz w:val="20"/>
                <w:szCs w:val="20"/>
              </w:rPr>
              <w:t>30</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rStyle w:val="01bodybold"/>
                <w:sz w:val="20"/>
                <w:szCs w:val="20"/>
              </w:rPr>
              <w:t>31</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SES 1</w:t>
            </w:r>
          </w:p>
        </w:tc>
        <w:tc>
          <w:tcPr>
            <w:tcW w:w="611" w:type="pct"/>
          </w:tcPr>
          <w:p w:rsidR="00260042" w:rsidRPr="002869C9" w:rsidRDefault="00260042" w:rsidP="002869C9">
            <w:pPr>
              <w:pStyle w:val="BodyText"/>
              <w:jc w:val="right"/>
              <w:rPr>
                <w:sz w:val="20"/>
                <w:szCs w:val="20"/>
              </w:rPr>
            </w:pPr>
            <w:r w:rsidRPr="002869C9">
              <w:rPr>
                <w:sz w:val="20"/>
                <w:szCs w:val="20"/>
              </w:rPr>
              <w:t>106</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107</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107</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EL 2</w:t>
            </w:r>
          </w:p>
        </w:tc>
        <w:tc>
          <w:tcPr>
            <w:tcW w:w="611" w:type="pct"/>
          </w:tcPr>
          <w:p w:rsidR="00260042" w:rsidRPr="002869C9" w:rsidRDefault="00260042" w:rsidP="002869C9">
            <w:pPr>
              <w:pStyle w:val="BodyText"/>
              <w:jc w:val="right"/>
              <w:rPr>
                <w:sz w:val="20"/>
                <w:szCs w:val="20"/>
              </w:rPr>
            </w:pPr>
            <w:r w:rsidRPr="002869C9">
              <w:rPr>
                <w:sz w:val="20"/>
                <w:szCs w:val="20"/>
              </w:rPr>
              <w:t>786</w:t>
            </w:r>
          </w:p>
        </w:tc>
        <w:tc>
          <w:tcPr>
            <w:tcW w:w="611" w:type="pct"/>
          </w:tcPr>
          <w:p w:rsidR="00260042" w:rsidRPr="002869C9" w:rsidRDefault="00260042" w:rsidP="002869C9">
            <w:pPr>
              <w:pStyle w:val="BodyText"/>
              <w:jc w:val="right"/>
              <w:rPr>
                <w:sz w:val="20"/>
                <w:szCs w:val="20"/>
              </w:rPr>
            </w:pPr>
            <w:r w:rsidRPr="002869C9">
              <w:rPr>
                <w:sz w:val="20"/>
                <w:szCs w:val="20"/>
              </w:rPr>
              <w:t>56</w:t>
            </w:r>
          </w:p>
        </w:tc>
        <w:tc>
          <w:tcPr>
            <w:tcW w:w="611" w:type="pct"/>
          </w:tcPr>
          <w:p w:rsidR="00260042" w:rsidRPr="002869C9" w:rsidRDefault="00260042" w:rsidP="002869C9">
            <w:pPr>
              <w:pStyle w:val="BodyText"/>
              <w:jc w:val="right"/>
              <w:rPr>
                <w:sz w:val="20"/>
                <w:szCs w:val="20"/>
              </w:rPr>
            </w:pPr>
            <w:r w:rsidRPr="002869C9">
              <w:rPr>
                <w:sz w:val="20"/>
                <w:szCs w:val="20"/>
              </w:rPr>
              <w:t>842</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1</w:t>
            </w:r>
          </w:p>
        </w:tc>
        <w:tc>
          <w:tcPr>
            <w:tcW w:w="611" w:type="pct"/>
          </w:tcPr>
          <w:p w:rsidR="00260042" w:rsidRPr="002869C9" w:rsidRDefault="00260042" w:rsidP="002869C9">
            <w:pPr>
              <w:pStyle w:val="BodyText"/>
              <w:jc w:val="right"/>
              <w:rPr>
                <w:sz w:val="20"/>
                <w:szCs w:val="20"/>
              </w:rPr>
            </w:pPr>
            <w:r w:rsidRPr="002869C9">
              <w:rPr>
                <w:sz w:val="20"/>
                <w:szCs w:val="20"/>
              </w:rPr>
              <w:t>2</w:t>
            </w:r>
          </w:p>
        </w:tc>
        <w:tc>
          <w:tcPr>
            <w:tcW w:w="611" w:type="pct"/>
          </w:tcPr>
          <w:p w:rsidR="00260042" w:rsidRPr="002869C9" w:rsidRDefault="00260042" w:rsidP="002869C9">
            <w:pPr>
              <w:pStyle w:val="BodyText"/>
              <w:jc w:val="right"/>
              <w:rPr>
                <w:sz w:val="20"/>
                <w:szCs w:val="20"/>
              </w:rPr>
            </w:pPr>
            <w:r w:rsidRPr="002869C9">
              <w:rPr>
                <w:rStyle w:val="01bodybold"/>
                <w:sz w:val="20"/>
                <w:szCs w:val="20"/>
              </w:rPr>
              <w:t>844</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EL 1</w:t>
            </w:r>
          </w:p>
        </w:tc>
        <w:tc>
          <w:tcPr>
            <w:tcW w:w="611" w:type="pct"/>
          </w:tcPr>
          <w:p w:rsidR="00260042" w:rsidRPr="002869C9" w:rsidRDefault="00260042" w:rsidP="002869C9">
            <w:pPr>
              <w:pStyle w:val="BodyText"/>
              <w:jc w:val="right"/>
              <w:rPr>
                <w:sz w:val="20"/>
                <w:szCs w:val="20"/>
              </w:rPr>
            </w:pPr>
            <w:r w:rsidRPr="002869C9">
              <w:rPr>
                <w:sz w:val="20"/>
                <w:szCs w:val="20"/>
              </w:rPr>
              <w:t>2,209</w:t>
            </w:r>
          </w:p>
        </w:tc>
        <w:tc>
          <w:tcPr>
            <w:tcW w:w="611" w:type="pct"/>
          </w:tcPr>
          <w:p w:rsidR="00260042" w:rsidRPr="002869C9" w:rsidRDefault="00260042" w:rsidP="002869C9">
            <w:pPr>
              <w:pStyle w:val="BodyText"/>
              <w:jc w:val="right"/>
              <w:rPr>
                <w:sz w:val="20"/>
                <w:szCs w:val="20"/>
              </w:rPr>
            </w:pPr>
            <w:r w:rsidRPr="002869C9">
              <w:rPr>
                <w:sz w:val="20"/>
                <w:szCs w:val="20"/>
              </w:rPr>
              <w:t>321</w:t>
            </w:r>
          </w:p>
        </w:tc>
        <w:tc>
          <w:tcPr>
            <w:tcW w:w="611" w:type="pct"/>
          </w:tcPr>
          <w:p w:rsidR="00260042" w:rsidRPr="002869C9" w:rsidRDefault="00260042" w:rsidP="002869C9">
            <w:pPr>
              <w:pStyle w:val="BodyText"/>
              <w:jc w:val="right"/>
              <w:rPr>
                <w:sz w:val="20"/>
                <w:szCs w:val="20"/>
              </w:rPr>
            </w:pPr>
            <w:r w:rsidRPr="002869C9">
              <w:rPr>
                <w:sz w:val="20"/>
                <w:szCs w:val="20"/>
              </w:rPr>
              <w:t>2,530</w:t>
            </w:r>
          </w:p>
        </w:tc>
        <w:tc>
          <w:tcPr>
            <w:tcW w:w="611" w:type="pct"/>
          </w:tcPr>
          <w:p w:rsidR="00260042" w:rsidRPr="002869C9" w:rsidRDefault="00260042" w:rsidP="002869C9">
            <w:pPr>
              <w:pStyle w:val="BodyText"/>
              <w:jc w:val="right"/>
              <w:rPr>
                <w:sz w:val="20"/>
                <w:szCs w:val="20"/>
              </w:rPr>
            </w:pPr>
            <w:r w:rsidRPr="002869C9">
              <w:rPr>
                <w:sz w:val="20"/>
                <w:szCs w:val="20"/>
              </w:rPr>
              <w:t>7</w:t>
            </w:r>
          </w:p>
        </w:tc>
        <w:tc>
          <w:tcPr>
            <w:tcW w:w="611" w:type="pct"/>
          </w:tcPr>
          <w:p w:rsidR="00260042" w:rsidRPr="002869C9" w:rsidRDefault="00260042" w:rsidP="002869C9">
            <w:pPr>
              <w:pStyle w:val="BodyText"/>
              <w:jc w:val="right"/>
              <w:rPr>
                <w:sz w:val="20"/>
                <w:szCs w:val="20"/>
              </w:rPr>
            </w:pPr>
            <w:r w:rsidRPr="002869C9">
              <w:rPr>
                <w:sz w:val="20"/>
                <w:szCs w:val="20"/>
              </w:rPr>
              <w:t>5</w:t>
            </w:r>
          </w:p>
        </w:tc>
        <w:tc>
          <w:tcPr>
            <w:tcW w:w="611" w:type="pct"/>
          </w:tcPr>
          <w:p w:rsidR="00260042" w:rsidRPr="002869C9" w:rsidRDefault="00260042" w:rsidP="002869C9">
            <w:pPr>
              <w:pStyle w:val="BodyText"/>
              <w:jc w:val="right"/>
              <w:rPr>
                <w:sz w:val="20"/>
                <w:szCs w:val="20"/>
              </w:rPr>
            </w:pPr>
            <w:r w:rsidRPr="002869C9">
              <w:rPr>
                <w:sz w:val="20"/>
                <w:szCs w:val="20"/>
              </w:rPr>
              <w:t>12</w:t>
            </w:r>
          </w:p>
        </w:tc>
        <w:tc>
          <w:tcPr>
            <w:tcW w:w="611" w:type="pct"/>
          </w:tcPr>
          <w:p w:rsidR="00260042" w:rsidRPr="002869C9" w:rsidRDefault="00260042" w:rsidP="002869C9">
            <w:pPr>
              <w:pStyle w:val="BodyText"/>
              <w:jc w:val="right"/>
              <w:rPr>
                <w:sz w:val="20"/>
                <w:szCs w:val="20"/>
              </w:rPr>
            </w:pPr>
            <w:r w:rsidRPr="002869C9">
              <w:rPr>
                <w:rStyle w:val="01bodybold"/>
                <w:sz w:val="20"/>
                <w:szCs w:val="20"/>
              </w:rPr>
              <w:t>2,542</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6</w:t>
            </w:r>
          </w:p>
        </w:tc>
        <w:tc>
          <w:tcPr>
            <w:tcW w:w="611" w:type="pct"/>
          </w:tcPr>
          <w:p w:rsidR="00260042" w:rsidRPr="002869C9" w:rsidRDefault="00260042" w:rsidP="002869C9">
            <w:pPr>
              <w:pStyle w:val="BodyText"/>
              <w:jc w:val="right"/>
              <w:rPr>
                <w:sz w:val="20"/>
                <w:szCs w:val="20"/>
              </w:rPr>
            </w:pPr>
            <w:r w:rsidRPr="002869C9">
              <w:rPr>
                <w:sz w:val="20"/>
                <w:szCs w:val="20"/>
              </w:rPr>
              <w:t>4,183</w:t>
            </w:r>
          </w:p>
        </w:tc>
        <w:tc>
          <w:tcPr>
            <w:tcW w:w="611" w:type="pct"/>
          </w:tcPr>
          <w:p w:rsidR="00260042" w:rsidRPr="002869C9" w:rsidRDefault="00260042" w:rsidP="002869C9">
            <w:pPr>
              <w:pStyle w:val="BodyText"/>
              <w:jc w:val="right"/>
              <w:rPr>
                <w:sz w:val="20"/>
                <w:szCs w:val="20"/>
              </w:rPr>
            </w:pPr>
            <w:r w:rsidRPr="002869C9">
              <w:rPr>
                <w:sz w:val="20"/>
                <w:szCs w:val="20"/>
              </w:rPr>
              <w:t>1,274</w:t>
            </w:r>
          </w:p>
        </w:tc>
        <w:tc>
          <w:tcPr>
            <w:tcW w:w="611" w:type="pct"/>
          </w:tcPr>
          <w:p w:rsidR="00260042" w:rsidRPr="002869C9" w:rsidRDefault="00260042" w:rsidP="002869C9">
            <w:pPr>
              <w:pStyle w:val="BodyText"/>
              <w:jc w:val="right"/>
              <w:rPr>
                <w:sz w:val="20"/>
                <w:szCs w:val="20"/>
              </w:rPr>
            </w:pPr>
            <w:r w:rsidRPr="002869C9">
              <w:rPr>
                <w:sz w:val="20"/>
                <w:szCs w:val="20"/>
              </w:rPr>
              <w:t>5,457</w:t>
            </w:r>
          </w:p>
        </w:tc>
        <w:tc>
          <w:tcPr>
            <w:tcW w:w="611" w:type="pct"/>
          </w:tcPr>
          <w:p w:rsidR="00260042" w:rsidRPr="002869C9" w:rsidRDefault="00260042" w:rsidP="002869C9">
            <w:pPr>
              <w:pStyle w:val="BodyText"/>
              <w:jc w:val="right"/>
              <w:rPr>
                <w:sz w:val="20"/>
                <w:szCs w:val="20"/>
              </w:rPr>
            </w:pPr>
            <w:r w:rsidRPr="002869C9">
              <w:rPr>
                <w:sz w:val="20"/>
                <w:szCs w:val="20"/>
              </w:rPr>
              <w:t>9</w:t>
            </w:r>
          </w:p>
        </w:tc>
        <w:tc>
          <w:tcPr>
            <w:tcW w:w="611" w:type="pct"/>
          </w:tcPr>
          <w:p w:rsidR="00260042" w:rsidRPr="002869C9" w:rsidRDefault="00260042" w:rsidP="002869C9">
            <w:pPr>
              <w:pStyle w:val="BodyText"/>
              <w:jc w:val="right"/>
              <w:rPr>
                <w:sz w:val="20"/>
                <w:szCs w:val="20"/>
              </w:rPr>
            </w:pPr>
            <w:r w:rsidRPr="002869C9">
              <w:rPr>
                <w:sz w:val="20"/>
                <w:szCs w:val="20"/>
              </w:rPr>
              <w:t>8</w:t>
            </w:r>
          </w:p>
        </w:tc>
        <w:tc>
          <w:tcPr>
            <w:tcW w:w="611" w:type="pct"/>
          </w:tcPr>
          <w:p w:rsidR="00260042" w:rsidRPr="002869C9" w:rsidRDefault="00260042" w:rsidP="002869C9">
            <w:pPr>
              <w:pStyle w:val="BodyText"/>
              <w:jc w:val="right"/>
              <w:rPr>
                <w:sz w:val="20"/>
                <w:szCs w:val="20"/>
              </w:rPr>
            </w:pPr>
            <w:r w:rsidRPr="002869C9">
              <w:rPr>
                <w:sz w:val="20"/>
                <w:szCs w:val="20"/>
              </w:rPr>
              <w:t>17</w:t>
            </w:r>
          </w:p>
        </w:tc>
        <w:tc>
          <w:tcPr>
            <w:tcW w:w="611" w:type="pct"/>
          </w:tcPr>
          <w:p w:rsidR="00260042" w:rsidRPr="002869C9" w:rsidRDefault="00260042" w:rsidP="002869C9">
            <w:pPr>
              <w:pStyle w:val="BodyText"/>
              <w:jc w:val="right"/>
              <w:rPr>
                <w:sz w:val="20"/>
                <w:szCs w:val="20"/>
              </w:rPr>
            </w:pPr>
            <w:r w:rsidRPr="002869C9">
              <w:rPr>
                <w:rStyle w:val="01bodybold"/>
                <w:sz w:val="20"/>
                <w:szCs w:val="20"/>
              </w:rPr>
              <w:t>5,474</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5</w:t>
            </w:r>
          </w:p>
        </w:tc>
        <w:tc>
          <w:tcPr>
            <w:tcW w:w="611" w:type="pct"/>
          </w:tcPr>
          <w:p w:rsidR="00260042" w:rsidRPr="002869C9" w:rsidRDefault="00260042" w:rsidP="002869C9">
            <w:pPr>
              <w:pStyle w:val="BodyText"/>
              <w:jc w:val="right"/>
              <w:rPr>
                <w:sz w:val="20"/>
                <w:szCs w:val="20"/>
              </w:rPr>
            </w:pPr>
            <w:r w:rsidRPr="002869C9">
              <w:rPr>
                <w:sz w:val="20"/>
                <w:szCs w:val="20"/>
              </w:rPr>
              <w:t>2,774</w:t>
            </w:r>
          </w:p>
        </w:tc>
        <w:tc>
          <w:tcPr>
            <w:tcW w:w="611" w:type="pct"/>
          </w:tcPr>
          <w:p w:rsidR="00260042" w:rsidRPr="002869C9" w:rsidRDefault="00260042" w:rsidP="002869C9">
            <w:pPr>
              <w:pStyle w:val="BodyText"/>
              <w:jc w:val="right"/>
              <w:rPr>
                <w:sz w:val="20"/>
                <w:szCs w:val="20"/>
              </w:rPr>
            </w:pPr>
            <w:r w:rsidRPr="002869C9">
              <w:rPr>
                <w:sz w:val="20"/>
                <w:szCs w:val="20"/>
              </w:rPr>
              <w:t>627</w:t>
            </w:r>
          </w:p>
        </w:tc>
        <w:tc>
          <w:tcPr>
            <w:tcW w:w="611" w:type="pct"/>
          </w:tcPr>
          <w:p w:rsidR="00260042" w:rsidRPr="002869C9" w:rsidRDefault="00260042" w:rsidP="002869C9">
            <w:pPr>
              <w:pStyle w:val="BodyText"/>
              <w:jc w:val="right"/>
              <w:rPr>
                <w:sz w:val="20"/>
                <w:szCs w:val="20"/>
              </w:rPr>
            </w:pPr>
            <w:r w:rsidRPr="002869C9">
              <w:rPr>
                <w:sz w:val="20"/>
                <w:szCs w:val="20"/>
              </w:rPr>
              <w:t>3,401</w:t>
            </w:r>
          </w:p>
        </w:tc>
        <w:tc>
          <w:tcPr>
            <w:tcW w:w="611" w:type="pct"/>
          </w:tcPr>
          <w:p w:rsidR="00260042" w:rsidRPr="002869C9" w:rsidRDefault="00260042" w:rsidP="002869C9">
            <w:pPr>
              <w:pStyle w:val="BodyText"/>
              <w:jc w:val="right"/>
              <w:rPr>
                <w:sz w:val="20"/>
                <w:szCs w:val="20"/>
              </w:rPr>
            </w:pPr>
            <w:r w:rsidRPr="002869C9">
              <w:rPr>
                <w:sz w:val="20"/>
                <w:szCs w:val="20"/>
              </w:rPr>
              <w:t>16</w:t>
            </w:r>
          </w:p>
        </w:tc>
        <w:tc>
          <w:tcPr>
            <w:tcW w:w="611" w:type="pct"/>
          </w:tcPr>
          <w:p w:rsidR="00260042" w:rsidRPr="002869C9" w:rsidRDefault="00260042" w:rsidP="002869C9">
            <w:pPr>
              <w:pStyle w:val="BodyText"/>
              <w:jc w:val="right"/>
              <w:rPr>
                <w:sz w:val="20"/>
                <w:szCs w:val="20"/>
              </w:rPr>
            </w:pPr>
            <w:r w:rsidRPr="002869C9">
              <w:rPr>
                <w:sz w:val="20"/>
                <w:szCs w:val="20"/>
              </w:rPr>
              <w:t>19</w:t>
            </w:r>
          </w:p>
        </w:tc>
        <w:tc>
          <w:tcPr>
            <w:tcW w:w="611" w:type="pct"/>
          </w:tcPr>
          <w:p w:rsidR="00260042" w:rsidRPr="002869C9" w:rsidRDefault="00260042" w:rsidP="002869C9">
            <w:pPr>
              <w:pStyle w:val="BodyText"/>
              <w:jc w:val="right"/>
              <w:rPr>
                <w:sz w:val="20"/>
                <w:szCs w:val="20"/>
              </w:rPr>
            </w:pPr>
            <w:r w:rsidRPr="002869C9">
              <w:rPr>
                <w:sz w:val="20"/>
                <w:szCs w:val="20"/>
              </w:rPr>
              <w:t>35</w:t>
            </w:r>
          </w:p>
        </w:tc>
        <w:tc>
          <w:tcPr>
            <w:tcW w:w="611" w:type="pct"/>
          </w:tcPr>
          <w:p w:rsidR="00260042" w:rsidRPr="002869C9" w:rsidRDefault="00260042" w:rsidP="002869C9">
            <w:pPr>
              <w:pStyle w:val="BodyText"/>
              <w:jc w:val="right"/>
              <w:rPr>
                <w:sz w:val="20"/>
                <w:szCs w:val="20"/>
              </w:rPr>
            </w:pPr>
            <w:r w:rsidRPr="002869C9">
              <w:rPr>
                <w:rStyle w:val="01bodybold"/>
                <w:sz w:val="20"/>
                <w:szCs w:val="20"/>
              </w:rPr>
              <w:t>3,436</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4</w:t>
            </w:r>
          </w:p>
        </w:tc>
        <w:tc>
          <w:tcPr>
            <w:tcW w:w="611" w:type="pct"/>
          </w:tcPr>
          <w:p w:rsidR="00260042" w:rsidRPr="002869C9" w:rsidRDefault="00260042" w:rsidP="002869C9">
            <w:pPr>
              <w:pStyle w:val="BodyText"/>
              <w:jc w:val="right"/>
              <w:rPr>
                <w:sz w:val="20"/>
                <w:szCs w:val="20"/>
              </w:rPr>
            </w:pPr>
            <w:r w:rsidRPr="002869C9">
              <w:rPr>
                <w:sz w:val="20"/>
                <w:szCs w:val="20"/>
              </w:rPr>
              <w:t>7,465</w:t>
            </w:r>
          </w:p>
        </w:tc>
        <w:tc>
          <w:tcPr>
            <w:tcW w:w="611" w:type="pct"/>
          </w:tcPr>
          <w:p w:rsidR="00260042" w:rsidRPr="002869C9" w:rsidRDefault="00260042" w:rsidP="002869C9">
            <w:pPr>
              <w:pStyle w:val="BodyText"/>
              <w:jc w:val="right"/>
              <w:rPr>
                <w:sz w:val="20"/>
                <w:szCs w:val="20"/>
              </w:rPr>
            </w:pPr>
            <w:r w:rsidRPr="002869C9">
              <w:rPr>
                <w:sz w:val="20"/>
                <w:szCs w:val="20"/>
              </w:rPr>
              <w:t>4,404</w:t>
            </w:r>
          </w:p>
        </w:tc>
        <w:tc>
          <w:tcPr>
            <w:tcW w:w="611" w:type="pct"/>
          </w:tcPr>
          <w:p w:rsidR="00260042" w:rsidRPr="002869C9" w:rsidRDefault="00260042" w:rsidP="002869C9">
            <w:pPr>
              <w:pStyle w:val="BodyText"/>
              <w:jc w:val="right"/>
              <w:rPr>
                <w:sz w:val="20"/>
                <w:szCs w:val="20"/>
              </w:rPr>
            </w:pPr>
            <w:r w:rsidRPr="002869C9">
              <w:rPr>
                <w:sz w:val="20"/>
                <w:szCs w:val="20"/>
              </w:rPr>
              <w:t>11,869</w:t>
            </w:r>
          </w:p>
        </w:tc>
        <w:tc>
          <w:tcPr>
            <w:tcW w:w="611" w:type="pct"/>
          </w:tcPr>
          <w:p w:rsidR="00260042" w:rsidRPr="002869C9" w:rsidRDefault="00260042" w:rsidP="002869C9">
            <w:pPr>
              <w:pStyle w:val="BodyText"/>
              <w:jc w:val="right"/>
              <w:rPr>
                <w:sz w:val="20"/>
                <w:szCs w:val="20"/>
              </w:rPr>
            </w:pPr>
            <w:r w:rsidRPr="002869C9">
              <w:rPr>
                <w:sz w:val="20"/>
                <w:szCs w:val="20"/>
              </w:rPr>
              <w:t>43</w:t>
            </w:r>
          </w:p>
        </w:tc>
        <w:tc>
          <w:tcPr>
            <w:tcW w:w="611" w:type="pct"/>
          </w:tcPr>
          <w:p w:rsidR="00260042" w:rsidRPr="002869C9" w:rsidRDefault="00260042" w:rsidP="002869C9">
            <w:pPr>
              <w:pStyle w:val="BodyText"/>
              <w:jc w:val="right"/>
              <w:rPr>
                <w:sz w:val="20"/>
                <w:szCs w:val="20"/>
              </w:rPr>
            </w:pPr>
            <w:r w:rsidRPr="002869C9">
              <w:rPr>
                <w:sz w:val="20"/>
                <w:szCs w:val="20"/>
              </w:rPr>
              <w:t>218</w:t>
            </w:r>
          </w:p>
        </w:tc>
        <w:tc>
          <w:tcPr>
            <w:tcW w:w="611" w:type="pct"/>
          </w:tcPr>
          <w:p w:rsidR="00260042" w:rsidRPr="002869C9" w:rsidRDefault="00260042" w:rsidP="002869C9">
            <w:pPr>
              <w:pStyle w:val="BodyText"/>
              <w:jc w:val="right"/>
              <w:rPr>
                <w:sz w:val="20"/>
                <w:szCs w:val="20"/>
              </w:rPr>
            </w:pPr>
            <w:r w:rsidRPr="002869C9">
              <w:rPr>
                <w:sz w:val="20"/>
                <w:szCs w:val="20"/>
              </w:rPr>
              <w:t>261</w:t>
            </w:r>
          </w:p>
        </w:tc>
        <w:tc>
          <w:tcPr>
            <w:tcW w:w="611" w:type="pct"/>
          </w:tcPr>
          <w:p w:rsidR="00260042" w:rsidRPr="002869C9" w:rsidRDefault="00260042" w:rsidP="002869C9">
            <w:pPr>
              <w:pStyle w:val="BodyText"/>
              <w:jc w:val="right"/>
              <w:rPr>
                <w:sz w:val="20"/>
                <w:szCs w:val="20"/>
              </w:rPr>
            </w:pPr>
            <w:r w:rsidRPr="002869C9">
              <w:rPr>
                <w:rStyle w:val="01bodybold"/>
                <w:sz w:val="20"/>
                <w:szCs w:val="20"/>
              </w:rPr>
              <w:t>12,130</w:t>
            </w:r>
          </w:p>
        </w:tc>
      </w:tr>
      <w:tr w:rsidR="00260042" w:rsidRPr="002869C9" w:rsidTr="002869C9">
        <w:trPr>
          <w:trHeight w:val="376"/>
        </w:trPr>
        <w:tc>
          <w:tcPr>
            <w:tcW w:w="725" w:type="pct"/>
          </w:tcPr>
          <w:p w:rsidR="00260042" w:rsidRPr="002869C9" w:rsidRDefault="00260042" w:rsidP="002869C9">
            <w:pPr>
              <w:pStyle w:val="BodyText"/>
              <w:rPr>
                <w:sz w:val="20"/>
                <w:szCs w:val="20"/>
              </w:rPr>
            </w:pPr>
            <w:r w:rsidRPr="002869C9">
              <w:rPr>
                <w:sz w:val="20"/>
                <w:szCs w:val="20"/>
              </w:rPr>
              <w:t>APS 3</w:t>
            </w:r>
          </w:p>
        </w:tc>
        <w:tc>
          <w:tcPr>
            <w:tcW w:w="611" w:type="pct"/>
          </w:tcPr>
          <w:p w:rsidR="00260042" w:rsidRPr="002869C9" w:rsidRDefault="00260042" w:rsidP="002869C9">
            <w:pPr>
              <w:pStyle w:val="BodyText"/>
              <w:jc w:val="right"/>
              <w:rPr>
                <w:sz w:val="20"/>
                <w:szCs w:val="20"/>
              </w:rPr>
            </w:pPr>
            <w:r w:rsidRPr="002869C9">
              <w:rPr>
                <w:sz w:val="20"/>
                <w:szCs w:val="20"/>
              </w:rPr>
              <w:t>2,055</w:t>
            </w:r>
          </w:p>
        </w:tc>
        <w:tc>
          <w:tcPr>
            <w:tcW w:w="611" w:type="pct"/>
          </w:tcPr>
          <w:p w:rsidR="00260042" w:rsidRPr="002869C9" w:rsidRDefault="00260042" w:rsidP="002869C9">
            <w:pPr>
              <w:pStyle w:val="BodyText"/>
              <w:jc w:val="right"/>
              <w:rPr>
                <w:sz w:val="20"/>
                <w:szCs w:val="20"/>
              </w:rPr>
            </w:pPr>
            <w:r w:rsidRPr="002869C9">
              <w:rPr>
                <w:sz w:val="20"/>
                <w:szCs w:val="20"/>
              </w:rPr>
              <w:t>823</w:t>
            </w:r>
          </w:p>
        </w:tc>
        <w:tc>
          <w:tcPr>
            <w:tcW w:w="611" w:type="pct"/>
          </w:tcPr>
          <w:p w:rsidR="00260042" w:rsidRPr="002869C9" w:rsidRDefault="00260042" w:rsidP="002869C9">
            <w:pPr>
              <w:pStyle w:val="BodyText"/>
              <w:jc w:val="right"/>
              <w:rPr>
                <w:sz w:val="20"/>
                <w:szCs w:val="20"/>
              </w:rPr>
            </w:pPr>
            <w:r w:rsidRPr="002869C9">
              <w:rPr>
                <w:sz w:val="20"/>
                <w:szCs w:val="20"/>
              </w:rPr>
              <w:t>2,878</w:t>
            </w:r>
          </w:p>
        </w:tc>
        <w:tc>
          <w:tcPr>
            <w:tcW w:w="611" w:type="pct"/>
          </w:tcPr>
          <w:p w:rsidR="00260042" w:rsidRPr="002869C9" w:rsidRDefault="00260042" w:rsidP="002869C9">
            <w:pPr>
              <w:pStyle w:val="BodyText"/>
              <w:jc w:val="right"/>
              <w:rPr>
                <w:sz w:val="20"/>
                <w:szCs w:val="20"/>
              </w:rPr>
            </w:pPr>
            <w:r w:rsidRPr="002869C9">
              <w:rPr>
                <w:sz w:val="20"/>
                <w:szCs w:val="20"/>
              </w:rPr>
              <w:t>667</w:t>
            </w:r>
          </w:p>
        </w:tc>
        <w:tc>
          <w:tcPr>
            <w:tcW w:w="611" w:type="pct"/>
          </w:tcPr>
          <w:p w:rsidR="00260042" w:rsidRPr="002869C9" w:rsidRDefault="00260042" w:rsidP="002869C9">
            <w:pPr>
              <w:pStyle w:val="BodyText"/>
              <w:jc w:val="right"/>
              <w:rPr>
                <w:sz w:val="20"/>
                <w:szCs w:val="20"/>
              </w:rPr>
            </w:pPr>
            <w:r w:rsidRPr="002869C9">
              <w:rPr>
                <w:sz w:val="20"/>
                <w:szCs w:val="20"/>
              </w:rPr>
              <w:t>3,206</w:t>
            </w:r>
          </w:p>
        </w:tc>
        <w:tc>
          <w:tcPr>
            <w:tcW w:w="611" w:type="pct"/>
          </w:tcPr>
          <w:p w:rsidR="00260042" w:rsidRPr="002869C9" w:rsidRDefault="00260042" w:rsidP="002869C9">
            <w:pPr>
              <w:pStyle w:val="BodyText"/>
              <w:jc w:val="right"/>
              <w:rPr>
                <w:sz w:val="20"/>
                <w:szCs w:val="20"/>
              </w:rPr>
            </w:pPr>
            <w:r w:rsidRPr="002869C9">
              <w:rPr>
                <w:sz w:val="20"/>
                <w:szCs w:val="20"/>
              </w:rPr>
              <w:t>3,873</w:t>
            </w:r>
          </w:p>
        </w:tc>
        <w:tc>
          <w:tcPr>
            <w:tcW w:w="611" w:type="pct"/>
          </w:tcPr>
          <w:p w:rsidR="00260042" w:rsidRPr="002869C9" w:rsidRDefault="00260042" w:rsidP="002869C9">
            <w:pPr>
              <w:pStyle w:val="BodyText"/>
              <w:jc w:val="right"/>
              <w:rPr>
                <w:sz w:val="20"/>
                <w:szCs w:val="20"/>
              </w:rPr>
            </w:pPr>
            <w:r w:rsidRPr="002869C9">
              <w:rPr>
                <w:rStyle w:val="01bodybold"/>
                <w:sz w:val="20"/>
                <w:szCs w:val="20"/>
              </w:rPr>
              <w:t>6,751</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2</w:t>
            </w:r>
          </w:p>
        </w:tc>
        <w:tc>
          <w:tcPr>
            <w:tcW w:w="611" w:type="pct"/>
          </w:tcPr>
          <w:p w:rsidR="00260042" w:rsidRPr="002869C9" w:rsidRDefault="00260042" w:rsidP="002869C9">
            <w:pPr>
              <w:pStyle w:val="BodyText"/>
              <w:jc w:val="right"/>
              <w:rPr>
                <w:sz w:val="20"/>
                <w:szCs w:val="20"/>
              </w:rPr>
            </w:pPr>
            <w:r w:rsidRPr="002869C9">
              <w:rPr>
                <w:sz w:val="20"/>
                <w:szCs w:val="20"/>
              </w:rPr>
              <w:t>60</w:t>
            </w:r>
          </w:p>
        </w:tc>
        <w:tc>
          <w:tcPr>
            <w:tcW w:w="611" w:type="pct"/>
          </w:tcPr>
          <w:p w:rsidR="00260042" w:rsidRPr="002869C9" w:rsidRDefault="00260042" w:rsidP="002869C9">
            <w:pPr>
              <w:pStyle w:val="BodyText"/>
              <w:jc w:val="right"/>
              <w:rPr>
                <w:sz w:val="20"/>
                <w:szCs w:val="20"/>
              </w:rPr>
            </w:pPr>
            <w:r w:rsidRPr="002869C9">
              <w:rPr>
                <w:sz w:val="20"/>
                <w:szCs w:val="20"/>
              </w:rPr>
              <w:t>19</w:t>
            </w:r>
          </w:p>
        </w:tc>
        <w:tc>
          <w:tcPr>
            <w:tcW w:w="611" w:type="pct"/>
          </w:tcPr>
          <w:p w:rsidR="00260042" w:rsidRPr="002869C9" w:rsidRDefault="00260042" w:rsidP="002869C9">
            <w:pPr>
              <w:pStyle w:val="BodyText"/>
              <w:jc w:val="right"/>
              <w:rPr>
                <w:sz w:val="20"/>
                <w:szCs w:val="20"/>
              </w:rPr>
            </w:pPr>
            <w:r w:rsidRPr="002869C9">
              <w:rPr>
                <w:sz w:val="20"/>
                <w:szCs w:val="20"/>
              </w:rPr>
              <w:t>79</w:t>
            </w:r>
          </w:p>
        </w:tc>
        <w:tc>
          <w:tcPr>
            <w:tcW w:w="611" w:type="pct"/>
          </w:tcPr>
          <w:p w:rsidR="00260042" w:rsidRPr="002869C9" w:rsidRDefault="00260042" w:rsidP="002869C9">
            <w:pPr>
              <w:pStyle w:val="BodyText"/>
              <w:jc w:val="right"/>
              <w:rPr>
                <w:sz w:val="20"/>
                <w:szCs w:val="20"/>
              </w:rPr>
            </w:pPr>
            <w:r w:rsidRPr="002869C9">
              <w:rPr>
                <w:sz w:val="20"/>
                <w:szCs w:val="20"/>
              </w:rPr>
              <w:t>2</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2</w:t>
            </w:r>
          </w:p>
        </w:tc>
        <w:tc>
          <w:tcPr>
            <w:tcW w:w="611" w:type="pct"/>
          </w:tcPr>
          <w:p w:rsidR="00260042" w:rsidRPr="002869C9" w:rsidRDefault="00260042" w:rsidP="002869C9">
            <w:pPr>
              <w:pStyle w:val="BodyText"/>
              <w:jc w:val="right"/>
              <w:rPr>
                <w:sz w:val="20"/>
                <w:szCs w:val="20"/>
              </w:rPr>
            </w:pPr>
            <w:r w:rsidRPr="002869C9">
              <w:rPr>
                <w:rStyle w:val="01bodybold"/>
                <w:sz w:val="20"/>
                <w:szCs w:val="20"/>
              </w:rPr>
              <w:t>81</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APS 1</w:t>
            </w:r>
          </w:p>
        </w:tc>
        <w:tc>
          <w:tcPr>
            <w:tcW w:w="611" w:type="pct"/>
          </w:tcPr>
          <w:p w:rsidR="00260042" w:rsidRPr="002869C9" w:rsidRDefault="00260042" w:rsidP="002869C9">
            <w:pPr>
              <w:pStyle w:val="BodyText"/>
              <w:jc w:val="right"/>
              <w:rPr>
                <w:sz w:val="20"/>
                <w:szCs w:val="20"/>
              </w:rPr>
            </w:pPr>
            <w:r w:rsidRPr="002869C9">
              <w:rPr>
                <w:sz w:val="20"/>
                <w:szCs w:val="20"/>
              </w:rPr>
              <w:t>58</w:t>
            </w:r>
          </w:p>
        </w:tc>
        <w:tc>
          <w:tcPr>
            <w:tcW w:w="611" w:type="pct"/>
          </w:tcPr>
          <w:p w:rsidR="00260042" w:rsidRPr="002869C9" w:rsidRDefault="00260042" w:rsidP="002869C9">
            <w:pPr>
              <w:pStyle w:val="BodyText"/>
              <w:jc w:val="right"/>
              <w:rPr>
                <w:sz w:val="20"/>
                <w:szCs w:val="20"/>
              </w:rPr>
            </w:pPr>
            <w:r w:rsidRPr="002869C9">
              <w:rPr>
                <w:sz w:val="20"/>
                <w:szCs w:val="20"/>
              </w:rPr>
              <w:t>14</w:t>
            </w:r>
          </w:p>
        </w:tc>
        <w:tc>
          <w:tcPr>
            <w:tcW w:w="611" w:type="pct"/>
          </w:tcPr>
          <w:p w:rsidR="00260042" w:rsidRPr="002869C9" w:rsidRDefault="00260042" w:rsidP="002869C9">
            <w:pPr>
              <w:pStyle w:val="BodyText"/>
              <w:jc w:val="right"/>
              <w:rPr>
                <w:sz w:val="20"/>
                <w:szCs w:val="20"/>
              </w:rPr>
            </w:pPr>
            <w:r w:rsidRPr="002869C9">
              <w:rPr>
                <w:sz w:val="20"/>
                <w:szCs w:val="20"/>
              </w:rPr>
              <w:t>72</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72</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sz w:val="20"/>
                <w:szCs w:val="20"/>
              </w:rPr>
              <w:t>Other</w:t>
            </w:r>
          </w:p>
        </w:tc>
        <w:tc>
          <w:tcPr>
            <w:tcW w:w="611" w:type="pct"/>
          </w:tcPr>
          <w:p w:rsidR="00260042" w:rsidRPr="002869C9" w:rsidRDefault="00260042" w:rsidP="002869C9">
            <w:pPr>
              <w:pStyle w:val="BodyText"/>
              <w:jc w:val="right"/>
              <w:rPr>
                <w:sz w:val="20"/>
                <w:szCs w:val="20"/>
              </w:rPr>
            </w:pPr>
            <w:r w:rsidRPr="002869C9">
              <w:rPr>
                <w:sz w:val="20"/>
                <w:szCs w:val="20"/>
              </w:rPr>
              <w:t>248</w:t>
            </w:r>
          </w:p>
        </w:tc>
        <w:tc>
          <w:tcPr>
            <w:tcW w:w="611" w:type="pct"/>
          </w:tcPr>
          <w:p w:rsidR="00260042" w:rsidRPr="002869C9" w:rsidRDefault="00260042" w:rsidP="002869C9">
            <w:pPr>
              <w:pStyle w:val="BodyText"/>
              <w:jc w:val="right"/>
              <w:rPr>
                <w:sz w:val="20"/>
                <w:szCs w:val="20"/>
              </w:rPr>
            </w:pPr>
            <w:r w:rsidRPr="002869C9">
              <w:rPr>
                <w:sz w:val="20"/>
                <w:szCs w:val="20"/>
              </w:rPr>
              <w:t>31</w:t>
            </w:r>
          </w:p>
        </w:tc>
        <w:tc>
          <w:tcPr>
            <w:tcW w:w="611" w:type="pct"/>
          </w:tcPr>
          <w:p w:rsidR="00260042" w:rsidRPr="002869C9" w:rsidRDefault="00260042" w:rsidP="002869C9">
            <w:pPr>
              <w:pStyle w:val="BodyText"/>
              <w:jc w:val="right"/>
              <w:rPr>
                <w:sz w:val="20"/>
                <w:szCs w:val="20"/>
              </w:rPr>
            </w:pPr>
            <w:r w:rsidRPr="002869C9">
              <w:rPr>
                <w:sz w:val="20"/>
                <w:szCs w:val="20"/>
              </w:rPr>
              <w:t>279</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sz w:val="20"/>
                <w:szCs w:val="20"/>
              </w:rPr>
              <w:t>0</w:t>
            </w:r>
          </w:p>
        </w:tc>
        <w:tc>
          <w:tcPr>
            <w:tcW w:w="611" w:type="pct"/>
          </w:tcPr>
          <w:p w:rsidR="00260042" w:rsidRPr="002869C9" w:rsidRDefault="00260042" w:rsidP="002869C9">
            <w:pPr>
              <w:pStyle w:val="BodyText"/>
              <w:jc w:val="right"/>
              <w:rPr>
                <w:sz w:val="20"/>
                <w:szCs w:val="20"/>
              </w:rPr>
            </w:pPr>
            <w:r w:rsidRPr="002869C9">
              <w:rPr>
                <w:rStyle w:val="01bodybold"/>
                <w:sz w:val="20"/>
                <w:szCs w:val="20"/>
              </w:rPr>
              <w:t>279</w:t>
            </w:r>
          </w:p>
        </w:tc>
      </w:tr>
      <w:tr w:rsidR="00260042" w:rsidRPr="002869C9" w:rsidTr="002869C9">
        <w:trPr>
          <w:trHeight w:val="60"/>
        </w:trPr>
        <w:tc>
          <w:tcPr>
            <w:tcW w:w="725" w:type="pct"/>
          </w:tcPr>
          <w:p w:rsidR="00260042" w:rsidRPr="002869C9" w:rsidRDefault="00260042" w:rsidP="002869C9">
            <w:pPr>
              <w:pStyle w:val="BodyText"/>
              <w:rPr>
                <w:sz w:val="20"/>
                <w:szCs w:val="20"/>
              </w:rPr>
            </w:pPr>
            <w:r w:rsidRPr="002869C9">
              <w:rPr>
                <w:rStyle w:val="Bold"/>
                <w:sz w:val="20"/>
                <w:szCs w:val="20"/>
              </w:rPr>
              <w:t>Total</w:t>
            </w:r>
          </w:p>
        </w:tc>
        <w:tc>
          <w:tcPr>
            <w:tcW w:w="611" w:type="pct"/>
          </w:tcPr>
          <w:p w:rsidR="00260042" w:rsidRPr="002869C9" w:rsidRDefault="00260042" w:rsidP="002869C9">
            <w:pPr>
              <w:pStyle w:val="BodyText"/>
              <w:jc w:val="right"/>
              <w:rPr>
                <w:sz w:val="20"/>
                <w:szCs w:val="20"/>
              </w:rPr>
            </w:pPr>
            <w:r w:rsidRPr="002869C9">
              <w:rPr>
                <w:rStyle w:val="Bold"/>
                <w:sz w:val="20"/>
                <w:szCs w:val="20"/>
              </w:rPr>
              <w:t>19,976</w:t>
            </w:r>
          </w:p>
        </w:tc>
        <w:tc>
          <w:tcPr>
            <w:tcW w:w="611" w:type="pct"/>
          </w:tcPr>
          <w:p w:rsidR="00260042" w:rsidRPr="002869C9" w:rsidRDefault="00260042" w:rsidP="002869C9">
            <w:pPr>
              <w:pStyle w:val="BodyText"/>
              <w:jc w:val="right"/>
              <w:rPr>
                <w:sz w:val="20"/>
                <w:szCs w:val="20"/>
              </w:rPr>
            </w:pPr>
            <w:r w:rsidRPr="002869C9">
              <w:rPr>
                <w:rStyle w:val="Bold"/>
                <w:sz w:val="20"/>
                <w:szCs w:val="20"/>
              </w:rPr>
              <w:t>7,573</w:t>
            </w:r>
          </w:p>
        </w:tc>
        <w:tc>
          <w:tcPr>
            <w:tcW w:w="611" w:type="pct"/>
          </w:tcPr>
          <w:p w:rsidR="00260042" w:rsidRPr="002869C9" w:rsidRDefault="00260042" w:rsidP="002869C9">
            <w:pPr>
              <w:pStyle w:val="BodyText"/>
              <w:jc w:val="right"/>
              <w:rPr>
                <w:sz w:val="20"/>
                <w:szCs w:val="20"/>
              </w:rPr>
            </w:pPr>
            <w:r w:rsidRPr="002869C9">
              <w:rPr>
                <w:rStyle w:val="Bold"/>
                <w:sz w:val="20"/>
                <w:szCs w:val="20"/>
              </w:rPr>
              <w:t>27,549</w:t>
            </w:r>
          </w:p>
        </w:tc>
        <w:tc>
          <w:tcPr>
            <w:tcW w:w="611" w:type="pct"/>
          </w:tcPr>
          <w:p w:rsidR="00260042" w:rsidRPr="002869C9" w:rsidRDefault="00260042" w:rsidP="002869C9">
            <w:pPr>
              <w:pStyle w:val="BodyText"/>
              <w:jc w:val="right"/>
              <w:rPr>
                <w:sz w:val="20"/>
                <w:szCs w:val="20"/>
              </w:rPr>
            </w:pPr>
            <w:r w:rsidRPr="002869C9">
              <w:rPr>
                <w:rStyle w:val="Bold"/>
                <w:sz w:val="20"/>
                <w:szCs w:val="20"/>
              </w:rPr>
              <w:t>747</w:t>
            </w:r>
          </w:p>
        </w:tc>
        <w:tc>
          <w:tcPr>
            <w:tcW w:w="611" w:type="pct"/>
          </w:tcPr>
          <w:p w:rsidR="00260042" w:rsidRPr="002869C9" w:rsidRDefault="00260042" w:rsidP="002869C9">
            <w:pPr>
              <w:pStyle w:val="BodyText"/>
              <w:jc w:val="right"/>
              <w:rPr>
                <w:sz w:val="20"/>
                <w:szCs w:val="20"/>
              </w:rPr>
            </w:pPr>
            <w:r w:rsidRPr="002869C9">
              <w:rPr>
                <w:rStyle w:val="Bold"/>
                <w:sz w:val="20"/>
                <w:szCs w:val="20"/>
              </w:rPr>
              <w:t>3,457</w:t>
            </w:r>
          </w:p>
        </w:tc>
        <w:tc>
          <w:tcPr>
            <w:tcW w:w="611" w:type="pct"/>
          </w:tcPr>
          <w:p w:rsidR="00260042" w:rsidRPr="002869C9" w:rsidRDefault="00260042" w:rsidP="002869C9">
            <w:pPr>
              <w:pStyle w:val="BodyText"/>
              <w:jc w:val="right"/>
              <w:rPr>
                <w:sz w:val="20"/>
                <w:szCs w:val="20"/>
              </w:rPr>
            </w:pPr>
            <w:r w:rsidRPr="002869C9">
              <w:rPr>
                <w:rStyle w:val="Bold"/>
                <w:sz w:val="20"/>
                <w:szCs w:val="20"/>
              </w:rPr>
              <w:t>4,204</w:t>
            </w:r>
          </w:p>
        </w:tc>
        <w:tc>
          <w:tcPr>
            <w:tcW w:w="611" w:type="pct"/>
          </w:tcPr>
          <w:p w:rsidR="00260042" w:rsidRPr="002869C9" w:rsidRDefault="00260042" w:rsidP="002869C9">
            <w:pPr>
              <w:pStyle w:val="BodyText"/>
              <w:jc w:val="right"/>
              <w:rPr>
                <w:sz w:val="20"/>
                <w:szCs w:val="20"/>
              </w:rPr>
            </w:pPr>
            <w:r w:rsidRPr="002869C9">
              <w:rPr>
                <w:rStyle w:val="Bold"/>
                <w:sz w:val="20"/>
                <w:szCs w:val="20"/>
              </w:rPr>
              <w:t>31,753</w:t>
            </w:r>
          </w:p>
        </w:tc>
      </w:tr>
    </w:tbl>
    <w:p w:rsidR="00260042" w:rsidRDefault="00260042" w:rsidP="00EA5510">
      <w:pPr>
        <w:pStyle w:val="BodyText"/>
      </w:pPr>
      <w:r>
        <w:t>(a)</w:t>
      </w:r>
      <w:r>
        <w:tab/>
        <w:t>Non-ongoing employees include irregular/intermittent staff.</w:t>
      </w:r>
    </w:p>
    <w:p w:rsidR="00260042" w:rsidRDefault="00260042" w:rsidP="002E64CE">
      <w:pPr>
        <w:pStyle w:val="Heading3"/>
      </w:pPr>
      <w:r>
        <w:t>PGPA Rule s. 17AG (4</w:t>
      </w:r>
      <w:proofErr w:type="gramStart"/>
      <w:r>
        <w:t>)</w:t>
      </w:r>
      <w:r>
        <w:rPr>
          <w:caps/>
        </w:rPr>
        <w:t>(</w:t>
      </w:r>
      <w:proofErr w:type="gramEnd"/>
      <w:r>
        <w:rPr>
          <w:caps/>
        </w:rPr>
        <w:t xml:space="preserve">b)(v) </w:t>
      </w:r>
      <w:r>
        <w:t xml:space="preserve">Australian Public Service Act </w:t>
      </w:r>
    </w:p>
    <w:p w:rsidR="00260042" w:rsidRPr="00EA5510" w:rsidRDefault="00511254" w:rsidP="00EA5510">
      <w:pPr>
        <w:pStyle w:val="BodyText"/>
        <w:rPr>
          <w:b/>
        </w:rPr>
      </w:pPr>
      <w:r>
        <w:rPr>
          <w:rStyle w:val="Bold"/>
          <w:bCs w:val="0"/>
        </w:rPr>
        <w:t>Table 6</w:t>
      </w:r>
      <w:r>
        <w:rPr>
          <w:rStyle w:val="Bold"/>
          <w:bCs w:val="0"/>
        </w:rPr>
        <w:t>5</w:t>
      </w:r>
      <w:r w:rsidR="00260042" w:rsidRPr="00EA5510">
        <w:rPr>
          <w:b/>
        </w:rPr>
        <w:t xml:space="preserve"> Employment type by location 2020–21</w:t>
      </w:r>
    </w:p>
    <w:tbl>
      <w:tblPr>
        <w:tblStyle w:val="TableGrid"/>
        <w:tblW w:w="5000" w:type="pct"/>
        <w:tblLook w:val="0000" w:firstRow="0" w:lastRow="0" w:firstColumn="0" w:lastColumn="0" w:noHBand="0" w:noVBand="0"/>
        <w:tblCaption w:val="Employment type by location 2020–21"/>
      </w:tblPr>
      <w:tblGrid>
        <w:gridCol w:w="3881"/>
        <w:gridCol w:w="2303"/>
        <w:gridCol w:w="2303"/>
        <w:gridCol w:w="2303"/>
      </w:tblGrid>
      <w:tr w:rsidR="00260042" w:rsidTr="002869C9">
        <w:trPr>
          <w:trHeight w:val="60"/>
          <w:tblHeader/>
        </w:trPr>
        <w:tc>
          <w:tcPr>
            <w:tcW w:w="1799" w:type="pct"/>
          </w:tcPr>
          <w:p w:rsidR="00260042" w:rsidRPr="002869C9" w:rsidRDefault="00260042" w:rsidP="002869C9">
            <w:pPr>
              <w:pStyle w:val="BodyText"/>
              <w:rPr>
                <w:b/>
              </w:rPr>
            </w:pPr>
          </w:p>
        </w:tc>
        <w:tc>
          <w:tcPr>
            <w:tcW w:w="1067" w:type="pct"/>
          </w:tcPr>
          <w:p w:rsidR="00260042" w:rsidRPr="002869C9" w:rsidRDefault="00260042" w:rsidP="002869C9">
            <w:pPr>
              <w:pStyle w:val="BodyText"/>
              <w:jc w:val="right"/>
              <w:rPr>
                <w:b/>
              </w:rPr>
            </w:pPr>
            <w:r w:rsidRPr="002869C9">
              <w:rPr>
                <w:b/>
              </w:rPr>
              <w:t>Ongoing</w:t>
            </w:r>
          </w:p>
        </w:tc>
        <w:tc>
          <w:tcPr>
            <w:tcW w:w="1067" w:type="pct"/>
          </w:tcPr>
          <w:p w:rsidR="00260042" w:rsidRPr="002869C9" w:rsidRDefault="00260042" w:rsidP="002869C9">
            <w:pPr>
              <w:pStyle w:val="BodyText"/>
              <w:jc w:val="right"/>
              <w:rPr>
                <w:b/>
              </w:rPr>
            </w:pPr>
            <w:r w:rsidRPr="002869C9">
              <w:rPr>
                <w:b/>
              </w:rPr>
              <w:t>Non-ongoing</w:t>
            </w:r>
            <w:r w:rsidRPr="002869C9">
              <w:rPr>
                <w:b/>
                <w:vertAlign w:val="superscript"/>
              </w:rPr>
              <w:t>(a)</w:t>
            </w:r>
          </w:p>
        </w:tc>
        <w:tc>
          <w:tcPr>
            <w:tcW w:w="1067" w:type="pct"/>
          </w:tcPr>
          <w:p w:rsidR="00260042" w:rsidRPr="002869C9" w:rsidRDefault="00260042" w:rsidP="002869C9">
            <w:pPr>
              <w:pStyle w:val="BodyText"/>
              <w:jc w:val="right"/>
              <w:rPr>
                <w:b/>
              </w:rPr>
            </w:pPr>
            <w:r w:rsidRPr="002869C9">
              <w:rPr>
                <w:b/>
              </w:rPr>
              <w:t>Total</w:t>
            </w:r>
          </w:p>
        </w:tc>
      </w:tr>
      <w:tr w:rsidR="00260042" w:rsidTr="002869C9">
        <w:trPr>
          <w:trHeight w:val="60"/>
        </w:trPr>
        <w:tc>
          <w:tcPr>
            <w:tcW w:w="1799" w:type="pct"/>
          </w:tcPr>
          <w:p w:rsidR="00260042" w:rsidRDefault="00260042" w:rsidP="002869C9">
            <w:pPr>
              <w:pStyle w:val="BodyText"/>
            </w:pPr>
            <w:r>
              <w:t>NSW</w:t>
            </w:r>
          </w:p>
        </w:tc>
        <w:tc>
          <w:tcPr>
            <w:tcW w:w="1067" w:type="pct"/>
          </w:tcPr>
          <w:p w:rsidR="00260042" w:rsidRDefault="00260042" w:rsidP="002869C9">
            <w:pPr>
              <w:pStyle w:val="BodyText"/>
              <w:jc w:val="right"/>
            </w:pPr>
            <w:r>
              <w:t>6,701</w:t>
            </w:r>
          </w:p>
        </w:tc>
        <w:tc>
          <w:tcPr>
            <w:tcW w:w="1067" w:type="pct"/>
          </w:tcPr>
          <w:p w:rsidR="00260042" w:rsidRDefault="00260042" w:rsidP="002869C9">
            <w:pPr>
              <w:pStyle w:val="BodyText"/>
              <w:jc w:val="right"/>
            </w:pPr>
            <w:r>
              <w:t>1,824</w:t>
            </w:r>
          </w:p>
        </w:tc>
        <w:tc>
          <w:tcPr>
            <w:tcW w:w="1067" w:type="pct"/>
          </w:tcPr>
          <w:p w:rsidR="00260042" w:rsidRDefault="00260042" w:rsidP="002869C9">
            <w:pPr>
              <w:pStyle w:val="BodyText"/>
              <w:jc w:val="right"/>
            </w:pPr>
            <w:r>
              <w:t>8,525</w:t>
            </w:r>
          </w:p>
        </w:tc>
      </w:tr>
      <w:tr w:rsidR="00260042" w:rsidTr="002869C9">
        <w:trPr>
          <w:trHeight w:val="60"/>
        </w:trPr>
        <w:tc>
          <w:tcPr>
            <w:tcW w:w="1799" w:type="pct"/>
          </w:tcPr>
          <w:p w:rsidR="00260042" w:rsidRDefault="00260042" w:rsidP="002869C9">
            <w:pPr>
              <w:pStyle w:val="BodyText"/>
            </w:pPr>
            <w:r>
              <w:t>QLD</w:t>
            </w:r>
          </w:p>
        </w:tc>
        <w:tc>
          <w:tcPr>
            <w:tcW w:w="1067" w:type="pct"/>
          </w:tcPr>
          <w:p w:rsidR="00260042" w:rsidRDefault="00260042" w:rsidP="002869C9">
            <w:pPr>
              <w:pStyle w:val="BodyText"/>
              <w:jc w:val="right"/>
            </w:pPr>
            <w:r>
              <w:t>5,476</w:t>
            </w:r>
          </w:p>
        </w:tc>
        <w:tc>
          <w:tcPr>
            <w:tcW w:w="1067" w:type="pct"/>
          </w:tcPr>
          <w:p w:rsidR="00260042" w:rsidRDefault="00260042" w:rsidP="002869C9">
            <w:pPr>
              <w:pStyle w:val="BodyText"/>
              <w:jc w:val="right"/>
            </w:pPr>
            <w:r>
              <w:t>1,573</w:t>
            </w:r>
          </w:p>
        </w:tc>
        <w:tc>
          <w:tcPr>
            <w:tcW w:w="1067" w:type="pct"/>
          </w:tcPr>
          <w:p w:rsidR="00260042" w:rsidRDefault="00260042" w:rsidP="002869C9">
            <w:pPr>
              <w:pStyle w:val="BodyText"/>
              <w:jc w:val="right"/>
            </w:pPr>
            <w:r>
              <w:t>7,049</w:t>
            </w:r>
          </w:p>
        </w:tc>
      </w:tr>
      <w:tr w:rsidR="00260042" w:rsidTr="002869C9">
        <w:trPr>
          <w:trHeight w:val="60"/>
        </w:trPr>
        <w:tc>
          <w:tcPr>
            <w:tcW w:w="1799" w:type="pct"/>
          </w:tcPr>
          <w:p w:rsidR="00260042" w:rsidRDefault="00260042" w:rsidP="002869C9">
            <w:pPr>
              <w:pStyle w:val="BodyText"/>
            </w:pPr>
            <w:r>
              <w:t>SA</w:t>
            </w:r>
          </w:p>
        </w:tc>
        <w:tc>
          <w:tcPr>
            <w:tcW w:w="1067" w:type="pct"/>
          </w:tcPr>
          <w:p w:rsidR="00260042" w:rsidRDefault="00260042" w:rsidP="002869C9">
            <w:pPr>
              <w:pStyle w:val="BodyText"/>
              <w:jc w:val="right"/>
            </w:pPr>
            <w:r>
              <w:t>2,233</w:t>
            </w:r>
          </w:p>
        </w:tc>
        <w:tc>
          <w:tcPr>
            <w:tcW w:w="1067" w:type="pct"/>
          </w:tcPr>
          <w:p w:rsidR="00260042" w:rsidRDefault="00260042" w:rsidP="002869C9">
            <w:pPr>
              <w:pStyle w:val="BodyText"/>
              <w:jc w:val="right"/>
            </w:pPr>
            <w:r>
              <w:t>593</w:t>
            </w:r>
          </w:p>
        </w:tc>
        <w:tc>
          <w:tcPr>
            <w:tcW w:w="1067" w:type="pct"/>
          </w:tcPr>
          <w:p w:rsidR="00260042" w:rsidRDefault="00260042" w:rsidP="002869C9">
            <w:pPr>
              <w:pStyle w:val="BodyText"/>
              <w:jc w:val="right"/>
            </w:pPr>
            <w:r>
              <w:t>2,826</w:t>
            </w:r>
          </w:p>
        </w:tc>
      </w:tr>
      <w:tr w:rsidR="00260042" w:rsidTr="002869C9">
        <w:trPr>
          <w:trHeight w:val="60"/>
        </w:trPr>
        <w:tc>
          <w:tcPr>
            <w:tcW w:w="1799" w:type="pct"/>
          </w:tcPr>
          <w:p w:rsidR="00260042" w:rsidRDefault="00260042" w:rsidP="002869C9">
            <w:pPr>
              <w:pStyle w:val="BodyText"/>
            </w:pPr>
            <w:r>
              <w:t>TAS</w:t>
            </w:r>
          </w:p>
        </w:tc>
        <w:tc>
          <w:tcPr>
            <w:tcW w:w="1067" w:type="pct"/>
          </w:tcPr>
          <w:p w:rsidR="00260042" w:rsidRDefault="00260042" w:rsidP="002869C9">
            <w:pPr>
              <w:pStyle w:val="BodyText"/>
              <w:jc w:val="right"/>
            </w:pPr>
            <w:r>
              <w:t>1,479</w:t>
            </w:r>
          </w:p>
        </w:tc>
        <w:tc>
          <w:tcPr>
            <w:tcW w:w="1067" w:type="pct"/>
          </w:tcPr>
          <w:p w:rsidR="00260042" w:rsidRDefault="00260042" w:rsidP="002869C9">
            <w:pPr>
              <w:pStyle w:val="BodyText"/>
              <w:jc w:val="right"/>
            </w:pPr>
            <w:r>
              <w:t>214</w:t>
            </w:r>
          </w:p>
        </w:tc>
        <w:tc>
          <w:tcPr>
            <w:tcW w:w="1067" w:type="pct"/>
          </w:tcPr>
          <w:p w:rsidR="00260042" w:rsidRDefault="00260042" w:rsidP="002869C9">
            <w:pPr>
              <w:pStyle w:val="BodyText"/>
              <w:jc w:val="right"/>
            </w:pPr>
            <w:r>
              <w:t>1,693</w:t>
            </w:r>
          </w:p>
        </w:tc>
      </w:tr>
      <w:tr w:rsidR="00260042" w:rsidTr="002869C9">
        <w:trPr>
          <w:trHeight w:val="60"/>
        </w:trPr>
        <w:tc>
          <w:tcPr>
            <w:tcW w:w="1799" w:type="pct"/>
          </w:tcPr>
          <w:p w:rsidR="00260042" w:rsidRDefault="00260042" w:rsidP="002869C9">
            <w:pPr>
              <w:pStyle w:val="BodyText"/>
            </w:pPr>
            <w:r>
              <w:t>VIC</w:t>
            </w:r>
          </w:p>
        </w:tc>
        <w:tc>
          <w:tcPr>
            <w:tcW w:w="1067" w:type="pct"/>
          </w:tcPr>
          <w:p w:rsidR="00260042" w:rsidRDefault="00260042" w:rsidP="002869C9">
            <w:pPr>
              <w:pStyle w:val="BodyText"/>
              <w:jc w:val="right"/>
            </w:pPr>
            <w:r>
              <w:t>5,020</w:t>
            </w:r>
          </w:p>
        </w:tc>
        <w:tc>
          <w:tcPr>
            <w:tcW w:w="1067" w:type="pct"/>
          </w:tcPr>
          <w:p w:rsidR="00260042" w:rsidRDefault="00260042" w:rsidP="002869C9">
            <w:pPr>
              <w:pStyle w:val="BodyText"/>
              <w:jc w:val="right"/>
            </w:pPr>
            <w:r>
              <w:t>1,276</w:t>
            </w:r>
          </w:p>
        </w:tc>
        <w:tc>
          <w:tcPr>
            <w:tcW w:w="1067" w:type="pct"/>
          </w:tcPr>
          <w:p w:rsidR="00260042" w:rsidRDefault="00260042" w:rsidP="002869C9">
            <w:pPr>
              <w:pStyle w:val="BodyText"/>
              <w:jc w:val="right"/>
            </w:pPr>
            <w:r>
              <w:t>6,296</w:t>
            </w:r>
          </w:p>
        </w:tc>
      </w:tr>
      <w:tr w:rsidR="00260042" w:rsidTr="002869C9">
        <w:trPr>
          <w:trHeight w:val="60"/>
        </w:trPr>
        <w:tc>
          <w:tcPr>
            <w:tcW w:w="1799" w:type="pct"/>
          </w:tcPr>
          <w:p w:rsidR="00260042" w:rsidRDefault="00260042" w:rsidP="002869C9">
            <w:pPr>
              <w:pStyle w:val="BodyText"/>
            </w:pPr>
            <w:r>
              <w:t>WA</w:t>
            </w:r>
          </w:p>
        </w:tc>
        <w:tc>
          <w:tcPr>
            <w:tcW w:w="1067" w:type="pct"/>
          </w:tcPr>
          <w:p w:rsidR="00260042" w:rsidRDefault="00260042" w:rsidP="002869C9">
            <w:pPr>
              <w:pStyle w:val="BodyText"/>
              <w:jc w:val="right"/>
            </w:pPr>
            <w:r>
              <w:t>1,742</w:t>
            </w:r>
          </w:p>
        </w:tc>
        <w:tc>
          <w:tcPr>
            <w:tcW w:w="1067" w:type="pct"/>
          </w:tcPr>
          <w:p w:rsidR="00260042" w:rsidRDefault="00260042" w:rsidP="002869C9">
            <w:pPr>
              <w:pStyle w:val="BodyText"/>
              <w:jc w:val="right"/>
            </w:pPr>
            <w:r>
              <w:t>690</w:t>
            </w:r>
          </w:p>
        </w:tc>
        <w:tc>
          <w:tcPr>
            <w:tcW w:w="1067" w:type="pct"/>
          </w:tcPr>
          <w:p w:rsidR="00260042" w:rsidRDefault="00260042" w:rsidP="002869C9">
            <w:pPr>
              <w:pStyle w:val="BodyText"/>
              <w:jc w:val="right"/>
            </w:pPr>
            <w:r>
              <w:t>2,432</w:t>
            </w:r>
          </w:p>
        </w:tc>
      </w:tr>
      <w:tr w:rsidR="00260042" w:rsidTr="002869C9">
        <w:trPr>
          <w:trHeight w:val="60"/>
        </w:trPr>
        <w:tc>
          <w:tcPr>
            <w:tcW w:w="1799" w:type="pct"/>
          </w:tcPr>
          <w:p w:rsidR="00260042" w:rsidRDefault="00260042" w:rsidP="002869C9">
            <w:pPr>
              <w:pStyle w:val="BodyText"/>
            </w:pPr>
            <w:r>
              <w:t>ACT</w:t>
            </w:r>
          </w:p>
        </w:tc>
        <w:tc>
          <w:tcPr>
            <w:tcW w:w="1067" w:type="pct"/>
          </w:tcPr>
          <w:p w:rsidR="00260042" w:rsidRDefault="00260042" w:rsidP="002869C9">
            <w:pPr>
              <w:pStyle w:val="BodyText"/>
              <w:jc w:val="right"/>
            </w:pPr>
            <w:r>
              <w:t>3,942</w:t>
            </w:r>
          </w:p>
        </w:tc>
        <w:tc>
          <w:tcPr>
            <w:tcW w:w="1067" w:type="pct"/>
          </w:tcPr>
          <w:p w:rsidR="00260042" w:rsidRDefault="00260042" w:rsidP="002869C9">
            <w:pPr>
              <w:pStyle w:val="BodyText"/>
              <w:jc w:val="right"/>
            </w:pPr>
            <w:r>
              <w:t>846</w:t>
            </w:r>
          </w:p>
        </w:tc>
        <w:tc>
          <w:tcPr>
            <w:tcW w:w="1067" w:type="pct"/>
          </w:tcPr>
          <w:p w:rsidR="00260042" w:rsidRDefault="00260042" w:rsidP="002869C9">
            <w:pPr>
              <w:pStyle w:val="BodyText"/>
              <w:jc w:val="right"/>
            </w:pPr>
            <w:r>
              <w:t>4,788</w:t>
            </w:r>
          </w:p>
        </w:tc>
      </w:tr>
      <w:tr w:rsidR="00260042" w:rsidTr="002869C9">
        <w:trPr>
          <w:trHeight w:val="60"/>
        </w:trPr>
        <w:tc>
          <w:tcPr>
            <w:tcW w:w="1799" w:type="pct"/>
          </w:tcPr>
          <w:p w:rsidR="00260042" w:rsidRDefault="00260042" w:rsidP="002869C9">
            <w:pPr>
              <w:pStyle w:val="BodyText"/>
            </w:pPr>
            <w:r>
              <w:t>NT</w:t>
            </w:r>
          </w:p>
        </w:tc>
        <w:tc>
          <w:tcPr>
            <w:tcW w:w="1067" w:type="pct"/>
          </w:tcPr>
          <w:p w:rsidR="00260042" w:rsidRDefault="00260042" w:rsidP="002869C9">
            <w:pPr>
              <w:pStyle w:val="BodyText"/>
              <w:jc w:val="right"/>
            </w:pPr>
            <w:r>
              <w:t>339</w:t>
            </w:r>
          </w:p>
        </w:tc>
        <w:tc>
          <w:tcPr>
            <w:tcW w:w="1067" w:type="pct"/>
          </w:tcPr>
          <w:p w:rsidR="00260042" w:rsidRDefault="00260042" w:rsidP="002869C9">
            <w:pPr>
              <w:pStyle w:val="BodyText"/>
              <w:jc w:val="right"/>
            </w:pPr>
            <w:r>
              <w:t>101</w:t>
            </w:r>
          </w:p>
        </w:tc>
        <w:tc>
          <w:tcPr>
            <w:tcW w:w="1067" w:type="pct"/>
          </w:tcPr>
          <w:p w:rsidR="00260042" w:rsidRDefault="00260042" w:rsidP="002869C9">
            <w:pPr>
              <w:pStyle w:val="BodyText"/>
              <w:jc w:val="right"/>
            </w:pPr>
            <w:r>
              <w:t>440</w:t>
            </w:r>
          </w:p>
        </w:tc>
      </w:tr>
      <w:tr w:rsidR="00260042" w:rsidTr="002869C9">
        <w:trPr>
          <w:trHeight w:val="60"/>
        </w:trPr>
        <w:tc>
          <w:tcPr>
            <w:tcW w:w="1799" w:type="pct"/>
          </w:tcPr>
          <w:p w:rsidR="00260042" w:rsidRDefault="00260042" w:rsidP="002869C9">
            <w:pPr>
              <w:pStyle w:val="BodyText"/>
            </w:pPr>
            <w:r>
              <w:t>External territories</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r>
      <w:tr w:rsidR="00260042" w:rsidTr="002869C9">
        <w:trPr>
          <w:trHeight w:val="60"/>
        </w:trPr>
        <w:tc>
          <w:tcPr>
            <w:tcW w:w="1799" w:type="pct"/>
          </w:tcPr>
          <w:p w:rsidR="00260042" w:rsidRDefault="00260042" w:rsidP="002869C9">
            <w:pPr>
              <w:pStyle w:val="BodyText"/>
            </w:pPr>
            <w:r>
              <w:t>Overseas</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r>
      <w:tr w:rsidR="00260042" w:rsidTr="002869C9">
        <w:trPr>
          <w:trHeight w:val="60"/>
        </w:trPr>
        <w:tc>
          <w:tcPr>
            <w:tcW w:w="1799" w:type="pct"/>
          </w:tcPr>
          <w:p w:rsidR="00260042" w:rsidRDefault="00260042" w:rsidP="002869C9">
            <w:pPr>
              <w:pStyle w:val="BodyText"/>
            </w:pPr>
            <w:r>
              <w:rPr>
                <w:rStyle w:val="Bold"/>
              </w:rPr>
              <w:t>Total</w:t>
            </w:r>
          </w:p>
        </w:tc>
        <w:tc>
          <w:tcPr>
            <w:tcW w:w="1067" w:type="pct"/>
          </w:tcPr>
          <w:p w:rsidR="00260042" w:rsidRDefault="00260042" w:rsidP="002869C9">
            <w:pPr>
              <w:pStyle w:val="BodyText"/>
              <w:jc w:val="right"/>
            </w:pPr>
            <w:r>
              <w:rPr>
                <w:rStyle w:val="Bold"/>
              </w:rPr>
              <w:t>26,932</w:t>
            </w:r>
          </w:p>
        </w:tc>
        <w:tc>
          <w:tcPr>
            <w:tcW w:w="1067" w:type="pct"/>
          </w:tcPr>
          <w:p w:rsidR="00260042" w:rsidRDefault="00260042" w:rsidP="002869C9">
            <w:pPr>
              <w:pStyle w:val="BodyText"/>
              <w:jc w:val="right"/>
            </w:pPr>
            <w:r>
              <w:rPr>
                <w:rStyle w:val="Bold"/>
              </w:rPr>
              <w:t>7,117</w:t>
            </w:r>
          </w:p>
        </w:tc>
        <w:tc>
          <w:tcPr>
            <w:tcW w:w="1067" w:type="pct"/>
          </w:tcPr>
          <w:p w:rsidR="00260042" w:rsidRDefault="00260042" w:rsidP="002869C9">
            <w:pPr>
              <w:pStyle w:val="BodyText"/>
              <w:jc w:val="right"/>
            </w:pPr>
            <w:r>
              <w:rPr>
                <w:rStyle w:val="Bold"/>
              </w:rPr>
              <w:t>34,049</w:t>
            </w:r>
          </w:p>
        </w:tc>
      </w:tr>
    </w:tbl>
    <w:p w:rsidR="00260042" w:rsidRDefault="00260042" w:rsidP="00EA5510">
      <w:pPr>
        <w:pStyle w:val="BodyText"/>
      </w:pPr>
      <w:r>
        <w:t>(a)</w:t>
      </w:r>
      <w:r>
        <w:tab/>
        <w:t>Non-ongoing employees includes irregular/intermittent staff.</w:t>
      </w:r>
    </w:p>
    <w:p w:rsidR="00260042" w:rsidRPr="00EA5510" w:rsidRDefault="00511254" w:rsidP="00EA5510">
      <w:pPr>
        <w:pStyle w:val="BodyText"/>
        <w:rPr>
          <w:b/>
        </w:rPr>
      </w:pPr>
      <w:r>
        <w:rPr>
          <w:rStyle w:val="Bold"/>
          <w:bCs w:val="0"/>
        </w:rPr>
        <w:t>Table 6</w:t>
      </w:r>
      <w:r>
        <w:rPr>
          <w:rStyle w:val="Bold"/>
          <w:bCs w:val="0"/>
        </w:rPr>
        <w:t>6</w:t>
      </w:r>
      <w:r w:rsidR="00260042" w:rsidRPr="00EA5510">
        <w:rPr>
          <w:b/>
        </w:rPr>
        <w:t xml:space="preserve"> Employment type by location 2019–20</w:t>
      </w:r>
    </w:p>
    <w:tbl>
      <w:tblPr>
        <w:tblStyle w:val="TableGrid"/>
        <w:tblW w:w="5000" w:type="pct"/>
        <w:tblLook w:val="0000" w:firstRow="0" w:lastRow="0" w:firstColumn="0" w:lastColumn="0" w:noHBand="0" w:noVBand="0"/>
        <w:tblCaption w:val="Employment type by location 2019–20"/>
      </w:tblPr>
      <w:tblGrid>
        <w:gridCol w:w="3881"/>
        <w:gridCol w:w="2303"/>
        <w:gridCol w:w="2303"/>
        <w:gridCol w:w="2303"/>
      </w:tblGrid>
      <w:tr w:rsidR="00260042" w:rsidTr="002869C9">
        <w:trPr>
          <w:trHeight w:val="60"/>
          <w:tblHeader/>
        </w:trPr>
        <w:tc>
          <w:tcPr>
            <w:tcW w:w="1799" w:type="pct"/>
          </w:tcPr>
          <w:p w:rsidR="00260042" w:rsidRPr="002869C9" w:rsidRDefault="00260042" w:rsidP="002869C9">
            <w:pPr>
              <w:pStyle w:val="BodyText"/>
              <w:rPr>
                <w:b/>
              </w:rPr>
            </w:pPr>
          </w:p>
        </w:tc>
        <w:tc>
          <w:tcPr>
            <w:tcW w:w="1067" w:type="pct"/>
          </w:tcPr>
          <w:p w:rsidR="00260042" w:rsidRPr="002869C9" w:rsidRDefault="00260042" w:rsidP="002869C9">
            <w:pPr>
              <w:pStyle w:val="BodyText"/>
              <w:jc w:val="right"/>
              <w:rPr>
                <w:b/>
              </w:rPr>
            </w:pPr>
            <w:r w:rsidRPr="002869C9">
              <w:rPr>
                <w:b/>
              </w:rPr>
              <w:t>Ongoing</w:t>
            </w:r>
          </w:p>
        </w:tc>
        <w:tc>
          <w:tcPr>
            <w:tcW w:w="1067" w:type="pct"/>
          </w:tcPr>
          <w:p w:rsidR="00260042" w:rsidRPr="002869C9" w:rsidRDefault="00260042" w:rsidP="002869C9">
            <w:pPr>
              <w:pStyle w:val="BodyText"/>
              <w:jc w:val="right"/>
              <w:rPr>
                <w:b/>
              </w:rPr>
            </w:pPr>
            <w:r w:rsidRPr="002869C9">
              <w:rPr>
                <w:b/>
              </w:rPr>
              <w:t>Non-ongoing</w:t>
            </w:r>
            <w:r w:rsidRPr="002869C9">
              <w:rPr>
                <w:b/>
                <w:vertAlign w:val="superscript"/>
              </w:rPr>
              <w:t>(a)</w:t>
            </w:r>
          </w:p>
        </w:tc>
        <w:tc>
          <w:tcPr>
            <w:tcW w:w="1067" w:type="pct"/>
          </w:tcPr>
          <w:p w:rsidR="00260042" w:rsidRPr="002869C9" w:rsidRDefault="00260042" w:rsidP="002869C9">
            <w:pPr>
              <w:pStyle w:val="BodyText"/>
              <w:jc w:val="right"/>
              <w:rPr>
                <w:b/>
              </w:rPr>
            </w:pPr>
            <w:r w:rsidRPr="002869C9">
              <w:rPr>
                <w:b/>
              </w:rPr>
              <w:t>Total</w:t>
            </w:r>
          </w:p>
        </w:tc>
      </w:tr>
      <w:tr w:rsidR="00260042" w:rsidTr="002869C9">
        <w:trPr>
          <w:trHeight w:val="60"/>
        </w:trPr>
        <w:tc>
          <w:tcPr>
            <w:tcW w:w="1799" w:type="pct"/>
          </w:tcPr>
          <w:p w:rsidR="00260042" w:rsidRDefault="00260042" w:rsidP="002869C9">
            <w:pPr>
              <w:pStyle w:val="BodyText"/>
            </w:pPr>
            <w:r>
              <w:t>NSW</w:t>
            </w:r>
          </w:p>
        </w:tc>
        <w:tc>
          <w:tcPr>
            <w:tcW w:w="1067" w:type="pct"/>
          </w:tcPr>
          <w:p w:rsidR="00260042" w:rsidRDefault="00260042" w:rsidP="002869C9">
            <w:pPr>
              <w:pStyle w:val="BodyText"/>
              <w:jc w:val="right"/>
            </w:pPr>
            <w:r>
              <w:t>6,878</w:t>
            </w:r>
          </w:p>
        </w:tc>
        <w:tc>
          <w:tcPr>
            <w:tcW w:w="1067" w:type="pct"/>
          </w:tcPr>
          <w:p w:rsidR="00260042" w:rsidRDefault="00260042" w:rsidP="002869C9">
            <w:pPr>
              <w:pStyle w:val="BodyText"/>
              <w:jc w:val="right"/>
            </w:pPr>
            <w:r>
              <w:t>1,060</w:t>
            </w:r>
          </w:p>
        </w:tc>
        <w:tc>
          <w:tcPr>
            <w:tcW w:w="1067" w:type="pct"/>
          </w:tcPr>
          <w:p w:rsidR="00260042" w:rsidRDefault="00260042" w:rsidP="002869C9">
            <w:pPr>
              <w:pStyle w:val="BodyText"/>
              <w:jc w:val="right"/>
            </w:pPr>
            <w:r>
              <w:t>7,938</w:t>
            </w:r>
          </w:p>
        </w:tc>
      </w:tr>
      <w:tr w:rsidR="00260042" w:rsidTr="002869C9">
        <w:trPr>
          <w:trHeight w:val="60"/>
        </w:trPr>
        <w:tc>
          <w:tcPr>
            <w:tcW w:w="1799" w:type="pct"/>
          </w:tcPr>
          <w:p w:rsidR="00260042" w:rsidRDefault="00260042" w:rsidP="002869C9">
            <w:pPr>
              <w:pStyle w:val="BodyText"/>
            </w:pPr>
            <w:r>
              <w:t>QLD</w:t>
            </w:r>
          </w:p>
        </w:tc>
        <w:tc>
          <w:tcPr>
            <w:tcW w:w="1067" w:type="pct"/>
          </w:tcPr>
          <w:p w:rsidR="00260042" w:rsidRDefault="00260042" w:rsidP="002869C9">
            <w:pPr>
              <w:pStyle w:val="BodyText"/>
              <w:jc w:val="right"/>
            </w:pPr>
            <w:r>
              <w:t>5,428</w:t>
            </w:r>
          </w:p>
        </w:tc>
        <w:tc>
          <w:tcPr>
            <w:tcW w:w="1067" w:type="pct"/>
          </w:tcPr>
          <w:p w:rsidR="00260042" w:rsidRDefault="00260042" w:rsidP="002869C9">
            <w:pPr>
              <w:pStyle w:val="BodyText"/>
              <w:jc w:val="right"/>
            </w:pPr>
            <w:r>
              <w:t>1,088</w:t>
            </w:r>
          </w:p>
        </w:tc>
        <w:tc>
          <w:tcPr>
            <w:tcW w:w="1067" w:type="pct"/>
          </w:tcPr>
          <w:p w:rsidR="00260042" w:rsidRDefault="00260042" w:rsidP="002869C9">
            <w:pPr>
              <w:pStyle w:val="BodyText"/>
              <w:jc w:val="right"/>
            </w:pPr>
            <w:r>
              <w:t>6,516</w:t>
            </w:r>
          </w:p>
        </w:tc>
      </w:tr>
      <w:tr w:rsidR="00260042" w:rsidTr="002869C9">
        <w:trPr>
          <w:trHeight w:val="60"/>
        </w:trPr>
        <w:tc>
          <w:tcPr>
            <w:tcW w:w="1799" w:type="pct"/>
          </w:tcPr>
          <w:p w:rsidR="00260042" w:rsidRDefault="00260042" w:rsidP="002869C9">
            <w:pPr>
              <w:pStyle w:val="BodyText"/>
            </w:pPr>
            <w:r>
              <w:t>SA</w:t>
            </w:r>
          </w:p>
        </w:tc>
        <w:tc>
          <w:tcPr>
            <w:tcW w:w="1067" w:type="pct"/>
          </w:tcPr>
          <w:p w:rsidR="00260042" w:rsidRDefault="00260042" w:rsidP="002869C9">
            <w:pPr>
              <w:pStyle w:val="BodyText"/>
              <w:jc w:val="right"/>
            </w:pPr>
            <w:r>
              <w:t>2,312</w:t>
            </w:r>
          </w:p>
        </w:tc>
        <w:tc>
          <w:tcPr>
            <w:tcW w:w="1067" w:type="pct"/>
          </w:tcPr>
          <w:p w:rsidR="00260042" w:rsidRDefault="00260042" w:rsidP="002869C9">
            <w:pPr>
              <w:pStyle w:val="BodyText"/>
              <w:jc w:val="right"/>
            </w:pPr>
            <w:r>
              <w:t>334</w:t>
            </w:r>
          </w:p>
        </w:tc>
        <w:tc>
          <w:tcPr>
            <w:tcW w:w="1067" w:type="pct"/>
          </w:tcPr>
          <w:p w:rsidR="00260042" w:rsidRDefault="00260042" w:rsidP="002869C9">
            <w:pPr>
              <w:pStyle w:val="BodyText"/>
              <w:jc w:val="right"/>
            </w:pPr>
            <w:r>
              <w:t>2,646</w:t>
            </w:r>
          </w:p>
        </w:tc>
      </w:tr>
      <w:tr w:rsidR="00260042" w:rsidTr="002869C9">
        <w:trPr>
          <w:trHeight w:val="60"/>
        </w:trPr>
        <w:tc>
          <w:tcPr>
            <w:tcW w:w="1799" w:type="pct"/>
          </w:tcPr>
          <w:p w:rsidR="00260042" w:rsidRDefault="00260042" w:rsidP="002869C9">
            <w:pPr>
              <w:pStyle w:val="BodyText"/>
            </w:pPr>
            <w:r>
              <w:t>TAS</w:t>
            </w:r>
          </w:p>
        </w:tc>
        <w:tc>
          <w:tcPr>
            <w:tcW w:w="1067" w:type="pct"/>
          </w:tcPr>
          <w:p w:rsidR="00260042" w:rsidRDefault="00260042" w:rsidP="002869C9">
            <w:pPr>
              <w:pStyle w:val="BodyText"/>
              <w:jc w:val="right"/>
            </w:pPr>
            <w:r>
              <w:t>1,521</w:t>
            </w:r>
          </w:p>
        </w:tc>
        <w:tc>
          <w:tcPr>
            <w:tcW w:w="1067" w:type="pct"/>
          </w:tcPr>
          <w:p w:rsidR="00260042" w:rsidRDefault="00260042" w:rsidP="002869C9">
            <w:pPr>
              <w:pStyle w:val="BodyText"/>
              <w:jc w:val="right"/>
            </w:pPr>
            <w:r>
              <w:t>118</w:t>
            </w:r>
          </w:p>
        </w:tc>
        <w:tc>
          <w:tcPr>
            <w:tcW w:w="1067" w:type="pct"/>
          </w:tcPr>
          <w:p w:rsidR="00260042" w:rsidRDefault="00260042" w:rsidP="002869C9">
            <w:pPr>
              <w:pStyle w:val="BodyText"/>
              <w:jc w:val="right"/>
            </w:pPr>
            <w:r>
              <w:t>1,639</w:t>
            </w:r>
          </w:p>
        </w:tc>
      </w:tr>
      <w:tr w:rsidR="00260042" w:rsidTr="002869C9">
        <w:trPr>
          <w:trHeight w:val="60"/>
        </w:trPr>
        <w:tc>
          <w:tcPr>
            <w:tcW w:w="1799" w:type="pct"/>
          </w:tcPr>
          <w:p w:rsidR="00260042" w:rsidRDefault="00260042" w:rsidP="002869C9">
            <w:pPr>
              <w:pStyle w:val="BodyText"/>
            </w:pPr>
            <w:r>
              <w:t>VIC</w:t>
            </w:r>
          </w:p>
        </w:tc>
        <w:tc>
          <w:tcPr>
            <w:tcW w:w="1067" w:type="pct"/>
          </w:tcPr>
          <w:p w:rsidR="00260042" w:rsidRDefault="00260042" w:rsidP="002869C9">
            <w:pPr>
              <w:pStyle w:val="BodyText"/>
              <w:jc w:val="right"/>
            </w:pPr>
            <w:r>
              <w:t>5,246</w:t>
            </w:r>
          </w:p>
        </w:tc>
        <w:tc>
          <w:tcPr>
            <w:tcW w:w="1067" w:type="pct"/>
          </w:tcPr>
          <w:p w:rsidR="00260042" w:rsidRDefault="00260042" w:rsidP="002869C9">
            <w:pPr>
              <w:pStyle w:val="BodyText"/>
              <w:jc w:val="right"/>
            </w:pPr>
            <w:r>
              <w:t>965</w:t>
            </w:r>
          </w:p>
        </w:tc>
        <w:tc>
          <w:tcPr>
            <w:tcW w:w="1067" w:type="pct"/>
          </w:tcPr>
          <w:p w:rsidR="00260042" w:rsidRDefault="00260042" w:rsidP="002869C9">
            <w:pPr>
              <w:pStyle w:val="BodyText"/>
              <w:jc w:val="right"/>
            </w:pPr>
            <w:r>
              <w:t>6,211</w:t>
            </w:r>
          </w:p>
        </w:tc>
      </w:tr>
      <w:tr w:rsidR="00260042" w:rsidTr="002869C9">
        <w:trPr>
          <w:trHeight w:val="60"/>
        </w:trPr>
        <w:tc>
          <w:tcPr>
            <w:tcW w:w="1799" w:type="pct"/>
          </w:tcPr>
          <w:p w:rsidR="00260042" w:rsidRDefault="00260042" w:rsidP="002869C9">
            <w:pPr>
              <w:pStyle w:val="BodyText"/>
            </w:pPr>
            <w:r>
              <w:t>WA</w:t>
            </w:r>
          </w:p>
        </w:tc>
        <w:tc>
          <w:tcPr>
            <w:tcW w:w="1067" w:type="pct"/>
          </w:tcPr>
          <w:p w:rsidR="00260042" w:rsidRDefault="00260042" w:rsidP="002869C9">
            <w:pPr>
              <w:pStyle w:val="BodyText"/>
              <w:jc w:val="right"/>
            </w:pPr>
            <w:r>
              <w:t>1,765</w:t>
            </w:r>
          </w:p>
        </w:tc>
        <w:tc>
          <w:tcPr>
            <w:tcW w:w="1067" w:type="pct"/>
          </w:tcPr>
          <w:p w:rsidR="00260042" w:rsidRDefault="00260042" w:rsidP="002869C9">
            <w:pPr>
              <w:pStyle w:val="BodyText"/>
              <w:jc w:val="right"/>
            </w:pPr>
            <w:r>
              <w:t>415</w:t>
            </w:r>
          </w:p>
        </w:tc>
        <w:tc>
          <w:tcPr>
            <w:tcW w:w="1067" w:type="pct"/>
          </w:tcPr>
          <w:p w:rsidR="00260042" w:rsidRDefault="00260042" w:rsidP="002869C9">
            <w:pPr>
              <w:pStyle w:val="BodyText"/>
              <w:jc w:val="right"/>
            </w:pPr>
            <w:r>
              <w:t>2,180</w:t>
            </w:r>
          </w:p>
        </w:tc>
      </w:tr>
      <w:tr w:rsidR="00260042" w:rsidTr="002869C9">
        <w:trPr>
          <w:trHeight w:val="60"/>
        </w:trPr>
        <w:tc>
          <w:tcPr>
            <w:tcW w:w="1799" w:type="pct"/>
          </w:tcPr>
          <w:p w:rsidR="00260042" w:rsidRDefault="00260042" w:rsidP="002869C9">
            <w:pPr>
              <w:pStyle w:val="BodyText"/>
            </w:pPr>
            <w:r>
              <w:t>ACT</w:t>
            </w:r>
          </w:p>
        </w:tc>
        <w:tc>
          <w:tcPr>
            <w:tcW w:w="1067" w:type="pct"/>
          </w:tcPr>
          <w:p w:rsidR="00260042" w:rsidRDefault="00260042" w:rsidP="002869C9">
            <w:pPr>
              <w:pStyle w:val="BodyText"/>
              <w:jc w:val="right"/>
            </w:pPr>
            <w:r>
              <w:t>4,011</w:t>
            </w:r>
          </w:p>
        </w:tc>
        <w:tc>
          <w:tcPr>
            <w:tcW w:w="1067" w:type="pct"/>
          </w:tcPr>
          <w:p w:rsidR="00260042" w:rsidRDefault="00260042" w:rsidP="002869C9">
            <w:pPr>
              <w:pStyle w:val="BodyText"/>
              <w:jc w:val="right"/>
            </w:pPr>
            <w:r>
              <w:t>179</w:t>
            </w:r>
          </w:p>
        </w:tc>
        <w:tc>
          <w:tcPr>
            <w:tcW w:w="1067" w:type="pct"/>
          </w:tcPr>
          <w:p w:rsidR="00260042" w:rsidRDefault="00260042" w:rsidP="002869C9">
            <w:pPr>
              <w:pStyle w:val="BodyText"/>
              <w:jc w:val="right"/>
            </w:pPr>
            <w:r>
              <w:t>4,190</w:t>
            </w:r>
          </w:p>
        </w:tc>
      </w:tr>
      <w:tr w:rsidR="00260042" w:rsidTr="002869C9">
        <w:trPr>
          <w:trHeight w:val="60"/>
        </w:trPr>
        <w:tc>
          <w:tcPr>
            <w:tcW w:w="1799" w:type="pct"/>
          </w:tcPr>
          <w:p w:rsidR="00260042" w:rsidRDefault="00260042" w:rsidP="002869C9">
            <w:pPr>
              <w:pStyle w:val="BodyText"/>
            </w:pPr>
            <w:r>
              <w:t>NT</w:t>
            </w:r>
          </w:p>
        </w:tc>
        <w:tc>
          <w:tcPr>
            <w:tcW w:w="1067" w:type="pct"/>
          </w:tcPr>
          <w:p w:rsidR="00260042" w:rsidRDefault="00260042" w:rsidP="002869C9">
            <w:pPr>
              <w:pStyle w:val="BodyText"/>
              <w:jc w:val="right"/>
            </w:pPr>
            <w:r>
              <w:t>388</w:t>
            </w:r>
          </w:p>
        </w:tc>
        <w:tc>
          <w:tcPr>
            <w:tcW w:w="1067" w:type="pct"/>
          </w:tcPr>
          <w:p w:rsidR="00260042" w:rsidRDefault="00260042" w:rsidP="002869C9">
            <w:pPr>
              <w:pStyle w:val="BodyText"/>
              <w:jc w:val="right"/>
            </w:pPr>
            <w:r>
              <w:t>45</w:t>
            </w:r>
          </w:p>
        </w:tc>
        <w:tc>
          <w:tcPr>
            <w:tcW w:w="1067" w:type="pct"/>
          </w:tcPr>
          <w:p w:rsidR="00260042" w:rsidRDefault="00260042" w:rsidP="002869C9">
            <w:pPr>
              <w:pStyle w:val="BodyText"/>
              <w:jc w:val="right"/>
            </w:pPr>
            <w:r>
              <w:t>433</w:t>
            </w:r>
          </w:p>
        </w:tc>
      </w:tr>
      <w:tr w:rsidR="00260042" w:rsidTr="002869C9">
        <w:trPr>
          <w:trHeight w:val="60"/>
        </w:trPr>
        <w:tc>
          <w:tcPr>
            <w:tcW w:w="1799" w:type="pct"/>
          </w:tcPr>
          <w:p w:rsidR="00260042" w:rsidRDefault="00260042" w:rsidP="002869C9">
            <w:pPr>
              <w:pStyle w:val="BodyText"/>
            </w:pPr>
            <w:r>
              <w:lastRenderedPageBreak/>
              <w:t>External territories</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r>
      <w:tr w:rsidR="00260042" w:rsidTr="002869C9">
        <w:trPr>
          <w:trHeight w:val="60"/>
        </w:trPr>
        <w:tc>
          <w:tcPr>
            <w:tcW w:w="1799" w:type="pct"/>
          </w:tcPr>
          <w:p w:rsidR="00260042" w:rsidRDefault="00260042" w:rsidP="002869C9">
            <w:pPr>
              <w:pStyle w:val="BodyText"/>
            </w:pPr>
            <w:r>
              <w:t>Overseas</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c>
          <w:tcPr>
            <w:tcW w:w="1067" w:type="pct"/>
          </w:tcPr>
          <w:p w:rsidR="00260042" w:rsidRDefault="00260042" w:rsidP="002869C9">
            <w:pPr>
              <w:pStyle w:val="BodyText"/>
              <w:jc w:val="right"/>
            </w:pPr>
            <w:r>
              <w:t>0</w:t>
            </w:r>
          </w:p>
        </w:tc>
      </w:tr>
      <w:tr w:rsidR="00260042" w:rsidTr="002869C9">
        <w:trPr>
          <w:trHeight w:val="60"/>
        </w:trPr>
        <w:tc>
          <w:tcPr>
            <w:tcW w:w="1799" w:type="pct"/>
          </w:tcPr>
          <w:p w:rsidR="00260042" w:rsidRDefault="00260042" w:rsidP="002869C9">
            <w:pPr>
              <w:pStyle w:val="BodyText"/>
            </w:pPr>
            <w:r>
              <w:rPr>
                <w:rStyle w:val="Bold"/>
              </w:rPr>
              <w:t>Total</w:t>
            </w:r>
          </w:p>
        </w:tc>
        <w:tc>
          <w:tcPr>
            <w:tcW w:w="1067" w:type="pct"/>
          </w:tcPr>
          <w:p w:rsidR="00260042" w:rsidRDefault="00260042" w:rsidP="002869C9">
            <w:pPr>
              <w:pStyle w:val="BodyText"/>
              <w:jc w:val="right"/>
            </w:pPr>
            <w:r>
              <w:rPr>
                <w:rStyle w:val="Bold"/>
              </w:rPr>
              <w:t>27,549</w:t>
            </w:r>
          </w:p>
        </w:tc>
        <w:tc>
          <w:tcPr>
            <w:tcW w:w="1067" w:type="pct"/>
          </w:tcPr>
          <w:p w:rsidR="00260042" w:rsidRDefault="00260042" w:rsidP="002869C9">
            <w:pPr>
              <w:pStyle w:val="BodyText"/>
              <w:jc w:val="right"/>
            </w:pPr>
            <w:r>
              <w:rPr>
                <w:rStyle w:val="Bold"/>
              </w:rPr>
              <w:t>4,204</w:t>
            </w:r>
          </w:p>
        </w:tc>
        <w:tc>
          <w:tcPr>
            <w:tcW w:w="1067" w:type="pct"/>
          </w:tcPr>
          <w:p w:rsidR="00260042" w:rsidRDefault="00260042" w:rsidP="002869C9">
            <w:pPr>
              <w:pStyle w:val="BodyText"/>
              <w:jc w:val="right"/>
            </w:pPr>
            <w:r>
              <w:rPr>
                <w:rStyle w:val="Bold"/>
              </w:rPr>
              <w:t>31,753</w:t>
            </w:r>
          </w:p>
        </w:tc>
      </w:tr>
    </w:tbl>
    <w:p w:rsidR="00260042" w:rsidRDefault="00260042" w:rsidP="00EA5510">
      <w:pPr>
        <w:pStyle w:val="BodyText"/>
      </w:pPr>
      <w:r>
        <w:t>(a)</w:t>
      </w:r>
      <w:r>
        <w:tab/>
        <w:t>Non-ongoing employees includes irregular/intermittent staff.</w:t>
      </w:r>
    </w:p>
    <w:p w:rsidR="00260042" w:rsidRDefault="00260042" w:rsidP="002E64CE">
      <w:pPr>
        <w:pStyle w:val="Heading3"/>
      </w:pPr>
      <w:r>
        <w:t>PGPA Rule s. 17AG (4</w:t>
      </w:r>
      <w:proofErr w:type="gramStart"/>
      <w:r>
        <w:t>)</w:t>
      </w:r>
      <w:r>
        <w:rPr>
          <w:caps/>
        </w:rPr>
        <w:t>(</w:t>
      </w:r>
      <w:proofErr w:type="gramEnd"/>
      <w:r>
        <w:rPr>
          <w:caps/>
        </w:rPr>
        <w:t>b)(vi)</w:t>
      </w:r>
      <w:r>
        <w:t xml:space="preserve"> Indigenous Employment </w:t>
      </w:r>
    </w:p>
    <w:p w:rsidR="00260042" w:rsidRPr="00EA5510" w:rsidRDefault="00511254" w:rsidP="00EA5510">
      <w:pPr>
        <w:pStyle w:val="BodyText"/>
        <w:rPr>
          <w:b/>
        </w:rPr>
      </w:pPr>
      <w:r>
        <w:rPr>
          <w:rStyle w:val="Bold"/>
          <w:bCs w:val="0"/>
        </w:rPr>
        <w:t>Table 6</w:t>
      </w:r>
      <w:r>
        <w:rPr>
          <w:rStyle w:val="Bold"/>
          <w:bCs w:val="0"/>
        </w:rPr>
        <w:t>7</w:t>
      </w:r>
      <w:r w:rsidR="00260042" w:rsidRPr="00EA5510">
        <w:rPr>
          <w:b/>
        </w:rPr>
        <w:t xml:space="preserve"> Australian Public Service Act Indigenous employment 2020–21</w:t>
      </w:r>
    </w:p>
    <w:tbl>
      <w:tblPr>
        <w:tblStyle w:val="TableGrid"/>
        <w:tblW w:w="5000" w:type="pct"/>
        <w:tblLook w:val="0000" w:firstRow="0" w:lastRow="0" w:firstColumn="0" w:lastColumn="0" w:noHBand="0" w:noVBand="0"/>
        <w:tblCaption w:val=" Australian Public Service Act Indigenous employment 2020–21"/>
      </w:tblPr>
      <w:tblGrid>
        <w:gridCol w:w="5436"/>
        <w:gridCol w:w="5354"/>
      </w:tblGrid>
      <w:tr w:rsidR="00260042" w:rsidTr="002869C9">
        <w:trPr>
          <w:trHeight w:val="60"/>
          <w:tblHeader/>
        </w:trPr>
        <w:tc>
          <w:tcPr>
            <w:tcW w:w="2519" w:type="pct"/>
          </w:tcPr>
          <w:p w:rsidR="00260042" w:rsidRPr="002869C9" w:rsidRDefault="00260042" w:rsidP="002869C9">
            <w:pPr>
              <w:pStyle w:val="BodyText"/>
              <w:rPr>
                <w:b/>
              </w:rPr>
            </w:pPr>
          </w:p>
        </w:tc>
        <w:tc>
          <w:tcPr>
            <w:tcW w:w="2481" w:type="pct"/>
          </w:tcPr>
          <w:p w:rsidR="00260042" w:rsidRPr="002869C9" w:rsidRDefault="00260042" w:rsidP="002869C9">
            <w:pPr>
              <w:pStyle w:val="BodyText"/>
              <w:jc w:val="right"/>
              <w:rPr>
                <w:b/>
              </w:rPr>
            </w:pPr>
            <w:r w:rsidRPr="002869C9">
              <w:rPr>
                <w:b/>
              </w:rPr>
              <w:t>Total</w:t>
            </w:r>
          </w:p>
        </w:tc>
      </w:tr>
      <w:tr w:rsidR="00260042" w:rsidTr="002869C9">
        <w:trPr>
          <w:trHeight w:val="60"/>
        </w:trPr>
        <w:tc>
          <w:tcPr>
            <w:tcW w:w="2519" w:type="pct"/>
          </w:tcPr>
          <w:p w:rsidR="00260042" w:rsidRDefault="00260042" w:rsidP="002869C9">
            <w:pPr>
              <w:pStyle w:val="BodyText"/>
            </w:pPr>
            <w:r>
              <w:t>Ongoing</w:t>
            </w:r>
          </w:p>
        </w:tc>
        <w:tc>
          <w:tcPr>
            <w:tcW w:w="2481" w:type="pct"/>
          </w:tcPr>
          <w:p w:rsidR="00260042" w:rsidRDefault="00260042" w:rsidP="002869C9">
            <w:pPr>
              <w:pStyle w:val="BodyText"/>
              <w:jc w:val="right"/>
            </w:pPr>
            <w:r>
              <w:t>1,727</w:t>
            </w:r>
          </w:p>
        </w:tc>
      </w:tr>
      <w:tr w:rsidR="00260042" w:rsidTr="002869C9">
        <w:trPr>
          <w:trHeight w:val="60"/>
        </w:trPr>
        <w:tc>
          <w:tcPr>
            <w:tcW w:w="2519" w:type="pct"/>
          </w:tcPr>
          <w:p w:rsidR="00260042" w:rsidRDefault="00260042" w:rsidP="002869C9">
            <w:pPr>
              <w:pStyle w:val="BodyText"/>
            </w:pPr>
            <w:r>
              <w:t>Non-ongoing</w:t>
            </w:r>
            <w:r>
              <w:rPr>
                <w:vertAlign w:val="superscript"/>
              </w:rPr>
              <w:t>(a)</w:t>
            </w:r>
          </w:p>
        </w:tc>
        <w:tc>
          <w:tcPr>
            <w:tcW w:w="2481" w:type="pct"/>
          </w:tcPr>
          <w:p w:rsidR="00260042" w:rsidRDefault="00260042" w:rsidP="002869C9">
            <w:pPr>
              <w:pStyle w:val="BodyText"/>
              <w:jc w:val="right"/>
            </w:pPr>
            <w:r>
              <w:t>170</w:t>
            </w:r>
          </w:p>
        </w:tc>
      </w:tr>
      <w:tr w:rsidR="00260042" w:rsidTr="002869C9">
        <w:trPr>
          <w:trHeight w:val="60"/>
        </w:trPr>
        <w:tc>
          <w:tcPr>
            <w:tcW w:w="2519" w:type="pct"/>
          </w:tcPr>
          <w:p w:rsidR="00260042" w:rsidRDefault="00260042" w:rsidP="002869C9">
            <w:pPr>
              <w:pStyle w:val="BodyText"/>
            </w:pPr>
            <w:r>
              <w:rPr>
                <w:rStyle w:val="Bold"/>
              </w:rPr>
              <w:t>Total</w:t>
            </w:r>
          </w:p>
        </w:tc>
        <w:tc>
          <w:tcPr>
            <w:tcW w:w="2481" w:type="pct"/>
          </w:tcPr>
          <w:p w:rsidR="00260042" w:rsidRDefault="00260042" w:rsidP="002869C9">
            <w:pPr>
              <w:pStyle w:val="BodyText"/>
              <w:jc w:val="right"/>
            </w:pPr>
            <w:r>
              <w:rPr>
                <w:rStyle w:val="Bold"/>
              </w:rPr>
              <w:t>1,897</w:t>
            </w:r>
          </w:p>
        </w:tc>
      </w:tr>
    </w:tbl>
    <w:p w:rsidR="00260042" w:rsidRDefault="00260042" w:rsidP="00EA5510">
      <w:pPr>
        <w:pStyle w:val="BodyText"/>
      </w:pPr>
      <w:r>
        <w:t>(a)</w:t>
      </w:r>
      <w:r>
        <w:tab/>
        <w:t>Non-ongoing employees includes irregular/intermittent staff.</w:t>
      </w:r>
    </w:p>
    <w:p w:rsidR="00260042" w:rsidRPr="00EA5510" w:rsidRDefault="00511254" w:rsidP="00EA5510">
      <w:pPr>
        <w:pStyle w:val="BodyText"/>
        <w:rPr>
          <w:b/>
        </w:rPr>
      </w:pPr>
      <w:r>
        <w:rPr>
          <w:rStyle w:val="Bold"/>
          <w:bCs w:val="0"/>
        </w:rPr>
        <w:t>Table 6</w:t>
      </w:r>
      <w:r>
        <w:rPr>
          <w:rStyle w:val="Bold"/>
          <w:bCs w:val="0"/>
        </w:rPr>
        <w:t>8</w:t>
      </w:r>
      <w:r w:rsidR="00260042" w:rsidRPr="00EA5510">
        <w:rPr>
          <w:b/>
        </w:rPr>
        <w:t xml:space="preserve"> Australian Public Service Act Indigenous employment 2019–20</w:t>
      </w:r>
    </w:p>
    <w:tbl>
      <w:tblPr>
        <w:tblStyle w:val="TableGrid"/>
        <w:tblW w:w="5000" w:type="pct"/>
        <w:tblLook w:val="0000" w:firstRow="0" w:lastRow="0" w:firstColumn="0" w:lastColumn="0" w:noHBand="0" w:noVBand="0"/>
        <w:tblCaption w:val="Australian Public Service Act Indigenous employment 2019–20"/>
      </w:tblPr>
      <w:tblGrid>
        <w:gridCol w:w="5436"/>
        <w:gridCol w:w="5354"/>
      </w:tblGrid>
      <w:tr w:rsidR="00260042" w:rsidTr="002869C9">
        <w:trPr>
          <w:trHeight w:val="60"/>
          <w:tblHeader/>
        </w:trPr>
        <w:tc>
          <w:tcPr>
            <w:tcW w:w="2519" w:type="pct"/>
          </w:tcPr>
          <w:p w:rsidR="00260042" w:rsidRPr="002869C9" w:rsidRDefault="00260042" w:rsidP="002869C9">
            <w:pPr>
              <w:pStyle w:val="BodyText"/>
              <w:rPr>
                <w:b/>
              </w:rPr>
            </w:pPr>
          </w:p>
        </w:tc>
        <w:tc>
          <w:tcPr>
            <w:tcW w:w="2481" w:type="pct"/>
          </w:tcPr>
          <w:p w:rsidR="00260042" w:rsidRPr="002869C9" w:rsidRDefault="00260042" w:rsidP="002869C9">
            <w:pPr>
              <w:pStyle w:val="BodyText"/>
              <w:jc w:val="right"/>
              <w:rPr>
                <w:b/>
              </w:rPr>
            </w:pPr>
            <w:r w:rsidRPr="002869C9">
              <w:rPr>
                <w:b/>
              </w:rPr>
              <w:t>Total</w:t>
            </w:r>
          </w:p>
        </w:tc>
      </w:tr>
      <w:tr w:rsidR="00260042" w:rsidTr="002869C9">
        <w:trPr>
          <w:trHeight w:val="60"/>
        </w:trPr>
        <w:tc>
          <w:tcPr>
            <w:tcW w:w="2519" w:type="pct"/>
          </w:tcPr>
          <w:p w:rsidR="00260042" w:rsidRDefault="00260042" w:rsidP="002869C9">
            <w:pPr>
              <w:pStyle w:val="BodyText"/>
            </w:pPr>
            <w:r>
              <w:t>Ongoing</w:t>
            </w:r>
          </w:p>
        </w:tc>
        <w:tc>
          <w:tcPr>
            <w:tcW w:w="2481" w:type="pct"/>
          </w:tcPr>
          <w:p w:rsidR="00260042" w:rsidRDefault="00260042" w:rsidP="002869C9">
            <w:pPr>
              <w:pStyle w:val="BodyText"/>
              <w:jc w:val="right"/>
            </w:pPr>
            <w:r>
              <w:t>1,672</w:t>
            </w:r>
          </w:p>
        </w:tc>
      </w:tr>
      <w:tr w:rsidR="00260042" w:rsidTr="002869C9">
        <w:trPr>
          <w:trHeight w:val="60"/>
        </w:trPr>
        <w:tc>
          <w:tcPr>
            <w:tcW w:w="2519" w:type="pct"/>
          </w:tcPr>
          <w:p w:rsidR="00260042" w:rsidRDefault="00260042" w:rsidP="002869C9">
            <w:pPr>
              <w:pStyle w:val="BodyText"/>
            </w:pPr>
            <w:r>
              <w:t>Non-ongoing</w:t>
            </w:r>
            <w:r>
              <w:rPr>
                <w:vertAlign w:val="superscript"/>
              </w:rPr>
              <w:t>(a)</w:t>
            </w:r>
          </w:p>
        </w:tc>
        <w:tc>
          <w:tcPr>
            <w:tcW w:w="2481" w:type="pct"/>
          </w:tcPr>
          <w:p w:rsidR="00260042" w:rsidRDefault="00260042" w:rsidP="002869C9">
            <w:pPr>
              <w:pStyle w:val="BodyText"/>
              <w:jc w:val="right"/>
            </w:pPr>
            <w:r>
              <w:t>81</w:t>
            </w:r>
          </w:p>
        </w:tc>
      </w:tr>
      <w:tr w:rsidR="00260042" w:rsidTr="002869C9">
        <w:trPr>
          <w:trHeight w:val="60"/>
        </w:trPr>
        <w:tc>
          <w:tcPr>
            <w:tcW w:w="2519" w:type="pct"/>
          </w:tcPr>
          <w:p w:rsidR="00260042" w:rsidRDefault="00260042" w:rsidP="002869C9">
            <w:pPr>
              <w:pStyle w:val="BodyText"/>
            </w:pPr>
            <w:r>
              <w:rPr>
                <w:rStyle w:val="Bold"/>
              </w:rPr>
              <w:t>Total</w:t>
            </w:r>
          </w:p>
        </w:tc>
        <w:tc>
          <w:tcPr>
            <w:tcW w:w="2481" w:type="pct"/>
          </w:tcPr>
          <w:p w:rsidR="00260042" w:rsidRDefault="00260042" w:rsidP="002869C9">
            <w:pPr>
              <w:pStyle w:val="BodyText"/>
              <w:jc w:val="right"/>
            </w:pPr>
            <w:r>
              <w:rPr>
                <w:rStyle w:val="Bold"/>
              </w:rPr>
              <w:t>1,753</w:t>
            </w:r>
          </w:p>
        </w:tc>
      </w:tr>
    </w:tbl>
    <w:p w:rsidR="00260042" w:rsidRDefault="00260042" w:rsidP="00EA5510">
      <w:pPr>
        <w:pStyle w:val="BodyText"/>
      </w:pPr>
      <w:r>
        <w:t>(a)</w:t>
      </w:r>
      <w:r>
        <w:tab/>
        <w:t>Non-ongoing employees includes irregular/intermittent staff.</w:t>
      </w:r>
    </w:p>
    <w:p w:rsidR="00260042" w:rsidRDefault="00260042" w:rsidP="002E64CE">
      <w:pPr>
        <w:pStyle w:val="Heading3"/>
      </w:pPr>
      <w:r>
        <w:t>PGPA Rule s. 17AG (4</w:t>
      </w:r>
      <w:proofErr w:type="gramStart"/>
      <w:r>
        <w:t>)</w:t>
      </w:r>
      <w:r>
        <w:rPr>
          <w:caps/>
        </w:rPr>
        <w:t>(</w:t>
      </w:r>
      <w:proofErr w:type="gramEnd"/>
      <w:r>
        <w:rPr>
          <w:caps/>
        </w:rPr>
        <w:t>c)(i)</w:t>
      </w:r>
      <w:r>
        <w:t xml:space="preserve"> Employment arrangements of SES and Non-SES employees </w:t>
      </w:r>
    </w:p>
    <w:p w:rsidR="00260042" w:rsidRPr="00EA5510" w:rsidRDefault="00511254" w:rsidP="00EA5510">
      <w:pPr>
        <w:pStyle w:val="BodyText"/>
        <w:rPr>
          <w:b/>
        </w:rPr>
      </w:pPr>
      <w:r>
        <w:rPr>
          <w:rStyle w:val="Bold"/>
          <w:bCs w:val="0"/>
        </w:rPr>
        <w:t>Table 6</w:t>
      </w:r>
      <w:r>
        <w:rPr>
          <w:rStyle w:val="Bold"/>
          <w:bCs w:val="0"/>
        </w:rPr>
        <w:t>9</w:t>
      </w:r>
      <w:r w:rsidR="00260042" w:rsidRPr="00EA5510">
        <w:rPr>
          <w:b/>
        </w:rPr>
        <w:t xml:space="preserve"> Australian Public Service Act employment arrangements 2020–21</w:t>
      </w:r>
    </w:p>
    <w:tbl>
      <w:tblPr>
        <w:tblStyle w:val="TableGrid"/>
        <w:tblW w:w="5000" w:type="pct"/>
        <w:tblLook w:val="0000" w:firstRow="0" w:lastRow="0" w:firstColumn="0" w:lastColumn="0" w:noHBand="0" w:noVBand="0"/>
        <w:tblCaption w:val="Australian Public Service Act employment arrangements 2020–21"/>
      </w:tblPr>
      <w:tblGrid>
        <w:gridCol w:w="4611"/>
        <w:gridCol w:w="2059"/>
        <w:gridCol w:w="2059"/>
        <w:gridCol w:w="2061"/>
      </w:tblGrid>
      <w:tr w:rsidR="00260042" w:rsidTr="002869C9">
        <w:trPr>
          <w:trHeight w:val="60"/>
          <w:tblHeader/>
        </w:trPr>
        <w:tc>
          <w:tcPr>
            <w:tcW w:w="2137" w:type="pct"/>
          </w:tcPr>
          <w:p w:rsidR="00260042" w:rsidRPr="002869C9" w:rsidRDefault="00260042" w:rsidP="002869C9">
            <w:pPr>
              <w:pStyle w:val="BodyText"/>
              <w:rPr>
                <w:b/>
              </w:rPr>
            </w:pPr>
          </w:p>
        </w:tc>
        <w:tc>
          <w:tcPr>
            <w:tcW w:w="954" w:type="pct"/>
          </w:tcPr>
          <w:p w:rsidR="00260042" w:rsidRPr="002869C9" w:rsidRDefault="00260042" w:rsidP="002869C9">
            <w:pPr>
              <w:pStyle w:val="BodyText"/>
              <w:jc w:val="right"/>
              <w:rPr>
                <w:b/>
              </w:rPr>
            </w:pPr>
            <w:r w:rsidRPr="002869C9">
              <w:rPr>
                <w:b/>
              </w:rPr>
              <w:t>SES</w:t>
            </w:r>
          </w:p>
        </w:tc>
        <w:tc>
          <w:tcPr>
            <w:tcW w:w="954" w:type="pct"/>
          </w:tcPr>
          <w:p w:rsidR="00260042" w:rsidRPr="002869C9" w:rsidRDefault="00260042" w:rsidP="002869C9">
            <w:pPr>
              <w:pStyle w:val="BodyText"/>
              <w:jc w:val="right"/>
              <w:rPr>
                <w:b/>
              </w:rPr>
            </w:pPr>
            <w:r w:rsidRPr="002869C9">
              <w:rPr>
                <w:b/>
              </w:rPr>
              <w:t>Non-SES</w:t>
            </w:r>
          </w:p>
        </w:tc>
        <w:tc>
          <w:tcPr>
            <w:tcW w:w="955" w:type="pct"/>
          </w:tcPr>
          <w:p w:rsidR="00260042" w:rsidRPr="002869C9" w:rsidRDefault="00260042" w:rsidP="002869C9">
            <w:pPr>
              <w:pStyle w:val="BodyText"/>
              <w:jc w:val="right"/>
              <w:rPr>
                <w:b/>
              </w:rPr>
            </w:pPr>
            <w:r w:rsidRPr="002869C9">
              <w:rPr>
                <w:b/>
              </w:rPr>
              <w:t>Total</w:t>
            </w:r>
          </w:p>
        </w:tc>
      </w:tr>
      <w:tr w:rsidR="00260042" w:rsidTr="002869C9">
        <w:trPr>
          <w:trHeight w:val="60"/>
        </w:trPr>
        <w:tc>
          <w:tcPr>
            <w:tcW w:w="2137" w:type="pct"/>
          </w:tcPr>
          <w:p w:rsidR="00260042" w:rsidRDefault="00260042" w:rsidP="002869C9">
            <w:pPr>
              <w:pStyle w:val="BodyText"/>
            </w:pPr>
            <w:r>
              <w:t xml:space="preserve">Section 24(1) of the </w:t>
            </w:r>
            <w:r>
              <w:rPr>
                <w:rStyle w:val="Italic"/>
              </w:rPr>
              <w:t>Public Service Act 1999</w:t>
            </w:r>
          </w:p>
        </w:tc>
        <w:tc>
          <w:tcPr>
            <w:tcW w:w="954" w:type="pct"/>
          </w:tcPr>
          <w:p w:rsidR="00260042" w:rsidRDefault="00260042" w:rsidP="002869C9">
            <w:pPr>
              <w:pStyle w:val="BodyText"/>
              <w:jc w:val="right"/>
            </w:pPr>
            <w:r>
              <w:t>165</w:t>
            </w:r>
          </w:p>
        </w:tc>
        <w:tc>
          <w:tcPr>
            <w:tcW w:w="954" w:type="pct"/>
          </w:tcPr>
          <w:p w:rsidR="00260042" w:rsidRDefault="00260042" w:rsidP="002869C9">
            <w:pPr>
              <w:pStyle w:val="BodyText"/>
              <w:jc w:val="right"/>
            </w:pPr>
            <w:r>
              <w:t>0</w:t>
            </w:r>
          </w:p>
        </w:tc>
        <w:tc>
          <w:tcPr>
            <w:tcW w:w="955" w:type="pct"/>
          </w:tcPr>
          <w:p w:rsidR="00260042" w:rsidRDefault="00260042" w:rsidP="002869C9">
            <w:pPr>
              <w:pStyle w:val="BodyText"/>
              <w:jc w:val="right"/>
            </w:pPr>
            <w:r>
              <w:t>165</w:t>
            </w:r>
          </w:p>
        </w:tc>
      </w:tr>
      <w:tr w:rsidR="00260042" w:rsidTr="002869C9">
        <w:trPr>
          <w:trHeight w:val="60"/>
        </w:trPr>
        <w:tc>
          <w:tcPr>
            <w:tcW w:w="2137" w:type="pct"/>
          </w:tcPr>
          <w:p w:rsidR="00260042" w:rsidRDefault="00260042" w:rsidP="002869C9">
            <w:pPr>
              <w:pStyle w:val="BodyText"/>
            </w:pPr>
            <w:r>
              <w:lastRenderedPageBreak/>
              <w:t>Individual flexibility agreements</w:t>
            </w:r>
          </w:p>
        </w:tc>
        <w:tc>
          <w:tcPr>
            <w:tcW w:w="954" w:type="pct"/>
          </w:tcPr>
          <w:p w:rsidR="00260042" w:rsidRDefault="00260042" w:rsidP="002869C9">
            <w:pPr>
              <w:pStyle w:val="BodyText"/>
              <w:jc w:val="right"/>
            </w:pPr>
            <w:r>
              <w:t>0</w:t>
            </w:r>
          </w:p>
        </w:tc>
        <w:tc>
          <w:tcPr>
            <w:tcW w:w="954" w:type="pct"/>
          </w:tcPr>
          <w:p w:rsidR="00260042" w:rsidRDefault="00260042" w:rsidP="002869C9">
            <w:pPr>
              <w:pStyle w:val="BodyText"/>
              <w:jc w:val="right"/>
            </w:pPr>
            <w:r>
              <w:t>53</w:t>
            </w:r>
          </w:p>
        </w:tc>
        <w:tc>
          <w:tcPr>
            <w:tcW w:w="955" w:type="pct"/>
          </w:tcPr>
          <w:p w:rsidR="00260042" w:rsidRDefault="00260042" w:rsidP="002869C9">
            <w:pPr>
              <w:pStyle w:val="BodyText"/>
              <w:jc w:val="right"/>
            </w:pPr>
            <w:r>
              <w:t>53</w:t>
            </w:r>
          </w:p>
        </w:tc>
      </w:tr>
      <w:tr w:rsidR="00260042" w:rsidTr="002869C9">
        <w:trPr>
          <w:trHeight w:val="60"/>
        </w:trPr>
        <w:tc>
          <w:tcPr>
            <w:tcW w:w="2137" w:type="pct"/>
          </w:tcPr>
          <w:p w:rsidR="00260042" w:rsidRDefault="00260042" w:rsidP="002869C9">
            <w:pPr>
              <w:pStyle w:val="BodyText"/>
            </w:pPr>
            <w:r>
              <w:t>Common law contract</w:t>
            </w:r>
          </w:p>
        </w:tc>
        <w:tc>
          <w:tcPr>
            <w:tcW w:w="954" w:type="pct"/>
          </w:tcPr>
          <w:p w:rsidR="00260042" w:rsidRDefault="00260042" w:rsidP="002869C9">
            <w:pPr>
              <w:pStyle w:val="BodyText"/>
              <w:jc w:val="right"/>
            </w:pPr>
            <w:r>
              <w:t>0</w:t>
            </w:r>
          </w:p>
        </w:tc>
        <w:tc>
          <w:tcPr>
            <w:tcW w:w="954" w:type="pct"/>
          </w:tcPr>
          <w:p w:rsidR="00260042" w:rsidRDefault="00260042" w:rsidP="002869C9">
            <w:pPr>
              <w:pStyle w:val="BodyText"/>
              <w:jc w:val="right"/>
            </w:pPr>
            <w:r>
              <w:t>0</w:t>
            </w:r>
          </w:p>
        </w:tc>
        <w:tc>
          <w:tcPr>
            <w:tcW w:w="955" w:type="pct"/>
          </w:tcPr>
          <w:p w:rsidR="00260042" w:rsidRDefault="00260042" w:rsidP="002869C9">
            <w:pPr>
              <w:pStyle w:val="BodyText"/>
              <w:jc w:val="right"/>
            </w:pPr>
            <w:r>
              <w:t>0</w:t>
            </w:r>
          </w:p>
        </w:tc>
      </w:tr>
      <w:tr w:rsidR="00260042" w:rsidTr="002869C9">
        <w:trPr>
          <w:trHeight w:val="60"/>
        </w:trPr>
        <w:tc>
          <w:tcPr>
            <w:tcW w:w="2137" w:type="pct"/>
          </w:tcPr>
          <w:p w:rsidR="00260042" w:rsidRDefault="00260042" w:rsidP="002869C9">
            <w:pPr>
              <w:pStyle w:val="BodyText"/>
            </w:pPr>
            <w:r>
              <w:rPr>
                <w:rStyle w:val="Bold"/>
              </w:rPr>
              <w:t>Total</w:t>
            </w:r>
          </w:p>
        </w:tc>
        <w:tc>
          <w:tcPr>
            <w:tcW w:w="954" w:type="pct"/>
          </w:tcPr>
          <w:p w:rsidR="00260042" w:rsidRDefault="00260042" w:rsidP="002869C9">
            <w:pPr>
              <w:pStyle w:val="BodyText"/>
              <w:jc w:val="right"/>
            </w:pPr>
            <w:r>
              <w:rPr>
                <w:rStyle w:val="Bold"/>
              </w:rPr>
              <w:t>165</w:t>
            </w:r>
          </w:p>
        </w:tc>
        <w:tc>
          <w:tcPr>
            <w:tcW w:w="954" w:type="pct"/>
          </w:tcPr>
          <w:p w:rsidR="00260042" w:rsidRDefault="00260042" w:rsidP="002869C9">
            <w:pPr>
              <w:pStyle w:val="BodyText"/>
              <w:jc w:val="right"/>
            </w:pPr>
            <w:r>
              <w:rPr>
                <w:rStyle w:val="Bold"/>
              </w:rPr>
              <w:t>53</w:t>
            </w:r>
          </w:p>
        </w:tc>
        <w:tc>
          <w:tcPr>
            <w:tcW w:w="955" w:type="pct"/>
          </w:tcPr>
          <w:p w:rsidR="00260042" w:rsidRDefault="00260042" w:rsidP="002869C9">
            <w:pPr>
              <w:pStyle w:val="BodyText"/>
              <w:jc w:val="right"/>
            </w:pPr>
            <w:r>
              <w:rPr>
                <w:rStyle w:val="Bold"/>
              </w:rPr>
              <w:t>218</w:t>
            </w:r>
          </w:p>
        </w:tc>
      </w:tr>
    </w:tbl>
    <w:p w:rsidR="00260042" w:rsidRPr="00EA5510" w:rsidRDefault="00511254" w:rsidP="00EA5510">
      <w:pPr>
        <w:pStyle w:val="BodyText"/>
        <w:rPr>
          <w:b/>
        </w:rPr>
      </w:pPr>
      <w:r>
        <w:rPr>
          <w:rStyle w:val="Bold"/>
          <w:bCs w:val="0"/>
        </w:rPr>
        <w:t xml:space="preserve">Table </w:t>
      </w:r>
      <w:r>
        <w:rPr>
          <w:rStyle w:val="Bold"/>
          <w:bCs w:val="0"/>
        </w:rPr>
        <w:t>70</w:t>
      </w:r>
      <w:r w:rsidR="00260042" w:rsidRPr="00EA5510">
        <w:rPr>
          <w:b/>
        </w:rPr>
        <w:t xml:space="preserve"> Australian Public Service Act employment arrangements 2019–20</w:t>
      </w:r>
    </w:p>
    <w:tbl>
      <w:tblPr>
        <w:tblStyle w:val="TableGrid"/>
        <w:tblW w:w="5000" w:type="pct"/>
        <w:tblLook w:val="0000" w:firstRow="0" w:lastRow="0" w:firstColumn="0" w:lastColumn="0" w:noHBand="0" w:noVBand="0"/>
        <w:tblCaption w:val="Australian Public Service Act employment arrangements 2019–20"/>
      </w:tblPr>
      <w:tblGrid>
        <w:gridCol w:w="4611"/>
        <w:gridCol w:w="2059"/>
        <w:gridCol w:w="2059"/>
        <w:gridCol w:w="2061"/>
      </w:tblGrid>
      <w:tr w:rsidR="00260042" w:rsidTr="002869C9">
        <w:trPr>
          <w:trHeight w:val="60"/>
          <w:tblHeader/>
        </w:trPr>
        <w:tc>
          <w:tcPr>
            <w:tcW w:w="2137" w:type="pct"/>
          </w:tcPr>
          <w:p w:rsidR="00260042" w:rsidRDefault="00260042" w:rsidP="002869C9">
            <w:pPr>
              <w:pStyle w:val="BodyText"/>
            </w:pPr>
          </w:p>
        </w:tc>
        <w:tc>
          <w:tcPr>
            <w:tcW w:w="954" w:type="pct"/>
          </w:tcPr>
          <w:p w:rsidR="00260042" w:rsidRPr="002869C9" w:rsidRDefault="00260042" w:rsidP="002869C9">
            <w:pPr>
              <w:pStyle w:val="BodyText"/>
              <w:jc w:val="right"/>
              <w:rPr>
                <w:b/>
              </w:rPr>
            </w:pPr>
            <w:r w:rsidRPr="002869C9">
              <w:rPr>
                <w:b/>
              </w:rPr>
              <w:t>SES</w:t>
            </w:r>
          </w:p>
        </w:tc>
        <w:tc>
          <w:tcPr>
            <w:tcW w:w="954" w:type="pct"/>
          </w:tcPr>
          <w:p w:rsidR="00260042" w:rsidRPr="002869C9" w:rsidRDefault="00260042" w:rsidP="002869C9">
            <w:pPr>
              <w:pStyle w:val="BodyText"/>
              <w:jc w:val="right"/>
              <w:rPr>
                <w:b/>
              </w:rPr>
            </w:pPr>
            <w:r w:rsidRPr="002869C9">
              <w:rPr>
                <w:b/>
              </w:rPr>
              <w:t>Non-SES</w:t>
            </w:r>
          </w:p>
        </w:tc>
        <w:tc>
          <w:tcPr>
            <w:tcW w:w="955" w:type="pct"/>
          </w:tcPr>
          <w:p w:rsidR="00260042" w:rsidRPr="002869C9" w:rsidRDefault="00260042" w:rsidP="002869C9">
            <w:pPr>
              <w:pStyle w:val="BodyText"/>
              <w:jc w:val="right"/>
              <w:rPr>
                <w:b/>
              </w:rPr>
            </w:pPr>
            <w:r w:rsidRPr="002869C9">
              <w:rPr>
                <w:b/>
              </w:rPr>
              <w:t>Total</w:t>
            </w:r>
          </w:p>
        </w:tc>
      </w:tr>
      <w:tr w:rsidR="00260042" w:rsidTr="002869C9">
        <w:trPr>
          <w:trHeight w:val="60"/>
        </w:trPr>
        <w:tc>
          <w:tcPr>
            <w:tcW w:w="2137" w:type="pct"/>
          </w:tcPr>
          <w:p w:rsidR="00260042" w:rsidRDefault="00260042" w:rsidP="002869C9">
            <w:pPr>
              <w:pStyle w:val="BodyText"/>
            </w:pPr>
            <w:r>
              <w:t xml:space="preserve">Section 24(1) of the </w:t>
            </w:r>
            <w:r>
              <w:rPr>
                <w:rStyle w:val="Italic"/>
              </w:rPr>
              <w:t>Public Service Act 1999</w:t>
            </w:r>
          </w:p>
        </w:tc>
        <w:tc>
          <w:tcPr>
            <w:tcW w:w="954" w:type="pct"/>
          </w:tcPr>
          <w:p w:rsidR="00260042" w:rsidRDefault="00260042" w:rsidP="002869C9">
            <w:pPr>
              <w:pStyle w:val="BodyText"/>
              <w:jc w:val="right"/>
            </w:pPr>
            <w:r>
              <w:t>143</w:t>
            </w:r>
          </w:p>
        </w:tc>
        <w:tc>
          <w:tcPr>
            <w:tcW w:w="954" w:type="pct"/>
          </w:tcPr>
          <w:p w:rsidR="00260042" w:rsidRDefault="00260042" w:rsidP="002869C9">
            <w:pPr>
              <w:pStyle w:val="BodyText"/>
              <w:jc w:val="right"/>
            </w:pPr>
            <w:r>
              <w:t>3</w:t>
            </w:r>
          </w:p>
        </w:tc>
        <w:tc>
          <w:tcPr>
            <w:tcW w:w="955" w:type="pct"/>
          </w:tcPr>
          <w:p w:rsidR="00260042" w:rsidRDefault="00260042" w:rsidP="002869C9">
            <w:pPr>
              <w:pStyle w:val="BodyText"/>
              <w:jc w:val="right"/>
            </w:pPr>
            <w:r>
              <w:t>146</w:t>
            </w:r>
          </w:p>
        </w:tc>
      </w:tr>
      <w:tr w:rsidR="00260042" w:rsidTr="002869C9">
        <w:trPr>
          <w:trHeight w:val="60"/>
        </w:trPr>
        <w:tc>
          <w:tcPr>
            <w:tcW w:w="2137" w:type="pct"/>
          </w:tcPr>
          <w:p w:rsidR="00260042" w:rsidRDefault="00260042" w:rsidP="002869C9">
            <w:pPr>
              <w:pStyle w:val="BodyText"/>
            </w:pPr>
            <w:r>
              <w:t>Individual flexibility agreements</w:t>
            </w:r>
          </w:p>
        </w:tc>
        <w:tc>
          <w:tcPr>
            <w:tcW w:w="954" w:type="pct"/>
          </w:tcPr>
          <w:p w:rsidR="00260042" w:rsidRDefault="00260042" w:rsidP="002869C9">
            <w:pPr>
              <w:pStyle w:val="BodyText"/>
              <w:jc w:val="right"/>
            </w:pPr>
            <w:r>
              <w:t>0</w:t>
            </w:r>
          </w:p>
        </w:tc>
        <w:tc>
          <w:tcPr>
            <w:tcW w:w="954" w:type="pct"/>
          </w:tcPr>
          <w:p w:rsidR="00260042" w:rsidRDefault="00260042" w:rsidP="002869C9">
            <w:pPr>
              <w:pStyle w:val="BodyText"/>
              <w:jc w:val="right"/>
            </w:pPr>
            <w:r>
              <w:t>92</w:t>
            </w:r>
          </w:p>
        </w:tc>
        <w:tc>
          <w:tcPr>
            <w:tcW w:w="955" w:type="pct"/>
          </w:tcPr>
          <w:p w:rsidR="00260042" w:rsidRDefault="00260042" w:rsidP="002869C9">
            <w:pPr>
              <w:pStyle w:val="BodyText"/>
              <w:jc w:val="right"/>
            </w:pPr>
            <w:r>
              <w:t>92</w:t>
            </w:r>
          </w:p>
        </w:tc>
      </w:tr>
      <w:tr w:rsidR="00260042" w:rsidTr="002869C9">
        <w:trPr>
          <w:trHeight w:val="60"/>
        </w:trPr>
        <w:tc>
          <w:tcPr>
            <w:tcW w:w="2137" w:type="pct"/>
          </w:tcPr>
          <w:p w:rsidR="00260042" w:rsidRDefault="00260042" w:rsidP="002869C9">
            <w:pPr>
              <w:pStyle w:val="BodyText"/>
            </w:pPr>
            <w:r>
              <w:t>Common law contract</w:t>
            </w:r>
          </w:p>
        </w:tc>
        <w:tc>
          <w:tcPr>
            <w:tcW w:w="954" w:type="pct"/>
          </w:tcPr>
          <w:p w:rsidR="00260042" w:rsidRDefault="00260042" w:rsidP="002869C9">
            <w:pPr>
              <w:pStyle w:val="BodyText"/>
              <w:jc w:val="right"/>
            </w:pPr>
            <w:r>
              <w:t>1</w:t>
            </w:r>
          </w:p>
        </w:tc>
        <w:tc>
          <w:tcPr>
            <w:tcW w:w="954" w:type="pct"/>
          </w:tcPr>
          <w:p w:rsidR="00260042" w:rsidRDefault="00260042" w:rsidP="002869C9">
            <w:pPr>
              <w:pStyle w:val="BodyText"/>
              <w:jc w:val="right"/>
            </w:pPr>
            <w:r>
              <w:t>0</w:t>
            </w:r>
          </w:p>
        </w:tc>
        <w:tc>
          <w:tcPr>
            <w:tcW w:w="955" w:type="pct"/>
          </w:tcPr>
          <w:p w:rsidR="00260042" w:rsidRDefault="00260042" w:rsidP="002869C9">
            <w:pPr>
              <w:pStyle w:val="BodyText"/>
              <w:jc w:val="right"/>
            </w:pPr>
            <w:r>
              <w:t>1</w:t>
            </w:r>
          </w:p>
        </w:tc>
      </w:tr>
      <w:tr w:rsidR="00260042" w:rsidTr="002869C9">
        <w:trPr>
          <w:trHeight w:val="60"/>
        </w:trPr>
        <w:tc>
          <w:tcPr>
            <w:tcW w:w="2137" w:type="pct"/>
          </w:tcPr>
          <w:p w:rsidR="00260042" w:rsidRDefault="00260042" w:rsidP="002869C9">
            <w:pPr>
              <w:pStyle w:val="BodyText"/>
            </w:pPr>
            <w:r>
              <w:rPr>
                <w:rStyle w:val="Bold"/>
              </w:rPr>
              <w:t>Total</w:t>
            </w:r>
          </w:p>
        </w:tc>
        <w:tc>
          <w:tcPr>
            <w:tcW w:w="954" w:type="pct"/>
          </w:tcPr>
          <w:p w:rsidR="00260042" w:rsidRDefault="00260042" w:rsidP="002869C9">
            <w:pPr>
              <w:pStyle w:val="BodyText"/>
              <w:jc w:val="right"/>
            </w:pPr>
            <w:r>
              <w:rPr>
                <w:rStyle w:val="Bold"/>
              </w:rPr>
              <w:t>144</w:t>
            </w:r>
          </w:p>
        </w:tc>
        <w:tc>
          <w:tcPr>
            <w:tcW w:w="954" w:type="pct"/>
          </w:tcPr>
          <w:p w:rsidR="00260042" w:rsidRDefault="00260042" w:rsidP="002869C9">
            <w:pPr>
              <w:pStyle w:val="BodyText"/>
              <w:jc w:val="right"/>
            </w:pPr>
            <w:r>
              <w:rPr>
                <w:rStyle w:val="Bold"/>
              </w:rPr>
              <w:t>95</w:t>
            </w:r>
          </w:p>
        </w:tc>
        <w:tc>
          <w:tcPr>
            <w:tcW w:w="955" w:type="pct"/>
          </w:tcPr>
          <w:p w:rsidR="00260042" w:rsidRDefault="00260042" w:rsidP="002869C9">
            <w:pPr>
              <w:pStyle w:val="BodyText"/>
              <w:jc w:val="right"/>
            </w:pPr>
            <w:r>
              <w:rPr>
                <w:rStyle w:val="Bold"/>
              </w:rPr>
              <w:t>239</w:t>
            </w:r>
          </w:p>
        </w:tc>
      </w:tr>
    </w:tbl>
    <w:p w:rsidR="00260042" w:rsidRDefault="00260042" w:rsidP="002E64CE">
      <w:pPr>
        <w:pStyle w:val="Heading3"/>
      </w:pPr>
      <w:r>
        <w:t>PGPA Rule Section 17AG (4</w:t>
      </w:r>
      <w:proofErr w:type="gramStart"/>
      <w:r>
        <w:t>)</w:t>
      </w:r>
      <w:r>
        <w:rPr>
          <w:caps/>
        </w:rPr>
        <w:t>(</w:t>
      </w:r>
      <w:proofErr w:type="gramEnd"/>
      <w:r>
        <w:rPr>
          <w:caps/>
        </w:rPr>
        <w:t>c)(ii)</w:t>
      </w:r>
      <w:r>
        <w:t xml:space="preserve"> Salary ranges by classification level </w:t>
      </w:r>
    </w:p>
    <w:p w:rsidR="00260042" w:rsidRPr="00EA5510" w:rsidRDefault="00511254" w:rsidP="00EA5510">
      <w:pPr>
        <w:pStyle w:val="BodyText"/>
        <w:rPr>
          <w:b/>
        </w:rPr>
      </w:pPr>
      <w:r>
        <w:rPr>
          <w:rStyle w:val="Bold"/>
          <w:bCs w:val="0"/>
        </w:rPr>
        <w:t>Table 7</w:t>
      </w:r>
      <w:r>
        <w:rPr>
          <w:rStyle w:val="Bold"/>
          <w:bCs w:val="0"/>
        </w:rPr>
        <w:t>1</w:t>
      </w:r>
      <w:r w:rsidR="00260042" w:rsidRPr="00EA5510">
        <w:rPr>
          <w:b/>
        </w:rPr>
        <w:t xml:space="preserve"> Australian Public Service Act employment salary ranges by classification level (minimum/maximum) 2020–21</w:t>
      </w:r>
    </w:p>
    <w:tbl>
      <w:tblPr>
        <w:tblStyle w:val="TableGrid"/>
        <w:tblW w:w="5000" w:type="pct"/>
        <w:tblLook w:val="0000" w:firstRow="0" w:lastRow="0" w:firstColumn="0" w:lastColumn="0" w:noHBand="0" w:noVBand="0"/>
        <w:tblCaption w:val=" Australian Public Service Act employment salary ranges by classification level (minimum/maximum) 2020–21"/>
      </w:tblPr>
      <w:tblGrid>
        <w:gridCol w:w="6651"/>
        <w:gridCol w:w="2171"/>
        <w:gridCol w:w="1968"/>
      </w:tblGrid>
      <w:tr w:rsidR="00260042" w:rsidTr="002869C9">
        <w:trPr>
          <w:trHeight w:val="60"/>
          <w:tblHeader/>
        </w:trPr>
        <w:tc>
          <w:tcPr>
            <w:tcW w:w="3082" w:type="pct"/>
          </w:tcPr>
          <w:p w:rsidR="00260042" w:rsidRPr="002869C9" w:rsidRDefault="00260042" w:rsidP="002869C9">
            <w:pPr>
              <w:pStyle w:val="BodyText"/>
              <w:rPr>
                <w:b/>
              </w:rPr>
            </w:pPr>
          </w:p>
        </w:tc>
        <w:tc>
          <w:tcPr>
            <w:tcW w:w="1006" w:type="pct"/>
          </w:tcPr>
          <w:p w:rsidR="00260042" w:rsidRPr="002869C9" w:rsidRDefault="00260042" w:rsidP="002869C9">
            <w:pPr>
              <w:pStyle w:val="BodyText"/>
              <w:jc w:val="right"/>
              <w:rPr>
                <w:b/>
                <w:vertAlign w:val="superscript"/>
              </w:rPr>
            </w:pPr>
            <w:r w:rsidRPr="002869C9">
              <w:rPr>
                <w:b/>
              </w:rPr>
              <w:t>Minimum salary</w:t>
            </w:r>
            <w:r w:rsidRPr="002869C9">
              <w:rPr>
                <w:b/>
                <w:vertAlign w:val="superscript"/>
              </w:rPr>
              <w:t>(a)</w:t>
            </w:r>
          </w:p>
          <w:p w:rsidR="00260042" w:rsidRPr="002869C9" w:rsidRDefault="00260042" w:rsidP="002869C9">
            <w:pPr>
              <w:pStyle w:val="BodyText"/>
              <w:jc w:val="right"/>
              <w:rPr>
                <w:b/>
              </w:rPr>
            </w:pPr>
            <w:r w:rsidRPr="002869C9">
              <w:rPr>
                <w:b/>
              </w:rPr>
              <w:t>$</w:t>
            </w:r>
          </w:p>
        </w:tc>
        <w:tc>
          <w:tcPr>
            <w:tcW w:w="912" w:type="pct"/>
          </w:tcPr>
          <w:p w:rsidR="00260042" w:rsidRPr="002869C9" w:rsidRDefault="00260042" w:rsidP="002869C9">
            <w:pPr>
              <w:pStyle w:val="BodyText"/>
              <w:jc w:val="right"/>
              <w:rPr>
                <w:b/>
                <w:vertAlign w:val="superscript"/>
              </w:rPr>
            </w:pPr>
            <w:r w:rsidRPr="002869C9">
              <w:rPr>
                <w:b/>
              </w:rPr>
              <w:t>Maximum salary</w:t>
            </w:r>
            <w:r w:rsidRPr="002869C9">
              <w:rPr>
                <w:b/>
                <w:vertAlign w:val="superscript"/>
              </w:rPr>
              <w:t>(a)</w:t>
            </w:r>
          </w:p>
          <w:p w:rsidR="00260042" w:rsidRPr="002869C9" w:rsidRDefault="00260042" w:rsidP="002869C9">
            <w:pPr>
              <w:pStyle w:val="BodyText"/>
              <w:jc w:val="right"/>
              <w:rPr>
                <w:b/>
              </w:rPr>
            </w:pPr>
            <w:r w:rsidRPr="002869C9">
              <w:rPr>
                <w:b/>
              </w:rPr>
              <w:t>$</w:t>
            </w:r>
          </w:p>
        </w:tc>
      </w:tr>
      <w:tr w:rsidR="00260042" w:rsidTr="002869C9">
        <w:trPr>
          <w:trHeight w:val="60"/>
        </w:trPr>
        <w:tc>
          <w:tcPr>
            <w:tcW w:w="3082" w:type="pct"/>
          </w:tcPr>
          <w:p w:rsidR="00260042" w:rsidRDefault="00260042" w:rsidP="002869C9">
            <w:pPr>
              <w:pStyle w:val="BodyText"/>
            </w:pPr>
            <w:r>
              <w:t xml:space="preserve">SES 3 </w:t>
            </w:r>
          </w:p>
        </w:tc>
        <w:tc>
          <w:tcPr>
            <w:tcW w:w="1006" w:type="pct"/>
          </w:tcPr>
          <w:p w:rsidR="00260042" w:rsidRDefault="00260042" w:rsidP="002869C9">
            <w:pPr>
              <w:pStyle w:val="BodyText"/>
              <w:jc w:val="right"/>
            </w:pPr>
            <w:r>
              <w:t>315,300</w:t>
            </w:r>
          </w:p>
        </w:tc>
        <w:tc>
          <w:tcPr>
            <w:tcW w:w="912" w:type="pct"/>
          </w:tcPr>
          <w:p w:rsidR="00260042" w:rsidRDefault="00260042" w:rsidP="002869C9">
            <w:pPr>
              <w:pStyle w:val="BodyText"/>
              <w:jc w:val="right"/>
            </w:pPr>
            <w:r>
              <w:t>374,600</w:t>
            </w:r>
          </w:p>
        </w:tc>
      </w:tr>
      <w:tr w:rsidR="00260042" w:rsidTr="002869C9">
        <w:trPr>
          <w:trHeight w:val="60"/>
        </w:trPr>
        <w:tc>
          <w:tcPr>
            <w:tcW w:w="3082" w:type="pct"/>
          </w:tcPr>
          <w:p w:rsidR="00260042" w:rsidRDefault="00260042" w:rsidP="002869C9">
            <w:pPr>
              <w:pStyle w:val="BodyText"/>
            </w:pPr>
            <w:r>
              <w:t xml:space="preserve">SES 2 </w:t>
            </w:r>
          </w:p>
        </w:tc>
        <w:tc>
          <w:tcPr>
            <w:tcW w:w="1006" w:type="pct"/>
          </w:tcPr>
          <w:p w:rsidR="00260042" w:rsidRDefault="00260042" w:rsidP="002869C9">
            <w:pPr>
              <w:pStyle w:val="BodyText"/>
              <w:jc w:val="right"/>
            </w:pPr>
            <w:r>
              <w:t>223,700</w:t>
            </w:r>
          </w:p>
        </w:tc>
        <w:tc>
          <w:tcPr>
            <w:tcW w:w="912" w:type="pct"/>
          </w:tcPr>
          <w:p w:rsidR="00260042" w:rsidRDefault="00260042" w:rsidP="002869C9">
            <w:pPr>
              <w:pStyle w:val="BodyText"/>
              <w:jc w:val="right"/>
            </w:pPr>
            <w:r>
              <w:t>275,800</w:t>
            </w:r>
          </w:p>
        </w:tc>
      </w:tr>
      <w:tr w:rsidR="00260042" w:rsidTr="002869C9">
        <w:trPr>
          <w:trHeight w:val="60"/>
        </w:trPr>
        <w:tc>
          <w:tcPr>
            <w:tcW w:w="3082" w:type="pct"/>
          </w:tcPr>
          <w:p w:rsidR="00260042" w:rsidRDefault="00260042" w:rsidP="002869C9">
            <w:pPr>
              <w:pStyle w:val="BodyText"/>
            </w:pPr>
            <w:r>
              <w:t>SES 1</w:t>
            </w:r>
          </w:p>
        </w:tc>
        <w:tc>
          <w:tcPr>
            <w:tcW w:w="1006" w:type="pct"/>
          </w:tcPr>
          <w:p w:rsidR="00260042" w:rsidRDefault="00260042" w:rsidP="002869C9">
            <w:pPr>
              <w:pStyle w:val="BodyText"/>
              <w:jc w:val="right"/>
            </w:pPr>
            <w:r>
              <w:t>167,600</w:t>
            </w:r>
          </w:p>
        </w:tc>
        <w:tc>
          <w:tcPr>
            <w:tcW w:w="912" w:type="pct"/>
          </w:tcPr>
          <w:p w:rsidR="00260042" w:rsidRDefault="00260042" w:rsidP="002869C9">
            <w:pPr>
              <w:pStyle w:val="BodyText"/>
              <w:jc w:val="right"/>
            </w:pPr>
            <w:r>
              <w:t>216,000</w:t>
            </w:r>
          </w:p>
        </w:tc>
      </w:tr>
      <w:tr w:rsidR="00260042" w:rsidTr="002869C9">
        <w:trPr>
          <w:trHeight w:val="60"/>
        </w:trPr>
        <w:tc>
          <w:tcPr>
            <w:tcW w:w="3082" w:type="pct"/>
          </w:tcPr>
          <w:p w:rsidR="00260042" w:rsidRDefault="00260042" w:rsidP="002869C9">
            <w:pPr>
              <w:pStyle w:val="BodyText"/>
            </w:pPr>
            <w:r>
              <w:t>EL 2</w:t>
            </w:r>
          </w:p>
        </w:tc>
        <w:tc>
          <w:tcPr>
            <w:tcW w:w="1006" w:type="pct"/>
          </w:tcPr>
          <w:p w:rsidR="00260042" w:rsidRDefault="00260042" w:rsidP="002869C9">
            <w:pPr>
              <w:pStyle w:val="BodyText"/>
              <w:jc w:val="right"/>
            </w:pPr>
            <w:r>
              <w:t>120,874</w:t>
            </w:r>
          </w:p>
        </w:tc>
        <w:tc>
          <w:tcPr>
            <w:tcW w:w="912" w:type="pct"/>
          </w:tcPr>
          <w:p w:rsidR="00260042" w:rsidRDefault="00260042" w:rsidP="002869C9">
            <w:pPr>
              <w:pStyle w:val="BodyText"/>
              <w:jc w:val="right"/>
            </w:pPr>
            <w:r>
              <w:t>143,745</w:t>
            </w:r>
          </w:p>
        </w:tc>
      </w:tr>
      <w:tr w:rsidR="00260042" w:rsidTr="002869C9">
        <w:trPr>
          <w:trHeight w:val="60"/>
        </w:trPr>
        <w:tc>
          <w:tcPr>
            <w:tcW w:w="3082" w:type="pct"/>
          </w:tcPr>
          <w:p w:rsidR="00260042" w:rsidRDefault="00260042" w:rsidP="002869C9">
            <w:pPr>
              <w:pStyle w:val="BodyText"/>
            </w:pPr>
            <w:r>
              <w:t>EL 1</w:t>
            </w:r>
          </w:p>
        </w:tc>
        <w:tc>
          <w:tcPr>
            <w:tcW w:w="1006" w:type="pct"/>
          </w:tcPr>
          <w:p w:rsidR="00260042" w:rsidRDefault="00260042" w:rsidP="002869C9">
            <w:pPr>
              <w:pStyle w:val="BodyText"/>
              <w:jc w:val="right"/>
            </w:pPr>
            <w:r>
              <w:t>104,451</w:t>
            </w:r>
          </w:p>
        </w:tc>
        <w:tc>
          <w:tcPr>
            <w:tcW w:w="912" w:type="pct"/>
          </w:tcPr>
          <w:p w:rsidR="00260042" w:rsidRDefault="00260042" w:rsidP="002869C9">
            <w:pPr>
              <w:pStyle w:val="BodyText"/>
              <w:jc w:val="right"/>
            </w:pPr>
            <w:r>
              <w:t>115,741</w:t>
            </w:r>
          </w:p>
        </w:tc>
      </w:tr>
      <w:tr w:rsidR="00260042" w:rsidTr="002869C9">
        <w:trPr>
          <w:trHeight w:val="60"/>
        </w:trPr>
        <w:tc>
          <w:tcPr>
            <w:tcW w:w="3082" w:type="pct"/>
          </w:tcPr>
          <w:p w:rsidR="00260042" w:rsidRDefault="00260042" w:rsidP="002869C9">
            <w:pPr>
              <w:pStyle w:val="BodyText"/>
            </w:pPr>
            <w:r>
              <w:t>APS 6</w:t>
            </w:r>
          </w:p>
        </w:tc>
        <w:tc>
          <w:tcPr>
            <w:tcW w:w="1006" w:type="pct"/>
          </w:tcPr>
          <w:p w:rsidR="00260042" w:rsidRDefault="00260042" w:rsidP="002869C9">
            <w:pPr>
              <w:pStyle w:val="BodyText"/>
              <w:jc w:val="right"/>
            </w:pPr>
            <w:r>
              <w:t>83,508</w:t>
            </w:r>
          </w:p>
        </w:tc>
        <w:tc>
          <w:tcPr>
            <w:tcW w:w="912" w:type="pct"/>
          </w:tcPr>
          <w:p w:rsidR="00260042" w:rsidRDefault="00260042" w:rsidP="002869C9">
            <w:pPr>
              <w:pStyle w:val="BodyText"/>
              <w:jc w:val="right"/>
            </w:pPr>
            <w:r>
              <w:t>96,564</w:t>
            </w:r>
          </w:p>
        </w:tc>
      </w:tr>
      <w:tr w:rsidR="00260042" w:rsidTr="002869C9">
        <w:trPr>
          <w:trHeight w:val="60"/>
        </w:trPr>
        <w:tc>
          <w:tcPr>
            <w:tcW w:w="3082" w:type="pct"/>
          </w:tcPr>
          <w:p w:rsidR="00260042" w:rsidRDefault="00260042" w:rsidP="002869C9">
            <w:pPr>
              <w:pStyle w:val="BodyText"/>
            </w:pPr>
            <w:r>
              <w:t>APS 5</w:t>
            </w:r>
          </w:p>
        </w:tc>
        <w:tc>
          <w:tcPr>
            <w:tcW w:w="1006" w:type="pct"/>
          </w:tcPr>
          <w:p w:rsidR="00260042" w:rsidRDefault="00260042" w:rsidP="002869C9">
            <w:pPr>
              <w:pStyle w:val="BodyText"/>
              <w:jc w:val="right"/>
            </w:pPr>
            <w:r>
              <w:t>75,439</w:t>
            </w:r>
          </w:p>
        </w:tc>
        <w:tc>
          <w:tcPr>
            <w:tcW w:w="912" w:type="pct"/>
          </w:tcPr>
          <w:p w:rsidR="00260042" w:rsidRDefault="00260042" w:rsidP="002869C9">
            <w:pPr>
              <w:pStyle w:val="BodyText"/>
              <w:jc w:val="right"/>
            </w:pPr>
            <w:r>
              <w:t>81,403</w:t>
            </w:r>
          </w:p>
        </w:tc>
      </w:tr>
      <w:tr w:rsidR="00260042" w:rsidTr="002869C9">
        <w:trPr>
          <w:trHeight w:val="60"/>
        </w:trPr>
        <w:tc>
          <w:tcPr>
            <w:tcW w:w="3082" w:type="pct"/>
          </w:tcPr>
          <w:p w:rsidR="00260042" w:rsidRDefault="00260042" w:rsidP="002869C9">
            <w:pPr>
              <w:pStyle w:val="BodyText"/>
            </w:pPr>
            <w:r>
              <w:lastRenderedPageBreak/>
              <w:t>APS 4</w:t>
            </w:r>
          </w:p>
        </w:tc>
        <w:tc>
          <w:tcPr>
            <w:tcW w:w="1006" w:type="pct"/>
          </w:tcPr>
          <w:p w:rsidR="00260042" w:rsidRDefault="00260042" w:rsidP="002869C9">
            <w:pPr>
              <w:pStyle w:val="BodyText"/>
              <w:jc w:val="right"/>
            </w:pPr>
            <w:r>
              <w:t>67,640</w:t>
            </w:r>
          </w:p>
        </w:tc>
        <w:tc>
          <w:tcPr>
            <w:tcW w:w="912" w:type="pct"/>
          </w:tcPr>
          <w:p w:rsidR="00260042" w:rsidRDefault="00260042" w:rsidP="002869C9">
            <w:pPr>
              <w:pStyle w:val="BodyText"/>
              <w:jc w:val="right"/>
            </w:pPr>
            <w:r>
              <w:t>74,942</w:t>
            </w:r>
          </w:p>
        </w:tc>
      </w:tr>
      <w:tr w:rsidR="00260042" w:rsidTr="002869C9">
        <w:trPr>
          <w:trHeight w:val="60"/>
        </w:trPr>
        <w:tc>
          <w:tcPr>
            <w:tcW w:w="3082" w:type="pct"/>
          </w:tcPr>
          <w:p w:rsidR="00260042" w:rsidRDefault="00260042" w:rsidP="002869C9">
            <w:pPr>
              <w:pStyle w:val="BodyText"/>
            </w:pPr>
            <w:r>
              <w:t>APS 3</w:t>
            </w:r>
          </w:p>
        </w:tc>
        <w:tc>
          <w:tcPr>
            <w:tcW w:w="1006" w:type="pct"/>
          </w:tcPr>
          <w:p w:rsidR="00260042" w:rsidRDefault="00260042" w:rsidP="002869C9">
            <w:pPr>
              <w:pStyle w:val="BodyText"/>
              <w:jc w:val="right"/>
            </w:pPr>
            <w:r>
              <w:t>60,688</w:t>
            </w:r>
          </w:p>
        </w:tc>
        <w:tc>
          <w:tcPr>
            <w:tcW w:w="912" w:type="pct"/>
          </w:tcPr>
          <w:p w:rsidR="00260042" w:rsidRDefault="00260042" w:rsidP="002869C9">
            <w:pPr>
              <w:pStyle w:val="BodyText"/>
              <w:jc w:val="right"/>
            </w:pPr>
            <w:r>
              <w:t>67,639</w:t>
            </w:r>
          </w:p>
        </w:tc>
      </w:tr>
      <w:tr w:rsidR="00260042" w:rsidTr="002869C9">
        <w:trPr>
          <w:trHeight w:val="60"/>
        </w:trPr>
        <w:tc>
          <w:tcPr>
            <w:tcW w:w="3082" w:type="pct"/>
          </w:tcPr>
          <w:p w:rsidR="00260042" w:rsidRDefault="00260042" w:rsidP="002869C9">
            <w:pPr>
              <w:pStyle w:val="BodyText"/>
            </w:pPr>
            <w:r>
              <w:t>APS 2</w:t>
            </w:r>
          </w:p>
        </w:tc>
        <w:tc>
          <w:tcPr>
            <w:tcW w:w="1006" w:type="pct"/>
          </w:tcPr>
          <w:p w:rsidR="00260042" w:rsidRDefault="00260042" w:rsidP="002869C9">
            <w:pPr>
              <w:pStyle w:val="BodyText"/>
              <w:jc w:val="right"/>
            </w:pPr>
            <w:r>
              <w:t>54,746</w:t>
            </w:r>
          </w:p>
        </w:tc>
        <w:tc>
          <w:tcPr>
            <w:tcW w:w="912" w:type="pct"/>
          </w:tcPr>
          <w:p w:rsidR="00260042" w:rsidRDefault="00260042" w:rsidP="002869C9">
            <w:pPr>
              <w:pStyle w:val="BodyText"/>
              <w:jc w:val="right"/>
            </w:pPr>
            <w:r>
              <w:t>59,084</w:t>
            </w:r>
          </w:p>
        </w:tc>
      </w:tr>
      <w:tr w:rsidR="00260042" w:rsidTr="002869C9">
        <w:trPr>
          <w:trHeight w:val="60"/>
        </w:trPr>
        <w:tc>
          <w:tcPr>
            <w:tcW w:w="3082" w:type="pct"/>
          </w:tcPr>
          <w:p w:rsidR="00260042" w:rsidRDefault="00260042" w:rsidP="002869C9">
            <w:pPr>
              <w:pStyle w:val="BodyText"/>
            </w:pPr>
            <w:r>
              <w:t>APS 1</w:t>
            </w:r>
          </w:p>
        </w:tc>
        <w:tc>
          <w:tcPr>
            <w:tcW w:w="1006" w:type="pct"/>
          </w:tcPr>
          <w:p w:rsidR="00260042" w:rsidRDefault="00260042" w:rsidP="002869C9">
            <w:pPr>
              <w:pStyle w:val="BodyText"/>
              <w:jc w:val="right"/>
            </w:pPr>
            <w:r>
              <w:t>48,991</w:t>
            </w:r>
          </w:p>
        </w:tc>
        <w:tc>
          <w:tcPr>
            <w:tcW w:w="912" w:type="pct"/>
          </w:tcPr>
          <w:p w:rsidR="00260042" w:rsidRDefault="00260042" w:rsidP="002869C9">
            <w:pPr>
              <w:pStyle w:val="BodyText"/>
              <w:jc w:val="right"/>
            </w:pPr>
            <w:r>
              <w:t>52,529</w:t>
            </w:r>
          </w:p>
        </w:tc>
      </w:tr>
      <w:tr w:rsidR="00260042" w:rsidTr="002869C9">
        <w:trPr>
          <w:trHeight w:val="60"/>
        </w:trPr>
        <w:tc>
          <w:tcPr>
            <w:tcW w:w="3082" w:type="pct"/>
          </w:tcPr>
          <w:p w:rsidR="00260042" w:rsidRDefault="00260042" w:rsidP="002869C9">
            <w:pPr>
              <w:pStyle w:val="BodyText"/>
            </w:pPr>
            <w:r>
              <w:t>Medical Officer Class 4</w:t>
            </w:r>
          </w:p>
        </w:tc>
        <w:tc>
          <w:tcPr>
            <w:tcW w:w="1006" w:type="pct"/>
          </w:tcPr>
          <w:p w:rsidR="00260042" w:rsidRDefault="00260042" w:rsidP="002869C9">
            <w:pPr>
              <w:pStyle w:val="BodyText"/>
              <w:jc w:val="right"/>
            </w:pPr>
            <w:r>
              <w:t>173,511</w:t>
            </w:r>
          </w:p>
        </w:tc>
        <w:tc>
          <w:tcPr>
            <w:tcW w:w="912" w:type="pct"/>
          </w:tcPr>
          <w:p w:rsidR="00260042" w:rsidRDefault="00260042" w:rsidP="002869C9">
            <w:pPr>
              <w:pStyle w:val="BodyText"/>
              <w:jc w:val="right"/>
            </w:pPr>
            <w:r>
              <w:t>184,897</w:t>
            </w:r>
          </w:p>
        </w:tc>
      </w:tr>
      <w:tr w:rsidR="00260042" w:rsidTr="002869C9">
        <w:trPr>
          <w:trHeight w:val="60"/>
        </w:trPr>
        <w:tc>
          <w:tcPr>
            <w:tcW w:w="3082" w:type="pct"/>
          </w:tcPr>
          <w:p w:rsidR="00260042" w:rsidRDefault="00260042" w:rsidP="002869C9">
            <w:pPr>
              <w:pStyle w:val="BodyText"/>
            </w:pPr>
            <w:r>
              <w:t>Medical Officer Class 3</w:t>
            </w:r>
          </w:p>
        </w:tc>
        <w:tc>
          <w:tcPr>
            <w:tcW w:w="1006" w:type="pct"/>
          </w:tcPr>
          <w:p w:rsidR="00260042" w:rsidRDefault="00260042" w:rsidP="002869C9">
            <w:pPr>
              <w:pStyle w:val="BodyText"/>
              <w:jc w:val="right"/>
            </w:pPr>
            <w:r>
              <w:t>159,664</w:t>
            </w:r>
          </w:p>
        </w:tc>
        <w:tc>
          <w:tcPr>
            <w:tcW w:w="912" w:type="pct"/>
          </w:tcPr>
          <w:p w:rsidR="00260042" w:rsidRDefault="00260042" w:rsidP="002869C9">
            <w:pPr>
              <w:pStyle w:val="BodyText"/>
              <w:jc w:val="right"/>
            </w:pPr>
            <w:r>
              <w:t>166,848</w:t>
            </w:r>
          </w:p>
        </w:tc>
      </w:tr>
      <w:tr w:rsidR="00260042" w:rsidTr="002869C9">
        <w:trPr>
          <w:trHeight w:val="60"/>
        </w:trPr>
        <w:tc>
          <w:tcPr>
            <w:tcW w:w="3082" w:type="pct"/>
          </w:tcPr>
          <w:p w:rsidR="00260042" w:rsidRDefault="00260042" w:rsidP="002869C9">
            <w:pPr>
              <w:pStyle w:val="BodyText"/>
            </w:pPr>
            <w:r>
              <w:t>Medical Officer Class 2</w:t>
            </w:r>
          </w:p>
        </w:tc>
        <w:tc>
          <w:tcPr>
            <w:tcW w:w="1006" w:type="pct"/>
          </w:tcPr>
          <w:p w:rsidR="00260042" w:rsidRDefault="00260042" w:rsidP="002869C9">
            <w:pPr>
              <w:pStyle w:val="BodyText"/>
              <w:jc w:val="right"/>
            </w:pPr>
            <w:r>
              <w:t>126,079</w:t>
            </w:r>
          </w:p>
        </w:tc>
        <w:tc>
          <w:tcPr>
            <w:tcW w:w="912" w:type="pct"/>
          </w:tcPr>
          <w:p w:rsidR="00260042" w:rsidRDefault="00260042" w:rsidP="002869C9">
            <w:pPr>
              <w:pStyle w:val="BodyText"/>
              <w:jc w:val="right"/>
            </w:pPr>
            <w:r>
              <w:t>149,918</w:t>
            </w:r>
          </w:p>
        </w:tc>
      </w:tr>
      <w:tr w:rsidR="00260042" w:rsidTr="002869C9">
        <w:trPr>
          <w:trHeight w:val="60"/>
        </w:trPr>
        <w:tc>
          <w:tcPr>
            <w:tcW w:w="3082" w:type="pct"/>
          </w:tcPr>
          <w:p w:rsidR="00260042" w:rsidRDefault="00260042" w:rsidP="002869C9">
            <w:pPr>
              <w:pStyle w:val="BodyText"/>
            </w:pPr>
            <w:r>
              <w:t>Deputy General Counsel—EL 2 (Legal Job Stream)</w:t>
            </w:r>
          </w:p>
        </w:tc>
        <w:tc>
          <w:tcPr>
            <w:tcW w:w="1006" w:type="pct"/>
          </w:tcPr>
          <w:p w:rsidR="00260042" w:rsidRDefault="00260042" w:rsidP="002869C9">
            <w:pPr>
              <w:pStyle w:val="BodyText"/>
              <w:jc w:val="right"/>
            </w:pPr>
            <w:r>
              <w:t>152,653</w:t>
            </w:r>
          </w:p>
        </w:tc>
        <w:tc>
          <w:tcPr>
            <w:tcW w:w="912" w:type="pct"/>
          </w:tcPr>
          <w:p w:rsidR="00260042" w:rsidRDefault="00260042" w:rsidP="002869C9">
            <w:pPr>
              <w:pStyle w:val="BodyText"/>
              <w:jc w:val="right"/>
            </w:pPr>
          </w:p>
        </w:tc>
      </w:tr>
      <w:tr w:rsidR="00260042" w:rsidTr="002869C9">
        <w:trPr>
          <w:trHeight w:val="60"/>
        </w:trPr>
        <w:tc>
          <w:tcPr>
            <w:tcW w:w="3082" w:type="pct"/>
          </w:tcPr>
          <w:p w:rsidR="00260042" w:rsidRDefault="00260042" w:rsidP="002869C9">
            <w:pPr>
              <w:pStyle w:val="BodyText"/>
            </w:pPr>
            <w:r>
              <w:t>Senior Rehabilitation Consultant—APS 6 (Professional Job Stream)</w:t>
            </w:r>
          </w:p>
        </w:tc>
        <w:tc>
          <w:tcPr>
            <w:tcW w:w="1006" w:type="pct"/>
          </w:tcPr>
          <w:p w:rsidR="00260042" w:rsidRDefault="00260042" w:rsidP="002869C9">
            <w:pPr>
              <w:pStyle w:val="BodyText"/>
              <w:jc w:val="right"/>
            </w:pPr>
            <w:r>
              <w:t>101,759</w:t>
            </w:r>
          </w:p>
        </w:tc>
        <w:tc>
          <w:tcPr>
            <w:tcW w:w="912" w:type="pct"/>
          </w:tcPr>
          <w:p w:rsidR="00260042" w:rsidRDefault="00260042" w:rsidP="002869C9">
            <w:pPr>
              <w:pStyle w:val="BodyText"/>
              <w:jc w:val="right"/>
            </w:pPr>
          </w:p>
        </w:tc>
      </w:tr>
      <w:tr w:rsidR="00260042" w:rsidTr="002869C9">
        <w:trPr>
          <w:trHeight w:val="60"/>
        </w:trPr>
        <w:tc>
          <w:tcPr>
            <w:tcW w:w="3082" w:type="pct"/>
          </w:tcPr>
          <w:p w:rsidR="00260042" w:rsidRDefault="00260042" w:rsidP="002869C9">
            <w:pPr>
              <w:pStyle w:val="BodyText"/>
            </w:pPr>
            <w:r>
              <w:t>Rehabilitation Consultant 2+—APS 6 (Professional Job Stream)</w:t>
            </w:r>
          </w:p>
        </w:tc>
        <w:tc>
          <w:tcPr>
            <w:tcW w:w="1006" w:type="pct"/>
          </w:tcPr>
          <w:p w:rsidR="00260042" w:rsidRDefault="00260042" w:rsidP="002869C9">
            <w:pPr>
              <w:pStyle w:val="BodyText"/>
              <w:jc w:val="right"/>
            </w:pPr>
            <w:r>
              <w:t>96,883</w:t>
            </w:r>
          </w:p>
        </w:tc>
        <w:tc>
          <w:tcPr>
            <w:tcW w:w="912" w:type="pct"/>
          </w:tcPr>
          <w:p w:rsidR="00260042" w:rsidRDefault="00260042" w:rsidP="002869C9">
            <w:pPr>
              <w:pStyle w:val="BodyText"/>
              <w:jc w:val="right"/>
            </w:pPr>
          </w:p>
        </w:tc>
      </w:tr>
      <w:tr w:rsidR="00260042" w:rsidTr="002869C9">
        <w:trPr>
          <w:trHeight w:val="60"/>
        </w:trPr>
        <w:tc>
          <w:tcPr>
            <w:tcW w:w="3082" w:type="pct"/>
          </w:tcPr>
          <w:p w:rsidR="00260042" w:rsidRDefault="00260042" w:rsidP="002869C9">
            <w:pPr>
              <w:pStyle w:val="BodyText"/>
            </w:pPr>
            <w:r>
              <w:t>Graduate APS</w:t>
            </w:r>
          </w:p>
        </w:tc>
        <w:tc>
          <w:tcPr>
            <w:tcW w:w="1006" w:type="pct"/>
          </w:tcPr>
          <w:p w:rsidR="00260042" w:rsidRDefault="00260042" w:rsidP="002869C9">
            <w:pPr>
              <w:pStyle w:val="BodyText"/>
              <w:jc w:val="right"/>
            </w:pPr>
            <w:r>
              <w:t>60,688</w:t>
            </w:r>
          </w:p>
        </w:tc>
        <w:tc>
          <w:tcPr>
            <w:tcW w:w="912" w:type="pct"/>
          </w:tcPr>
          <w:p w:rsidR="00260042" w:rsidRDefault="00260042" w:rsidP="002869C9">
            <w:pPr>
              <w:pStyle w:val="BodyText"/>
              <w:jc w:val="right"/>
            </w:pPr>
            <w:r>
              <w:t>67,640</w:t>
            </w:r>
          </w:p>
        </w:tc>
      </w:tr>
      <w:tr w:rsidR="00260042" w:rsidTr="002869C9">
        <w:trPr>
          <w:trHeight w:val="60"/>
        </w:trPr>
        <w:tc>
          <w:tcPr>
            <w:tcW w:w="3082" w:type="pct"/>
          </w:tcPr>
          <w:p w:rsidR="00260042" w:rsidRDefault="00260042" w:rsidP="002869C9">
            <w:pPr>
              <w:pStyle w:val="BodyText"/>
            </w:pPr>
            <w:r>
              <w:t>Cadet ICT (Technical Trainee)</w:t>
            </w:r>
          </w:p>
        </w:tc>
        <w:tc>
          <w:tcPr>
            <w:tcW w:w="1006" w:type="pct"/>
          </w:tcPr>
          <w:p w:rsidR="00260042" w:rsidRDefault="00260042" w:rsidP="002869C9">
            <w:pPr>
              <w:pStyle w:val="BodyText"/>
              <w:jc w:val="right"/>
            </w:pPr>
            <w:r>
              <w:t>54,746</w:t>
            </w:r>
          </w:p>
        </w:tc>
        <w:tc>
          <w:tcPr>
            <w:tcW w:w="912" w:type="pct"/>
          </w:tcPr>
          <w:p w:rsidR="00260042" w:rsidRDefault="00260042" w:rsidP="002869C9">
            <w:pPr>
              <w:pStyle w:val="BodyText"/>
              <w:jc w:val="right"/>
            </w:pPr>
            <w:r>
              <w:t>67,640</w:t>
            </w:r>
          </w:p>
        </w:tc>
      </w:tr>
      <w:tr w:rsidR="00260042" w:rsidTr="002869C9">
        <w:trPr>
          <w:trHeight w:val="60"/>
        </w:trPr>
        <w:tc>
          <w:tcPr>
            <w:tcW w:w="3082" w:type="pct"/>
          </w:tcPr>
          <w:p w:rsidR="00260042" w:rsidRDefault="00260042" w:rsidP="002869C9">
            <w:pPr>
              <w:pStyle w:val="BodyText"/>
            </w:pPr>
            <w:r>
              <w:t>APS Trainee (Apprentice)</w:t>
            </w:r>
          </w:p>
        </w:tc>
        <w:tc>
          <w:tcPr>
            <w:tcW w:w="1006" w:type="pct"/>
          </w:tcPr>
          <w:p w:rsidR="00260042" w:rsidRDefault="00260042" w:rsidP="002869C9">
            <w:pPr>
              <w:pStyle w:val="BodyText"/>
              <w:jc w:val="right"/>
            </w:pPr>
            <w:r>
              <w:t>54,746</w:t>
            </w:r>
          </w:p>
        </w:tc>
        <w:tc>
          <w:tcPr>
            <w:tcW w:w="912" w:type="pct"/>
          </w:tcPr>
          <w:p w:rsidR="00260042" w:rsidRDefault="00260042" w:rsidP="002869C9">
            <w:pPr>
              <w:pStyle w:val="BodyText"/>
              <w:jc w:val="right"/>
            </w:pPr>
            <w:r>
              <w:t>67,640</w:t>
            </w:r>
          </w:p>
        </w:tc>
      </w:tr>
      <w:tr w:rsidR="00260042" w:rsidTr="002869C9">
        <w:trPr>
          <w:trHeight w:val="60"/>
        </w:trPr>
        <w:tc>
          <w:tcPr>
            <w:tcW w:w="3082" w:type="pct"/>
          </w:tcPr>
          <w:p w:rsidR="00260042" w:rsidRDefault="00260042" w:rsidP="002869C9">
            <w:pPr>
              <w:pStyle w:val="BodyText"/>
            </w:pPr>
            <w:r>
              <w:t>APS Trainee (ICT Apprentice)</w:t>
            </w:r>
          </w:p>
        </w:tc>
        <w:tc>
          <w:tcPr>
            <w:tcW w:w="1006" w:type="pct"/>
          </w:tcPr>
          <w:p w:rsidR="00260042" w:rsidRDefault="00260042" w:rsidP="002869C9">
            <w:pPr>
              <w:pStyle w:val="BodyText"/>
              <w:jc w:val="right"/>
            </w:pPr>
            <w:r>
              <w:t>45,991</w:t>
            </w:r>
          </w:p>
        </w:tc>
        <w:tc>
          <w:tcPr>
            <w:tcW w:w="912" w:type="pct"/>
          </w:tcPr>
          <w:p w:rsidR="00260042" w:rsidRDefault="00260042" w:rsidP="002869C9">
            <w:pPr>
              <w:pStyle w:val="BodyText"/>
              <w:jc w:val="right"/>
            </w:pPr>
            <w:r>
              <w:t>58,353</w:t>
            </w:r>
          </w:p>
        </w:tc>
      </w:tr>
      <w:tr w:rsidR="00260042" w:rsidTr="002869C9">
        <w:trPr>
          <w:trHeight w:val="60"/>
        </w:trPr>
        <w:tc>
          <w:tcPr>
            <w:tcW w:w="3082" w:type="pct"/>
          </w:tcPr>
          <w:p w:rsidR="00260042" w:rsidRDefault="00260042" w:rsidP="002869C9">
            <w:pPr>
              <w:pStyle w:val="BodyText"/>
            </w:pPr>
            <w:r>
              <w:t>Cadet APS</w:t>
            </w:r>
          </w:p>
        </w:tc>
        <w:tc>
          <w:tcPr>
            <w:tcW w:w="1006" w:type="pct"/>
          </w:tcPr>
          <w:p w:rsidR="00260042" w:rsidRDefault="00260042" w:rsidP="002869C9">
            <w:pPr>
              <w:pStyle w:val="BodyText"/>
              <w:jc w:val="right"/>
            </w:pPr>
            <w:r>
              <w:t>27,926</w:t>
            </w:r>
          </w:p>
        </w:tc>
        <w:tc>
          <w:tcPr>
            <w:tcW w:w="912" w:type="pct"/>
          </w:tcPr>
          <w:p w:rsidR="00260042" w:rsidRDefault="00260042" w:rsidP="002869C9">
            <w:pPr>
              <w:pStyle w:val="BodyText"/>
              <w:jc w:val="right"/>
            </w:pPr>
            <w:r>
              <w:t>60,688</w:t>
            </w:r>
          </w:p>
        </w:tc>
      </w:tr>
      <w:tr w:rsidR="00260042" w:rsidTr="002869C9">
        <w:trPr>
          <w:trHeight w:val="60"/>
        </w:trPr>
        <w:tc>
          <w:tcPr>
            <w:tcW w:w="3082" w:type="pct"/>
          </w:tcPr>
          <w:p w:rsidR="00260042" w:rsidRDefault="00260042" w:rsidP="002869C9">
            <w:pPr>
              <w:pStyle w:val="BodyText"/>
            </w:pPr>
            <w:r>
              <w:t>APS Trainee (School-based pathway) Year 12</w:t>
            </w:r>
          </w:p>
        </w:tc>
        <w:tc>
          <w:tcPr>
            <w:tcW w:w="1006" w:type="pct"/>
          </w:tcPr>
          <w:p w:rsidR="00260042" w:rsidRDefault="00260042" w:rsidP="002869C9">
            <w:pPr>
              <w:pStyle w:val="BodyText"/>
              <w:jc w:val="right"/>
            </w:pPr>
            <w:r>
              <w:t>24,497</w:t>
            </w:r>
          </w:p>
        </w:tc>
        <w:tc>
          <w:tcPr>
            <w:tcW w:w="912" w:type="pct"/>
          </w:tcPr>
          <w:p w:rsidR="00260042" w:rsidRDefault="00260042" w:rsidP="002869C9">
            <w:pPr>
              <w:pStyle w:val="BodyText"/>
              <w:jc w:val="right"/>
            </w:pPr>
          </w:p>
        </w:tc>
      </w:tr>
      <w:tr w:rsidR="00260042" w:rsidTr="002869C9">
        <w:trPr>
          <w:trHeight w:val="60"/>
        </w:trPr>
        <w:tc>
          <w:tcPr>
            <w:tcW w:w="3082" w:type="pct"/>
          </w:tcPr>
          <w:p w:rsidR="00260042" w:rsidRDefault="00260042" w:rsidP="002869C9">
            <w:pPr>
              <w:pStyle w:val="BodyText"/>
            </w:pPr>
            <w:r>
              <w:t>APS Trainee (School-based pathway) Year 11</w:t>
            </w:r>
          </w:p>
        </w:tc>
        <w:tc>
          <w:tcPr>
            <w:tcW w:w="1006" w:type="pct"/>
          </w:tcPr>
          <w:p w:rsidR="00260042" w:rsidRDefault="00260042" w:rsidP="002869C9">
            <w:pPr>
              <w:pStyle w:val="BodyText"/>
              <w:jc w:val="right"/>
            </w:pPr>
            <w:r>
              <w:t>22,223</w:t>
            </w:r>
          </w:p>
        </w:tc>
        <w:tc>
          <w:tcPr>
            <w:tcW w:w="912" w:type="pct"/>
          </w:tcPr>
          <w:p w:rsidR="00260042" w:rsidRDefault="00260042" w:rsidP="002869C9">
            <w:pPr>
              <w:pStyle w:val="BodyText"/>
              <w:jc w:val="right"/>
            </w:pPr>
          </w:p>
        </w:tc>
      </w:tr>
      <w:tr w:rsidR="00260042" w:rsidTr="002869C9">
        <w:trPr>
          <w:trHeight w:val="60"/>
        </w:trPr>
        <w:tc>
          <w:tcPr>
            <w:tcW w:w="3082" w:type="pct"/>
          </w:tcPr>
          <w:p w:rsidR="00260042" w:rsidRDefault="00260042" w:rsidP="002869C9">
            <w:pPr>
              <w:pStyle w:val="BodyText"/>
            </w:pPr>
            <w:r>
              <w:t>Minimum/maximum range</w:t>
            </w:r>
          </w:p>
        </w:tc>
        <w:tc>
          <w:tcPr>
            <w:tcW w:w="1006" w:type="pct"/>
          </w:tcPr>
          <w:p w:rsidR="00260042" w:rsidRDefault="00260042" w:rsidP="002869C9">
            <w:pPr>
              <w:pStyle w:val="BodyText"/>
              <w:jc w:val="right"/>
            </w:pPr>
            <w:r>
              <w:t>22,223</w:t>
            </w:r>
          </w:p>
        </w:tc>
        <w:tc>
          <w:tcPr>
            <w:tcW w:w="912" w:type="pct"/>
          </w:tcPr>
          <w:p w:rsidR="00260042" w:rsidRDefault="00260042" w:rsidP="002869C9">
            <w:pPr>
              <w:pStyle w:val="BodyText"/>
              <w:jc w:val="right"/>
            </w:pPr>
            <w:r>
              <w:t>374,600</w:t>
            </w:r>
          </w:p>
        </w:tc>
      </w:tr>
    </w:tbl>
    <w:p w:rsidR="00260042" w:rsidRDefault="00260042" w:rsidP="00EA5510">
      <w:pPr>
        <w:pStyle w:val="BodyText"/>
      </w:pPr>
      <w:r>
        <w:t>(a)</w:t>
      </w:r>
      <w:r>
        <w:tab/>
        <w:t>The salary ranges in this table cover base salary rates only. They do not include reportable fringe benefits, allowances and salary sacrifice arrangements.</w:t>
      </w:r>
    </w:p>
    <w:p w:rsidR="00260042" w:rsidRDefault="00260042" w:rsidP="00BC1153">
      <w:pPr>
        <w:pStyle w:val="Heading1"/>
      </w:pPr>
      <w:r>
        <w:lastRenderedPageBreak/>
        <w:t>Appendix C: Information required by other legislation</w:t>
      </w:r>
    </w:p>
    <w:p w:rsidR="00260042" w:rsidRDefault="00260042" w:rsidP="00C81689">
      <w:pPr>
        <w:pStyle w:val="Heading2"/>
      </w:pPr>
      <w:r>
        <w:t xml:space="preserve">Data-matching </w:t>
      </w:r>
      <w:proofErr w:type="spellStart"/>
      <w:r>
        <w:t>prograM</w:t>
      </w:r>
      <w:proofErr w:type="spellEnd"/>
    </w:p>
    <w:p w:rsidR="00260042" w:rsidRDefault="00260042" w:rsidP="00260042">
      <w:pPr>
        <w:pStyle w:val="BodyText"/>
      </w:pPr>
      <w:r>
        <w:t xml:space="preserve">Appendix C is based on the now repealed </w:t>
      </w:r>
      <w:r>
        <w:rPr>
          <w:rStyle w:val="Italic"/>
        </w:rPr>
        <w:t>Data-matching Program (Assistance and Tax) Act 1990 – Guidelines</w:t>
      </w:r>
      <w:r>
        <w:t xml:space="preserve"> and next year’s report on data matching activities will be based on the </w:t>
      </w:r>
      <w:r>
        <w:rPr>
          <w:rStyle w:val="Italic"/>
        </w:rPr>
        <w:t>Data-matching Program (Assistance and Tax) Rules 2021</w:t>
      </w:r>
      <w:r>
        <w:t>.</w:t>
      </w:r>
    </w:p>
    <w:p w:rsidR="00260042" w:rsidRDefault="00260042" w:rsidP="00260042">
      <w:pPr>
        <w:pStyle w:val="BodyText"/>
      </w:pPr>
      <w:r>
        <w:t>The agency performed Data-matching Program activities in 2020–21 solely on behalf of the Department of Veterans’ Affairs (DVA).</w:t>
      </w:r>
    </w:p>
    <w:p w:rsidR="00260042" w:rsidRDefault="00260042" w:rsidP="00260042">
      <w:pPr>
        <w:pStyle w:val="BodyText"/>
      </w:pPr>
      <w:r>
        <w:t xml:space="preserve">For results of </w:t>
      </w:r>
      <w:r>
        <w:rPr>
          <w:rStyle w:val="Italic"/>
        </w:rPr>
        <w:t>Data-matching Program (Assistance and Tax) Act 1990</w:t>
      </w:r>
      <w:r>
        <w:t xml:space="preserve"> (DMP Act) activities required under guideline 12 of the Schedule to the DMP Act, see DVA annual report for 2020–21 at </w:t>
      </w:r>
      <w:r>
        <w:rPr>
          <w:rStyle w:val="Bold"/>
        </w:rPr>
        <w:t>dva.gov.au</w:t>
      </w:r>
    </w:p>
    <w:p w:rsidR="00260042" w:rsidRDefault="00260042" w:rsidP="00260042">
      <w:pPr>
        <w:pStyle w:val="BodyText"/>
      </w:pPr>
      <w:r>
        <w:t xml:space="preserve">Table 72 shows the number of residual debts raised under the DMP Act in previous financial years that </w:t>
      </w:r>
      <w:proofErr w:type="gramStart"/>
      <w:r>
        <w:t>were paid</w:t>
      </w:r>
      <w:proofErr w:type="gramEnd"/>
      <w:r>
        <w:t xml:space="preserve"> in full or commenced a repayment arrangement in 2020–21.</w:t>
      </w:r>
    </w:p>
    <w:p w:rsidR="00260042" w:rsidRPr="00EA5510" w:rsidRDefault="00511254" w:rsidP="00EA5510">
      <w:pPr>
        <w:pStyle w:val="BodyText"/>
        <w:rPr>
          <w:b/>
        </w:rPr>
      </w:pPr>
      <w:r>
        <w:rPr>
          <w:rStyle w:val="Bold"/>
          <w:bCs w:val="0"/>
        </w:rPr>
        <w:t>Table 7</w:t>
      </w:r>
      <w:r>
        <w:rPr>
          <w:rStyle w:val="Bold"/>
          <w:bCs w:val="0"/>
        </w:rPr>
        <w:t>2</w:t>
      </w:r>
      <w:r w:rsidR="00260042" w:rsidRPr="00EA5510">
        <w:rPr>
          <w:b/>
        </w:rPr>
        <w:t xml:space="preserve"> Results of debt recovery activity in 2020–21</w:t>
      </w:r>
    </w:p>
    <w:tbl>
      <w:tblPr>
        <w:tblStyle w:val="TableGrid"/>
        <w:tblW w:w="5000" w:type="pct"/>
        <w:tblLook w:val="0000" w:firstRow="0" w:lastRow="0" w:firstColumn="0" w:lastColumn="0" w:noHBand="0" w:noVBand="0"/>
        <w:tblCaption w:val="Results of debt recovery activity in 2020–21"/>
      </w:tblPr>
      <w:tblGrid>
        <w:gridCol w:w="6267"/>
        <w:gridCol w:w="4523"/>
      </w:tblGrid>
      <w:tr w:rsidR="00260042" w:rsidTr="00D31820">
        <w:trPr>
          <w:trHeight w:val="60"/>
          <w:tblHeader/>
        </w:trPr>
        <w:tc>
          <w:tcPr>
            <w:tcW w:w="2904" w:type="pct"/>
          </w:tcPr>
          <w:p w:rsidR="00260042" w:rsidRPr="00D31820" w:rsidRDefault="00260042" w:rsidP="00D31820">
            <w:pPr>
              <w:pStyle w:val="BodyText"/>
              <w:rPr>
                <w:b/>
              </w:rPr>
            </w:pPr>
            <w:r w:rsidRPr="00D31820">
              <w:rPr>
                <w:b/>
              </w:rPr>
              <w:t>Cases</w:t>
            </w:r>
          </w:p>
        </w:tc>
        <w:tc>
          <w:tcPr>
            <w:tcW w:w="2096" w:type="pct"/>
          </w:tcPr>
          <w:p w:rsidR="00260042" w:rsidRPr="00D31820" w:rsidRDefault="00260042" w:rsidP="00D31820">
            <w:pPr>
              <w:pStyle w:val="BodyText"/>
              <w:rPr>
                <w:b/>
              </w:rPr>
            </w:pPr>
            <w:r w:rsidRPr="00D31820">
              <w:rPr>
                <w:b/>
              </w:rPr>
              <w:t>Number</w:t>
            </w:r>
          </w:p>
        </w:tc>
      </w:tr>
      <w:tr w:rsidR="00260042" w:rsidTr="00D31820">
        <w:trPr>
          <w:trHeight w:val="60"/>
        </w:trPr>
        <w:tc>
          <w:tcPr>
            <w:tcW w:w="2904" w:type="pct"/>
          </w:tcPr>
          <w:p w:rsidR="00260042" w:rsidRDefault="00260042" w:rsidP="00D31820">
            <w:pPr>
              <w:pStyle w:val="BodyText"/>
            </w:pPr>
            <w:r>
              <w:t>Cases where recovery action was initiated</w:t>
            </w:r>
            <w:r>
              <w:rPr>
                <w:vertAlign w:val="superscript"/>
              </w:rPr>
              <w:t>(a)</w:t>
            </w:r>
          </w:p>
        </w:tc>
        <w:tc>
          <w:tcPr>
            <w:tcW w:w="2096" w:type="pct"/>
          </w:tcPr>
          <w:p w:rsidR="00260042" w:rsidRDefault="00260042" w:rsidP="00D31820">
            <w:pPr>
              <w:pStyle w:val="BodyText"/>
            </w:pPr>
            <w:r>
              <w:t>550</w:t>
            </w:r>
          </w:p>
        </w:tc>
      </w:tr>
      <w:tr w:rsidR="00260042" w:rsidTr="00D31820">
        <w:trPr>
          <w:trHeight w:val="60"/>
        </w:trPr>
        <w:tc>
          <w:tcPr>
            <w:tcW w:w="2904" w:type="pct"/>
          </w:tcPr>
          <w:p w:rsidR="00260042" w:rsidRDefault="00260042" w:rsidP="00D31820">
            <w:pPr>
              <w:pStyle w:val="BodyText"/>
            </w:pPr>
            <w:r>
              <w:t>Cases where the debt was fully recovered</w:t>
            </w:r>
            <w:r>
              <w:rPr>
                <w:vertAlign w:val="superscript"/>
              </w:rPr>
              <w:t>(b)</w:t>
            </w:r>
          </w:p>
        </w:tc>
        <w:tc>
          <w:tcPr>
            <w:tcW w:w="2096" w:type="pct"/>
          </w:tcPr>
          <w:p w:rsidR="00260042" w:rsidRDefault="00260042" w:rsidP="00D31820">
            <w:pPr>
              <w:pStyle w:val="BodyText"/>
            </w:pPr>
            <w:r>
              <w:t>2,751</w:t>
            </w:r>
          </w:p>
        </w:tc>
      </w:tr>
    </w:tbl>
    <w:p w:rsidR="00260042" w:rsidRDefault="00260042" w:rsidP="00EA5510">
      <w:pPr>
        <w:pStyle w:val="BodyText"/>
      </w:pPr>
      <w:r>
        <w:t>(a)</w:t>
      </w:r>
      <w:r>
        <w:tab/>
        <w:t>The number of cases where recovery action commenced on a debt. The agency recovers debts through withholding part of a customer’s payment or cash repayments.</w:t>
      </w:r>
    </w:p>
    <w:p w:rsidR="00260042" w:rsidRDefault="00260042" w:rsidP="00EA5510">
      <w:pPr>
        <w:pStyle w:val="BodyText"/>
      </w:pPr>
      <w:r>
        <w:t>(b)</w:t>
      </w:r>
      <w:r>
        <w:tab/>
        <w:t>Recovery of a debt can take place over a number of years, so the number and value of debts raised in a year does not necessarily correspond to the number and value of recoveries.</w:t>
      </w:r>
    </w:p>
    <w:p w:rsidR="00260042" w:rsidRDefault="00260042" w:rsidP="002E64CE">
      <w:pPr>
        <w:pStyle w:val="Heading3"/>
      </w:pPr>
      <w:r>
        <w:t xml:space="preserve">Program savings and costs </w:t>
      </w:r>
    </w:p>
    <w:p w:rsidR="00260042" w:rsidRDefault="00260042" w:rsidP="00260042">
      <w:pPr>
        <w:pStyle w:val="BodyText"/>
        <w:spacing w:after="57"/>
      </w:pPr>
      <w:r>
        <w:t>The program has three direct savings components:</w:t>
      </w:r>
    </w:p>
    <w:p w:rsidR="00260042" w:rsidRDefault="00260042" w:rsidP="008930A3">
      <w:pPr>
        <w:pStyle w:val="ListBullet"/>
      </w:pPr>
      <w:r>
        <w:t>downward variations in rate or stopping payments</w:t>
      </w:r>
    </w:p>
    <w:p w:rsidR="00260042" w:rsidRDefault="00260042" w:rsidP="008930A3">
      <w:pPr>
        <w:pStyle w:val="ListBullet"/>
      </w:pPr>
      <w:r>
        <w:t>raised debts</w:t>
      </w:r>
    </w:p>
    <w:p w:rsidR="00260042" w:rsidRDefault="00260042" w:rsidP="00EA5510">
      <w:pPr>
        <w:pStyle w:val="ListBullet"/>
      </w:pPr>
      <w:proofErr w:type="gramStart"/>
      <w:r>
        <w:t>ceasing</w:t>
      </w:r>
      <w:proofErr w:type="gramEnd"/>
      <w:r>
        <w:t xml:space="preserve"> payments to new recipients for failure to comply with Tax File Number requirements.</w:t>
      </w:r>
    </w:p>
    <w:p w:rsidR="00260042" w:rsidRDefault="00260042" w:rsidP="00260042">
      <w:pPr>
        <w:pStyle w:val="BodyText"/>
      </w:pPr>
      <w:r>
        <w:t xml:space="preserve">Savings from the program </w:t>
      </w:r>
      <w:proofErr w:type="gramStart"/>
      <w:r>
        <w:t>are generated</w:t>
      </w:r>
      <w:proofErr w:type="gramEnd"/>
      <w:r>
        <w:t xml:space="preserve"> from new recipients failing to comply with Tax File Number requirements.</w:t>
      </w:r>
    </w:p>
    <w:p w:rsidR="00260042" w:rsidRDefault="00260042" w:rsidP="00260042">
      <w:pPr>
        <w:pStyle w:val="BodyText"/>
      </w:pPr>
      <w:r>
        <w:t xml:space="preserve">Repaid debts of former recipients of each assistance agency also contribute to savings. </w:t>
      </w:r>
    </w:p>
    <w:p w:rsidR="00260042" w:rsidRDefault="00260042" w:rsidP="00260042">
      <w:pPr>
        <w:pStyle w:val="BodyText"/>
      </w:pPr>
      <w:r>
        <w:t>In 2020–21, the Data-matching Program achieved $6.49 million in savings.</w:t>
      </w:r>
    </w:p>
    <w:p w:rsidR="00260042" w:rsidRDefault="00260042" w:rsidP="00260042">
      <w:pPr>
        <w:pStyle w:val="BodyText"/>
      </w:pPr>
      <w:r>
        <w:rPr>
          <w:rStyle w:val="Bold"/>
        </w:rPr>
        <w:lastRenderedPageBreak/>
        <w:t xml:space="preserve">Administrative costs: </w:t>
      </w:r>
      <w:r>
        <w:t>The equipment used to run the program cycles has some ongoing administrative costs associated with computer hardware and software maintenance.</w:t>
      </w:r>
    </w:p>
    <w:p w:rsidR="00260042" w:rsidRDefault="00260042" w:rsidP="00260042">
      <w:pPr>
        <w:pStyle w:val="BodyText"/>
        <w:spacing w:after="57"/>
      </w:pPr>
      <w:r>
        <w:rPr>
          <w:rStyle w:val="Bold"/>
        </w:rPr>
        <w:t xml:space="preserve">Salary costs: </w:t>
      </w:r>
      <w:r>
        <w:t xml:space="preserve">The program’s main salary costs were associated </w:t>
      </w:r>
      <w:proofErr w:type="gramStart"/>
      <w:r>
        <w:t>with</w:t>
      </w:r>
      <w:proofErr w:type="gramEnd"/>
      <w:r>
        <w:t>:</w:t>
      </w:r>
    </w:p>
    <w:p w:rsidR="00260042" w:rsidRDefault="00260042" w:rsidP="008930A3">
      <w:pPr>
        <w:pStyle w:val="ListBullet"/>
      </w:pPr>
      <w:r>
        <w:t>managing and supporting the program within the agency</w:t>
      </w:r>
    </w:p>
    <w:p w:rsidR="00260042" w:rsidRDefault="00260042" w:rsidP="00EA5510">
      <w:pPr>
        <w:pStyle w:val="ListBullet"/>
      </w:pPr>
      <w:proofErr w:type="gramStart"/>
      <w:r>
        <w:t>the</w:t>
      </w:r>
      <w:proofErr w:type="gramEnd"/>
      <w:r>
        <w:t xml:space="preserve"> agency’s network review activity, including its management and coordination.</w:t>
      </w:r>
    </w:p>
    <w:p w:rsidR="00260042" w:rsidRDefault="00260042" w:rsidP="00260042">
      <w:pPr>
        <w:pStyle w:val="BodyText"/>
      </w:pPr>
      <w:r>
        <w:rPr>
          <w:rStyle w:val="Bold"/>
        </w:rPr>
        <w:t xml:space="preserve">Direct cost – benefit summary: </w:t>
      </w:r>
      <w:r>
        <w:t xml:space="preserve">When the costs and benefits (direct savings) </w:t>
      </w:r>
      <w:proofErr w:type="gramStart"/>
      <w:r>
        <w:t>are compared</w:t>
      </w:r>
      <w:proofErr w:type="gramEnd"/>
      <w:r>
        <w:t>, the net benefits of the program are significant. In 2020–21, the net benefit of the program was $6.03 million.</w:t>
      </w:r>
    </w:p>
    <w:p w:rsidR="00260042" w:rsidRPr="00EA5510" w:rsidRDefault="00511254" w:rsidP="00EA5510">
      <w:pPr>
        <w:pStyle w:val="BodyText"/>
        <w:rPr>
          <w:b/>
        </w:rPr>
      </w:pPr>
      <w:r>
        <w:rPr>
          <w:rStyle w:val="Bold"/>
          <w:bCs w:val="0"/>
        </w:rPr>
        <w:t>Table 7</w:t>
      </w:r>
      <w:r>
        <w:rPr>
          <w:rStyle w:val="Bold"/>
          <w:bCs w:val="0"/>
        </w:rPr>
        <w:t>3</w:t>
      </w:r>
      <w:r w:rsidR="00260042" w:rsidRPr="00EA5510">
        <w:rPr>
          <w:b/>
        </w:rPr>
        <w:t xml:space="preserve"> Direct cost–benefit summary</w:t>
      </w:r>
    </w:p>
    <w:tbl>
      <w:tblPr>
        <w:tblStyle w:val="TableGrid"/>
        <w:tblW w:w="5000" w:type="pct"/>
        <w:tblLook w:val="0000" w:firstRow="0" w:lastRow="0" w:firstColumn="0" w:lastColumn="0" w:noHBand="0" w:noVBand="0"/>
        <w:tblCaption w:val=" Direct cost–benefit summary"/>
      </w:tblPr>
      <w:tblGrid>
        <w:gridCol w:w="6267"/>
        <w:gridCol w:w="4523"/>
      </w:tblGrid>
      <w:tr w:rsidR="00260042" w:rsidTr="00D31820">
        <w:trPr>
          <w:trHeight w:val="60"/>
          <w:tblHeader/>
        </w:trPr>
        <w:tc>
          <w:tcPr>
            <w:tcW w:w="2904" w:type="pct"/>
          </w:tcPr>
          <w:p w:rsidR="00260042" w:rsidRPr="00D31820" w:rsidRDefault="00260042" w:rsidP="00D31820">
            <w:pPr>
              <w:pStyle w:val="BodyText"/>
              <w:rPr>
                <w:b/>
              </w:rPr>
            </w:pPr>
          </w:p>
        </w:tc>
        <w:tc>
          <w:tcPr>
            <w:tcW w:w="2096" w:type="pct"/>
          </w:tcPr>
          <w:p w:rsidR="00260042" w:rsidRPr="00D31820" w:rsidRDefault="00260042" w:rsidP="00D31820">
            <w:pPr>
              <w:pStyle w:val="BodyText"/>
              <w:jc w:val="right"/>
              <w:rPr>
                <w:b/>
              </w:rPr>
            </w:pPr>
            <w:r w:rsidRPr="00D31820">
              <w:rPr>
                <w:b/>
              </w:rPr>
              <w:t>2020–21 actual</w:t>
            </w:r>
          </w:p>
        </w:tc>
      </w:tr>
      <w:tr w:rsidR="00260042" w:rsidTr="00D31820">
        <w:trPr>
          <w:trHeight w:val="60"/>
        </w:trPr>
        <w:tc>
          <w:tcPr>
            <w:tcW w:w="2904" w:type="pct"/>
          </w:tcPr>
          <w:p w:rsidR="00260042" w:rsidRDefault="00260042" w:rsidP="00D31820">
            <w:pPr>
              <w:pStyle w:val="BodyText"/>
            </w:pPr>
            <w:r>
              <w:t>Benefits</w:t>
            </w:r>
            <w:r>
              <w:rPr>
                <w:vertAlign w:val="superscript"/>
              </w:rPr>
              <w:t>(a)</w:t>
            </w:r>
          </w:p>
        </w:tc>
        <w:tc>
          <w:tcPr>
            <w:tcW w:w="2096" w:type="pct"/>
          </w:tcPr>
          <w:p w:rsidR="00260042" w:rsidRDefault="00260042" w:rsidP="00D31820">
            <w:pPr>
              <w:pStyle w:val="BodyText"/>
              <w:jc w:val="right"/>
            </w:pPr>
            <w:r>
              <w:t xml:space="preserve">$6,490,600 </w:t>
            </w:r>
          </w:p>
        </w:tc>
      </w:tr>
      <w:tr w:rsidR="00260042" w:rsidTr="00D31820">
        <w:trPr>
          <w:trHeight w:val="60"/>
        </w:trPr>
        <w:tc>
          <w:tcPr>
            <w:tcW w:w="2904" w:type="pct"/>
          </w:tcPr>
          <w:p w:rsidR="00260042" w:rsidRDefault="00260042" w:rsidP="00D31820">
            <w:pPr>
              <w:pStyle w:val="BodyText"/>
            </w:pPr>
            <w:r>
              <w:t>Costs</w:t>
            </w:r>
          </w:p>
        </w:tc>
        <w:tc>
          <w:tcPr>
            <w:tcW w:w="2096" w:type="pct"/>
          </w:tcPr>
          <w:p w:rsidR="00260042" w:rsidRDefault="00260042" w:rsidP="00D31820">
            <w:pPr>
              <w:pStyle w:val="BodyText"/>
              <w:jc w:val="right"/>
            </w:pPr>
            <w:r>
              <w:t>$457,000</w:t>
            </w:r>
          </w:p>
        </w:tc>
      </w:tr>
      <w:tr w:rsidR="00260042" w:rsidTr="00D31820">
        <w:trPr>
          <w:trHeight w:val="60"/>
        </w:trPr>
        <w:tc>
          <w:tcPr>
            <w:tcW w:w="2904" w:type="pct"/>
          </w:tcPr>
          <w:p w:rsidR="00260042" w:rsidRDefault="00260042" w:rsidP="00D31820">
            <w:pPr>
              <w:pStyle w:val="BodyText"/>
            </w:pPr>
            <w:r>
              <w:t>Net benefits</w:t>
            </w:r>
            <w:r>
              <w:rPr>
                <w:vertAlign w:val="superscript"/>
              </w:rPr>
              <w:t>(b)</w:t>
            </w:r>
          </w:p>
        </w:tc>
        <w:tc>
          <w:tcPr>
            <w:tcW w:w="2096" w:type="pct"/>
          </w:tcPr>
          <w:p w:rsidR="00260042" w:rsidRDefault="00260042" w:rsidP="00D31820">
            <w:pPr>
              <w:pStyle w:val="BodyText"/>
              <w:jc w:val="right"/>
            </w:pPr>
            <w:r>
              <w:t>$6,033,600</w:t>
            </w:r>
          </w:p>
        </w:tc>
      </w:tr>
      <w:tr w:rsidR="00260042" w:rsidTr="00D31820">
        <w:trPr>
          <w:trHeight w:val="60"/>
        </w:trPr>
        <w:tc>
          <w:tcPr>
            <w:tcW w:w="2904" w:type="pct"/>
          </w:tcPr>
          <w:p w:rsidR="00260042" w:rsidRDefault="00260042" w:rsidP="00D31820">
            <w:pPr>
              <w:pStyle w:val="BodyText"/>
            </w:pPr>
            <w:r>
              <w:t>Cost–benefit ratio</w:t>
            </w:r>
            <w:r>
              <w:rPr>
                <w:vertAlign w:val="superscript"/>
              </w:rPr>
              <w:t>(c)</w:t>
            </w:r>
          </w:p>
        </w:tc>
        <w:tc>
          <w:tcPr>
            <w:tcW w:w="2096" w:type="pct"/>
          </w:tcPr>
          <w:p w:rsidR="00260042" w:rsidRDefault="00260042" w:rsidP="00D31820">
            <w:pPr>
              <w:pStyle w:val="BodyText"/>
              <w:jc w:val="right"/>
            </w:pPr>
            <w:r>
              <w:t>1:14.2</w:t>
            </w:r>
          </w:p>
        </w:tc>
      </w:tr>
    </w:tbl>
    <w:p w:rsidR="00260042" w:rsidRDefault="00260042" w:rsidP="00EA5510">
      <w:pPr>
        <w:pStyle w:val="BodyText"/>
      </w:pPr>
      <w:r>
        <w:t>(a)</w:t>
      </w:r>
      <w:r>
        <w:tab/>
        <w:t>Net savings, including the effect of upward variations.</w:t>
      </w:r>
    </w:p>
    <w:p w:rsidR="00260042" w:rsidRDefault="00260042" w:rsidP="00EA5510">
      <w:pPr>
        <w:pStyle w:val="BodyText"/>
      </w:pPr>
      <w:r>
        <w:t>(b)</w:t>
      </w:r>
      <w:r>
        <w:tab/>
        <w:t>Calculated by subtracting costs from benefits.</w:t>
      </w:r>
    </w:p>
    <w:p w:rsidR="00260042" w:rsidRDefault="00260042" w:rsidP="00EA5510">
      <w:pPr>
        <w:pStyle w:val="BodyText"/>
      </w:pPr>
      <w:r>
        <w:t>(c)</w:t>
      </w:r>
      <w:r>
        <w:tab/>
        <w:t>Calculated by dividing benefits by costs.</w:t>
      </w:r>
    </w:p>
    <w:p w:rsidR="00260042" w:rsidRDefault="00260042" w:rsidP="002E64CE">
      <w:pPr>
        <w:pStyle w:val="Heading3"/>
      </w:pPr>
      <w:r>
        <w:t>Chronology</w:t>
      </w:r>
    </w:p>
    <w:p w:rsidR="00260042" w:rsidRDefault="00260042" w:rsidP="00260042">
      <w:pPr>
        <w:pStyle w:val="BodyText"/>
        <w:spacing w:after="57"/>
      </w:pPr>
      <w:r>
        <w:t>The events listed below include data-matching cycles run with the Office of the Australian Information Commissioner in accordance with the DMP Act during 2020–21.</w:t>
      </w:r>
    </w:p>
    <w:p w:rsidR="00260042" w:rsidRDefault="00260042" w:rsidP="008930A3">
      <w:pPr>
        <w:pStyle w:val="ListBullet"/>
      </w:pPr>
      <w:r>
        <w:t>20 July 2020 Cycle 3/2020 commenced</w:t>
      </w:r>
    </w:p>
    <w:p w:rsidR="00260042" w:rsidRDefault="00260042" w:rsidP="008930A3">
      <w:pPr>
        <w:pStyle w:val="ListBullet"/>
      </w:pPr>
      <w:r>
        <w:t>14 August 2020 Cycle 3/2020 completed</w:t>
      </w:r>
    </w:p>
    <w:p w:rsidR="00260042" w:rsidRDefault="00260042" w:rsidP="008930A3">
      <w:pPr>
        <w:pStyle w:val="ListBullet"/>
      </w:pPr>
      <w:r>
        <w:t>12 October 2020 Cycle 4/2020 commenced</w:t>
      </w:r>
    </w:p>
    <w:p w:rsidR="00260042" w:rsidRDefault="00260042" w:rsidP="008930A3">
      <w:pPr>
        <w:pStyle w:val="ListBullet"/>
      </w:pPr>
      <w:r>
        <w:t>9 November 2020 Cycle 4/2020 completed</w:t>
      </w:r>
    </w:p>
    <w:p w:rsidR="00260042" w:rsidRDefault="00260042" w:rsidP="008930A3">
      <w:pPr>
        <w:pStyle w:val="ListBullet"/>
      </w:pPr>
      <w:r>
        <w:t>1 February 2021 Cycle 1/2021 commenced</w:t>
      </w:r>
    </w:p>
    <w:p w:rsidR="00260042" w:rsidRDefault="00260042" w:rsidP="008930A3">
      <w:pPr>
        <w:pStyle w:val="ListBullet"/>
      </w:pPr>
      <w:r>
        <w:t>26 February 2021 Cycle 1/2021 completed</w:t>
      </w:r>
    </w:p>
    <w:p w:rsidR="00260042" w:rsidRDefault="00260042" w:rsidP="008930A3">
      <w:pPr>
        <w:pStyle w:val="ListBullet"/>
      </w:pPr>
      <w:r>
        <w:t>28 April 2021 Cycle 2/2021 commenced</w:t>
      </w:r>
    </w:p>
    <w:p w:rsidR="00260042" w:rsidRDefault="00260042" w:rsidP="00EA5510">
      <w:pPr>
        <w:pStyle w:val="ListBullet"/>
      </w:pPr>
      <w:r>
        <w:t xml:space="preserve">7 June 2021 Cycle 2/2021 completed. </w:t>
      </w:r>
    </w:p>
    <w:p w:rsidR="00260042" w:rsidRDefault="00260042" w:rsidP="00C81689">
      <w:pPr>
        <w:pStyle w:val="Heading2"/>
      </w:pPr>
      <w:r>
        <w:t>Corporate record keeping</w:t>
      </w:r>
    </w:p>
    <w:p w:rsidR="00260042" w:rsidRDefault="00260042" w:rsidP="00260042">
      <w:pPr>
        <w:pStyle w:val="BodyText"/>
      </w:pPr>
      <w:r>
        <w:t xml:space="preserve">The Australian Government’s policy, </w:t>
      </w:r>
      <w:r>
        <w:rPr>
          <w:rStyle w:val="Italic"/>
        </w:rPr>
        <w:t>Building trust in the public record: managing information and data for government and community</w:t>
      </w:r>
      <w:r>
        <w:t xml:space="preserve">, identifies key requirements for managing Australian </w:t>
      </w:r>
      <w:r>
        <w:lastRenderedPageBreak/>
        <w:t>Government information assets (records, information and data). See the policy on the National Archives of Australia website at</w:t>
      </w:r>
      <w:r>
        <w:rPr>
          <w:rStyle w:val="Bold"/>
        </w:rPr>
        <w:t xml:space="preserve"> naa.gov.au/information-management/information-management-policies/building-trust-public-record-policy</w:t>
      </w:r>
    </w:p>
    <w:p w:rsidR="00C81689" w:rsidRDefault="00260042" w:rsidP="00C81689">
      <w:pPr>
        <w:pStyle w:val="BodyText"/>
      </w:pPr>
      <w:r>
        <w:t>Services Australia promotes, creates and maintains administrative records digitally, thus reducing paper records. This is in line with our goal to transition to a digital record keeping model, including converting incoming paper to digital records whenever possible. The agency’s focus on online and self-service capabilities for customers has further reduced the volume of paper received and stored in 2020–21.</w:t>
      </w:r>
    </w:p>
    <w:p w:rsidR="00260042" w:rsidRDefault="00260042" w:rsidP="00C81689">
      <w:pPr>
        <w:pStyle w:val="Heading2"/>
      </w:pPr>
      <w:r>
        <w:t>Environmental management</w:t>
      </w:r>
    </w:p>
    <w:p w:rsidR="00260042" w:rsidRDefault="00260042" w:rsidP="00260042">
      <w:pPr>
        <w:pStyle w:val="BodyText"/>
      </w:pPr>
      <w:r>
        <w:t xml:space="preserve">Services Australia’s environmental management system aligns with international standard ISO 14001:2015. The standard allows Services Australia to manage and report on greenhouse gas emissions, energy use, resource use and waste arising from building operations, motor vehicle and air travel, </w:t>
      </w:r>
      <w:proofErr w:type="gramStart"/>
      <w:r>
        <w:t>ICT</w:t>
      </w:r>
      <w:proofErr w:type="gramEnd"/>
      <w:r>
        <w:t xml:space="preserve"> and stationery supplies.</w:t>
      </w:r>
    </w:p>
    <w:p w:rsidR="00260042" w:rsidRDefault="00260042" w:rsidP="00260042">
      <w:pPr>
        <w:pStyle w:val="BodyText"/>
      </w:pPr>
      <w:r>
        <w:t xml:space="preserve">Section 516A of the </w:t>
      </w:r>
      <w:r>
        <w:rPr>
          <w:rStyle w:val="Italic"/>
        </w:rPr>
        <w:t>Environment Protection and Biodiversity Conservation Act 1999</w:t>
      </w:r>
      <w:r>
        <w:t xml:space="preserve"> requires Australian Government agencies to report annually on their contribution to the principles of ecologically sustainable development (ESD) and the measures taken to minimise their effect on the environment.</w:t>
      </w:r>
    </w:p>
    <w:p w:rsidR="00260042" w:rsidRDefault="00260042" w:rsidP="00260042">
      <w:pPr>
        <w:pStyle w:val="BodyText"/>
      </w:pPr>
      <w:r>
        <w:t xml:space="preserve">The ESD principles are set out in section 3A of the </w:t>
      </w:r>
      <w:r>
        <w:rPr>
          <w:rStyle w:val="Italic"/>
        </w:rPr>
        <w:t>Environment Protection and Biodiversity Conservation Act 1999</w:t>
      </w:r>
      <w:r>
        <w:t>.</w:t>
      </w:r>
    </w:p>
    <w:p w:rsidR="00260042" w:rsidRDefault="00260042" w:rsidP="002E64CE">
      <w:pPr>
        <w:pStyle w:val="Heading3"/>
      </w:pPr>
      <w:r>
        <w:t xml:space="preserve">How administered programs accord with ESD principles </w:t>
      </w:r>
      <w:r>
        <w:rPr>
          <w:caps/>
          <w:color w:val="000000"/>
        </w:rPr>
        <w:t>–</w:t>
      </w:r>
      <w:r>
        <w:t xml:space="preserve"> section </w:t>
      </w:r>
      <w:proofErr w:type="gramStart"/>
      <w:r>
        <w:t>516a(</w:t>
      </w:r>
      <w:proofErr w:type="gramEnd"/>
      <w:r>
        <w:t>6)</w:t>
      </w:r>
      <w:r>
        <w:rPr>
          <w:caps/>
        </w:rPr>
        <w:t>(a)</w:t>
      </w:r>
    </w:p>
    <w:p w:rsidR="00260042" w:rsidRDefault="00260042" w:rsidP="00260042">
      <w:pPr>
        <w:pStyle w:val="BodyText"/>
      </w:pPr>
      <w:r>
        <w:t>In 2020–21, Services Australia administered the Centrelink, Medicare and Child Support programs according to the principles of ESD.</w:t>
      </w:r>
    </w:p>
    <w:p w:rsidR="00260042" w:rsidRDefault="00260042" w:rsidP="00260042">
      <w:pPr>
        <w:pStyle w:val="BodyText"/>
      </w:pPr>
      <w:r>
        <w:t xml:space="preserve">Fundamental considerations in administering these programs are the economic, environmental, equity and social consequences in short-term and long-term </w:t>
      </w:r>
      <w:proofErr w:type="gramStart"/>
      <w:r>
        <w:t>decision making</w:t>
      </w:r>
      <w:proofErr w:type="gramEnd"/>
      <w:r>
        <w:t>.</w:t>
      </w:r>
    </w:p>
    <w:p w:rsidR="00260042" w:rsidRDefault="00260042" w:rsidP="002E64CE">
      <w:pPr>
        <w:pStyle w:val="Heading3"/>
      </w:pPr>
      <w:r>
        <w:t xml:space="preserve">How Outcome 1 contributed to ESD principles – section </w:t>
      </w:r>
      <w:proofErr w:type="gramStart"/>
      <w:r>
        <w:t>516a(</w:t>
      </w:r>
      <w:proofErr w:type="gramEnd"/>
      <w:r>
        <w:t>6)</w:t>
      </w:r>
      <w:r>
        <w:rPr>
          <w:caps/>
        </w:rPr>
        <w:t>(b)</w:t>
      </w:r>
    </w:p>
    <w:p w:rsidR="00260042" w:rsidRDefault="00260042" w:rsidP="00260042">
      <w:pPr>
        <w:pStyle w:val="BodyText"/>
        <w:spacing w:after="57"/>
      </w:pPr>
      <w:r>
        <w:t>In 2020–21, Services Australia’s activities that made a direct contribution to ESD included:</w:t>
      </w:r>
    </w:p>
    <w:p w:rsidR="00260042" w:rsidRDefault="00260042" w:rsidP="008930A3">
      <w:pPr>
        <w:pStyle w:val="ListBullet"/>
      </w:pPr>
      <w:r>
        <w:t>increasing the number of online self-services</w:t>
      </w:r>
    </w:p>
    <w:p w:rsidR="00260042" w:rsidRDefault="00260042" w:rsidP="008930A3">
      <w:pPr>
        <w:pStyle w:val="ListBullet"/>
      </w:pPr>
      <w:r>
        <w:t>improving the functionality of Express Plus mobile apps</w:t>
      </w:r>
    </w:p>
    <w:p w:rsidR="00260042" w:rsidRDefault="00260042" w:rsidP="00EA5510">
      <w:pPr>
        <w:pStyle w:val="ListBullet"/>
      </w:pPr>
      <w:proofErr w:type="gramStart"/>
      <w:r>
        <w:t>exploring</w:t>
      </w:r>
      <w:proofErr w:type="gramEnd"/>
      <w:r>
        <w:t xml:space="preserve"> new ways of providing digital services through a technology innovation centre.</w:t>
      </w:r>
    </w:p>
    <w:p w:rsidR="00260042" w:rsidRDefault="00260042" w:rsidP="002E64CE">
      <w:pPr>
        <w:pStyle w:val="Heading3"/>
      </w:pPr>
      <w:r>
        <w:t xml:space="preserve">Effect of activities on the environment – section </w:t>
      </w:r>
      <w:proofErr w:type="gramStart"/>
      <w:r>
        <w:t>516a</w:t>
      </w:r>
      <w:r>
        <w:rPr>
          <w:caps/>
        </w:rPr>
        <w:t>(</w:t>
      </w:r>
      <w:proofErr w:type="gramEnd"/>
      <w:r>
        <w:rPr>
          <w:caps/>
        </w:rPr>
        <w:t>6)(c)</w:t>
      </w:r>
    </w:p>
    <w:p w:rsidR="00260042" w:rsidRDefault="00260042" w:rsidP="00260042">
      <w:pPr>
        <w:pStyle w:val="BodyText"/>
      </w:pPr>
      <w:r>
        <w:t xml:space="preserve">To assess the risk of our activities affecting the environment, Services Australia uses the international standard </w:t>
      </w:r>
      <w:r>
        <w:rPr>
          <w:rStyle w:val="Italic"/>
        </w:rPr>
        <w:t>Risk Management ISO 31000:2018</w:t>
      </w:r>
      <w:r>
        <w:t xml:space="preserve"> and the Standards Australia handbook </w:t>
      </w:r>
      <w:r>
        <w:rPr>
          <w:rStyle w:val="Italic"/>
        </w:rPr>
        <w:t>Managing environment-related risk HB203:2012</w:t>
      </w:r>
      <w:r>
        <w:t xml:space="preserve">. We manage activities that pose the most significant risk through the agency’s environmental management system, which aligns with the international standard </w:t>
      </w:r>
      <w:r>
        <w:rPr>
          <w:rStyle w:val="Italic"/>
        </w:rPr>
        <w:t>EMS ISO 14001:2015</w:t>
      </w:r>
      <w:r>
        <w:t>.</w:t>
      </w:r>
    </w:p>
    <w:p w:rsidR="00260042" w:rsidRDefault="00260042" w:rsidP="00260042">
      <w:pPr>
        <w:pStyle w:val="BodyText"/>
        <w:spacing w:after="57"/>
      </w:pPr>
      <w:r>
        <w:lastRenderedPageBreak/>
        <w:t>Our activities that generally most affect the environment are those that consume considerable resources and generate significant waste. They include:</w:t>
      </w:r>
    </w:p>
    <w:p w:rsidR="00260042" w:rsidRDefault="00260042" w:rsidP="008930A3">
      <w:pPr>
        <w:pStyle w:val="ListBullet"/>
      </w:pPr>
      <w:r>
        <w:t>building operations and refurbishments</w:t>
      </w:r>
    </w:p>
    <w:p w:rsidR="00260042" w:rsidRDefault="00260042" w:rsidP="008930A3">
      <w:pPr>
        <w:pStyle w:val="ListBullet"/>
      </w:pPr>
      <w:r>
        <w:t>use of information and communications technology</w:t>
      </w:r>
    </w:p>
    <w:p w:rsidR="00260042" w:rsidRDefault="00260042" w:rsidP="008930A3">
      <w:pPr>
        <w:pStyle w:val="ListBullet"/>
      </w:pPr>
      <w:r>
        <w:t>use and disposal of stationery supplies, including paper</w:t>
      </w:r>
    </w:p>
    <w:p w:rsidR="00260042" w:rsidRDefault="00260042" w:rsidP="00EA5510">
      <w:pPr>
        <w:pStyle w:val="ListBullet"/>
      </w:pPr>
      <w:proofErr w:type="gramStart"/>
      <w:r>
        <w:t>operating</w:t>
      </w:r>
      <w:proofErr w:type="gramEnd"/>
      <w:r>
        <w:t xml:space="preserve"> vehicles.</w:t>
      </w:r>
    </w:p>
    <w:p w:rsidR="00260042" w:rsidRPr="00EA5510" w:rsidRDefault="00511254" w:rsidP="00EA5510">
      <w:pPr>
        <w:pStyle w:val="BodyText"/>
        <w:rPr>
          <w:b/>
        </w:rPr>
      </w:pPr>
      <w:r>
        <w:rPr>
          <w:rStyle w:val="Bold"/>
          <w:bCs w:val="0"/>
        </w:rPr>
        <w:t>Table 7</w:t>
      </w:r>
      <w:r>
        <w:rPr>
          <w:rStyle w:val="Bold"/>
          <w:bCs w:val="0"/>
        </w:rPr>
        <w:t>4</w:t>
      </w:r>
      <w:r w:rsidR="00260042" w:rsidRPr="00EA5510">
        <w:rPr>
          <w:b/>
        </w:rPr>
        <w:t xml:space="preserve"> Resources use</w:t>
      </w:r>
    </w:p>
    <w:tbl>
      <w:tblPr>
        <w:tblStyle w:val="TableGrid"/>
        <w:tblW w:w="5000" w:type="pct"/>
        <w:tblLook w:val="0000" w:firstRow="0" w:lastRow="0" w:firstColumn="0" w:lastColumn="0" w:noHBand="0" w:noVBand="0"/>
        <w:tblCaption w:val=" Resources use"/>
      </w:tblPr>
      <w:tblGrid>
        <w:gridCol w:w="3704"/>
        <w:gridCol w:w="1772"/>
        <w:gridCol w:w="1772"/>
        <w:gridCol w:w="1772"/>
        <w:gridCol w:w="1770"/>
      </w:tblGrid>
      <w:tr w:rsidR="00260042" w:rsidTr="00D31820">
        <w:trPr>
          <w:trHeight w:val="376"/>
          <w:tblHeader/>
        </w:trPr>
        <w:tc>
          <w:tcPr>
            <w:tcW w:w="1717" w:type="pct"/>
          </w:tcPr>
          <w:p w:rsidR="00260042" w:rsidRPr="00D31820" w:rsidRDefault="00260042" w:rsidP="00D31820">
            <w:pPr>
              <w:pStyle w:val="BodyText"/>
              <w:rPr>
                <w:b/>
              </w:rPr>
            </w:pPr>
          </w:p>
        </w:tc>
        <w:tc>
          <w:tcPr>
            <w:tcW w:w="821" w:type="pct"/>
          </w:tcPr>
          <w:p w:rsidR="00260042" w:rsidRPr="00D31820" w:rsidRDefault="00260042" w:rsidP="00D31820">
            <w:pPr>
              <w:pStyle w:val="BodyText"/>
              <w:rPr>
                <w:b/>
              </w:rPr>
            </w:pPr>
            <w:r w:rsidRPr="00D31820">
              <w:rPr>
                <w:b/>
              </w:rPr>
              <w:t>Units</w:t>
            </w:r>
          </w:p>
        </w:tc>
        <w:tc>
          <w:tcPr>
            <w:tcW w:w="821" w:type="pct"/>
          </w:tcPr>
          <w:p w:rsidR="00260042" w:rsidRPr="00D31820" w:rsidRDefault="00260042" w:rsidP="0098218E">
            <w:pPr>
              <w:pStyle w:val="BodyText"/>
              <w:jc w:val="right"/>
              <w:rPr>
                <w:b/>
              </w:rPr>
            </w:pPr>
            <w:r w:rsidRPr="00D31820">
              <w:rPr>
                <w:b/>
              </w:rPr>
              <w:t>2018–19</w:t>
            </w:r>
          </w:p>
        </w:tc>
        <w:tc>
          <w:tcPr>
            <w:tcW w:w="821" w:type="pct"/>
          </w:tcPr>
          <w:p w:rsidR="00260042" w:rsidRPr="00D31820" w:rsidRDefault="00260042" w:rsidP="0098218E">
            <w:pPr>
              <w:pStyle w:val="BodyText"/>
              <w:jc w:val="right"/>
              <w:rPr>
                <w:b/>
              </w:rPr>
            </w:pPr>
            <w:r w:rsidRPr="00D31820">
              <w:rPr>
                <w:b/>
              </w:rPr>
              <w:t>2019–20</w:t>
            </w:r>
          </w:p>
        </w:tc>
        <w:tc>
          <w:tcPr>
            <w:tcW w:w="821" w:type="pct"/>
          </w:tcPr>
          <w:p w:rsidR="00260042" w:rsidRPr="00D31820" w:rsidRDefault="00260042" w:rsidP="0098218E">
            <w:pPr>
              <w:pStyle w:val="BodyText"/>
              <w:jc w:val="right"/>
              <w:rPr>
                <w:b/>
              </w:rPr>
            </w:pPr>
            <w:r w:rsidRPr="00D31820">
              <w:rPr>
                <w:b/>
              </w:rPr>
              <w:t>2020–21</w:t>
            </w:r>
          </w:p>
        </w:tc>
      </w:tr>
      <w:tr w:rsidR="00260042" w:rsidTr="00D31820">
        <w:trPr>
          <w:trHeight w:val="60"/>
        </w:trPr>
        <w:tc>
          <w:tcPr>
            <w:tcW w:w="1717" w:type="pct"/>
          </w:tcPr>
          <w:p w:rsidR="00260042" w:rsidRDefault="00260042" w:rsidP="00D31820">
            <w:pPr>
              <w:pStyle w:val="BodyText"/>
            </w:pPr>
            <w:r>
              <w:t>Stationary energy (electricity and gas)</w:t>
            </w:r>
          </w:p>
        </w:tc>
        <w:tc>
          <w:tcPr>
            <w:tcW w:w="821" w:type="pct"/>
          </w:tcPr>
          <w:p w:rsidR="00260042" w:rsidRDefault="00260042" w:rsidP="00D31820">
            <w:pPr>
              <w:pStyle w:val="BodyText"/>
            </w:pPr>
            <w:r>
              <w:t>gigajoules</w:t>
            </w:r>
          </w:p>
        </w:tc>
        <w:tc>
          <w:tcPr>
            <w:tcW w:w="821" w:type="pct"/>
          </w:tcPr>
          <w:p w:rsidR="00260042" w:rsidRDefault="00260042" w:rsidP="0098218E">
            <w:pPr>
              <w:pStyle w:val="BodyText"/>
              <w:jc w:val="right"/>
            </w:pPr>
            <w:r>
              <w:t>328,674</w:t>
            </w:r>
          </w:p>
        </w:tc>
        <w:tc>
          <w:tcPr>
            <w:tcW w:w="821" w:type="pct"/>
          </w:tcPr>
          <w:p w:rsidR="00260042" w:rsidRDefault="00260042" w:rsidP="0098218E">
            <w:pPr>
              <w:pStyle w:val="BodyText"/>
              <w:jc w:val="right"/>
            </w:pPr>
            <w:r>
              <w:t>322,846</w:t>
            </w:r>
          </w:p>
        </w:tc>
        <w:tc>
          <w:tcPr>
            <w:tcW w:w="821" w:type="pct"/>
          </w:tcPr>
          <w:p w:rsidR="00260042" w:rsidRDefault="00260042" w:rsidP="0098218E">
            <w:pPr>
              <w:pStyle w:val="BodyText"/>
              <w:jc w:val="right"/>
            </w:pPr>
            <w:r>
              <w:t>NA</w:t>
            </w:r>
            <w:r>
              <w:rPr>
                <w:vertAlign w:val="superscript"/>
              </w:rPr>
              <w:t>(a)</w:t>
            </w:r>
          </w:p>
        </w:tc>
      </w:tr>
      <w:tr w:rsidR="00260042" w:rsidTr="00D31820">
        <w:trPr>
          <w:trHeight w:val="60"/>
        </w:trPr>
        <w:tc>
          <w:tcPr>
            <w:tcW w:w="1717" w:type="pct"/>
          </w:tcPr>
          <w:p w:rsidR="00260042" w:rsidRDefault="00260042" w:rsidP="00D31820">
            <w:pPr>
              <w:pStyle w:val="BodyText"/>
            </w:pPr>
            <w:r>
              <w:t>Transport energy (fuels)</w:t>
            </w:r>
            <w:r>
              <w:rPr>
                <w:vertAlign w:val="superscript"/>
              </w:rPr>
              <w:t>(b)</w:t>
            </w:r>
          </w:p>
        </w:tc>
        <w:tc>
          <w:tcPr>
            <w:tcW w:w="821" w:type="pct"/>
          </w:tcPr>
          <w:p w:rsidR="00260042" w:rsidRDefault="00260042" w:rsidP="00D31820">
            <w:pPr>
              <w:pStyle w:val="BodyText"/>
            </w:pPr>
            <w:r>
              <w:t>gigajoules</w:t>
            </w:r>
          </w:p>
        </w:tc>
        <w:tc>
          <w:tcPr>
            <w:tcW w:w="821" w:type="pct"/>
          </w:tcPr>
          <w:p w:rsidR="00260042" w:rsidRDefault="00260042" w:rsidP="0098218E">
            <w:pPr>
              <w:pStyle w:val="BodyText"/>
              <w:jc w:val="right"/>
            </w:pPr>
            <w:r>
              <w:t>19,574</w:t>
            </w:r>
          </w:p>
        </w:tc>
        <w:tc>
          <w:tcPr>
            <w:tcW w:w="821" w:type="pct"/>
          </w:tcPr>
          <w:p w:rsidR="00260042" w:rsidRDefault="00260042" w:rsidP="0098218E">
            <w:pPr>
              <w:pStyle w:val="BodyText"/>
              <w:jc w:val="right"/>
            </w:pPr>
            <w:r>
              <w:t>18,129</w:t>
            </w:r>
          </w:p>
        </w:tc>
        <w:tc>
          <w:tcPr>
            <w:tcW w:w="821" w:type="pct"/>
          </w:tcPr>
          <w:p w:rsidR="00260042" w:rsidRDefault="00260042" w:rsidP="0098218E">
            <w:pPr>
              <w:pStyle w:val="BodyText"/>
              <w:jc w:val="right"/>
            </w:pPr>
            <w:r>
              <w:t>NA</w:t>
            </w:r>
            <w:r>
              <w:rPr>
                <w:vertAlign w:val="superscript"/>
              </w:rPr>
              <w:t>(a)</w:t>
            </w:r>
          </w:p>
        </w:tc>
      </w:tr>
      <w:tr w:rsidR="00260042" w:rsidTr="00D31820">
        <w:trPr>
          <w:trHeight w:val="60"/>
        </w:trPr>
        <w:tc>
          <w:tcPr>
            <w:tcW w:w="1717" w:type="pct"/>
          </w:tcPr>
          <w:p w:rsidR="00260042" w:rsidRDefault="00260042" w:rsidP="00D31820">
            <w:pPr>
              <w:pStyle w:val="BodyText"/>
            </w:pPr>
            <w:r>
              <w:rPr>
                <w:rStyle w:val="Bold"/>
              </w:rPr>
              <w:t>Total energy use</w:t>
            </w:r>
          </w:p>
        </w:tc>
        <w:tc>
          <w:tcPr>
            <w:tcW w:w="821" w:type="pct"/>
          </w:tcPr>
          <w:p w:rsidR="00260042" w:rsidRDefault="00260042" w:rsidP="00D31820">
            <w:pPr>
              <w:pStyle w:val="BodyText"/>
            </w:pPr>
            <w:r>
              <w:rPr>
                <w:rStyle w:val="Bold"/>
              </w:rPr>
              <w:t>gigajoules</w:t>
            </w:r>
          </w:p>
        </w:tc>
        <w:tc>
          <w:tcPr>
            <w:tcW w:w="821" w:type="pct"/>
          </w:tcPr>
          <w:p w:rsidR="00260042" w:rsidRDefault="00260042" w:rsidP="0098218E">
            <w:pPr>
              <w:pStyle w:val="BodyText"/>
              <w:jc w:val="right"/>
            </w:pPr>
            <w:r>
              <w:rPr>
                <w:rStyle w:val="Bold"/>
              </w:rPr>
              <w:t>348,248</w:t>
            </w:r>
          </w:p>
        </w:tc>
        <w:tc>
          <w:tcPr>
            <w:tcW w:w="821" w:type="pct"/>
          </w:tcPr>
          <w:p w:rsidR="00260042" w:rsidRDefault="00260042" w:rsidP="0098218E">
            <w:pPr>
              <w:pStyle w:val="BodyText"/>
              <w:jc w:val="right"/>
            </w:pPr>
            <w:r>
              <w:rPr>
                <w:rStyle w:val="Bold"/>
              </w:rPr>
              <w:t>340,975</w:t>
            </w:r>
          </w:p>
        </w:tc>
        <w:tc>
          <w:tcPr>
            <w:tcW w:w="821" w:type="pct"/>
          </w:tcPr>
          <w:p w:rsidR="00260042" w:rsidRDefault="00260042" w:rsidP="0098218E">
            <w:pPr>
              <w:pStyle w:val="BodyText"/>
              <w:jc w:val="right"/>
            </w:pPr>
            <w:r>
              <w:rPr>
                <w:rStyle w:val="Bold"/>
              </w:rPr>
              <w:t>NA</w:t>
            </w:r>
            <w:r>
              <w:rPr>
                <w:rStyle w:val="Bold"/>
                <w:vertAlign w:val="superscript"/>
              </w:rPr>
              <w:t>(a)</w:t>
            </w:r>
          </w:p>
        </w:tc>
      </w:tr>
      <w:tr w:rsidR="00260042" w:rsidTr="00D31820">
        <w:trPr>
          <w:trHeight w:val="60"/>
        </w:trPr>
        <w:tc>
          <w:tcPr>
            <w:tcW w:w="1717" w:type="pct"/>
          </w:tcPr>
          <w:p w:rsidR="00260042" w:rsidRDefault="00260042" w:rsidP="00D31820">
            <w:pPr>
              <w:pStyle w:val="BodyText"/>
            </w:pPr>
            <w:r>
              <w:t>Internal paper use</w:t>
            </w:r>
          </w:p>
        </w:tc>
        <w:tc>
          <w:tcPr>
            <w:tcW w:w="821" w:type="pct"/>
          </w:tcPr>
          <w:p w:rsidR="00260042" w:rsidRDefault="00260042" w:rsidP="00D31820">
            <w:pPr>
              <w:pStyle w:val="BodyText"/>
            </w:pPr>
            <w:r>
              <w:t>tonnes</w:t>
            </w:r>
          </w:p>
        </w:tc>
        <w:tc>
          <w:tcPr>
            <w:tcW w:w="821" w:type="pct"/>
          </w:tcPr>
          <w:p w:rsidR="00260042" w:rsidRDefault="00260042" w:rsidP="0098218E">
            <w:pPr>
              <w:pStyle w:val="BodyText"/>
              <w:jc w:val="right"/>
            </w:pPr>
            <w:r>
              <w:t>538</w:t>
            </w:r>
          </w:p>
        </w:tc>
        <w:tc>
          <w:tcPr>
            <w:tcW w:w="821" w:type="pct"/>
          </w:tcPr>
          <w:p w:rsidR="00260042" w:rsidRDefault="00260042" w:rsidP="0098218E">
            <w:pPr>
              <w:pStyle w:val="BodyText"/>
              <w:jc w:val="right"/>
            </w:pPr>
            <w:r>
              <w:t>462</w:t>
            </w:r>
          </w:p>
        </w:tc>
        <w:tc>
          <w:tcPr>
            <w:tcW w:w="821" w:type="pct"/>
          </w:tcPr>
          <w:p w:rsidR="00260042" w:rsidRDefault="00260042" w:rsidP="0098218E">
            <w:pPr>
              <w:pStyle w:val="BodyText"/>
              <w:jc w:val="right"/>
            </w:pPr>
            <w:r>
              <w:t>300</w:t>
            </w:r>
          </w:p>
        </w:tc>
      </w:tr>
      <w:tr w:rsidR="00260042" w:rsidTr="00D31820">
        <w:trPr>
          <w:trHeight w:val="60"/>
        </w:trPr>
        <w:tc>
          <w:tcPr>
            <w:tcW w:w="1717" w:type="pct"/>
          </w:tcPr>
          <w:p w:rsidR="00260042" w:rsidRDefault="00260042" w:rsidP="00D31820">
            <w:pPr>
              <w:pStyle w:val="BodyText"/>
            </w:pPr>
            <w:r>
              <w:t>Letters to customers</w:t>
            </w:r>
            <w:r>
              <w:rPr>
                <w:vertAlign w:val="superscript"/>
              </w:rPr>
              <w:t>(c)</w:t>
            </w:r>
          </w:p>
        </w:tc>
        <w:tc>
          <w:tcPr>
            <w:tcW w:w="821" w:type="pct"/>
          </w:tcPr>
          <w:p w:rsidR="00260042" w:rsidRDefault="00260042" w:rsidP="00D31820">
            <w:pPr>
              <w:pStyle w:val="BodyText"/>
            </w:pPr>
            <w:r>
              <w:t>A4 sheets</w:t>
            </w:r>
          </w:p>
        </w:tc>
        <w:tc>
          <w:tcPr>
            <w:tcW w:w="821" w:type="pct"/>
          </w:tcPr>
          <w:p w:rsidR="00260042" w:rsidRDefault="00260042" w:rsidP="0098218E">
            <w:pPr>
              <w:pStyle w:val="BodyText"/>
              <w:jc w:val="right"/>
            </w:pPr>
            <w:r>
              <w:t>87,887,078</w:t>
            </w:r>
          </w:p>
        </w:tc>
        <w:tc>
          <w:tcPr>
            <w:tcW w:w="821" w:type="pct"/>
          </w:tcPr>
          <w:p w:rsidR="00260042" w:rsidRDefault="00260042" w:rsidP="0098218E">
            <w:pPr>
              <w:pStyle w:val="BodyText"/>
              <w:jc w:val="right"/>
            </w:pPr>
            <w:r>
              <w:t>73,978,608</w:t>
            </w:r>
          </w:p>
        </w:tc>
        <w:tc>
          <w:tcPr>
            <w:tcW w:w="821" w:type="pct"/>
          </w:tcPr>
          <w:p w:rsidR="00260042" w:rsidRDefault="00260042" w:rsidP="0098218E">
            <w:pPr>
              <w:pStyle w:val="BodyText"/>
              <w:jc w:val="right"/>
            </w:pPr>
            <w:r>
              <w:t>74,579,567</w:t>
            </w:r>
          </w:p>
        </w:tc>
      </w:tr>
      <w:tr w:rsidR="00260042" w:rsidTr="00D31820">
        <w:trPr>
          <w:trHeight w:val="60"/>
        </w:trPr>
        <w:tc>
          <w:tcPr>
            <w:tcW w:w="1717" w:type="pct"/>
          </w:tcPr>
          <w:p w:rsidR="00260042" w:rsidRDefault="00260042" w:rsidP="00D31820">
            <w:pPr>
              <w:pStyle w:val="BodyText"/>
            </w:pPr>
            <w:r>
              <w:t>Property use</w:t>
            </w:r>
            <w:r>
              <w:rPr>
                <w:vertAlign w:val="superscript"/>
              </w:rPr>
              <w:t>(d)</w:t>
            </w:r>
          </w:p>
        </w:tc>
        <w:tc>
          <w:tcPr>
            <w:tcW w:w="821" w:type="pct"/>
          </w:tcPr>
          <w:p w:rsidR="00260042" w:rsidRDefault="00260042" w:rsidP="00D31820">
            <w:pPr>
              <w:pStyle w:val="BodyText"/>
            </w:pPr>
            <w:r>
              <w:t>square metres</w:t>
            </w:r>
          </w:p>
        </w:tc>
        <w:tc>
          <w:tcPr>
            <w:tcW w:w="821" w:type="pct"/>
          </w:tcPr>
          <w:p w:rsidR="00260042" w:rsidRDefault="00260042" w:rsidP="0098218E">
            <w:pPr>
              <w:pStyle w:val="BodyText"/>
              <w:jc w:val="right"/>
            </w:pPr>
            <w:r>
              <w:t>741,694</w:t>
            </w:r>
          </w:p>
        </w:tc>
        <w:tc>
          <w:tcPr>
            <w:tcW w:w="821" w:type="pct"/>
          </w:tcPr>
          <w:p w:rsidR="00260042" w:rsidRDefault="00260042" w:rsidP="0098218E">
            <w:pPr>
              <w:pStyle w:val="BodyText"/>
              <w:jc w:val="right"/>
            </w:pPr>
            <w:r>
              <w:t>730,385</w:t>
            </w:r>
          </w:p>
        </w:tc>
        <w:tc>
          <w:tcPr>
            <w:tcW w:w="821" w:type="pct"/>
          </w:tcPr>
          <w:p w:rsidR="00260042" w:rsidRDefault="00260042" w:rsidP="0098218E">
            <w:pPr>
              <w:pStyle w:val="BodyText"/>
              <w:jc w:val="right"/>
            </w:pPr>
            <w:r>
              <w:t>728,032</w:t>
            </w:r>
          </w:p>
        </w:tc>
      </w:tr>
    </w:tbl>
    <w:p w:rsidR="00260042" w:rsidRDefault="00260042" w:rsidP="00EA5510">
      <w:pPr>
        <w:pStyle w:val="BodyText"/>
      </w:pPr>
      <w:r>
        <w:t>(a)</w:t>
      </w:r>
      <w:r>
        <w:tab/>
        <w:t>Stationary and transport energy reporting for 2020–21 is unavailable before finalising the annual report.</w:t>
      </w:r>
    </w:p>
    <w:p w:rsidR="00260042" w:rsidRDefault="00260042" w:rsidP="00EA5510">
      <w:pPr>
        <w:pStyle w:val="BodyText"/>
      </w:pPr>
      <w:r>
        <w:t>(b)</w:t>
      </w:r>
      <w:r>
        <w:tab/>
        <w:t>Transport energy relates to Services Australia’s fleet vehicles only and does not include air travel.</w:t>
      </w:r>
    </w:p>
    <w:p w:rsidR="00260042" w:rsidRDefault="00260042" w:rsidP="00EA5510">
      <w:pPr>
        <w:pStyle w:val="BodyText"/>
      </w:pPr>
      <w:r>
        <w:t>(c)</w:t>
      </w:r>
      <w:r>
        <w:tab/>
        <w:t>Paper procured by Services Australia and letters printed by an external print provider.</w:t>
      </w:r>
    </w:p>
    <w:p w:rsidR="00260042" w:rsidRDefault="00260042" w:rsidP="00EA5510">
      <w:pPr>
        <w:pStyle w:val="BodyText"/>
      </w:pPr>
      <w:r>
        <w:t>(d)</w:t>
      </w:r>
      <w:r>
        <w:tab/>
        <w:t xml:space="preserve">Figures are for the commercial lease portfolio only and exclude car parking licences and staff housing. </w:t>
      </w:r>
    </w:p>
    <w:p w:rsidR="00260042" w:rsidRPr="00EA5510" w:rsidRDefault="00511254" w:rsidP="00EA5510">
      <w:pPr>
        <w:pStyle w:val="BodyText"/>
        <w:rPr>
          <w:b/>
        </w:rPr>
      </w:pPr>
      <w:r>
        <w:rPr>
          <w:rStyle w:val="Bold"/>
          <w:bCs w:val="0"/>
        </w:rPr>
        <w:t>Table 7</w:t>
      </w:r>
      <w:r>
        <w:rPr>
          <w:rStyle w:val="Bold"/>
          <w:bCs w:val="0"/>
        </w:rPr>
        <w:t>5</w:t>
      </w:r>
      <w:r w:rsidR="00260042" w:rsidRPr="00EA5510">
        <w:rPr>
          <w:b/>
        </w:rPr>
        <w:t xml:space="preserve"> Waste, resource recovery and pollution</w:t>
      </w:r>
    </w:p>
    <w:tbl>
      <w:tblPr>
        <w:tblStyle w:val="TableGrid"/>
        <w:tblW w:w="5000" w:type="pct"/>
        <w:tblLook w:val="0000" w:firstRow="0" w:lastRow="0" w:firstColumn="0" w:lastColumn="0" w:noHBand="0" w:noVBand="0"/>
        <w:tblCaption w:val=" Waste, resource recovery and pollution"/>
      </w:tblPr>
      <w:tblGrid>
        <w:gridCol w:w="3557"/>
        <w:gridCol w:w="1901"/>
        <w:gridCol w:w="1778"/>
        <w:gridCol w:w="1778"/>
        <w:gridCol w:w="1776"/>
      </w:tblGrid>
      <w:tr w:rsidR="00260042" w:rsidTr="00E53AA7">
        <w:trPr>
          <w:trHeight w:val="376"/>
          <w:tblHeader/>
        </w:trPr>
        <w:tc>
          <w:tcPr>
            <w:tcW w:w="1648" w:type="pct"/>
          </w:tcPr>
          <w:p w:rsidR="00260042" w:rsidRPr="00E53AA7" w:rsidRDefault="00260042" w:rsidP="00E53AA7">
            <w:pPr>
              <w:pStyle w:val="BodyText"/>
              <w:rPr>
                <w:b/>
              </w:rPr>
            </w:pPr>
          </w:p>
        </w:tc>
        <w:tc>
          <w:tcPr>
            <w:tcW w:w="881" w:type="pct"/>
          </w:tcPr>
          <w:p w:rsidR="00260042" w:rsidRPr="00E53AA7" w:rsidRDefault="00260042" w:rsidP="00E53AA7">
            <w:pPr>
              <w:pStyle w:val="BodyText"/>
              <w:rPr>
                <w:b/>
              </w:rPr>
            </w:pPr>
            <w:r w:rsidRPr="00E53AA7">
              <w:rPr>
                <w:b/>
              </w:rPr>
              <w:t>Measure</w:t>
            </w:r>
          </w:p>
        </w:tc>
        <w:tc>
          <w:tcPr>
            <w:tcW w:w="824" w:type="pct"/>
          </w:tcPr>
          <w:p w:rsidR="00260042" w:rsidRPr="00E53AA7" w:rsidRDefault="00260042" w:rsidP="00E53AA7">
            <w:pPr>
              <w:pStyle w:val="BodyText"/>
              <w:jc w:val="right"/>
              <w:rPr>
                <w:b/>
              </w:rPr>
            </w:pPr>
            <w:r w:rsidRPr="00E53AA7">
              <w:rPr>
                <w:b/>
              </w:rPr>
              <w:t>2018–19</w:t>
            </w:r>
          </w:p>
        </w:tc>
        <w:tc>
          <w:tcPr>
            <w:tcW w:w="824" w:type="pct"/>
          </w:tcPr>
          <w:p w:rsidR="00260042" w:rsidRPr="00E53AA7" w:rsidRDefault="00260042" w:rsidP="00E53AA7">
            <w:pPr>
              <w:pStyle w:val="BodyText"/>
              <w:jc w:val="right"/>
              <w:rPr>
                <w:b/>
              </w:rPr>
            </w:pPr>
            <w:r w:rsidRPr="00E53AA7">
              <w:rPr>
                <w:b/>
              </w:rPr>
              <w:t>2019–20</w:t>
            </w:r>
          </w:p>
        </w:tc>
        <w:tc>
          <w:tcPr>
            <w:tcW w:w="823" w:type="pct"/>
          </w:tcPr>
          <w:p w:rsidR="00260042" w:rsidRPr="00E53AA7" w:rsidRDefault="00260042" w:rsidP="00E53AA7">
            <w:pPr>
              <w:pStyle w:val="BodyText"/>
              <w:jc w:val="right"/>
              <w:rPr>
                <w:b/>
              </w:rPr>
            </w:pPr>
            <w:r w:rsidRPr="00E53AA7">
              <w:rPr>
                <w:b/>
              </w:rPr>
              <w:t>2020–21</w:t>
            </w:r>
          </w:p>
        </w:tc>
      </w:tr>
      <w:tr w:rsidR="00260042" w:rsidTr="00E53AA7">
        <w:trPr>
          <w:trHeight w:val="60"/>
        </w:trPr>
        <w:tc>
          <w:tcPr>
            <w:tcW w:w="1648" w:type="pct"/>
          </w:tcPr>
          <w:p w:rsidR="00260042" w:rsidRDefault="00260042" w:rsidP="00E53AA7">
            <w:pPr>
              <w:pStyle w:val="BodyText"/>
            </w:pPr>
            <w:r>
              <w:t>Net greenhouse gas emissions — energy use</w:t>
            </w:r>
          </w:p>
        </w:tc>
        <w:tc>
          <w:tcPr>
            <w:tcW w:w="881" w:type="pct"/>
          </w:tcPr>
          <w:p w:rsidR="00260042" w:rsidRDefault="00260042" w:rsidP="00E53AA7">
            <w:pPr>
              <w:pStyle w:val="BodyText"/>
            </w:pPr>
            <w:r>
              <w:t>tonnes of carbon dioxide equivalents</w:t>
            </w:r>
          </w:p>
        </w:tc>
        <w:tc>
          <w:tcPr>
            <w:tcW w:w="824" w:type="pct"/>
          </w:tcPr>
          <w:p w:rsidR="00260042" w:rsidRDefault="00260042" w:rsidP="00E53AA7">
            <w:pPr>
              <w:pStyle w:val="BodyText"/>
              <w:jc w:val="right"/>
            </w:pPr>
            <w:r>
              <w:t>84,312</w:t>
            </w:r>
          </w:p>
        </w:tc>
        <w:tc>
          <w:tcPr>
            <w:tcW w:w="824" w:type="pct"/>
          </w:tcPr>
          <w:p w:rsidR="00260042" w:rsidRDefault="00260042" w:rsidP="00E53AA7">
            <w:pPr>
              <w:pStyle w:val="BodyText"/>
              <w:jc w:val="right"/>
            </w:pPr>
            <w:r>
              <w:t>80,607</w:t>
            </w:r>
          </w:p>
        </w:tc>
        <w:tc>
          <w:tcPr>
            <w:tcW w:w="823" w:type="pct"/>
          </w:tcPr>
          <w:p w:rsidR="00260042" w:rsidRDefault="00260042" w:rsidP="00E53AA7">
            <w:pPr>
              <w:pStyle w:val="BodyText"/>
              <w:jc w:val="right"/>
            </w:pPr>
            <w:r>
              <w:t>NA</w:t>
            </w:r>
            <w:r>
              <w:rPr>
                <w:vertAlign w:val="superscript"/>
              </w:rPr>
              <w:t>(a)</w:t>
            </w:r>
          </w:p>
        </w:tc>
      </w:tr>
      <w:tr w:rsidR="00260042" w:rsidTr="00E53AA7">
        <w:trPr>
          <w:trHeight w:val="60"/>
        </w:trPr>
        <w:tc>
          <w:tcPr>
            <w:tcW w:w="1648" w:type="pct"/>
          </w:tcPr>
          <w:p w:rsidR="00260042" w:rsidRDefault="00260042" w:rsidP="00E53AA7">
            <w:pPr>
              <w:pStyle w:val="BodyText"/>
            </w:pPr>
            <w:r>
              <w:t>Office copy paper recycling</w:t>
            </w:r>
          </w:p>
        </w:tc>
        <w:tc>
          <w:tcPr>
            <w:tcW w:w="881" w:type="pct"/>
          </w:tcPr>
          <w:p w:rsidR="00260042" w:rsidRDefault="00260042" w:rsidP="00E53AA7">
            <w:pPr>
              <w:pStyle w:val="BodyText"/>
            </w:pPr>
            <w:r>
              <w:t>% coverage (square metres)</w:t>
            </w:r>
          </w:p>
        </w:tc>
        <w:tc>
          <w:tcPr>
            <w:tcW w:w="824" w:type="pct"/>
          </w:tcPr>
          <w:p w:rsidR="00260042" w:rsidRDefault="00260042" w:rsidP="00E53AA7">
            <w:pPr>
              <w:pStyle w:val="BodyText"/>
              <w:jc w:val="right"/>
            </w:pPr>
            <w:r>
              <w:t>98</w:t>
            </w:r>
          </w:p>
        </w:tc>
        <w:tc>
          <w:tcPr>
            <w:tcW w:w="824" w:type="pct"/>
          </w:tcPr>
          <w:p w:rsidR="00260042" w:rsidRDefault="00260042" w:rsidP="00E53AA7">
            <w:pPr>
              <w:pStyle w:val="BodyText"/>
              <w:jc w:val="right"/>
            </w:pPr>
            <w:r>
              <w:t>98</w:t>
            </w:r>
          </w:p>
        </w:tc>
        <w:tc>
          <w:tcPr>
            <w:tcW w:w="823" w:type="pct"/>
          </w:tcPr>
          <w:p w:rsidR="00260042" w:rsidRDefault="00260042" w:rsidP="00E53AA7">
            <w:pPr>
              <w:pStyle w:val="BodyText"/>
              <w:jc w:val="right"/>
            </w:pPr>
            <w:r>
              <w:t>97</w:t>
            </w:r>
          </w:p>
        </w:tc>
      </w:tr>
      <w:tr w:rsidR="00260042" w:rsidTr="00E53AA7">
        <w:trPr>
          <w:trHeight w:val="60"/>
        </w:trPr>
        <w:tc>
          <w:tcPr>
            <w:tcW w:w="1648" w:type="pct"/>
          </w:tcPr>
          <w:p w:rsidR="00260042" w:rsidRDefault="00260042" w:rsidP="00E53AA7">
            <w:pPr>
              <w:pStyle w:val="BodyText"/>
            </w:pPr>
            <w:r>
              <w:lastRenderedPageBreak/>
              <w:t>Mobile phone recycling</w:t>
            </w:r>
          </w:p>
        </w:tc>
        <w:tc>
          <w:tcPr>
            <w:tcW w:w="881" w:type="pct"/>
          </w:tcPr>
          <w:p w:rsidR="00260042" w:rsidRDefault="00260042" w:rsidP="00E53AA7">
            <w:pPr>
              <w:pStyle w:val="BodyText"/>
            </w:pPr>
            <w:r>
              <w:t>kilograms</w:t>
            </w:r>
          </w:p>
        </w:tc>
        <w:tc>
          <w:tcPr>
            <w:tcW w:w="824" w:type="pct"/>
          </w:tcPr>
          <w:p w:rsidR="00260042" w:rsidRDefault="00260042" w:rsidP="00E53AA7">
            <w:pPr>
              <w:pStyle w:val="BodyText"/>
              <w:jc w:val="right"/>
            </w:pPr>
            <w:r>
              <w:t>145</w:t>
            </w:r>
          </w:p>
        </w:tc>
        <w:tc>
          <w:tcPr>
            <w:tcW w:w="824" w:type="pct"/>
          </w:tcPr>
          <w:p w:rsidR="00260042" w:rsidRDefault="00260042" w:rsidP="00E53AA7">
            <w:pPr>
              <w:pStyle w:val="BodyText"/>
              <w:jc w:val="right"/>
            </w:pPr>
            <w:r>
              <w:t>108</w:t>
            </w:r>
          </w:p>
        </w:tc>
        <w:tc>
          <w:tcPr>
            <w:tcW w:w="823" w:type="pct"/>
          </w:tcPr>
          <w:p w:rsidR="00260042" w:rsidRDefault="00260042" w:rsidP="00E53AA7">
            <w:pPr>
              <w:pStyle w:val="BodyText"/>
              <w:jc w:val="right"/>
            </w:pPr>
            <w:r>
              <w:t>17</w:t>
            </w:r>
          </w:p>
        </w:tc>
      </w:tr>
      <w:tr w:rsidR="00260042" w:rsidTr="00E53AA7">
        <w:trPr>
          <w:trHeight w:val="60"/>
        </w:trPr>
        <w:tc>
          <w:tcPr>
            <w:tcW w:w="1648" w:type="pct"/>
          </w:tcPr>
          <w:p w:rsidR="00260042" w:rsidRDefault="00260042" w:rsidP="00E53AA7">
            <w:pPr>
              <w:pStyle w:val="BodyText"/>
            </w:pPr>
            <w:r>
              <w:t>Fluorescent and other lamps recycled</w:t>
            </w:r>
          </w:p>
        </w:tc>
        <w:tc>
          <w:tcPr>
            <w:tcW w:w="881" w:type="pct"/>
          </w:tcPr>
          <w:p w:rsidR="00260042" w:rsidRDefault="00260042" w:rsidP="00E53AA7">
            <w:pPr>
              <w:pStyle w:val="BodyText"/>
            </w:pPr>
            <w:r>
              <w:t>units</w:t>
            </w:r>
          </w:p>
        </w:tc>
        <w:tc>
          <w:tcPr>
            <w:tcW w:w="824" w:type="pct"/>
          </w:tcPr>
          <w:p w:rsidR="00260042" w:rsidRDefault="00260042" w:rsidP="00E53AA7">
            <w:pPr>
              <w:pStyle w:val="BodyText"/>
              <w:jc w:val="right"/>
            </w:pPr>
            <w:r>
              <w:t>4,795</w:t>
            </w:r>
          </w:p>
        </w:tc>
        <w:tc>
          <w:tcPr>
            <w:tcW w:w="824" w:type="pct"/>
          </w:tcPr>
          <w:p w:rsidR="00260042" w:rsidRDefault="00260042" w:rsidP="00E53AA7">
            <w:pPr>
              <w:pStyle w:val="BodyText"/>
              <w:jc w:val="right"/>
            </w:pPr>
            <w:r>
              <w:t>5,100</w:t>
            </w:r>
          </w:p>
        </w:tc>
        <w:tc>
          <w:tcPr>
            <w:tcW w:w="823" w:type="pct"/>
          </w:tcPr>
          <w:p w:rsidR="00260042" w:rsidRDefault="00260042" w:rsidP="00E53AA7">
            <w:pPr>
              <w:pStyle w:val="BodyText"/>
              <w:jc w:val="right"/>
            </w:pPr>
            <w:r>
              <w:t>4,203</w:t>
            </w:r>
          </w:p>
        </w:tc>
      </w:tr>
    </w:tbl>
    <w:p w:rsidR="00260042" w:rsidRDefault="00260042" w:rsidP="00EA5510">
      <w:pPr>
        <w:pStyle w:val="BodyText"/>
      </w:pPr>
      <w:r>
        <w:t>(a)</w:t>
      </w:r>
      <w:r>
        <w:tab/>
        <w:t>Stationary and transport net greenhouse gas emissions for 2020–21 is unavailable before finalising the annual report.</w:t>
      </w:r>
    </w:p>
    <w:p w:rsidR="00260042" w:rsidRDefault="00260042" w:rsidP="002E64CE">
      <w:pPr>
        <w:pStyle w:val="Heading3"/>
      </w:pPr>
      <w:r>
        <w:t>How we minimise the effect of activities on the environment – section 516(6</w:t>
      </w:r>
      <w:proofErr w:type="gramStart"/>
      <w:r>
        <w:t>)</w:t>
      </w:r>
      <w:r>
        <w:rPr>
          <w:caps/>
        </w:rPr>
        <w:t>(</w:t>
      </w:r>
      <w:proofErr w:type="gramEnd"/>
      <w:r>
        <w:rPr>
          <w:caps/>
        </w:rPr>
        <w:t>d)</w:t>
      </w:r>
    </w:p>
    <w:p w:rsidR="00260042" w:rsidRDefault="00260042" w:rsidP="00260042">
      <w:pPr>
        <w:pStyle w:val="BodyText"/>
      </w:pPr>
      <w:r>
        <w:t xml:space="preserve">Services Australia’s </w:t>
      </w:r>
      <w:r>
        <w:rPr>
          <w:rStyle w:val="Italic"/>
        </w:rPr>
        <w:t>Environmental Sustainability Policy</w:t>
      </w:r>
      <w:r>
        <w:t xml:space="preserve"> (available at </w:t>
      </w:r>
      <w:r>
        <w:rPr>
          <w:rStyle w:val="Bold"/>
        </w:rPr>
        <w:t>servicesaustralia.gov.au</w:t>
      </w:r>
      <w:r>
        <w:t>) guides our efforts to minimise the effect of our activities on the environment and to drive better practice, performance and accountability.</w:t>
      </w:r>
    </w:p>
    <w:p w:rsidR="00260042" w:rsidRDefault="00260042" w:rsidP="00260042">
      <w:pPr>
        <w:pStyle w:val="BodyText"/>
      </w:pPr>
      <w:r>
        <w:t>We assess any proposed environmental initiative or measure by conducting a cost–benefit analysis that includes other business benefits associated with the initiative.</w:t>
      </w:r>
    </w:p>
    <w:p w:rsidR="00260042" w:rsidRPr="00EA5510" w:rsidRDefault="00511254" w:rsidP="00EA5510">
      <w:pPr>
        <w:pStyle w:val="BodyText"/>
        <w:rPr>
          <w:b/>
        </w:rPr>
      </w:pPr>
      <w:r>
        <w:rPr>
          <w:rStyle w:val="Bold"/>
          <w:bCs w:val="0"/>
        </w:rPr>
        <w:t>Table 7</w:t>
      </w:r>
      <w:r>
        <w:rPr>
          <w:rStyle w:val="Bold"/>
          <w:bCs w:val="0"/>
        </w:rPr>
        <w:t>6</w:t>
      </w:r>
      <w:r w:rsidR="00260042" w:rsidRPr="00EA5510">
        <w:rPr>
          <w:b/>
        </w:rPr>
        <w:t xml:space="preserve"> Measures taken to minimise effect on the environment </w:t>
      </w:r>
    </w:p>
    <w:tbl>
      <w:tblPr>
        <w:tblStyle w:val="TableGrid"/>
        <w:tblW w:w="5000" w:type="pct"/>
        <w:tblLook w:val="0000" w:firstRow="0" w:lastRow="0" w:firstColumn="0" w:lastColumn="0" w:noHBand="0" w:noVBand="0"/>
        <w:tblCaption w:val="Measures taken to minimise effect on the environment "/>
      </w:tblPr>
      <w:tblGrid>
        <w:gridCol w:w="2389"/>
        <w:gridCol w:w="8401"/>
      </w:tblGrid>
      <w:tr w:rsidR="00260042" w:rsidTr="00E53AA7">
        <w:trPr>
          <w:trHeight w:val="60"/>
          <w:tblHeader/>
        </w:trPr>
        <w:tc>
          <w:tcPr>
            <w:tcW w:w="1107" w:type="pct"/>
          </w:tcPr>
          <w:p w:rsidR="00260042" w:rsidRPr="00E53AA7" w:rsidRDefault="00260042" w:rsidP="00E53AA7">
            <w:pPr>
              <w:pStyle w:val="BodyText"/>
              <w:rPr>
                <w:b/>
              </w:rPr>
            </w:pPr>
            <w:r w:rsidRPr="00E53AA7">
              <w:rPr>
                <w:b/>
              </w:rPr>
              <w:t>Activity</w:t>
            </w:r>
          </w:p>
        </w:tc>
        <w:tc>
          <w:tcPr>
            <w:tcW w:w="3893" w:type="pct"/>
          </w:tcPr>
          <w:p w:rsidR="00260042" w:rsidRPr="00E53AA7" w:rsidRDefault="00260042" w:rsidP="00E53AA7">
            <w:pPr>
              <w:pStyle w:val="BodyText"/>
              <w:rPr>
                <w:b/>
              </w:rPr>
            </w:pPr>
            <w:r w:rsidRPr="00E53AA7">
              <w:rPr>
                <w:b/>
              </w:rPr>
              <w:t xml:space="preserve">Measure </w:t>
            </w:r>
          </w:p>
        </w:tc>
      </w:tr>
      <w:tr w:rsidR="00260042" w:rsidTr="00E53AA7">
        <w:trPr>
          <w:trHeight w:val="60"/>
        </w:trPr>
        <w:tc>
          <w:tcPr>
            <w:tcW w:w="1107" w:type="pct"/>
          </w:tcPr>
          <w:p w:rsidR="00260042" w:rsidRDefault="00260042" w:rsidP="00E53AA7">
            <w:pPr>
              <w:pStyle w:val="BodyText"/>
            </w:pPr>
            <w:r>
              <w:t>Air travel</w:t>
            </w:r>
          </w:p>
        </w:tc>
        <w:tc>
          <w:tcPr>
            <w:tcW w:w="3893" w:type="pct"/>
          </w:tcPr>
          <w:p w:rsidR="00260042" w:rsidRDefault="00260042" w:rsidP="00EA5510">
            <w:pPr>
              <w:pStyle w:val="ListBullet"/>
            </w:pPr>
            <w:r>
              <w:t>Services Australia encourages staff to use online conferencing rather than air travel to attend meetings.</w:t>
            </w:r>
          </w:p>
        </w:tc>
      </w:tr>
      <w:tr w:rsidR="00260042" w:rsidTr="00E53AA7">
        <w:trPr>
          <w:trHeight w:val="60"/>
        </w:trPr>
        <w:tc>
          <w:tcPr>
            <w:tcW w:w="1107" w:type="pct"/>
          </w:tcPr>
          <w:p w:rsidR="00260042" w:rsidRDefault="00260042" w:rsidP="00E53AA7">
            <w:pPr>
              <w:pStyle w:val="BodyText"/>
            </w:pPr>
            <w:r>
              <w:t>Building operations</w:t>
            </w:r>
          </w:p>
        </w:tc>
        <w:tc>
          <w:tcPr>
            <w:tcW w:w="3893" w:type="pct"/>
          </w:tcPr>
          <w:p w:rsidR="00260042" w:rsidRDefault="00260042" w:rsidP="008930A3">
            <w:pPr>
              <w:pStyle w:val="ListBullet"/>
            </w:pPr>
            <w:r>
              <w:t xml:space="preserve">Services Australia improved overall energy efficiency in our large offices, guided by the Green Lease Schedule for </w:t>
            </w:r>
            <w:proofErr w:type="gramStart"/>
            <w:r>
              <w:t>landlords</w:t>
            </w:r>
            <w:proofErr w:type="gramEnd"/>
            <w:r>
              <w:t xml:space="preserve"> and tenants.</w:t>
            </w:r>
          </w:p>
          <w:p w:rsidR="00260042" w:rsidRDefault="00260042" w:rsidP="008930A3">
            <w:pPr>
              <w:pStyle w:val="ListBullet"/>
            </w:pPr>
            <w:r>
              <w:t xml:space="preserve">Services Australia conducted National Australian Built Environment Rating System (NABERS) energy assessments at offices over 2000m2 with Green Leases. </w:t>
            </w:r>
          </w:p>
          <w:p w:rsidR="00260042" w:rsidRDefault="00260042" w:rsidP="008930A3">
            <w:pPr>
              <w:pStyle w:val="ListBullet"/>
            </w:pPr>
            <w:r>
              <w:t>Services Australia continued to consider sites to roll out a photovoltaic solar installation program to reduce greenhouse emissions and energy costs and to support local electricity grid stability.</w:t>
            </w:r>
          </w:p>
          <w:p w:rsidR="00260042" w:rsidRDefault="00260042" w:rsidP="008930A3">
            <w:pPr>
              <w:pStyle w:val="ListBullet"/>
            </w:pPr>
            <w:r>
              <w:t>Services Australia’s Leasing Heads of Agreement requires lessors to consider installing photovoltaic solar systems and/or upgrading to LED lighting at selected sites. We use reputable eco-labels, certifications and other environmental standards to improve environmental performance – such as Green Star for selected building designs and fit-out, and the Energy Rating Label star system for electrical appliances.</w:t>
            </w:r>
          </w:p>
          <w:p w:rsidR="00260042" w:rsidRDefault="00260042" w:rsidP="00EA5510">
            <w:pPr>
              <w:pStyle w:val="ListBullet"/>
            </w:pPr>
            <w:r>
              <w:t>Services Australia participates in Earth Hour each year to promote sustainability.</w:t>
            </w:r>
          </w:p>
        </w:tc>
      </w:tr>
      <w:tr w:rsidR="00260042" w:rsidTr="00E53AA7">
        <w:trPr>
          <w:trHeight w:val="60"/>
        </w:trPr>
        <w:tc>
          <w:tcPr>
            <w:tcW w:w="1107" w:type="pct"/>
          </w:tcPr>
          <w:p w:rsidR="00260042" w:rsidRDefault="00260042" w:rsidP="00E53AA7">
            <w:pPr>
              <w:pStyle w:val="BodyText"/>
            </w:pPr>
            <w:r>
              <w:t>ICT</w:t>
            </w:r>
          </w:p>
        </w:tc>
        <w:tc>
          <w:tcPr>
            <w:tcW w:w="3893" w:type="pct"/>
          </w:tcPr>
          <w:p w:rsidR="00260042" w:rsidRDefault="00260042" w:rsidP="008930A3">
            <w:pPr>
              <w:pStyle w:val="ListBullet"/>
            </w:pPr>
            <w:r>
              <w:t>Data centres are located in highly energy-efficient premises.</w:t>
            </w:r>
          </w:p>
          <w:p w:rsidR="00260042" w:rsidRDefault="00260042" w:rsidP="008930A3">
            <w:pPr>
              <w:pStyle w:val="ListBullet"/>
            </w:pPr>
            <w:r>
              <w:t>Services Australia continues to virtualise server applications, which reduces the need to purchase extra servers.</w:t>
            </w:r>
          </w:p>
          <w:p w:rsidR="00260042" w:rsidRDefault="00260042" w:rsidP="008930A3">
            <w:pPr>
              <w:pStyle w:val="ListBullet"/>
            </w:pPr>
            <w:r>
              <w:lastRenderedPageBreak/>
              <w:t>Services Australia continues to roll out docked tablets to enable better workforce mobility, which have reduced electricity consumption compared to desktop PCs.</w:t>
            </w:r>
          </w:p>
          <w:p w:rsidR="00260042" w:rsidRDefault="00260042" w:rsidP="008930A3">
            <w:pPr>
              <w:pStyle w:val="ListBullet"/>
            </w:pPr>
            <w:r>
              <w:t>Desktop computers automatically shut down after three hours of inactivity.</w:t>
            </w:r>
          </w:p>
          <w:p w:rsidR="00260042" w:rsidRDefault="00260042" w:rsidP="00EA5510">
            <w:pPr>
              <w:pStyle w:val="ListBullet"/>
            </w:pPr>
            <w:r>
              <w:t xml:space="preserve">Printers and multifunction devices </w:t>
            </w:r>
            <w:proofErr w:type="gramStart"/>
            <w:r>
              <w:t>are allocated</w:t>
            </w:r>
            <w:proofErr w:type="gramEnd"/>
            <w:r>
              <w:t xml:space="preserve"> to maximise resource efficiency.</w:t>
            </w:r>
          </w:p>
        </w:tc>
      </w:tr>
      <w:tr w:rsidR="00260042" w:rsidTr="00E53AA7">
        <w:trPr>
          <w:trHeight w:val="60"/>
        </w:trPr>
        <w:tc>
          <w:tcPr>
            <w:tcW w:w="1107" w:type="pct"/>
          </w:tcPr>
          <w:p w:rsidR="00260042" w:rsidRDefault="00260042" w:rsidP="00E53AA7">
            <w:pPr>
              <w:pStyle w:val="BodyText"/>
            </w:pPr>
            <w:r>
              <w:lastRenderedPageBreak/>
              <w:t>Management and communication</w:t>
            </w:r>
          </w:p>
        </w:tc>
        <w:tc>
          <w:tcPr>
            <w:tcW w:w="3893" w:type="pct"/>
          </w:tcPr>
          <w:p w:rsidR="00260042" w:rsidRDefault="00260042" w:rsidP="008930A3">
            <w:pPr>
              <w:pStyle w:val="ListBullet"/>
            </w:pPr>
            <w:r>
              <w:t>Services Australia’s Environmental Sustainability Policy continues to strengthen our environmental management program.</w:t>
            </w:r>
          </w:p>
          <w:p w:rsidR="00260042" w:rsidRDefault="00260042" w:rsidP="008930A3">
            <w:pPr>
              <w:pStyle w:val="ListBullet"/>
            </w:pPr>
            <w:r>
              <w:t>Services Australia uses an online sustainability reporting system to improve reporting and performance capability.</w:t>
            </w:r>
          </w:p>
          <w:p w:rsidR="00260042" w:rsidRDefault="00260042" w:rsidP="008930A3">
            <w:pPr>
              <w:pStyle w:val="ListBullet"/>
            </w:pPr>
            <w:r>
              <w:t>Services Australia continues to promote and communicate environmental initiatives within our offices.</w:t>
            </w:r>
          </w:p>
          <w:p w:rsidR="00260042" w:rsidRDefault="00260042" w:rsidP="00EA5510">
            <w:pPr>
              <w:pStyle w:val="ListBullet"/>
            </w:pPr>
            <w:r>
              <w:t>Services Australia uses reputable eco-labels and environmental standards in making relevant procurement decisions, to improve environmental performance at product and supplier levels.</w:t>
            </w:r>
          </w:p>
        </w:tc>
      </w:tr>
      <w:tr w:rsidR="00260042" w:rsidTr="00E53AA7">
        <w:trPr>
          <w:trHeight w:val="60"/>
        </w:trPr>
        <w:tc>
          <w:tcPr>
            <w:tcW w:w="1107" w:type="pct"/>
          </w:tcPr>
          <w:p w:rsidR="00260042" w:rsidRDefault="00260042" w:rsidP="00E53AA7">
            <w:pPr>
              <w:pStyle w:val="BodyText"/>
            </w:pPr>
            <w:r>
              <w:t>Motor vehicle travel</w:t>
            </w:r>
          </w:p>
        </w:tc>
        <w:tc>
          <w:tcPr>
            <w:tcW w:w="3893" w:type="pct"/>
          </w:tcPr>
          <w:p w:rsidR="00260042" w:rsidRDefault="00260042" w:rsidP="008930A3">
            <w:pPr>
              <w:pStyle w:val="ListBullet"/>
            </w:pPr>
            <w:r>
              <w:t>Services Australia procures energy-efficient vehicles in line with the Australian Government Fleet Vehicle Selection Policy.</w:t>
            </w:r>
          </w:p>
          <w:p w:rsidR="00260042" w:rsidRDefault="00260042" w:rsidP="00EA5510">
            <w:pPr>
              <w:pStyle w:val="ListBullet"/>
            </w:pPr>
            <w:r>
              <w:t xml:space="preserve">An electronic </w:t>
            </w:r>
            <w:proofErr w:type="gramStart"/>
            <w:r>
              <w:t>log book</w:t>
            </w:r>
            <w:proofErr w:type="gramEnd"/>
            <w:r>
              <w:t xml:space="preserve"> system continues to accurately monitor and manage vehicle use and to improve reporting quality.</w:t>
            </w:r>
          </w:p>
        </w:tc>
      </w:tr>
      <w:tr w:rsidR="00260042" w:rsidTr="00E53AA7">
        <w:trPr>
          <w:trHeight w:val="60"/>
        </w:trPr>
        <w:tc>
          <w:tcPr>
            <w:tcW w:w="1107" w:type="pct"/>
          </w:tcPr>
          <w:p w:rsidR="00260042" w:rsidRDefault="00260042" w:rsidP="00E53AA7">
            <w:pPr>
              <w:pStyle w:val="BodyText"/>
            </w:pPr>
            <w:r>
              <w:t>Stationery (including paper)</w:t>
            </w:r>
          </w:p>
        </w:tc>
        <w:tc>
          <w:tcPr>
            <w:tcW w:w="3893" w:type="pct"/>
          </w:tcPr>
          <w:p w:rsidR="00260042" w:rsidRDefault="00260042" w:rsidP="008930A3">
            <w:pPr>
              <w:pStyle w:val="ListBullet"/>
            </w:pPr>
            <w:proofErr w:type="gramStart"/>
            <w:r>
              <w:t>92%</w:t>
            </w:r>
            <w:proofErr w:type="gramEnd"/>
            <w:r>
              <w:t xml:space="preserve"> of the paper purchased for internal printers, photocopiers and multifunction devices was 100% recycled content paper.</w:t>
            </w:r>
          </w:p>
          <w:p w:rsidR="00260042" w:rsidRDefault="00260042" w:rsidP="00EA5510">
            <w:pPr>
              <w:pStyle w:val="ListBullet"/>
            </w:pPr>
            <w:r>
              <w:t>Services Australia has increased its digital record-keeping capability and has greatly reduced the number of paper-based files.</w:t>
            </w:r>
          </w:p>
        </w:tc>
      </w:tr>
      <w:tr w:rsidR="00260042" w:rsidTr="00E53AA7">
        <w:trPr>
          <w:trHeight w:val="60"/>
        </w:trPr>
        <w:tc>
          <w:tcPr>
            <w:tcW w:w="1107" w:type="pct"/>
          </w:tcPr>
          <w:p w:rsidR="00260042" w:rsidRDefault="00260042" w:rsidP="00E53AA7">
            <w:pPr>
              <w:pStyle w:val="BodyText"/>
            </w:pPr>
            <w:r>
              <w:t>Waste</w:t>
            </w:r>
          </w:p>
        </w:tc>
        <w:tc>
          <w:tcPr>
            <w:tcW w:w="3893" w:type="pct"/>
          </w:tcPr>
          <w:p w:rsidR="00260042" w:rsidRDefault="00260042" w:rsidP="008930A3">
            <w:pPr>
              <w:pStyle w:val="ListBullet"/>
            </w:pPr>
            <w:r>
              <w:t>Services Australia supports Mobile Muster to transform the components from mobile phone waste into valuable materials for reuse.</w:t>
            </w:r>
          </w:p>
          <w:p w:rsidR="00260042" w:rsidRDefault="00260042" w:rsidP="008930A3">
            <w:pPr>
              <w:pStyle w:val="ListBullet"/>
            </w:pPr>
            <w:r>
              <w:t xml:space="preserve">Services Australia supports the </w:t>
            </w:r>
            <w:proofErr w:type="spellStart"/>
            <w:r>
              <w:t>FluoroCycle</w:t>
            </w:r>
            <w:proofErr w:type="spellEnd"/>
            <w:r>
              <w:t xml:space="preserve"> scheme to ensure that hazardous fluorescent lamps are recycled on disposal.</w:t>
            </w:r>
          </w:p>
          <w:p w:rsidR="00260042" w:rsidRDefault="00260042" w:rsidP="008930A3">
            <w:pPr>
              <w:pStyle w:val="ListBullet"/>
            </w:pPr>
            <w:r>
              <w:t>Services Australia supports Green Technology Recycling (ACT) and MRI E-Cycle Solutions to recover and recycle non-renewable resources from all battery types. This keeps toxic substances out of landfill.</w:t>
            </w:r>
          </w:p>
          <w:p w:rsidR="00260042" w:rsidRDefault="00260042" w:rsidP="00EA5510">
            <w:pPr>
              <w:pStyle w:val="ListBullet"/>
            </w:pPr>
            <w:r>
              <w:t xml:space="preserve">Services Australia is </w:t>
            </w:r>
            <w:proofErr w:type="gramStart"/>
            <w:r>
              <w:t>trialling organics waste bins</w:t>
            </w:r>
            <w:proofErr w:type="gramEnd"/>
            <w:r>
              <w:t xml:space="preserve"> in an ACT tenancy. A local ACT business collects the organic waste to produce a nutritious soil conditioner and a high protein insect meal. This initiative diverted 1.15 tonnes of waste from landfill in 2020–21.</w:t>
            </w:r>
          </w:p>
        </w:tc>
      </w:tr>
    </w:tbl>
    <w:p w:rsidR="00260042" w:rsidRDefault="00260042" w:rsidP="002E64CE">
      <w:pPr>
        <w:pStyle w:val="Heading3"/>
      </w:pPr>
      <w:r>
        <w:lastRenderedPageBreak/>
        <w:t>Mechanisms to review and increase the effectiveness of those measures – section 516(6</w:t>
      </w:r>
      <w:proofErr w:type="gramStart"/>
      <w:r>
        <w:t>)(</w:t>
      </w:r>
      <w:proofErr w:type="gramEnd"/>
      <w:r>
        <w:rPr>
          <w:caps/>
        </w:rPr>
        <w:t>e</w:t>
      </w:r>
      <w:r>
        <w:t>)</w:t>
      </w:r>
    </w:p>
    <w:p w:rsidR="00260042" w:rsidRDefault="00260042" w:rsidP="00260042">
      <w:pPr>
        <w:pStyle w:val="BodyText"/>
      </w:pPr>
      <w:proofErr w:type="gramStart"/>
      <w:r>
        <w:t>In 2020–21, Services Australia continued to review and report on our environmental performance and seek ways to achieve further improvements.</w:t>
      </w:r>
      <w:proofErr w:type="gramEnd"/>
      <w:r>
        <w:t xml:space="preserve"> Table 77 outlines our performance against the</w:t>
      </w:r>
      <w:r>
        <w:rPr>
          <w:rStyle w:val="Italic"/>
        </w:rPr>
        <w:t xml:space="preserve"> Energy Efficiency in Government Operations (EEGO) policy</w:t>
      </w:r>
      <w:r>
        <w:t xml:space="preserve"> targets.</w:t>
      </w:r>
    </w:p>
    <w:p w:rsidR="00260042" w:rsidRPr="00EA5510" w:rsidRDefault="00511254" w:rsidP="00EA5510">
      <w:pPr>
        <w:pStyle w:val="BodyText"/>
        <w:rPr>
          <w:b/>
        </w:rPr>
      </w:pPr>
      <w:r>
        <w:rPr>
          <w:rStyle w:val="Bold"/>
          <w:bCs w:val="0"/>
        </w:rPr>
        <w:t>Table 7</w:t>
      </w:r>
      <w:r>
        <w:rPr>
          <w:rStyle w:val="Bold"/>
          <w:bCs w:val="0"/>
        </w:rPr>
        <w:t>7</w:t>
      </w:r>
      <w:bookmarkStart w:id="0" w:name="_GoBack"/>
      <w:bookmarkEnd w:id="0"/>
      <w:r w:rsidR="00260042" w:rsidRPr="00EA5510">
        <w:rPr>
          <w:b/>
        </w:rPr>
        <w:t xml:space="preserve"> Office energy performance </w:t>
      </w:r>
    </w:p>
    <w:tbl>
      <w:tblPr>
        <w:tblStyle w:val="TableGrid"/>
        <w:tblW w:w="5000" w:type="pct"/>
        <w:tblLook w:val="0000" w:firstRow="0" w:lastRow="0" w:firstColumn="0" w:lastColumn="0" w:noHBand="0" w:noVBand="0"/>
        <w:tblCaption w:val="Office energy performance "/>
      </w:tblPr>
      <w:tblGrid>
        <w:gridCol w:w="3557"/>
        <w:gridCol w:w="1901"/>
        <w:gridCol w:w="1778"/>
        <w:gridCol w:w="1778"/>
        <w:gridCol w:w="1776"/>
      </w:tblGrid>
      <w:tr w:rsidR="00260042" w:rsidTr="00E53AA7">
        <w:trPr>
          <w:trHeight w:val="376"/>
          <w:tblHeader/>
        </w:trPr>
        <w:tc>
          <w:tcPr>
            <w:tcW w:w="1648" w:type="pct"/>
          </w:tcPr>
          <w:p w:rsidR="00260042" w:rsidRPr="00E53AA7" w:rsidRDefault="00260042" w:rsidP="00E53AA7">
            <w:pPr>
              <w:pStyle w:val="BodyText"/>
              <w:rPr>
                <w:b/>
              </w:rPr>
            </w:pPr>
            <w:r w:rsidRPr="00E53AA7">
              <w:rPr>
                <w:b/>
              </w:rPr>
              <w:t xml:space="preserve">Measures </w:t>
            </w:r>
          </w:p>
        </w:tc>
        <w:tc>
          <w:tcPr>
            <w:tcW w:w="881" w:type="pct"/>
          </w:tcPr>
          <w:p w:rsidR="00260042" w:rsidRPr="00E53AA7" w:rsidRDefault="00260042" w:rsidP="00E53AA7">
            <w:pPr>
              <w:pStyle w:val="BodyText"/>
              <w:rPr>
                <w:b/>
              </w:rPr>
            </w:pPr>
            <w:r w:rsidRPr="00E53AA7">
              <w:rPr>
                <w:b/>
              </w:rPr>
              <w:t>EEGO target</w:t>
            </w:r>
          </w:p>
        </w:tc>
        <w:tc>
          <w:tcPr>
            <w:tcW w:w="824" w:type="pct"/>
          </w:tcPr>
          <w:p w:rsidR="00260042" w:rsidRPr="00E53AA7" w:rsidRDefault="00260042" w:rsidP="00E53AA7">
            <w:pPr>
              <w:pStyle w:val="BodyText"/>
              <w:jc w:val="right"/>
              <w:rPr>
                <w:b/>
              </w:rPr>
            </w:pPr>
            <w:r w:rsidRPr="00E53AA7">
              <w:rPr>
                <w:b/>
              </w:rPr>
              <w:t>2018–19</w:t>
            </w:r>
          </w:p>
        </w:tc>
        <w:tc>
          <w:tcPr>
            <w:tcW w:w="824" w:type="pct"/>
          </w:tcPr>
          <w:p w:rsidR="00260042" w:rsidRPr="00E53AA7" w:rsidRDefault="00260042" w:rsidP="00E53AA7">
            <w:pPr>
              <w:pStyle w:val="BodyText"/>
              <w:jc w:val="right"/>
              <w:rPr>
                <w:b/>
              </w:rPr>
            </w:pPr>
            <w:r w:rsidRPr="00E53AA7">
              <w:rPr>
                <w:b/>
              </w:rPr>
              <w:t>2019–20</w:t>
            </w:r>
          </w:p>
        </w:tc>
        <w:tc>
          <w:tcPr>
            <w:tcW w:w="823" w:type="pct"/>
          </w:tcPr>
          <w:p w:rsidR="00260042" w:rsidRPr="00E53AA7" w:rsidRDefault="00260042" w:rsidP="00E53AA7">
            <w:pPr>
              <w:pStyle w:val="BodyText"/>
              <w:jc w:val="right"/>
              <w:rPr>
                <w:b/>
              </w:rPr>
            </w:pPr>
            <w:r w:rsidRPr="00E53AA7">
              <w:rPr>
                <w:b/>
              </w:rPr>
              <w:t>2020–21</w:t>
            </w:r>
          </w:p>
        </w:tc>
      </w:tr>
      <w:tr w:rsidR="00260042" w:rsidTr="00E53AA7">
        <w:trPr>
          <w:trHeight w:val="60"/>
        </w:trPr>
        <w:tc>
          <w:tcPr>
            <w:tcW w:w="1648" w:type="pct"/>
          </w:tcPr>
          <w:p w:rsidR="00260042" w:rsidRDefault="00260042" w:rsidP="00E53AA7">
            <w:pPr>
              <w:pStyle w:val="BodyText"/>
            </w:pPr>
            <w:r>
              <w:t>Office – tenant light and power (</w:t>
            </w:r>
            <w:proofErr w:type="spellStart"/>
            <w:r>
              <w:t>megajoules</w:t>
            </w:r>
            <w:proofErr w:type="spellEnd"/>
            <w:r>
              <w:t xml:space="preserve"> per person)</w:t>
            </w:r>
          </w:p>
        </w:tc>
        <w:tc>
          <w:tcPr>
            <w:tcW w:w="881" w:type="pct"/>
          </w:tcPr>
          <w:p w:rsidR="00260042" w:rsidRDefault="00260042" w:rsidP="00E53AA7">
            <w:pPr>
              <w:pStyle w:val="BodyText"/>
            </w:pPr>
            <w:r>
              <w:t>7,500</w:t>
            </w:r>
          </w:p>
        </w:tc>
        <w:tc>
          <w:tcPr>
            <w:tcW w:w="824" w:type="pct"/>
          </w:tcPr>
          <w:p w:rsidR="00260042" w:rsidRDefault="00260042" w:rsidP="00E53AA7">
            <w:pPr>
              <w:pStyle w:val="BodyText"/>
              <w:jc w:val="right"/>
            </w:pPr>
            <w:r>
              <w:t>6,649</w:t>
            </w:r>
          </w:p>
        </w:tc>
        <w:tc>
          <w:tcPr>
            <w:tcW w:w="824" w:type="pct"/>
          </w:tcPr>
          <w:p w:rsidR="00260042" w:rsidRDefault="00260042" w:rsidP="00E53AA7">
            <w:pPr>
              <w:pStyle w:val="BodyText"/>
              <w:jc w:val="right"/>
            </w:pPr>
            <w:r>
              <w:t>6,667</w:t>
            </w:r>
          </w:p>
        </w:tc>
        <w:tc>
          <w:tcPr>
            <w:tcW w:w="823" w:type="pct"/>
          </w:tcPr>
          <w:p w:rsidR="00260042" w:rsidRDefault="00260042" w:rsidP="00E53AA7">
            <w:pPr>
              <w:pStyle w:val="BodyText"/>
              <w:jc w:val="right"/>
            </w:pPr>
            <w:r>
              <w:t>NA</w:t>
            </w:r>
            <w:r>
              <w:rPr>
                <w:vertAlign w:val="superscript"/>
              </w:rPr>
              <w:t>(a)</w:t>
            </w:r>
          </w:p>
        </w:tc>
      </w:tr>
      <w:tr w:rsidR="00260042" w:rsidTr="00E53AA7">
        <w:trPr>
          <w:trHeight w:val="60"/>
        </w:trPr>
        <w:tc>
          <w:tcPr>
            <w:tcW w:w="1648" w:type="pct"/>
          </w:tcPr>
          <w:p w:rsidR="00260042" w:rsidRDefault="00260042" w:rsidP="00E53AA7">
            <w:pPr>
              <w:pStyle w:val="BodyText"/>
            </w:pPr>
            <w:r>
              <w:t>Office – central services (</w:t>
            </w:r>
            <w:proofErr w:type="spellStart"/>
            <w:r>
              <w:t>megajoules</w:t>
            </w:r>
            <w:proofErr w:type="spellEnd"/>
            <w:r>
              <w:t xml:space="preserve"> per square metre)</w:t>
            </w:r>
          </w:p>
        </w:tc>
        <w:tc>
          <w:tcPr>
            <w:tcW w:w="881" w:type="pct"/>
          </w:tcPr>
          <w:p w:rsidR="00260042" w:rsidRDefault="00260042" w:rsidP="00E53AA7">
            <w:pPr>
              <w:pStyle w:val="BodyText"/>
            </w:pPr>
            <w:r>
              <w:t>400</w:t>
            </w:r>
          </w:p>
        </w:tc>
        <w:tc>
          <w:tcPr>
            <w:tcW w:w="824" w:type="pct"/>
          </w:tcPr>
          <w:p w:rsidR="00260042" w:rsidRDefault="00260042" w:rsidP="00E53AA7">
            <w:pPr>
              <w:pStyle w:val="BodyText"/>
              <w:jc w:val="right"/>
            </w:pPr>
            <w:r>
              <w:t>294</w:t>
            </w:r>
          </w:p>
        </w:tc>
        <w:tc>
          <w:tcPr>
            <w:tcW w:w="824" w:type="pct"/>
          </w:tcPr>
          <w:p w:rsidR="00260042" w:rsidRDefault="00260042" w:rsidP="00E53AA7">
            <w:pPr>
              <w:pStyle w:val="BodyText"/>
              <w:jc w:val="right"/>
            </w:pPr>
            <w:r>
              <w:t>286</w:t>
            </w:r>
          </w:p>
        </w:tc>
        <w:tc>
          <w:tcPr>
            <w:tcW w:w="823" w:type="pct"/>
          </w:tcPr>
          <w:p w:rsidR="00260042" w:rsidRDefault="00260042" w:rsidP="00E53AA7">
            <w:pPr>
              <w:pStyle w:val="BodyText"/>
              <w:jc w:val="right"/>
            </w:pPr>
            <w:r>
              <w:t>NA</w:t>
            </w:r>
            <w:r>
              <w:rPr>
                <w:vertAlign w:val="superscript"/>
              </w:rPr>
              <w:t>(a)</w:t>
            </w:r>
          </w:p>
        </w:tc>
      </w:tr>
    </w:tbl>
    <w:p w:rsidR="00260042" w:rsidRDefault="00260042" w:rsidP="00EA5510">
      <w:pPr>
        <w:pStyle w:val="BodyText"/>
      </w:pPr>
      <w:r>
        <w:t>(a)</w:t>
      </w:r>
      <w:r>
        <w:tab/>
        <w:t>Stationary energy reporting for 2020–21 is unavailable before finalising the annual report.</w:t>
      </w:r>
    </w:p>
    <w:p w:rsidR="00260042" w:rsidRDefault="00260042" w:rsidP="00BC1153">
      <w:pPr>
        <w:pStyle w:val="Heading1"/>
      </w:pPr>
      <w:r>
        <w:t>Appendix D: List of annual report requirements</w:t>
      </w:r>
    </w:p>
    <w:tbl>
      <w:tblPr>
        <w:tblStyle w:val="TableGrid"/>
        <w:tblW w:w="5000" w:type="pct"/>
        <w:tblLook w:val="0000" w:firstRow="0" w:lastRow="0" w:firstColumn="0" w:lastColumn="0" w:noHBand="0" w:noVBand="0"/>
        <w:tblCaption w:val="Appendix D: List of annual report requirements"/>
      </w:tblPr>
      <w:tblGrid>
        <w:gridCol w:w="2255"/>
        <w:gridCol w:w="4700"/>
        <w:gridCol w:w="2057"/>
        <w:gridCol w:w="1778"/>
      </w:tblGrid>
      <w:tr w:rsidR="00260042" w:rsidTr="001119B3">
        <w:trPr>
          <w:trHeight w:val="60"/>
          <w:tblHeader/>
        </w:trPr>
        <w:tc>
          <w:tcPr>
            <w:tcW w:w="1045" w:type="pct"/>
          </w:tcPr>
          <w:p w:rsidR="00260042" w:rsidRPr="001119B3" w:rsidRDefault="00260042" w:rsidP="001119B3">
            <w:pPr>
              <w:pStyle w:val="BodyText"/>
              <w:rPr>
                <w:b/>
              </w:rPr>
            </w:pPr>
            <w:r w:rsidRPr="001119B3">
              <w:rPr>
                <w:b/>
              </w:rPr>
              <w:t>PGPA Rule Reference</w:t>
            </w:r>
          </w:p>
        </w:tc>
        <w:tc>
          <w:tcPr>
            <w:tcW w:w="2178" w:type="pct"/>
          </w:tcPr>
          <w:p w:rsidR="00260042" w:rsidRPr="001119B3" w:rsidRDefault="00260042" w:rsidP="001119B3">
            <w:pPr>
              <w:pStyle w:val="BodyText"/>
              <w:rPr>
                <w:b/>
              </w:rPr>
            </w:pPr>
            <w:r w:rsidRPr="001119B3">
              <w:rPr>
                <w:b/>
              </w:rPr>
              <w:t>Description</w:t>
            </w:r>
          </w:p>
        </w:tc>
        <w:tc>
          <w:tcPr>
            <w:tcW w:w="953" w:type="pct"/>
          </w:tcPr>
          <w:p w:rsidR="00260042" w:rsidRPr="001119B3" w:rsidRDefault="00260042" w:rsidP="001119B3">
            <w:pPr>
              <w:pStyle w:val="BodyText"/>
              <w:rPr>
                <w:b/>
              </w:rPr>
            </w:pPr>
            <w:r w:rsidRPr="001119B3">
              <w:rPr>
                <w:b/>
              </w:rPr>
              <w:t>Requirement</w:t>
            </w:r>
          </w:p>
        </w:tc>
        <w:tc>
          <w:tcPr>
            <w:tcW w:w="825" w:type="pct"/>
          </w:tcPr>
          <w:p w:rsidR="00260042" w:rsidRPr="001119B3" w:rsidRDefault="00260042" w:rsidP="001119B3">
            <w:pPr>
              <w:pStyle w:val="BodyText"/>
              <w:rPr>
                <w:b/>
              </w:rPr>
            </w:pPr>
            <w:r w:rsidRPr="001119B3">
              <w:rPr>
                <w:b/>
              </w:rPr>
              <w:t>Location in report</w:t>
            </w:r>
          </w:p>
        </w:tc>
      </w:tr>
      <w:tr w:rsidR="00260042" w:rsidTr="001119B3">
        <w:trPr>
          <w:trHeight w:val="60"/>
        </w:trPr>
        <w:tc>
          <w:tcPr>
            <w:tcW w:w="1045" w:type="pct"/>
          </w:tcPr>
          <w:p w:rsidR="00260042" w:rsidRDefault="00260042" w:rsidP="001119B3">
            <w:pPr>
              <w:pStyle w:val="BodyText"/>
            </w:pPr>
            <w:r>
              <w:rPr>
                <w:rStyle w:val="Bold"/>
              </w:rPr>
              <w:t>17AD(g)</w:t>
            </w:r>
          </w:p>
        </w:tc>
        <w:tc>
          <w:tcPr>
            <w:tcW w:w="2178" w:type="pct"/>
          </w:tcPr>
          <w:p w:rsidR="00260042" w:rsidRDefault="00260042" w:rsidP="001119B3">
            <w:pPr>
              <w:pStyle w:val="BodyText"/>
            </w:pPr>
            <w:r>
              <w:rPr>
                <w:rStyle w:val="Bold"/>
              </w:rPr>
              <w:t>Letter of transmittal</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60"/>
        </w:trPr>
        <w:tc>
          <w:tcPr>
            <w:tcW w:w="1045" w:type="pct"/>
          </w:tcPr>
          <w:p w:rsidR="00260042" w:rsidRDefault="00260042" w:rsidP="001119B3">
            <w:pPr>
              <w:pStyle w:val="BodyText"/>
            </w:pPr>
            <w:r>
              <w:rPr>
                <w:spacing w:val="-4"/>
              </w:rPr>
              <w:t>17AI</w:t>
            </w:r>
          </w:p>
        </w:tc>
        <w:tc>
          <w:tcPr>
            <w:tcW w:w="2178" w:type="pct"/>
          </w:tcPr>
          <w:p w:rsidR="00260042" w:rsidRDefault="00260042" w:rsidP="001119B3">
            <w:pPr>
              <w:pStyle w:val="BodyText"/>
            </w:pPr>
            <w:r>
              <w:t>A copy of the letter of transmittal signed and dated by accountable authority on date final text approved, with statement that the report has been prepared in accordance with section 46 of the Act and any enabling legislation that specifies additional requirements in relation to the annual report.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vi</w:t>
            </w:r>
          </w:p>
        </w:tc>
      </w:tr>
      <w:tr w:rsidR="00260042" w:rsidTr="001119B3">
        <w:trPr>
          <w:trHeight w:val="60"/>
        </w:trPr>
        <w:tc>
          <w:tcPr>
            <w:tcW w:w="1045" w:type="pct"/>
          </w:tcPr>
          <w:p w:rsidR="00260042" w:rsidRDefault="00260042" w:rsidP="001119B3">
            <w:pPr>
              <w:pStyle w:val="BodyText"/>
            </w:pPr>
            <w:r>
              <w:rPr>
                <w:rStyle w:val="Bold"/>
              </w:rPr>
              <w:t>17AD(h)</w:t>
            </w:r>
          </w:p>
        </w:tc>
        <w:tc>
          <w:tcPr>
            <w:tcW w:w="2178" w:type="pct"/>
          </w:tcPr>
          <w:p w:rsidR="00260042" w:rsidRDefault="00260042" w:rsidP="001119B3">
            <w:pPr>
              <w:pStyle w:val="BodyText"/>
            </w:pPr>
            <w:r>
              <w:rPr>
                <w:rStyle w:val="Bold"/>
              </w:rPr>
              <w:t>Aids to access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60"/>
        </w:trPr>
        <w:tc>
          <w:tcPr>
            <w:tcW w:w="1045" w:type="pct"/>
          </w:tcPr>
          <w:p w:rsidR="00260042" w:rsidRDefault="00260042" w:rsidP="001119B3">
            <w:pPr>
              <w:pStyle w:val="BodyText"/>
            </w:pPr>
            <w:r>
              <w:t>17AJ(a)</w:t>
            </w:r>
          </w:p>
        </w:tc>
        <w:tc>
          <w:tcPr>
            <w:tcW w:w="2178" w:type="pct"/>
          </w:tcPr>
          <w:p w:rsidR="00260042" w:rsidRDefault="00260042" w:rsidP="001119B3">
            <w:pPr>
              <w:pStyle w:val="BodyText"/>
            </w:pPr>
            <w:r>
              <w:t>Table of contents.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iii–v</w:t>
            </w:r>
          </w:p>
        </w:tc>
      </w:tr>
      <w:tr w:rsidR="00260042" w:rsidTr="001119B3">
        <w:trPr>
          <w:trHeight w:val="60"/>
        </w:trPr>
        <w:tc>
          <w:tcPr>
            <w:tcW w:w="1045" w:type="pct"/>
          </w:tcPr>
          <w:p w:rsidR="00260042" w:rsidRDefault="00260042" w:rsidP="001119B3">
            <w:pPr>
              <w:pStyle w:val="BodyText"/>
            </w:pPr>
            <w:r>
              <w:t>17AJ(b)</w:t>
            </w:r>
          </w:p>
        </w:tc>
        <w:tc>
          <w:tcPr>
            <w:tcW w:w="2178" w:type="pct"/>
          </w:tcPr>
          <w:p w:rsidR="00260042" w:rsidRDefault="00260042" w:rsidP="001119B3">
            <w:pPr>
              <w:pStyle w:val="BodyText"/>
            </w:pPr>
            <w:r>
              <w:t>Alphabetical index.</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278</w:t>
            </w:r>
          </w:p>
        </w:tc>
      </w:tr>
      <w:tr w:rsidR="00260042" w:rsidTr="001119B3">
        <w:trPr>
          <w:trHeight w:val="392"/>
        </w:trPr>
        <w:tc>
          <w:tcPr>
            <w:tcW w:w="1045" w:type="pct"/>
          </w:tcPr>
          <w:p w:rsidR="00260042" w:rsidRDefault="00260042" w:rsidP="001119B3">
            <w:pPr>
              <w:pStyle w:val="BodyText"/>
            </w:pPr>
            <w:r>
              <w:t>17AJ(c)</w:t>
            </w:r>
          </w:p>
        </w:tc>
        <w:tc>
          <w:tcPr>
            <w:tcW w:w="2178" w:type="pct"/>
          </w:tcPr>
          <w:p w:rsidR="00260042" w:rsidRDefault="00260042" w:rsidP="001119B3">
            <w:pPr>
              <w:pStyle w:val="BodyText"/>
            </w:pPr>
            <w:r>
              <w:t>Glossary of abbreviations and acronyms.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275–277</w:t>
            </w:r>
          </w:p>
        </w:tc>
      </w:tr>
      <w:tr w:rsidR="00260042" w:rsidTr="001119B3">
        <w:trPr>
          <w:trHeight w:val="392"/>
        </w:trPr>
        <w:tc>
          <w:tcPr>
            <w:tcW w:w="1045" w:type="pct"/>
          </w:tcPr>
          <w:p w:rsidR="00260042" w:rsidRDefault="00260042" w:rsidP="001119B3">
            <w:pPr>
              <w:pStyle w:val="BodyText"/>
            </w:pPr>
            <w:r>
              <w:t>17AJ(d)</w:t>
            </w:r>
          </w:p>
        </w:tc>
        <w:tc>
          <w:tcPr>
            <w:tcW w:w="2178" w:type="pct"/>
          </w:tcPr>
          <w:p w:rsidR="00260042" w:rsidRDefault="00260042" w:rsidP="001119B3">
            <w:pPr>
              <w:pStyle w:val="BodyText"/>
            </w:pPr>
            <w:r>
              <w:t>List of requirements.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260–271</w:t>
            </w:r>
          </w:p>
        </w:tc>
      </w:tr>
      <w:tr w:rsidR="00260042" w:rsidTr="001119B3">
        <w:trPr>
          <w:trHeight w:val="392"/>
        </w:trPr>
        <w:tc>
          <w:tcPr>
            <w:tcW w:w="1045" w:type="pct"/>
          </w:tcPr>
          <w:p w:rsidR="00260042" w:rsidRDefault="00260042" w:rsidP="001119B3">
            <w:pPr>
              <w:pStyle w:val="BodyText"/>
            </w:pPr>
            <w:r>
              <w:lastRenderedPageBreak/>
              <w:t>17AJ(e)</w:t>
            </w:r>
          </w:p>
        </w:tc>
        <w:tc>
          <w:tcPr>
            <w:tcW w:w="2178" w:type="pct"/>
          </w:tcPr>
          <w:p w:rsidR="00260042" w:rsidRDefault="00260042" w:rsidP="001119B3">
            <w:pPr>
              <w:pStyle w:val="BodyText"/>
            </w:pPr>
            <w:r>
              <w:t>Details of contact officer.</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ii</w:t>
            </w:r>
          </w:p>
        </w:tc>
      </w:tr>
      <w:tr w:rsidR="00260042" w:rsidTr="001119B3">
        <w:trPr>
          <w:trHeight w:val="392"/>
        </w:trPr>
        <w:tc>
          <w:tcPr>
            <w:tcW w:w="1045" w:type="pct"/>
          </w:tcPr>
          <w:p w:rsidR="00260042" w:rsidRDefault="00260042" w:rsidP="001119B3">
            <w:pPr>
              <w:pStyle w:val="BodyText"/>
            </w:pPr>
            <w:r>
              <w:t>17AJ(f)</w:t>
            </w:r>
          </w:p>
        </w:tc>
        <w:tc>
          <w:tcPr>
            <w:tcW w:w="2178" w:type="pct"/>
          </w:tcPr>
          <w:p w:rsidR="00260042" w:rsidRDefault="00260042" w:rsidP="001119B3">
            <w:pPr>
              <w:pStyle w:val="BodyText"/>
            </w:pPr>
            <w:r>
              <w:t>Entity’s website address.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ii</w:t>
            </w:r>
          </w:p>
        </w:tc>
      </w:tr>
      <w:tr w:rsidR="00260042" w:rsidTr="001119B3">
        <w:trPr>
          <w:trHeight w:val="392"/>
        </w:trPr>
        <w:tc>
          <w:tcPr>
            <w:tcW w:w="1045" w:type="pct"/>
          </w:tcPr>
          <w:p w:rsidR="00260042" w:rsidRDefault="00260042" w:rsidP="001119B3">
            <w:pPr>
              <w:pStyle w:val="BodyText"/>
            </w:pPr>
            <w:r>
              <w:t>17AJ(g)</w:t>
            </w:r>
          </w:p>
        </w:tc>
        <w:tc>
          <w:tcPr>
            <w:tcW w:w="2178" w:type="pct"/>
          </w:tcPr>
          <w:p w:rsidR="00260042" w:rsidRDefault="00260042" w:rsidP="001119B3">
            <w:pPr>
              <w:pStyle w:val="BodyText"/>
            </w:pPr>
            <w:r>
              <w:t>Electronic address of report.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ii</w:t>
            </w:r>
          </w:p>
        </w:tc>
      </w:tr>
      <w:tr w:rsidR="00260042" w:rsidTr="001119B3">
        <w:trPr>
          <w:trHeight w:val="392"/>
        </w:trPr>
        <w:tc>
          <w:tcPr>
            <w:tcW w:w="1045" w:type="pct"/>
          </w:tcPr>
          <w:p w:rsidR="00260042" w:rsidRDefault="00260042" w:rsidP="001119B3">
            <w:pPr>
              <w:pStyle w:val="BodyText"/>
            </w:pPr>
            <w:r>
              <w:rPr>
                <w:rStyle w:val="Bold"/>
              </w:rPr>
              <w:t>17AD(a)</w:t>
            </w:r>
          </w:p>
        </w:tc>
        <w:tc>
          <w:tcPr>
            <w:tcW w:w="2178" w:type="pct"/>
          </w:tcPr>
          <w:p w:rsidR="00260042" w:rsidRDefault="00260042" w:rsidP="001119B3">
            <w:pPr>
              <w:pStyle w:val="BodyText"/>
            </w:pPr>
            <w:r>
              <w:rPr>
                <w:rStyle w:val="Bold"/>
              </w:rPr>
              <w:t>Review by accountable authority</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17AD(a)</w:t>
            </w:r>
          </w:p>
        </w:tc>
        <w:tc>
          <w:tcPr>
            <w:tcW w:w="2178" w:type="pct"/>
          </w:tcPr>
          <w:p w:rsidR="00260042" w:rsidRDefault="00260042" w:rsidP="001119B3">
            <w:pPr>
              <w:pStyle w:val="BodyText"/>
            </w:pPr>
            <w:r>
              <w:t>A review by the accountable authority of the entity.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ix–xii</w:t>
            </w:r>
          </w:p>
        </w:tc>
      </w:tr>
      <w:tr w:rsidR="00260042" w:rsidTr="001119B3">
        <w:trPr>
          <w:trHeight w:val="392"/>
        </w:trPr>
        <w:tc>
          <w:tcPr>
            <w:tcW w:w="1045" w:type="pct"/>
          </w:tcPr>
          <w:p w:rsidR="00260042" w:rsidRDefault="00260042" w:rsidP="001119B3">
            <w:pPr>
              <w:pStyle w:val="BodyText"/>
            </w:pPr>
            <w:r>
              <w:rPr>
                <w:rStyle w:val="Bold"/>
              </w:rPr>
              <w:t>17AD(b)</w:t>
            </w:r>
          </w:p>
        </w:tc>
        <w:tc>
          <w:tcPr>
            <w:tcW w:w="2178" w:type="pct"/>
          </w:tcPr>
          <w:p w:rsidR="00260042" w:rsidRDefault="00260042" w:rsidP="001119B3">
            <w:pPr>
              <w:pStyle w:val="BodyText"/>
            </w:pPr>
            <w:r>
              <w:rPr>
                <w:rStyle w:val="Bold"/>
              </w:rPr>
              <w:t>Overview of the entity</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663"/>
        </w:trPr>
        <w:tc>
          <w:tcPr>
            <w:tcW w:w="1045" w:type="pct"/>
          </w:tcPr>
          <w:p w:rsidR="00260042" w:rsidRDefault="00260042" w:rsidP="001119B3">
            <w:pPr>
              <w:pStyle w:val="BodyText"/>
            </w:pPr>
            <w:r>
              <w:t>17AE(1)(a)(</w:t>
            </w:r>
            <w:proofErr w:type="spellStart"/>
            <w:r>
              <w:t>i</w:t>
            </w:r>
            <w:proofErr w:type="spellEnd"/>
            <w:r>
              <w:t>)</w:t>
            </w:r>
          </w:p>
        </w:tc>
        <w:tc>
          <w:tcPr>
            <w:tcW w:w="2178" w:type="pct"/>
          </w:tcPr>
          <w:p w:rsidR="00260042" w:rsidRDefault="00260042" w:rsidP="001119B3">
            <w:pPr>
              <w:pStyle w:val="BodyText"/>
            </w:pPr>
            <w:r>
              <w:t>A description of the role and functions of the entity.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3</w:t>
            </w:r>
          </w:p>
        </w:tc>
      </w:tr>
      <w:tr w:rsidR="00260042" w:rsidTr="001119B3">
        <w:trPr>
          <w:trHeight w:val="392"/>
        </w:trPr>
        <w:tc>
          <w:tcPr>
            <w:tcW w:w="1045" w:type="pct"/>
          </w:tcPr>
          <w:p w:rsidR="00260042" w:rsidRDefault="00260042" w:rsidP="001119B3">
            <w:pPr>
              <w:pStyle w:val="BodyText"/>
            </w:pPr>
            <w:r>
              <w:t>17AE(1)(a)(ii)</w:t>
            </w:r>
          </w:p>
        </w:tc>
        <w:tc>
          <w:tcPr>
            <w:tcW w:w="2178" w:type="pct"/>
          </w:tcPr>
          <w:p w:rsidR="00260042" w:rsidRDefault="00260042" w:rsidP="001119B3">
            <w:pPr>
              <w:pStyle w:val="BodyText"/>
            </w:pPr>
            <w:r>
              <w:t>A description of the organisational structure of the entity.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3–7</w:t>
            </w:r>
          </w:p>
        </w:tc>
      </w:tr>
      <w:tr w:rsidR="00260042" w:rsidTr="001119B3">
        <w:trPr>
          <w:trHeight w:val="392"/>
        </w:trPr>
        <w:tc>
          <w:tcPr>
            <w:tcW w:w="1045" w:type="pct"/>
          </w:tcPr>
          <w:p w:rsidR="00260042" w:rsidRDefault="00260042" w:rsidP="001119B3">
            <w:pPr>
              <w:pStyle w:val="BodyText"/>
            </w:pPr>
            <w:r>
              <w:t>17AE(1)(a)(iii)</w:t>
            </w:r>
          </w:p>
        </w:tc>
        <w:tc>
          <w:tcPr>
            <w:tcW w:w="2178" w:type="pct"/>
          </w:tcPr>
          <w:p w:rsidR="00260042" w:rsidRDefault="00260042" w:rsidP="001119B3">
            <w:pPr>
              <w:pStyle w:val="BodyText"/>
            </w:pPr>
            <w:r>
              <w:t>A description of the outcomes and programmes administered by the entity.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89</w:t>
            </w:r>
          </w:p>
        </w:tc>
      </w:tr>
      <w:tr w:rsidR="00260042" w:rsidTr="001119B3">
        <w:trPr>
          <w:trHeight w:val="392"/>
        </w:trPr>
        <w:tc>
          <w:tcPr>
            <w:tcW w:w="1045" w:type="pct"/>
          </w:tcPr>
          <w:p w:rsidR="00260042" w:rsidRDefault="00260042" w:rsidP="001119B3">
            <w:pPr>
              <w:pStyle w:val="BodyText"/>
            </w:pPr>
            <w:r>
              <w:t>17AE(1)(a)(iv)</w:t>
            </w:r>
          </w:p>
        </w:tc>
        <w:tc>
          <w:tcPr>
            <w:tcW w:w="2178" w:type="pct"/>
          </w:tcPr>
          <w:p w:rsidR="00260042" w:rsidRDefault="00260042" w:rsidP="001119B3">
            <w:pPr>
              <w:pStyle w:val="BodyText"/>
            </w:pPr>
            <w:r>
              <w:t>A description of the purposes of the entity as included in corporate plan.</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w:t>
            </w:r>
          </w:p>
        </w:tc>
      </w:tr>
      <w:tr w:rsidR="00260042" w:rsidTr="001119B3">
        <w:trPr>
          <w:trHeight w:val="392"/>
        </w:trPr>
        <w:tc>
          <w:tcPr>
            <w:tcW w:w="1045" w:type="pct"/>
          </w:tcPr>
          <w:p w:rsidR="00260042" w:rsidRDefault="00260042" w:rsidP="001119B3">
            <w:pPr>
              <w:pStyle w:val="BodyText"/>
            </w:pPr>
            <w:r>
              <w:t>17AE(1)(aa)(</w:t>
            </w:r>
            <w:proofErr w:type="spellStart"/>
            <w:r>
              <w:t>i</w:t>
            </w:r>
            <w:proofErr w:type="spellEnd"/>
            <w:r>
              <w:t>)</w:t>
            </w:r>
          </w:p>
        </w:tc>
        <w:tc>
          <w:tcPr>
            <w:tcW w:w="2178" w:type="pct"/>
          </w:tcPr>
          <w:p w:rsidR="00260042" w:rsidRDefault="00260042" w:rsidP="001119B3">
            <w:pPr>
              <w:pStyle w:val="BodyText"/>
            </w:pPr>
            <w:r>
              <w:t>Name of the accountable authority or each member of the accountable authority.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237</w:t>
            </w:r>
          </w:p>
        </w:tc>
      </w:tr>
      <w:tr w:rsidR="00260042" w:rsidTr="001119B3">
        <w:trPr>
          <w:trHeight w:val="392"/>
        </w:trPr>
        <w:tc>
          <w:tcPr>
            <w:tcW w:w="1045" w:type="pct"/>
          </w:tcPr>
          <w:p w:rsidR="00260042" w:rsidRDefault="00260042" w:rsidP="001119B3">
            <w:pPr>
              <w:pStyle w:val="BodyText"/>
            </w:pPr>
            <w:r>
              <w:t>17AE(1)(aa)(ii)</w:t>
            </w:r>
          </w:p>
        </w:tc>
        <w:tc>
          <w:tcPr>
            <w:tcW w:w="2178" w:type="pct"/>
          </w:tcPr>
          <w:p w:rsidR="00260042" w:rsidRDefault="00260042" w:rsidP="001119B3">
            <w:pPr>
              <w:pStyle w:val="BodyText"/>
            </w:pPr>
            <w:r>
              <w:t>Position title of the accountable authority or each member of the accountable authority.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237</w:t>
            </w:r>
          </w:p>
        </w:tc>
      </w:tr>
      <w:tr w:rsidR="00260042" w:rsidTr="001119B3">
        <w:trPr>
          <w:trHeight w:val="392"/>
        </w:trPr>
        <w:tc>
          <w:tcPr>
            <w:tcW w:w="1045" w:type="pct"/>
          </w:tcPr>
          <w:p w:rsidR="00260042" w:rsidRDefault="00260042" w:rsidP="001119B3">
            <w:pPr>
              <w:pStyle w:val="BodyText"/>
            </w:pPr>
            <w:r>
              <w:t>17AE(1)(aa)(iii)</w:t>
            </w:r>
          </w:p>
        </w:tc>
        <w:tc>
          <w:tcPr>
            <w:tcW w:w="2178" w:type="pct"/>
          </w:tcPr>
          <w:p w:rsidR="00260042" w:rsidRDefault="00260042" w:rsidP="001119B3">
            <w:pPr>
              <w:pStyle w:val="BodyText"/>
            </w:pPr>
            <w:r>
              <w:t>Period as the accountable authority or member of the accountable authority within the reporting period.</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237</w:t>
            </w:r>
          </w:p>
        </w:tc>
      </w:tr>
      <w:tr w:rsidR="00260042" w:rsidTr="001119B3">
        <w:trPr>
          <w:trHeight w:val="392"/>
        </w:trPr>
        <w:tc>
          <w:tcPr>
            <w:tcW w:w="1045" w:type="pct"/>
          </w:tcPr>
          <w:p w:rsidR="00260042" w:rsidRDefault="00260042" w:rsidP="001119B3">
            <w:pPr>
              <w:pStyle w:val="BodyText"/>
            </w:pPr>
            <w:r>
              <w:t>17AE(1)(b)</w:t>
            </w:r>
          </w:p>
        </w:tc>
        <w:tc>
          <w:tcPr>
            <w:tcW w:w="2178" w:type="pct"/>
          </w:tcPr>
          <w:p w:rsidR="00260042" w:rsidRDefault="00260042" w:rsidP="001119B3">
            <w:pPr>
              <w:pStyle w:val="BodyText"/>
            </w:pPr>
            <w:r>
              <w:t>An outline of the structure of the portfolio of the entity.</w:t>
            </w:r>
          </w:p>
        </w:tc>
        <w:tc>
          <w:tcPr>
            <w:tcW w:w="953" w:type="pct"/>
          </w:tcPr>
          <w:p w:rsidR="00260042" w:rsidRDefault="00260042" w:rsidP="001119B3">
            <w:pPr>
              <w:pStyle w:val="BodyText"/>
            </w:pPr>
            <w:r>
              <w:t>Portfolio departments – mandatory</w:t>
            </w:r>
          </w:p>
        </w:tc>
        <w:tc>
          <w:tcPr>
            <w:tcW w:w="825" w:type="pct"/>
          </w:tcPr>
          <w:p w:rsidR="00260042" w:rsidRDefault="00260042" w:rsidP="001119B3">
            <w:pPr>
              <w:pStyle w:val="BodyText"/>
            </w:pPr>
            <w:r>
              <w:t>Not applicable</w:t>
            </w:r>
          </w:p>
        </w:tc>
      </w:tr>
      <w:tr w:rsidR="00260042" w:rsidTr="001119B3">
        <w:trPr>
          <w:trHeight w:val="392"/>
        </w:trPr>
        <w:tc>
          <w:tcPr>
            <w:tcW w:w="1045" w:type="pct"/>
          </w:tcPr>
          <w:p w:rsidR="00260042" w:rsidRDefault="00260042" w:rsidP="001119B3">
            <w:pPr>
              <w:pStyle w:val="BodyText"/>
            </w:pPr>
            <w:r>
              <w:lastRenderedPageBreak/>
              <w:t>17AE(2)</w:t>
            </w:r>
          </w:p>
        </w:tc>
        <w:tc>
          <w:tcPr>
            <w:tcW w:w="2178" w:type="pct"/>
          </w:tcPr>
          <w:p w:rsidR="00260042" w:rsidRDefault="00260042" w:rsidP="001119B3">
            <w:pPr>
              <w:pStyle w:val="BodyText"/>
            </w:pPr>
            <w:r>
              <w:t>Where the outcomes and programs administered by the entity differ from any Portfolio Budget Statement, Portfolio Additional Estimates Statement or other portfolio estimates statement that was prepared for the entity for the period, include details of variation and reasons for change.</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Not applicable</w:t>
            </w:r>
          </w:p>
        </w:tc>
      </w:tr>
      <w:tr w:rsidR="00260042" w:rsidTr="001119B3">
        <w:trPr>
          <w:trHeight w:val="392"/>
        </w:trPr>
        <w:tc>
          <w:tcPr>
            <w:tcW w:w="1045" w:type="pct"/>
          </w:tcPr>
          <w:p w:rsidR="00260042" w:rsidRDefault="00260042" w:rsidP="001119B3">
            <w:pPr>
              <w:pStyle w:val="BodyText"/>
            </w:pPr>
            <w:r>
              <w:rPr>
                <w:rStyle w:val="Bold"/>
              </w:rPr>
              <w:t>17AD(c)</w:t>
            </w:r>
          </w:p>
        </w:tc>
        <w:tc>
          <w:tcPr>
            <w:tcW w:w="2178" w:type="pct"/>
          </w:tcPr>
          <w:p w:rsidR="00260042" w:rsidRDefault="00260042" w:rsidP="001119B3">
            <w:pPr>
              <w:pStyle w:val="BodyText"/>
            </w:pPr>
            <w:r>
              <w:rPr>
                <w:rStyle w:val="Bold"/>
              </w:rPr>
              <w:t>Report on the performance of the entity</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Annual Performance Statements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76"/>
        </w:trPr>
        <w:tc>
          <w:tcPr>
            <w:tcW w:w="1045" w:type="pct"/>
          </w:tcPr>
          <w:p w:rsidR="00260042" w:rsidRDefault="00260042" w:rsidP="001119B3">
            <w:pPr>
              <w:pStyle w:val="BodyText"/>
            </w:pPr>
            <w:r>
              <w:t>17AD(c)(</w:t>
            </w:r>
            <w:proofErr w:type="spellStart"/>
            <w:r>
              <w:t>i</w:t>
            </w:r>
            <w:proofErr w:type="spellEnd"/>
            <w:r>
              <w:t>); 16F</w:t>
            </w:r>
          </w:p>
        </w:tc>
        <w:tc>
          <w:tcPr>
            <w:tcW w:w="2178" w:type="pct"/>
          </w:tcPr>
          <w:p w:rsidR="00260042" w:rsidRDefault="00260042" w:rsidP="001119B3">
            <w:pPr>
              <w:pStyle w:val="BodyText"/>
            </w:pPr>
            <w:r>
              <w:t>Annual performance statement in accordance with paragraph 39(1</w:t>
            </w:r>
            <w:proofErr w:type="gramStart"/>
            <w:r>
              <w:t>)(</w:t>
            </w:r>
            <w:proofErr w:type="gramEnd"/>
            <w:r>
              <w:t>b) of the Act and section 16F of the Rule.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88–135</w:t>
            </w:r>
          </w:p>
        </w:tc>
      </w:tr>
      <w:tr w:rsidR="00260042" w:rsidTr="001119B3">
        <w:trPr>
          <w:trHeight w:val="392"/>
        </w:trPr>
        <w:tc>
          <w:tcPr>
            <w:tcW w:w="1045" w:type="pct"/>
          </w:tcPr>
          <w:p w:rsidR="00260042" w:rsidRDefault="00260042" w:rsidP="001119B3">
            <w:pPr>
              <w:pStyle w:val="BodyText"/>
            </w:pPr>
            <w:r>
              <w:rPr>
                <w:rStyle w:val="Bold"/>
              </w:rPr>
              <w:t>17AD(c)(ii)</w:t>
            </w:r>
          </w:p>
        </w:tc>
        <w:tc>
          <w:tcPr>
            <w:tcW w:w="2178" w:type="pct"/>
          </w:tcPr>
          <w:p w:rsidR="00260042" w:rsidRDefault="00260042" w:rsidP="001119B3">
            <w:pPr>
              <w:pStyle w:val="BodyText"/>
            </w:pPr>
            <w:r>
              <w:rPr>
                <w:rStyle w:val="Bold"/>
              </w:rPr>
              <w:t>Report on financial performance</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17AF(1)(a)</w:t>
            </w:r>
          </w:p>
        </w:tc>
        <w:tc>
          <w:tcPr>
            <w:tcW w:w="2178" w:type="pct"/>
          </w:tcPr>
          <w:p w:rsidR="00260042" w:rsidRDefault="00260042" w:rsidP="001119B3">
            <w:pPr>
              <w:pStyle w:val="BodyText"/>
            </w:pPr>
            <w:r>
              <w:t>A discussion and analysis of the entity’s financial performance.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184–226</w:t>
            </w:r>
          </w:p>
        </w:tc>
      </w:tr>
      <w:tr w:rsidR="00260042" w:rsidTr="001119B3">
        <w:trPr>
          <w:trHeight w:val="392"/>
        </w:trPr>
        <w:tc>
          <w:tcPr>
            <w:tcW w:w="1045" w:type="pct"/>
          </w:tcPr>
          <w:p w:rsidR="00260042" w:rsidRDefault="00260042" w:rsidP="001119B3">
            <w:pPr>
              <w:pStyle w:val="BodyText"/>
            </w:pPr>
            <w:r>
              <w:t>17AF(1)(b)</w:t>
            </w:r>
          </w:p>
        </w:tc>
        <w:tc>
          <w:tcPr>
            <w:tcW w:w="2178" w:type="pct"/>
          </w:tcPr>
          <w:p w:rsidR="00260042" w:rsidRDefault="00260042" w:rsidP="001119B3">
            <w:pPr>
              <w:pStyle w:val="BodyText"/>
            </w:pPr>
            <w:r>
              <w:t>A table summarising the total resources and total payments of the entity.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228–231</w:t>
            </w:r>
          </w:p>
        </w:tc>
      </w:tr>
      <w:tr w:rsidR="00260042" w:rsidTr="001119B3">
        <w:trPr>
          <w:trHeight w:val="392"/>
        </w:trPr>
        <w:tc>
          <w:tcPr>
            <w:tcW w:w="1045" w:type="pct"/>
          </w:tcPr>
          <w:p w:rsidR="00260042" w:rsidRDefault="00260042" w:rsidP="001119B3">
            <w:pPr>
              <w:pStyle w:val="BodyText"/>
            </w:pPr>
            <w:r>
              <w:t>17AF(2)</w:t>
            </w:r>
          </w:p>
        </w:tc>
        <w:tc>
          <w:tcPr>
            <w:tcW w:w="2178" w:type="pct"/>
          </w:tcPr>
          <w:p w:rsidR="00260042" w:rsidRDefault="00260042" w:rsidP="001119B3">
            <w:pPr>
              <w:pStyle w:val="BodyText"/>
            </w:pPr>
            <w:proofErr w:type="gramStart"/>
            <w:r>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roofErr w:type="gramEnd"/>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Not applicable</w:t>
            </w:r>
          </w:p>
        </w:tc>
      </w:tr>
      <w:tr w:rsidR="00260042" w:rsidTr="001119B3">
        <w:trPr>
          <w:trHeight w:val="398"/>
        </w:trPr>
        <w:tc>
          <w:tcPr>
            <w:tcW w:w="1045" w:type="pct"/>
          </w:tcPr>
          <w:p w:rsidR="00260042" w:rsidRDefault="00260042" w:rsidP="001119B3">
            <w:pPr>
              <w:pStyle w:val="BodyText"/>
            </w:pPr>
            <w:r>
              <w:rPr>
                <w:rStyle w:val="Bold"/>
              </w:rPr>
              <w:t>17AD(d)</w:t>
            </w:r>
          </w:p>
        </w:tc>
        <w:tc>
          <w:tcPr>
            <w:tcW w:w="2178" w:type="pct"/>
          </w:tcPr>
          <w:p w:rsidR="00260042" w:rsidRDefault="00260042" w:rsidP="001119B3">
            <w:pPr>
              <w:pStyle w:val="BodyText"/>
            </w:pPr>
            <w:r>
              <w:rPr>
                <w:rStyle w:val="Bold"/>
              </w:rPr>
              <w:t>Management and Accountability</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Corporate Governance</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lastRenderedPageBreak/>
              <w:t>17AG(2)(a)</w:t>
            </w:r>
          </w:p>
        </w:tc>
        <w:tc>
          <w:tcPr>
            <w:tcW w:w="2178" w:type="pct"/>
          </w:tcPr>
          <w:p w:rsidR="00260042" w:rsidRDefault="00260042" w:rsidP="001119B3">
            <w:pPr>
              <w:pStyle w:val="BodyText"/>
            </w:pPr>
            <w:r>
              <w:t>Information on compliance with section 10 (fraud systems)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149–155</w:t>
            </w:r>
          </w:p>
        </w:tc>
      </w:tr>
      <w:tr w:rsidR="00260042" w:rsidTr="001119B3">
        <w:trPr>
          <w:trHeight w:val="392"/>
        </w:trPr>
        <w:tc>
          <w:tcPr>
            <w:tcW w:w="1045" w:type="pct"/>
          </w:tcPr>
          <w:p w:rsidR="00260042" w:rsidRDefault="00260042" w:rsidP="001119B3">
            <w:pPr>
              <w:pStyle w:val="BodyText"/>
            </w:pPr>
            <w:r>
              <w:t>17AG(2)(b)(</w:t>
            </w:r>
            <w:proofErr w:type="spellStart"/>
            <w:r>
              <w:t>i</w:t>
            </w:r>
            <w:proofErr w:type="spellEnd"/>
            <w:r>
              <w:t>)</w:t>
            </w:r>
          </w:p>
        </w:tc>
        <w:tc>
          <w:tcPr>
            <w:tcW w:w="2178" w:type="pct"/>
          </w:tcPr>
          <w:p w:rsidR="00260042" w:rsidRDefault="00260042" w:rsidP="001119B3">
            <w:pPr>
              <w:pStyle w:val="BodyText"/>
            </w:pPr>
            <w:r>
              <w:t>A certification by accountable authority that fraud risk assessments and fraud control plans have been prepared.</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vi</w:t>
            </w:r>
          </w:p>
        </w:tc>
      </w:tr>
      <w:tr w:rsidR="00260042" w:rsidTr="001119B3">
        <w:trPr>
          <w:trHeight w:val="392"/>
        </w:trPr>
        <w:tc>
          <w:tcPr>
            <w:tcW w:w="1045" w:type="pct"/>
          </w:tcPr>
          <w:p w:rsidR="00260042" w:rsidRDefault="00260042" w:rsidP="001119B3">
            <w:pPr>
              <w:pStyle w:val="BodyText"/>
            </w:pPr>
            <w:r>
              <w:t>17AG(2)(b)(ii)</w:t>
            </w:r>
          </w:p>
        </w:tc>
        <w:tc>
          <w:tcPr>
            <w:tcW w:w="2178" w:type="pct"/>
          </w:tcPr>
          <w:p w:rsidR="00260042" w:rsidRDefault="00260042" w:rsidP="001119B3">
            <w:pPr>
              <w:pStyle w:val="BodyText"/>
            </w:pPr>
            <w:r>
              <w:t>A certification by accountable authority that appropriate mechanisms for preventing, detecting incidents of, investigating or otherwise dealing with, and recording or reporting fraud that meet the specific needs of the entity are in place.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vi</w:t>
            </w:r>
          </w:p>
        </w:tc>
      </w:tr>
      <w:tr w:rsidR="00260042" w:rsidTr="001119B3">
        <w:trPr>
          <w:trHeight w:val="392"/>
        </w:trPr>
        <w:tc>
          <w:tcPr>
            <w:tcW w:w="1045" w:type="pct"/>
          </w:tcPr>
          <w:p w:rsidR="00260042" w:rsidRDefault="00260042" w:rsidP="001119B3">
            <w:pPr>
              <w:pStyle w:val="BodyText"/>
            </w:pPr>
            <w:r>
              <w:t>17AG(2)(b)(iii)</w:t>
            </w:r>
          </w:p>
        </w:tc>
        <w:tc>
          <w:tcPr>
            <w:tcW w:w="2178" w:type="pct"/>
          </w:tcPr>
          <w:p w:rsidR="00260042" w:rsidRDefault="00260042" w:rsidP="001119B3">
            <w:pPr>
              <w:pStyle w:val="BodyText"/>
            </w:pPr>
            <w:r>
              <w:t xml:space="preserve">A certification by accountable authority that all reasonable measures </w:t>
            </w:r>
            <w:proofErr w:type="gramStart"/>
            <w:r>
              <w:t>have been taken</w:t>
            </w:r>
            <w:proofErr w:type="gramEnd"/>
            <w:r>
              <w:t xml:space="preserve"> to deal appropriately with fraud relating to the entity.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vi</w:t>
            </w:r>
          </w:p>
        </w:tc>
      </w:tr>
      <w:tr w:rsidR="00260042" w:rsidTr="001119B3">
        <w:trPr>
          <w:trHeight w:val="392"/>
        </w:trPr>
        <w:tc>
          <w:tcPr>
            <w:tcW w:w="1045" w:type="pct"/>
          </w:tcPr>
          <w:p w:rsidR="00260042" w:rsidRDefault="00260042" w:rsidP="001119B3">
            <w:pPr>
              <w:pStyle w:val="BodyText"/>
            </w:pPr>
            <w:r>
              <w:t>17AG(2)(c)</w:t>
            </w:r>
          </w:p>
        </w:tc>
        <w:tc>
          <w:tcPr>
            <w:tcW w:w="2178" w:type="pct"/>
          </w:tcPr>
          <w:p w:rsidR="00260042" w:rsidRDefault="00260042" w:rsidP="001119B3">
            <w:pPr>
              <w:pStyle w:val="BodyText"/>
            </w:pPr>
            <w:r>
              <w:t>An outline of structures and processes in place for the entity to implement principles and objectives of corporate governance.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142–148</w:t>
            </w:r>
          </w:p>
        </w:tc>
      </w:tr>
      <w:tr w:rsidR="00260042" w:rsidTr="001119B3">
        <w:trPr>
          <w:trHeight w:val="392"/>
        </w:trPr>
        <w:tc>
          <w:tcPr>
            <w:tcW w:w="1045" w:type="pct"/>
          </w:tcPr>
          <w:p w:rsidR="00260042" w:rsidRDefault="00260042" w:rsidP="001119B3">
            <w:pPr>
              <w:pStyle w:val="BodyText"/>
            </w:pPr>
            <w:r>
              <w:t>17AG(2)(d) – (e)</w:t>
            </w:r>
          </w:p>
        </w:tc>
        <w:tc>
          <w:tcPr>
            <w:tcW w:w="2178" w:type="pct"/>
          </w:tcPr>
          <w:p w:rsidR="00260042" w:rsidRDefault="00260042" w:rsidP="001119B3">
            <w:pPr>
              <w:pStyle w:val="BodyText"/>
            </w:pPr>
            <w:r>
              <w:t>A statement of significant issues reported to Minister under paragraph 19(1</w:t>
            </w:r>
            <w:proofErr w:type="gramStart"/>
            <w:r>
              <w:t>)(</w:t>
            </w:r>
            <w:proofErr w:type="gramEnd"/>
            <w:r>
              <w:t xml:space="preserve">e) of the Act that relates to </w:t>
            </w:r>
            <w:proofErr w:type="spellStart"/>
            <w:r>
              <w:t>non compliance</w:t>
            </w:r>
            <w:proofErr w:type="spellEnd"/>
            <w:r>
              <w:t xml:space="preserve"> with Finance law and action taken to remedy </w:t>
            </w:r>
            <w:proofErr w:type="spellStart"/>
            <w:r>
              <w:t>non compliance</w:t>
            </w:r>
            <w:proofErr w:type="spellEnd"/>
            <w:r>
              <w:t>.</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185</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Audit Committee</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17AG(2A)(a)</w:t>
            </w:r>
          </w:p>
        </w:tc>
        <w:tc>
          <w:tcPr>
            <w:tcW w:w="2178" w:type="pct"/>
          </w:tcPr>
          <w:p w:rsidR="00260042" w:rsidRDefault="00260042" w:rsidP="001119B3">
            <w:pPr>
              <w:pStyle w:val="BodyText"/>
            </w:pPr>
            <w:r>
              <w:t>A direct electronic address of the charter determining the functions of the entity’s audit committee.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144</w:t>
            </w:r>
          </w:p>
        </w:tc>
      </w:tr>
      <w:tr w:rsidR="00260042" w:rsidTr="001119B3">
        <w:trPr>
          <w:trHeight w:val="392"/>
        </w:trPr>
        <w:tc>
          <w:tcPr>
            <w:tcW w:w="1045" w:type="pct"/>
          </w:tcPr>
          <w:p w:rsidR="00260042" w:rsidRDefault="00260042" w:rsidP="001119B3">
            <w:pPr>
              <w:pStyle w:val="BodyText"/>
            </w:pPr>
            <w:r>
              <w:t>17AG(2A)(b)</w:t>
            </w:r>
          </w:p>
        </w:tc>
        <w:tc>
          <w:tcPr>
            <w:tcW w:w="2178" w:type="pct"/>
          </w:tcPr>
          <w:p w:rsidR="00260042" w:rsidRDefault="00260042" w:rsidP="001119B3">
            <w:pPr>
              <w:pStyle w:val="BodyText"/>
            </w:pPr>
            <w:r>
              <w:t>The name of each member of the entity’s audit committee.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145–147</w:t>
            </w:r>
          </w:p>
        </w:tc>
      </w:tr>
      <w:tr w:rsidR="00260042" w:rsidTr="001119B3">
        <w:trPr>
          <w:trHeight w:val="392"/>
        </w:trPr>
        <w:tc>
          <w:tcPr>
            <w:tcW w:w="1045" w:type="pct"/>
          </w:tcPr>
          <w:p w:rsidR="00260042" w:rsidRDefault="00260042" w:rsidP="001119B3">
            <w:pPr>
              <w:pStyle w:val="BodyText"/>
            </w:pPr>
            <w:r>
              <w:t>17AG(2A)(c)</w:t>
            </w:r>
          </w:p>
        </w:tc>
        <w:tc>
          <w:tcPr>
            <w:tcW w:w="2178" w:type="pct"/>
          </w:tcPr>
          <w:p w:rsidR="00260042" w:rsidRDefault="00260042" w:rsidP="001119B3">
            <w:pPr>
              <w:pStyle w:val="BodyText"/>
            </w:pPr>
            <w:r>
              <w:t>The qualifications, knowledge, skills or experience of each member of the entity’s audit committee.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145–147</w:t>
            </w:r>
          </w:p>
        </w:tc>
      </w:tr>
      <w:tr w:rsidR="00260042" w:rsidTr="001119B3">
        <w:trPr>
          <w:trHeight w:val="392"/>
        </w:trPr>
        <w:tc>
          <w:tcPr>
            <w:tcW w:w="1045" w:type="pct"/>
          </w:tcPr>
          <w:p w:rsidR="00260042" w:rsidRDefault="00260042" w:rsidP="001119B3">
            <w:pPr>
              <w:pStyle w:val="BodyText"/>
            </w:pPr>
            <w:r>
              <w:lastRenderedPageBreak/>
              <w:t>17AG(2A)(d)</w:t>
            </w:r>
          </w:p>
        </w:tc>
        <w:tc>
          <w:tcPr>
            <w:tcW w:w="2178" w:type="pct"/>
          </w:tcPr>
          <w:p w:rsidR="00260042" w:rsidRDefault="00260042" w:rsidP="001119B3">
            <w:pPr>
              <w:pStyle w:val="BodyText"/>
            </w:pPr>
            <w:r>
              <w:t>Information about the attendance of each member of the entity’s audit committee at committee meetings.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145–147</w:t>
            </w:r>
          </w:p>
        </w:tc>
      </w:tr>
      <w:tr w:rsidR="00260042" w:rsidTr="001119B3">
        <w:trPr>
          <w:trHeight w:val="392"/>
        </w:trPr>
        <w:tc>
          <w:tcPr>
            <w:tcW w:w="1045" w:type="pct"/>
          </w:tcPr>
          <w:p w:rsidR="00260042" w:rsidRDefault="00260042" w:rsidP="001119B3">
            <w:pPr>
              <w:pStyle w:val="BodyText"/>
            </w:pPr>
            <w:r>
              <w:t>17AG(2A)(e)</w:t>
            </w:r>
          </w:p>
        </w:tc>
        <w:tc>
          <w:tcPr>
            <w:tcW w:w="2178" w:type="pct"/>
          </w:tcPr>
          <w:p w:rsidR="00260042" w:rsidRDefault="00260042" w:rsidP="001119B3">
            <w:pPr>
              <w:pStyle w:val="BodyText"/>
            </w:pPr>
            <w:r>
              <w:t>The remuneration of each member of the entity’s audit committee.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145–147</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External Scrutiny</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17AG(3)</w:t>
            </w:r>
          </w:p>
        </w:tc>
        <w:tc>
          <w:tcPr>
            <w:tcW w:w="2178" w:type="pct"/>
          </w:tcPr>
          <w:p w:rsidR="00260042" w:rsidRDefault="00260042" w:rsidP="001119B3">
            <w:pPr>
              <w:pStyle w:val="BodyText"/>
            </w:pPr>
            <w:r>
              <w:t>Information on the most significant developments in external scrutiny and the entity’s response to the scrutiny.</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156–161</w:t>
            </w:r>
          </w:p>
        </w:tc>
      </w:tr>
      <w:tr w:rsidR="00260042" w:rsidTr="001119B3">
        <w:trPr>
          <w:trHeight w:val="392"/>
        </w:trPr>
        <w:tc>
          <w:tcPr>
            <w:tcW w:w="1045" w:type="pct"/>
          </w:tcPr>
          <w:p w:rsidR="00260042" w:rsidRDefault="00260042" w:rsidP="001119B3">
            <w:pPr>
              <w:pStyle w:val="BodyText"/>
            </w:pPr>
            <w:r>
              <w:t>17AG(3)(a)</w:t>
            </w:r>
          </w:p>
        </w:tc>
        <w:tc>
          <w:tcPr>
            <w:tcW w:w="2178" w:type="pct"/>
          </w:tcPr>
          <w:p w:rsidR="00260042" w:rsidRDefault="00260042" w:rsidP="001119B3">
            <w:pPr>
              <w:pStyle w:val="BodyText"/>
            </w:pPr>
            <w:r>
              <w:t>Information on judicial decisions and decisions of administrative tribunals and by the Australian Information Commissioner that may have a significant effect on the operations of the entity.</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156–158</w:t>
            </w:r>
          </w:p>
        </w:tc>
      </w:tr>
      <w:tr w:rsidR="00260042" w:rsidTr="001119B3">
        <w:trPr>
          <w:trHeight w:val="392"/>
        </w:trPr>
        <w:tc>
          <w:tcPr>
            <w:tcW w:w="1045" w:type="pct"/>
          </w:tcPr>
          <w:p w:rsidR="00260042" w:rsidRDefault="00260042" w:rsidP="001119B3">
            <w:pPr>
              <w:pStyle w:val="BodyText"/>
            </w:pPr>
            <w:r>
              <w:t>17AG(3)(b)</w:t>
            </w:r>
          </w:p>
        </w:tc>
        <w:tc>
          <w:tcPr>
            <w:tcW w:w="2178" w:type="pct"/>
          </w:tcPr>
          <w:p w:rsidR="00260042" w:rsidRDefault="00260042" w:rsidP="001119B3">
            <w:pPr>
              <w:pStyle w:val="BodyText"/>
            </w:pPr>
            <w:r>
              <w:t>Information on any reports on operations of the entity by the Auditor-General (other than report under section 43 of the Act), a Parliamentary Committee, or the Commonwealth Ombudsman.</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159</w:t>
            </w:r>
          </w:p>
        </w:tc>
      </w:tr>
      <w:tr w:rsidR="00260042" w:rsidTr="001119B3">
        <w:trPr>
          <w:trHeight w:val="392"/>
        </w:trPr>
        <w:tc>
          <w:tcPr>
            <w:tcW w:w="1045" w:type="pct"/>
          </w:tcPr>
          <w:p w:rsidR="00260042" w:rsidRDefault="00260042" w:rsidP="001119B3">
            <w:pPr>
              <w:pStyle w:val="BodyText"/>
            </w:pPr>
            <w:r>
              <w:t>17AG(3)(c)</w:t>
            </w:r>
          </w:p>
        </w:tc>
        <w:tc>
          <w:tcPr>
            <w:tcW w:w="2178" w:type="pct"/>
          </w:tcPr>
          <w:p w:rsidR="00260042" w:rsidRDefault="00260042" w:rsidP="001119B3">
            <w:pPr>
              <w:pStyle w:val="BodyText"/>
            </w:pPr>
            <w:r>
              <w:t xml:space="preserve">Information on any capability reviews on the entity that </w:t>
            </w:r>
            <w:proofErr w:type="gramStart"/>
            <w:r>
              <w:t>were released</w:t>
            </w:r>
            <w:proofErr w:type="gramEnd"/>
            <w:r>
              <w:t xml:space="preserve"> during the period.</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161</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Management of Human Resources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17AG(4)(a)</w:t>
            </w:r>
          </w:p>
        </w:tc>
        <w:tc>
          <w:tcPr>
            <w:tcW w:w="2178" w:type="pct"/>
          </w:tcPr>
          <w:p w:rsidR="00260042" w:rsidRDefault="00260042" w:rsidP="001119B3">
            <w:pPr>
              <w:pStyle w:val="BodyText"/>
            </w:pPr>
            <w:r>
              <w:t>An assessment of the entity’s effectiveness in managing and developing employees to achieve entity objectives.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170–182</w:t>
            </w:r>
          </w:p>
        </w:tc>
      </w:tr>
      <w:tr w:rsidR="00260042" w:rsidTr="001119B3">
        <w:trPr>
          <w:trHeight w:val="392"/>
        </w:trPr>
        <w:tc>
          <w:tcPr>
            <w:tcW w:w="1045" w:type="pct"/>
          </w:tcPr>
          <w:p w:rsidR="00260042" w:rsidRDefault="00260042" w:rsidP="001119B3">
            <w:pPr>
              <w:pStyle w:val="BodyText"/>
            </w:pPr>
            <w:r>
              <w:t>17AG(4)(aa)</w:t>
            </w:r>
          </w:p>
        </w:tc>
        <w:tc>
          <w:tcPr>
            <w:tcW w:w="2178" w:type="pct"/>
          </w:tcPr>
          <w:p w:rsidR="00260042" w:rsidRDefault="00260042" w:rsidP="001119B3">
            <w:pPr>
              <w:pStyle w:val="BodyText"/>
            </w:pPr>
            <w:r>
              <w:t>Statistics on the entity’s employees on an ongoing and non-ongoing basis, including the following:</w:t>
            </w:r>
          </w:p>
          <w:p w:rsidR="00260042" w:rsidRDefault="00260042" w:rsidP="001119B3">
            <w:pPr>
              <w:pStyle w:val="BodyText"/>
            </w:pPr>
            <w:r>
              <w:t>(a) statistics on full-time employees;</w:t>
            </w:r>
          </w:p>
          <w:p w:rsidR="00260042" w:rsidRDefault="00260042" w:rsidP="001119B3">
            <w:pPr>
              <w:pStyle w:val="BodyText"/>
            </w:pPr>
            <w:r>
              <w:t>(b) statistics on part-time employees;</w:t>
            </w:r>
          </w:p>
          <w:p w:rsidR="00260042" w:rsidRDefault="00260042" w:rsidP="001119B3">
            <w:pPr>
              <w:pStyle w:val="BodyText"/>
            </w:pPr>
            <w:r>
              <w:t>(c) statistics on gender;</w:t>
            </w:r>
          </w:p>
          <w:p w:rsidR="00260042" w:rsidRDefault="00260042" w:rsidP="001119B3">
            <w:pPr>
              <w:pStyle w:val="BodyText"/>
            </w:pPr>
            <w:r>
              <w:lastRenderedPageBreak/>
              <w:t xml:space="preserve">(d) </w:t>
            </w:r>
            <w:proofErr w:type="gramStart"/>
            <w:r>
              <w:t>statistics</w:t>
            </w:r>
            <w:proofErr w:type="gramEnd"/>
            <w:r>
              <w:t xml:space="preserve"> on staff location.</w:t>
            </w:r>
          </w:p>
        </w:tc>
        <w:tc>
          <w:tcPr>
            <w:tcW w:w="953" w:type="pct"/>
          </w:tcPr>
          <w:p w:rsidR="00260042" w:rsidRDefault="00260042" w:rsidP="001119B3">
            <w:pPr>
              <w:pStyle w:val="BodyText"/>
            </w:pPr>
            <w:r>
              <w:lastRenderedPageBreak/>
              <w:t>Mandatory</w:t>
            </w:r>
          </w:p>
        </w:tc>
        <w:tc>
          <w:tcPr>
            <w:tcW w:w="825" w:type="pct"/>
          </w:tcPr>
          <w:p w:rsidR="00260042" w:rsidRDefault="00260042" w:rsidP="001119B3">
            <w:pPr>
              <w:pStyle w:val="BodyText"/>
            </w:pPr>
            <w:r>
              <w:t>238–250</w:t>
            </w:r>
          </w:p>
        </w:tc>
      </w:tr>
      <w:tr w:rsidR="00260042" w:rsidTr="001119B3">
        <w:trPr>
          <w:trHeight w:val="392"/>
        </w:trPr>
        <w:tc>
          <w:tcPr>
            <w:tcW w:w="1045" w:type="pct"/>
          </w:tcPr>
          <w:p w:rsidR="00260042" w:rsidRDefault="00260042" w:rsidP="001119B3">
            <w:pPr>
              <w:pStyle w:val="BodyText"/>
            </w:pPr>
            <w:r>
              <w:t>17AG(4)(b)</w:t>
            </w:r>
          </w:p>
        </w:tc>
        <w:tc>
          <w:tcPr>
            <w:tcW w:w="2178" w:type="pct"/>
          </w:tcPr>
          <w:p w:rsidR="00260042" w:rsidRDefault="00260042" w:rsidP="001119B3">
            <w:pPr>
              <w:pStyle w:val="BodyText"/>
            </w:pPr>
            <w:r>
              <w:t>Statistics on the entity’s APS employees on an ongoing and non-ongoing basis; including the following:</w:t>
            </w:r>
          </w:p>
          <w:p w:rsidR="00260042" w:rsidRDefault="00260042" w:rsidP="001119B3">
            <w:pPr>
              <w:pStyle w:val="BodyText"/>
            </w:pPr>
            <w:r>
              <w:t>Statistics on staffing classification level;</w:t>
            </w:r>
          </w:p>
          <w:p w:rsidR="00260042" w:rsidRDefault="00260042" w:rsidP="001119B3">
            <w:pPr>
              <w:pStyle w:val="BodyText"/>
            </w:pPr>
            <w:r>
              <w:t>Statistics on full-time employees;</w:t>
            </w:r>
          </w:p>
          <w:p w:rsidR="00260042" w:rsidRDefault="00260042" w:rsidP="001119B3">
            <w:pPr>
              <w:pStyle w:val="BodyText"/>
            </w:pPr>
            <w:r>
              <w:t>Statistics on part-time employees;</w:t>
            </w:r>
          </w:p>
          <w:p w:rsidR="00260042" w:rsidRDefault="00260042" w:rsidP="001119B3">
            <w:pPr>
              <w:pStyle w:val="BodyText"/>
            </w:pPr>
            <w:r>
              <w:t>Statistics on gender;</w:t>
            </w:r>
          </w:p>
          <w:p w:rsidR="00260042" w:rsidRDefault="00260042" w:rsidP="001119B3">
            <w:pPr>
              <w:pStyle w:val="BodyText"/>
            </w:pPr>
            <w:r>
              <w:t>Statistics on staff location;</w:t>
            </w:r>
          </w:p>
          <w:p w:rsidR="00260042" w:rsidRDefault="00260042" w:rsidP="001119B3">
            <w:pPr>
              <w:pStyle w:val="BodyText"/>
            </w:pPr>
            <w:r>
              <w:t>Statistics on employees who identify as Indigenous.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238–250</w:t>
            </w:r>
          </w:p>
        </w:tc>
      </w:tr>
      <w:tr w:rsidR="00260042" w:rsidTr="001119B3">
        <w:trPr>
          <w:trHeight w:val="392"/>
        </w:trPr>
        <w:tc>
          <w:tcPr>
            <w:tcW w:w="1045" w:type="pct"/>
          </w:tcPr>
          <w:p w:rsidR="00260042" w:rsidRDefault="00260042" w:rsidP="001119B3">
            <w:pPr>
              <w:pStyle w:val="BodyText"/>
            </w:pPr>
            <w:r>
              <w:t>17AG(4)(c)</w:t>
            </w:r>
          </w:p>
        </w:tc>
        <w:tc>
          <w:tcPr>
            <w:tcW w:w="2178" w:type="pct"/>
          </w:tcPr>
          <w:p w:rsidR="00260042" w:rsidRDefault="00260042" w:rsidP="001119B3">
            <w:pPr>
              <w:pStyle w:val="BodyText"/>
            </w:pPr>
            <w:r>
              <w:t xml:space="preserve">Information on any enterprise agreements, individual flexibility arrangements, Australian workplace agreements, common law contracts and determinations under subsection 24(1) of the </w:t>
            </w:r>
            <w:r>
              <w:rPr>
                <w:rStyle w:val="Italic"/>
              </w:rPr>
              <w:t>Public Service Act 1999.</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175</w:t>
            </w:r>
          </w:p>
        </w:tc>
      </w:tr>
      <w:tr w:rsidR="00260042" w:rsidTr="001119B3">
        <w:trPr>
          <w:trHeight w:val="392"/>
        </w:trPr>
        <w:tc>
          <w:tcPr>
            <w:tcW w:w="1045" w:type="pct"/>
          </w:tcPr>
          <w:p w:rsidR="00260042" w:rsidRDefault="00260042" w:rsidP="001119B3">
            <w:pPr>
              <w:pStyle w:val="BodyText"/>
            </w:pPr>
            <w:r>
              <w:t>17AG(4)(c)(</w:t>
            </w:r>
            <w:proofErr w:type="spellStart"/>
            <w:r>
              <w:t>i</w:t>
            </w:r>
            <w:proofErr w:type="spellEnd"/>
            <w:r>
              <w:t>)</w:t>
            </w:r>
          </w:p>
        </w:tc>
        <w:tc>
          <w:tcPr>
            <w:tcW w:w="2178" w:type="pct"/>
          </w:tcPr>
          <w:p w:rsidR="00260042" w:rsidRDefault="00260042" w:rsidP="001119B3">
            <w:pPr>
              <w:pStyle w:val="BodyText"/>
            </w:pPr>
            <w:r>
              <w:t xml:space="preserve">Information on the number of SES and non-SES employees covered by agreements </w:t>
            </w:r>
            <w:proofErr w:type="spellStart"/>
            <w:r>
              <w:t>etc</w:t>
            </w:r>
            <w:proofErr w:type="spellEnd"/>
            <w:r>
              <w:t xml:space="preserve"> identified in paragraph </w:t>
            </w:r>
            <w:proofErr w:type="gramStart"/>
            <w:r>
              <w:t>17AG(</w:t>
            </w:r>
            <w:proofErr w:type="gramEnd"/>
            <w:r>
              <w:t>4)(c).</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7</w:t>
            </w:r>
            <w:r>
              <w:br/>
              <w:t>232–236</w:t>
            </w:r>
          </w:p>
        </w:tc>
      </w:tr>
      <w:tr w:rsidR="00260042" w:rsidTr="001119B3">
        <w:trPr>
          <w:trHeight w:val="392"/>
        </w:trPr>
        <w:tc>
          <w:tcPr>
            <w:tcW w:w="1045" w:type="pct"/>
          </w:tcPr>
          <w:p w:rsidR="00260042" w:rsidRDefault="00260042" w:rsidP="001119B3">
            <w:pPr>
              <w:pStyle w:val="BodyText"/>
            </w:pPr>
            <w:r>
              <w:t>17AG(4)(c)(ii)</w:t>
            </w:r>
          </w:p>
        </w:tc>
        <w:tc>
          <w:tcPr>
            <w:tcW w:w="2178" w:type="pct"/>
          </w:tcPr>
          <w:p w:rsidR="00260042" w:rsidRDefault="00260042" w:rsidP="001119B3">
            <w:pPr>
              <w:pStyle w:val="BodyText"/>
            </w:pPr>
            <w:r>
              <w:t>The salary ranges available for APS employees by classification level.</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251</w:t>
            </w:r>
          </w:p>
        </w:tc>
      </w:tr>
      <w:tr w:rsidR="00260042" w:rsidTr="001119B3">
        <w:trPr>
          <w:trHeight w:val="392"/>
        </w:trPr>
        <w:tc>
          <w:tcPr>
            <w:tcW w:w="1045" w:type="pct"/>
          </w:tcPr>
          <w:p w:rsidR="00260042" w:rsidRDefault="00260042" w:rsidP="001119B3">
            <w:pPr>
              <w:pStyle w:val="BodyText"/>
            </w:pPr>
            <w:r>
              <w:t>17AG(4)(c)(iii)</w:t>
            </w:r>
          </w:p>
        </w:tc>
        <w:tc>
          <w:tcPr>
            <w:tcW w:w="2178" w:type="pct"/>
          </w:tcPr>
          <w:p w:rsidR="00260042" w:rsidRDefault="00260042" w:rsidP="001119B3">
            <w:pPr>
              <w:pStyle w:val="BodyText"/>
            </w:pPr>
            <w:r>
              <w:t>A description of non-salary benefits provided to employees.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175</w:t>
            </w:r>
            <w:r>
              <w:br/>
              <w:t>232–236</w:t>
            </w:r>
          </w:p>
        </w:tc>
      </w:tr>
      <w:tr w:rsidR="00260042" w:rsidTr="001119B3">
        <w:trPr>
          <w:trHeight w:val="392"/>
        </w:trPr>
        <w:tc>
          <w:tcPr>
            <w:tcW w:w="1045" w:type="pct"/>
          </w:tcPr>
          <w:p w:rsidR="00260042" w:rsidRDefault="00260042" w:rsidP="001119B3">
            <w:pPr>
              <w:pStyle w:val="BodyText"/>
            </w:pPr>
            <w:r>
              <w:t>17AG(4)(d)(</w:t>
            </w:r>
            <w:proofErr w:type="spellStart"/>
            <w:r>
              <w:t>i</w:t>
            </w:r>
            <w:proofErr w:type="spellEnd"/>
            <w:r>
              <w:t>)</w:t>
            </w:r>
          </w:p>
        </w:tc>
        <w:tc>
          <w:tcPr>
            <w:tcW w:w="2178" w:type="pct"/>
          </w:tcPr>
          <w:p w:rsidR="00260042" w:rsidRDefault="00260042" w:rsidP="001119B3">
            <w:pPr>
              <w:pStyle w:val="BodyText"/>
            </w:pPr>
            <w:r>
              <w:t>Information on the number of employees at each classification level who received performance pay.</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174</w:t>
            </w:r>
          </w:p>
        </w:tc>
      </w:tr>
      <w:tr w:rsidR="00260042" w:rsidTr="001119B3">
        <w:trPr>
          <w:trHeight w:val="392"/>
        </w:trPr>
        <w:tc>
          <w:tcPr>
            <w:tcW w:w="1045" w:type="pct"/>
          </w:tcPr>
          <w:p w:rsidR="00260042" w:rsidRDefault="00260042" w:rsidP="001119B3">
            <w:pPr>
              <w:pStyle w:val="BodyText"/>
            </w:pPr>
            <w:r>
              <w:t>17AG(4)(d)(ii)</w:t>
            </w:r>
          </w:p>
        </w:tc>
        <w:tc>
          <w:tcPr>
            <w:tcW w:w="2178" w:type="pct"/>
          </w:tcPr>
          <w:p w:rsidR="00260042" w:rsidRDefault="00260042" w:rsidP="001119B3">
            <w:pPr>
              <w:pStyle w:val="BodyText"/>
            </w:pPr>
            <w:r>
              <w:t>Information on aggregate amounts of performance pay at each classification level.</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174</w:t>
            </w:r>
          </w:p>
        </w:tc>
      </w:tr>
      <w:tr w:rsidR="00260042" w:rsidTr="001119B3">
        <w:trPr>
          <w:trHeight w:val="392"/>
        </w:trPr>
        <w:tc>
          <w:tcPr>
            <w:tcW w:w="1045" w:type="pct"/>
          </w:tcPr>
          <w:p w:rsidR="00260042" w:rsidRDefault="00260042" w:rsidP="001119B3">
            <w:pPr>
              <w:pStyle w:val="BodyText"/>
            </w:pPr>
            <w:r>
              <w:lastRenderedPageBreak/>
              <w:t>17AG(4)(d)(iii)</w:t>
            </w:r>
          </w:p>
        </w:tc>
        <w:tc>
          <w:tcPr>
            <w:tcW w:w="2178" w:type="pct"/>
          </w:tcPr>
          <w:p w:rsidR="00260042" w:rsidRDefault="00260042" w:rsidP="001119B3">
            <w:pPr>
              <w:pStyle w:val="BodyText"/>
            </w:pPr>
            <w:r>
              <w:t>Information on the average amount of performance payment, and range of such payments, at each classification level.</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174</w:t>
            </w:r>
          </w:p>
        </w:tc>
      </w:tr>
      <w:tr w:rsidR="00260042" w:rsidTr="001119B3">
        <w:trPr>
          <w:trHeight w:val="392"/>
        </w:trPr>
        <w:tc>
          <w:tcPr>
            <w:tcW w:w="1045" w:type="pct"/>
          </w:tcPr>
          <w:p w:rsidR="00260042" w:rsidRDefault="00260042" w:rsidP="001119B3">
            <w:pPr>
              <w:pStyle w:val="BodyText"/>
            </w:pPr>
            <w:r>
              <w:t>17AG(4)(d)(iv)</w:t>
            </w:r>
          </w:p>
        </w:tc>
        <w:tc>
          <w:tcPr>
            <w:tcW w:w="2178" w:type="pct"/>
          </w:tcPr>
          <w:p w:rsidR="00260042" w:rsidRDefault="00260042" w:rsidP="001119B3">
            <w:pPr>
              <w:pStyle w:val="BodyText"/>
            </w:pPr>
            <w:r>
              <w:t>Information on aggregate amount of performance payments.</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174</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Assets Management</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17AG(5)</w:t>
            </w:r>
          </w:p>
        </w:tc>
        <w:tc>
          <w:tcPr>
            <w:tcW w:w="2178" w:type="pct"/>
          </w:tcPr>
          <w:p w:rsidR="00260042" w:rsidRDefault="00260042" w:rsidP="001119B3">
            <w:pPr>
              <w:pStyle w:val="BodyText"/>
            </w:pPr>
            <w:r>
              <w:t>An assessment of effectiveness of assets management where asset management is a significant part of the entity’s activities.</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185</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Purchasing</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17AG(6)</w:t>
            </w:r>
          </w:p>
        </w:tc>
        <w:tc>
          <w:tcPr>
            <w:tcW w:w="2178" w:type="pct"/>
          </w:tcPr>
          <w:p w:rsidR="00260042" w:rsidRDefault="00260042" w:rsidP="001119B3">
            <w:pPr>
              <w:pStyle w:val="BodyText"/>
            </w:pPr>
            <w:r>
              <w:t xml:space="preserve">An assessment of entity performance against the </w:t>
            </w:r>
            <w:r>
              <w:rPr>
                <w:rStyle w:val="Italic"/>
              </w:rPr>
              <w:t>Commonwealth Procurement Rules</w:t>
            </w:r>
            <w:r>
              <w: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162</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 xml:space="preserve">Reportable consultancy contracts </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17AG(7)(a)</w:t>
            </w:r>
          </w:p>
        </w:tc>
        <w:tc>
          <w:tcPr>
            <w:tcW w:w="2178" w:type="pct"/>
          </w:tcPr>
          <w:p w:rsidR="00260042" w:rsidRDefault="00260042" w:rsidP="001119B3">
            <w:pPr>
              <w:pStyle w:val="BodyText"/>
            </w:pPr>
            <w:r>
              <w:t xml:space="preserve">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 </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162–164</w:t>
            </w:r>
          </w:p>
        </w:tc>
      </w:tr>
      <w:tr w:rsidR="00260042" w:rsidTr="001119B3">
        <w:trPr>
          <w:trHeight w:val="392"/>
        </w:trPr>
        <w:tc>
          <w:tcPr>
            <w:tcW w:w="1045" w:type="pct"/>
          </w:tcPr>
          <w:p w:rsidR="00260042" w:rsidRDefault="00260042" w:rsidP="001119B3">
            <w:pPr>
              <w:pStyle w:val="BodyText"/>
            </w:pPr>
            <w:r>
              <w:t>17AG(7)(b)</w:t>
            </w:r>
          </w:p>
        </w:tc>
        <w:tc>
          <w:tcPr>
            <w:tcW w:w="2178" w:type="pct"/>
          </w:tcPr>
          <w:p w:rsidR="00260042" w:rsidRDefault="00260042" w:rsidP="001119B3">
            <w:pPr>
              <w:pStyle w:val="BodyText"/>
            </w:pPr>
            <w:r>
              <w:t xml:space="preserve">A statement that </w:t>
            </w:r>
          </w:p>
          <w:p w:rsidR="00260042" w:rsidRDefault="00260042" w:rsidP="001119B3">
            <w:pPr>
              <w:pStyle w:val="BodyText"/>
            </w:pPr>
            <w:r>
              <w:rPr>
                <w:rStyle w:val="Italic"/>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162</w:t>
            </w:r>
          </w:p>
        </w:tc>
      </w:tr>
      <w:tr w:rsidR="00260042" w:rsidTr="001119B3">
        <w:trPr>
          <w:trHeight w:val="392"/>
        </w:trPr>
        <w:tc>
          <w:tcPr>
            <w:tcW w:w="1045" w:type="pct"/>
          </w:tcPr>
          <w:p w:rsidR="00260042" w:rsidRDefault="00260042" w:rsidP="001119B3">
            <w:pPr>
              <w:pStyle w:val="BodyText"/>
            </w:pPr>
            <w:r>
              <w:lastRenderedPageBreak/>
              <w:t>17AG(7)(c)</w:t>
            </w:r>
          </w:p>
        </w:tc>
        <w:tc>
          <w:tcPr>
            <w:tcW w:w="2178" w:type="pct"/>
          </w:tcPr>
          <w:p w:rsidR="00260042" w:rsidRDefault="00260042" w:rsidP="001119B3">
            <w:pPr>
              <w:pStyle w:val="BodyText"/>
            </w:pPr>
            <w:r>
              <w:t xml:space="preserve">A summary of the policies and procedures for selecting and engaging consultants and the main categories of purposes for which consultants </w:t>
            </w:r>
            <w:proofErr w:type="gramStart"/>
            <w:r>
              <w:t>were selected and engaged</w:t>
            </w:r>
            <w:proofErr w:type="gramEnd"/>
            <w:r>
              <w: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162</w:t>
            </w:r>
          </w:p>
        </w:tc>
      </w:tr>
      <w:tr w:rsidR="00260042" w:rsidTr="001119B3">
        <w:trPr>
          <w:trHeight w:val="392"/>
        </w:trPr>
        <w:tc>
          <w:tcPr>
            <w:tcW w:w="1045" w:type="pct"/>
          </w:tcPr>
          <w:p w:rsidR="00260042" w:rsidRDefault="00260042" w:rsidP="001119B3">
            <w:pPr>
              <w:pStyle w:val="BodyText"/>
            </w:pPr>
            <w:r>
              <w:t>17AG(7)(d)</w:t>
            </w:r>
          </w:p>
        </w:tc>
        <w:tc>
          <w:tcPr>
            <w:tcW w:w="2178" w:type="pct"/>
          </w:tcPr>
          <w:p w:rsidR="00260042" w:rsidRDefault="00260042" w:rsidP="001119B3">
            <w:pPr>
              <w:pStyle w:val="BodyText"/>
            </w:pPr>
            <w:r>
              <w:t xml:space="preserve">A statement that </w:t>
            </w:r>
          </w:p>
          <w:p w:rsidR="00260042" w:rsidRDefault="00260042" w:rsidP="001119B3">
            <w:pPr>
              <w:pStyle w:val="BodyText"/>
            </w:pPr>
            <w:r>
              <w:rPr>
                <w:rStyle w:val="Italic"/>
              </w:rPr>
              <w:t xml:space="preserve">“Annual reports contain information about actual expenditure on reportable consultancy contracts. Information on the value of reportable consultancy contracts is available on the </w:t>
            </w:r>
            <w:proofErr w:type="spellStart"/>
            <w:r>
              <w:rPr>
                <w:rStyle w:val="Italic"/>
              </w:rPr>
              <w:t>AusTender</w:t>
            </w:r>
            <w:proofErr w:type="spellEnd"/>
            <w:r>
              <w:rPr>
                <w:rStyle w:val="Italic"/>
              </w:rPr>
              <w:t xml:space="preserve"> website.”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163</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Reportable non-consultancy contracts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 xml:space="preserve">17AG(7A)(a) </w:t>
            </w:r>
          </w:p>
        </w:tc>
        <w:tc>
          <w:tcPr>
            <w:tcW w:w="2178" w:type="pct"/>
          </w:tcPr>
          <w:p w:rsidR="00260042" w:rsidRDefault="00260042" w:rsidP="001119B3">
            <w:pPr>
              <w:pStyle w:val="BodyText"/>
            </w:pPr>
            <w:r>
              <w:t>A summary statement detailing the number of new reportable non-consultancy contracts entered into during the period; the total actual expenditure on such contracts (inclusive of GST); the number of ongoing reportable non-consultancy contracts that were entered into during a previous reporting period; and the total actual expenditure in the reporting period on those ongoing contracts (inclusive of GST).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163–164</w:t>
            </w:r>
          </w:p>
        </w:tc>
      </w:tr>
      <w:tr w:rsidR="00260042" w:rsidTr="001119B3">
        <w:trPr>
          <w:trHeight w:val="392"/>
        </w:trPr>
        <w:tc>
          <w:tcPr>
            <w:tcW w:w="1045" w:type="pct"/>
          </w:tcPr>
          <w:p w:rsidR="00260042" w:rsidRDefault="00260042" w:rsidP="001119B3">
            <w:pPr>
              <w:pStyle w:val="BodyText"/>
            </w:pPr>
            <w:r>
              <w:t xml:space="preserve">17AG(7A)(b) </w:t>
            </w:r>
          </w:p>
        </w:tc>
        <w:tc>
          <w:tcPr>
            <w:tcW w:w="2178" w:type="pct"/>
          </w:tcPr>
          <w:p w:rsidR="00260042" w:rsidRDefault="00260042" w:rsidP="001119B3">
            <w:pPr>
              <w:pStyle w:val="BodyText"/>
            </w:pPr>
            <w:r>
              <w:t xml:space="preserve">A statement that </w:t>
            </w:r>
          </w:p>
          <w:p w:rsidR="00260042" w:rsidRDefault="00260042" w:rsidP="001119B3">
            <w:pPr>
              <w:pStyle w:val="BodyText"/>
            </w:pPr>
            <w:r>
              <w:rPr>
                <w:rStyle w:val="Italic"/>
              </w:rPr>
              <w:t xml:space="preserve">“Annual reports contain information about actual expenditure on reportable non-consultancy contracts. Information on the value of reportable non-consultancy contracts is available on the </w:t>
            </w:r>
            <w:proofErr w:type="spellStart"/>
            <w:r>
              <w:rPr>
                <w:rStyle w:val="Italic"/>
              </w:rPr>
              <w:t>AusTender</w:t>
            </w:r>
            <w:proofErr w:type="spellEnd"/>
            <w:r>
              <w:rPr>
                <w:rStyle w:val="Italic"/>
              </w:rPr>
              <w:t xml:space="preserve"> website.”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163</w:t>
            </w:r>
          </w:p>
        </w:tc>
      </w:tr>
      <w:tr w:rsidR="00260042" w:rsidTr="001119B3">
        <w:trPr>
          <w:trHeight w:val="392"/>
        </w:trPr>
        <w:tc>
          <w:tcPr>
            <w:tcW w:w="1045" w:type="pct"/>
          </w:tcPr>
          <w:p w:rsidR="00260042" w:rsidRDefault="00260042" w:rsidP="001119B3">
            <w:pPr>
              <w:pStyle w:val="BodyText"/>
            </w:pPr>
            <w:r>
              <w:rPr>
                <w:rStyle w:val="Bold"/>
              </w:rPr>
              <w:t>17AD(</w:t>
            </w:r>
            <w:proofErr w:type="spellStart"/>
            <w:r>
              <w:rPr>
                <w:rStyle w:val="Bold"/>
              </w:rPr>
              <w:t>daa</w:t>
            </w:r>
            <w:proofErr w:type="spellEnd"/>
            <w:r>
              <w:rPr>
                <w:rStyle w:val="Bold"/>
              </w:rPr>
              <w:t>)</w:t>
            </w:r>
          </w:p>
        </w:tc>
        <w:tc>
          <w:tcPr>
            <w:tcW w:w="2178" w:type="pct"/>
          </w:tcPr>
          <w:p w:rsidR="00260042" w:rsidRDefault="00260042" w:rsidP="001119B3">
            <w:pPr>
              <w:pStyle w:val="BodyText"/>
            </w:pPr>
            <w:r>
              <w:rPr>
                <w:rStyle w:val="Bold"/>
              </w:rPr>
              <w:t>Additional information about organisations receiving amounts under reportable consultancy contracts or reportable non-consultancy contracts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17AGA</w:t>
            </w:r>
          </w:p>
        </w:tc>
        <w:tc>
          <w:tcPr>
            <w:tcW w:w="2178" w:type="pct"/>
          </w:tcPr>
          <w:p w:rsidR="00260042" w:rsidRDefault="00260042" w:rsidP="001119B3">
            <w:pPr>
              <w:pStyle w:val="BodyText"/>
            </w:pPr>
            <w:r>
              <w:t xml:space="preserve">Additional information, in accordance with section 17AGA, about organisations </w:t>
            </w:r>
            <w:r>
              <w:lastRenderedPageBreak/>
              <w:t>receiving amounts under reportable consultancy contracts or reportable non-consultancy contracts.</w:t>
            </w:r>
          </w:p>
        </w:tc>
        <w:tc>
          <w:tcPr>
            <w:tcW w:w="953" w:type="pct"/>
          </w:tcPr>
          <w:p w:rsidR="00260042" w:rsidRDefault="00260042" w:rsidP="001119B3">
            <w:pPr>
              <w:pStyle w:val="BodyText"/>
            </w:pPr>
            <w:r>
              <w:lastRenderedPageBreak/>
              <w:t>Mandatory</w:t>
            </w:r>
          </w:p>
        </w:tc>
        <w:tc>
          <w:tcPr>
            <w:tcW w:w="825" w:type="pct"/>
          </w:tcPr>
          <w:p w:rsidR="00260042" w:rsidRDefault="00260042" w:rsidP="001119B3">
            <w:pPr>
              <w:pStyle w:val="BodyText"/>
            </w:pPr>
            <w:r>
              <w:t>163–164</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Australian National Audit Office Access Clauses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17AG(8)</w:t>
            </w:r>
          </w:p>
        </w:tc>
        <w:tc>
          <w:tcPr>
            <w:tcW w:w="2178" w:type="pct"/>
          </w:tcPr>
          <w:p w:rsidR="00260042" w:rsidRDefault="00260042" w:rsidP="001119B3">
            <w:pPr>
              <w:pStyle w:val="BodyText"/>
            </w:pPr>
            <w:proofErr w:type="gramStart"/>
            <w:r>
              <w:t>If an entity entered into a contract with a value of more than $100 000 (inclusive of GST) and the contract did not provide the Auditor-General with access to the contractor’s premises, the report must include the name of the contractor, purpose and value of the contract, and the reason why a clause allowing access was not included in the contract.</w:t>
            </w:r>
            <w:proofErr w:type="gramEnd"/>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165</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Exempt contracts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17AG(9)</w:t>
            </w:r>
          </w:p>
        </w:tc>
        <w:tc>
          <w:tcPr>
            <w:tcW w:w="2178" w:type="pct"/>
          </w:tcPr>
          <w:p w:rsidR="00260042" w:rsidRDefault="00260042" w:rsidP="001119B3">
            <w:pPr>
              <w:pStyle w:val="BodyText"/>
            </w:pPr>
            <w:proofErr w:type="gramStart"/>
            <w:r>
              <w:t xml:space="preserve">If an entity entered into a contract or there is a standing offer with a value greater than $10 000 (inclusive of GST) which has been exempted from being published in </w:t>
            </w:r>
            <w:proofErr w:type="spellStart"/>
            <w:r>
              <w:t>AusTender</w:t>
            </w:r>
            <w:proofErr w:type="spellEnd"/>
            <w:r>
              <w:t xml:space="preserve"> because it would disclose exempt matters under the FOI Act, the annual report must include a statement that the contract or standing offer has been exempted, and the value of the contract or standing offer, to the extent that doing so does not disclose the exempt matters.</w:t>
            </w:r>
            <w:proofErr w:type="gramEnd"/>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165</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Small business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17AG(10)(a)</w:t>
            </w:r>
          </w:p>
        </w:tc>
        <w:tc>
          <w:tcPr>
            <w:tcW w:w="2178" w:type="pct"/>
          </w:tcPr>
          <w:p w:rsidR="00260042" w:rsidRDefault="00260042" w:rsidP="001119B3">
            <w:pPr>
              <w:pStyle w:val="BodyText"/>
            </w:pPr>
            <w:r>
              <w:t xml:space="preserve">A statement that </w:t>
            </w:r>
          </w:p>
          <w:p w:rsidR="00260042" w:rsidRDefault="00260042" w:rsidP="001119B3">
            <w:pPr>
              <w:pStyle w:val="BodyText"/>
            </w:pPr>
            <w:r>
              <w:rPr>
                <w:rStyle w:val="Italic"/>
              </w:rPr>
              <w:t>“[Name of entity] supports small business participation in the Commonwealth Government procurement market. Small and Medium Enterprises (SME) and Small Enterprise participation statistics are available on the Department of Finance’s website.”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164</w:t>
            </w:r>
          </w:p>
        </w:tc>
      </w:tr>
      <w:tr w:rsidR="00260042" w:rsidTr="001119B3">
        <w:trPr>
          <w:trHeight w:val="392"/>
        </w:trPr>
        <w:tc>
          <w:tcPr>
            <w:tcW w:w="1045" w:type="pct"/>
          </w:tcPr>
          <w:p w:rsidR="00260042" w:rsidRDefault="00260042" w:rsidP="001119B3">
            <w:pPr>
              <w:pStyle w:val="BodyText"/>
            </w:pPr>
            <w:r>
              <w:lastRenderedPageBreak/>
              <w:t>17AG(10)(b)</w:t>
            </w:r>
          </w:p>
        </w:tc>
        <w:tc>
          <w:tcPr>
            <w:tcW w:w="2178" w:type="pct"/>
          </w:tcPr>
          <w:p w:rsidR="00260042" w:rsidRDefault="00260042" w:rsidP="001119B3">
            <w:pPr>
              <w:pStyle w:val="BodyText"/>
            </w:pPr>
            <w:r>
              <w:t>An outline of the ways in which the procurement practices of the entity support small and medium enterprises.</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164</w:t>
            </w:r>
          </w:p>
        </w:tc>
      </w:tr>
      <w:tr w:rsidR="00260042" w:rsidTr="001119B3">
        <w:trPr>
          <w:trHeight w:val="392"/>
        </w:trPr>
        <w:tc>
          <w:tcPr>
            <w:tcW w:w="1045" w:type="pct"/>
          </w:tcPr>
          <w:p w:rsidR="00260042" w:rsidRDefault="00260042" w:rsidP="001119B3">
            <w:pPr>
              <w:pStyle w:val="BodyText"/>
            </w:pPr>
            <w:r>
              <w:t>17AG(10)(c)</w:t>
            </w:r>
          </w:p>
        </w:tc>
        <w:tc>
          <w:tcPr>
            <w:tcW w:w="2178" w:type="pct"/>
          </w:tcPr>
          <w:p w:rsidR="00260042" w:rsidRDefault="00260042" w:rsidP="001119B3">
            <w:pPr>
              <w:pStyle w:val="BodyText"/>
            </w:pPr>
            <w:r>
              <w:t xml:space="preserve">If the entity is considered by the Department administered by the Finance Minister as material in nature – a statement that </w:t>
            </w:r>
          </w:p>
          <w:p w:rsidR="00260042" w:rsidRDefault="00260042" w:rsidP="001119B3">
            <w:pPr>
              <w:pStyle w:val="BodyText"/>
            </w:pPr>
            <w:r>
              <w:rPr>
                <w:rStyle w:val="Italic"/>
              </w:rPr>
              <w:t>“[Name of entity] recognises the importance of ensuring that small businesses are paid on time. The results of the Survey of Australian Government Payments to Small Business are available on the Treasury’s website.”</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164</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Financial Statements</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17AD(e)</w:t>
            </w:r>
          </w:p>
        </w:tc>
        <w:tc>
          <w:tcPr>
            <w:tcW w:w="2178" w:type="pct"/>
          </w:tcPr>
          <w:p w:rsidR="00260042" w:rsidRDefault="00260042" w:rsidP="001119B3">
            <w:pPr>
              <w:pStyle w:val="BodyText"/>
            </w:pPr>
            <w:r>
              <w:t>Inclusion of the annual financial statements in accordance with subsection 43(4) of the Act.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186–226</w:t>
            </w:r>
          </w:p>
        </w:tc>
      </w:tr>
      <w:tr w:rsidR="00260042" w:rsidTr="001119B3">
        <w:trPr>
          <w:trHeight w:val="392"/>
        </w:trPr>
        <w:tc>
          <w:tcPr>
            <w:tcW w:w="1045" w:type="pct"/>
          </w:tcPr>
          <w:p w:rsidR="00260042" w:rsidRDefault="00260042" w:rsidP="001119B3">
            <w:pPr>
              <w:pStyle w:val="BodyText"/>
              <w:rPr>
                <w:rFonts w:ascii="Roboto Lt" w:hAnsi="Roboto Lt"/>
              </w:rPr>
            </w:pPr>
          </w:p>
        </w:tc>
        <w:tc>
          <w:tcPr>
            <w:tcW w:w="2178" w:type="pct"/>
          </w:tcPr>
          <w:p w:rsidR="00260042" w:rsidRDefault="00260042" w:rsidP="001119B3">
            <w:pPr>
              <w:pStyle w:val="BodyText"/>
            </w:pPr>
            <w:r>
              <w:rPr>
                <w:rStyle w:val="Bold"/>
              </w:rPr>
              <w:t>Executive Remuneration</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17AD(da)</w:t>
            </w:r>
          </w:p>
        </w:tc>
        <w:tc>
          <w:tcPr>
            <w:tcW w:w="2178" w:type="pct"/>
          </w:tcPr>
          <w:p w:rsidR="00260042" w:rsidRDefault="00260042" w:rsidP="001119B3">
            <w:pPr>
              <w:pStyle w:val="BodyText"/>
            </w:pPr>
            <w:r>
              <w:t>Information about executive remuneration in accordance with Subdivision C of Division 3A of Part 2-3 of the Rule.</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7</w:t>
            </w:r>
            <w:r>
              <w:br/>
              <w:t>232–236</w:t>
            </w:r>
          </w:p>
        </w:tc>
      </w:tr>
      <w:tr w:rsidR="00260042" w:rsidTr="001119B3">
        <w:trPr>
          <w:trHeight w:val="392"/>
        </w:trPr>
        <w:tc>
          <w:tcPr>
            <w:tcW w:w="1045" w:type="pct"/>
          </w:tcPr>
          <w:p w:rsidR="00260042" w:rsidRDefault="00260042" w:rsidP="001119B3">
            <w:pPr>
              <w:pStyle w:val="BodyText"/>
            </w:pPr>
            <w:r>
              <w:rPr>
                <w:rStyle w:val="Bold"/>
              </w:rPr>
              <w:t>17AD(f)</w:t>
            </w:r>
          </w:p>
        </w:tc>
        <w:tc>
          <w:tcPr>
            <w:tcW w:w="2178" w:type="pct"/>
          </w:tcPr>
          <w:p w:rsidR="00260042" w:rsidRDefault="00260042" w:rsidP="001119B3">
            <w:pPr>
              <w:pStyle w:val="BodyText"/>
            </w:pPr>
            <w:r>
              <w:rPr>
                <w:rStyle w:val="Bold"/>
              </w:rPr>
              <w:t>Other Mandatory Information</w:t>
            </w:r>
          </w:p>
        </w:tc>
        <w:tc>
          <w:tcPr>
            <w:tcW w:w="953" w:type="pct"/>
          </w:tcPr>
          <w:p w:rsidR="00260042" w:rsidRDefault="00260042" w:rsidP="001119B3">
            <w:pPr>
              <w:pStyle w:val="BodyText"/>
              <w:rPr>
                <w:rFonts w:ascii="Roboto Lt" w:hAnsi="Roboto Lt"/>
              </w:rPr>
            </w:pPr>
          </w:p>
        </w:tc>
        <w:tc>
          <w:tcPr>
            <w:tcW w:w="825" w:type="pct"/>
          </w:tcPr>
          <w:p w:rsidR="00260042" w:rsidRDefault="00260042" w:rsidP="001119B3">
            <w:pPr>
              <w:pStyle w:val="BodyText"/>
              <w:rPr>
                <w:rFonts w:ascii="Roboto Lt" w:hAnsi="Roboto Lt"/>
              </w:rPr>
            </w:pPr>
          </w:p>
        </w:tc>
      </w:tr>
      <w:tr w:rsidR="00260042" w:rsidTr="001119B3">
        <w:trPr>
          <w:trHeight w:val="392"/>
        </w:trPr>
        <w:tc>
          <w:tcPr>
            <w:tcW w:w="1045" w:type="pct"/>
          </w:tcPr>
          <w:p w:rsidR="00260042" w:rsidRDefault="00260042" w:rsidP="001119B3">
            <w:pPr>
              <w:pStyle w:val="BodyText"/>
            </w:pPr>
            <w:r>
              <w:t>17AH(1)(a)(</w:t>
            </w:r>
            <w:proofErr w:type="spellStart"/>
            <w:r>
              <w:t>i</w:t>
            </w:r>
            <w:proofErr w:type="spellEnd"/>
            <w:r>
              <w:t>)</w:t>
            </w:r>
          </w:p>
        </w:tc>
        <w:tc>
          <w:tcPr>
            <w:tcW w:w="2178" w:type="pct"/>
          </w:tcPr>
          <w:p w:rsidR="00260042" w:rsidRDefault="00260042" w:rsidP="001119B3">
            <w:pPr>
              <w:pStyle w:val="BodyText"/>
            </w:pPr>
            <w:r>
              <w:t xml:space="preserve">If the entity conducted advertising campaigns, a statement that </w:t>
            </w:r>
          </w:p>
          <w:p w:rsidR="00260042" w:rsidRDefault="00260042" w:rsidP="001119B3">
            <w:pPr>
              <w:pStyle w:val="BodyText"/>
            </w:pPr>
            <w:r>
              <w:rPr>
                <w:rStyle w:val="Italic"/>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165</w:t>
            </w:r>
          </w:p>
        </w:tc>
      </w:tr>
      <w:tr w:rsidR="00260042" w:rsidTr="001119B3">
        <w:trPr>
          <w:trHeight w:val="392"/>
        </w:trPr>
        <w:tc>
          <w:tcPr>
            <w:tcW w:w="1045" w:type="pct"/>
          </w:tcPr>
          <w:p w:rsidR="00260042" w:rsidRDefault="00260042" w:rsidP="001119B3">
            <w:pPr>
              <w:pStyle w:val="BodyText"/>
            </w:pPr>
            <w:r>
              <w:lastRenderedPageBreak/>
              <w:t>17AH(1)(a)(ii)</w:t>
            </w:r>
          </w:p>
        </w:tc>
        <w:tc>
          <w:tcPr>
            <w:tcW w:w="2178" w:type="pct"/>
          </w:tcPr>
          <w:p w:rsidR="00260042" w:rsidRDefault="00260042" w:rsidP="001119B3">
            <w:pPr>
              <w:pStyle w:val="BodyText"/>
            </w:pPr>
            <w:r>
              <w:t>If the entity did not conduct advertising campaigns, a statement to that effect.</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165</w:t>
            </w:r>
          </w:p>
        </w:tc>
      </w:tr>
      <w:tr w:rsidR="00260042" w:rsidTr="001119B3">
        <w:trPr>
          <w:trHeight w:val="392"/>
        </w:trPr>
        <w:tc>
          <w:tcPr>
            <w:tcW w:w="1045" w:type="pct"/>
          </w:tcPr>
          <w:p w:rsidR="00260042" w:rsidRDefault="00260042" w:rsidP="001119B3">
            <w:pPr>
              <w:pStyle w:val="BodyText"/>
            </w:pPr>
            <w:r>
              <w:t>17AH(1)(b)</w:t>
            </w:r>
          </w:p>
        </w:tc>
        <w:tc>
          <w:tcPr>
            <w:tcW w:w="2178" w:type="pct"/>
          </w:tcPr>
          <w:p w:rsidR="00260042" w:rsidRDefault="00260042" w:rsidP="001119B3">
            <w:pPr>
              <w:pStyle w:val="BodyText"/>
            </w:pPr>
            <w:r>
              <w:t>A statement that</w:t>
            </w:r>
          </w:p>
          <w:p w:rsidR="00260042" w:rsidRDefault="00260042" w:rsidP="001119B3">
            <w:pPr>
              <w:pStyle w:val="BodyText"/>
            </w:pPr>
            <w:r>
              <w:rPr>
                <w:rStyle w:val="Italic"/>
              </w:rPr>
              <w:t>“Information on grants awarded by [name of entity] during [reporting period] is available at [address of entity’s website].”</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Not applicable</w:t>
            </w:r>
          </w:p>
        </w:tc>
      </w:tr>
      <w:tr w:rsidR="00260042" w:rsidTr="001119B3">
        <w:trPr>
          <w:trHeight w:val="392"/>
        </w:trPr>
        <w:tc>
          <w:tcPr>
            <w:tcW w:w="1045" w:type="pct"/>
          </w:tcPr>
          <w:p w:rsidR="00260042" w:rsidRDefault="00260042" w:rsidP="001119B3">
            <w:pPr>
              <w:pStyle w:val="BodyText"/>
            </w:pPr>
            <w:r>
              <w:t>17AH(1)(c)</w:t>
            </w:r>
          </w:p>
        </w:tc>
        <w:tc>
          <w:tcPr>
            <w:tcW w:w="2178" w:type="pct"/>
          </w:tcPr>
          <w:p w:rsidR="00260042" w:rsidRDefault="00260042" w:rsidP="001119B3">
            <w:pPr>
              <w:pStyle w:val="BodyText"/>
            </w:pPr>
            <w:r>
              <w:t>Outline of mechanisms of disability reporting, including reference to website for further information.</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166–167</w:t>
            </w:r>
          </w:p>
        </w:tc>
      </w:tr>
      <w:tr w:rsidR="00260042" w:rsidTr="001119B3">
        <w:trPr>
          <w:trHeight w:val="392"/>
        </w:trPr>
        <w:tc>
          <w:tcPr>
            <w:tcW w:w="1045" w:type="pct"/>
          </w:tcPr>
          <w:p w:rsidR="00260042" w:rsidRDefault="00260042" w:rsidP="001119B3">
            <w:pPr>
              <w:pStyle w:val="BodyText"/>
            </w:pPr>
            <w:r>
              <w:t>17AH(1)(d)</w:t>
            </w:r>
          </w:p>
        </w:tc>
        <w:tc>
          <w:tcPr>
            <w:tcW w:w="2178" w:type="pct"/>
          </w:tcPr>
          <w:p w:rsidR="00260042" w:rsidRDefault="00260042" w:rsidP="001119B3">
            <w:pPr>
              <w:pStyle w:val="BodyText"/>
            </w:pPr>
            <w:r>
              <w:t xml:space="preserve">Website reference to where the entity’s Information Publication Scheme statement pursuant to Part II of FOI Act </w:t>
            </w:r>
            <w:proofErr w:type="gramStart"/>
            <w:r>
              <w:t>can be found</w:t>
            </w:r>
            <w:proofErr w:type="gramEnd"/>
            <w:r>
              <w:t>.</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167</w:t>
            </w:r>
          </w:p>
        </w:tc>
      </w:tr>
      <w:tr w:rsidR="00260042" w:rsidTr="001119B3">
        <w:trPr>
          <w:trHeight w:val="392"/>
        </w:trPr>
        <w:tc>
          <w:tcPr>
            <w:tcW w:w="1045" w:type="pct"/>
          </w:tcPr>
          <w:p w:rsidR="00260042" w:rsidRDefault="00260042" w:rsidP="001119B3">
            <w:pPr>
              <w:pStyle w:val="BodyText"/>
            </w:pPr>
            <w:r>
              <w:t>17AH(1)(e)</w:t>
            </w:r>
          </w:p>
        </w:tc>
        <w:tc>
          <w:tcPr>
            <w:tcW w:w="2178" w:type="pct"/>
          </w:tcPr>
          <w:p w:rsidR="00260042" w:rsidRDefault="00260042" w:rsidP="001119B3">
            <w:pPr>
              <w:pStyle w:val="BodyText"/>
            </w:pPr>
            <w:r>
              <w:t>Correction of material errors in previous annual report.</w:t>
            </w:r>
          </w:p>
        </w:tc>
        <w:tc>
          <w:tcPr>
            <w:tcW w:w="953" w:type="pct"/>
          </w:tcPr>
          <w:p w:rsidR="00260042" w:rsidRDefault="00260042" w:rsidP="001119B3">
            <w:pPr>
              <w:pStyle w:val="BodyText"/>
            </w:pPr>
            <w:r>
              <w:t>If applicable, mandatory</w:t>
            </w:r>
          </w:p>
        </w:tc>
        <w:tc>
          <w:tcPr>
            <w:tcW w:w="825" w:type="pct"/>
          </w:tcPr>
          <w:p w:rsidR="00260042" w:rsidRDefault="00260042" w:rsidP="001119B3">
            <w:pPr>
              <w:pStyle w:val="BodyText"/>
            </w:pPr>
            <w:r>
              <w:t>168</w:t>
            </w:r>
          </w:p>
        </w:tc>
      </w:tr>
      <w:tr w:rsidR="00260042" w:rsidTr="001119B3">
        <w:trPr>
          <w:trHeight w:val="392"/>
        </w:trPr>
        <w:tc>
          <w:tcPr>
            <w:tcW w:w="1045" w:type="pct"/>
          </w:tcPr>
          <w:p w:rsidR="00260042" w:rsidRDefault="00260042" w:rsidP="001119B3">
            <w:pPr>
              <w:pStyle w:val="BodyText"/>
            </w:pPr>
            <w:r>
              <w:t>17AH(2)</w:t>
            </w:r>
          </w:p>
        </w:tc>
        <w:tc>
          <w:tcPr>
            <w:tcW w:w="2178" w:type="pct"/>
          </w:tcPr>
          <w:p w:rsidR="00260042" w:rsidRDefault="00260042" w:rsidP="001119B3">
            <w:pPr>
              <w:pStyle w:val="BodyText"/>
            </w:pPr>
            <w:r>
              <w:t>Information required by other legislation.</w:t>
            </w:r>
          </w:p>
        </w:tc>
        <w:tc>
          <w:tcPr>
            <w:tcW w:w="953" w:type="pct"/>
          </w:tcPr>
          <w:p w:rsidR="00260042" w:rsidRDefault="00260042" w:rsidP="001119B3">
            <w:pPr>
              <w:pStyle w:val="BodyText"/>
            </w:pPr>
            <w:r>
              <w:t>Mandatory</w:t>
            </w:r>
          </w:p>
        </w:tc>
        <w:tc>
          <w:tcPr>
            <w:tcW w:w="825" w:type="pct"/>
          </w:tcPr>
          <w:p w:rsidR="00260042" w:rsidRDefault="00260042" w:rsidP="001119B3">
            <w:pPr>
              <w:pStyle w:val="BodyText"/>
            </w:pPr>
            <w:r>
              <w:t>252–259</w:t>
            </w:r>
          </w:p>
        </w:tc>
      </w:tr>
    </w:tbl>
    <w:p w:rsidR="00260042" w:rsidRDefault="00260042" w:rsidP="00BC1153">
      <w:pPr>
        <w:pStyle w:val="Heading1"/>
      </w:pPr>
      <w:r>
        <w:t>Glossary</w:t>
      </w:r>
    </w:p>
    <w:p w:rsidR="00260042" w:rsidRDefault="00260042" w:rsidP="00260042">
      <w:pPr>
        <w:pStyle w:val="Heading4"/>
      </w:pPr>
      <w:r>
        <w:t>ACCOUNTABLE AUTHORITY</w:t>
      </w:r>
    </w:p>
    <w:p w:rsidR="00260042" w:rsidRDefault="00260042" w:rsidP="00260042">
      <w:pPr>
        <w:pStyle w:val="BodyText"/>
      </w:pPr>
      <w:r>
        <w:t>The Chief Executive Officer of Services Australia.</w:t>
      </w:r>
    </w:p>
    <w:p w:rsidR="00260042" w:rsidRDefault="00260042" w:rsidP="00260042">
      <w:pPr>
        <w:pStyle w:val="Heading4"/>
      </w:pPr>
      <w:r>
        <w:t>ADMINISTERED ITEMS</w:t>
      </w:r>
    </w:p>
    <w:p w:rsidR="00260042" w:rsidRDefault="00260042" w:rsidP="00260042">
      <w:pPr>
        <w:pStyle w:val="BodyText"/>
        <w:rPr>
          <w:rStyle w:val="NoBreak"/>
        </w:rPr>
      </w:pPr>
      <w:r>
        <w:t>Commonwealth entities report, in their annual performance statements, on the extent to which they have fulfilled the purposes they articulate at the beginning of a reporting year in their corporate plan. They must also report on performance criteria in the portfolio budget statements, portfolio additional estimates statements or other portfolio estimates statements.</w:t>
      </w:r>
    </w:p>
    <w:p w:rsidR="00260042" w:rsidRDefault="00260042" w:rsidP="00260042">
      <w:pPr>
        <w:pStyle w:val="Heading4"/>
      </w:pPr>
      <w:r>
        <w:t>APPROPRIATION</w:t>
      </w:r>
    </w:p>
    <w:p w:rsidR="00260042" w:rsidRDefault="00260042" w:rsidP="00260042">
      <w:pPr>
        <w:pStyle w:val="BodyText"/>
      </w:pPr>
      <w:r>
        <w:t>An amount of public money parliament authorises for spending for a particular purpose.</w:t>
      </w:r>
    </w:p>
    <w:p w:rsidR="00260042" w:rsidRDefault="00260042" w:rsidP="00260042">
      <w:pPr>
        <w:pStyle w:val="Heading4"/>
      </w:pPr>
      <w:r>
        <w:rPr>
          <w:caps/>
        </w:rPr>
        <w:t>Commonwealth Child Safe Framework</w:t>
      </w:r>
    </w:p>
    <w:p w:rsidR="00260042" w:rsidRDefault="00260042" w:rsidP="00260042">
      <w:pPr>
        <w:pStyle w:val="BodyText"/>
      </w:pPr>
      <w:r>
        <w:t xml:space="preserve">Under this framework, Services Australia undertakes annual </w:t>
      </w:r>
      <w:proofErr w:type="gramStart"/>
      <w:r>
        <w:t>child safety risk assessments</w:t>
      </w:r>
      <w:proofErr w:type="gramEnd"/>
      <w:r>
        <w:t xml:space="preserve"> to identify and mitigate risks to children’s safety through any interactions they have with the agency, including with our services, staff and contractors.</w:t>
      </w:r>
    </w:p>
    <w:p w:rsidR="00260042" w:rsidRDefault="00260042" w:rsidP="00260042">
      <w:pPr>
        <w:pStyle w:val="Heading4"/>
      </w:pPr>
      <w:r>
        <w:rPr>
          <w:caps/>
        </w:rPr>
        <w:lastRenderedPageBreak/>
        <w:t>Claims finalised</w:t>
      </w:r>
    </w:p>
    <w:p w:rsidR="00260042" w:rsidRDefault="00260042" w:rsidP="00260042">
      <w:pPr>
        <w:pStyle w:val="BodyText"/>
        <w:jc w:val="both"/>
      </w:pPr>
      <w:r>
        <w:t xml:space="preserve">Claims for payment and cards that </w:t>
      </w:r>
      <w:proofErr w:type="gramStart"/>
      <w:r>
        <w:t>are granted or rejected</w:t>
      </w:r>
      <w:proofErr w:type="gramEnd"/>
      <w:r>
        <w:t>.</w:t>
      </w:r>
    </w:p>
    <w:p w:rsidR="00260042" w:rsidRDefault="00260042" w:rsidP="00260042">
      <w:pPr>
        <w:pStyle w:val="Heading4"/>
      </w:pPr>
      <w:r>
        <w:rPr>
          <w:caps/>
        </w:rPr>
        <w:t xml:space="preserve">Closing the Gap </w:t>
      </w:r>
    </w:p>
    <w:p w:rsidR="00260042" w:rsidRDefault="00260042" w:rsidP="00260042">
      <w:pPr>
        <w:pStyle w:val="BodyText"/>
      </w:pPr>
      <w:r>
        <w:t xml:space="preserve">Under the </w:t>
      </w:r>
      <w:r>
        <w:rPr>
          <w:rStyle w:val="Italic"/>
        </w:rPr>
        <w:t>National Agreement on Closing the Gap</w:t>
      </w:r>
      <w:r>
        <w:t xml:space="preserve">, all Australian governments commit to taking action to overcome the entrenched inequality faced by too many Aboriginal and Torres Strait Islander people so that their life outcomes are equal to all Australians. It recognises that real change </w:t>
      </w:r>
      <w:proofErr w:type="gramStart"/>
      <w:r>
        <w:t>can only be achieved</w:t>
      </w:r>
      <w:proofErr w:type="gramEnd"/>
      <w:r>
        <w:t xml:space="preserve"> by listening to the voices and aspirations of Aboriginal and Torres Strait Islander peoples and by working in full and genuine partnership. </w:t>
      </w:r>
    </w:p>
    <w:p w:rsidR="00260042" w:rsidRDefault="00260042" w:rsidP="00260042">
      <w:pPr>
        <w:pStyle w:val="Heading4"/>
      </w:pPr>
      <w:r>
        <w:rPr>
          <w:caps/>
        </w:rPr>
        <w:t>Corporate Plan</w:t>
      </w:r>
    </w:p>
    <w:p w:rsidR="00260042" w:rsidRDefault="00260042" w:rsidP="00260042">
      <w:pPr>
        <w:pStyle w:val="BodyText"/>
      </w:pPr>
      <w:r>
        <w:t xml:space="preserve">An outline of the strategies Services Australia will follow to achieve </w:t>
      </w:r>
      <w:proofErr w:type="gramStart"/>
      <w:r>
        <w:t>its objectives and how it will measure success</w:t>
      </w:r>
      <w:proofErr w:type="gramEnd"/>
      <w:r>
        <w:t>. The agency reports on the performance measures contained in the corporate plan and updates it every year.</w:t>
      </w:r>
    </w:p>
    <w:p w:rsidR="00260042" w:rsidRDefault="00260042" w:rsidP="00260042">
      <w:pPr>
        <w:pStyle w:val="Heading4"/>
      </w:pPr>
      <w:r>
        <w:rPr>
          <w:caps/>
        </w:rPr>
        <w:t>COVID-19</w:t>
      </w:r>
    </w:p>
    <w:p w:rsidR="00260042" w:rsidRDefault="00260042" w:rsidP="00260042">
      <w:pPr>
        <w:pStyle w:val="BodyText"/>
      </w:pPr>
      <w:r>
        <w:t>An infectious disease caused by a new strain of the SARS-CoV-2 virus.</w:t>
      </w:r>
    </w:p>
    <w:p w:rsidR="00260042" w:rsidRDefault="00260042" w:rsidP="00260042">
      <w:pPr>
        <w:pStyle w:val="Heading4"/>
      </w:pPr>
      <w:r>
        <w:rPr>
          <w:caps/>
        </w:rPr>
        <w:t>Customer-centric</w:t>
      </w:r>
    </w:p>
    <w:p w:rsidR="00260042" w:rsidRDefault="00260042" w:rsidP="00260042">
      <w:pPr>
        <w:pStyle w:val="BodyText"/>
      </w:pPr>
      <w:r>
        <w:t>The agency’s approach to doing business that focuses on creating a positive outcome experience by maximising service delivery and building relationships.</w:t>
      </w:r>
    </w:p>
    <w:p w:rsidR="00260042" w:rsidRDefault="00260042" w:rsidP="00260042">
      <w:pPr>
        <w:pStyle w:val="Heading4"/>
        <w:rPr>
          <w:caps/>
        </w:rPr>
      </w:pPr>
      <w:proofErr w:type="spellStart"/>
      <w:proofErr w:type="gramStart"/>
      <w:r>
        <w:t>e</w:t>
      </w:r>
      <w:r>
        <w:rPr>
          <w:caps/>
        </w:rPr>
        <w:t>Learning</w:t>
      </w:r>
      <w:proofErr w:type="spellEnd"/>
      <w:proofErr w:type="gramEnd"/>
    </w:p>
    <w:p w:rsidR="00260042" w:rsidRDefault="00260042" w:rsidP="00260042">
      <w:pPr>
        <w:pStyle w:val="BodyText"/>
      </w:pPr>
      <w:r>
        <w:t>Web-based training, which is anywhere, any-time instruction delivered over the internet or a corporate intranet to browser-equipped learners.</w:t>
      </w:r>
    </w:p>
    <w:p w:rsidR="00260042" w:rsidRDefault="00260042" w:rsidP="00260042">
      <w:pPr>
        <w:pStyle w:val="Heading4"/>
      </w:pPr>
      <w:r>
        <w:t>IVR</w:t>
      </w:r>
    </w:p>
    <w:p w:rsidR="00260042" w:rsidRDefault="00260042" w:rsidP="00260042">
      <w:pPr>
        <w:pStyle w:val="BodyText"/>
      </w:pPr>
      <w:r>
        <w:t>Interactive voice response is a technology that allows customers to interact with Services Australia via their telephone, keypad or by speech recognition, after which enquiries about services can be made through IVR dialogue.</w:t>
      </w:r>
    </w:p>
    <w:p w:rsidR="00260042" w:rsidRDefault="00260042" w:rsidP="00260042">
      <w:pPr>
        <w:pStyle w:val="Heading4"/>
        <w:rPr>
          <w:caps/>
        </w:rPr>
      </w:pPr>
      <w:r>
        <w:rPr>
          <w:caps/>
        </w:rPr>
        <w:t>Mobile app</w:t>
      </w:r>
    </w:p>
    <w:p w:rsidR="00260042" w:rsidRDefault="00260042" w:rsidP="00260042">
      <w:pPr>
        <w:pStyle w:val="BodyText"/>
      </w:pPr>
      <w:r>
        <w:t>A software application designed to run on smartphones, tablet computers and other mobile devices. Usually they are downloaded from a platform (for example, the Apple App Store or Google Play to a device such an iPhone, Android phone, an iPad or other tablet</w:t>
      </w:r>
    </w:p>
    <w:p w:rsidR="00260042" w:rsidRDefault="00260042" w:rsidP="00260042">
      <w:pPr>
        <w:pStyle w:val="Heading4"/>
        <w:rPr>
          <w:caps/>
        </w:rPr>
      </w:pPr>
      <w:r>
        <w:rPr>
          <w:caps/>
        </w:rPr>
        <w:t>Online Services Australia</w:t>
      </w:r>
    </w:p>
    <w:p w:rsidR="00260042" w:rsidRDefault="00260042" w:rsidP="00260042">
      <w:pPr>
        <w:pStyle w:val="BodyText"/>
      </w:pPr>
      <w:r>
        <w:t>Web-based services that provide users with a wide variety of data transmitted over telecommunications lines. Services Australia offers a range of online services to recipients and other subscribers, such as doctors. The agency’s online services include sending electronic messages and online letters, accepting payment and benefit claims, handling Low Income Card renewals and offering health professionals secure access to Medicare electronic services.</w:t>
      </w:r>
    </w:p>
    <w:p w:rsidR="00260042" w:rsidRDefault="00260042" w:rsidP="00260042">
      <w:pPr>
        <w:pStyle w:val="Heading4"/>
      </w:pPr>
      <w:r>
        <w:rPr>
          <w:caps/>
        </w:rPr>
        <w:t>Outcomes</w:t>
      </w:r>
    </w:p>
    <w:p w:rsidR="00260042" w:rsidRDefault="00260042" w:rsidP="00260042">
      <w:pPr>
        <w:pStyle w:val="BodyText"/>
      </w:pPr>
      <w:r>
        <w:t>The intended result, consequence or effect of government actions on the Australian community.</w:t>
      </w:r>
    </w:p>
    <w:p w:rsidR="00260042" w:rsidRDefault="00260042" w:rsidP="00260042">
      <w:pPr>
        <w:pStyle w:val="Heading4"/>
        <w:rPr>
          <w:caps/>
        </w:rPr>
      </w:pPr>
      <w:r>
        <w:rPr>
          <w:caps/>
        </w:rPr>
        <w:lastRenderedPageBreak/>
        <w:t>Portfolio Additional Estimates Statements</w:t>
      </w:r>
    </w:p>
    <w:p w:rsidR="00260042" w:rsidRDefault="00260042" w:rsidP="00260042">
      <w:pPr>
        <w:pStyle w:val="BodyText"/>
      </w:pPr>
      <w:r>
        <w:t>Statements that inform senators, members of parliament, government departments and agencies, and the public, of changes to the proposed allocation of resources to government outcomes since the Budget.</w:t>
      </w:r>
    </w:p>
    <w:p w:rsidR="00260042" w:rsidRDefault="00260042" w:rsidP="00260042">
      <w:pPr>
        <w:pStyle w:val="Heading4"/>
      </w:pPr>
      <w:r>
        <w:rPr>
          <w:caps/>
        </w:rPr>
        <w:t>Portfolio Budget Statements</w:t>
      </w:r>
    </w:p>
    <w:p w:rsidR="00260042" w:rsidRDefault="00260042" w:rsidP="00260042">
      <w:pPr>
        <w:pStyle w:val="BodyText"/>
      </w:pPr>
      <w:r>
        <w:t xml:space="preserve">Budget-related </w:t>
      </w:r>
      <w:proofErr w:type="gramStart"/>
      <w:r>
        <w:t>statements which explain how the Government intends to spend the money</w:t>
      </w:r>
      <w:proofErr w:type="gramEnd"/>
      <w:r>
        <w:t xml:space="preserve"> included in the Appropriation Bills (Budget Bills).</w:t>
      </w:r>
    </w:p>
    <w:p w:rsidR="00260042" w:rsidRDefault="00260042" w:rsidP="00260042">
      <w:pPr>
        <w:pStyle w:val="Heading4"/>
      </w:pPr>
      <w:r>
        <w:rPr>
          <w:caps/>
        </w:rPr>
        <w:t>Program</w:t>
      </w:r>
    </w:p>
    <w:p w:rsidR="00260042" w:rsidRDefault="00260042" w:rsidP="00260042">
      <w:pPr>
        <w:pStyle w:val="BodyText"/>
      </w:pPr>
      <w:r>
        <w:t>An activity that delivers benefits, services or transfer payments to individuals, industry and/or the community as a whole, with the aim of achieving the intended result specified in an outcome statement.</w:t>
      </w:r>
    </w:p>
    <w:p w:rsidR="00260042" w:rsidRDefault="00260042" w:rsidP="00260042">
      <w:pPr>
        <w:pStyle w:val="Heading4"/>
      </w:pPr>
      <w:r>
        <w:t>SAP</w:t>
      </w:r>
    </w:p>
    <w:p w:rsidR="00260042" w:rsidRDefault="00260042" w:rsidP="00260042">
      <w:pPr>
        <w:pStyle w:val="BodyText"/>
        <w:keepLines/>
      </w:pPr>
      <w:r>
        <w:t>Software (provided by the company SAP SE) for managing business processes, and developing solutions that facilitate effective data processing and information flow across organisations. SAP creates a centralised system that enables access and sharing of common data.</w:t>
      </w:r>
    </w:p>
    <w:p w:rsidR="00260042" w:rsidRDefault="00260042" w:rsidP="00260042">
      <w:pPr>
        <w:pStyle w:val="Heading4"/>
        <w:rPr>
          <w:caps/>
        </w:rPr>
      </w:pPr>
      <w:r>
        <w:rPr>
          <w:caps/>
        </w:rPr>
        <w:t>Services Australia Telephony</w:t>
      </w:r>
    </w:p>
    <w:p w:rsidR="00260042" w:rsidRDefault="00260042" w:rsidP="00260042">
      <w:pPr>
        <w:pStyle w:val="BodyText"/>
      </w:pPr>
      <w:r>
        <w:t xml:space="preserve">The construction or operation of telephones and telephonic systems. The term </w:t>
      </w:r>
      <w:proofErr w:type="gramStart"/>
      <w:r>
        <w:t>is also used</w:t>
      </w:r>
      <w:proofErr w:type="gramEnd"/>
      <w:r>
        <w:t xml:space="preserve"> to refer to computer hardware, software, and computer network systems that carry out functions traditionally performed by telephone equipment.</w:t>
      </w:r>
    </w:p>
    <w:p w:rsidR="00260042" w:rsidRDefault="00260042" w:rsidP="00260042">
      <w:pPr>
        <w:pStyle w:val="Heading4"/>
        <w:rPr>
          <w:caps/>
        </w:rPr>
      </w:pPr>
      <w:r>
        <w:rPr>
          <w:caps/>
        </w:rPr>
        <w:t>Voice biometrics</w:t>
      </w:r>
    </w:p>
    <w:p w:rsidR="00260042" w:rsidRDefault="00260042" w:rsidP="00260042">
      <w:pPr>
        <w:pStyle w:val="BodyText"/>
      </w:pPr>
      <w:r>
        <w:t xml:space="preserve">A technology used to verify a person’s identity using their unique vocal attributes. </w:t>
      </w:r>
    </w:p>
    <w:p w:rsidR="00260042" w:rsidRDefault="00260042" w:rsidP="00260042">
      <w:pPr>
        <w:pStyle w:val="BodyText"/>
        <w:jc w:val="both"/>
      </w:pPr>
    </w:p>
    <w:p w:rsidR="00260042" w:rsidRDefault="00260042" w:rsidP="00BC1153">
      <w:pPr>
        <w:pStyle w:val="Heading1"/>
      </w:pPr>
      <w:r>
        <w:t xml:space="preserve">Abbreviations and acronyms </w:t>
      </w:r>
    </w:p>
    <w:p w:rsidR="00260042" w:rsidRDefault="00260042" w:rsidP="003824D8">
      <w:pPr>
        <w:pStyle w:val="BodyText"/>
      </w:pPr>
      <w:r>
        <w:t xml:space="preserve">A/g </w:t>
      </w:r>
      <w:r>
        <w:tab/>
      </w:r>
      <w:r>
        <w:tab/>
        <w:t>acting</w:t>
      </w:r>
    </w:p>
    <w:p w:rsidR="00260042" w:rsidRDefault="00260042" w:rsidP="003824D8">
      <w:pPr>
        <w:pStyle w:val="BodyText"/>
      </w:pPr>
      <w:r>
        <w:t>AASB</w:t>
      </w:r>
      <w:r>
        <w:tab/>
      </w:r>
      <w:r>
        <w:tab/>
        <w:t>Australian Accounting Standards Board</w:t>
      </w:r>
    </w:p>
    <w:p w:rsidR="00260042" w:rsidRDefault="00260042" w:rsidP="003824D8">
      <w:pPr>
        <w:pStyle w:val="BodyText"/>
      </w:pPr>
      <w:r>
        <w:t xml:space="preserve">AAT </w:t>
      </w:r>
      <w:r>
        <w:tab/>
      </w:r>
      <w:r>
        <w:tab/>
        <w:t>Administrative Appeals Tribunal</w:t>
      </w:r>
    </w:p>
    <w:p w:rsidR="00260042" w:rsidRDefault="00260042" w:rsidP="003824D8">
      <w:pPr>
        <w:pStyle w:val="BodyText"/>
      </w:pPr>
      <w:r>
        <w:t xml:space="preserve">ACCS </w:t>
      </w:r>
      <w:r>
        <w:tab/>
      </w:r>
      <w:r>
        <w:tab/>
        <w:t>Additional Child Care Subsidy</w:t>
      </w:r>
    </w:p>
    <w:p w:rsidR="00260042" w:rsidRDefault="00260042" w:rsidP="003824D8">
      <w:pPr>
        <w:pStyle w:val="BodyText"/>
      </w:pPr>
      <w:r>
        <w:t xml:space="preserve">AFP </w:t>
      </w:r>
      <w:r>
        <w:tab/>
      </w:r>
      <w:r>
        <w:tab/>
        <w:t xml:space="preserve">Australian Federal Police </w:t>
      </w:r>
    </w:p>
    <w:p w:rsidR="00260042" w:rsidRDefault="00260042" w:rsidP="003824D8">
      <w:pPr>
        <w:pStyle w:val="BodyText"/>
      </w:pPr>
      <w:r>
        <w:t xml:space="preserve">AGDRP </w:t>
      </w:r>
      <w:r>
        <w:tab/>
      </w:r>
      <w:r>
        <w:tab/>
        <w:t>Australian Government Disaster Recovery Payment</w:t>
      </w:r>
    </w:p>
    <w:p w:rsidR="00260042" w:rsidRDefault="00260042" w:rsidP="003824D8">
      <w:pPr>
        <w:pStyle w:val="BodyText"/>
      </w:pPr>
      <w:r>
        <w:t>AIR</w:t>
      </w:r>
      <w:r>
        <w:tab/>
      </w:r>
      <w:r>
        <w:tab/>
        <w:t xml:space="preserve">Australian Immunisation Register </w:t>
      </w:r>
    </w:p>
    <w:p w:rsidR="00260042" w:rsidRDefault="00260042" w:rsidP="003824D8">
      <w:pPr>
        <w:pStyle w:val="BodyText"/>
      </w:pPr>
      <w:r>
        <w:t xml:space="preserve">ANAO </w:t>
      </w:r>
      <w:r>
        <w:tab/>
      </w:r>
      <w:r>
        <w:tab/>
        <w:t>Australian National Audit Office</w:t>
      </w:r>
    </w:p>
    <w:p w:rsidR="00260042" w:rsidRDefault="00260042" w:rsidP="003824D8">
      <w:pPr>
        <w:pStyle w:val="BodyText"/>
      </w:pPr>
      <w:r>
        <w:t>APS</w:t>
      </w:r>
      <w:r>
        <w:tab/>
      </w:r>
      <w:r>
        <w:tab/>
        <w:t>Australian Public Service</w:t>
      </w:r>
    </w:p>
    <w:p w:rsidR="00260042" w:rsidRDefault="00260042" w:rsidP="003824D8">
      <w:pPr>
        <w:pStyle w:val="BodyText"/>
      </w:pPr>
      <w:r>
        <w:t xml:space="preserve">ASA </w:t>
      </w:r>
      <w:r>
        <w:tab/>
      </w:r>
      <w:r>
        <w:tab/>
        <w:t xml:space="preserve">average speed of answer </w:t>
      </w:r>
    </w:p>
    <w:p w:rsidR="00260042" w:rsidRDefault="00260042" w:rsidP="003824D8">
      <w:pPr>
        <w:pStyle w:val="BodyText"/>
      </w:pPr>
      <w:r>
        <w:lastRenderedPageBreak/>
        <w:t xml:space="preserve">ATO </w:t>
      </w:r>
      <w:r>
        <w:tab/>
      </w:r>
      <w:r>
        <w:tab/>
        <w:t>Australian Taxation Office</w:t>
      </w:r>
    </w:p>
    <w:p w:rsidR="00260042" w:rsidRDefault="00260042" w:rsidP="003824D8">
      <w:pPr>
        <w:pStyle w:val="BodyText"/>
      </w:pPr>
      <w:r>
        <w:t>ATSSP</w:t>
      </w:r>
      <w:r>
        <w:tab/>
      </w:r>
      <w:r>
        <w:tab/>
        <w:t xml:space="preserve">Australian Thalidomide Survivors Support Program </w:t>
      </w:r>
    </w:p>
    <w:p w:rsidR="00260042" w:rsidRDefault="00260042" w:rsidP="003824D8">
      <w:pPr>
        <w:pStyle w:val="BodyText"/>
      </w:pPr>
      <w:r>
        <w:t xml:space="preserve">AUSLAN </w:t>
      </w:r>
      <w:r>
        <w:tab/>
        <w:t>Australian Sign Language</w:t>
      </w:r>
    </w:p>
    <w:p w:rsidR="00260042" w:rsidRDefault="00260042" w:rsidP="003824D8">
      <w:pPr>
        <w:pStyle w:val="BodyText"/>
      </w:pPr>
      <w:r>
        <w:t>AWE</w:t>
      </w:r>
      <w:r>
        <w:tab/>
      </w:r>
      <w:r>
        <w:tab/>
        <w:t xml:space="preserve">Australian Workplace Equality Index </w:t>
      </w:r>
    </w:p>
    <w:p w:rsidR="00260042" w:rsidRDefault="00260042" w:rsidP="003824D8">
      <w:pPr>
        <w:pStyle w:val="BodyText"/>
      </w:pPr>
      <w:r>
        <w:t xml:space="preserve">CALD </w:t>
      </w:r>
      <w:r>
        <w:tab/>
      </w:r>
      <w:r>
        <w:tab/>
        <w:t>culturally and linguistically diverse</w:t>
      </w:r>
    </w:p>
    <w:p w:rsidR="00260042" w:rsidRDefault="00260042" w:rsidP="003824D8">
      <w:pPr>
        <w:pStyle w:val="BodyText"/>
      </w:pPr>
      <w:r>
        <w:t>CAM</w:t>
      </w:r>
      <w:r>
        <w:tab/>
      </w:r>
      <w:r>
        <w:tab/>
        <w:t>Changing the Social Security Income Assessment Model</w:t>
      </w:r>
    </w:p>
    <w:p w:rsidR="00260042" w:rsidRDefault="00260042" w:rsidP="003824D8">
      <w:pPr>
        <w:pStyle w:val="BodyText"/>
      </w:pPr>
      <w:proofErr w:type="spellStart"/>
      <w:r>
        <w:t>CCeS</w:t>
      </w:r>
      <w:proofErr w:type="spellEnd"/>
      <w:r>
        <w:t xml:space="preserve"> </w:t>
      </w:r>
      <w:r>
        <w:tab/>
      </w:r>
      <w:r>
        <w:tab/>
        <w:t xml:space="preserve">Centrelink Confirmation </w:t>
      </w:r>
      <w:proofErr w:type="spellStart"/>
      <w:r>
        <w:t>eServices</w:t>
      </w:r>
      <w:proofErr w:type="spellEnd"/>
      <w:r>
        <w:t xml:space="preserve"> </w:t>
      </w:r>
    </w:p>
    <w:p w:rsidR="00260042" w:rsidRDefault="00260042" w:rsidP="003824D8">
      <w:pPr>
        <w:pStyle w:val="BodyText"/>
      </w:pPr>
      <w:r>
        <w:t xml:space="preserve">CDP     </w:t>
      </w:r>
      <w:r>
        <w:tab/>
      </w:r>
      <w:r>
        <w:tab/>
        <w:t>COVID-19 Disaster Payment</w:t>
      </w:r>
    </w:p>
    <w:p w:rsidR="00260042" w:rsidRDefault="00260042" w:rsidP="003824D8">
      <w:pPr>
        <w:pStyle w:val="BodyText"/>
      </w:pPr>
      <w:r>
        <w:t xml:space="preserve">CDPP </w:t>
      </w:r>
      <w:r>
        <w:tab/>
      </w:r>
      <w:r>
        <w:tab/>
        <w:t>Commonwealth Director of Public Prosecutions</w:t>
      </w:r>
    </w:p>
    <w:p w:rsidR="00260042" w:rsidRDefault="00260042" w:rsidP="003824D8">
      <w:pPr>
        <w:pStyle w:val="BodyText"/>
      </w:pPr>
      <w:r>
        <w:t xml:space="preserve">CEO </w:t>
      </w:r>
      <w:r>
        <w:tab/>
      </w:r>
      <w:r>
        <w:tab/>
        <w:t>Chief Executive Officer</w:t>
      </w:r>
    </w:p>
    <w:p w:rsidR="00260042" w:rsidRDefault="00260042" w:rsidP="003824D8">
      <w:pPr>
        <w:pStyle w:val="BodyText"/>
      </w:pPr>
      <w:r>
        <w:t xml:space="preserve">CEOs </w:t>
      </w:r>
      <w:r>
        <w:tab/>
      </w:r>
      <w:r>
        <w:tab/>
        <w:t>Community Engagement Officers</w:t>
      </w:r>
    </w:p>
    <w:p w:rsidR="00260042" w:rsidRDefault="00260042" w:rsidP="003824D8">
      <w:pPr>
        <w:pStyle w:val="BodyText"/>
      </w:pPr>
      <w:r>
        <w:t xml:space="preserve">CSAG </w:t>
      </w:r>
      <w:r>
        <w:tab/>
      </w:r>
      <w:r>
        <w:tab/>
        <w:t>Civil Society Advisory Group</w:t>
      </w:r>
    </w:p>
    <w:p w:rsidR="00260042" w:rsidRDefault="00260042" w:rsidP="003824D8">
      <w:pPr>
        <w:pStyle w:val="BodyText"/>
      </w:pPr>
      <w:r>
        <w:t xml:space="preserve">CSS </w:t>
      </w:r>
      <w:r>
        <w:tab/>
      </w:r>
      <w:r>
        <w:tab/>
        <w:t>Commonwealth Superannuation Scheme</w:t>
      </w:r>
    </w:p>
    <w:p w:rsidR="00260042" w:rsidRDefault="00260042" w:rsidP="003824D8">
      <w:pPr>
        <w:pStyle w:val="BodyText"/>
      </w:pPr>
      <w:r>
        <w:t>CTI</w:t>
      </w:r>
      <w:r>
        <w:tab/>
      </w:r>
      <w:r>
        <w:tab/>
        <w:t>Computer telephony interface</w:t>
      </w:r>
    </w:p>
    <w:p w:rsidR="00260042" w:rsidRDefault="00260042" w:rsidP="003824D8">
      <w:pPr>
        <w:pStyle w:val="BodyText"/>
      </w:pPr>
      <w:r>
        <w:t xml:space="preserve">DCEO </w:t>
      </w:r>
      <w:r>
        <w:tab/>
      </w:r>
      <w:r>
        <w:tab/>
        <w:t>Deputy Chief Executive Officer</w:t>
      </w:r>
    </w:p>
    <w:p w:rsidR="00260042" w:rsidRDefault="00260042" w:rsidP="003824D8">
      <w:pPr>
        <w:pStyle w:val="BodyText"/>
      </w:pPr>
      <w:r>
        <w:t xml:space="preserve">DMP Act </w:t>
      </w:r>
      <w:r>
        <w:tab/>
      </w:r>
      <w:r>
        <w:rPr>
          <w:rStyle w:val="Italic"/>
        </w:rPr>
        <w:t>Data-matching Program (Assistance and Tax) Act 1990</w:t>
      </w:r>
    </w:p>
    <w:p w:rsidR="00260042" w:rsidRDefault="00260042" w:rsidP="003824D8">
      <w:pPr>
        <w:pStyle w:val="BodyText"/>
      </w:pPr>
      <w:r>
        <w:t xml:space="preserve">DPO </w:t>
      </w:r>
      <w:r>
        <w:tab/>
      </w:r>
      <w:r>
        <w:tab/>
        <w:t>Departure Prohibition Order</w:t>
      </w:r>
    </w:p>
    <w:p w:rsidR="00260042" w:rsidRDefault="00260042" w:rsidP="003824D8">
      <w:pPr>
        <w:pStyle w:val="BodyText"/>
      </w:pPr>
      <w:r>
        <w:t xml:space="preserve">DRA </w:t>
      </w:r>
      <w:r>
        <w:tab/>
      </w:r>
      <w:r>
        <w:tab/>
        <w:t>Disaster Recovery Allowance</w:t>
      </w:r>
    </w:p>
    <w:p w:rsidR="00260042" w:rsidRDefault="00260042" w:rsidP="003824D8">
      <w:pPr>
        <w:pStyle w:val="BodyText"/>
      </w:pPr>
      <w:r>
        <w:t xml:space="preserve">DRP </w:t>
      </w:r>
      <w:r>
        <w:tab/>
      </w:r>
      <w:r>
        <w:tab/>
        <w:t>Disaster Recovery Payment</w:t>
      </w:r>
    </w:p>
    <w:p w:rsidR="00260042" w:rsidRDefault="00260042" w:rsidP="003824D8">
      <w:pPr>
        <w:pStyle w:val="BodyText"/>
      </w:pPr>
      <w:r>
        <w:t xml:space="preserve">DSP </w:t>
      </w:r>
      <w:r>
        <w:tab/>
      </w:r>
      <w:r>
        <w:tab/>
        <w:t>Disability Support Pension</w:t>
      </w:r>
    </w:p>
    <w:p w:rsidR="00260042" w:rsidRDefault="00260042" w:rsidP="003824D8">
      <w:pPr>
        <w:pStyle w:val="BodyText"/>
      </w:pPr>
      <w:r>
        <w:t>DTA</w:t>
      </w:r>
      <w:r>
        <w:tab/>
      </w:r>
      <w:r>
        <w:tab/>
        <w:t>Digital Transformation Agency</w:t>
      </w:r>
    </w:p>
    <w:p w:rsidR="00260042" w:rsidRDefault="00260042" w:rsidP="003824D8">
      <w:pPr>
        <w:pStyle w:val="BodyText"/>
      </w:pPr>
      <w:r>
        <w:t xml:space="preserve">DVA </w:t>
      </w:r>
      <w:r>
        <w:tab/>
      </w:r>
      <w:r>
        <w:tab/>
        <w:t>Department of Veterans’ Affairs</w:t>
      </w:r>
    </w:p>
    <w:p w:rsidR="00260042" w:rsidRDefault="00260042" w:rsidP="003824D8">
      <w:pPr>
        <w:pStyle w:val="BodyText"/>
      </w:pPr>
      <w:r>
        <w:t>EAC</w:t>
      </w:r>
      <w:r>
        <w:tab/>
      </w:r>
      <w:r>
        <w:tab/>
        <w:t>equivalent annual cost</w:t>
      </w:r>
    </w:p>
    <w:p w:rsidR="00260042" w:rsidRDefault="00260042" w:rsidP="003824D8">
      <w:pPr>
        <w:pStyle w:val="BodyText"/>
      </w:pPr>
      <w:r>
        <w:t xml:space="preserve">ECLIPSE </w:t>
      </w:r>
      <w:r>
        <w:tab/>
      </w:r>
      <w:r>
        <w:br/>
        <w:t>Electronic Claim Lodgement and Information Processing Service Environment</w:t>
      </w:r>
    </w:p>
    <w:p w:rsidR="00260042" w:rsidRDefault="00260042" w:rsidP="003824D8">
      <w:pPr>
        <w:pStyle w:val="BodyText"/>
      </w:pPr>
      <w:r>
        <w:t xml:space="preserve">EEGO </w:t>
      </w:r>
      <w:r>
        <w:tab/>
      </w:r>
      <w:r>
        <w:tab/>
        <w:t>Energy Efficiency in Government Operations</w:t>
      </w:r>
    </w:p>
    <w:p w:rsidR="00260042" w:rsidRDefault="00260042" w:rsidP="003824D8">
      <w:pPr>
        <w:pStyle w:val="BodyText"/>
      </w:pPr>
      <w:r>
        <w:t xml:space="preserve">EFT </w:t>
      </w:r>
      <w:r>
        <w:tab/>
      </w:r>
      <w:r>
        <w:tab/>
        <w:t>Electronic funds transfer</w:t>
      </w:r>
    </w:p>
    <w:p w:rsidR="00260042" w:rsidRDefault="00260042" w:rsidP="003824D8">
      <w:pPr>
        <w:pStyle w:val="BodyText"/>
      </w:pPr>
      <w:r>
        <w:t xml:space="preserve">EFTPOS </w:t>
      </w:r>
      <w:r>
        <w:tab/>
        <w:t>Electronic funds transfer at point of sale</w:t>
      </w:r>
    </w:p>
    <w:p w:rsidR="00260042" w:rsidRDefault="00260042" w:rsidP="003824D8">
      <w:pPr>
        <w:pStyle w:val="BodyText"/>
      </w:pPr>
      <w:r>
        <w:t xml:space="preserve">EL </w:t>
      </w:r>
      <w:r>
        <w:tab/>
      </w:r>
      <w:r>
        <w:tab/>
        <w:t>Executive Level</w:t>
      </w:r>
    </w:p>
    <w:p w:rsidR="00260042" w:rsidRDefault="00260042" w:rsidP="003824D8">
      <w:pPr>
        <w:pStyle w:val="BodyText"/>
      </w:pPr>
      <w:proofErr w:type="spellStart"/>
      <w:r>
        <w:lastRenderedPageBreak/>
        <w:t>ESAt</w:t>
      </w:r>
      <w:proofErr w:type="spellEnd"/>
      <w:r>
        <w:t xml:space="preserve"> </w:t>
      </w:r>
      <w:r>
        <w:tab/>
      </w:r>
      <w:r>
        <w:tab/>
        <w:t>Employment Services Assessment</w:t>
      </w:r>
    </w:p>
    <w:p w:rsidR="00260042" w:rsidRDefault="00260042" w:rsidP="003824D8">
      <w:pPr>
        <w:pStyle w:val="BodyText"/>
      </w:pPr>
      <w:r>
        <w:t>ESD</w:t>
      </w:r>
      <w:r>
        <w:tab/>
      </w:r>
      <w:r>
        <w:tab/>
        <w:t>ecologically sustainable development</w:t>
      </w:r>
    </w:p>
    <w:p w:rsidR="00260042" w:rsidRDefault="00260042" w:rsidP="003824D8">
      <w:pPr>
        <w:pStyle w:val="BodyText"/>
      </w:pPr>
      <w:r>
        <w:t xml:space="preserve">FIS </w:t>
      </w:r>
      <w:r>
        <w:tab/>
      </w:r>
      <w:r>
        <w:tab/>
        <w:t>Financial Information Service</w:t>
      </w:r>
    </w:p>
    <w:p w:rsidR="00260042" w:rsidRDefault="00260042" w:rsidP="003824D8">
      <w:pPr>
        <w:pStyle w:val="BodyText"/>
      </w:pPr>
      <w:r>
        <w:t xml:space="preserve">FOI </w:t>
      </w:r>
      <w:r>
        <w:tab/>
      </w:r>
      <w:r>
        <w:tab/>
        <w:t>freedom of information</w:t>
      </w:r>
    </w:p>
    <w:p w:rsidR="00260042" w:rsidRDefault="00260042" w:rsidP="003824D8">
      <w:pPr>
        <w:pStyle w:val="BodyText"/>
        <w:rPr>
          <w:rStyle w:val="Italic"/>
        </w:rPr>
      </w:pPr>
      <w:r>
        <w:t xml:space="preserve">FOI Act </w:t>
      </w:r>
      <w:r>
        <w:tab/>
      </w:r>
      <w:r>
        <w:tab/>
      </w:r>
      <w:r>
        <w:rPr>
          <w:rStyle w:val="Italic"/>
        </w:rPr>
        <w:t>Freedom of Information Act 1982</w:t>
      </w:r>
    </w:p>
    <w:p w:rsidR="00260042" w:rsidRDefault="00260042" w:rsidP="003824D8">
      <w:pPr>
        <w:pStyle w:val="BodyText"/>
      </w:pPr>
      <w:r>
        <w:t xml:space="preserve">FTB </w:t>
      </w:r>
      <w:r>
        <w:tab/>
      </w:r>
      <w:r>
        <w:tab/>
        <w:t>Family Tax Benefit</w:t>
      </w:r>
    </w:p>
    <w:p w:rsidR="00260042" w:rsidRDefault="00260042" w:rsidP="003824D8">
      <w:pPr>
        <w:pStyle w:val="BodyText"/>
      </w:pPr>
      <w:r>
        <w:t xml:space="preserve">GM </w:t>
      </w:r>
      <w:r>
        <w:tab/>
      </w:r>
      <w:r>
        <w:tab/>
        <w:t>General Manager</w:t>
      </w:r>
    </w:p>
    <w:p w:rsidR="00260042" w:rsidRDefault="00260042" w:rsidP="003824D8">
      <w:pPr>
        <w:pStyle w:val="BodyText"/>
      </w:pPr>
      <w:proofErr w:type="spellStart"/>
      <w:r>
        <w:t>GovERP</w:t>
      </w:r>
      <w:proofErr w:type="spellEnd"/>
      <w:r>
        <w:t xml:space="preserve"> </w:t>
      </w:r>
      <w:r>
        <w:tab/>
        <w:t xml:space="preserve">Government Enterprise Resource Planning </w:t>
      </w:r>
    </w:p>
    <w:p w:rsidR="00260042" w:rsidRDefault="00260042" w:rsidP="003824D8">
      <w:pPr>
        <w:pStyle w:val="BodyText"/>
      </w:pPr>
      <w:r>
        <w:t xml:space="preserve">GP </w:t>
      </w:r>
      <w:r>
        <w:tab/>
      </w:r>
      <w:r>
        <w:tab/>
        <w:t>general practitioner</w:t>
      </w:r>
    </w:p>
    <w:p w:rsidR="00260042" w:rsidRDefault="00260042" w:rsidP="003824D8">
      <w:pPr>
        <w:pStyle w:val="BodyText"/>
      </w:pPr>
      <w:r>
        <w:t xml:space="preserve">GST </w:t>
      </w:r>
      <w:r>
        <w:tab/>
      </w:r>
      <w:r>
        <w:tab/>
        <w:t>goods and services tax</w:t>
      </w:r>
    </w:p>
    <w:p w:rsidR="00260042" w:rsidRDefault="00260042" w:rsidP="003824D8">
      <w:pPr>
        <w:pStyle w:val="BodyText"/>
      </w:pPr>
      <w:r>
        <w:t xml:space="preserve">HDM   </w:t>
      </w:r>
      <w:r>
        <w:tab/>
      </w:r>
      <w:r>
        <w:tab/>
        <w:t>Health Delivery Modernisation</w:t>
      </w:r>
    </w:p>
    <w:p w:rsidR="00260042" w:rsidRDefault="00260042" w:rsidP="003824D8">
      <w:pPr>
        <w:pStyle w:val="BodyText"/>
      </w:pPr>
      <w:r>
        <w:t xml:space="preserve">ICT </w:t>
      </w:r>
      <w:r>
        <w:tab/>
      </w:r>
      <w:r>
        <w:tab/>
        <w:t>information and communications technology</w:t>
      </w:r>
    </w:p>
    <w:p w:rsidR="00260042" w:rsidRDefault="00260042" w:rsidP="003824D8">
      <w:pPr>
        <w:pStyle w:val="BodyText"/>
      </w:pPr>
      <w:r>
        <w:t xml:space="preserve">IPS </w:t>
      </w:r>
      <w:r>
        <w:tab/>
      </w:r>
      <w:r>
        <w:tab/>
        <w:t>Information Publication Scheme</w:t>
      </w:r>
    </w:p>
    <w:p w:rsidR="00260042" w:rsidRDefault="00260042" w:rsidP="003824D8">
      <w:pPr>
        <w:pStyle w:val="BodyText"/>
      </w:pPr>
      <w:r>
        <w:t xml:space="preserve">ISO </w:t>
      </w:r>
      <w:r>
        <w:tab/>
      </w:r>
      <w:r>
        <w:tab/>
        <w:t>Indigenous Service Officer</w:t>
      </w:r>
    </w:p>
    <w:p w:rsidR="00260042" w:rsidRDefault="00260042" w:rsidP="003824D8">
      <w:pPr>
        <w:pStyle w:val="BodyText"/>
      </w:pPr>
      <w:r>
        <w:t xml:space="preserve">IVR </w:t>
      </w:r>
      <w:r>
        <w:tab/>
      </w:r>
      <w:r>
        <w:tab/>
        <w:t>Interactive voice response</w:t>
      </w:r>
    </w:p>
    <w:p w:rsidR="00260042" w:rsidRDefault="00260042" w:rsidP="003824D8">
      <w:pPr>
        <w:pStyle w:val="BodyText"/>
      </w:pPr>
      <w:r>
        <w:t xml:space="preserve">JCA </w:t>
      </w:r>
      <w:r>
        <w:tab/>
      </w:r>
      <w:r>
        <w:tab/>
        <w:t>Job Capacity Assessment</w:t>
      </w:r>
    </w:p>
    <w:p w:rsidR="00260042" w:rsidRDefault="00260042" w:rsidP="003824D8">
      <w:pPr>
        <w:pStyle w:val="BodyText"/>
      </w:pPr>
      <w:r>
        <w:t xml:space="preserve">LGBTI </w:t>
      </w:r>
      <w:r>
        <w:tab/>
      </w:r>
      <w:r>
        <w:tab/>
        <w:t>lesbian, gay, bisexual, transgender and intersex</w:t>
      </w:r>
    </w:p>
    <w:p w:rsidR="00260042" w:rsidRDefault="00260042" w:rsidP="003824D8">
      <w:pPr>
        <w:pStyle w:val="BodyText"/>
      </w:pPr>
      <w:r>
        <w:t xml:space="preserve">MAT </w:t>
      </w:r>
      <w:r>
        <w:tab/>
      </w:r>
      <w:r>
        <w:tab/>
        <w:t>Medical Assessment Team</w:t>
      </w:r>
    </w:p>
    <w:p w:rsidR="00260042" w:rsidRDefault="00260042" w:rsidP="003824D8">
      <w:pPr>
        <w:pStyle w:val="BodyText"/>
      </w:pPr>
      <w:r>
        <w:t xml:space="preserve">MBS </w:t>
      </w:r>
      <w:r>
        <w:tab/>
      </w:r>
      <w:r>
        <w:tab/>
        <w:t>Medicare Benefits Schedule</w:t>
      </w:r>
    </w:p>
    <w:p w:rsidR="00260042" w:rsidRDefault="00260042" w:rsidP="003824D8">
      <w:pPr>
        <w:pStyle w:val="BodyText"/>
      </w:pPr>
      <w:r>
        <w:t xml:space="preserve">MP </w:t>
      </w:r>
      <w:r>
        <w:tab/>
      </w:r>
      <w:r>
        <w:tab/>
        <w:t>Member of Parliament</w:t>
      </w:r>
    </w:p>
    <w:p w:rsidR="00260042" w:rsidRDefault="00260042" w:rsidP="003824D8">
      <w:pPr>
        <w:pStyle w:val="BodyText"/>
      </w:pPr>
      <w:r>
        <w:t xml:space="preserve">MSO </w:t>
      </w:r>
      <w:r>
        <w:tab/>
      </w:r>
      <w:r>
        <w:tab/>
        <w:t>Multicultural Service Officer</w:t>
      </w:r>
    </w:p>
    <w:p w:rsidR="00260042" w:rsidRDefault="00260042" w:rsidP="003824D8">
      <w:pPr>
        <w:pStyle w:val="BodyText"/>
      </w:pPr>
      <w:r>
        <w:t xml:space="preserve">NA </w:t>
      </w:r>
      <w:r>
        <w:tab/>
      </w:r>
      <w:r>
        <w:tab/>
        <w:t>not applicable</w:t>
      </w:r>
    </w:p>
    <w:p w:rsidR="00260042" w:rsidRDefault="00260042" w:rsidP="003824D8">
      <w:pPr>
        <w:pStyle w:val="BodyText"/>
      </w:pPr>
      <w:r>
        <w:t xml:space="preserve">NABERS </w:t>
      </w:r>
      <w:r>
        <w:tab/>
        <w:t>National Australian Built Environment Rating System</w:t>
      </w:r>
    </w:p>
    <w:p w:rsidR="00260042" w:rsidRDefault="00260042" w:rsidP="003824D8">
      <w:pPr>
        <w:pStyle w:val="BodyText"/>
      </w:pPr>
      <w:r>
        <w:t>NDIA</w:t>
      </w:r>
      <w:r>
        <w:tab/>
      </w:r>
      <w:r>
        <w:tab/>
        <w:t xml:space="preserve">National Disability Insurance Agency </w:t>
      </w:r>
    </w:p>
    <w:p w:rsidR="00260042" w:rsidRDefault="00260042" w:rsidP="003824D8">
      <w:pPr>
        <w:pStyle w:val="BodyText"/>
      </w:pPr>
      <w:r>
        <w:t xml:space="preserve">NIC </w:t>
      </w:r>
      <w:r>
        <w:tab/>
      </w:r>
      <w:r>
        <w:tab/>
        <w:t>National Indigenous Coalition</w:t>
      </w:r>
    </w:p>
    <w:p w:rsidR="00260042" w:rsidRDefault="00260042" w:rsidP="003824D8">
      <w:pPr>
        <w:pStyle w:val="BodyText"/>
      </w:pPr>
      <w:r>
        <w:t>NZ DRP</w:t>
      </w:r>
      <w:r>
        <w:tab/>
      </w:r>
      <w:r>
        <w:tab/>
        <w:t xml:space="preserve">New Zealand Disaster Recovery Payment </w:t>
      </w:r>
    </w:p>
    <w:p w:rsidR="00260042" w:rsidRDefault="00260042" w:rsidP="003824D8">
      <w:pPr>
        <w:pStyle w:val="BodyText"/>
      </w:pPr>
      <w:r>
        <w:t xml:space="preserve">PBS </w:t>
      </w:r>
      <w:r>
        <w:tab/>
      </w:r>
      <w:r>
        <w:tab/>
        <w:t>Pharmaceutical Benefits Scheme</w:t>
      </w:r>
    </w:p>
    <w:p w:rsidR="00260042" w:rsidRDefault="00260042" w:rsidP="003824D8">
      <w:pPr>
        <w:pStyle w:val="BodyText"/>
      </w:pPr>
      <w:r>
        <w:t xml:space="preserve">PBS </w:t>
      </w:r>
      <w:r>
        <w:tab/>
      </w:r>
      <w:r>
        <w:tab/>
        <w:t>Portfolio Budget Statements</w:t>
      </w:r>
    </w:p>
    <w:p w:rsidR="00260042" w:rsidRDefault="00260042" w:rsidP="003824D8">
      <w:pPr>
        <w:pStyle w:val="BodyText"/>
      </w:pPr>
      <w:r>
        <w:t>PGPA Act</w:t>
      </w:r>
      <w:r>
        <w:tab/>
      </w:r>
      <w:r>
        <w:rPr>
          <w:rStyle w:val="Italic"/>
        </w:rPr>
        <w:t>Public Governance, Performance and Accountability Act 2013</w:t>
      </w:r>
    </w:p>
    <w:p w:rsidR="00260042" w:rsidRDefault="00260042" w:rsidP="003824D8">
      <w:pPr>
        <w:pStyle w:val="BodyText"/>
      </w:pPr>
      <w:r>
        <w:lastRenderedPageBreak/>
        <w:t xml:space="preserve">PGPA Rule </w:t>
      </w:r>
      <w:r>
        <w:tab/>
        <w:t>Public Governance, Performance and Accountability Rule 2014</w:t>
      </w:r>
    </w:p>
    <w:p w:rsidR="00260042" w:rsidRDefault="00260042" w:rsidP="003824D8">
      <w:pPr>
        <w:pStyle w:val="BodyText"/>
      </w:pPr>
      <w:r>
        <w:t>PLDP</w:t>
      </w:r>
      <w:r>
        <w:tab/>
      </w:r>
      <w:r>
        <w:tab/>
        <w:t>Pandemic Leave Disaster Payment</w:t>
      </w:r>
    </w:p>
    <w:p w:rsidR="00260042" w:rsidRDefault="00260042" w:rsidP="003824D8">
      <w:pPr>
        <w:pStyle w:val="BodyText"/>
      </w:pPr>
      <w:r>
        <w:t xml:space="preserve">PSM </w:t>
      </w:r>
      <w:r>
        <w:tab/>
      </w:r>
      <w:r>
        <w:tab/>
        <w:t>Public Service Medal</w:t>
      </w:r>
    </w:p>
    <w:p w:rsidR="00260042" w:rsidRDefault="00260042" w:rsidP="003824D8">
      <w:pPr>
        <w:pStyle w:val="BodyText"/>
      </w:pPr>
      <w:r>
        <w:t xml:space="preserve">PSS </w:t>
      </w:r>
      <w:r>
        <w:tab/>
      </w:r>
      <w:r>
        <w:tab/>
        <w:t>Public Sector Superannuation</w:t>
      </w:r>
    </w:p>
    <w:p w:rsidR="00260042" w:rsidRDefault="00260042" w:rsidP="003824D8">
      <w:pPr>
        <w:pStyle w:val="BodyText"/>
      </w:pPr>
      <w:proofErr w:type="spellStart"/>
      <w:r>
        <w:t>PSSap</w:t>
      </w:r>
      <w:proofErr w:type="spellEnd"/>
      <w:r>
        <w:t xml:space="preserve"> </w:t>
      </w:r>
      <w:r>
        <w:tab/>
      </w:r>
      <w:r>
        <w:tab/>
        <w:t>Public Sector Superannuation Scheme accumulation plan</w:t>
      </w:r>
    </w:p>
    <w:p w:rsidR="00260042" w:rsidRDefault="00260042" w:rsidP="003824D8">
      <w:pPr>
        <w:pStyle w:val="BodyText"/>
      </w:pPr>
      <w:r>
        <w:t xml:space="preserve">RAP </w:t>
      </w:r>
      <w:r>
        <w:tab/>
      </w:r>
      <w:r>
        <w:tab/>
        <w:t>Reconciliation Action Plan</w:t>
      </w:r>
    </w:p>
    <w:p w:rsidR="00260042" w:rsidRDefault="00260042" w:rsidP="003824D8">
      <w:pPr>
        <w:pStyle w:val="BodyText"/>
      </w:pPr>
      <w:r>
        <w:t xml:space="preserve">RPBS </w:t>
      </w:r>
      <w:r>
        <w:tab/>
      </w:r>
      <w:r>
        <w:tab/>
        <w:t>Repatriation Pharmaceutical Benefits Scheme</w:t>
      </w:r>
    </w:p>
    <w:p w:rsidR="00260042" w:rsidRDefault="00260042" w:rsidP="003824D8">
      <w:pPr>
        <w:pStyle w:val="BodyText"/>
      </w:pPr>
      <w:r>
        <w:t>RSS</w:t>
      </w:r>
      <w:r>
        <w:tab/>
      </w:r>
      <w:r>
        <w:tab/>
        <w:t>random sample survey</w:t>
      </w:r>
    </w:p>
    <w:p w:rsidR="00260042" w:rsidRDefault="00260042" w:rsidP="003824D8">
      <w:pPr>
        <w:pStyle w:val="BodyText"/>
      </w:pPr>
      <w:proofErr w:type="gramStart"/>
      <w:r>
        <w:t>s</w:t>
      </w:r>
      <w:proofErr w:type="gramEnd"/>
      <w:r>
        <w:t>.</w:t>
      </w:r>
      <w:r>
        <w:tab/>
      </w:r>
      <w:r>
        <w:tab/>
        <w:t>section</w:t>
      </w:r>
    </w:p>
    <w:p w:rsidR="00260042" w:rsidRDefault="00260042" w:rsidP="003824D8">
      <w:pPr>
        <w:pStyle w:val="BodyText"/>
      </w:pPr>
      <w:r>
        <w:t xml:space="preserve">SAS </w:t>
      </w:r>
      <w:r>
        <w:tab/>
      </w:r>
      <w:r>
        <w:tab/>
        <w:t>Statistical Analysis System</w:t>
      </w:r>
    </w:p>
    <w:p w:rsidR="00260042" w:rsidRDefault="00260042" w:rsidP="003824D8">
      <w:pPr>
        <w:pStyle w:val="BodyText"/>
      </w:pPr>
      <w:r>
        <w:t xml:space="preserve">SES </w:t>
      </w:r>
      <w:r>
        <w:tab/>
      </w:r>
      <w:r>
        <w:tab/>
        <w:t>Senior Executive Service</w:t>
      </w:r>
    </w:p>
    <w:p w:rsidR="00260042" w:rsidRDefault="00260042" w:rsidP="003824D8">
      <w:pPr>
        <w:pStyle w:val="BodyText"/>
      </w:pPr>
      <w:r>
        <w:t xml:space="preserve">SME </w:t>
      </w:r>
      <w:r>
        <w:tab/>
      </w:r>
      <w:r>
        <w:tab/>
        <w:t>small and medium enterprise</w:t>
      </w:r>
    </w:p>
    <w:p w:rsidR="00260042" w:rsidRDefault="00260042" w:rsidP="003824D8">
      <w:pPr>
        <w:pStyle w:val="BodyText"/>
      </w:pPr>
      <w:r>
        <w:t xml:space="preserve">SMS </w:t>
      </w:r>
      <w:r>
        <w:tab/>
      </w:r>
      <w:r>
        <w:tab/>
        <w:t>short message service</w:t>
      </w:r>
    </w:p>
    <w:p w:rsidR="00260042" w:rsidRDefault="00260042" w:rsidP="003824D8">
      <w:pPr>
        <w:pStyle w:val="BodyText"/>
      </w:pPr>
      <w:r>
        <w:t>SSW</w:t>
      </w:r>
      <w:r>
        <w:tab/>
      </w:r>
      <w:r>
        <w:tab/>
        <w:t>Social Security and Welfare</w:t>
      </w:r>
    </w:p>
    <w:p w:rsidR="00260042" w:rsidRDefault="00260042" w:rsidP="003824D8">
      <w:pPr>
        <w:pStyle w:val="BodyText"/>
      </w:pPr>
      <w:r>
        <w:t>STP</w:t>
      </w:r>
      <w:r>
        <w:tab/>
      </w:r>
      <w:r>
        <w:tab/>
        <w:t xml:space="preserve">Single Touch Payroll </w:t>
      </w:r>
    </w:p>
    <w:p w:rsidR="00260042" w:rsidRDefault="00260042" w:rsidP="003824D8">
      <w:pPr>
        <w:pStyle w:val="BodyText"/>
      </w:pPr>
      <w:r>
        <w:t xml:space="preserve">TAP </w:t>
      </w:r>
      <w:r>
        <w:tab/>
      </w:r>
      <w:r>
        <w:tab/>
        <w:t xml:space="preserve">Tertiary Access Payment </w:t>
      </w:r>
    </w:p>
    <w:p w:rsidR="00260042" w:rsidRDefault="00260042" w:rsidP="003824D8">
      <w:pPr>
        <w:pStyle w:val="BodyText"/>
      </w:pPr>
      <w:r>
        <w:t>VCR-PVFF</w:t>
      </w:r>
      <w:r>
        <w:tab/>
      </w:r>
      <w:r>
        <w:br/>
        <w:t xml:space="preserve">Veteran Centric Reform – Putting Veterans and Their Families First Program </w:t>
      </w:r>
    </w:p>
    <w:p w:rsidR="00260042" w:rsidRDefault="00260042" w:rsidP="003824D8">
      <w:pPr>
        <w:pStyle w:val="BodyText"/>
      </w:pPr>
      <w:r>
        <w:t>WHS</w:t>
      </w:r>
      <w:r>
        <w:tab/>
      </w:r>
      <w:r>
        <w:tab/>
        <w:t>work health and safety</w:t>
      </w:r>
    </w:p>
    <w:p w:rsidR="00260042" w:rsidRDefault="00260042" w:rsidP="003824D8">
      <w:pPr>
        <w:pStyle w:val="BodyText"/>
      </w:pPr>
      <w:r>
        <w:t xml:space="preserve">WPIT </w:t>
      </w:r>
      <w:r>
        <w:tab/>
      </w:r>
      <w:r>
        <w:tab/>
        <w:t>Welfare Payment Infrastructure Transformation</w:t>
      </w:r>
    </w:p>
    <w:p w:rsidR="00260042" w:rsidRDefault="00260042" w:rsidP="00BC1153">
      <w:pPr>
        <w:pStyle w:val="Heading1"/>
      </w:pPr>
      <w:r>
        <w:t>Index</w:t>
      </w:r>
    </w:p>
    <w:p w:rsidR="00260042" w:rsidRDefault="00260042" w:rsidP="00260042">
      <w:pPr>
        <w:pStyle w:val="IndexHeading"/>
      </w:pPr>
      <w:r>
        <w:t>A</w:t>
      </w:r>
    </w:p>
    <w:p w:rsidR="00260042" w:rsidRDefault="00260042" w:rsidP="00260042">
      <w:pPr>
        <w:pStyle w:val="IndexBodyL1"/>
      </w:pPr>
      <w:proofErr w:type="gramStart"/>
      <w:r>
        <w:t>abbreviations</w:t>
      </w:r>
      <w:proofErr w:type="gramEnd"/>
      <w:r>
        <w:t xml:space="preserve"> and acronyms, 275–7</w:t>
      </w:r>
    </w:p>
    <w:p w:rsidR="00260042" w:rsidRDefault="00260042" w:rsidP="00260042">
      <w:pPr>
        <w:pStyle w:val="IndexBodyL1"/>
      </w:pPr>
      <w:r>
        <w:t>Aboriginal and Torres Strait Islander businesses, 164</w:t>
      </w:r>
    </w:p>
    <w:p w:rsidR="00260042" w:rsidRDefault="00260042" w:rsidP="00260042">
      <w:pPr>
        <w:pStyle w:val="IndexBodyL1"/>
      </w:pPr>
      <w:r>
        <w:t>Aboriginal and Torres Strait Islander Employees Strategy 2018—22, 170</w:t>
      </w:r>
    </w:p>
    <w:p w:rsidR="00260042" w:rsidRDefault="00260042" w:rsidP="00260042">
      <w:pPr>
        <w:pStyle w:val="IndexBodyL1"/>
      </w:pPr>
      <w:r>
        <w:t>Aboriginal and Torres Strait Islander peoples, 19, 42, 51, 66, 67–9, 75</w:t>
      </w:r>
    </w:p>
    <w:p w:rsidR="00260042" w:rsidRDefault="00260042" w:rsidP="00260042">
      <w:pPr>
        <w:pStyle w:val="IndexBodyL2"/>
      </w:pPr>
      <w:proofErr w:type="gramStart"/>
      <w:r>
        <w:t>access</w:t>
      </w:r>
      <w:proofErr w:type="gramEnd"/>
      <w:r>
        <w:t xml:space="preserve"> to the Pharmaceutical Benefits Scheme, 51</w:t>
      </w:r>
    </w:p>
    <w:p w:rsidR="00260042" w:rsidRDefault="00260042" w:rsidP="00260042">
      <w:pPr>
        <w:pStyle w:val="IndexBodyL2"/>
      </w:pPr>
      <w:proofErr w:type="gramStart"/>
      <w:r>
        <w:t>service</w:t>
      </w:r>
      <w:proofErr w:type="gramEnd"/>
      <w:r>
        <w:t xml:space="preserve"> improvements, 68–9</w:t>
      </w:r>
    </w:p>
    <w:p w:rsidR="00260042" w:rsidRDefault="00260042" w:rsidP="00260042">
      <w:pPr>
        <w:pStyle w:val="IndexBodyL1"/>
      </w:pPr>
      <w:r>
        <w:t>Aboriginal Interpreter Service, 69</w:t>
      </w:r>
    </w:p>
    <w:p w:rsidR="00260042" w:rsidRDefault="00260042" w:rsidP="00260042">
      <w:pPr>
        <w:pStyle w:val="IndexBodyL1"/>
      </w:pPr>
      <w:r>
        <w:t>ABSTUDY, 36, 42, 43</w:t>
      </w:r>
    </w:p>
    <w:p w:rsidR="00260042" w:rsidRDefault="00260042" w:rsidP="00260042">
      <w:pPr>
        <w:pStyle w:val="IndexBodyL1"/>
      </w:pPr>
      <w:proofErr w:type="gramStart"/>
      <w:r>
        <w:t>access</w:t>
      </w:r>
      <w:proofErr w:type="gramEnd"/>
      <w:r>
        <w:t xml:space="preserve"> clauses, ANAO, 165</w:t>
      </w:r>
    </w:p>
    <w:p w:rsidR="00260042" w:rsidRDefault="00260042" w:rsidP="00260042">
      <w:pPr>
        <w:pStyle w:val="IndexBodyL1"/>
      </w:pPr>
      <w:proofErr w:type="gramStart"/>
      <w:r>
        <w:t>accountable</w:t>
      </w:r>
      <w:proofErr w:type="gramEnd"/>
      <w:r>
        <w:t xml:space="preserve"> authority, 237</w:t>
      </w:r>
    </w:p>
    <w:p w:rsidR="00260042" w:rsidRDefault="00260042" w:rsidP="00260042">
      <w:pPr>
        <w:pStyle w:val="IndexBodyL1"/>
      </w:pPr>
      <w:r>
        <w:t>Administrative Appeals Tribunal, 157–8</w:t>
      </w:r>
    </w:p>
    <w:p w:rsidR="00260042" w:rsidRDefault="00260042" w:rsidP="00260042">
      <w:pPr>
        <w:pStyle w:val="IndexBodyL1"/>
      </w:pPr>
      <w:proofErr w:type="gramStart"/>
      <w:r>
        <w:t>administrative</w:t>
      </w:r>
      <w:proofErr w:type="gramEnd"/>
      <w:r>
        <w:t xml:space="preserve"> investigations, 149</w:t>
      </w:r>
    </w:p>
    <w:p w:rsidR="00260042" w:rsidRDefault="00260042" w:rsidP="00260042">
      <w:pPr>
        <w:pStyle w:val="IndexBodyL1"/>
      </w:pPr>
      <w:proofErr w:type="gramStart"/>
      <w:r>
        <w:lastRenderedPageBreak/>
        <w:t>adopted</w:t>
      </w:r>
      <w:proofErr w:type="gramEnd"/>
      <w:r>
        <w:t xml:space="preserve"> children, 39</w:t>
      </w:r>
    </w:p>
    <w:p w:rsidR="00260042" w:rsidRDefault="00260042" w:rsidP="00260042">
      <w:pPr>
        <w:pStyle w:val="IndexBodyL1"/>
      </w:pPr>
      <w:proofErr w:type="gramStart"/>
      <w:r>
        <w:t>advertising</w:t>
      </w:r>
      <w:proofErr w:type="gramEnd"/>
      <w:r>
        <w:t xml:space="preserve"> costs, 165</w:t>
      </w:r>
    </w:p>
    <w:p w:rsidR="00260042" w:rsidRDefault="00260042" w:rsidP="00260042">
      <w:pPr>
        <w:pStyle w:val="IndexBodyL1"/>
      </w:pPr>
      <w:proofErr w:type="gramStart"/>
      <w:r>
        <w:t>advisory</w:t>
      </w:r>
      <w:proofErr w:type="gramEnd"/>
      <w:r>
        <w:t xml:space="preserve"> forums and groups, 74, 85–6</w:t>
      </w:r>
    </w:p>
    <w:p w:rsidR="00260042" w:rsidRDefault="00260042" w:rsidP="00260042">
      <w:pPr>
        <w:pStyle w:val="IndexBodyL1"/>
      </w:pPr>
      <w:r>
        <w:t>Age Pension, 36, 37</w:t>
      </w:r>
    </w:p>
    <w:p w:rsidR="00260042" w:rsidRDefault="00260042" w:rsidP="00260042">
      <w:pPr>
        <w:pStyle w:val="IndexBodyL1"/>
      </w:pPr>
      <w:proofErr w:type="gramStart"/>
      <w:r>
        <w:t>aged</w:t>
      </w:r>
      <w:proofErr w:type="gramEnd"/>
      <w:r>
        <w:t xml:space="preserve"> care programs, 52–4</w:t>
      </w:r>
    </w:p>
    <w:p w:rsidR="00260042" w:rsidRDefault="00260042" w:rsidP="00260042">
      <w:pPr>
        <w:pStyle w:val="IndexBodyL2"/>
      </w:pPr>
      <w:proofErr w:type="gramStart"/>
      <w:r>
        <w:t>claiming</w:t>
      </w:r>
      <w:proofErr w:type="gramEnd"/>
      <w:r>
        <w:t>, 52</w:t>
      </w:r>
    </w:p>
    <w:p w:rsidR="00260042" w:rsidRDefault="00260042" w:rsidP="00260042">
      <w:pPr>
        <w:pStyle w:val="IndexBodyL1"/>
      </w:pPr>
      <w:proofErr w:type="gramStart"/>
      <w:r>
        <w:t>aged</w:t>
      </w:r>
      <w:proofErr w:type="gramEnd"/>
      <w:r>
        <w:t xml:space="preserve"> care providers, 10, 53</w:t>
      </w:r>
    </w:p>
    <w:p w:rsidR="00260042" w:rsidRDefault="00260042" w:rsidP="00260042">
      <w:pPr>
        <w:pStyle w:val="IndexBodyL2"/>
      </w:pPr>
      <w:proofErr w:type="gramStart"/>
      <w:r>
        <w:t>portal</w:t>
      </w:r>
      <w:proofErr w:type="gramEnd"/>
      <w:r>
        <w:t xml:space="preserve"> for digital claims, x, 53</w:t>
      </w:r>
    </w:p>
    <w:p w:rsidR="00260042" w:rsidRDefault="00260042" w:rsidP="00260042">
      <w:pPr>
        <w:pStyle w:val="IndexBodyL1"/>
      </w:pPr>
      <w:proofErr w:type="gramStart"/>
      <w:r>
        <w:t>agency</w:t>
      </w:r>
      <w:proofErr w:type="gramEnd"/>
      <w:r>
        <w:t xml:space="preserve"> capability reviews, 161</w:t>
      </w:r>
    </w:p>
    <w:p w:rsidR="00260042" w:rsidRDefault="00260042" w:rsidP="00260042">
      <w:pPr>
        <w:pStyle w:val="IndexBodyL1"/>
      </w:pPr>
      <w:proofErr w:type="gramStart"/>
      <w:r>
        <w:t>agency</w:t>
      </w:r>
      <w:proofErr w:type="gramEnd"/>
      <w:r>
        <w:t xml:space="preserve"> resource statement, 228–31</w:t>
      </w:r>
    </w:p>
    <w:p w:rsidR="00260042" w:rsidRDefault="00260042" w:rsidP="00260042">
      <w:pPr>
        <w:pStyle w:val="IndexBodyL1"/>
      </w:pPr>
      <w:r>
        <w:t>Agents and Access Points, xiv, 70–1</w:t>
      </w:r>
    </w:p>
    <w:p w:rsidR="00260042" w:rsidRDefault="00260042" w:rsidP="00260042">
      <w:pPr>
        <w:pStyle w:val="IndexBodyL1"/>
      </w:pPr>
      <w:proofErr w:type="gramStart"/>
      <w:r>
        <w:t>apprentices</w:t>
      </w:r>
      <w:proofErr w:type="gramEnd"/>
      <w:r>
        <w:t>, 42, 178–9</w:t>
      </w:r>
    </w:p>
    <w:p w:rsidR="00260042" w:rsidRDefault="00260042" w:rsidP="00260042">
      <w:pPr>
        <w:pStyle w:val="IndexBodyL1"/>
      </w:pPr>
      <w:r>
        <w:t>Aspiring Program, 176</w:t>
      </w:r>
    </w:p>
    <w:p w:rsidR="00260042" w:rsidRDefault="00260042" w:rsidP="00260042">
      <w:pPr>
        <w:pStyle w:val="IndexBodyL1"/>
      </w:pPr>
      <w:proofErr w:type="gramStart"/>
      <w:r>
        <w:t>asset</w:t>
      </w:r>
      <w:proofErr w:type="gramEnd"/>
      <w:r>
        <w:t xml:space="preserve"> management, 185</w:t>
      </w:r>
    </w:p>
    <w:p w:rsidR="00260042" w:rsidRDefault="00260042" w:rsidP="00260042">
      <w:pPr>
        <w:pStyle w:val="IndexBodyL1"/>
      </w:pPr>
      <w:r>
        <w:t>Audit and Risk Committee, 143, 144–8</w:t>
      </w:r>
    </w:p>
    <w:p w:rsidR="00260042" w:rsidRDefault="00260042" w:rsidP="00260042">
      <w:pPr>
        <w:pStyle w:val="IndexBodyL1"/>
      </w:pPr>
      <w:r>
        <w:t>Audit Findings Sub-Committee, 148</w:t>
      </w:r>
    </w:p>
    <w:p w:rsidR="00260042" w:rsidRDefault="00260042" w:rsidP="00260042">
      <w:pPr>
        <w:pStyle w:val="IndexBodyL1"/>
      </w:pPr>
      <w:r>
        <w:t>Auditor-General reports, 158–9</w:t>
      </w:r>
    </w:p>
    <w:p w:rsidR="00260042" w:rsidRDefault="00260042" w:rsidP="00260042">
      <w:pPr>
        <w:pStyle w:val="IndexBodyL1"/>
      </w:pPr>
      <w:r>
        <w:t>Australian Digital Health Agency, 60</w:t>
      </w:r>
    </w:p>
    <w:p w:rsidR="00260042" w:rsidRDefault="00260042" w:rsidP="00260042">
      <w:pPr>
        <w:pStyle w:val="IndexBodyL1"/>
      </w:pPr>
      <w:r>
        <w:t>Australian Federal Police, 150</w:t>
      </w:r>
    </w:p>
    <w:p w:rsidR="00260042" w:rsidRDefault="00260042" w:rsidP="00260042">
      <w:pPr>
        <w:pStyle w:val="IndexBodyL1"/>
      </w:pPr>
      <w:r>
        <w:t>Australian Government agencies, partnerships with, 85</w:t>
      </w:r>
    </w:p>
    <w:p w:rsidR="00260042" w:rsidRDefault="00260042" w:rsidP="00260042">
      <w:pPr>
        <w:pStyle w:val="IndexBodyL1"/>
      </w:pPr>
      <w:r>
        <w:t>Australian Government Digital Award, x, 173–4</w:t>
      </w:r>
    </w:p>
    <w:p w:rsidR="00260042" w:rsidRDefault="00260042" w:rsidP="00260042">
      <w:pPr>
        <w:pStyle w:val="IndexBodyL1"/>
      </w:pPr>
      <w:r>
        <w:t>Australian Government Disaster Recovery Payment, x, 30–2</w:t>
      </w:r>
    </w:p>
    <w:p w:rsidR="00260042" w:rsidRDefault="00260042" w:rsidP="00260042">
      <w:pPr>
        <w:pStyle w:val="IndexBodyL2"/>
      </w:pPr>
      <w:proofErr w:type="gramStart"/>
      <w:r>
        <w:t>claims</w:t>
      </w:r>
      <w:proofErr w:type="gramEnd"/>
      <w:r>
        <w:t>, 32</w:t>
      </w:r>
    </w:p>
    <w:p w:rsidR="00260042" w:rsidRDefault="00260042" w:rsidP="00260042">
      <w:pPr>
        <w:pStyle w:val="IndexBodyL1"/>
      </w:pPr>
      <w:r>
        <w:t xml:space="preserve">Australian </w:t>
      </w:r>
      <w:proofErr w:type="spellStart"/>
      <w:r>
        <w:t>Immunisation</w:t>
      </w:r>
      <w:proofErr w:type="spellEnd"/>
      <w:r>
        <w:t xml:space="preserve"> Register, x, 26, 56–7</w:t>
      </w:r>
    </w:p>
    <w:p w:rsidR="00260042" w:rsidRDefault="00260042" w:rsidP="00260042">
      <w:pPr>
        <w:pStyle w:val="IndexBodyL1"/>
      </w:pPr>
      <w:r>
        <w:t>Australian Information Commissioner, 156</w:t>
      </w:r>
    </w:p>
    <w:p w:rsidR="00260042" w:rsidRDefault="00260042" w:rsidP="00260042">
      <w:pPr>
        <w:pStyle w:val="IndexBodyL1"/>
      </w:pPr>
      <w:r>
        <w:t>Australian Organ Donor Register, 57</w:t>
      </w:r>
    </w:p>
    <w:p w:rsidR="00260042" w:rsidRDefault="00260042" w:rsidP="00260042">
      <w:pPr>
        <w:pStyle w:val="IndexBodyL1"/>
      </w:pPr>
      <w:r>
        <w:t>Australian Public Service Surge Reserve, 34</w:t>
      </w:r>
    </w:p>
    <w:p w:rsidR="00260042" w:rsidRDefault="00260042" w:rsidP="00260042">
      <w:pPr>
        <w:pStyle w:val="IndexBodyL1"/>
      </w:pPr>
      <w:r>
        <w:rPr>
          <w:spacing w:val="-3"/>
        </w:rPr>
        <w:t>Australian Taxation Office, xi, 17, 152, 181</w:t>
      </w:r>
    </w:p>
    <w:p w:rsidR="00260042" w:rsidRDefault="00260042" w:rsidP="00260042">
      <w:pPr>
        <w:pStyle w:val="IndexBodyL1"/>
      </w:pPr>
      <w:r>
        <w:t>Australian Thalidomide Survivors Support Program, 58</w:t>
      </w:r>
    </w:p>
    <w:p w:rsidR="00260042" w:rsidRDefault="00260042" w:rsidP="00260042">
      <w:pPr>
        <w:pStyle w:val="IndexBodyL1"/>
      </w:pPr>
      <w:r>
        <w:t>Australian Trade and Investment Commission (</w:t>
      </w:r>
      <w:proofErr w:type="spellStart"/>
      <w:r>
        <w:t>AusTrade</w:t>
      </w:r>
      <w:proofErr w:type="spellEnd"/>
      <w:r>
        <w:t>), 29</w:t>
      </w:r>
    </w:p>
    <w:p w:rsidR="00260042" w:rsidRDefault="00260042" w:rsidP="00260042">
      <w:pPr>
        <w:pStyle w:val="IndexBodyL1"/>
      </w:pPr>
      <w:r>
        <w:t>Australian Victim of Terrorism Overseas Payment, 30, 33</w:t>
      </w:r>
    </w:p>
    <w:p w:rsidR="00260042" w:rsidRDefault="00260042" w:rsidP="00260042">
      <w:pPr>
        <w:pStyle w:val="IndexBodyL1"/>
      </w:pPr>
      <w:r>
        <w:rPr>
          <w:spacing w:val="-2"/>
        </w:rPr>
        <w:t>Australian Workplace Equality Index, 181</w:t>
      </w:r>
    </w:p>
    <w:p w:rsidR="00260042" w:rsidRDefault="00260042" w:rsidP="00260042">
      <w:pPr>
        <w:pStyle w:val="IndexBodyL1"/>
      </w:pPr>
      <w:proofErr w:type="spellStart"/>
      <w:r>
        <w:t>Austudy</w:t>
      </w:r>
      <w:proofErr w:type="spellEnd"/>
      <w:r>
        <w:t>, 37, 42</w:t>
      </w:r>
    </w:p>
    <w:p w:rsidR="00260042" w:rsidRDefault="00260042" w:rsidP="00260042">
      <w:pPr>
        <w:pStyle w:val="IndexBodyL1"/>
      </w:pPr>
      <w:proofErr w:type="gramStart"/>
      <w:r>
        <w:t>authority</w:t>
      </w:r>
      <w:proofErr w:type="gramEnd"/>
      <w:r>
        <w:t xml:space="preserve"> required medicines, 51</w:t>
      </w:r>
    </w:p>
    <w:p w:rsidR="00260042" w:rsidRDefault="00260042" w:rsidP="00260042">
      <w:pPr>
        <w:pStyle w:val="IndexBodyL1"/>
      </w:pPr>
      <w:proofErr w:type="gramStart"/>
      <w:r>
        <w:t>awards</w:t>
      </w:r>
      <w:proofErr w:type="gramEnd"/>
      <w:r>
        <w:t xml:space="preserve"> and recognition, 173–4</w:t>
      </w:r>
    </w:p>
    <w:p w:rsidR="00260042" w:rsidRDefault="00260042" w:rsidP="00260042">
      <w:pPr>
        <w:pStyle w:val="IndexHeading"/>
      </w:pPr>
      <w:r>
        <w:t>B</w:t>
      </w:r>
    </w:p>
    <w:p w:rsidR="00260042" w:rsidRDefault="00260042" w:rsidP="00260042">
      <w:pPr>
        <w:pStyle w:val="IndexBodyL1"/>
      </w:pPr>
      <w:proofErr w:type="spellStart"/>
      <w:r>
        <w:t>BasicsCard</w:t>
      </w:r>
      <w:proofErr w:type="spellEnd"/>
      <w:r>
        <w:t>, 78–9</w:t>
      </w:r>
    </w:p>
    <w:p w:rsidR="00260042" w:rsidRDefault="00260042" w:rsidP="00260042">
      <w:pPr>
        <w:pStyle w:val="IndexBodyL1"/>
      </w:pPr>
      <w:r>
        <w:t xml:space="preserve">Bass Strait Passenger Vehicle </w:t>
      </w:r>
      <w:proofErr w:type="spellStart"/>
      <w:r>
        <w:t>Equalisation</w:t>
      </w:r>
      <w:proofErr w:type="spellEnd"/>
      <w:r>
        <w:t xml:space="preserve"> Scheme, 81</w:t>
      </w:r>
    </w:p>
    <w:p w:rsidR="00260042" w:rsidRDefault="00260042" w:rsidP="00260042">
      <w:pPr>
        <w:pStyle w:val="IndexBodyL1"/>
      </w:pPr>
      <w:proofErr w:type="gramStart"/>
      <w:r>
        <w:t>bereavement</w:t>
      </w:r>
      <w:proofErr w:type="gramEnd"/>
      <w:r>
        <w:t xml:space="preserve"> payments, 81</w:t>
      </w:r>
    </w:p>
    <w:p w:rsidR="00260042" w:rsidRDefault="00260042" w:rsidP="00260042">
      <w:pPr>
        <w:pStyle w:val="IndexBodyL1"/>
      </w:pPr>
      <w:proofErr w:type="gramStart"/>
      <w:r>
        <w:t>breast</w:t>
      </w:r>
      <w:proofErr w:type="gramEnd"/>
      <w:r>
        <w:t xml:space="preserve"> prostheses, 55</w:t>
      </w:r>
    </w:p>
    <w:p w:rsidR="00260042" w:rsidRDefault="00260042" w:rsidP="00260042">
      <w:pPr>
        <w:pStyle w:val="IndexBodyL1"/>
      </w:pPr>
      <w:proofErr w:type="gramStart"/>
      <w:r>
        <w:t>bulk</w:t>
      </w:r>
      <w:proofErr w:type="gramEnd"/>
      <w:r>
        <w:t xml:space="preserve"> billing, 46</w:t>
      </w:r>
    </w:p>
    <w:p w:rsidR="00260042" w:rsidRDefault="00260042" w:rsidP="00260042">
      <w:pPr>
        <w:pStyle w:val="IndexBodyL1"/>
      </w:pPr>
      <w:proofErr w:type="gramStart"/>
      <w:r>
        <w:t>bushfires</w:t>
      </w:r>
      <w:proofErr w:type="gramEnd"/>
      <w:r>
        <w:t xml:space="preserve"> </w:t>
      </w:r>
      <w:r>
        <w:rPr>
          <w:rStyle w:val="Italic"/>
        </w:rPr>
        <w:t>see</w:t>
      </w:r>
      <w:r>
        <w:t xml:space="preserve"> emergency events</w:t>
      </w:r>
    </w:p>
    <w:p w:rsidR="00260042" w:rsidRDefault="00260042" w:rsidP="00260042">
      <w:pPr>
        <w:pStyle w:val="IndexHeading"/>
      </w:pPr>
      <w:r>
        <w:t>C</w:t>
      </w:r>
    </w:p>
    <w:p w:rsidR="00260042" w:rsidRDefault="00260042" w:rsidP="00260042">
      <w:pPr>
        <w:pStyle w:val="IndexBodyL1"/>
      </w:pPr>
      <w:proofErr w:type="gramStart"/>
      <w:r>
        <w:t>call</w:t>
      </w:r>
      <w:proofErr w:type="gramEnd"/>
      <w:r>
        <w:t xml:space="preserve"> volumes, 102–3, 117–18</w:t>
      </w:r>
    </w:p>
    <w:p w:rsidR="00260042" w:rsidRDefault="00260042" w:rsidP="00260042">
      <w:pPr>
        <w:pStyle w:val="IndexBodyL1"/>
      </w:pPr>
      <w:r>
        <w:t>Career Starter Program, 179</w:t>
      </w:r>
    </w:p>
    <w:p w:rsidR="00260042" w:rsidRDefault="00260042" w:rsidP="00260042">
      <w:pPr>
        <w:pStyle w:val="IndexBodyL1"/>
      </w:pPr>
      <w:proofErr w:type="spellStart"/>
      <w:r>
        <w:t>Carer</w:t>
      </w:r>
      <w:proofErr w:type="spellEnd"/>
      <w:r>
        <w:t xml:space="preserve"> Allowance, 36, 38</w:t>
      </w:r>
    </w:p>
    <w:p w:rsidR="00260042" w:rsidRDefault="00260042" w:rsidP="00260042">
      <w:pPr>
        <w:pStyle w:val="IndexBodyL1"/>
      </w:pPr>
      <w:proofErr w:type="spellStart"/>
      <w:r>
        <w:t>Carer</w:t>
      </w:r>
      <w:proofErr w:type="spellEnd"/>
      <w:r>
        <w:t xml:space="preserve"> Payment, 36, 37</w:t>
      </w:r>
    </w:p>
    <w:p w:rsidR="00260042" w:rsidRDefault="00260042" w:rsidP="00260042">
      <w:pPr>
        <w:pStyle w:val="IndexBodyL1"/>
      </w:pPr>
      <w:proofErr w:type="spellStart"/>
      <w:r>
        <w:rPr>
          <w:rStyle w:val="Italic"/>
        </w:rPr>
        <w:t>Carer</w:t>
      </w:r>
      <w:proofErr w:type="spellEnd"/>
      <w:r>
        <w:rPr>
          <w:rStyle w:val="Italic"/>
        </w:rPr>
        <w:t xml:space="preserve"> Recognition Act 2010</w:t>
      </w:r>
      <w:r>
        <w:t xml:space="preserve"> report, 182</w:t>
      </w:r>
    </w:p>
    <w:p w:rsidR="00260042" w:rsidRDefault="00260042" w:rsidP="00260042">
      <w:pPr>
        <w:pStyle w:val="IndexBodyL1"/>
      </w:pPr>
      <w:r>
        <w:lastRenderedPageBreak/>
        <w:t>Cashless Debit Card, 79–80</w:t>
      </w:r>
    </w:p>
    <w:p w:rsidR="00260042" w:rsidRDefault="00260042" w:rsidP="00260042">
      <w:pPr>
        <w:pStyle w:val="IndexBodyL1"/>
      </w:pPr>
      <w:proofErr w:type="spellStart"/>
      <w:r>
        <w:t>Centrelink</w:t>
      </w:r>
      <w:proofErr w:type="spellEnd"/>
      <w:r>
        <w:t xml:space="preserve"> </w:t>
      </w:r>
      <w:r>
        <w:rPr>
          <w:rStyle w:val="Italic"/>
        </w:rPr>
        <w:t>see</w:t>
      </w:r>
      <w:r>
        <w:t xml:space="preserve"> social security and welfare</w:t>
      </w:r>
    </w:p>
    <w:p w:rsidR="00260042" w:rsidRDefault="00260042" w:rsidP="00260042">
      <w:pPr>
        <w:pStyle w:val="IndexBodyL1"/>
      </w:pPr>
      <w:proofErr w:type="spellStart"/>
      <w:r>
        <w:t>Centrelink</w:t>
      </w:r>
      <w:proofErr w:type="spellEnd"/>
      <w:r>
        <w:t xml:space="preserve"> Confirmation </w:t>
      </w:r>
      <w:proofErr w:type="spellStart"/>
      <w:r>
        <w:t>eServices</w:t>
      </w:r>
      <w:proofErr w:type="spellEnd"/>
      <w:r>
        <w:t>, 77–8</w:t>
      </w:r>
    </w:p>
    <w:p w:rsidR="00260042" w:rsidRDefault="00260042" w:rsidP="00260042">
      <w:pPr>
        <w:pStyle w:val="IndexBodyL1"/>
      </w:pPr>
      <w:r>
        <w:t>Centrepay, 77</w:t>
      </w:r>
    </w:p>
    <w:p w:rsidR="00260042" w:rsidRDefault="00260042" w:rsidP="00260042">
      <w:pPr>
        <w:pStyle w:val="IndexBodyL1"/>
      </w:pPr>
      <w:r>
        <w:t>Chief Executive Officer, 4, 6</w:t>
      </w:r>
    </w:p>
    <w:p w:rsidR="00260042" w:rsidRDefault="00260042" w:rsidP="00260042">
      <w:pPr>
        <w:pStyle w:val="IndexBodyL2"/>
      </w:pPr>
      <w:proofErr w:type="gramStart"/>
      <w:r>
        <w:t>review</w:t>
      </w:r>
      <w:proofErr w:type="gramEnd"/>
      <w:r>
        <w:t>, ix–xii</w:t>
      </w:r>
    </w:p>
    <w:p w:rsidR="00260042" w:rsidRDefault="00260042" w:rsidP="00260042">
      <w:pPr>
        <w:pStyle w:val="IndexBodyL1"/>
      </w:pPr>
      <w:r>
        <w:t>Child Care Subsidy, 36, 39</w:t>
      </w:r>
    </w:p>
    <w:p w:rsidR="00260042" w:rsidRDefault="00260042" w:rsidP="00260042">
      <w:pPr>
        <w:pStyle w:val="IndexBodyL1"/>
      </w:pPr>
      <w:r>
        <w:t>Child Dental Benefits Schedule, 56</w:t>
      </w:r>
    </w:p>
    <w:p w:rsidR="00260042" w:rsidRDefault="00260042" w:rsidP="00260042">
      <w:pPr>
        <w:pStyle w:val="IndexBodyL1"/>
      </w:pPr>
      <w:r>
        <w:t>Child Support, 17, 61–4</w:t>
      </w:r>
    </w:p>
    <w:p w:rsidR="00260042" w:rsidRDefault="00260042" w:rsidP="00260042">
      <w:pPr>
        <w:pStyle w:val="IndexBodyL2"/>
      </w:pPr>
      <w:proofErr w:type="gramStart"/>
      <w:r>
        <w:t>changes</w:t>
      </w:r>
      <w:proofErr w:type="gramEnd"/>
      <w:r>
        <w:t xml:space="preserve"> of assessments, 62</w:t>
      </w:r>
    </w:p>
    <w:p w:rsidR="00260042" w:rsidRDefault="00260042" w:rsidP="00260042">
      <w:pPr>
        <w:pStyle w:val="IndexBodyL2"/>
      </w:pPr>
      <w:proofErr w:type="gramStart"/>
      <w:r>
        <w:t>compliance</w:t>
      </w:r>
      <w:proofErr w:type="gramEnd"/>
      <w:r>
        <w:t xml:space="preserve"> and enforcement, 62–4</w:t>
      </w:r>
    </w:p>
    <w:p w:rsidR="00260042" w:rsidRDefault="00260042" w:rsidP="00260042">
      <w:pPr>
        <w:pStyle w:val="IndexBodyL2"/>
      </w:pPr>
      <w:proofErr w:type="gramStart"/>
      <w:r>
        <w:t>feedback</w:t>
      </w:r>
      <w:proofErr w:type="gramEnd"/>
      <w:r>
        <w:t xml:space="preserve"> on services, 137</w:t>
      </w:r>
    </w:p>
    <w:p w:rsidR="00260042" w:rsidRDefault="00260042" w:rsidP="00260042">
      <w:pPr>
        <w:pStyle w:val="IndexBodyL2"/>
      </w:pPr>
      <w:proofErr w:type="gramStart"/>
      <w:r>
        <w:t>transfers</w:t>
      </w:r>
      <w:proofErr w:type="gramEnd"/>
      <w:r>
        <w:t>, 61–2</w:t>
      </w:r>
    </w:p>
    <w:p w:rsidR="00260042" w:rsidRDefault="00260042" w:rsidP="00260042">
      <w:pPr>
        <w:pStyle w:val="IndexBodyL2"/>
      </w:pPr>
      <w:proofErr w:type="gramStart"/>
      <w:r>
        <w:rPr>
          <w:rStyle w:val="Italic"/>
        </w:rPr>
        <w:t>see</w:t>
      </w:r>
      <w:proofErr w:type="gramEnd"/>
      <w:r>
        <w:t xml:space="preserve"> </w:t>
      </w:r>
      <w:r>
        <w:rPr>
          <w:rStyle w:val="Italic"/>
        </w:rPr>
        <w:t>also</w:t>
      </w:r>
      <w:r>
        <w:t xml:space="preserve"> Program 1.3: Child Support performance measure results, 125–135</w:t>
      </w:r>
    </w:p>
    <w:p w:rsidR="00260042" w:rsidRDefault="00260042" w:rsidP="00260042">
      <w:pPr>
        <w:pStyle w:val="IndexBodyL1"/>
      </w:pPr>
      <w:r>
        <w:t>Child Support Collect, 62</w:t>
      </w:r>
    </w:p>
    <w:p w:rsidR="00260042" w:rsidRDefault="00260042" w:rsidP="00260042">
      <w:pPr>
        <w:pStyle w:val="IndexBodyL1"/>
      </w:pPr>
      <w:proofErr w:type="gramStart"/>
      <w:r>
        <w:t>children</w:t>
      </w:r>
      <w:proofErr w:type="gramEnd"/>
      <w:r>
        <w:t xml:space="preserve"> and young people, 38–9, 42–3, 56</w:t>
      </w:r>
    </w:p>
    <w:p w:rsidR="00260042" w:rsidRDefault="00260042" w:rsidP="00260042">
      <w:pPr>
        <w:pStyle w:val="IndexBodyL2"/>
      </w:pPr>
      <w:proofErr w:type="gramStart"/>
      <w:r>
        <w:t>agency</w:t>
      </w:r>
      <w:proofErr w:type="gramEnd"/>
      <w:r>
        <w:t xml:space="preserve"> interactions with, 139</w:t>
      </w:r>
    </w:p>
    <w:p w:rsidR="00260042" w:rsidRDefault="00260042" w:rsidP="00260042">
      <w:pPr>
        <w:pStyle w:val="IndexBodyL1"/>
      </w:pPr>
      <w:proofErr w:type="gramStart"/>
      <w:r>
        <w:t>citizenship</w:t>
      </w:r>
      <w:proofErr w:type="gramEnd"/>
      <w:r>
        <w:t xml:space="preserve"> testing, 76</w:t>
      </w:r>
    </w:p>
    <w:p w:rsidR="00260042" w:rsidRDefault="00260042" w:rsidP="00260042">
      <w:pPr>
        <w:pStyle w:val="IndexBodyL1"/>
      </w:pPr>
      <w:r>
        <w:t>Civil Society Advisory Group, 85–6</w:t>
      </w:r>
    </w:p>
    <w:p w:rsidR="00260042" w:rsidRDefault="00260042" w:rsidP="00260042">
      <w:pPr>
        <w:pStyle w:val="IndexBodyL1"/>
      </w:pPr>
      <w:proofErr w:type="gramStart"/>
      <w:r>
        <w:t>claims</w:t>
      </w:r>
      <w:proofErr w:type="gramEnd"/>
      <w:r>
        <w:t xml:space="preserve"> and payments, xiii</w:t>
      </w:r>
    </w:p>
    <w:p w:rsidR="00260042" w:rsidRDefault="00260042" w:rsidP="00260042">
      <w:pPr>
        <w:pStyle w:val="IndexBodyL2"/>
      </w:pPr>
      <w:proofErr w:type="gramStart"/>
      <w:r>
        <w:t>aged</w:t>
      </w:r>
      <w:proofErr w:type="gramEnd"/>
      <w:r>
        <w:t xml:space="preserve"> care, 52</w:t>
      </w:r>
    </w:p>
    <w:p w:rsidR="00260042" w:rsidRDefault="00260042" w:rsidP="00260042">
      <w:pPr>
        <w:pStyle w:val="IndexBodyL2"/>
      </w:pPr>
      <w:proofErr w:type="spellStart"/>
      <w:r>
        <w:t>Centrelink</w:t>
      </w:r>
      <w:proofErr w:type="spellEnd"/>
      <w:r>
        <w:t>, xiii, 12</w:t>
      </w:r>
    </w:p>
    <w:p w:rsidR="00260042" w:rsidRDefault="00260042" w:rsidP="00260042">
      <w:pPr>
        <w:pStyle w:val="IndexBodyL2"/>
      </w:pPr>
      <w:r>
        <w:t>Medicare, xiii, 45–8</w:t>
      </w:r>
    </w:p>
    <w:p w:rsidR="00260042" w:rsidRDefault="00260042" w:rsidP="00260042">
      <w:pPr>
        <w:pStyle w:val="IndexBodyL2"/>
      </w:pPr>
      <w:proofErr w:type="gramStart"/>
      <w:r>
        <w:t>social</w:t>
      </w:r>
      <w:proofErr w:type="gramEnd"/>
      <w:r>
        <w:t xml:space="preserve"> security and welfare, 36–44</w:t>
      </w:r>
    </w:p>
    <w:p w:rsidR="00260042" w:rsidRDefault="00260042" w:rsidP="00260042">
      <w:pPr>
        <w:pStyle w:val="IndexBodyL2"/>
      </w:pPr>
      <w:proofErr w:type="gramStart"/>
      <w:r>
        <w:t>veterans</w:t>
      </w:r>
      <w:proofErr w:type="gramEnd"/>
      <w:r>
        <w:t>, 53</w:t>
      </w:r>
    </w:p>
    <w:p w:rsidR="00260042" w:rsidRDefault="00260042" w:rsidP="00260042">
      <w:pPr>
        <w:pStyle w:val="IndexBodyL1"/>
      </w:pPr>
      <w:proofErr w:type="gramStart"/>
      <w:r>
        <w:t>claims</w:t>
      </w:r>
      <w:proofErr w:type="gramEnd"/>
      <w:r>
        <w:t xml:space="preserve"> processing service level standards, xi</w:t>
      </w:r>
    </w:p>
    <w:p w:rsidR="00260042" w:rsidRDefault="00260042" w:rsidP="00260042">
      <w:pPr>
        <w:pStyle w:val="IndexBodyL2"/>
      </w:pPr>
      <w:r>
        <w:t>Child Support, 129–30</w:t>
      </w:r>
    </w:p>
    <w:p w:rsidR="00260042" w:rsidRDefault="00260042" w:rsidP="00260042">
      <w:pPr>
        <w:pStyle w:val="IndexBodyL2"/>
      </w:pPr>
      <w:proofErr w:type="gramStart"/>
      <w:r>
        <w:t>health</w:t>
      </w:r>
      <w:proofErr w:type="gramEnd"/>
      <w:r>
        <w:t>, 107, 118</w:t>
      </w:r>
    </w:p>
    <w:p w:rsidR="00260042" w:rsidRDefault="00260042" w:rsidP="00260042">
      <w:pPr>
        <w:pStyle w:val="IndexBodyL2"/>
      </w:pPr>
      <w:proofErr w:type="gramStart"/>
      <w:r>
        <w:t>social</w:t>
      </w:r>
      <w:proofErr w:type="gramEnd"/>
      <w:r>
        <w:t xml:space="preserve"> security and welfare, 90, 92, 103–4</w:t>
      </w:r>
    </w:p>
    <w:p w:rsidR="00260042" w:rsidRDefault="00260042" w:rsidP="00260042">
      <w:pPr>
        <w:pStyle w:val="IndexBodyL1"/>
      </w:pPr>
      <w:proofErr w:type="spellStart"/>
      <w:r>
        <w:t>Comcare</w:t>
      </w:r>
      <w:proofErr w:type="spellEnd"/>
      <w:r>
        <w:t>, 167</w:t>
      </w:r>
    </w:p>
    <w:p w:rsidR="00260042" w:rsidRDefault="00260042" w:rsidP="00260042">
      <w:pPr>
        <w:pStyle w:val="IndexBodyL1"/>
      </w:pPr>
      <w:r>
        <w:t>Commonwealth Child Safe Framework, 139</w:t>
      </w:r>
    </w:p>
    <w:p w:rsidR="00260042" w:rsidRDefault="00260042" w:rsidP="00260042">
      <w:pPr>
        <w:pStyle w:val="IndexBodyL1"/>
      </w:pPr>
      <w:r>
        <w:t>Commonwealth Director of Public Prosecutions, referrals to, 149</w:t>
      </w:r>
    </w:p>
    <w:p w:rsidR="00260042" w:rsidRDefault="00260042" w:rsidP="00260042">
      <w:pPr>
        <w:pStyle w:val="IndexBodyL1"/>
      </w:pPr>
      <w:r>
        <w:t>Commonwealth Fraud Prevention Centre, 151</w:t>
      </w:r>
    </w:p>
    <w:p w:rsidR="00260042" w:rsidRDefault="00260042" w:rsidP="00260042">
      <w:pPr>
        <w:pStyle w:val="IndexBodyL1"/>
        <w:rPr>
          <w:spacing w:val="-4"/>
        </w:rPr>
      </w:pPr>
      <w:r>
        <w:rPr>
          <w:spacing w:val="-4"/>
        </w:rPr>
        <w:t>Commonwealth Ombudsman reports, 161</w:t>
      </w:r>
    </w:p>
    <w:p w:rsidR="00260042" w:rsidRDefault="00260042" w:rsidP="00260042">
      <w:pPr>
        <w:pStyle w:val="IndexBodyL1"/>
      </w:pPr>
      <w:proofErr w:type="gramStart"/>
      <w:r>
        <w:t>community</w:t>
      </w:r>
      <w:proofErr w:type="gramEnd"/>
      <w:r>
        <w:t xml:space="preserve"> engagement, 74, 76 </w:t>
      </w:r>
      <w:r>
        <w:rPr>
          <w:rStyle w:val="Italic"/>
        </w:rPr>
        <w:t>see also</w:t>
      </w:r>
      <w:r>
        <w:t xml:space="preserve"> Aboriginal and Torres Strait Islander peoples; COVID-19 pandemic; culturally and linguistically diverse communities</w:t>
      </w:r>
    </w:p>
    <w:p w:rsidR="00260042" w:rsidRDefault="00260042" w:rsidP="00260042">
      <w:pPr>
        <w:pStyle w:val="IndexBodyL1"/>
      </w:pPr>
      <w:r>
        <w:t>Community Engagement Officers, 76</w:t>
      </w:r>
    </w:p>
    <w:p w:rsidR="00260042" w:rsidRDefault="00260042" w:rsidP="00260042">
      <w:pPr>
        <w:pStyle w:val="IndexBodyL1"/>
      </w:pPr>
      <w:r>
        <w:t>Community Language Allowance, 75</w:t>
      </w:r>
    </w:p>
    <w:p w:rsidR="00260042" w:rsidRDefault="00260042" w:rsidP="00260042">
      <w:pPr>
        <w:pStyle w:val="IndexBodyL1"/>
      </w:pPr>
      <w:proofErr w:type="gramStart"/>
      <w:r>
        <w:t>community</w:t>
      </w:r>
      <w:proofErr w:type="gramEnd"/>
      <w:r>
        <w:t xml:space="preserve"> peak bodies, partnerships with, 85–6</w:t>
      </w:r>
    </w:p>
    <w:p w:rsidR="00260042" w:rsidRDefault="00260042" w:rsidP="00260042">
      <w:pPr>
        <w:pStyle w:val="IndexBodyL1"/>
      </w:pPr>
      <w:proofErr w:type="gramStart"/>
      <w:r>
        <w:t>compliance</w:t>
      </w:r>
      <w:proofErr w:type="gramEnd"/>
      <w:r>
        <w:t xml:space="preserve"> activities, 149–54</w:t>
      </w:r>
    </w:p>
    <w:p w:rsidR="00260042" w:rsidRDefault="00260042" w:rsidP="00260042">
      <w:pPr>
        <w:pStyle w:val="IndexBodyL1"/>
      </w:pPr>
      <w:proofErr w:type="gramStart"/>
      <w:r>
        <w:t>consultancy</w:t>
      </w:r>
      <w:proofErr w:type="gramEnd"/>
      <w:r>
        <w:t xml:space="preserve"> contracts, 162–4</w:t>
      </w:r>
    </w:p>
    <w:p w:rsidR="00260042" w:rsidRDefault="00260042" w:rsidP="00260042">
      <w:pPr>
        <w:pStyle w:val="IndexBodyL1"/>
      </w:pPr>
      <w:r>
        <w:t>Consumer Travel Support Program, 29</w:t>
      </w:r>
    </w:p>
    <w:p w:rsidR="00260042" w:rsidRDefault="00260042" w:rsidP="00260042">
      <w:pPr>
        <w:pStyle w:val="IndexBodyL1"/>
      </w:pPr>
      <w:r>
        <w:t>Continence Aids Payment Scheme, 55</w:t>
      </w:r>
    </w:p>
    <w:p w:rsidR="00260042" w:rsidRDefault="00260042" w:rsidP="00260042">
      <w:pPr>
        <w:pStyle w:val="IndexBodyL1"/>
      </w:pPr>
      <w:r>
        <w:t>Continued Dispensing for Emergency Measures, 28</w:t>
      </w:r>
    </w:p>
    <w:p w:rsidR="00260042" w:rsidRDefault="00260042" w:rsidP="00260042">
      <w:pPr>
        <w:pStyle w:val="IndexBodyL1"/>
      </w:pPr>
      <w:r>
        <w:t>Coronavirus Supplement, x, xiii, 24, 41</w:t>
      </w:r>
    </w:p>
    <w:p w:rsidR="00260042" w:rsidRDefault="00260042" w:rsidP="00260042">
      <w:pPr>
        <w:pStyle w:val="IndexBodyL1"/>
      </w:pPr>
      <w:proofErr w:type="gramStart"/>
      <w:r>
        <w:t>corporate</w:t>
      </w:r>
      <w:proofErr w:type="gramEnd"/>
      <w:r>
        <w:t xml:space="preserve"> governance, 142–8</w:t>
      </w:r>
    </w:p>
    <w:p w:rsidR="00260042" w:rsidRDefault="00260042" w:rsidP="00260042">
      <w:pPr>
        <w:pStyle w:val="IndexBodyL1"/>
      </w:pPr>
      <w:r>
        <w:t>Corporate Plan 2020—21, 89</w:t>
      </w:r>
    </w:p>
    <w:p w:rsidR="00260042" w:rsidRDefault="00260042" w:rsidP="00260042">
      <w:pPr>
        <w:pStyle w:val="IndexBodyL1"/>
      </w:pPr>
      <w:proofErr w:type="gramStart"/>
      <w:r>
        <w:t>corporate</w:t>
      </w:r>
      <w:proofErr w:type="gramEnd"/>
      <w:r>
        <w:t xml:space="preserve"> record keeping, 254</w:t>
      </w:r>
    </w:p>
    <w:p w:rsidR="00260042" w:rsidRDefault="00260042" w:rsidP="00260042">
      <w:pPr>
        <w:pStyle w:val="IndexBodyL1"/>
      </w:pPr>
      <w:proofErr w:type="gramStart"/>
      <w:r>
        <w:lastRenderedPageBreak/>
        <w:t>correctional</w:t>
      </w:r>
      <w:proofErr w:type="gramEnd"/>
      <w:r>
        <w:t xml:space="preserve"> facilities, 82</w:t>
      </w:r>
    </w:p>
    <w:p w:rsidR="00260042" w:rsidRDefault="00260042" w:rsidP="00260042">
      <w:pPr>
        <w:pStyle w:val="IndexBodyL1"/>
      </w:pPr>
      <w:proofErr w:type="gramStart"/>
      <w:r>
        <w:t>corrections</w:t>
      </w:r>
      <w:proofErr w:type="gramEnd"/>
      <w:r>
        <w:t xml:space="preserve"> to 2019–20 annual report, 168</w:t>
      </w:r>
    </w:p>
    <w:p w:rsidR="00260042" w:rsidRDefault="00260042" w:rsidP="00260042">
      <w:pPr>
        <w:pStyle w:val="IndexBodyL1"/>
      </w:pPr>
      <w:r>
        <w:t>COVID-19 Consumer Travel Support Program, 29</w:t>
      </w:r>
    </w:p>
    <w:p w:rsidR="00260042" w:rsidRDefault="00260042" w:rsidP="00260042">
      <w:pPr>
        <w:pStyle w:val="IndexBodyL1"/>
      </w:pPr>
      <w:r>
        <w:t>COVID-19 Disaster Payment, 25, 28–9</w:t>
      </w:r>
    </w:p>
    <w:p w:rsidR="00260042" w:rsidRDefault="00260042" w:rsidP="00260042">
      <w:pPr>
        <w:pStyle w:val="IndexBodyL1"/>
      </w:pPr>
      <w:r>
        <w:t>COVID-19 pandemic, x, 24–9</w:t>
      </w:r>
    </w:p>
    <w:p w:rsidR="00260042" w:rsidRDefault="00260042" w:rsidP="00260042">
      <w:pPr>
        <w:pStyle w:val="IndexBodyL2"/>
      </w:pPr>
      <w:proofErr w:type="gramStart"/>
      <w:r>
        <w:t>access</w:t>
      </w:r>
      <w:proofErr w:type="gramEnd"/>
      <w:r>
        <w:t xml:space="preserve"> to medicines during, 28</w:t>
      </w:r>
    </w:p>
    <w:p w:rsidR="00260042" w:rsidRDefault="00260042" w:rsidP="00260042">
      <w:pPr>
        <w:pStyle w:val="IndexBodyL2"/>
      </w:pPr>
      <w:proofErr w:type="gramStart"/>
      <w:r>
        <w:t>community</w:t>
      </w:r>
      <w:proofErr w:type="gramEnd"/>
      <w:r>
        <w:t xml:space="preserve"> engagement during, 76</w:t>
      </w:r>
    </w:p>
    <w:p w:rsidR="00260042" w:rsidRDefault="00260042" w:rsidP="00260042">
      <w:pPr>
        <w:pStyle w:val="IndexBodyL2"/>
      </w:pPr>
      <w:proofErr w:type="gramStart"/>
      <w:r>
        <w:t>emergency</w:t>
      </w:r>
      <w:proofErr w:type="gramEnd"/>
      <w:r>
        <w:t xml:space="preserve"> leave for residential aged care, 28, 52</w:t>
      </w:r>
    </w:p>
    <w:p w:rsidR="00260042" w:rsidRDefault="00260042" w:rsidP="00260042">
      <w:pPr>
        <w:pStyle w:val="IndexBodyL2"/>
      </w:pPr>
      <w:proofErr w:type="gramStart"/>
      <w:r>
        <w:t>family</w:t>
      </w:r>
      <w:proofErr w:type="gramEnd"/>
      <w:r>
        <w:t xml:space="preserve"> and domestic violence during, 67</w:t>
      </w:r>
    </w:p>
    <w:p w:rsidR="00260042" w:rsidRDefault="00260042" w:rsidP="00260042">
      <w:pPr>
        <w:pStyle w:val="IndexBodyL2"/>
      </w:pPr>
      <w:proofErr w:type="gramStart"/>
      <w:r>
        <w:t>information</w:t>
      </w:r>
      <w:proofErr w:type="gramEnd"/>
      <w:r>
        <w:t xml:space="preserve"> in languages other than English, 75</w:t>
      </w:r>
    </w:p>
    <w:p w:rsidR="00260042" w:rsidRDefault="00260042" w:rsidP="00260042">
      <w:pPr>
        <w:pStyle w:val="IndexBodyL2"/>
      </w:pPr>
      <w:proofErr w:type="gramStart"/>
      <w:r>
        <w:t>payments</w:t>
      </w:r>
      <w:proofErr w:type="gramEnd"/>
      <w:r>
        <w:t xml:space="preserve"> and services during, 12, 24–9, 28, 71, 108</w:t>
      </w:r>
    </w:p>
    <w:p w:rsidR="00260042" w:rsidRDefault="00260042" w:rsidP="00260042">
      <w:pPr>
        <w:pStyle w:val="IndexBodyL2"/>
      </w:pPr>
      <w:proofErr w:type="gramStart"/>
      <w:r>
        <w:t>workplace</w:t>
      </w:r>
      <w:proofErr w:type="gramEnd"/>
      <w:r>
        <w:t xml:space="preserve"> prevention measures, 169</w:t>
      </w:r>
    </w:p>
    <w:p w:rsidR="00260042" w:rsidRDefault="00260042" w:rsidP="00260042">
      <w:pPr>
        <w:pStyle w:val="IndexBodyL1"/>
      </w:pPr>
      <w:r>
        <w:t>COVID-19 vaccines, 26–7, 60</w:t>
      </w:r>
    </w:p>
    <w:p w:rsidR="00260042" w:rsidRDefault="00260042" w:rsidP="00260042">
      <w:pPr>
        <w:pStyle w:val="IndexBodyL2"/>
      </w:pPr>
      <w:proofErr w:type="gramStart"/>
      <w:r>
        <w:t>contacts</w:t>
      </w:r>
      <w:proofErr w:type="gramEnd"/>
      <w:r>
        <w:t xml:space="preserve"> related to, 16</w:t>
      </w:r>
    </w:p>
    <w:p w:rsidR="00260042" w:rsidRDefault="00260042" w:rsidP="00260042">
      <w:pPr>
        <w:pStyle w:val="IndexBodyL2"/>
      </w:pPr>
      <w:proofErr w:type="spellStart"/>
      <w:r>
        <w:t>Immunisation</w:t>
      </w:r>
      <w:proofErr w:type="spellEnd"/>
      <w:r>
        <w:t xml:space="preserve"> History Statements, x, 26, 27, 60</w:t>
      </w:r>
    </w:p>
    <w:p w:rsidR="00260042" w:rsidRDefault="00260042" w:rsidP="00260042">
      <w:pPr>
        <w:pStyle w:val="IndexBodyL2"/>
      </w:pPr>
      <w:proofErr w:type="gramStart"/>
      <w:r>
        <w:t>information</w:t>
      </w:r>
      <w:proofErr w:type="gramEnd"/>
      <w:r>
        <w:t xml:space="preserve"> in languages other than English, 28, 73, 75</w:t>
      </w:r>
    </w:p>
    <w:p w:rsidR="00260042" w:rsidRDefault="00260042" w:rsidP="00260042">
      <w:pPr>
        <w:pStyle w:val="IndexBodyL2"/>
      </w:pPr>
      <w:proofErr w:type="gramStart"/>
      <w:r>
        <w:t>rollout</w:t>
      </w:r>
      <w:proofErr w:type="gramEnd"/>
      <w:r>
        <w:t>, 26</w:t>
      </w:r>
    </w:p>
    <w:p w:rsidR="00260042" w:rsidRDefault="00260042" w:rsidP="00260042">
      <w:pPr>
        <w:pStyle w:val="IndexBodyL1"/>
      </w:pPr>
      <w:proofErr w:type="gramStart"/>
      <w:r>
        <w:t>criminal</w:t>
      </w:r>
      <w:proofErr w:type="gramEnd"/>
      <w:r>
        <w:t xml:space="preserve"> investigations, 149</w:t>
      </w:r>
    </w:p>
    <w:p w:rsidR="00260042" w:rsidRDefault="00260042" w:rsidP="00260042">
      <w:pPr>
        <w:pStyle w:val="IndexBodyL1"/>
      </w:pPr>
      <w:r>
        <w:t>Crisis Payments, 36, 66</w:t>
      </w:r>
    </w:p>
    <w:p w:rsidR="00260042" w:rsidRDefault="00260042" w:rsidP="00260042">
      <w:pPr>
        <w:pStyle w:val="IndexBodyL1"/>
      </w:pPr>
      <w:proofErr w:type="gramStart"/>
      <w:r>
        <w:t>culturally</w:t>
      </w:r>
      <w:proofErr w:type="gramEnd"/>
      <w:r>
        <w:t xml:space="preserve"> and linguistically diverse communities, 27, 28, 72–5, 86, 180</w:t>
      </w:r>
    </w:p>
    <w:p w:rsidR="00260042" w:rsidRDefault="00260042" w:rsidP="00260042">
      <w:pPr>
        <w:pStyle w:val="IndexBodyL1"/>
      </w:pPr>
      <w:proofErr w:type="gramStart"/>
      <w:r>
        <w:t>customer</w:t>
      </w:r>
      <w:proofErr w:type="gramEnd"/>
      <w:r>
        <w:t xml:space="preserve"> interactions statistics, xiv</w:t>
      </w:r>
    </w:p>
    <w:p w:rsidR="00260042" w:rsidRDefault="00260042" w:rsidP="00260042">
      <w:pPr>
        <w:pStyle w:val="IndexBodyL1"/>
      </w:pPr>
      <w:proofErr w:type="gramStart"/>
      <w:r>
        <w:t>customer</w:t>
      </w:r>
      <w:proofErr w:type="gramEnd"/>
      <w:r>
        <w:t xml:space="preserve"> satisfaction, 137–8</w:t>
      </w:r>
    </w:p>
    <w:p w:rsidR="00260042" w:rsidRDefault="00260042" w:rsidP="00260042">
      <w:pPr>
        <w:pStyle w:val="IndexBodyL2"/>
      </w:pPr>
      <w:r>
        <w:t>Child Support, 125–7</w:t>
      </w:r>
    </w:p>
    <w:p w:rsidR="00260042" w:rsidRDefault="00260042" w:rsidP="00260042">
      <w:pPr>
        <w:pStyle w:val="IndexBodyL2"/>
      </w:pPr>
      <w:proofErr w:type="gramStart"/>
      <w:r>
        <w:t>health</w:t>
      </w:r>
      <w:proofErr w:type="gramEnd"/>
      <w:r>
        <w:t>, 108–12</w:t>
      </w:r>
    </w:p>
    <w:p w:rsidR="00260042" w:rsidRDefault="00260042" w:rsidP="00260042">
      <w:pPr>
        <w:pStyle w:val="IndexBodyL2"/>
      </w:pPr>
      <w:proofErr w:type="gramStart"/>
      <w:r>
        <w:t>social</w:t>
      </w:r>
      <w:proofErr w:type="gramEnd"/>
      <w:r>
        <w:t xml:space="preserve"> security and welfare, 90, 92, 94–5</w:t>
      </w:r>
    </w:p>
    <w:p w:rsidR="00260042" w:rsidRDefault="00260042" w:rsidP="00260042">
      <w:pPr>
        <w:pStyle w:val="IndexBodyL1"/>
      </w:pPr>
      <w:proofErr w:type="gramStart"/>
      <w:r>
        <w:t>customer</w:t>
      </w:r>
      <w:proofErr w:type="gramEnd"/>
      <w:r>
        <w:t xml:space="preserve"> surveys, xi, 13, 95, 111, 127</w:t>
      </w:r>
    </w:p>
    <w:p w:rsidR="00260042" w:rsidRDefault="00260042" w:rsidP="00260042">
      <w:pPr>
        <w:pStyle w:val="IndexHeading"/>
      </w:pPr>
    </w:p>
    <w:p w:rsidR="00260042" w:rsidRDefault="00260042" w:rsidP="00260042">
      <w:pPr>
        <w:pStyle w:val="IndexHeading"/>
      </w:pPr>
      <w:r>
        <w:t>D</w:t>
      </w:r>
    </w:p>
    <w:p w:rsidR="00260042" w:rsidRDefault="00260042" w:rsidP="00260042">
      <w:pPr>
        <w:pStyle w:val="IndexBodyL1"/>
      </w:pPr>
      <w:r>
        <w:t>Dad and Partner Pay, 36, 39</w:t>
      </w:r>
    </w:p>
    <w:p w:rsidR="00260042" w:rsidRDefault="00260042" w:rsidP="00260042">
      <w:pPr>
        <w:pStyle w:val="IndexBodyL1"/>
      </w:pPr>
      <w:proofErr w:type="gramStart"/>
      <w:r>
        <w:t>data</w:t>
      </w:r>
      <w:proofErr w:type="gramEnd"/>
      <w:r>
        <w:t xml:space="preserve"> exchange capability, xi, 42, 85</w:t>
      </w:r>
    </w:p>
    <w:p w:rsidR="00260042" w:rsidRDefault="00260042" w:rsidP="00260042">
      <w:pPr>
        <w:pStyle w:val="IndexBodyL1"/>
      </w:pPr>
      <w:proofErr w:type="gramStart"/>
      <w:r>
        <w:t>data-matching</w:t>
      </w:r>
      <w:proofErr w:type="gramEnd"/>
      <w:r>
        <w:t xml:space="preserve"> program, 252–3</w:t>
      </w:r>
    </w:p>
    <w:p w:rsidR="00260042" w:rsidRDefault="00260042" w:rsidP="00260042">
      <w:pPr>
        <w:pStyle w:val="IndexBodyL1"/>
      </w:pPr>
      <w:proofErr w:type="gramStart"/>
      <w:r>
        <w:t>debt</w:t>
      </w:r>
      <w:proofErr w:type="gramEnd"/>
      <w:r>
        <w:t xml:space="preserve"> management, 154–5</w:t>
      </w:r>
    </w:p>
    <w:p w:rsidR="00260042" w:rsidRDefault="00260042" w:rsidP="00260042">
      <w:pPr>
        <w:pStyle w:val="IndexBodyL1"/>
      </w:pPr>
      <w:proofErr w:type="gramStart"/>
      <w:r>
        <w:t>debt</w:t>
      </w:r>
      <w:proofErr w:type="gramEnd"/>
      <w:r>
        <w:t xml:space="preserve"> recovery, 15, 30, 98</w:t>
      </w:r>
    </w:p>
    <w:p w:rsidR="00260042" w:rsidRDefault="00260042" w:rsidP="00260042">
      <w:pPr>
        <w:pStyle w:val="IndexBodyL2"/>
      </w:pPr>
      <w:r>
        <w:t>Child Support, 62–4</w:t>
      </w:r>
    </w:p>
    <w:p w:rsidR="00260042" w:rsidRDefault="00260042" w:rsidP="00260042">
      <w:pPr>
        <w:pStyle w:val="IndexBodyL1"/>
      </w:pPr>
      <w:proofErr w:type="gramStart"/>
      <w:r>
        <w:t>decision</w:t>
      </w:r>
      <w:proofErr w:type="gramEnd"/>
      <w:r>
        <w:t xml:space="preserve"> reviews performance measure, 92, 97</w:t>
      </w:r>
    </w:p>
    <w:p w:rsidR="00260042" w:rsidRDefault="00260042" w:rsidP="00260042">
      <w:pPr>
        <w:pStyle w:val="IndexBodyL1"/>
      </w:pPr>
      <w:r>
        <w:t>Department of Foreign Affairs and Trade, 30, 33, 176</w:t>
      </w:r>
    </w:p>
    <w:p w:rsidR="00260042" w:rsidRDefault="00260042" w:rsidP="00260042">
      <w:pPr>
        <w:pStyle w:val="IndexBodyL1"/>
      </w:pPr>
      <w:r>
        <w:t>Department of Health, ix, x, 51, 52, 53, 58, 73, 75</w:t>
      </w:r>
    </w:p>
    <w:p w:rsidR="00260042" w:rsidRDefault="00260042" w:rsidP="00260042">
      <w:pPr>
        <w:pStyle w:val="IndexBodyL1"/>
      </w:pPr>
      <w:r>
        <w:t>Department of Home Affairs, 29–30, 32–34, 76, 81, 150</w:t>
      </w:r>
    </w:p>
    <w:p w:rsidR="00260042" w:rsidRDefault="00260042" w:rsidP="00260042">
      <w:pPr>
        <w:pStyle w:val="IndexBodyL1"/>
      </w:pPr>
      <w:r>
        <w:t>Department of Veterans’ Affairs, 20–1, 53–4, 252</w:t>
      </w:r>
    </w:p>
    <w:p w:rsidR="00260042" w:rsidRDefault="00260042" w:rsidP="00260042">
      <w:pPr>
        <w:pStyle w:val="IndexBodyL1"/>
      </w:pPr>
      <w:proofErr w:type="gramStart"/>
      <w:r>
        <w:t>digital</w:t>
      </w:r>
      <w:proofErr w:type="gramEnd"/>
      <w:r>
        <w:t xml:space="preserve"> and online services and claiming, 10–12, 19, 28, 45, 92</w:t>
      </w:r>
    </w:p>
    <w:p w:rsidR="00260042" w:rsidRDefault="00260042" w:rsidP="00260042">
      <w:pPr>
        <w:pStyle w:val="IndexBodyL2"/>
      </w:pPr>
      <w:r>
        <w:t>Child Support, 131–2</w:t>
      </w:r>
    </w:p>
    <w:p w:rsidR="00260042" w:rsidRDefault="00260042" w:rsidP="00260042">
      <w:pPr>
        <w:pStyle w:val="IndexBodyL2"/>
      </w:pPr>
      <w:proofErr w:type="gramStart"/>
      <w:r>
        <w:t>health</w:t>
      </w:r>
      <w:proofErr w:type="gramEnd"/>
      <w:r>
        <w:t>, 48, 51, 60, 110, 119–22, 121–2</w:t>
      </w:r>
    </w:p>
    <w:p w:rsidR="00260042" w:rsidRDefault="00260042" w:rsidP="00260042">
      <w:pPr>
        <w:pStyle w:val="IndexBodyL2"/>
      </w:pPr>
      <w:proofErr w:type="gramStart"/>
      <w:r>
        <w:t>social</w:t>
      </w:r>
      <w:proofErr w:type="gramEnd"/>
      <w:r>
        <w:t xml:space="preserve"> security and welfare, 105–6</w:t>
      </w:r>
    </w:p>
    <w:p w:rsidR="00260042" w:rsidRDefault="00260042" w:rsidP="00260042">
      <w:pPr>
        <w:pStyle w:val="IndexBodyL2"/>
      </w:pPr>
      <w:proofErr w:type="gramStart"/>
      <w:r>
        <w:t>veterans</w:t>
      </w:r>
      <w:proofErr w:type="gramEnd"/>
      <w:r>
        <w:t>, 53</w:t>
      </w:r>
    </w:p>
    <w:p w:rsidR="00260042" w:rsidRDefault="00260042" w:rsidP="00260042">
      <w:pPr>
        <w:pStyle w:val="IndexBodyL1"/>
      </w:pPr>
      <w:r>
        <w:t>Digital Apprenticeship program, 179</w:t>
      </w:r>
    </w:p>
    <w:p w:rsidR="00260042" w:rsidRDefault="00260042" w:rsidP="00260042">
      <w:pPr>
        <w:pStyle w:val="IndexBodyL1"/>
      </w:pPr>
      <w:r>
        <w:t>Digital Economy Strategy, 22</w:t>
      </w:r>
    </w:p>
    <w:p w:rsidR="00260042" w:rsidRDefault="00260042" w:rsidP="00260042">
      <w:pPr>
        <w:pStyle w:val="IndexBodyL1"/>
      </w:pPr>
      <w:proofErr w:type="gramStart"/>
      <w:r>
        <w:t>digital</w:t>
      </w:r>
      <w:proofErr w:type="gramEnd"/>
      <w:r>
        <w:t xml:space="preserve"> identity capability, 11</w:t>
      </w:r>
    </w:p>
    <w:p w:rsidR="00260042" w:rsidRDefault="00260042" w:rsidP="00260042">
      <w:pPr>
        <w:pStyle w:val="IndexBodyL1"/>
      </w:pPr>
      <w:proofErr w:type="gramStart"/>
      <w:r>
        <w:t>digital</w:t>
      </w:r>
      <w:proofErr w:type="gramEnd"/>
      <w:r>
        <w:t xml:space="preserve"> service level standards </w:t>
      </w:r>
      <w:r>
        <w:rPr>
          <w:rStyle w:val="Italic"/>
        </w:rPr>
        <w:t>see</w:t>
      </w:r>
      <w:r>
        <w:t xml:space="preserve"> digital and online services and claiming</w:t>
      </w:r>
    </w:p>
    <w:p w:rsidR="00260042" w:rsidRDefault="00260042" w:rsidP="00260042">
      <w:pPr>
        <w:pStyle w:val="IndexBodyL1"/>
      </w:pPr>
      <w:r>
        <w:lastRenderedPageBreak/>
        <w:t>Digital Transformation Agency, 22, 174</w:t>
      </w:r>
    </w:p>
    <w:p w:rsidR="00260042" w:rsidRDefault="00260042" w:rsidP="00260042">
      <w:pPr>
        <w:pStyle w:val="IndexBodyL1"/>
      </w:pPr>
      <w:proofErr w:type="gramStart"/>
      <w:r>
        <w:t>disability</w:t>
      </w:r>
      <w:proofErr w:type="gramEnd"/>
      <w:r>
        <w:t xml:space="preserve"> reporting, 166–8</w:t>
      </w:r>
    </w:p>
    <w:p w:rsidR="00260042" w:rsidRDefault="00260042" w:rsidP="00260042">
      <w:pPr>
        <w:pStyle w:val="IndexBodyL1"/>
      </w:pPr>
      <w:r>
        <w:t>Disability Support Pension, 36, 38, 43</w:t>
      </w:r>
    </w:p>
    <w:p w:rsidR="00260042" w:rsidRDefault="00260042" w:rsidP="00260042">
      <w:pPr>
        <w:pStyle w:val="IndexBodyL1"/>
      </w:pPr>
      <w:r>
        <w:t>Disaster Health Care Assistance Scheme, 33</w:t>
      </w:r>
    </w:p>
    <w:p w:rsidR="00260042" w:rsidRDefault="00260042" w:rsidP="00260042">
      <w:pPr>
        <w:pStyle w:val="IndexBodyL1"/>
      </w:pPr>
      <w:r>
        <w:t>Disaster Recovery Allowance, 30–2</w:t>
      </w:r>
    </w:p>
    <w:p w:rsidR="00260042" w:rsidRDefault="00260042" w:rsidP="00260042">
      <w:pPr>
        <w:pStyle w:val="IndexBodyL1"/>
      </w:pPr>
      <w:r>
        <w:t>Double Orphan Pension, 36, 40</w:t>
      </w:r>
    </w:p>
    <w:p w:rsidR="00260042" w:rsidRDefault="00260042" w:rsidP="00260042">
      <w:pPr>
        <w:pStyle w:val="IndexHeading"/>
      </w:pPr>
      <w:r>
        <w:t>E</w:t>
      </w:r>
    </w:p>
    <w:p w:rsidR="00260042" w:rsidRDefault="00260042" w:rsidP="00260042">
      <w:pPr>
        <w:pStyle w:val="IndexBodyL1"/>
      </w:pPr>
      <w:r>
        <w:t>Economic Support Payments, COVID-19, x, xiii, 24</w:t>
      </w:r>
    </w:p>
    <w:p w:rsidR="00260042" w:rsidRDefault="00260042" w:rsidP="00260042">
      <w:pPr>
        <w:pStyle w:val="IndexBodyL1"/>
      </w:pPr>
      <w:proofErr w:type="gramStart"/>
      <w:r>
        <w:t>emergency</w:t>
      </w:r>
      <w:proofErr w:type="gramEnd"/>
      <w:r>
        <w:t xml:space="preserve"> call </w:t>
      </w:r>
      <w:proofErr w:type="spellStart"/>
      <w:r>
        <w:t>centres</w:t>
      </w:r>
      <w:proofErr w:type="spellEnd"/>
      <w:r>
        <w:t xml:space="preserve"> </w:t>
      </w:r>
      <w:r>
        <w:rPr>
          <w:rStyle w:val="Italic"/>
        </w:rPr>
        <w:t>see</w:t>
      </w:r>
      <w:r>
        <w:t xml:space="preserve"> National Emergency Call Centre Surge Capability</w:t>
      </w:r>
    </w:p>
    <w:p w:rsidR="00260042" w:rsidRDefault="00260042" w:rsidP="00260042">
      <w:pPr>
        <w:pStyle w:val="IndexBodyL1"/>
      </w:pPr>
      <w:proofErr w:type="gramStart"/>
      <w:r>
        <w:t>emergency</w:t>
      </w:r>
      <w:proofErr w:type="gramEnd"/>
      <w:r>
        <w:t xml:space="preserve"> events, x, xiii, 30–4, </w:t>
      </w:r>
    </w:p>
    <w:p w:rsidR="00260042" w:rsidRDefault="00260042" w:rsidP="00260042">
      <w:pPr>
        <w:pStyle w:val="IndexBodyL1"/>
      </w:pPr>
      <w:r>
        <w:t>Emergency Reserve, 34</w:t>
      </w:r>
    </w:p>
    <w:p w:rsidR="00260042" w:rsidRDefault="00260042" w:rsidP="00260042">
      <w:pPr>
        <w:pStyle w:val="IndexBodyL1"/>
      </w:pPr>
      <w:proofErr w:type="gramStart"/>
      <w:r>
        <w:t>employment</w:t>
      </w:r>
      <w:proofErr w:type="gramEnd"/>
      <w:r>
        <w:t xml:space="preserve"> arrangements, 175, 250</w:t>
      </w:r>
    </w:p>
    <w:p w:rsidR="00260042" w:rsidRDefault="00260042" w:rsidP="00260042">
      <w:pPr>
        <w:pStyle w:val="IndexBodyL1"/>
      </w:pPr>
      <w:proofErr w:type="gramStart"/>
      <w:r>
        <w:t>employment</w:t>
      </w:r>
      <w:proofErr w:type="gramEnd"/>
      <w:r>
        <w:t xml:space="preserve"> income reporting, 17–19</w:t>
      </w:r>
    </w:p>
    <w:p w:rsidR="00260042" w:rsidRDefault="00260042" w:rsidP="00260042">
      <w:pPr>
        <w:pStyle w:val="IndexBodyL1"/>
      </w:pPr>
      <w:r>
        <w:t>Employment Services Assessments, 43–4</w:t>
      </w:r>
    </w:p>
    <w:p w:rsidR="00260042" w:rsidRDefault="00260042" w:rsidP="00260042">
      <w:pPr>
        <w:pStyle w:val="IndexBodyL1"/>
      </w:pPr>
      <w:r>
        <w:t>Empowering Excellence, xi, 13, 176</w:t>
      </w:r>
    </w:p>
    <w:p w:rsidR="00260042" w:rsidRDefault="00260042" w:rsidP="00260042">
      <w:pPr>
        <w:pStyle w:val="IndexBodyL1"/>
      </w:pPr>
      <w:r>
        <w:t>Enterprise Business and Risk Committee, 143–4</w:t>
      </w:r>
    </w:p>
    <w:p w:rsidR="00260042" w:rsidRDefault="00260042" w:rsidP="00260042">
      <w:pPr>
        <w:pStyle w:val="IndexBodyL1"/>
      </w:pPr>
      <w:r>
        <w:t>Enterprise Leadership Programs, 176–7</w:t>
      </w:r>
    </w:p>
    <w:p w:rsidR="00260042" w:rsidRDefault="00260042" w:rsidP="00260042">
      <w:pPr>
        <w:pStyle w:val="IndexBodyL1"/>
      </w:pPr>
      <w:proofErr w:type="gramStart"/>
      <w:r>
        <w:t>enterprise</w:t>
      </w:r>
      <w:proofErr w:type="gramEnd"/>
      <w:r>
        <w:t xml:space="preserve"> performance management framework, 89</w:t>
      </w:r>
    </w:p>
    <w:p w:rsidR="00260042" w:rsidRDefault="00260042" w:rsidP="00260042">
      <w:pPr>
        <w:pStyle w:val="IndexBodyL1"/>
      </w:pPr>
      <w:proofErr w:type="gramStart"/>
      <w:r>
        <w:t>environmental</w:t>
      </w:r>
      <w:proofErr w:type="gramEnd"/>
      <w:r>
        <w:t xml:space="preserve"> management, 254–9</w:t>
      </w:r>
    </w:p>
    <w:p w:rsidR="00260042" w:rsidRDefault="00260042" w:rsidP="00260042">
      <w:pPr>
        <w:pStyle w:val="IndexBodyL1"/>
      </w:pPr>
      <w:r>
        <w:rPr>
          <w:rStyle w:val="Italic"/>
        </w:rPr>
        <w:t>Environment Protection and Biodiversity Conservation Act 1999</w:t>
      </w:r>
      <w:r>
        <w:t>, 254</w:t>
      </w:r>
    </w:p>
    <w:p w:rsidR="00260042" w:rsidRDefault="00260042" w:rsidP="00260042">
      <w:pPr>
        <w:pStyle w:val="IndexBodyL1"/>
      </w:pPr>
      <w:r>
        <w:t>Executive Committee, 143</w:t>
      </w:r>
    </w:p>
    <w:p w:rsidR="00260042" w:rsidRDefault="00260042" w:rsidP="00260042">
      <w:pPr>
        <w:pStyle w:val="IndexBodyL1"/>
      </w:pPr>
      <w:proofErr w:type="gramStart"/>
      <w:r>
        <w:t>exempt</w:t>
      </w:r>
      <w:proofErr w:type="gramEnd"/>
      <w:r>
        <w:t xml:space="preserve"> contracts, 165</w:t>
      </w:r>
    </w:p>
    <w:p w:rsidR="00260042" w:rsidRDefault="00260042" w:rsidP="00260042">
      <w:pPr>
        <w:pStyle w:val="IndexBodyL1"/>
      </w:pPr>
      <w:proofErr w:type="gramStart"/>
      <w:r>
        <w:t>expenses</w:t>
      </w:r>
      <w:proofErr w:type="gramEnd"/>
      <w:r>
        <w:t xml:space="preserve"> by outcome, 228–31</w:t>
      </w:r>
    </w:p>
    <w:p w:rsidR="00260042" w:rsidRDefault="00260042" w:rsidP="00260042">
      <w:pPr>
        <w:pStyle w:val="IndexBodyL1"/>
      </w:pPr>
      <w:r>
        <w:t>Express Plus mobile apps, 15, 17, 26, 28, 48, 57, 79, 107, 121–4, 135</w:t>
      </w:r>
    </w:p>
    <w:p w:rsidR="00260042" w:rsidRDefault="00260042" w:rsidP="00260042">
      <w:pPr>
        <w:pStyle w:val="IndexBodyL1"/>
      </w:pPr>
      <w:r>
        <w:t>External Breast Prostheses Reimbursement Program, 55</w:t>
      </w:r>
    </w:p>
    <w:p w:rsidR="00260042" w:rsidRDefault="00260042" w:rsidP="00260042">
      <w:pPr>
        <w:pStyle w:val="IndexBodyL1"/>
      </w:pPr>
      <w:proofErr w:type="gramStart"/>
      <w:r>
        <w:t>external</w:t>
      </w:r>
      <w:proofErr w:type="gramEnd"/>
      <w:r>
        <w:t xml:space="preserve"> scrutiny, 156–61</w:t>
      </w:r>
    </w:p>
    <w:p w:rsidR="00260042" w:rsidRDefault="00260042" w:rsidP="00260042">
      <w:pPr>
        <w:pStyle w:val="IndexHeading"/>
      </w:pPr>
      <w:r>
        <w:t>F</w:t>
      </w:r>
    </w:p>
    <w:p w:rsidR="00260042" w:rsidRDefault="00260042" w:rsidP="00260042">
      <w:pPr>
        <w:pStyle w:val="IndexBodyL1"/>
      </w:pPr>
      <w:proofErr w:type="gramStart"/>
      <w:r>
        <w:t>face-to-face</w:t>
      </w:r>
      <w:proofErr w:type="gramEnd"/>
      <w:r>
        <w:t xml:space="preserve"> services, xi, 11</w:t>
      </w:r>
    </w:p>
    <w:p w:rsidR="00260042" w:rsidRDefault="00260042" w:rsidP="00260042">
      <w:pPr>
        <w:pStyle w:val="IndexBodyL2"/>
      </w:pPr>
      <w:proofErr w:type="gramStart"/>
      <w:r>
        <w:t>performance</w:t>
      </w:r>
      <w:proofErr w:type="gramEnd"/>
      <w:r>
        <w:t xml:space="preserve"> standards, 99–100, 107, 113–14</w:t>
      </w:r>
    </w:p>
    <w:p w:rsidR="00260042" w:rsidRDefault="00260042" w:rsidP="00260042">
      <w:pPr>
        <w:pStyle w:val="IndexBodyL2"/>
      </w:pPr>
      <w:proofErr w:type="gramStart"/>
      <w:r>
        <w:rPr>
          <w:rStyle w:val="Italic"/>
        </w:rPr>
        <w:t>see</w:t>
      </w:r>
      <w:proofErr w:type="gramEnd"/>
      <w:r>
        <w:rPr>
          <w:rStyle w:val="Italic"/>
        </w:rPr>
        <w:t xml:space="preserve"> also</w:t>
      </w:r>
      <w:r>
        <w:t xml:space="preserve"> Agents and Access Points; mobile service </w:t>
      </w:r>
      <w:proofErr w:type="spellStart"/>
      <w:r>
        <w:t>centres</w:t>
      </w:r>
      <w:proofErr w:type="spellEnd"/>
      <w:r>
        <w:t xml:space="preserve">; service </w:t>
      </w:r>
      <w:proofErr w:type="spellStart"/>
      <w:r>
        <w:t>centres</w:t>
      </w:r>
      <w:proofErr w:type="spellEnd"/>
    </w:p>
    <w:p w:rsidR="00260042" w:rsidRDefault="00260042" w:rsidP="00260042">
      <w:pPr>
        <w:pStyle w:val="IndexBodyL1"/>
      </w:pPr>
      <w:proofErr w:type="gramStart"/>
      <w:r>
        <w:t>facial</w:t>
      </w:r>
      <w:proofErr w:type="gramEnd"/>
      <w:r>
        <w:t xml:space="preserve"> recognition capability, 152</w:t>
      </w:r>
    </w:p>
    <w:p w:rsidR="00260042" w:rsidRDefault="00260042" w:rsidP="00260042">
      <w:pPr>
        <w:pStyle w:val="IndexBodyL1"/>
      </w:pPr>
      <w:proofErr w:type="gramStart"/>
      <w:r>
        <w:t>families</w:t>
      </w:r>
      <w:proofErr w:type="gramEnd"/>
      <w:r>
        <w:t>, payments and services for, 18, 36, 38–41</w:t>
      </w:r>
    </w:p>
    <w:p w:rsidR="00260042" w:rsidRDefault="00260042" w:rsidP="00260042">
      <w:pPr>
        <w:pStyle w:val="IndexBodyL1"/>
      </w:pPr>
      <w:proofErr w:type="gramStart"/>
      <w:r>
        <w:t>family</w:t>
      </w:r>
      <w:proofErr w:type="gramEnd"/>
      <w:r>
        <w:t xml:space="preserve"> and domestic violence, 28, 66–7, 73–6</w:t>
      </w:r>
    </w:p>
    <w:p w:rsidR="00260042" w:rsidRDefault="00260042" w:rsidP="00260042">
      <w:pPr>
        <w:pStyle w:val="IndexBodyL1"/>
      </w:pPr>
      <w:r>
        <w:t>Family and Domestic Violence Pilot, 66</w:t>
      </w:r>
    </w:p>
    <w:p w:rsidR="00260042" w:rsidRDefault="00260042" w:rsidP="00260042">
      <w:pPr>
        <w:pStyle w:val="IndexBodyL1"/>
      </w:pPr>
      <w:r>
        <w:t>Family Tax Benefit, 18, 36, 39</w:t>
      </w:r>
    </w:p>
    <w:p w:rsidR="00260042" w:rsidRDefault="00260042" w:rsidP="00260042">
      <w:pPr>
        <w:pStyle w:val="IndexBodyL1"/>
      </w:pPr>
      <w:r>
        <w:t>Farm Household Allowance, 72</w:t>
      </w:r>
    </w:p>
    <w:p w:rsidR="00260042" w:rsidRDefault="00260042" w:rsidP="00260042">
      <w:pPr>
        <w:pStyle w:val="IndexBodyL1"/>
      </w:pPr>
      <w:proofErr w:type="gramStart"/>
      <w:r>
        <w:t>feedback</w:t>
      </w:r>
      <w:proofErr w:type="gramEnd"/>
      <w:r>
        <w:t xml:space="preserve"> on services, 139–40</w:t>
      </w:r>
    </w:p>
    <w:p w:rsidR="00260042" w:rsidRDefault="00260042" w:rsidP="00260042">
      <w:pPr>
        <w:pStyle w:val="IndexBodyL1"/>
      </w:pPr>
      <w:r>
        <w:t>Financial Information Service, 77</w:t>
      </w:r>
    </w:p>
    <w:p w:rsidR="00260042" w:rsidRDefault="00260042" w:rsidP="00260042">
      <w:pPr>
        <w:pStyle w:val="IndexBodyL1"/>
      </w:pPr>
      <w:proofErr w:type="gramStart"/>
      <w:r>
        <w:t>financial</w:t>
      </w:r>
      <w:proofErr w:type="gramEnd"/>
      <w:r>
        <w:t xml:space="preserve"> performance, 183–5</w:t>
      </w:r>
    </w:p>
    <w:p w:rsidR="00260042" w:rsidRDefault="00260042" w:rsidP="00260042">
      <w:pPr>
        <w:pStyle w:val="IndexBodyL1"/>
      </w:pPr>
      <w:proofErr w:type="gramStart"/>
      <w:r>
        <w:t>financial</w:t>
      </w:r>
      <w:proofErr w:type="gramEnd"/>
      <w:r>
        <w:t xml:space="preserve"> statements, 190–226</w:t>
      </w:r>
    </w:p>
    <w:p w:rsidR="00260042" w:rsidRDefault="00260042" w:rsidP="00260042">
      <w:pPr>
        <w:pStyle w:val="IndexBodyL1"/>
      </w:pPr>
      <w:r>
        <w:t>Financial Statements Sub-Committee, 148</w:t>
      </w:r>
    </w:p>
    <w:p w:rsidR="00260042" w:rsidRDefault="00260042" w:rsidP="00260042">
      <w:pPr>
        <w:pStyle w:val="IndexBodyL1"/>
      </w:pPr>
      <w:proofErr w:type="gramStart"/>
      <w:r>
        <w:t>floods</w:t>
      </w:r>
      <w:proofErr w:type="gramEnd"/>
      <w:r>
        <w:t xml:space="preserve"> </w:t>
      </w:r>
      <w:r>
        <w:rPr>
          <w:rStyle w:val="Italic"/>
        </w:rPr>
        <w:t>see</w:t>
      </w:r>
      <w:r>
        <w:t xml:space="preserve"> emergency events</w:t>
      </w:r>
    </w:p>
    <w:p w:rsidR="00260042" w:rsidRDefault="00260042" w:rsidP="00260042">
      <w:pPr>
        <w:pStyle w:val="IndexBodyL1"/>
      </w:pPr>
      <w:proofErr w:type="gramStart"/>
      <w:r>
        <w:t>forensic</w:t>
      </w:r>
      <w:proofErr w:type="gramEnd"/>
      <w:r>
        <w:t xml:space="preserve"> capabilities, 150</w:t>
      </w:r>
    </w:p>
    <w:p w:rsidR="00260042" w:rsidRDefault="00260042" w:rsidP="00260042">
      <w:pPr>
        <w:pStyle w:val="IndexBodyL1"/>
      </w:pPr>
      <w:proofErr w:type="gramStart"/>
      <w:r>
        <w:t>fraud</w:t>
      </w:r>
      <w:proofErr w:type="gramEnd"/>
      <w:r>
        <w:t xml:space="preserve"> control and compliance, 149–52</w:t>
      </w:r>
    </w:p>
    <w:p w:rsidR="00260042" w:rsidRDefault="00260042" w:rsidP="00260042">
      <w:pPr>
        <w:pStyle w:val="IndexBodyL1"/>
      </w:pPr>
      <w:proofErr w:type="gramStart"/>
      <w:r>
        <w:t>freedom</w:t>
      </w:r>
      <w:proofErr w:type="gramEnd"/>
      <w:r>
        <w:t xml:space="preserve"> of information, 167</w:t>
      </w:r>
    </w:p>
    <w:p w:rsidR="00260042" w:rsidRDefault="00260042" w:rsidP="00260042">
      <w:pPr>
        <w:pStyle w:val="IndexHeading"/>
      </w:pPr>
      <w:r>
        <w:t>G</w:t>
      </w:r>
    </w:p>
    <w:p w:rsidR="00260042" w:rsidRDefault="00260042" w:rsidP="00260042">
      <w:pPr>
        <w:pStyle w:val="IndexBodyL1"/>
      </w:pPr>
      <w:proofErr w:type="gramStart"/>
      <w:r>
        <w:t>glossary</w:t>
      </w:r>
      <w:proofErr w:type="gramEnd"/>
      <w:r>
        <w:t>, 272–4</w:t>
      </w:r>
    </w:p>
    <w:p w:rsidR="00260042" w:rsidRDefault="00260042" w:rsidP="00260042">
      <w:pPr>
        <w:pStyle w:val="IndexBodyL1"/>
      </w:pPr>
      <w:proofErr w:type="gramStart"/>
      <w:r>
        <w:t>governance</w:t>
      </w:r>
      <w:proofErr w:type="gramEnd"/>
      <w:r>
        <w:t xml:space="preserve"> committees, 142–8</w:t>
      </w:r>
    </w:p>
    <w:p w:rsidR="00260042" w:rsidRDefault="00260042" w:rsidP="00260042">
      <w:pPr>
        <w:pStyle w:val="IndexBodyL1"/>
      </w:pPr>
      <w:proofErr w:type="gramStart"/>
      <w:r>
        <w:lastRenderedPageBreak/>
        <w:t>graduates</w:t>
      </w:r>
      <w:proofErr w:type="gramEnd"/>
      <w:r>
        <w:t>, 178–79</w:t>
      </w:r>
    </w:p>
    <w:p w:rsidR="00260042" w:rsidRDefault="00260042" w:rsidP="00260042">
      <w:pPr>
        <w:pStyle w:val="IndexBodyL1"/>
      </w:pPr>
      <w:r>
        <w:t>Grandparent Adviser Program, 41</w:t>
      </w:r>
    </w:p>
    <w:p w:rsidR="00260042" w:rsidRDefault="00260042" w:rsidP="00260042">
      <w:pPr>
        <w:pStyle w:val="IndexHeading"/>
      </w:pPr>
      <w:r>
        <w:t>H</w:t>
      </w:r>
    </w:p>
    <w:p w:rsidR="00260042" w:rsidRDefault="00260042" w:rsidP="00260042">
      <w:pPr>
        <w:pStyle w:val="IndexBodyL1"/>
      </w:pPr>
      <w:proofErr w:type="gramStart"/>
      <w:r>
        <w:t>health</w:t>
      </w:r>
      <w:proofErr w:type="gramEnd"/>
      <w:r>
        <w:t xml:space="preserve"> cards for veterans, 53–4</w:t>
      </w:r>
    </w:p>
    <w:p w:rsidR="00260042" w:rsidRDefault="00260042" w:rsidP="00260042">
      <w:pPr>
        <w:pStyle w:val="IndexBodyL1"/>
      </w:pPr>
      <w:r>
        <w:t>Health Care Homes Program, 53</w:t>
      </w:r>
    </w:p>
    <w:p w:rsidR="00260042" w:rsidRDefault="00260042" w:rsidP="00260042">
      <w:pPr>
        <w:pStyle w:val="IndexBodyL1"/>
      </w:pPr>
      <w:proofErr w:type="gramStart"/>
      <w:r>
        <w:t>health</w:t>
      </w:r>
      <w:proofErr w:type="gramEnd"/>
      <w:r>
        <w:t xml:space="preserve"> care professionals, 10, 48–9</w:t>
      </w:r>
    </w:p>
    <w:p w:rsidR="00260042" w:rsidRDefault="00260042" w:rsidP="00260042">
      <w:pPr>
        <w:pStyle w:val="IndexBodyL2"/>
      </w:pPr>
      <w:proofErr w:type="gramStart"/>
      <w:r>
        <w:t>medical</w:t>
      </w:r>
      <w:proofErr w:type="gramEnd"/>
      <w:r>
        <w:t xml:space="preserve"> indemnity, 58–9</w:t>
      </w:r>
    </w:p>
    <w:p w:rsidR="00260042" w:rsidRDefault="00260042" w:rsidP="00260042">
      <w:pPr>
        <w:pStyle w:val="IndexBodyL2"/>
      </w:pPr>
      <w:proofErr w:type="gramStart"/>
      <w:r>
        <w:t>satisfaction</w:t>
      </w:r>
      <w:proofErr w:type="gramEnd"/>
      <w:r>
        <w:t xml:space="preserve"> performance measure, 108, 110</w:t>
      </w:r>
    </w:p>
    <w:p w:rsidR="00260042" w:rsidRDefault="00260042" w:rsidP="00260042">
      <w:pPr>
        <w:pStyle w:val="IndexBodyL1"/>
      </w:pPr>
      <w:r>
        <w:t xml:space="preserve">Health Delivery </w:t>
      </w:r>
      <w:proofErr w:type="spellStart"/>
      <w:r>
        <w:t>Modernisation</w:t>
      </w:r>
      <w:proofErr w:type="spellEnd"/>
      <w:r>
        <w:t xml:space="preserve"> Program, 19</w:t>
      </w:r>
    </w:p>
    <w:p w:rsidR="00260042" w:rsidRDefault="00260042" w:rsidP="00260042">
      <w:pPr>
        <w:pStyle w:val="IndexBodyL1"/>
      </w:pPr>
      <w:r>
        <w:t>Health Provider Online System, 122–3</w:t>
      </w:r>
    </w:p>
    <w:p w:rsidR="00260042" w:rsidRDefault="00260042" w:rsidP="00260042">
      <w:pPr>
        <w:pStyle w:val="IndexBodyL1"/>
      </w:pPr>
      <w:r>
        <w:t>Health Provider Survey, 138</w:t>
      </w:r>
    </w:p>
    <w:p w:rsidR="00260042" w:rsidRDefault="00260042" w:rsidP="00260042">
      <w:pPr>
        <w:pStyle w:val="IndexBodyL1"/>
      </w:pPr>
      <w:r>
        <w:t>Healthcare Identifiers Service, 60</w:t>
      </w:r>
    </w:p>
    <w:p w:rsidR="00260042" w:rsidRDefault="00260042" w:rsidP="00260042">
      <w:pPr>
        <w:pStyle w:val="IndexBodyL1"/>
      </w:pPr>
      <w:r>
        <w:t>High Cost Claims Indemnity Scheme, 58–9</w:t>
      </w:r>
    </w:p>
    <w:p w:rsidR="00260042" w:rsidRDefault="00260042" w:rsidP="00260042">
      <w:pPr>
        <w:pStyle w:val="IndexBodyL1"/>
      </w:pPr>
      <w:proofErr w:type="gramStart"/>
      <w:r>
        <w:t>highly</w:t>
      </w:r>
      <w:proofErr w:type="gramEnd"/>
      <w:r>
        <w:t xml:space="preserve"> paid staff, 236</w:t>
      </w:r>
    </w:p>
    <w:p w:rsidR="00260042" w:rsidRDefault="00260042" w:rsidP="00260042">
      <w:pPr>
        <w:pStyle w:val="IndexBodyL1"/>
      </w:pPr>
      <w:proofErr w:type="gramStart"/>
      <w:r>
        <w:t>humanitarian</w:t>
      </w:r>
      <w:proofErr w:type="gramEnd"/>
      <w:r>
        <w:t xml:space="preserve"> entrants </w:t>
      </w:r>
      <w:r>
        <w:rPr>
          <w:rStyle w:val="Italic"/>
        </w:rPr>
        <w:t>see</w:t>
      </w:r>
      <w:r>
        <w:t xml:space="preserve"> refugees and humanitarian entrants</w:t>
      </w:r>
    </w:p>
    <w:p w:rsidR="00260042" w:rsidRDefault="00260042" w:rsidP="00260042">
      <w:pPr>
        <w:pStyle w:val="IndexHeading"/>
      </w:pPr>
      <w:r>
        <w:t>I</w:t>
      </w:r>
    </w:p>
    <w:p w:rsidR="00260042" w:rsidRDefault="00260042" w:rsidP="00260042">
      <w:pPr>
        <w:pStyle w:val="IndexBodyL1"/>
      </w:pPr>
      <w:proofErr w:type="spellStart"/>
      <w:r>
        <w:t>IDCare</w:t>
      </w:r>
      <w:proofErr w:type="spellEnd"/>
      <w:r>
        <w:t>, 152</w:t>
      </w:r>
    </w:p>
    <w:p w:rsidR="00260042" w:rsidRDefault="00260042" w:rsidP="00260042">
      <w:pPr>
        <w:pStyle w:val="IndexBodyL1"/>
      </w:pPr>
      <w:proofErr w:type="gramStart"/>
      <w:r>
        <w:t>identity</w:t>
      </w:r>
      <w:proofErr w:type="gramEnd"/>
      <w:r>
        <w:t xml:space="preserve"> theft, 151–52</w:t>
      </w:r>
    </w:p>
    <w:p w:rsidR="00260042" w:rsidRDefault="00260042" w:rsidP="00260042">
      <w:pPr>
        <w:pStyle w:val="IndexBodyL1"/>
      </w:pPr>
      <w:proofErr w:type="gramStart"/>
      <w:r>
        <w:t>identity</w:t>
      </w:r>
      <w:proofErr w:type="gramEnd"/>
      <w:r>
        <w:t xml:space="preserve"> verification, digital, 11, 13, 28, 151–52</w:t>
      </w:r>
    </w:p>
    <w:p w:rsidR="00260042" w:rsidRDefault="00260042" w:rsidP="00260042">
      <w:pPr>
        <w:pStyle w:val="IndexBodyL1"/>
      </w:pPr>
      <w:proofErr w:type="spellStart"/>
      <w:proofErr w:type="gramStart"/>
      <w:r>
        <w:t>immunisation</w:t>
      </w:r>
      <w:proofErr w:type="spellEnd"/>
      <w:proofErr w:type="gramEnd"/>
      <w:r>
        <w:t xml:space="preserve"> </w:t>
      </w:r>
      <w:r>
        <w:rPr>
          <w:rStyle w:val="Italic"/>
        </w:rPr>
        <w:t>see</w:t>
      </w:r>
      <w:r>
        <w:t xml:space="preserve"> Australian </w:t>
      </w:r>
      <w:proofErr w:type="spellStart"/>
      <w:r>
        <w:t>Immunisation</w:t>
      </w:r>
      <w:proofErr w:type="spellEnd"/>
      <w:r>
        <w:t xml:space="preserve"> Register; COVID-19 vaccines</w:t>
      </w:r>
    </w:p>
    <w:p w:rsidR="00260042" w:rsidRDefault="00260042" w:rsidP="00260042">
      <w:pPr>
        <w:pStyle w:val="IndexBodyL1"/>
      </w:pPr>
      <w:proofErr w:type="spellStart"/>
      <w:r>
        <w:t>Immunisation</w:t>
      </w:r>
      <w:proofErr w:type="spellEnd"/>
      <w:r>
        <w:t xml:space="preserve"> History Statements, 16, 26, 60</w:t>
      </w:r>
    </w:p>
    <w:p w:rsidR="00260042" w:rsidRDefault="00260042" w:rsidP="00260042">
      <w:pPr>
        <w:pStyle w:val="IndexBodyL1"/>
      </w:pPr>
      <w:proofErr w:type="gramStart"/>
      <w:r>
        <w:t>incarcerated</w:t>
      </w:r>
      <w:proofErr w:type="gramEnd"/>
      <w:r>
        <w:t xml:space="preserve"> customers, 82</w:t>
      </w:r>
    </w:p>
    <w:p w:rsidR="00260042" w:rsidRDefault="00260042" w:rsidP="00260042">
      <w:pPr>
        <w:pStyle w:val="IndexBodyL1"/>
      </w:pPr>
      <w:r>
        <w:t>Income Compliance Program, 154, 156</w:t>
      </w:r>
    </w:p>
    <w:p w:rsidR="00260042" w:rsidRDefault="00260042" w:rsidP="00260042">
      <w:pPr>
        <w:pStyle w:val="IndexBodyL1"/>
      </w:pPr>
      <w:r>
        <w:t>Income Management, 78–9</w:t>
      </w:r>
    </w:p>
    <w:p w:rsidR="00260042" w:rsidRDefault="00260042" w:rsidP="00260042">
      <w:pPr>
        <w:pStyle w:val="IndexBodyL1"/>
      </w:pPr>
      <w:r>
        <w:t xml:space="preserve">Incurred </w:t>
      </w:r>
      <w:proofErr w:type="gramStart"/>
      <w:r>
        <w:t>But</w:t>
      </w:r>
      <w:proofErr w:type="gramEnd"/>
      <w:r>
        <w:t xml:space="preserve"> Not Reported Indemnity Scheme, 59</w:t>
      </w:r>
    </w:p>
    <w:p w:rsidR="00260042" w:rsidRDefault="00260042" w:rsidP="00260042">
      <w:pPr>
        <w:pStyle w:val="IndexBodyL1"/>
      </w:pPr>
      <w:r>
        <w:t>Indigenous Apprenticeships Program, 178</w:t>
      </w:r>
    </w:p>
    <w:p w:rsidR="00260042" w:rsidRDefault="00260042" w:rsidP="00260042">
      <w:pPr>
        <w:pStyle w:val="IndexBodyL1"/>
      </w:pPr>
      <w:r>
        <w:t>Indigenous graduates, 178</w:t>
      </w:r>
    </w:p>
    <w:p w:rsidR="00260042" w:rsidRDefault="00260042" w:rsidP="00260042">
      <w:pPr>
        <w:pStyle w:val="IndexBodyL1"/>
      </w:pPr>
      <w:r>
        <w:t>Indigenous Service Officers, 69</w:t>
      </w:r>
    </w:p>
    <w:p w:rsidR="00260042" w:rsidRDefault="00260042" w:rsidP="00260042">
      <w:pPr>
        <w:pStyle w:val="IndexBodyL1"/>
      </w:pPr>
      <w:r>
        <w:t>Indigenous Servicing Strategy 2018–22, 68</w:t>
      </w:r>
    </w:p>
    <w:p w:rsidR="00260042" w:rsidRDefault="00260042" w:rsidP="00260042">
      <w:pPr>
        <w:pStyle w:val="IndexBodyL1"/>
      </w:pPr>
      <w:proofErr w:type="gramStart"/>
      <w:r>
        <w:t>individual</w:t>
      </w:r>
      <w:proofErr w:type="gramEnd"/>
      <w:r>
        <w:t xml:space="preserve"> flexibility arrangements, 175</w:t>
      </w:r>
    </w:p>
    <w:p w:rsidR="00260042" w:rsidRDefault="00260042" w:rsidP="00260042">
      <w:pPr>
        <w:pStyle w:val="IndexBodyL1"/>
      </w:pPr>
      <w:r>
        <w:t>Individual Healthcare Identifiers, 26, 60</w:t>
      </w:r>
    </w:p>
    <w:p w:rsidR="00260042" w:rsidRDefault="00260042" w:rsidP="00260042">
      <w:pPr>
        <w:pStyle w:val="IndexBodyL1"/>
      </w:pPr>
      <w:proofErr w:type="gramStart"/>
      <w:r>
        <w:t>information</w:t>
      </w:r>
      <w:proofErr w:type="gramEnd"/>
      <w:r>
        <w:t xml:space="preserve"> and communications technology, 90</w:t>
      </w:r>
    </w:p>
    <w:p w:rsidR="00260042" w:rsidRDefault="00260042" w:rsidP="00260042">
      <w:pPr>
        <w:pStyle w:val="IndexBodyL2"/>
      </w:pPr>
      <w:proofErr w:type="gramStart"/>
      <w:r>
        <w:t>availability</w:t>
      </w:r>
      <w:proofErr w:type="gramEnd"/>
      <w:r>
        <w:t xml:space="preserve"> of services, 90, 92, 107–8 124–25, 135</w:t>
      </w:r>
    </w:p>
    <w:p w:rsidR="00260042" w:rsidRDefault="00260042" w:rsidP="00260042">
      <w:pPr>
        <w:pStyle w:val="IndexBodyL1"/>
      </w:pPr>
      <w:r>
        <w:t>Information Publication Scheme, 167</w:t>
      </w:r>
    </w:p>
    <w:p w:rsidR="00260042" w:rsidRDefault="00260042" w:rsidP="00260042">
      <w:pPr>
        <w:pStyle w:val="IndexBodyL1"/>
      </w:pPr>
      <w:proofErr w:type="gramStart"/>
      <w:r>
        <w:t>interactive</w:t>
      </w:r>
      <w:proofErr w:type="gramEnd"/>
      <w:r>
        <w:t xml:space="preserve"> voice response (IVR) capability, 10, 12, 15</w:t>
      </w:r>
    </w:p>
    <w:p w:rsidR="00260042" w:rsidRDefault="00260042" w:rsidP="00260042">
      <w:pPr>
        <w:pStyle w:val="IndexBodyL1"/>
      </w:pPr>
      <w:proofErr w:type="gramStart"/>
      <w:r>
        <w:t>international</w:t>
      </w:r>
      <w:proofErr w:type="gramEnd"/>
      <w:r>
        <w:t xml:space="preserve"> partnerships, 86</w:t>
      </w:r>
    </w:p>
    <w:p w:rsidR="00260042" w:rsidRDefault="00260042" w:rsidP="00260042">
      <w:pPr>
        <w:pStyle w:val="IndexBodyL1"/>
      </w:pPr>
      <w:proofErr w:type="gramStart"/>
      <w:r>
        <w:t>interpreting</w:t>
      </w:r>
      <w:proofErr w:type="gramEnd"/>
      <w:r>
        <w:t xml:space="preserve"> and translation services, 27, 69, 72, 74</w:t>
      </w:r>
    </w:p>
    <w:p w:rsidR="00260042" w:rsidRDefault="00260042" w:rsidP="00260042">
      <w:pPr>
        <w:pStyle w:val="IndexBodyL1"/>
      </w:pPr>
      <w:proofErr w:type="gramStart"/>
      <w:r>
        <w:t>isolated</w:t>
      </w:r>
      <w:proofErr w:type="gramEnd"/>
      <w:r>
        <w:t xml:space="preserve"> children, 36, 42</w:t>
      </w:r>
    </w:p>
    <w:p w:rsidR="00260042" w:rsidRDefault="00260042" w:rsidP="00260042">
      <w:pPr>
        <w:pStyle w:val="IndexHeading"/>
      </w:pPr>
      <w:r>
        <w:t>J</w:t>
      </w:r>
    </w:p>
    <w:p w:rsidR="00260042" w:rsidRDefault="00260042" w:rsidP="00260042">
      <w:pPr>
        <w:pStyle w:val="IndexBodyL1"/>
      </w:pPr>
      <w:r>
        <w:t>Job Capacity Assessments, 43–4</w:t>
      </w:r>
    </w:p>
    <w:p w:rsidR="00260042" w:rsidRDefault="00260042" w:rsidP="00260042">
      <w:pPr>
        <w:pStyle w:val="IndexBodyL1"/>
      </w:pPr>
      <w:r>
        <w:t>Job-ready Graduates Package, 43</w:t>
      </w:r>
    </w:p>
    <w:p w:rsidR="00260042" w:rsidRDefault="00260042" w:rsidP="00260042">
      <w:pPr>
        <w:pStyle w:val="IndexBodyL1"/>
      </w:pPr>
      <w:proofErr w:type="spellStart"/>
      <w:r>
        <w:t>JobSeeker</w:t>
      </w:r>
      <w:proofErr w:type="spellEnd"/>
      <w:r>
        <w:t xml:space="preserve"> Payment, 22, 24, 25, 36, 41, 105</w:t>
      </w:r>
    </w:p>
    <w:p w:rsidR="00260042" w:rsidRDefault="00260042" w:rsidP="00260042">
      <w:pPr>
        <w:pStyle w:val="IndexBodyL1"/>
      </w:pPr>
      <w:proofErr w:type="gramStart"/>
      <w:r>
        <w:t>judicial</w:t>
      </w:r>
      <w:proofErr w:type="gramEnd"/>
      <w:r>
        <w:t xml:space="preserve"> decisions, 156–57</w:t>
      </w:r>
    </w:p>
    <w:p w:rsidR="00260042" w:rsidRDefault="00260042" w:rsidP="00260042">
      <w:pPr>
        <w:pStyle w:val="IndexHeading"/>
      </w:pPr>
      <w:r>
        <w:t>L</w:t>
      </w:r>
    </w:p>
    <w:p w:rsidR="00260042" w:rsidRDefault="00260042" w:rsidP="00260042">
      <w:pPr>
        <w:pStyle w:val="IndexBodyL1"/>
      </w:pPr>
      <w:proofErr w:type="gramStart"/>
      <w:r>
        <w:t>languages</w:t>
      </w:r>
      <w:proofErr w:type="gramEnd"/>
      <w:r>
        <w:t xml:space="preserve"> other than English, information in, 19, 28, 69, 72–3, 74–5</w:t>
      </w:r>
    </w:p>
    <w:p w:rsidR="00260042" w:rsidRDefault="00260042" w:rsidP="00260042">
      <w:pPr>
        <w:pStyle w:val="IndexBodyL1"/>
      </w:pPr>
      <w:proofErr w:type="gramStart"/>
      <w:r>
        <w:t>leadership</w:t>
      </w:r>
      <w:proofErr w:type="gramEnd"/>
      <w:r>
        <w:t xml:space="preserve"> programs, 176–77</w:t>
      </w:r>
    </w:p>
    <w:p w:rsidR="00260042" w:rsidRDefault="00260042" w:rsidP="00260042">
      <w:pPr>
        <w:pStyle w:val="IndexBodyL1"/>
      </w:pPr>
      <w:r>
        <w:t>Low Income Card, 36, 105, 273</w:t>
      </w:r>
    </w:p>
    <w:p w:rsidR="00260042" w:rsidRDefault="00260042" w:rsidP="00260042">
      <w:pPr>
        <w:pStyle w:val="IndexHeading"/>
      </w:pPr>
      <w:r>
        <w:t>M</w:t>
      </w:r>
    </w:p>
    <w:p w:rsidR="00260042" w:rsidRDefault="00260042" w:rsidP="00260042">
      <w:pPr>
        <w:pStyle w:val="IndexBodyL1"/>
      </w:pPr>
      <w:proofErr w:type="gramStart"/>
      <w:r>
        <w:lastRenderedPageBreak/>
        <w:t>market</w:t>
      </w:r>
      <w:proofErr w:type="gramEnd"/>
      <w:r>
        <w:t xml:space="preserve"> research payments, 166</w:t>
      </w:r>
    </w:p>
    <w:p w:rsidR="00260042" w:rsidRDefault="00260042" w:rsidP="00260042">
      <w:pPr>
        <w:pStyle w:val="IndexBodyL1"/>
      </w:pPr>
      <w:r>
        <w:t>Medical Assessment Team Assessments, 43–4</w:t>
      </w:r>
    </w:p>
    <w:p w:rsidR="00260042" w:rsidRDefault="00260042" w:rsidP="00260042">
      <w:pPr>
        <w:pStyle w:val="IndexBodyL1"/>
      </w:pPr>
      <w:proofErr w:type="gramStart"/>
      <w:r>
        <w:t>medical</w:t>
      </w:r>
      <w:proofErr w:type="gramEnd"/>
      <w:r>
        <w:t xml:space="preserve"> conditions, assessment of, 43–4</w:t>
      </w:r>
    </w:p>
    <w:p w:rsidR="00260042" w:rsidRDefault="00260042" w:rsidP="00260042">
      <w:pPr>
        <w:pStyle w:val="IndexBodyL1"/>
      </w:pPr>
      <w:proofErr w:type="gramStart"/>
      <w:r>
        <w:t>medical</w:t>
      </w:r>
      <w:proofErr w:type="gramEnd"/>
      <w:r>
        <w:t xml:space="preserve"> indemnity, 58–9</w:t>
      </w:r>
    </w:p>
    <w:p w:rsidR="00260042" w:rsidRDefault="00260042" w:rsidP="00260042">
      <w:pPr>
        <w:pStyle w:val="IndexBodyL1"/>
      </w:pPr>
      <w:r>
        <w:t>Medicare, xiii, 45–9</w:t>
      </w:r>
    </w:p>
    <w:p w:rsidR="00260042" w:rsidRDefault="00260042" w:rsidP="00260042">
      <w:pPr>
        <w:pStyle w:val="IndexBodyL2"/>
      </w:pPr>
      <w:proofErr w:type="gramStart"/>
      <w:r>
        <w:t>changes</w:t>
      </w:r>
      <w:proofErr w:type="gramEnd"/>
      <w:r>
        <w:t xml:space="preserve"> during COVID-19, 28</w:t>
      </w:r>
    </w:p>
    <w:p w:rsidR="00260042" w:rsidRDefault="00260042" w:rsidP="00260042">
      <w:pPr>
        <w:pStyle w:val="IndexBodyL2"/>
      </w:pPr>
      <w:proofErr w:type="gramStart"/>
      <w:r>
        <w:t>claiming</w:t>
      </w:r>
      <w:proofErr w:type="gramEnd"/>
      <w:r>
        <w:t>, 46–8</w:t>
      </w:r>
    </w:p>
    <w:p w:rsidR="00260042" w:rsidRDefault="00260042" w:rsidP="00260042">
      <w:pPr>
        <w:pStyle w:val="IndexBodyL2"/>
      </w:pPr>
      <w:proofErr w:type="gramStart"/>
      <w:r>
        <w:t>compensation</w:t>
      </w:r>
      <w:proofErr w:type="gramEnd"/>
      <w:r>
        <w:t xml:space="preserve"> recovery, 49</w:t>
      </w:r>
    </w:p>
    <w:p w:rsidR="00260042" w:rsidRDefault="00260042" w:rsidP="00260042">
      <w:pPr>
        <w:pStyle w:val="IndexBodyL2"/>
      </w:pPr>
      <w:proofErr w:type="gramStart"/>
      <w:r>
        <w:t>digital</w:t>
      </w:r>
      <w:proofErr w:type="gramEnd"/>
      <w:r>
        <w:t xml:space="preserve"> claims, 45, 48, 119–23</w:t>
      </w:r>
    </w:p>
    <w:p w:rsidR="00260042" w:rsidRDefault="00260042" w:rsidP="00260042">
      <w:pPr>
        <w:pStyle w:val="IndexBodyL2"/>
      </w:pPr>
      <w:proofErr w:type="gramStart"/>
      <w:r>
        <w:t>eligibility</w:t>
      </w:r>
      <w:proofErr w:type="gramEnd"/>
      <w:r>
        <w:t xml:space="preserve"> for, 46, 60</w:t>
      </w:r>
    </w:p>
    <w:p w:rsidR="00260042" w:rsidRDefault="00260042" w:rsidP="00260042">
      <w:pPr>
        <w:pStyle w:val="IndexBodyL2"/>
      </w:pPr>
      <w:proofErr w:type="gramStart"/>
      <w:r>
        <w:t>enrolments</w:t>
      </w:r>
      <w:proofErr w:type="gramEnd"/>
      <w:r>
        <w:t>, 45</w:t>
      </w:r>
    </w:p>
    <w:p w:rsidR="00260042" w:rsidRDefault="00260042" w:rsidP="00260042">
      <w:pPr>
        <w:pStyle w:val="IndexBodyL2"/>
      </w:pPr>
      <w:proofErr w:type="gramStart"/>
      <w:r>
        <w:t>feedback</w:t>
      </w:r>
      <w:proofErr w:type="gramEnd"/>
      <w:r>
        <w:t xml:space="preserve"> on services, 137</w:t>
      </w:r>
    </w:p>
    <w:p w:rsidR="00260042" w:rsidRDefault="00260042" w:rsidP="00260042">
      <w:pPr>
        <w:pStyle w:val="IndexBodyL2"/>
      </w:pPr>
      <w:r>
        <w:t>Indigenous customer records updating pilot, 68–9</w:t>
      </w:r>
    </w:p>
    <w:p w:rsidR="00260042" w:rsidRDefault="00260042" w:rsidP="00260042">
      <w:pPr>
        <w:pStyle w:val="IndexBodyL2"/>
      </w:pPr>
      <w:proofErr w:type="gramStart"/>
      <w:r>
        <w:t>online</w:t>
      </w:r>
      <w:proofErr w:type="gramEnd"/>
      <w:r>
        <w:t xml:space="preserve"> claims, xiv</w:t>
      </w:r>
    </w:p>
    <w:p w:rsidR="00260042" w:rsidRDefault="00260042" w:rsidP="00260042">
      <w:pPr>
        <w:pStyle w:val="IndexBodyL2"/>
      </w:pPr>
      <w:proofErr w:type="gramStart"/>
      <w:r>
        <w:t>provider</w:t>
      </w:r>
      <w:proofErr w:type="gramEnd"/>
      <w:r>
        <w:t xml:space="preserve"> numbers, 48–9</w:t>
      </w:r>
    </w:p>
    <w:p w:rsidR="00260042" w:rsidRDefault="00260042" w:rsidP="00260042">
      <w:pPr>
        <w:pStyle w:val="IndexBodyL2"/>
      </w:pPr>
      <w:proofErr w:type="gramStart"/>
      <w:r>
        <w:t>transformation</w:t>
      </w:r>
      <w:proofErr w:type="gramEnd"/>
      <w:r>
        <w:t xml:space="preserve"> and </w:t>
      </w:r>
      <w:proofErr w:type="spellStart"/>
      <w:r>
        <w:t>modernisation</w:t>
      </w:r>
      <w:proofErr w:type="spellEnd"/>
      <w:r>
        <w:t xml:space="preserve"> activities, 19</w:t>
      </w:r>
    </w:p>
    <w:p w:rsidR="00260042" w:rsidRDefault="00260042" w:rsidP="00260042">
      <w:pPr>
        <w:pStyle w:val="IndexBodyL1"/>
      </w:pPr>
      <w:r>
        <w:t>Medicare Benefits Schedule, 25, 28, 46, 47, 68, 108</w:t>
      </w:r>
    </w:p>
    <w:p w:rsidR="00260042" w:rsidRDefault="00260042" w:rsidP="00260042">
      <w:pPr>
        <w:pStyle w:val="IndexBodyL2"/>
      </w:pPr>
      <w:proofErr w:type="gramStart"/>
      <w:r>
        <w:t>changes</w:t>
      </w:r>
      <w:proofErr w:type="gramEnd"/>
      <w:r>
        <w:t xml:space="preserve"> to, 25, 28, 46, 110, 117</w:t>
      </w:r>
    </w:p>
    <w:p w:rsidR="00260042" w:rsidRDefault="00260042" w:rsidP="00260042">
      <w:pPr>
        <w:pStyle w:val="IndexBodyL1"/>
      </w:pPr>
      <w:r>
        <w:t>Medicare Entitlement Statements, 46</w:t>
      </w:r>
    </w:p>
    <w:p w:rsidR="00260042" w:rsidRDefault="00260042" w:rsidP="00260042">
      <w:pPr>
        <w:pStyle w:val="IndexBodyL1"/>
      </w:pPr>
      <w:r>
        <w:t>Medicare Online Accounts</w:t>
      </w:r>
      <w:proofErr w:type="gramStart"/>
      <w:r>
        <w:t>,119</w:t>
      </w:r>
      <w:proofErr w:type="gramEnd"/>
      <w:r>
        <w:t>, 123–24</w:t>
      </w:r>
    </w:p>
    <w:p w:rsidR="00260042" w:rsidRDefault="00260042" w:rsidP="00260042">
      <w:pPr>
        <w:pStyle w:val="IndexBodyL1"/>
      </w:pPr>
      <w:r>
        <w:t>Medicare Safety Net, 19, 46</w:t>
      </w:r>
    </w:p>
    <w:p w:rsidR="00260042" w:rsidRDefault="00260042" w:rsidP="00260042">
      <w:pPr>
        <w:pStyle w:val="IndexBodyL1"/>
      </w:pPr>
      <w:proofErr w:type="gramStart"/>
      <w:r>
        <w:t>medicines</w:t>
      </w:r>
      <w:proofErr w:type="gramEnd"/>
      <w:r>
        <w:t>, 49–51</w:t>
      </w:r>
    </w:p>
    <w:p w:rsidR="00260042" w:rsidRDefault="00260042" w:rsidP="00260042">
      <w:pPr>
        <w:pStyle w:val="IndexBodyL2"/>
      </w:pPr>
      <w:proofErr w:type="gramStart"/>
      <w:r>
        <w:t>access</w:t>
      </w:r>
      <w:proofErr w:type="gramEnd"/>
      <w:r>
        <w:t xml:space="preserve"> during COVID-19, 28</w:t>
      </w:r>
    </w:p>
    <w:p w:rsidR="00260042" w:rsidRDefault="00260042" w:rsidP="00260042">
      <w:pPr>
        <w:pStyle w:val="IndexBodyL2"/>
      </w:pPr>
      <w:proofErr w:type="gramStart"/>
      <w:r>
        <w:rPr>
          <w:rStyle w:val="Italic"/>
        </w:rPr>
        <w:t>see</w:t>
      </w:r>
      <w:proofErr w:type="gramEnd"/>
      <w:r>
        <w:rPr>
          <w:rStyle w:val="Italic"/>
        </w:rPr>
        <w:t xml:space="preserve"> also</w:t>
      </w:r>
      <w:r>
        <w:t xml:space="preserve"> Pharmaceutical Benefits Scheme; Repatriation Pharmaceutical Benefits Scheme</w:t>
      </w:r>
    </w:p>
    <w:p w:rsidR="00260042" w:rsidRDefault="00260042" w:rsidP="00260042">
      <w:pPr>
        <w:pStyle w:val="IndexBodyL1"/>
      </w:pPr>
      <w:r>
        <w:t>MH17 Family Support Package, 30, 33</w:t>
      </w:r>
    </w:p>
    <w:p w:rsidR="00260042" w:rsidRDefault="00260042" w:rsidP="00260042">
      <w:pPr>
        <w:pStyle w:val="IndexBodyL1"/>
      </w:pPr>
      <w:r>
        <w:t>Midwife Professional Indemnity Scheme, 59</w:t>
      </w:r>
    </w:p>
    <w:p w:rsidR="00260042" w:rsidRDefault="00260042" w:rsidP="00260042">
      <w:pPr>
        <w:pStyle w:val="IndexBodyL1"/>
      </w:pPr>
      <w:r>
        <w:t>Minister for Government Services, 2</w:t>
      </w:r>
    </w:p>
    <w:p w:rsidR="00260042" w:rsidRDefault="00260042" w:rsidP="00260042">
      <w:pPr>
        <w:pStyle w:val="IndexBodyL1"/>
      </w:pPr>
      <w:r>
        <w:t>Minister for the National Disability Insurance Scheme, 2</w:t>
      </w:r>
    </w:p>
    <w:p w:rsidR="00260042" w:rsidRDefault="00260042" w:rsidP="00260042">
      <w:pPr>
        <w:pStyle w:val="IndexBodyL1"/>
      </w:pPr>
      <w:proofErr w:type="gramStart"/>
      <w:r>
        <w:t>ministers</w:t>
      </w:r>
      <w:proofErr w:type="gramEnd"/>
      <w:r>
        <w:t>, 2</w:t>
      </w:r>
    </w:p>
    <w:p w:rsidR="00260042" w:rsidRDefault="00260042" w:rsidP="00260042">
      <w:pPr>
        <w:pStyle w:val="IndexBodyL1"/>
      </w:pPr>
      <w:proofErr w:type="gramStart"/>
      <w:r>
        <w:t>mobile</w:t>
      </w:r>
      <w:proofErr w:type="gramEnd"/>
      <w:r>
        <w:t xml:space="preserve"> apps, 15, 17, 26, 288</w:t>
      </w:r>
    </w:p>
    <w:p w:rsidR="00260042" w:rsidRDefault="00260042" w:rsidP="00260042">
      <w:pPr>
        <w:pStyle w:val="IndexBodyL1"/>
      </w:pPr>
      <w:proofErr w:type="gramStart"/>
      <w:r>
        <w:t>mobile</w:t>
      </w:r>
      <w:proofErr w:type="gramEnd"/>
      <w:r>
        <w:t xml:space="preserve"> service </w:t>
      </w:r>
      <w:proofErr w:type="spellStart"/>
      <w:r>
        <w:t>centres</w:t>
      </w:r>
      <w:proofErr w:type="spellEnd"/>
      <w:r>
        <w:t>, 70</w:t>
      </w:r>
    </w:p>
    <w:p w:rsidR="00260042" w:rsidRDefault="00260042" w:rsidP="00260042">
      <w:pPr>
        <w:pStyle w:val="IndexBodyL1"/>
      </w:pPr>
      <w:r>
        <w:t>Mobility Allowance, 36, 38</w:t>
      </w:r>
    </w:p>
    <w:p w:rsidR="00260042" w:rsidRDefault="00260042" w:rsidP="00260042">
      <w:pPr>
        <w:pStyle w:val="IndexBodyL1"/>
      </w:pPr>
      <w:proofErr w:type="gramStart"/>
      <w:r>
        <w:t>money</w:t>
      </w:r>
      <w:proofErr w:type="gramEnd"/>
      <w:r>
        <w:t xml:space="preserve"> management, 77–80</w:t>
      </w:r>
    </w:p>
    <w:p w:rsidR="00260042" w:rsidRDefault="00260042" w:rsidP="00260042">
      <w:pPr>
        <w:pStyle w:val="IndexBodyL1"/>
      </w:pPr>
      <w:r>
        <w:t>Multicultural Advisory Forums, 74</w:t>
      </w:r>
    </w:p>
    <w:p w:rsidR="00260042" w:rsidRDefault="00260042" w:rsidP="00260042">
      <w:pPr>
        <w:pStyle w:val="IndexBodyL1"/>
      </w:pPr>
      <w:r>
        <w:t>Multicultural Community Engagement Group, 74</w:t>
      </w:r>
    </w:p>
    <w:p w:rsidR="00260042" w:rsidRDefault="00260042" w:rsidP="00260042">
      <w:pPr>
        <w:pStyle w:val="IndexBodyL1"/>
      </w:pPr>
      <w:r>
        <w:t>Multicultural Service Officers, 72–3</w:t>
      </w:r>
    </w:p>
    <w:p w:rsidR="00260042" w:rsidRDefault="00260042" w:rsidP="00260042">
      <w:pPr>
        <w:pStyle w:val="IndexBodyL1"/>
      </w:pPr>
      <w:proofErr w:type="gramStart"/>
      <w:r>
        <w:t>multicultural</w:t>
      </w:r>
      <w:proofErr w:type="gramEnd"/>
      <w:r>
        <w:t xml:space="preserve"> services, 72–76</w:t>
      </w:r>
    </w:p>
    <w:p w:rsidR="00260042" w:rsidRDefault="00260042" w:rsidP="00260042">
      <w:pPr>
        <w:pStyle w:val="IndexBodyL1"/>
      </w:pPr>
      <w:r>
        <w:rPr>
          <w:spacing w:val="-4"/>
        </w:rPr>
        <w:t xml:space="preserve">Multicultural Servicing Strategy 2019—22, </w:t>
      </w:r>
      <w:r>
        <w:t>72</w:t>
      </w:r>
    </w:p>
    <w:p w:rsidR="00260042" w:rsidRDefault="00260042" w:rsidP="00260042">
      <w:pPr>
        <w:pStyle w:val="IndexBodyL1"/>
      </w:pPr>
      <w:r>
        <w:t>My Health Record system, 60</w:t>
      </w:r>
    </w:p>
    <w:p w:rsidR="00260042" w:rsidRDefault="00260042" w:rsidP="00260042">
      <w:pPr>
        <w:pStyle w:val="IndexBodyL1"/>
      </w:pPr>
      <w:proofErr w:type="spellStart"/>
      <w:proofErr w:type="gramStart"/>
      <w:r>
        <w:t>myGov</w:t>
      </w:r>
      <w:proofErr w:type="spellEnd"/>
      <w:proofErr w:type="gramEnd"/>
      <w:r>
        <w:t>, xiv, 11, 57, 60, 75, 85, 124</w:t>
      </w:r>
    </w:p>
    <w:p w:rsidR="00260042" w:rsidRDefault="00260042" w:rsidP="00260042">
      <w:pPr>
        <w:pStyle w:val="IndexBodyL2"/>
      </w:pPr>
      <w:proofErr w:type="gramStart"/>
      <w:r>
        <w:t>enhancements</w:t>
      </w:r>
      <w:proofErr w:type="gramEnd"/>
      <w:r>
        <w:t xml:space="preserve"> to, 20, 22</w:t>
      </w:r>
    </w:p>
    <w:p w:rsidR="00260042" w:rsidRDefault="00260042" w:rsidP="00260042">
      <w:pPr>
        <w:pStyle w:val="IndexBodyL2"/>
      </w:pPr>
      <w:proofErr w:type="gramStart"/>
      <w:r>
        <w:t>identity</w:t>
      </w:r>
      <w:proofErr w:type="gramEnd"/>
      <w:r>
        <w:t xml:space="preserve"> verification, 10–11, 95, 152</w:t>
      </w:r>
    </w:p>
    <w:p w:rsidR="00260042" w:rsidRDefault="00260042" w:rsidP="00260042">
      <w:pPr>
        <w:pStyle w:val="IndexBodyL1"/>
      </w:pPr>
      <w:proofErr w:type="spellStart"/>
      <w:r>
        <w:t>Immunisation</w:t>
      </w:r>
      <w:proofErr w:type="spellEnd"/>
      <w:r>
        <w:t xml:space="preserve"> History Statements, x, 26, 60, 121–23</w:t>
      </w:r>
    </w:p>
    <w:p w:rsidR="00260042" w:rsidRDefault="00260042" w:rsidP="00260042">
      <w:pPr>
        <w:pStyle w:val="IndexBodyL1"/>
      </w:pPr>
      <w:proofErr w:type="spellStart"/>
      <w:r>
        <w:t>MyService</w:t>
      </w:r>
      <w:proofErr w:type="spellEnd"/>
      <w:r>
        <w:t xml:space="preserve"> online system, 20</w:t>
      </w:r>
    </w:p>
    <w:p w:rsidR="00260042" w:rsidRDefault="00260042" w:rsidP="00260042">
      <w:pPr>
        <w:pStyle w:val="IndexHeading"/>
      </w:pPr>
      <w:r>
        <w:t>N</w:t>
      </w:r>
    </w:p>
    <w:p w:rsidR="00260042" w:rsidRDefault="00260042" w:rsidP="00260042">
      <w:pPr>
        <w:pStyle w:val="IndexBodyL1"/>
      </w:pPr>
      <w:r>
        <w:t xml:space="preserve">National Aboriginal Community Controlled Health </w:t>
      </w:r>
      <w:proofErr w:type="spellStart"/>
      <w:r>
        <w:t>Organisation</w:t>
      </w:r>
      <w:proofErr w:type="spellEnd"/>
      <w:r>
        <w:t>, 19</w:t>
      </w:r>
    </w:p>
    <w:p w:rsidR="00260042" w:rsidRDefault="00260042" w:rsidP="00260042">
      <w:pPr>
        <w:pStyle w:val="IndexBodyL1"/>
      </w:pPr>
      <w:r>
        <w:t>National Agreement on Closing the Gap, 67–8</w:t>
      </w:r>
    </w:p>
    <w:p w:rsidR="00260042" w:rsidRDefault="00260042" w:rsidP="00260042">
      <w:pPr>
        <w:pStyle w:val="IndexBodyL1"/>
      </w:pPr>
      <w:r>
        <w:t>National Authentication Service for Health, 60</w:t>
      </w:r>
    </w:p>
    <w:p w:rsidR="00260042" w:rsidRDefault="00260042" w:rsidP="00260042">
      <w:pPr>
        <w:pStyle w:val="IndexBodyL1"/>
      </w:pPr>
      <w:r>
        <w:lastRenderedPageBreak/>
        <w:t>National Disability Insurance Agency, 150</w:t>
      </w:r>
    </w:p>
    <w:p w:rsidR="00260042" w:rsidRDefault="00260042" w:rsidP="00260042">
      <w:pPr>
        <w:pStyle w:val="IndexBodyL1"/>
      </w:pPr>
      <w:r>
        <w:t>National Emergency Call Centre Surge Capability, 33, 85</w:t>
      </w:r>
    </w:p>
    <w:p w:rsidR="00260042" w:rsidRDefault="00260042" w:rsidP="00260042">
      <w:pPr>
        <w:pStyle w:val="IndexBodyL1"/>
      </w:pPr>
      <w:r>
        <w:t>National Indigenous Coalition, 69</w:t>
      </w:r>
    </w:p>
    <w:p w:rsidR="00260042" w:rsidRDefault="00260042" w:rsidP="00260042">
      <w:pPr>
        <w:pStyle w:val="IndexBodyL1"/>
      </w:pPr>
      <w:r>
        <w:t>National Multicultural Advisory Group, 74</w:t>
      </w:r>
    </w:p>
    <w:p w:rsidR="00260042" w:rsidRDefault="00260042" w:rsidP="00260042">
      <w:pPr>
        <w:pStyle w:val="IndexBodyL1"/>
      </w:pPr>
      <w:r>
        <w:t>National Security Hotline, 34</w:t>
      </w:r>
    </w:p>
    <w:p w:rsidR="00260042" w:rsidRDefault="00260042" w:rsidP="00260042">
      <w:pPr>
        <w:pStyle w:val="IndexBodyL1"/>
      </w:pPr>
      <w:proofErr w:type="gramStart"/>
      <w:r>
        <w:t>natural</w:t>
      </w:r>
      <w:proofErr w:type="gramEnd"/>
      <w:r>
        <w:t xml:space="preserve"> disasters </w:t>
      </w:r>
      <w:r>
        <w:rPr>
          <w:rStyle w:val="Italic"/>
        </w:rPr>
        <w:t>see</w:t>
      </w:r>
      <w:r>
        <w:t xml:space="preserve"> emergency call </w:t>
      </w:r>
      <w:proofErr w:type="spellStart"/>
      <w:r>
        <w:t>centres</w:t>
      </w:r>
      <w:proofErr w:type="spellEnd"/>
      <w:r>
        <w:t>; emergency events</w:t>
      </w:r>
    </w:p>
    <w:p w:rsidR="00260042" w:rsidRDefault="00260042" w:rsidP="00260042">
      <w:pPr>
        <w:pStyle w:val="IndexBodyL1"/>
      </w:pPr>
      <w:r>
        <w:t>New Zealand Disaster Recovery Payment, 32</w:t>
      </w:r>
    </w:p>
    <w:p w:rsidR="00260042" w:rsidRDefault="00260042" w:rsidP="00260042">
      <w:pPr>
        <w:pStyle w:val="IndexBodyL1"/>
      </w:pPr>
      <w:proofErr w:type="gramStart"/>
      <w:r>
        <w:t>newborn</w:t>
      </w:r>
      <w:proofErr w:type="gramEnd"/>
      <w:r>
        <w:t xml:space="preserve"> children, 39, 40</w:t>
      </w:r>
    </w:p>
    <w:p w:rsidR="00260042" w:rsidRDefault="00260042" w:rsidP="00260042">
      <w:pPr>
        <w:pStyle w:val="IndexBodyL1"/>
      </w:pPr>
      <w:r>
        <w:t>No Jab No Pay and Healthy Start for School, 40</w:t>
      </w:r>
    </w:p>
    <w:p w:rsidR="00260042" w:rsidRDefault="00260042" w:rsidP="00260042">
      <w:pPr>
        <w:pStyle w:val="IndexBodyL1"/>
      </w:pPr>
      <w:proofErr w:type="gramStart"/>
      <w:r>
        <w:t>notifiable</w:t>
      </w:r>
      <w:proofErr w:type="gramEnd"/>
      <w:r>
        <w:t xml:space="preserve"> incidents, 168</w:t>
      </w:r>
    </w:p>
    <w:p w:rsidR="00260042" w:rsidRDefault="00260042" w:rsidP="00260042">
      <w:pPr>
        <w:pStyle w:val="IndexHeading"/>
      </w:pPr>
      <w:r>
        <w:t>O</w:t>
      </w:r>
    </w:p>
    <w:p w:rsidR="00260042" w:rsidRDefault="00260042" w:rsidP="00260042">
      <w:pPr>
        <w:pStyle w:val="IndexBodyL1"/>
      </w:pPr>
      <w:proofErr w:type="gramStart"/>
      <w:r>
        <w:t>older</w:t>
      </w:r>
      <w:proofErr w:type="gramEnd"/>
      <w:r>
        <w:t xml:space="preserve"> Australians, 37</w:t>
      </w:r>
    </w:p>
    <w:p w:rsidR="00260042" w:rsidRDefault="00260042" w:rsidP="00260042">
      <w:pPr>
        <w:pStyle w:val="IndexBodyL2"/>
      </w:pPr>
      <w:proofErr w:type="gramStart"/>
      <w:r>
        <w:t>emergency</w:t>
      </w:r>
      <w:proofErr w:type="gramEnd"/>
      <w:r>
        <w:t xml:space="preserve"> leave for residential aged care, 28, 52</w:t>
      </w:r>
    </w:p>
    <w:p w:rsidR="00260042" w:rsidRDefault="00260042" w:rsidP="00260042">
      <w:pPr>
        <w:pStyle w:val="IndexBodyL2"/>
      </w:pPr>
      <w:proofErr w:type="gramStart"/>
      <w:r>
        <w:rPr>
          <w:rStyle w:val="Italic"/>
        </w:rPr>
        <w:t>see</w:t>
      </w:r>
      <w:proofErr w:type="gramEnd"/>
      <w:r>
        <w:rPr>
          <w:rStyle w:val="Italic"/>
        </w:rPr>
        <w:t xml:space="preserve"> also</w:t>
      </w:r>
      <w:r>
        <w:t xml:space="preserve"> aged care programs, 52</w:t>
      </w:r>
    </w:p>
    <w:p w:rsidR="00260042" w:rsidRDefault="00260042" w:rsidP="00260042">
      <w:pPr>
        <w:pStyle w:val="IndexBodyL1"/>
      </w:pPr>
      <w:proofErr w:type="gramStart"/>
      <w:r>
        <w:t>online</w:t>
      </w:r>
      <w:proofErr w:type="gramEnd"/>
      <w:r>
        <w:t xml:space="preserve"> services and claiming </w:t>
      </w:r>
      <w:r>
        <w:rPr>
          <w:rStyle w:val="Italic"/>
        </w:rPr>
        <w:t>see</w:t>
      </w:r>
      <w:r>
        <w:t xml:space="preserve"> digital and online services and claiming</w:t>
      </w:r>
    </w:p>
    <w:p w:rsidR="00260042" w:rsidRDefault="00260042" w:rsidP="00260042">
      <w:pPr>
        <w:pStyle w:val="IndexBodyL1"/>
      </w:pPr>
      <w:proofErr w:type="gramStart"/>
      <w:r>
        <w:t>operational</w:t>
      </w:r>
      <w:proofErr w:type="gramEnd"/>
      <w:r>
        <w:t xml:space="preserve"> snapshot, xiii, xiv</w:t>
      </w:r>
    </w:p>
    <w:p w:rsidR="00260042" w:rsidRDefault="00260042" w:rsidP="00260042">
      <w:pPr>
        <w:pStyle w:val="IndexBodyL1"/>
      </w:pPr>
      <w:proofErr w:type="gramStart"/>
      <w:r>
        <w:t>organ</w:t>
      </w:r>
      <w:proofErr w:type="gramEnd"/>
      <w:r>
        <w:t xml:space="preserve"> donors, 57</w:t>
      </w:r>
    </w:p>
    <w:p w:rsidR="00260042" w:rsidRDefault="00260042" w:rsidP="00260042">
      <w:pPr>
        <w:pStyle w:val="IndexBodyL1"/>
      </w:pPr>
      <w:proofErr w:type="spellStart"/>
      <w:proofErr w:type="gramStart"/>
      <w:r>
        <w:t>organisational</w:t>
      </w:r>
      <w:proofErr w:type="spellEnd"/>
      <w:proofErr w:type="gramEnd"/>
      <w:r>
        <w:t xml:space="preserve"> structure, 3–7</w:t>
      </w:r>
    </w:p>
    <w:p w:rsidR="00260042" w:rsidRDefault="00260042" w:rsidP="00260042">
      <w:pPr>
        <w:pStyle w:val="IndexBodyL1"/>
      </w:pPr>
      <w:proofErr w:type="gramStart"/>
      <w:r>
        <w:t>outcome</w:t>
      </w:r>
      <w:proofErr w:type="gramEnd"/>
      <w:r>
        <w:t>, agency, 89</w:t>
      </w:r>
    </w:p>
    <w:p w:rsidR="00260042" w:rsidRDefault="00260042" w:rsidP="00260042">
      <w:pPr>
        <w:pStyle w:val="IndexBodyL1"/>
      </w:pPr>
      <w:proofErr w:type="gramStart"/>
      <w:r>
        <w:t>overseas</w:t>
      </w:r>
      <w:proofErr w:type="gramEnd"/>
      <w:r>
        <w:t xml:space="preserve"> natural disasters, injury as a result of, 33</w:t>
      </w:r>
    </w:p>
    <w:p w:rsidR="00260042" w:rsidRDefault="00260042" w:rsidP="00260042">
      <w:pPr>
        <w:pStyle w:val="IndexBodyL1"/>
      </w:pPr>
      <w:proofErr w:type="gramStart"/>
      <w:r>
        <w:t>overseas</w:t>
      </w:r>
      <w:proofErr w:type="gramEnd"/>
      <w:r>
        <w:t>, payments while, 81</w:t>
      </w:r>
    </w:p>
    <w:p w:rsidR="00260042" w:rsidRDefault="00260042" w:rsidP="00260042">
      <w:pPr>
        <w:pStyle w:val="IndexHeading"/>
      </w:pPr>
      <w:r>
        <w:t>P</w:t>
      </w:r>
    </w:p>
    <w:p w:rsidR="00260042" w:rsidRDefault="00260042" w:rsidP="00260042">
      <w:pPr>
        <w:pStyle w:val="IndexBodyL1"/>
      </w:pPr>
      <w:r>
        <w:t>Paid Parental Leave Scheme, 36, 39</w:t>
      </w:r>
    </w:p>
    <w:p w:rsidR="00260042" w:rsidRDefault="00260042" w:rsidP="00260042">
      <w:pPr>
        <w:pStyle w:val="IndexBodyL1"/>
      </w:pPr>
      <w:r>
        <w:t>Pandemic Leave Disaster Payments, 25, 28–9</w:t>
      </w:r>
    </w:p>
    <w:p w:rsidR="00260042" w:rsidRDefault="00260042" w:rsidP="00260042">
      <w:pPr>
        <w:pStyle w:val="IndexBodyL1"/>
      </w:pPr>
      <w:r>
        <w:t>Parental Leave Pay, 39</w:t>
      </w:r>
    </w:p>
    <w:p w:rsidR="00260042" w:rsidRDefault="00260042" w:rsidP="00260042">
      <w:pPr>
        <w:pStyle w:val="IndexBodyL1"/>
      </w:pPr>
      <w:proofErr w:type="gramStart"/>
      <w:r>
        <w:t>parental</w:t>
      </w:r>
      <w:proofErr w:type="gramEnd"/>
      <w:r>
        <w:t xml:space="preserve"> leave policy, 181</w:t>
      </w:r>
    </w:p>
    <w:p w:rsidR="00260042" w:rsidRDefault="00260042" w:rsidP="00260042">
      <w:pPr>
        <w:pStyle w:val="IndexBodyL1"/>
      </w:pPr>
      <w:r>
        <w:t>Parenting Payment, 37, 39, 40</w:t>
      </w:r>
    </w:p>
    <w:p w:rsidR="00260042" w:rsidRDefault="00260042" w:rsidP="00260042">
      <w:pPr>
        <w:pStyle w:val="IndexBodyL1"/>
      </w:pPr>
      <w:proofErr w:type="spellStart"/>
      <w:r>
        <w:t>ParentsNext</w:t>
      </w:r>
      <w:proofErr w:type="spellEnd"/>
      <w:r>
        <w:t>, 40</w:t>
      </w:r>
    </w:p>
    <w:p w:rsidR="00260042" w:rsidRDefault="00260042" w:rsidP="00260042">
      <w:pPr>
        <w:pStyle w:val="IndexBodyL1"/>
      </w:pPr>
      <w:proofErr w:type="gramStart"/>
      <w:r>
        <w:rPr>
          <w:spacing w:val="-4"/>
        </w:rPr>
        <w:t>parliamentary</w:t>
      </w:r>
      <w:proofErr w:type="gramEnd"/>
      <w:r>
        <w:rPr>
          <w:spacing w:val="-4"/>
        </w:rPr>
        <w:t xml:space="preserve"> committee reports, 159–60</w:t>
      </w:r>
    </w:p>
    <w:p w:rsidR="00260042" w:rsidRDefault="00260042" w:rsidP="00260042">
      <w:pPr>
        <w:pStyle w:val="IndexBodyL1"/>
      </w:pPr>
      <w:proofErr w:type="gramStart"/>
      <w:r>
        <w:t>partnerships</w:t>
      </w:r>
      <w:proofErr w:type="gramEnd"/>
      <w:r>
        <w:t xml:space="preserve"> and collaboration, 85–6</w:t>
      </w:r>
    </w:p>
    <w:p w:rsidR="00260042" w:rsidRDefault="00260042" w:rsidP="00260042">
      <w:pPr>
        <w:pStyle w:val="IndexBodyL1"/>
      </w:pPr>
      <w:r>
        <w:t>Payment and Service Finder digital service, 72</w:t>
      </w:r>
    </w:p>
    <w:p w:rsidR="00260042" w:rsidRDefault="00260042" w:rsidP="00260042">
      <w:pPr>
        <w:pStyle w:val="IndexBodyL1"/>
      </w:pPr>
      <w:proofErr w:type="gramStart"/>
      <w:r>
        <w:t>payment</w:t>
      </w:r>
      <w:proofErr w:type="gramEnd"/>
      <w:r>
        <w:t xml:space="preserve"> quality performance measures, 92, 96</w:t>
      </w:r>
    </w:p>
    <w:p w:rsidR="00260042" w:rsidRDefault="00260042" w:rsidP="00260042">
      <w:pPr>
        <w:pStyle w:val="IndexBodyL2"/>
      </w:pPr>
      <w:r>
        <w:t>Child Support, 127</w:t>
      </w:r>
    </w:p>
    <w:p w:rsidR="00260042" w:rsidRDefault="00260042" w:rsidP="00260042">
      <w:pPr>
        <w:pStyle w:val="IndexBodyL2"/>
      </w:pPr>
      <w:proofErr w:type="gramStart"/>
      <w:r>
        <w:t>health</w:t>
      </w:r>
      <w:proofErr w:type="gramEnd"/>
      <w:r>
        <w:t>, 107, 111</w:t>
      </w:r>
    </w:p>
    <w:p w:rsidR="00260042" w:rsidRDefault="00260042" w:rsidP="00260042">
      <w:pPr>
        <w:pStyle w:val="IndexBodyL2"/>
      </w:pPr>
      <w:proofErr w:type="gramStart"/>
      <w:r>
        <w:t>social</w:t>
      </w:r>
      <w:proofErr w:type="gramEnd"/>
      <w:r>
        <w:t xml:space="preserve"> security and welfare, 92, 96–8</w:t>
      </w:r>
    </w:p>
    <w:p w:rsidR="00260042" w:rsidRDefault="00260042" w:rsidP="00260042">
      <w:pPr>
        <w:pStyle w:val="IndexBodyL1"/>
      </w:pPr>
      <w:proofErr w:type="gramStart"/>
      <w:r>
        <w:t>payments</w:t>
      </w:r>
      <w:proofErr w:type="gramEnd"/>
      <w:r>
        <w:t>, xiii</w:t>
      </w:r>
    </w:p>
    <w:p w:rsidR="00260042" w:rsidRDefault="00260042" w:rsidP="00260042">
      <w:pPr>
        <w:pStyle w:val="IndexBodyL2"/>
      </w:pPr>
      <w:proofErr w:type="gramStart"/>
      <w:r>
        <w:rPr>
          <w:spacing w:val="-2"/>
        </w:rPr>
        <w:t>accuracy</w:t>
      </w:r>
      <w:proofErr w:type="gramEnd"/>
      <w:r>
        <w:rPr>
          <w:spacing w:val="-2"/>
        </w:rPr>
        <w:t xml:space="preserve"> and correctness of, 153–54</w:t>
      </w:r>
    </w:p>
    <w:p w:rsidR="00260042" w:rsidRDefault="00260042" w:rsidP="00260042">
      <w:pPr>
        <w:pStyle w:val="IndexBodyL2"/>
      </w:pPr>
      <w:r>
        <w:t>Child Support, xiii</w:t>
      </w:r>
    </w:p>
    <w:p w:rsidR="00260042" w:rsidRDefault="00260042" w:rsidP="00260042">
      <w:pPr>
        <w:pStyle w:val="IndexBodyL2"/>
      </w:pPr>
      <w:r>
        <w:t>COVID-19 related, 24–9</w:t>
      </w:r>
    </w:p>
    <w:p w:rsidR="00260042" w:rsidRDefault="00260042" w:rsidP="00260042">
      <w:pPr>
        <w:pStyle w:val="IndexBodyL2"/>
      </w:pPr>
      <w:proofErr w:type="gramStart"/>
      <w:r>
        <w:t>emergency</w:t>
      </w:r>
      <w:proofErr w:type="gramEnd"/>
      <w:r>
        <w:t xml:space="preserve"> events, 30–34</w:t>
      </w:r>
    </w:p>
    <w:p w:rsidR="00260042" w:rsidRDefault="00260042" w:rsidP="00260042">
      <w:pPr>
        <w:pStyle w:val="IndexBodyL2"/>
      </w:pPr>
      <w:r>
        <w:t>Medicare, xiii</w:t>
      </w:r>
    </w:p>
    <w:p w:rsidR="00260042" w:rsidRDefault="00260042" w:rsidP="00260042">
      <w:pPr>
        <w:pStyle w:val="IndexBodyL2"/>
      </w:pPr>
      <w:proofErr w:type="gramStart"/>
      <w:r>
        <w:t>social</w:t>
      </w:r>
      <w:proofErr w:type="gramEnd"/>
      <w:r>
        <w:t xml:space="preserve"> security and welfare, xiii, 36–44</w:t>
      </w:r>
    </w:p>
    <w:p w:rsidR="00260042" w:rsidRDefault="00260042" w:rsidP="00260042">
      <w:pPr>
        <w:pStyle w:val="IndexBodyL1"/>
      </w:pPr>
      <w:proofErr w:type="gramStart"/>
      <w:r>
        <w:t>payroll</w:t>
      </w:r>
      <w:proofErr w:type="gramEnd"/>
      <w:r>
        <w:t xml:space="preserve"> </w:t>
      </w:r>
      <w:r>
        <w:rPr>
          <w:rStyle w:val="Italic"/>
        </w:rPr>
        <w:t>see</w:t>
      </w:r>
      <w:r>
        <w:t xml:space="preserve"> Single Touch Payroll</w:t>
      </w:r>
    </w:p>
    <w:p w:rsidR="00260042" w:rsidRDefault="00260042" w:rsidP="00260042">
      <w:pPr>
        <w:pStyle w:val="IndexBodyL1"/>
      </w:pPr>
      <w:r>
        <w:t>PBS Safety Net, 50</w:t>
      </w:r>
    </w:p>
    <w:p w:rsidR="00260042" w:rsidRDefault="00260042" w:rsidP="00260042">
      <w:pPr>
        <w:pStyle w:val="IndexBodyL1"/>
      </w:pPr>
      <w:r>
        <w:t>Pensioner Education Supplement, 37</w:t>
      </w:r>
    </w:p>
    <w:p w:rsidR="00260042" w:rsidRDefault="00260042" w:rsidP="00260042">
      <w:pPr>
        <w:pStyle w:val="IndexBodyL1"/>
      </w:pPr>
      <w:proofErr w:type="gramStart"/>
      <w:r>
        <w:t>performance</w:t>
      </w:r>
      <w:proofErr w:type="gramEnd"/>
      <w:r>
        <w:t xml:space="preserve"> analysis, 90–1</w:t>
      </w:r>
    </w:p>
    <w:p w:rsidR="00260042" w:rsidRDefault="00260042" w:rsidP="00260042">
      <w:pPr>
        <w:pStyle w:val="IndexBodyL1"/>
      </w:pPr>
      <w:proofErr w:type="gramStart"/>
      <w:r>
        <w:t>performance</w:t>
      </w:r>
      <w:proofErr w:type="gramEnd"/>
      <w:r>
        <w:t xml:space="preserve"> management framework, vii, 89</w:t>
      </w:r>
    </w:p>
    <w:p w:rsidR="00260042" w:rsidRDefault="00260042" w:rsidP="00260042">
      <w:pPr>
        <w:pStyle w:val="IndexBodyL1"/>
      </w:pPr>
      <w:proofErr w:type="gramStart"/>
      <w:r>
        <w:t>performance</w:t>
      </w:r>
      <w:proofErr w:type="gramEnd"/>
      <w:r>
        <w:t xml:space="preserve"> pay, 174</w:t>
      </w:r>
    </w:p>
    <w:p w:rsidR="00260042" w:rsidRDefault="00260042" w:rsidP="00260042">
      <w:pPr>
        <w:pStyle w:val="IndexBodyL1"/>
      </w:pPr>
      <w:proofErr w:type="gramStart"/>
      <w:r>
        <w:lastRenderedPageBreak/>
        <w:t>performance</w:t>
      </w:r>
      <w:proofErr w:type="gramEnd"/>
      <w:r>
        <w:t xml:space="preserve"> results summaries</w:t>
      </w:r>
    </w:p>
    <w:p w:rsidR="00260042" w:rsidRDefault="00260042" w:rsidP="00260042">
      <w:pPr>
        <w:pStyle w:val="IndexBodyL2"/>
      </w:pPr>
      <w:r>
        <w:t>Child Support, 125</w:t>
      </w:r>
    </w:p>
    <w:p w:rsidR="00260042" w:rsidRDefault="00260042" w:rsidP="00260042">
      <w:pPr>
        <w:pStyle w:val="IndexBodyL2"/>
      </w:pPr>
      <w:proofErr w:type="gramStart"/>
      <w:r>
        <w:t>health</w:t>
      </w:r>
      <w:proofErr w:type="gramEnd"/>
      <w:r>
        <w:t>, 108, 109</w:t>
      </w:r>
    </w:p>
    <w:p w:rsidR="00260042" w:rsidRDefault="00260042" w:rsidP="00260042">
      <w:pPr>
        <w:pStyle w:val="IndexBodyL2"/>
      </w:pPr>
      <w:proofErr w:type="gramStart"/>
      <w:r>
        <w:t>social</w:t>
      </w:r>
      <w:proofErr w:type="gramEnd"/>
      <w:r>
        <w:t xml:space="preserve"> security and welfare, 92–3</w:t>
      </w:r>
    </w:p>
    <w:p w:rsidR="00260042" w:rsidRDefault="00260042" w:rsidP="00260042">
      <w:pPr>
        <w:pStyle w:val="IndexBodyL1"/>
      </w:pPr>
      <w:r>
        <w:t>Pharmaceutical Benefits Scheme, 28, 49–51, 116</w:t>
      </w:r>
    </w:p>
    <w:p w:rsidR="00260042" w:rsidRDefault="00260042" w:rsidP="00260042">
      <w:pPr>
        <w:pStyle w:val="IndexBodyL2"/>
      </w:pPr>
      <w:proofErr w:type="gramStart"/>
      <w:r>
        <w:t>changes</w:t>
      </w:r>
      <w:proofErr w:type="gramEnd"/>
      <w:r>
        <w:t xml:space="preserve"> during COVID-19, 28</w:t>
      </w:r>
    </w:p>
    <w:p w:rsidR="00260042" w:rsidRDefault="00260042" w:rsidP="00260042">
      <w:pPr>
        <w:pStyle w:val="IndexBodyL2"/>
      </w:pPr>
      <w:proofErr w:type="gramStart"/>
      <w:r>
        <w:t>expenditure</w:t>
      </w:r>
      <w:proofErr w:type="gramEnd"/>
      <w:r>
        <w:t>, 50</w:t>
      </w:r>
    </w:p>
    <w:p w:rsidR="00260042" w:rsidRDefault="00260042" w:rsidP="00260042">
      <w:pPr>
        <w:pStyle w:val="IndexBodyL2"/>
      </w:pPr>
      <w:r>
        <w:t>Indigenous peoples’ access to, 51</w:t>
      </w:r>
    </w:p>
    <w:p w:rsidR="00260042" w:rsidRDefault="00260042" w:rsidP="00260042">
      <w:pPr>
        <w:pStyle w:val="IndexBodyL2"/>
      </w:pPr>
      <w:proofErr w:type="gramStart"/>
      <w:r>
        <w:t>safety</w:t>
      </w:r>
      <w:proofErr w:type="gramEnd"/>
      <w:r>
        <w:t xml:space="preserve"> net, 50</w:t>
      </w:r>
    </w:p>
    <w:p w:rsidR="00260042" w:rsidRDefault="00260042" w:rsidP="00260042">
      <w:pPr>
        <w:pStyle w:val="IndexBodyL2"/>
      </w:pPr>
      <w:proofErr w:type="gramStart"/>
      <w:r>
        <w:t>travelling</w:t>
      </w:r>
      <w:proofErr w:type="gramEnd"/>
      <w:r>
        <w:t xml:space="preserve"> with medicines, 51</w:t>
      </w:r>
    </w:p>
    <w:p w:rsidR="00260042" w:rsidRDefault="00260042" w:rsidP="00260042">
      <w:pPr>
        <w:pStyle w:val="IndexBodyL2"/>
      </w:pPr>
      <w:proofErr w:type="gramStart"/>
      <w:r>
        <w:rPr>
          <w:rStyle w:val="Italic"/>
        </w:rPr>
        <w:t>see</w:t>
      </w:r>
      <w:proofErr w:type="gramEnd"/>
      <w:r>
        <w:rPr>
          <w:rStyle w:val="Italic"/>
        </w:rPr>
        <w:t xml:space="preserve"> also</w:t>
      </w:r>
      <w:r>
        <w:t xml:space="preserve"> medicines</w:t>
      </w:r>
    </w:p>
    <w:p w:rsidR="00260042" w:rsidRDefault="00260042" w:rsidP="00260042">
      <w:pPr>
        <w:pStyle w:val="IndexBodyL1"/>
      </w:pPr>
      <w:r>
        <w:t xml:space="preserve">Pharmaceutical Benefits Scheme — </w:t>
      </w:r>
      <w:proofErr w:type="gramStart"/>
      <w:r>
        <w:t>Taking</w:t>
      </w:r>
      <w:proofErr w:type="gramEnd"/>
      <w:r>
        <w:t xml:space="preserve"> or Sending Medicine Overseas inquiry line, 51</w:t>
      </w:r>
    </w:p>
    <w:p w:rsidR="00260042" w:rsidRDefault="00260042" w:rsidP="00260042">
      <w:pPr>
        <w:pStyle w:val="IndexBodyL1"/>
      </w:pPr>
      <w:proofErr w:type="gramStart"/>
      <w:r>
        <w:t>pharmacist</w:t>
      </w:r>
      <w:proofErr w:type="gramEnd"/>
      <w:r>
        <w:t xml:space="preserve"> satisfaction performance measure, 108, 110</w:t>
      </w:r>
    </w:p>
    <w:p w:rsidR="00260042" w:rsidRDefault="00260042" w:rsidP="00260042">
      <w:pPr>
        <w:pStyle w:val="IndexBodyL1"/>
      </w:pPr>
      <w:proofErr w:type="gramStart"/>
      <w:r>
        <w:t>portfolio</w:t>
      </w:r>
      <w:proofErr w:type="gramEnd"/>
      <w:r>
        <w:t>, 3</w:t>
      </w:r>
    </w:p>
    <w:p w:rsidR="00260042" w:rsidRDefault="00260042" w:rsidP="00260042">
      <w:pPr>
        <w:pStyle w:val="IndexBodyL1"/>
      </w:pPr>
      <w:r>
        <w:t>Portfolio Budget Statements 2020–21, vii, 89</w:t>
      </w:r>
    </w:p>
    <w:p w:rsidR="00260042" w:rsidRDefault="00260042" w:rsidP="00260042">
      <w:pPr>
        <w:pStyle w:val="IndexBodyL1"/>
      </w:pPr>
      <w:r>
        <w:t>Practice Incentives Program, 55–6</w:t>
      </w:r>
    </w:p>
    <w:p w:rsidR="00260042" w:rsidRDefault="00260042" w:rsidP="00260042">
      <w:pPr>
        <w:pStyle w:val="IndexBodyL1"/>
      </w:pPr>
      <w:r>
        <w:t>Premium Support Scheme, 58–9</w:t>
      </w:r>
    </w:p>
    <w:p w:rsidR="00260042" w:rsidRDefault="00260042" w:rsidP="00260042">
      <w:pPr>
        <w:pStyle w:val="IndexBodyL1"/>
      </w:pPr>
      <w:r>
        <w:t>Private Collect for child support payments, 62</w:t>
      </w:r>
    </w:p>
    <w:p w:rsidR="00260042" w:rsidRDefault="00260042" w:rsidP="00260042">
      <w:pPr>
        <w:pStyle w:val="IndexBodyL1"/>
      </w:pPr>
      <w:r>
        <w:t>Private Health Insurance Rebate, 54</w:t>
      </w:r>
    </w:p>
    <w:p w:rsidR="00260042" w:rsidRDefault="00260042" w:rsidP="00260042">
      <w:pPr>
        <w:pStyle w:val="IndexBodyL1"/>
      </w:pPr>
      <w:r>
        <w:t>Process Direct for veteran services, 21</w:t>
      </w:r>
    </w:p>
    <w:p w:rsidR="00260042" w:rsidRDefault="00260042" w:rsidP="00260042">
      <w:pPr>
        <w:pStyle w:val="IndexBodyL1"/>
      </w:pPr>
      <w:proofErr w:type="gramStart"/>
      <w:r>
        <w:t>procurement</w:t>
      </w:r>
      <w:proofErr w:type="gramEnd"/>
      <w:r>
        <w:t xml:space="preserve"> and consultants, 162–64</w:t>
      </w:r>
    </w:p>
    <w:p w:rsidR="00260042" w:rsidRDefault="00260042" w:rsidP="00260042">
      <w:pPr>
        <w:pStyle w:val="IndexBodyL1"/>
      </w:pPr>
      <w:proofErr w:type="gramStart"/>
      <w:r>
        <w:t>programs</w:t>
      </w:r>
      <w:proofErr w:type="gramEnd"/>
      <w:r>
        <w:t>, 89</w:t>
      </w:r>
    </w:p>
    <w:p w:rsidR="00260042" w:rsidRDefault="00260042" w:rsidP="00260042">
      <w:pPr>
        <w:pStyle w:val="IndexBodyL1"/>
      </w:pPr>
      <w:r>
        <w:rPr>
          <w:rStyle w:val="Italic"/>
        </w:rPr>
        <w:t>Public Governance, Performance and Accountability Act 2013</w:t>
      </w:r>
      <w:r>
        <w:t>, 14</w:t>
      </w:r>
    </w:p>
    <w:p w:rsidR="00260042" w:rsidRDefault="00260042" w:rsidP="00260042">
      <w:pPr>
        <w:pStyle w:val="IndexBodyL1"/>
      </w:pPr>
      <w:r>
        <w:t>Public Sector Management Program, 177</w:t>
      </w:r>
    </w:p>
    <w:p w:rsidR="00260042" w:rsidRDefault="00260042" w:rsidP="00260042">
      <w:pPr>
        <w:pStyle w:val="IndexBodyL1"/>
      </w:pPr>
      <w:proofErr w:type="gramStart"/>
      <w:r>
        <w:t>public</w:t>
      </w:r>
      <w:proofErr w:type="gramEnd"/>
      <w:r>
        <w:t xml:space="preserve"> tip-offs, 152</w:t>
      </w:r>
    </w:p>
    <w:p w:rsidR="00260042" w:rsidRDefault="00260042" w:rsidP="00260042">
      <w:pPr>
        <w:pStyle w:val="IndexBodyL1"/>
      </w:pPr>
      <w:proofErr w:type="gramStart"/>
      <w:r>
        <w:t>purpose</w:t>
      </w:r>
      <w:proofErr w:type="gramEnd"/>
      <w:r>
        <w:t>, 2, 89</w:t>
      </w:r>
    </w:p>
    <w:p w:rsidR="00260042" w:rsidRDefault="00260042" w:rsidP="00260042">
      <w:pPr>
        <w:pStyle w:val="IndexHeading"/>
      </w:pPr>
      <w:r>
        <w:t>R</w:t>
      </w:r>
    </w:p>
    <w:p w:rsidR="00260042" w:rsidRDefault="00260042" w:rsidP="00260042">
      <w:pPr>
        <w:pStyle w:val="IndexBodyL1"/>
      </w:pPr>
      <w:proofErr w:type="gramStart"/>
      <w:r>
        <w:t>random</w:t>
      </w:r>
      <w:proofErr w:type="gramEnd"/>
      <w:r>
        <w:t xml:space="preserve"> sample surveys, 153</w:t>
      </w:r>
    </w:p>
    <w:p w:rsidR="00260042" w:rsidRDefault="00260042" w:rsidP="00260042">
      <w:pPr>
        <w:pStyle w:val="IndexBodyL1"/>
      </w:pPr>
      <w:r>
        <w:t>Reconciliation Action Plan, 170</w:t>
      </w:r>
    </w:p>
    <w:p w:rsidR="00260042" w:rsidRDefault="00260042" w:rsidP="00260042">
      <w:pPr>
        <w:pStyle w:val="IndexBodyL1"/>
      </w:pPr>
      <w:proofErr w:type="gramStart"/>
      <w:r>
        <w:t>recycling</w:t>
      </w:r>
      <w:proofErr w:type="gramEnd"/>
      <w:r>
        <w:t>, 256</w:t>
      </w:r>
    </w:p>
    <w:p w:rsidR="00260042" w:rsidRDefault="00260042" w:rsidP="00260042">
      <w:pPr>
        <w:pStyle w:val="IndexBodyL1"/>
      </w:pPr>
      <w:proofErr w:type="gramStart"/>
      <w:r>
        <w:t>refugees</w:t>
      </w:r>
      <w:proofErr w:type="gramEnd"/>
      <w:r>
        <w:t xml:space="preserve"> and humanitarian entrants, 76</w:t>
      </w:r>
    </w:p>
    <w:p w:rsidR="00260042" w:rsidRDefault="00260042" w:rsidP="00260042">
      <w:pPr>
        <w:pStyle w:val="IndexBodyL1"/>
      </w:pPr>
      <w:proofErr w:type="gramStart"/>
      <w:r>
        <w:t>refunds</w:t>
      </w:r>
      <w:proofErr w:type="gramEnd"/>
      <w:r>
        <w:t>, debt, 154</w:t>
      </w:r>
    </w:p>
    <w:p w:rsidR="00260042" w:rsidRDefault="00260042" w:rsidP="00260042">
      <w:pPr>
        <w:pStyle w:val="IndexBodyL1"/>
      </w:pPr>
      <w:proofErr w:type="gramStart"/>
      <w:r>
        <w:t>regional</w:t>
      </w:r>
      <w:proofErr w:type="gramEnd"/>
      <w:r>
        <w:t>, rural and remote communities, 43, 56, 70–2</w:t>
      </w:r>
    </w:p>
    <w:p w:rsidR="00260042" w:rsidRDefault="00260042" w:rsidP="00260042">
      <w:pPr>
        <w:pStyle w:val="IndexBodyL1"/>
      </w:pPr>
      <w:proofErr w:type="gramStart"/>
      <w:r>
        <w:t>relocating</w:t>
      </w:r>
      <w:proofErr w:type="gramEnd"/>
      <w:r>
        <w:t xml:space="preserve"> students, 43</w:t>
      </w:r>
    </w:p>
    <w:p w:rsidR="00260042" w:rsidRDefault="00260042" w:rsidP="00260042">
      <w:pPr>
        <w:pStyle w:val="IndexBodyL1"/>
      </w:pPr>
      <w:proofErr w:type="gramStart"/>
      <w:r>
        <w:t>remote</w:t>
      </w:r>
      <w:proofErr w:type="gramEnd"/>
      <w:r>
        <w:t xml:space="preserve"> servicing teams and </w:t>
      </w:r>
      <w:proofErr w:type="spellStart"/>
      <w:r>
        <w:t>centres</w:t>
      </w:r>
      <w:proofErr w:type="spellEnd"/>
      <w:r>
        <w:t>, 71–2</w:t>
      </w:r>
    </w:p>
    <w:p w:rsidR="00260042" w:rsidRDefault="00260042" w:rsidP="00260042">
      <w:pPr>
        <w:pStyle w:val="IndexBodyL1"/>
      </w:pPr>
      <w:proofErr w:type="gramStart"/>
      <w:r>
        <w:t>remuneration</w:t>
      </w:r>
      <w:proofErr w:type="gramEnd"/>
      <w:r>
        <w:t>, senior executive, 7, 232–35</w:t>
      </w:r>
    </w:p>
    <w:p w:rsidR="00260042" w:rsidRDefault="00260042" w:rsidP="00260042">
      <w:pPr>
        <w:pStyle w:val="IndexBodyL1"/>
      </w:pPr>
      <w:r>
        <w:t>Rent Deduction Scheme, 78</w:t>
      </w:r>
    </w:p>
    <w:p w:rsidR="00260042" w:rsidRDefault="00260042" w:rsidP="00260042">
      <w:pPr>
        <w:pStyle w:val="IndexBodyL1"/>
      </w:pPr>
      <w:r>
        <w:t>Repatriation Pharmaceutical Benefits Scheme, 49–50</w:t>
      </w:r>
    </w:p>
    <w:p w:rsidR="00260042" w:rsidRDefault="00260042" w:rsidP="00260042">
      <w:pPr>
        <w:pStyle w:val="IndexBodyL1"/>
      </w:pPr>
      <w:proofErr w:type="gramStart"/>
      <w:r>
        <w:t>reporting</w:t>
      </w:r>
      <w:proofErr w:type="gramEnd"/>
      <w:r>
        <w:t xml:space="preserve"> framework, 89</w:t>
      </w:r>
    </w:p>
    <w:p w:rsidR="00260042" w:rsidRDefault="00260042" w:rsidP="00260042">
      <w:pPr>
        <w:pStyle w:val="IndexBodyL1"/>
      </w:pPr>
      <w:proofErr w:type="gramStart"/>
      <w:r>
        <w:t>residential</w:t>
      </w:r>
      <w:proofErr w:type="gramEnd"/>
      <w:r>
        <w:t xml:space="preserve"> aged care </w:t>
      </w:r>
      <w:r>
        <w:rPr>
          <w:rStyle w:val="Italic"/>
        </w:rPr>
        <w:t>see</w:t>
      </w:r>
      <w:r>
        <w:t xml:space="preserve"> aged care programs</w:t>
      </w:r>
    </w:p>
    <w:p w:rsidR="00260042" w:rsidRDefault="00260042" w:rsidP="00260042">
      <w:pPr>
        <w:pStyle w:val="IndexBodyL1"/>
      </w:pPr>
      <w:proofErr w:type="gramStart"/>
      <w:r>
        <w:t>resources</w:t>
      </w:r>
      <w:proofErr w:type="gramEnd"/>
      <w:r>
        <w:t xml:space="preserve"> use, 255</w:t>
      </w:r>
    </w:p>
    <w:p w:rsidR="00260042" w:rsidRDefault="00260042" w:rsidP="00260042">
      <w:pPr>
        <w:pStyle w:val="IndexBodyL1"/>
      </w:pPr>
      <w:r>
        <w:t>Reynolds, Senator the Hon Linda, 2</w:t>
      </w:r>
    </w:p>
    <w:p w:rsidR="00260042" w:rsidRDefault="00260042" w:rsidP="00260042">
      <w:pPr>
        <w:pStyle w:val="IndexBodyL1"/>
      </w:pPr>
      <w:r>
        <w:t>Risk Identification and Referral Model for family and domestic violence, 66</w:t>
      </w:r>
    </w:p>
    <w:p w:rsidR="00260042" w:rsidRDefault="00260042" w:rsidP="00260042">
      <w:pPr>
        <w:pStyle w:val="IndexBodyL1"/>
      </w:pPr>
      <w:proofErr w:type="gramStart"/>
      <w:r>
        <w:t>risk</w:t>
      </w:r>
      <w:proofErr w:type="gramEnd"/>
      <w:r>
        <w:t xml:space="preserve"> management, 142</w:t>
      </w:r>
    </w:p>
    <w:p w:rsidR="00260042" w:rsidRDefault="00260042" w:rsidP="00260042">
      <w:pPr>
        <w:pStyle w:val="IndexBodyL1"/>
      </w:pPr>
      <w:r>
        <w:t>Robert, the Hon Stuart MP, 2</w:t>
      </w:r>
    </w:p>
    <w:p w:rsidR="00260042" w:rsidRDefault="00260042" w:rsidP="00260042">
      <w:pPr>
        <w:pStyle w:val="IndexBodyL1"/>
      </w:pPr>
      <w:proofErr w:type="gramStart"/>
      <w:r>
        <w:t>role</w:t>
      </w:r>
      <w:proofErr w:type="gramEnd"/>
      <w:r>
        <w:t xml:space="preserve"> and functions, 1, 3, 260</w:t>
      </w:r>
    </w:p>
    <w:p w:rsidR="00260042" w:rsidRDefault="00260042" w:rsidP="00260042">
      <w:pPr>
        <w:pStyle w:val="IndexBodyL1"/>
      </w:pPr>
      <w:r>
        <w:t>Run-off Cover Indemnity Scheme for Medical Practitioners, 59</w:t>
      </w:r>
    </w:p>
    <w:p w:rsidR="00260042" w:rsidRDefault="00260042" w:rsidP="00260042">
      <w:pPr>
        <w:pStyle w:val="IndexHeading"/>
      </w:pPr>
      <w:r>
        <w:t>S</w:t>
      </w:r>
    </w:p>
    <w:p w:rsidR="00260042" w:rsidRDefault="00260042" w:rsidP="00260042">
      <w:pPr>
        <w:pStyle w:val="IndexBodyL1"/>
      </w:pPr>
      <w:proofErr w:type="gramStart"/>
      <w:r>
        <w:lastRenderedPageBreak/>
        <w:t>salary</w:t>
      </w:r>
      <w:proofErr w:type="gramEnd"/>
      <w:r>
        <w:t xml:space="preserve"> ranges, 7, 251</w:t>
      </w:r>
    </w:p>
    <w:p w:rsidR="00260042" w:rsidRDefault="00260042" w:rsidP="00260042">
      <w:pPr>
        <w:pStyle w:val="IndexBodyL1"/>
      </w:pPr>
      <w:r>
        <w:t>Satisfaction and Experience Survey, 95, 112, 127, 137–38</w:t>
      </w:r>
    </w:p>
    <w:p w:rsidR="00260042" w:rsidRDefault="00260042" w:rsidP="00260042">
      <w:pPr>
        <w:pStyle w:val="IndexBodyL1"/>
      </w:pPr>
      <w:r>
        <w:t>Satisfaction Research Program, 126, 137, 166</w:t>
      </w:r>
    </w:p>
    <w:p w:rsidR="00260042" w:rsidRDefault="00260042" w:rsidP="00260042">
      <w:pPr>
        <w:pStyle w:val="IndexBodyL1"/>
      </w:pPr>
      <w:proofErr w:type="gramStart"/>
      <w:r>
        <w:t>Scams</w:t>
      </w:r>
      <w:proofErr w:type="gramEnd"/>
      <w:r>
        <w:t xml:space="preserve"> and Identity Theft Helpdesk, 152</w:t>
      </w:r>
    </w:p>
    <w:p w:rsidR="00260042" w:rsidRDefault="00260042" w:rsidP="00260042">
      <w:pPr>
        <w:pStyle w:val="IndexBodyL1"/>
      </w:pPr>
      <w:proofErr w:type="gramStart"/>
      <w:r>
        <w:rPr>
          <w:spacing w:val="-2"/>
        </w:rPr>
        <w:t>seasonal</w:t>
      </w:r>
      <w:proofErr w:type="gramEnd"/>
      <w:r>
        <w:rPr>
          <w:spacing w:val="-2"/>
        </w:rPr>
        <w:t xml:space="preserve"> agricultural work incentives, 43</w:t>
      </w:r>
    </w:p>
    <w:p w:rsidR="00260042" w:rsidRDefault="00260042" w:rsidP="00260042">
      <w:pPr>
        <w:pStyle w:val="IndexBodyL1"/>
      </w:pPr>
      <w:proofErr w:type="gramStart"/>
      <w:r>
        <w:t>self-service</w:t>
      </w:r>
      <w:proofErr w:type="gramEnd"/>
      <w:r>
        <w:t xml:space="preserve"> digital transactions, 90</w:t>
      </w:r>
    </w:p>
    <w:p w:rsidR="00260042" w:rsidRDefault="00260042" w:rsidP="00260042">
      <w:pPr>
        <w:pStyle w:val="IndexBodyL1"/>
      </w:pPr>
      <w:proofErr w:type="gramStart"/>
      <w:r>
        <w:t>senior</w:t>
      </w:r>
      <w:proofErr w:type="gramEnd"/>
      <w:r>
        <w:t xml:space="preserve"> executives, remuneration, 7</w:t>
      </w:r>
    </w:p>
    <w:p w:rsidR="00260042" w:rsidRDefault="00260042" w:rsidP="00260042">
      <w:pPr>
        <w:pStyle w:val="IndexBodyL1"/>
      </w:pPr>
      <w:r>
        <w:t>Seniors Health Card, 37</w:t>
      </w:r>
    </w:p>
    <w:p w:rsidR="00260042" w:rsidRDefault="00260042" w:rsidP="00260042">
      <w:pPr>
        <w:pStyle w:val="IndexBodyL1"/>
      </w:pPr>
      <w:proofErr w:type="gramStart"/>
      <w:r>
        <w:rPr>
          <w:spacing w:val="-2"/>
        </w:rPr>
        <w:t>service</w:t>
      </w:r>
      <w:proofErr w:type="gramEnd"/>
      <w:r>
        <w:rPr>
          <w:spacing w:val="-2"/>
        </w:rPr>
        <w:t xml:space="preserve"> </w:t>
      </w:r>
      <w:proofErr w:type="spellStart"/>
      <w:r>
        <w:rPr>
          <w:spacing w:val="-2"/>
        </w:rPr>
        <w:t>centres</w:t>
      </w:r>
      <w:proofErr w:type="spellEnd"/>
      <w:r>
        <w:rPr>
          <w:spacing w:val="-2"/>
        </w:rPr>
        <w:t>, xi, xiv, 13–14, 20, 30–31, 34, 68–71, 75</w:t>
      </w:r>
    </w:p>
    <w:p w:rsidR="00260042" w:rsidRDefault="00260042" w:rsidP="00260042">
      <w:pPr>
        <w:pStyle w:val="IndexBodyL1"/>
      </w:pPr>
      <w:proofErr w:type="gramStart"/>
      <w:r>
        <w:t>mobile</w:t>
      </w:r>
      <w:proofErr w:type="gramEnd"/>
      <w:r>
        <w:t>, x, 20, 70, 75</w:t>
      </w:r>
    </w:p>
    <w:p w:rsidR="00260042" w:rsidRDefault="00260042" w:rsidP="00260042">
      <w:pPr>
        <w:pStyle w:val="IndexBodyL1"/>
      </w:pPr>
      <w:proofErr w:type="gramStart"/>
      <w:r>
        <w:t>remote</w:t>
      </w:r>
      <w:proofErr w:type="gramEnd"/>
      <w:r>
        <w:t>, 71</w:t>
      </w:r>
    </w:p>
    <w:p w:rsidR="00260042" w:rsidRDefault="00260042" w:rsidP="00260042">
      <w:pPr>
        <w:pStyle w:val="IndexBodyL1"/>
      </w:pPr>
      <w:proofErr w:type="gramStart"/>
      <w:r>
        <w:t>service</w:t>
      </w:r>
      <w:proofErr w:type="gramEnd"/>
      <w:r>
        <w:t xml:space="preserve"> commitments, agency, 136</w:t>
      </w:r>
    </w:p>
    <w:p w:rsidR="00260042" w:rsidRDefault="00260042" w:rsidP="00260042">
      <w:pPr>
        <w:pStyle w:val="IndexBodyL1"/>
      </w:pPr>
      <w:proofErr w:type="gramStart"/>
      <w:r>
        <w:t>service</w:t>
      </w:r>
      <w:proofErr w:type="gramEnd"/>
      <w:r>
        <w:t xml:space="preserve"> delivery,</w:t>
      </w:r>
    </w:p>
    <w:p w:rsidR="00260042" w:rsidRDefault="00260042" w:rsidP="00260042">
      <w:pPr>
        <w:pStyle w:val="IndexBodyL2"/>
      </w:pPr>
      <w:proofErr w:type="gramStart"/>
      <w:r>
        <w:t>transformation</w:t>
      </w:r>
      <w:proofErr w:type="gramEnd"/>
      <w:r>
        <w:t xml:space="preserve"> 13</w:t>
      </w:r>
    </w:p>
    <w:p w:rsidR="00260042" w:rsidRDefault="00260042" w:rsidP="00260042">
      <w:pPr>
        <w:pStyle w:val="IndexBodyL2"/>
      </w:pPr>
      <w:proofErr w:type="spellStart"/>
      <w:proofErr w:type="gramStart"/>
      <w:r>
        <w:t>modernisation</w:t>
      </w:r>
      <w:proofErr w:type="spellEnd"/>
      <w:proofErr w:type="gramEnd"/>
      <w:r>
        <w:t>, vii, 9–22, 91, 95, 100</w:t>
      </w:r>
    </w:p>
    <w:p w:rsidR="00260042" w:rsidRDefault="00260042" w:rsidP="00260042">
      <w:pPr>
        <w:pStyle w:val="IndexBodyL2"/>
      </w:pPr>
      <w:proofErr w:type="gramStart"/>
      <w:r>
        <w:rPr>
          <w:rStyle w:val="Italic"/>
        </w:rPr>
        <w:t>see</w:t>
      </w:r>
      <w:proofErr w:type="gramEnd"/>
      <w:r>
        <w:rPr>
          <w:rStyle w:val="Italic"/>
        </w:rPr>
        <w:t xml:space="preserve"> also</w:t>
      </w:r>
      <w:r>
        <w:t xml:space="preserve"> service improvements; Welfare Payment Infrastructure Transformation </w:t>
      </w:r>
      <w:proofErr w:type="spellStart"/>
      <w:r>
        <w:t>Programme</w:t>
      </w:r>
      <w:proofErr w:type="spellEnd"/>
    </w:p>
    <w:p w:rsidR="00260042" w:rsidRDefault="00260042" w:rsidP="00260042">
      <w:pPr>
        <w:pStyle w:val="IndexBodyL1"/>
      </w:pPr>
      <w:r>
        <w:t>Service Delivery Workforce Model, xi</w:t>
      </w:r>
    </w:p>
    <w:p w:rsidR="00260042" w:rsidRDefault="00260042" w:rsidP="00260042">
      <w:pPr>
        <w:pStyle w:val="IndexBodyL1"/>
      </w:pPr>
      <w:proofErr w:type="gramStart"/>
      <w:r>
        <w:t>service</w:t>
      </w:r>
      <w:proofErr w:type="gramEnd"/>
      <w:r>
        <w:t xml:space="preserve"> improvements, xi,  68, 173 </w:t>
      </w:r>
      <w:r>
        <w:rPr>
          <w:rStyle w:val="Italic"/>
        </w:rPr>
        <w:t>see also</w:t>
      </w:r>
      <w:r>
        <w:t xml:space="preserve"> service delivery transformation and </w:t>
      </w:r>
      <w:proofErr w:type="spellStart"/>
      <w:r>
        <w:t>modernisation</w:t>
      </w:r>
      <w:proofErr w:type="spellEnd"/>
      <w:r>
        <w:t xml:space="preserve">; Welfare Payment Infrastructure Transformation </w:t>
      </w:r>
      <w:proofErr w:type="spellStart"/>
      <w:r>
        <w:t>Programme</w:t>
      </w:r>
      <w:proofErr w:type="spellEnd"/>
    </w:p>
    <w:p w:rsidR="00260042" w:rsidRDefault="00260042" w:rsidP="00260042">
      <w:pPr>
        <w:pStyle w:val="IndexBodyL1"/>
      </w:pPr>
      <w:proofErr w:type="gramStart"/>
      <w:r>
        <w:t>shared</w:t>
      </w:r>
      <w:proofErr w:type="gramEnd"/>
      <w:r>
        <w:t xml:space="preserve"> services, vii, 6, 83–86, 181, 184, 206</w:t>
      </w:r>
    </w:p>
    <w:p w:rsidR="00260042" w:rsidRDefault="00260042" w:rsidP="00260042">
      <w:pPr>
        <w:pStyle w:val="IndexBodyL1"/>
      </w:pPr>
      <w:proofErr w:type="gramStart"/>
      <w:r>
        <w:t>significant</w:t>
      </w:r>
      <w:proofErr w:type="gramEnd"/>
      <w:r>
        <w:t xml:space="preserve"> non-compliance with finance law, 185</w:t>
      </w:r>
    </w:p>
    <w:p w:rsidR="00260042" w:rsidRDefault="00260042" w:rsidP="00260042">
      <w:pPr>
        <w:pStyle w:val="IndexBodyL1"/>
      </w:pPr>
      <w:r>
        <w:t xml:space="preserve">Single Touch Payroll, xi, 17, 61, </w:t>
      </w:r>
      <w:proofErr w:type="gramStart"/>
      <w:r>
        <w:t>277</w:t>
      </w:r>
      <w:proofErr w:type="gramEnd"/>
    </w:p>
    <w:p w:rsidR="00260042" w:rsidRDefault="00260042" w:rsidP="00260042">
      <w:pPr>
        <w:pStyle w:val="IndexBodyL1"/>
      </w:pPr>
      <w:r>
        <w:rPr>
          <w:spacing w:val="-4"/>
        </w:rPr>
        <w:t>Skinner, Rebecca (Chief Executive Officer)</w:t>
      </w:r>
      <w:r>
        <w:t xml:space="preserve">, </w:t>
      </w:r>
      <w:proofErr w:type="gramStart"/>
      <w:r>
        <w:t>vi</w:t>
      </w:r>
      <w:proofErr w:type="gramEnd"/>
      <w:r>
        <w:t>, xii, 4, 88, 174, 192, 232, 237</w:t>
      </w:r>
    </w:p>
    <w:p w:rsidR="00260042" w:rsidRDefault="00260042" w:rsidP="00260042">
      <w:pPr>
        <w:pStyle w:val="IndexBodyL1"/>
      </w:pPr>
      <w:proofErr w:type="gramStart"/>
      <w:r>
        <w:t>small</w:t>
      </w:r>
      <w:proofErr w:type="gramEnd"/>
      <w:r>
        <w:t xml:space="preserve"> business, 164, 269–70</w:t>
      </w:r>
    </w:p>
    <w:p w:rsidR="00260042" w:rsidRDefault="00260042" w:rsidP="00260042">
      <w:pPr>
        <w:pStyle w:val="IndexBodyL1"/>
      </w:pPr>
      <w:proofErr w:type="gramStart"/>
      <w:r>
        <w:t>smart</w:t>
      </w:r>
      <w:proofErr w:type="gramEnd"/>
      <w:r>
        <w:t xml:space="preserve"> </w:t>
      </w:r>
      <w:proofErr w:type="spellStart"/>
      <w:r>
        <w:t>centres</w:t>
      </w:r>
      <w:proofErr w:type="spellEnd"/>
      <w:r>
        <w:t>, 5, 15, 75</w:t>
      </w:r>
    </w:p>
    <w:p w:rsidR="00260042" w:rsidRDefault="00260042" w:rsidP="00260042">
      <w:pPr>
        <w:pStyle w:val="IndexBodyL1"/>
      </w:pPr>
      <w:proofErr w:type="gramStart"/>
      <w:r>
        <w:t>social</w:t>
      </w:r>
      <w:proofErr w:type="gramEnd"/>
      <w:r>
        <w:t xml:space="preserve"> security and welfare, vii, xi, 6, 12, </w:t>
      </w:r>
      <w:r>
        <w:rPr>
          <w:spacing w:val="-4"/>
        </w:rPr>
        <w:t>36–37, 89–93, 105, 129, 133, 229, 277</w:t>
      </w:r>
    </w:p>
    <w:p w:rsidR="00260042" w:rsidRDefault="00260042" w:rsidP="00260042">
      <w:pPr>
        <w:pStyle w:val="IndexBodyL2"/>
      </w:pPr>
      <w:proofErr w:type="gramStart"/>
      <w:r>
        <w:t>claims</w:t>
      </w:r>
      <w:proofErr w:type="gramEnd"/>
      <w:r>
        <w:t xml:space="preserve"> </w:t>
      </w:r>
      <w:proofErr w:type="spellStart"/>
      <w:r>
        <w:t>finalised</w:t>
      </w:r>
      <w:proofErr w:type="spellEnd"/>
      <w:r>
        <w:t>, 2020–21, 36–7, 272</w:t>
      </w:r>
    </w:p>
    <w:p w:rsidR="00260042" w:rsidRDefault="00260042" w:rsidP="00260042">
      <w:pPr>
        <w:pStyle w:val="IndexBodyL2"/>
      </w:pPr>
      <w:proofErr w:type="gramStart"/>
      <w:r>
        <w:t>fraud</w:t>
      </w:r>
      <w:proofErr w:type="gramEnd"/>
      <w:r>
        <w:t xml:space="preserve"> control and compliance, viii, 149</w:t>
      </w:r>
    </w:p>
    <w:p w:rsidR="00260042" w:rsidRDefault="00260042" w:rsidP="00260042">
      <w:pPr>
        <w:pStyle w:val="IndexBodyL2"/>
      </w:pPr>
      <w:proofErr w:type="gramStart"/>
      <w:r>
        <w:t>performance</w:t>
      </w:r>
      <w:proofErr w:type="gramEnd"/>
      <w:r>
        <w:t xml:space="preserve"> measure summary of results, 91, 93</w:t>
      </w:r>
    </w:p>
    <w:p w:rsidR="00260042" w:rsidRDefault="00260042" w:rsidP="00260042">
      <w:pPr>
        <w:pStyle w:val="IndexBodyL2"/>
      </w:pPr>
      <w:proofErr w:type="gramStart"/>
      <w:r>
        <w:rPr>
          <w:rStyle w:val="Italic"/>
        </w:rPr>
        <w:t>see</w:t>
      </w:r>
      <w:proofErr w:type="gramEnd"/>
      <w:r>
        <w:rPr>
          <w:rStyle w:val="Italic"/>
        </w:rPr>
        <w:t xml:space="preserve"> also</w:t>
      </w:r>
      <w:r>
        <w:t xml:space="preserve"> claims processing service level standards; customer satisfaction; payment </w:t>
      </w:r>
    </w:p>
    <w:p w:rsidR="00260042" w:rsidRDefault="00260042" w:rsidP="00260042">
      <w:pPr>
        <w:pStyle w:val="IndexBodyL1"/>
      </w:pPr>
      <w:r>
        <w:t>Social Security Income Assessment Model, 19</w:t>
      </w:r>
    </w:p>
    <w:p w:rsidR="00260042" w:rsidRDefault="00260042" w:rsidP="00260042">
      <w:pPr>
        <w:pStyle w:val="IndexBodyL1"/>
      </w:pPr>
      <w:proofErr w:type="gramStart"/>
      <w:r>
        <w:t>social</w:t>
      </w:r>
      <w:proofErr w:type="gramEnd"/>
      <w:r>
        <w:t xml:space="preserve"> work services, 30–31, 66, 75</w:t>
      </w:r>
    </w:p>
    <w:p w:rsidR="00260042" w:rsidRDefault="00260042" w:rsidP="00260042">
      <w:pPr>
        <w:pStyle w:val="IndexBodyL1"/>
      </w:pPr>
      <w:r>
        <w:t>Special Benefit, 37, 81</w:t>
      </w:r>
    </w:p>
    <w:p w:rsidR="00260042" w:rsidRDefault="00260042" w:rsidP="00260042">
      <w:pPr>
        <w:pStyle w:val="IndexBodyL1"/>
      </w:pPr>
      <w:proofErr w:type="gramStart"/>
      <w:r>
        <w:t>speech</w:t>
      </w:r>
      <w:proofErr w:type="gramEnd"/>
      <w:r>
        <w:t xml:space="preserve"> analytics, 16</w:t>
      </w:r>
    </w:p>
    <w:p w:rsidR="00260042" w:rsidRDefault="00260042" w:rsidP="00260042">
      <w:pPr>
        <w:pStyle w:val="IndexBodyL1"/>
      </w:pPr>
      <w:proofErr w:type="gramStart"/>
      <w:r>
        <w:t>staff</w:t>
      </w:r>
      <w:proofErr w:type="gramEnd"/>
      <w:r>
        <w:t>, x-xii, xiv, 169–81</w:t>
      </w:r>
    </w:p>
    <w:p w:rsidR="00260042" w:rsidRDefault="00260042" w:rsidP="00260042">
      <w:pPr>
        <w:pStyle w:val="IndexBodyL2"/>
      </w:pPr>
      <w:r>
        <w:t>Aboriginal and Torres Strait Islander, 72, 170–79</w:t>
      </w:r>
    </w:p>
    <w:p w:rsidR="00260042" w:rsidRDefault="00260042" w:rsidP="00260042">
      <w:pPr>
        <w:pStyle w:val="IndexBodyL2"/>
      </w:pPr>
      <w:proofErr w:type="gramStart"/>
      <w:r>
        <w:t>bilingual</w:t>
      </w:r>
      <w:proofErr w:type="gramEnd"/>
      <w:r>
        <w:t>, 75</w:t>
      </w:r>
    </w:p>
    <w:p w:rsidR="00260042" w:rsidRDefault="00260042" w:rsidP="00260042">
      <w:pPr>
        <w:pStyle w:val="IndexBodyL2"/>
      </w:pPr>
      <w:proofErr w:type="gramStart"/>
      <w:r>
        <w:t>diversity</w:t>
      </w:r>
      <w:proofErr w:type="gramEnd"/>
      <w:r>
        <w:t xml:space="preserve"> and inclusion, 171, 180</w:t>
      </w:r>
    </w:p>
    <w:p w:rsidR="00260042" w:rsidRDefault="00260042" w:rsidP="00260042">
      <w:pPr>
        <w:pStyle w:val="IndexBodyL2"/>
      </w:pPr>
      <w:proofErr w:type="gramStart"/>
      <w:r>
        <w:t>employment</w:t>
      </w:r>
      <w:proofErr w:type="gramEnd"/>
      <w:r>
        <w:t xml:space="preserve"> arrangements, 171, 175, 250</w:t>
      </w:r>
    </w:p>
    <w:p w:rsidR="00260042" w:rsidRDefault="00260042" w:rsidP="00260042">
      <w:pPr>
        <w:pStyle w:val="IndexBodyL2"/>
      </w:pPr>
      <w:proofErr w:type="gramStart"/>
      <w:r>
        <w:t>health</w:t>
      </w:r>
      <w:proofErr w:type="gramEnd"/>
      <w:r>
        <w:t xml:space="preserve"> and wellbeing, 167, 170</w:t>
      </w:r>
    </w:p>
    <w:p w:rsidR="00260042" w:rsidRDefault="00260042" w:rsidP="00260042">
      <w:pPr>
        <w:pStyle w:val="IndexBodyL2"/>
      </w:pPr>
      <w:proofErr w:type="gramStart"/>
      <w:r>
        <w:t>learning</w:t>
      </w:r>
      <w:proofErr w:type="gramEnd"/>
      <w:r>
        <w:t xml:space="preserve"> and development, 27, 67, 68, 174–5</w:t>
      </w:r>
    </w:p>
    <w:p w:rsidR="00260042" w:rsidRDefault="00260042" w:rsidP="00260042">
      <w:pPr>
        <w:pStyle w:val="IndexBodyL2"/>
      </w:pPr>
      <w:proofErr w:type="gramStart"/>
      <w:r>
        <w:t>performance</w:t>
      </w:r>
      <w:proofErr w:type="gramEnd"/>
      <w:r>
        <w:t xml:space="preserve"> management, 171–2</w:t>
      </w:r>
    </w:p>
    <w:p w:rsidR="00260042" w:rsidRDefault="00260042" w:rsidP="00260042">
      <w:pPr>
        <w:pStyle w:val="IndexBodyL2"/>
      </w:pPr>
      <w:proofErr w:type="gramStart"/>
      <w:r>
        <w:t>recruitment</w:t>
      </w:r>
      <w:proofErr w:type="gramEnd"/>
      <w:r>
        <w:t xml:space="preserve"> and deployment, xi, 176–7</w:t>
      </w:r>
    </w:p>
    <w:p w:rsidR="00260042" w:rsidRDefault="00260042" w:rsidP="00260042">
      <w:pPr>
        <w:pStyle w:val="IndexBodyL2"/>
      </w:pPr>
      <w:proofErr w:type="gramStart"/>
      <w:r>
        <w:t>salary</w:t>
      </w:r>
      <w:proofErr w:type="gramEnd"/>
      <w:r>
        <w:t xml:space="preserve"> ranges, 7, 249</w:t>
      </w:r>
    </w:p>
    <w:p w:rsidR="00260042" w:rsidRDefault="00260042" w:rsidP="00260042">
      <w:pPr>
        <w:pStyle w:val="IndexBodyL2"/>
      </w:pPr>
      <w:proofErr w:type="gramStart"/>
      <w:r>
        <w:t>statistics</w:t>
      </w:r>
      <w:proofErr w:type="gramEnd"/>
      <w:r>
        <w:t>, 232–51</w:t>
      </w:r>
    </w:p>
    <w:p w:rsidR="00260042" w:rsidRDefault="00260042" w:rsidP="00260042">
      <w:pPr>
        <w:pStyle w:val="IndexBodyL2"/>
      </w:pPr>
      <w:proofErr w:type="gramStart"/>
      <w:r>
        <w:t>working</w:t>
      </w:r>
      <w:proofErr w:type="gramEnd"/>
      <w:r>
        <w:t xml:space="preserve"> from home, 67, 171</w:t>
      </w:r>
    </w:p>
    <w:p w:rsidR="00260042" w:rsidRDefault="00260042" w:rsidP="00260042">
      <w:pPr>
        <w:pStyle w:val="IndexBodyL1"/>
      </w:pPr>
      <w:proofErr w:type="gramStart"/>
      <w:r>
        <w:t>state</w:t>
      </w:r>
      <w:proofErr w:type="gramEnd"/>
      <w:r>
        <w:t xml:space="preserve"> and territory governments, partnerships with, 85</w:t>
      </w:r>
    </w:p>
    <w:p w:rsidR="00260042" w:rsidRDefault="00260042" w:rsidP="00260042">
      <w:pPr>
        <w:pStyle w:val="IndexBodyL1"/>
      </w:pPr>
      <w:r>
        <w:t>Status Resolution Support Services Payment, 76</w:t>
      </w:r>
    </w:p>
    <w:p w:rsidR="00260042" w:rsidRDefault="00260042" w:rsidP="00260042">
      <w:pPr>
        <w:pStyle w:val="IndexBodyL1"/>
      </w:pPr>
      <w:r>
        <w:lastRenderedPageBreak/>
        <w:t>Stillborn Baby Payment, 37, 40, 105</w:t>
      </w:r>
    </w:p>
    <w:p w:rsidR="00260042" w:rsidRDefault="00260042" w:rsidP="00260042">
      <w:pPr>
        <w:pStyle w:val="IndexBodyL1"/>
      </w:pPr>
      <w:r>
        <w:t>Strategic Survey, 137, 138</w:t>
      </w:r>
    </w:p>
    <w:p w:rsidR="00260042" w:rsidRDefault="00260042" w:rsidP="00260042">
      <w:pPr>
        <w:pStyle w:val="IndexBodyL1"/>
      </w:pPr>
      <w:r>
        <w:t>Strategic Workforce Plan 2019—23, 172</w:t>
      </w:r>
    </w:p>
    <w:p w:rsidR="00260042" w:rsidRDefault="00260042" w:rsidP="00260042">
      <w:pPr>
        <w:pStyle w:val="IndexBodyL1"/>
      </w:pPr>
      <w:proofErr w:type="gramStart"/>
      <w:r>
        <w:t>students</w:t>
      </w:r>
      <w:proofErr w:type="gramEnd"/>
      <w:r>
        <w:t xml:space="preserve"> and young people, 17, 19, 42–3, 75, 103</w:t>
      </w:r>
    </w:p>
    <w:p w:rsidR="00260042" w:rsidRDefault="00260042" w:rsidP="00260042">
      <w:pPr>
        <w:pStyle w:val="IndexBodyL1"/>
      </w:pPr>
      <w:proofErr w:type="gramStart"/>
      <w:r>
        <w:t>suicide</w:t>
      </w:r>
      <w:proofErr w:type="gramEnd"/>
      <w:r>
        <w:t xml:space="preserve"> and self-harm, 75</w:t>
      </w:r>
    </w:p>
    <w:p w:rsidR="00260042" w:rsidRDefault="00260042" w:rsidP="00260042">
      <w:pPr>
        <w:pStyle w:val="IndexBodyL1"/>
      </w:pPr>
      <w:proofErr w:type="gramStart"/>
      <w:r>
        <w:t>surge</w:t>
      </w:r>
      <w:proofErr w:type="gramEnd"/>
      <w:r>
        <w:t xml:space="preserve"> assistance, 34</w:t>
      </w:r>
    </w:p>
    <w:p w:rsidR="00260042" w:rsidRDefault="00260042" w:rsidP="00260042">
      <w:pPr>
        <w:pStyle w:val="IndexBodyL1"/>
      </w:pPr>
      <w:proofErr w:type="gramStart"/>
      <w:r>
        <w:t>surveys</w:t>
      </w:r>
      <w:proofErr w:type="gramEnd"/>
      <w:r>
        <w:t>, 136–38</w:t>
      </w:r>
    </w:p>
    <w:p w:rsidR="00260042" w:rsidRDefault="00260042" w:rsidP="00260042">
      <w:pPr>
        <w:pStyle w:val="IndexBodyL2"/>
      </w:pPr>
      <w:proofErr w:type="gramStart"/>
      <w:r>
        <w:t>customer</w:t>
      </w:r>
      <w:proofErr w:type="gramEnd"/>
      <w:r>
        <w:t>, xi, 13, 94-96, 111–12, 127, 138,153</w:t>
      </w:r>
    </w:p>
    <w:p w:rsidR="00260042" w:rsidRDefault="00260042" w:rsidP="00260042">
      <w:pPr>
        <w:pStyle w:val="IndexBodyL2"/>
      </w:pPr>
      <w:proofErr w:type="gramStart"/>
      <w:r>
        <w:t>provider</w:t>
      </w:r>
      <w:proofErr w:type="gramEnd"/>
      <w:r>
        <w:t>, 110</w:t>
      </w:r>
    </w:p>
    <w:p w:rsidR="00260042" w:rsidRDefault="00260042" w:rsidP="00260042">
      <w:pPr>
        <w:pStyle w:val="IndexBodyL2"/>
      </w:pPr>
      <w:proofErr w:type="gramStart"/>
      <w:r>
        <w:t>small</w:t>
      </w:r>
      <w:proofErr w:type="gramEnd"/>
      <w:r>
        <w:t xml:space="preserve"> business, 164, 270</w:t>
      </w:r>
    </w:p>
    <w:p w:rsidR="00260042" w:rsidRDefault="00260042" w:rsidP="00260042">
      <w:pPr>
        <w:pStyle w:val="IndexBodyL2"/>
      </w:pPr>
      <w:proofErr w:type="gramStart"/>
      <w:r>
        <w:t>staff</w:t>
      </w:r>
      <w:proofErr w:type="gramEnd"/>
      <w:r>
        <w:t>, 7, 170, 181</w:t>
      </w:r>
    </w:p>
    <w:p w:rsidR="00260042" w:rsidRDefault="00260042" w:rsidP="00260042">
      <w:pPr>
        <w:pStyle w:val="IndexHeading"/>
      </w:pPr>
      <w:r>
        <w:t>T</w:t>
      </w:r>
    </w:p>
    <w:p w:rsidR="00260042" w:rsidRDefault="00260042" w:rsidP="00260042">
      <w:pPr>
        <w:pStyle w:val="IndexBodyL1"/>
      </w:pPr>
      <w:r>
        <w:t>Taskforce Integrity, 151</w:t>
      </w:r>
    </w:p>
    <w:p w:rsidR="00260042" w:rsidRDefault="00260042" w:rsidP="00260042">
      <w:pPr>
        <w:pStyle w:val="IndexBodyL1"/>
      </w:pPr>
      <w:r>
        <w:t xml:space="preserve">Tasmanian transport </w:t>
      </w:r>
      <w:proofErr w:type="spellStart"/>
      <w:r>
        <w:t>equalisation</w:t>
      </w:r>
      <w:proofErr w:type="spellEnd"/>
      <w:r>
        <w:t xml:space="preserve"> schemes, 81</w:t>
      </w:r>
    </w:p>
    <w:p w:rsidR="00260042" w:rsidRDefault="00260042" w:rsidP="00260042">
      <w:pPr>
        <w:pStyle w:val="IndexBodyL1"/>
      </w:pPr>
      <w:r>
        <w:t>Tax Deduction Service, 78</w:t>
      </w:r>
    </w:p>
    <w:p w:rsidR="00260042" w:rsidRDefault="00260042" w:rsidP="00260042">
      <w:pPr>
        <w:pStyle w:val="IndexBodyL1"/>
      </w:pPr>
      <w:proofErr w:type="gramStart"/>
      <w:r>
        <w:t>telehealth</w:t>
      </w:r>
      <w:proofErr w:type="gramEnd"/>
      <w:r>
        <w:t>, 28</w:t>
      </w:r>
    </w:p>
    <w:p w:rsidR="00260042" w:rsidRDefault="00260042" w:rsidP="00260042">
      <w:pPr>
        <w:pStyle w:val="IndexBodyL1"/>
      </w:pPr>
      <w:proofErr w:type="gramStart"/>
      <w:r>
        <w:t>telephony</w:t>
      </w:r>
      <w:proofErr w:type="gramEnd"/>
      <w:r>
        <w:t xml:space="preserve"> services, x, 6, 10, 11, 15, 16, 73, 90, 91, 110, 176, 274</w:t>
      </w:r>
    </w:p>
    <w:p w:rsidR="00260042" w:rsidRDefault="00260042" w:rsidP="00260042">
      <w:pPr>
        <w:pStyle w:val="IndexBodyL2"/>
      </w:pPr>
      <w:r>
        <w:t>Child Support service level standards, 125–27</w:t>
      </w:r>
    </w:p>
    <w:p w:rsidR="00260042" w:rsidRDefault="00260042" w:rsidP="00260042">
      <w:pPr>
        <w:pStyle w:val="IndexBodyL2"/>
      </w:pPr>
      <w:proofErr w:type="gramStart"/>
      <w:r>
        <w:t>health</w:t>
      </w:r>
      <w:proofErr w:type="gramEnd"/>
      <w:r>
        <w:t xml:space="preserve"> service level standards, 108–13, 116–18</w:t>
      </w:r>
    </w:p>
    <w:p w:rsidR="00260042" w:rsidRDefault="00260042" w:rsidP="00260042">
      <w:pPr>
        <w:pStyle w:val="IndexBodyL2"/>
      </w:pPr>
      <w:proofErr w:type="gramStart"/>
      <w:r>
        <w:t>social</w:t>
      </w:r>
      <w:proofErr w:type="gramEnd"/>
      <w:r>
        <w:t xml:space="preserve"> security and welfare service level standards, 92, 94, 100–3, 130</w:t>
      </w:r>
    </w:p>
    <w:p w:rsidR="00260042" w:rsidRDefault="00260042" w:rsidP="00260042">
      <w:pPr>
        <w:pStyle w:val="IndexBodyL1"/>
      </w:pPr>
      <w:proofErr w:type="gramStart"/>
      <w:r>
        <w:rPr>
          <w:spacing w:val="-2"/>
        </w:rPr>
        <w:t>terrorism</w:t>
      </w:r>
      <w:proofErr w:type="gramEnd"/>
      <w:r>
        <w:rPr>
          <w:spacing w:val="-2"/>
        </w:rPr>
        <w:t>, injury as a result of, 30, 33, 220</w:t>
      </w:r>
    </w:p>
    <w:p w:rsidR="00260042" w:rsidRDefault="00260042" w:rsidP="00260042">
      <w:pPr>
        <w:pStyle w:val="IndexBodyL1"/>
      </w:pPr>
      <w:r>
        <w:t>Tertiary Access Payment, 43, 220</w:t>
      </w:r>
    </w:p>
    <w:p w:rsidR="00260042" w:rsidRDefault="00260042" w:rsidP="00260042">
      <w:pPr>
        <w:pStyle w:val="IndexBodyL1"/>
      </w:pPr>
      <w:proofErr w:type="gramStart"/>
      <w:r>
        <w:t>thalidomide</w:t>
      </w:r>
      <w:proofErr w:type="gramEnd"/>
      <w:r>
        <w:t xml:space="preserve"> survivors, 58</w:t>
      </w:r>
    </w:p>
    <w:p w:rsidR="00260042" w:rsidRDefault="00260042" w:rsidP="00260042">
      <w:pPr>
        <w:pStyle w:val="IndexBodyL1"/>
      </w:pPr>
      <w:r>
        <w:t>Transformation and Integration Committee, 143, 144</w:t>
      </w:r>
    </w:p>
    <w:p w:rsidR="00260042" w:rsidRDefault="00260042" w:rsidP="00260042">
      <w:pPr>
        <w:pStyle w:val="IndexBodyL1"/>
      </w:pPr>
      <w:proofErr w:type="gramStart"/>
      <w:r>
        <w:t>transformation</w:t>
      </w:r>
      <w:proofErr w:type="gramEnd"/>
      <w:r>
        <w:t xml:space="preserve"> and </w:t>
      </w:r>
      <w:proofErr w:type="spellStart"/>
      <w:r>
        <w:t>modernisation</w:t>
      </w:r>
      <w:proofErr w:type="spellEnd"/>
      <w:r>
        <w:t xml:space="preserve"> </w:t>
      </w:r>
      <w:r>
        <w:rPr>
          <w:rStyle w:val="Italic"/>
        </w:rPr>
        <w:t>see</w:t>
      </w:r>
      <w:r>
        <w:t xml:space="preserve"> service delivery transformation and </w:t>
      </w:r>
      <w:proofErr w:type="spellStart"/>
      <w:r>
        <w:t>modernisation</w:t>
      </w:r>
      <w:proofErr w:type="spellEnd"/>
      <w:r>
        <w:t xml:space="preserve">; service improvements; Welfare Payment Infrastructure Transformation </w:t>
      </w:r>
      <w:proofErr w:type="spellStart"/>
      <w:r>
        <w:t>Programme</w:t>
      </w:r>
      <w:proofErr w:type="spellEnd"/>
    </w:p>
    <w:p w:rsidR="00260042" w:rsidRDefault="00260042" w:rsidP="00260042">
      <w:pPr>
        <w:pStyle w:val="IndexBodyL1"/>
      </w:pPr>
      <w:r>
        <w:t>Transforming Collection of Student Information system, 42</w:t>
      </w:r>
    </w:p>
    <w:p w:rsidR="00260042" w:rsidRDefault="00260042" w:rsidP="00260042">
      <w:pPr>
        <w:pStyle w:val="IndexBodyL1"/>
      </w:pPr>
      <w:proofErr w:type="gramStart"/>
      <w:r>
        <w:t>translation</w:t>
      </w:r>
      <w:proofErr w:type="gramEnd"/>
      <w:r>
        <w:t xml:space="preserve"> </w:t>
      </w:r>
      <w:r>
        <w:rPr>
          <w:rStyle w:val="Italic"/>
        </w:rPr>
        <w:t>see</w:t>
      </w:r>
      <w:r>
        <w:t xml:space="preserve"> interpreting and translation services</w:t>
      </w:r>
    </w:p>
    <w:p w:rsidR="00260042" w:rsidRDefault="00260042" w:rsidP="00260042">
      <w:pPr>
        <w:pStyle w:val="IndexBodyL1"/>
      </w:pPr>
      <w:proofErr w:type="gramStart"/>
      <w:r>
        <w:t>travel</w:t>
      </w:r>
      <w:proofErr w:type="gramEnd"/>
      <w:r>
        <w:t xml:space="preserve"> agents and tour arrangement service providers, 29</w:t>
      </w:r>
    </w:p>
    <w:p w:rsidR="00260042" w:rsidRDefault="00260042" w:rsidP="00260042">
      <w:pPr>
        <w:pStyle w:val="IndexBodyL1"/>
      </w:pPr>
      <w:r>
        <w:t xml:space="preserve">Tropical Cyclone </w:t>
      </w:r>
      <w:proofErr w:type="spellStart"/>
      <w:r>
        <w:t>Seroja</w:t>
      </w:r>
      <w:proofErr w:type="spellEnd"/>
      <w:r>
        <w:t xml:space="preserve">, 31, 34, 75 </w:t>
      </w:r>
      <w:r>
        <w:rPr>
          <w:rStyle w:val="Italic"/>
        </w:rPr>
        <w:t>see also</w:t>
      </w:r>
      <w:r>
        <w:t xml:space="preserve"> emergency events</w:t>
      </w:r>
    </w:p>
    <w:p w:rsidR="00260042" w:rsidRDefault="00260042" w:rsidP="00260042">
      <w:pPr>
        <w:pStyle w:val="IndexHeading"/>
      </w:pPr>
      <w:r>
        <w:t>V</w:t>
      </w:r>
    </w:p>
    <w:p w:rsidR="00260042" w:rsidRDefault="00260042" w:rsidP="00260042">
      <w:pPr>
        <w:pStyle w:val="IndexBodyL1"/>
      </w:pPr>
      <w:proofErr w:type="gramStart"/>
      <w:r>
        <w:t>vaccination</w:t>
      </w:r>
      <w:proofErr w:type="gramEnd"/>
      <w:r>
        <w:t xml:space="preserve"> hubs, 27 </w:t>
      </w:r>
      <w:r>
        <w:rPr>
          <w:rStyle w:val="Italic"/>
        </w:rPr>
        <w:t>see also</w:t>
      </w:r>
      <w:r>
        <w:t xml:space="preserve"> COVID-19 vaccines</w:t>
      </w:r>
    </w:p>
    <w:p w:rsidR="00260042" w:rsidRDefault="00260042" w:rsidP="00260042">
      <w:pPr>
        <w:pStyle w:val="IndexBodyL1"/>
      </w:pPr>
      <w:proofErr w:type="gramStart"/>
      <w:r>
        <w:t>vaccines</w:t>
      </w:r>
      <w:proofErr w:type="gramEnd"/>
      <w:r>
        <w:t xml:space="preserve"> </w:t>
      </w:r>
      <w:r>
        <w:rPr>
          <w:rStyle w:val="Italic"/>
        </w:rPr>
        <w:t>see</w:t>
      </w:r>
      <w:r>
        <w:t xml:space="preserve"> Australian </w:t>
      </w:r>
      <w:proofErr w:type="spellStart"/>
      <w:r>
        <w:t>Immunisation</w:t>
      </w:r>
      <w:proofErr w:type="spellEnd"/>
      <w:r>
        <w:t xml:space="preserve"> Register; COVID-19 vaccines; vaccination hubs</w:t>
      </w:r>
    </w:p>
    <w:p w:rsidR="00260042" w:rsidRDefault="00260042" w:rsidP="00260042">
      <w:pPr>
        <w:pStyle w:val="IndexBodyL1"/>
      </w:pPr>
      <w:r>
        <w:t>Veteran Centric Reform, 6, 10, 20</w:t>
      </w:r>
    </w:p>
    <w:p w:rsidR="00260042" w:rsidRDefault="00260042" w:rsidP="00260042">
      <w:pPr>
        <w:pStyle w:val="IndexBodyL1"/>
      </w:pPr>
      <w:proofErr w:type="gramStart"/>
      <w:r>
        <w:t>veterans</w:t>
      </w:r>
      <w:proofErr w:type="gramEnd"/>
      <w:r>
        <w:t xml:space="preserve">, 6, 10, 20–1, 45, 49–50, 53–54, 84 </w:t>
      </w:r>
    </w:p>
    <w:p w:rsidR="00260042" w:rsidRDefault="00260042" w:rsidP="00260042">
      <w:pPr>
        <w:pStyle w:val="IndexBodyL1"/>
      </w:pPr>
      <w:proofErr w:type="gramStart"/>
      <w:r>
        <w:t>virtual</w:t>
      </w:r>
      <w:proofErr w:type="gramEnd"/>
      <w:r>
        <w:t xml:space="preserve"> service </w:t>
      </w:r>
      <w:proofErr w:type="spellStart"/>
      <w:r>
        <w:t>centre</w:t>
      </w:r>
      <w:proofErr w:type="spellEnd"/>
      <w:r>
        <w:t>, x, 13, 136, 152</w:t>
      </w:r>
    </w:p>
    <w:p w:rsidR="00260042" w:rsidRDefault="00260042" w:rsidP="00260042">
      <w:pPr>
        <w:pStyle w:val="IndexBodyL1"/>
      </w:pPr>
      <w:proofErr w:type="gramStart"/>
      <w:r>
        <w:t>vision</w:t>
      </w:r>
      <w:proofErr w:type="gramEnd"/>
      <w:r>
        <w:t>,  ix, 2, 12, 21 203</w:t>
      </w:r>
    </w:p>
    <w:p w:rsidR="00260042" w:rsidRDefault="00260042" w:rsidP="00260042">
      <w:pPr>
        <w:pStyle w:val="IndexBodyL1"/>
      </w:pPr>
      <w:proofErr w:type="gramStart"/>
      <w:r>
        <w:t>voice</w:t>
      </w:r>
      <w:proofErr w:type="gramEnd"/>
      <w:r>
        <w:t xml:space="preserve"> biometrics, x, 12, 15, 28, 90, 94, 100, 102, 106, 151, 274</w:t>
      </w:r>
    </w:p>
    <w:p w:rsidR="00260042" w:rsidRDefault="00260042" w:rsidP="00260042">
      <w:pPr>
        <w:pStyle w:val="IndexBodyL1"/>
      </w:pPr>
      <w:proofErr w:type="gramStart"/>
      <w:r>
        <w:t>vulnerable</w:t>
      </w:r>
      <w:proofErr w:type="gramEnd"/>
      <w:r>
        <w:t xml:space="preserve"> people, 66–80</w:t>
      </w:r>
    </w:p>
    <w:p w:rsidR="00260042" w:rsidRDefault="00260042" w:rsidP="00260042">
      <w:pPr>
        <w:pStyle w:val="IndexHeading"/>
      </w:pPr>
      <w:r>
        <w:t>W</w:t>
      </w:r>
    </w:p>
    <w:p w:rsidR="00260042" w:rsidRDefault="00260042" w:rsidP="00260042">
      <w:pPr>
        <w:pStyle w:val="IndexBodyL1"/>
      </w:pPr>
      <w:proofErr w:type="gramStart"/>
      <w:r>
        <w:t>wait</w:t>
      </w:r>
      <w:proofErr w:type="gramEnd"/>
      <w:r>
        <w:t xml:space="preserve"> times</w:t>
      </w:r>
    </w:p>
    <w:p w:rsidR="00260042" w:rsidRDefault="00260042" w:rsidP="00260042">
      <w:pPr>
        <w:pStyle w:val="IndexBodyL2"/>
      </w:pPr>
      <w:r>
        <w:t>Child Support, 125, 128</w:t>
      </w:r>
    </w:p>
    <w:p w:rsidR="00260042" w:rsidRDefault="00260042" w:rsidP="00260042">
      <w:pPr>
        <w:pStyle w:val="IndexBodyL2"/>
      </w:pPr>
      <w:proofErr w:type="gramStart"/>
      <w:r>
        <w:t>health</w:t>
      </w:r>
      <w:proofErr w:type="gramEnd"/>
      <w:r>
        <w:t>, 114–15, 117–18</w:t>
      </w:r>
    </w:p>
    <w:p w:rsidR="00260042" w:rsidRDefault="00260042" w:rsidP="00260042">
      <w:pPr>
        <w:pStyle w:val="IndexBodyL2"/>
      </w:pPr>
      <w:proofErr w:type="gramStart"/>
      <w:r>
        <w:t>social</w:t>
      </w:r>
      <w:proofErr w:type="gramEnd"/>
      <w:r>
        <w:t xml:space="preserve"> security and welfare, 90, 100–101, 107</w:t>
      </w:r>
    </w:p>
    <w:p w:rsidR="00260042" w:rsidRDefault="00260042" w:rsidP="00260042">
      <w:pPr>
        <w:pStyle w:val="IndexBodyL1"/>
      </w:pPr>
      <w:proofErr w:type="gramStart"/>
      <w:r>
        <w:t>website</w:t>
      </w:r>
      <w:proofErr w:type="gramEnd"/>
      <w:r>
        <w:t>, xiv</w:t>
      </w:r>
    </w:p>
    <w:p w:rsidR="00260042" w:rsidRDefault="00260042" w:rsidP="00260042">
      <w:pPr>
        <w:pStyle w:val="IndexBodyL1"/>
      </w:pPr>
      <w:r>
        <w:t xml:space="preserve">Welfare Payment Infrastructure Transformation </w:t>
      </w:r>
      <w:proofErr w:type="spellStart"/>
      <w:r>
        <w:t>Programme</w:t>
      </w:r>
      <w:proofErr w:type="spellEnd"/>
      <w:r>
        <w:t>, 16–17, 20, 42</w:t>
      </w:r>
    </w:p>
    <w:p w:rsidR="00260042" w:rsidRDefault="00260042" w:rsidP="00260042">
      <w:pPr>
        <w:pStyle w:val="IndexBodyL1"/>
      </w:pPr>
      <w:proofErr w:type="gramStart"/>
      <w:r>
        <w:t>women</w:t>
      </w:r>
      <w:proofErr w:type="gramEnd"/>
      <w:r>
        <w:t>, 66</w:t>
      </w:r>
    </w:p>
    <w:p w:rsidR="00260042" w:rsidRDefault="00260042" w:rsidP="00260042">
      <w:pPr>
        <w:pStyle w:val="IndexBodyL1"/>
      </w:pPr>
      <w:proofErr w:type="gramStart"/>
      <w:r>
        <w:t>work</w:t>
      </w:r>
      <w:proofErr w:type="gramEnd"/>
      <w:r>
        <w:t xml:space="preserve"> capacity, assessment of, 43–4</w:t>
      </w:r>
    </w:p>
    <w:p w:rsidR="00260042" w:rsidRDefault="00260042" w:rsidP="00260042">
      <w:pPr>
        <w:pStyle w:val="IndexBodyL1"/>
      </w:pPr>
      <w:proofErr w:type="gramStart"/>
      <w:r>
        <w:lastRenderedPageBreak/>
        <w:t>work</w:t>
      </w:r>
      <w:proofErr w:type="gramEnd"/>
      <w:r>
        <w:t xml:space="preserve"> health and safety, 167–68</w:t>
      </w:r>
    </w:p>
    <w:p w:rsidR="00260042" w:rsidRDefault="00260042" w:rsidP="00260042">
      <w:pPr>
        <w:pStyle w:val="IndexBodyL1"/>
      </w:pPr>
      <w:r>
        <w:t>Workforce Incentive Program — Doctor Stream, 56</w:t>
      </w:r>
    </w:p>
    <w:p w:rsidR="00260042" w:rsidRDefault="00260042" w:rsidP="00260042">
      <w:pPr>
        <w:pStyle w:val="IndexBodyL1"/>
      </w:pPr>
      <w:r>
        <w:t>Workforce Incentive Program — Practice Stream, 55–6</w:t>
      </w:r>
    </w:p>
    <w:p w:rsidR="00260042" w:rsidRDefault="00260042" w:rsidP="00260042">
      <w:pPr>
        <w:pStyle w:val="IndexBodyL1"/>
      </w:pPr>
      <w:proofErr w:type="gramStart"/>
      <w:r>
        <w:t>workforce</w:t>
      </w:r>
      <w:proofErr w:type="gramEnd"/>
      <w:r>
        <w:t xml:space="preserve"> planning, 172</w:t>
      </w:r>
    </w:p>
    <w:p w:rsidR="00260042" w:rsidRDefault="00260042" w:rsidP="00260042">
      <w:pPr>
        <w:pStyle w:val="IndexBodyL1"/>
      </w:pPr>
      <w:proofErr w:type="gramStart"/>
      <w:r>
        <w:t>workplace</w:t>
      </w:r>
      <w:proofErr w:type="gramEnd"/>
      <w:r>
        <w:t xml:space="preserve"> agreements, 175</w:t>
      </w:r>
    </w:p>
    <w:p w:rsidR="00260042" w:rsidRDefault="00260042" w:rsidP="00260042">
      <w:pPr>
        <w:pStyle w:val="IndexHeading"/>
      </w:pPr>
      <w:r>
        <w:t>Y</w:t>
      </w:r>
    </w:p>
    <w:p w:rsidR="00260042" w:rsidRDefault="00260042" w:rsidP="00260042">
      <w:pPr>
        <w:pStyle w:val="IndexBodyL1"/>
      </w:pPr>
      <w:r>
        <w:t>Youth Allowance (</w:t>
      </w:r>
      <w:proofErr w:type="spellStart"/>
      <w:r>
        <w:t>JobSeeker</w:t>
      </w:r>
      <w:proofErr w:type="spellEnd"/>
      <w:r>
        <w:t>), 37, 42</w:t>
      </w:r>
    </w:p>
    <w:p w:rsidR="00260042" w:rsidRPr="00260042" w:rsidRDefault="00260042" w:rsidP="00260042">
      <w:r>
        <w:t>Youth Allowance (Students and Australian Apprentices), 37, 42, 43</w:t>
      </w:r>
    </w:p>
    <w:sectPr w:rsidR="00260042" w:rsidRPr="00260042" w:rsidSect="006C55F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3C" w:rsidRDefault="00BB243C" w:rsidP="00C77FE4">
      <w:r>
        <w:separator/>
      </w:r>
    </w:p>
  </w:endnote>
  <w:endnote w:type="continuationSeparator" w:id="0">
    <w:p w:rsidR="00BB243C" w:rsidRDefault="00BB243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Candara"/>
    <w:panose1 w:val="00000000000000000000"/>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 Lt">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81" w:rsidRDefault="00AA6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81" w:rsidRDefault="00AA6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81" w:rsidRDefault="00AA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3C" w:rsidRDefault="00BB243C" w:rsidP="00C77FE4">
      <w:r>
        <w:separator/>
      </w:r>
    </w:p>
  </w:footnote>
  <w:footnote w:type="continuationSeparator" w:id="0">
    <w:p w:rsidR="00BB243C" w:rsidRDefault="00BB243C"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81" w:rsidRDefault="00AA6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81" w:rsidRDefault="00AA6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81" w:rsidRDefault="00AA6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42"/>
    <w:rsid w:val="00000DAC"/>
    <w:rsid w:val="000076F8"/>
    <w:rsid w:val="00015456"/>
    <w:rsid w:val="000156A2"/>
    <w:rsid w:val="00015AE7"/>
    <w:rsid w:val="00032A7E"/>
    <w:rsid w:val="00036D91"/>
    <w:rsid w:val="00044271"/>
    <w:rsid w:val="000475D9"/>
    <w:rsid w:val="00047ECA"/>
    <w:rsid w:val="00054392"/>
    <w:rsid w:val="00054F06"/>
    <w:rsid w:val="000671E4"/>
    <w:rsid w:val="00071651"/>
    <w:rsid w:val="000745B5"/>
    <w:rsid w:val="00091FBD"/>
    <w:rsid w:val="000967ED"/>
    <w:rsid w:val="000A254A"/>
    <w:rsid w:val="000A5E33"/>
    <w:rsid w:val="000B4048"/>
    <w:rsid w:val="000C5A32"/>
    <w:rsid w:val="000D246D"/>
    <w:rsid w:val="000E2170"/>
    <w:rsid w:val="000E5AEE"/>
    <w:rsid w:val="000F2731"/>
    <w:rsid w:val="00105ADB"/>
    <w:rsid w:val="00106CBE"/>
    <w:rsid w:val="001119B3"/>
    <w:rsid w:val="00111E1D"/>
    <w:rsid w:val="00120212"/>
    <w:rsid w:val="0012437B"/>
    <w:rsid w:val="00132C19"/>
    <w:rsid w:val="00134742"/>
    <w:rsid w:val="00140AB3"/>
    <w:rsid w:val="001678AC"/>
    <w:rsid w:val="001718F2"/>
    <w:rsid w:val="001859C2"/>
    <w:rsid w:val="001A7379"/>
    <w:rsid w:val="001A7D06"/>
    <w:rsid w:val="001C0E50"/>
    <w:rsid w:val="001C2FF3"/>
    <w:rsid w:val="001E5563"/>
    <w:rsid w:val="001E55A2"/>
    <w:rsid w:val="001F312C"/>
    <w:rsid w:val="0020616A"/>
    <w:rsid w:val="00211456"/>
    <w:rsid w:val="00244B07"/>
    <w:rsid w:val="00251E3F"/>
    <w:rsid w:val="00254EA6"/>
    <w:rsid w:val="002556F0"/>
    <w:rsid w:val="00256A48"/>
    <w:rsid w:val="00260042"/>
    <w:rsid w:val="00277527"/>
    <w:rsid w:val="00280896"/>
    <w:rsid w:val="002869C9"/>
    <w:rsid w:val="002B682A"/>
    <w:rsid w:val="002C67B2"/>
    <w:rsid w:val="002E0853"/>
    <w:rsid w:val="002E64CE"/>
    <w:rsid w:val="002F3DA7"/>
    <w:rsid w:val="00300910"/>
    <w:rsid w:val="00301A30"/>
    <w:rsid w:val="00313C9F"/>
    <w:rsid w:val="00331B6F"/>
    <w:rsid w:val="0036715B"/>
    <w:rsid w:val="00372C03"/>
    <w:rsid w:val="00374B97"/>
    <w:rsid w:val="003824D8"/>
    <w:rsid w:val="00382845"/>
    <w:rsid w:val="003868BB"/>
    <w:rsid w:val="00386ECC"/>
    <w:rsid w:val="003926AC"/>
    <w:rsid w:val="00393DCE"/>
    <w:rsid w:val="003A29E7"/>
    <w:rsid w:val="003A3F3F"/>
    <w:rsid w:val="003E0728"/>
    <w:rsid w:val="003E4B19"/>
    <w:rsid w:val="003F2DCC"/>
    <w:rsid w:val="003F3FE6"/>
    <w:rsid w:val="003F431F"/>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E3486"/>
    <w:rsid w:val="004F0442"/>
    <w:rsid w:val="004F3054"/>
    <w:rsid w:val="004F622D"/>
    <w:rsid w:val="00511254"/>
    <w:rsid w:val="00515AE9"/>
    <w:rsid w:val="00515B62"/>
    <w:rsid w:val="00521EBE"/>
    <w:rsid w:val="00522E98"/>
    <w:rsid w:val="0053686B"/>
    <w:rsid w:val="005447EC"/>
    <w:rsid w:val="00547164"/>
    <w:rsid w:val="00567226"/>
    <w:rsid w:val="005706D2"/>
    <w:rsid w:val="00586555"/>
    <w:rsid w:val="00592BD1"/>
    <w:rsid w:val="005A433D"/>
    <w:rsid w:val="005B092F"/>
    <w:rsid w:val="005B17EB"/>
    <w:rsid w:val="005C30D7"/>
    <w:rsid w:val="005E6C88"/>
    <w:rsid w:val="005F00EB"/>
    <w:rsid w:val="005F107D"/>
    <w:rsid w:val="005F1D36"/>
    <w:rsid w:val="005F5542"/>
    <w:rsid w:val="00604426"/>
    <w:rsid w:val="00606393"/>
    <w:rsid w:val="006143A4"/>
    <w:rsid w:val="006225D9"/>
    <w:rsid w:val="00642687"/>
    <w:rsid w:val="00665C7F"/>
    <w:rsid w:val="00677137"/>
    <w:rsid w:val="00677713"/>
    <w:rsid w:val="0069046E"/>
    <w:rsid w:val="006A6622"/>
    <w:rsid w:val="006B07C6"/>
    <w:rsid w:val="006C55F6"/>
    <w:rsid w:val="006C762C"/>
    <w:rsid w:val="006D08E2"/>
    <w:rsid w:val="006D2988"/>
    <w:rsid w:val="006D35B7"/>
    <w:rsid w:val="006D5715"/>
    <w:rsid w:val="006D6F0A"/>
    <w:rsid w:val="006F3A95"/>
    <w:rsid w:val="007002D8"/>
    <w:rsid w:val="00705895"/>
    <w:rsid w:val="00705D14"/>
    <w:rsid w:val="007078E0"/>
    <w:rsid w:val="00715EE3"/>
    <w:rsid w:val="00716746"/>
    <w:rsid w:val="00726026"/>
    <w:rsid w:val="00727EE5"/>
    <w:rsid w:val="00733DA5"/>
    <w:rsid w:val="007350CF"/>
    <w:rsid w:val="0075047E"/>
    <w:rsid w:val="00750D76"/>
    <w:rsid w:val="00754ED8"/>
    <w:rsid w:val="00765891"/>
    <w:rsid w:val="00772850"/>
    <w:rsid w:val="007764E8"/>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06208"/>
    <w:rsid w:val="00807BAF"/>
    <w:rsid w:val="008474A9"/>
    <w:rsid w:val="00861535"/>
    <w:rsid w:val="0086273D"/>
    <w:rsid w:val="00863E9F"/>
    <w:rsid w:val="00875BC1"/>
    <w:rsid w:val="00876891"/>
    <w:rsid w:val="00877919"/>
    <w:rsid w:val="008806FF"/>
    <w:rsid w:val="008842C6"/>
    <w:rsid w:val="008930A3"/>
    <w:rsid w:val="008A165E"/>
    <w:rsid w:val="008B2193"/>
    <w:rsid w:val="008B23EF"/>
    <w:rsid w:val="008B54E0"/>
    <w:rsid w:val="008C199A"/>
    <w:rsid w:val="009102B3"/>
    <w:rsid w:val="00910FA2"/>
    <w:rsid w:val="009118A6"/>
    <w:rsid w:val="0094424A"/>
    <w:rsid w:val="009539AE"/>
    <w:rsid w:val="00972D45"/>
    <w:rsid w:val="00976C5F"/>
    <w:rsid w:val="0097713E"/>
    <w:rsid w:val="0098218E"/>
    <w:rsid w:val="00985EC6"/>
    <w:rsid w:val="00987378"/>
    <w:rsid w:val="009920AD"/>
    <w:rsid w:val="00997B75"/>
    <w:rsid w:val="009B6CC2"/>
    <w:rsid w:val="009B789E"/>
    <w:rsid w:val="009C751B"/>
    <w:rsid w:val="009D16AA"/>
    <w:rsid w:val="009E59EB"/>
    <w:rsid w:val="009E74CB"/>
    <w:rsid w:val="00A06486"/>
    <w:rsid w:val="00A11D8E"/>
    <w:rsid w:val="00A21258"/>
    <w:rsid w:val="00A265A0"/>
    <w:rsid w:val="00A41E85"/>
    <w:rsid w:val="00A52B74"/>
    <w:rsid w:val="00A95C0E"/>
    <w:rsid w:val="00AA3023"/>
    <w:rsid w:val="00AA4D96"/>
    <w:rsid w:val="00AA6181"/>
    <w:rsid w:val="00AA635B"/>
    <w:rsid w:val="00AB125B"/>
    <w:rsid w:val="00AB3973"/>
    <w:rsid w:val="00AB4F8F"/>
    <w:rsid w:val="00AB78C1"/>
    <w:rsid w:val="00AC2098"/>
    <w:rsid w:val="00AD7DEA"/>
    <w:rsid w:val="00AE6BC5"/>
    <w:rsid w:val="00AF2611"/>
    <w:rsid w:val="00AF2766"/>
    <w:rsid w:val="00AF59AF"/>
    <w:rsid w:val="00B105F1"/>
    <w:rsid w:val="00B20D55"/>
    <w:rsid w:val="00B307C0"/>
    <w:rsid w:val="00B35443"/>
    <w:rsid w:val="00B4027C"/>
    <w:rsid w:val="00B40681"/>
    <w:rsid w:val="00B43654"/>
    <w:rsid w:val="00B5279C"/>
    <w:rsid w:val="00B56650"/>
    <w:rsid w:val="00B627B0"/>
    <w:rsid w:val="00B76C26"/>
    <w:rsid w:val="00B87C17"/>
    <w:rsid w:val="00B90686"/>
    <w:rsid w:val="00B97936"/>
    <w:rsid w:val="00BA2D0A"/>
    <w:rsid w:val="00BA2EF2"/>
    <w:rsid w:val="00BB0ADA"/>
    <w:rsid w:val="00BB243C"/>
    <w:rsid w:val="00BB36E2"/>
    <w:rsid w:val="00BB3E98"/>
    <w:rsid w:val="00BB4BCE"/>
    <w:rsid w:val="00BC1153"/>
    <w:rsid w:val="00BD19F0"/>
    <w:rsid w:val="00BD2D68"/>
    <w:rsid w:val="00BD773A"/>
    <w:rsid w:val="00BF032E"/>
    <w:rsid w:val="00C245AC"/>
    <w:rsid w:val="00C32870"/>
    <w:rsid w:val="00C43A50"/>
    <w:rsid w:val="00C46790"/>
    <w:rsid w:val="00C50C30"/>
    <w:rsid w:val="00C713F5"/>
    <w:rsid w:val="00C74FE7"/>
    <w:rsid w:val="00C77FE4"/>
    <w:rsid w:val="00C81689"/>
    <w:rsid w:val="00C86E67"/>
    <w:rsid w:val="00C91EEF"/>
    <w:rsid w:val="00C95A69"/>
    <w:rsid w:val="00C96772"/>
    <w:rsid w:val="00CA2FB4"/>
    <w:rsid w:val="00CA3C73"/>
    <w:rsid w:val="00CB6314"/>
    <w:rsid w:val="00CC078E"/>
    <w:rsid w:val="00CC520F"/>
    <w:rsid w:val="00CD7C3B"/>
    <w:rsid w:val="00CE4300"/>
    <w:rsid w:val="00CE5D91"/>
    <w:rsid w:val="00D05662"/>
    <w:rsid w:val="00D05A32"/>
    <w:rsid w:val="00D22D34"/>
    <w:rsid w:val="00D27B93"/>
    <w:rsid w:val="00D31820"/>
    <w:rsid w:val="00D471E5"/>
    <w:rsid w:val="00D61251"/>
    <w:rsid w:val="00D617C0"/>
    <w:rsid w:val="00D62DEA"/>
    <w:rsid w:val="00D65810"/>
    <w:rsid w:val="00D7585D"/>
    <w:rsid w:val="00D90171"/>
    <w:rsid w:val="00D95D2A"/>
    <w:rsid w:val="00DB50EE"/>
    <w:rsid w:val="00DB5AB6"/>
    <w:rsid w:val="00DF0E65"/>
    <w:rsid w:val="00DF39AF"/>
    <w:rsid w:val="00DF6DA7"/>
    <w:rsid w:val="00E0055A"/>
    <w:rsid w:val="00E018DC"/>
    <w:rsid w:val="00E05521"/>
    <w:rsid w:val="00E075E7"/>
    <w:rsid w:val="00E22EB2"/>
    <w:rsid w:val="00E24639"/>
    <w:rsid w:val="00E24EC1"/>
    <w:rsid w:val="00E352AC"/>
    <w:rsid w:val="00E454C6"/>
    <w:rsid w:val="00E53AA7"/>
    <w:rsid w:val="00E66C20"/>
    <w:rsid w:val="00E80126"/>
    <w:rsid w:val="00E847BB"/>
    <w:rsid w:val="00E84A72"/>
    <w:rsid w:val="00E85228"/>
    <w:rsid w:val="00EA1575"/>
    <w:rsid w:val="00EA5510"/>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B6F08"/>
    <w:rsid w:val="00FC0558"/>
    <w:rsid w:val="00FD356E"/>
    <w:rsid w:val="00FE2064"/>
    <w:rsid w:val="00FE6821"/>
    <w:rsid w:val="00FE6852"/>
    <w:rsid w:val="00FE6BAC"/>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AD47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BC1153"/>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715EE3"/>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9B789E"/>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1153"/>
    <w:rPr>
      <w:rFonts w:ascii="Arial" w:hAnsi="Arial" w:cs="Arial"/>
      <w:b/>
      <w:bCs/>
      <w:kern w:val="32"/>
      <w:sz w:val="44"/>
      <w:szCs w:val="32"/>
      <w:lang w:eastAsia="en-US"/>
    </w:rPr>
  </w:style>
  <w:style w:type="character" w:customStyle="1" w:styleId="Heading2Char">
    <w:name w:val="Heading 2 Char"/>
    <w:basedOn w:val="DefaultParagraphFont"/>
    <w:link w:val="Heading2"/>
    <w:uiPriority w:val="99"/>
    <w:rsid w:val="00715EE3"/>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9B789E"/>
    <w:rPr>
      <w:rFonts w:ascii="Arial" w:hAnsi="Arial" w:cs="Arial"/>
      <w:b/>
      <w:bCs/>
      <w:sz w:val="32"/>
      <w:szCs w:val="26"/>
      <w:lang w:eastAsia="en-US"/>
    </w:rPr>
  </w:style>
  <w:style w:type="character" w:customStyle="1" w:styleId="Heading4Char">
    <w:name w:val="Heading 4 Char"/>
    <w:basedOn w:val="DefaultParagraphFont"/>
    <w:link w:val="Heading4"/>
    <w:uiPriority w:val="99"/>
    <w:rsid w:val="00260042"/>
    <w:rPr>
      <w:rFonts w:ascii="Arial" w:hAnsi="Arial"/>
      <w:b/>
      <w:bCs/>
      <w:sz w:val="28"/>
      <w:szCs w:val="28"/>
      <w:lang w:eastAsia="en-US"/>
    </w:rPr>
  </w:style>
  <w:style w:type="character" w:customStyle="1" w:styleId="Heading5Char">
    <w:name w:val="Heading 5 Char"/>
    <w:basedOn w:val="DefaultParagraphFont"/>
    <w:link w:val="Heading5"/>
    <w:uiPriority w:val="99"/>
    <w:rsid w:val="00260042"/>
    <w:rPr>
      <w:rFonts w:ascii="Arial" w:hAnsi="Arial"/>
      <w:b/>
      <w:bCs/>
      <w:i/>
      <w:iCs/>
      <w:sz w:val="26"/>
      <w:szCs w:val="26"/>
      <w:lang w:eastAsia="en-US"/>
    </w:rPr>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uiPriority w:val="99"/>
    <w:qFormat/>
    <w:rsid w:val="00B87C17"/>
    <w:pPr>
      <w:spacing w:before="120" w:after="200"/>
    </w:pPr>
  </w:style>
  <w:style w:type="character" w:customStyle="1" w:styleId="BodyTextChar">
    <w:name w:val="Body Text Char"/>
    <w:basedOn w:val="DefaultParagraphFont"/>
    <w:link w:val="BodyText"/>
    <w:uiPriority w:val="99"/>
    <w:rsid w:val="00260042"/>
    <w:rPr>
      <w:rFonts w:ascii="Arial" w:hAnsi="Arial"/>
      <w:sz w:val="24"/>
      <w:szCs w:val="24"/>
      <w:lang w:eastAsia="en-US"/>
    </w:r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uiPriority w:val="99"/>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uiPriority w:val="99"/>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Intropara">
    <w:name w:val="Intro para"/>
    <w:basedOn w:val="Normal"/>
    <w:uiPriority w:val="99"/>
    <w:rsid w:val="00260042"/>
    <w:pPr>
      <w:pBdr>
        <w:top w:val="single" w:sz="6" w:space="28" w:color="000000"/>
        <w:bottom w:val="single" w:sz="6" w:space="14" w:color="000000"/>
      </w:pBdr>
      <w:tabs>
        <w:tab w:val="clear" w:pos="1066"/>
      </w:tabs>
      <w:suppressAutoHyphens/>
      <w:autoSpaceDE w:val="0"/>
      <w:autoSpaceDN w:val="0"/>
      <w:adjustRightInd w:val="0"/>
      <w:spacing w:before="567" w:after="567" w:line="288" w:lineRule="auto"/>
      <w:textAlignment w:val="center"/>
    </w:pPr>
    <w:rPr>
      <w:rFonts w:ascii="Roboto" w:hAnsi="Roboto" w:cs="Roboto"/>
      <w:color w:val="000000"/>
      <w:sz w:val="28"/>
      <w:szCs w:val="28"/>
      <w:lang w:val="en-GB" w:eastAsia="en-AU"/>
    </w:rPr>
  </w:style>
  <w:style w:type="paragraph" w:customStyle="1" w:styleId="ChapterHeading">
    <w:name w:val="Chapter Heading"/>
    <w:basedOn w:val="Normal"/>
    <w:uiPriority w:val="99"/>
    <w:rsid w:val="00260042"/>
    <w:pPr>
      <w:tabs>
        <w:tab w:val="clear" w:pos="1066"/>
      </w:tabs>
      <w:suppressAutoHyphens/>
      <w:autoSpaceDE w:val="0"/>
      <w:autoSpaceDN w:val="0"/>
      <w:adjustRightInd w:val="0"/>
      <w:spacing w:line="700" w:lineRule="atLeast"/>
      <w:textAlignment w:val="center"/>
    </w:pPr>
    <w:rPr>
      <w:rFonts w:ascii="Roboto" w:hAnsi="Roboto" w:cs="Roboto"/>
      <w:b/>
      <w:bCs/>
      <w:color w:val="FFFFFF"/>
      <w:spacing w:val="-4"/>
      <w:sz w:val="64"/>
      <w:szCs w:val="64"/>
      <w:lang w:val="en-GB" w:eastAsia="en-AU"/>
    </w:rPr>
  </w:style>
  <w:style w:type="paragraph" w:customStyle="1" w:styleId="FigureHeader">
    <w:name w:val="Figure Header"/>
    <w:basedOn w:val="Normal"/>
    <w:uiPriority w:val="99"/>
    <w:rsid w:val="00260042"/>
    <w:pPr>
      <w:keepNext/>
      <w:tabs>
        <w:tab w:val="clear" w:pos="1066"/>
      </w:tabs>
      <w:suppressAutoHyphens/>
      <w:autoSpaceDE w:val="0"/>
      <w:autoSpaceDN w:val="0"/>
      <w:adjustRightInd w:val="0"/>
      <w:spacing w:before="57" w:line="288" w:lineRule="auto"/>
      <w:textAlignment w:val="center"/>
    </w:pPr>
    <w:rPr>
      <w:rFonts w:ascii="Roboto" w:hAnsi="Roboto" w:cs="Roboto"/>
      <w:b/>
      <w:bCs/>
      <w:color w:val="000000"/>
      <w:sz w:val="20"/>
      <w:szCs w:val="20"/>
      <w:lang w:val="en-GB" w:eastAsia="en-AU"/>
    </w:rPr>
  </w:style>
  <w:style w:type="paragraph" w:customStyle="1" w:styleId="FigureHeadernocount">
    <w:name w:val="Figure Header (no count)"/>
    <w:basedOn w:val="FigureHeader"/>
    <w:uiPriority w:val="99"/>
    <w:rsid w:val="00260042"/>
  </w:style>
  <w:style w:type="paragraph" w:customStyle="1" w:styleId="Bullets1">
    <w:name w:val="Bullets 1"/>
    <w:basedOn w:val="Normal"/>
    <w:uiPriority w:val="99"/>
    <w:rsid w:val="00260042"/>
    <w:pPr>
      <w:tabs>
        <w:tab w:val="clear" w:pos="1066"/>
        <w:tab w:val="left" w:pos="283"/>
      </w:tabs>
      <w:suppressAutoHyphens/>
      <w:autoSpaceDE w:val="0"/>
      <w:autoSpaceDN w:val="0"/>
      <w:adjustRightInd w:val="0"/>
      <w:spacing w:after="57" w:line="288" w:lineRule="auto"/>
      <w:ind w:left="283" w:hanging="283"/>
      <w:textAlignment w:val="center"/>
    </w:pPr>
    <w:rPr>
      <w:rFonts w:ascii="Roboto" w:hAnsi="Roboto" w:cs="Roboto"/>
      <w:color w:val="000000"/>
      <w:sz w:val="20"/>
      <w:szCs w:val="20"/>
      <w:lang w:val="en-GB" w:eastAsia="en-AU"/>
    </w:rPr>
  </w:style>
  <w:style w:type="paragraph" w:customStyle="1" w:styleId="Bullet1last">
    <w:name w:val="Bullet 1 last"/>
    <w:basedOn w:val="Bullets1"/>
    <w:uiPriority w:val="99"/>
    <w:rsid w:val="00260042"/>
    <w:pPr>
      <w:spacing w:after="170"/>
    </w:pPr>
  </w:style>
  <w:style w:type="paragraph" w:customStyle="1" w:styleId="Footnote">
    <w:name w:val="Footnote"/>
    <w:basedOn w:val="Normal"/>
    <w:uiPriority w:val="99"/>
    <w:rsid w:val="00260042"/>
    <w:pPr>
      <w:tabs>
        <w:tab w:val="clear" w:pos="1066"/>
      </w:tabs>
      <w:suppressAutoHyphens/>
      <w:autoSpaceDE w:val="0"/>
      <w:autoSpaceDN w:val="0"/>
      <w:adjustRightInd w:val="0"/>
      <w:spacing w:after="57" w:line="288" w:lineRule="auto"/>
      <w:ind w:left="283" w:hanging="283"/>
      <w:textAlignment w:val="center"/>
    </w:pPr>
    <w:rPr>
      <w:rFonts w:ascii="Roboto" w:hAnsi="Roboto" w:cs="Roboto"/>
      <w:color w:val="000000"/>
      <w:sz w:val="16"/>
      <w:szCs w:val="16"/>
      <w:lang w:val="en-GB" w:eastAsia="en-AU"/>
    </w:rPr>
  </w:style>
  <w:style w:type="paragraph" w:customStyle="1" w:styleId="TableHeader">
    <w:name w:val="Table Header"/>
    <w:basedOn w:val="BodyText"/>
    <w:uiPriority w:val="99"/>
    <w:rsid w:val="00260042"/>
    <w:pPr>
      <w:tabs>
        <w:tab w:val="clear" w:pos="1066"/>
      </w:tabs>
      <w:suppressAutoHyphens/>
      <w:autoSpaceDE w:val="0"/>
      <w:autoSpaceDN w:val="0"/>
      <w:adjustRightInd w:val="0"/>
      <w:spacing w:before="0" w:after="0" w:line="288" w:lineRule="auto"/>
      <w:jc w:val="right"/>
      <w:textAlignment w:val="center"/>
    </w:pPr>
    <w:rPr>
      <w:rFonts w:ascii="Roboto" w:hAnsi="Roboto" w:cs="Roboto"/>
      <w:b/>
      <w:bCs/>
      <w:color w:val="000000"/>
      <w:sz w:val="20"/>
      <w:szCs w:val="20"/>
      <w:lang w:val="en-GB" w:eastAsia="en-AU"/>
    </w:rPr>
  </w:style>
  <w:style w:type="paragraph" w:customStyle="1" w:styleId="Tabletext-LHS">
    <w:name w:val="Table text - LHS"/>
    <w:basedOn w:val="Normal"/>
    <w:uiPriority w:val="99"/>
    <w:rsid w:val="00260042"/>
    <w:pPr>
      <w:tabs>
        <w:tab w:val="clear" w:pos="1066"/>
      </w:tabs>
      <w:suppressAutoHyphens/>
      <w:autoSpaceDE w:val="0"/>
      <w:autoSpaceDN w:val="0"/>
      <w:adjustRightInd w:val="0"/>
      <w:spacing w:after="170" w:line="288" w:lineRule="auto"/>
      <w:textAlignment w:val="center"/>
    </w:pPr>
    <w:rPr>
      <w:rFonts w:ascii="Roboto" w:hAnsi="Roboto" w:cs="Roboto"/>
      <w:color w:val="000000"/>
      <w:sz w:val="20"/>
      <w:szCs w:val="20"/>
      <w:lang w:val="en-GB" w:eastAsia="en-AU"/>
    </w:rPr>
  </w:style>
  <w:style w:type="paragraph" w:customStyle="1" w:styleId="Tabletext-RHS">
    <w:name w:val="Table text - RHS"/>
    <w:basedOn w:val="BodyText"/>
    <w:uiPriority w:val="99"/>
    <w:rsid w:val="00260042"/>
    <w:pPr>
      <w:tabs>
        <w:tab w:val="clear" w:pos="1066"/>
      </w:tabs>
      <w:suppressAutoHyphens/>
      <w:autoSpaceDE w:val="0"/>
      <w:autoSpaceDN w:val="0"/>
      <w:adjustRightInd w:val="0"/>
      <w:spacing w:before="0" w:after="170" w:line="288" w:lineRule="auto"/>
      <w:jc w:val="right"/>
      <w:textAlignment w:val="center"/>
    </w:pPr>
    <w:rPr>
      <w:rFonts w:ascii="Roboto" w:hAnsi="Roboto" w:cs="Roboto"/>
      <w:color w:val="000000"/>
      <w:sz w:val="20"/>
      <w:szCs w:val="20"/>
      <w:lang w:val="en-GB" w:eastAsia="en-AU"/>
    </w:rPr>
  </w:style>
  <w:style w:type="character" w:customStyle="1" w:styleId="Bold">
    <w:name w:val="Bold"/>
    <w:uiPriority w:val="99"/>
    <w:rsid w:val="00260042"/>
    <w:rPr>
      <w:b/>
      <w:bCs/>
      <w:color w:val="000000"/>
    </w:rPr>
  </w:style>
  <w:style w:type="character" w:customStyle="1" w:styleId="Italic">
    <w:name w:val="Italic"/>
    <w:uiPriority w:val="99"/>
    <w:rsid w:val="00260042"/>
    <w:rPr>
      <w:i/>
      <w:iCs/>
    </w:rPr>
  </w:style>
  <w:style w:type="paragraph" w:customStyle="1" w:styleId="Bullet2">
    <w:name w:val="Bullet 2"/>
    <w:basedOn w:val="Normal"/>
    <w:uiPriority w:val="99"/>
    <w:rsid w:val="00260042"/>
    <w:pPr>
      <w:tabs>
        <w:tab w:val="clear" w:pos="1066"/>
      </w:tabs>
      <w:suppressAutoHyphens/>
      <w:autoSpaceDE w:val="0"/>
      <w:autoSpaceDN w:val="0"/>
      <w:adjustRightInd w:val="0"/>
      <w:spacing w:after="57" w:line="288" w:lineRule="auto"/>
      <w:ind w:left="567" w:hanging="283"/>
      <w:textAlignment w:val="center"/>
    </w:pPr>
    <w:rPr>
      <w:rFonts w:ascii="Roboto" w:hAnsi="Roboto" w:cs="Roboto"/>
      <w:color w:val="000000"/>
      <w:sz w:val="20"/>
      <w:szCs w:val="20"/>
      <w:lang w:val="en-GB" w:eastAsia="en-AU"/>
    </w:rPr>
  </w:style>
  <w:style w:type="paragraph" w:customStyle="1" w:styleId="StoryHeading">
    <w:name w:val="Story Heading"/>
    <w:basedOn w:val="Normal"/>
    <w:uiPriority w:val="99"/>
    <w:rsid w:val="00260042"/>
    <w:pPr>
      <w:keepNext/>
      <w:tabs>
        <w:tab w:val="clear" w:pos="1066"/>
      </w:tabs>
      <w:suppressAutoHyphens/>
      <w:autoSpaceDE w:val="0"/>
      <w:autoSpaceDN w:val="0"/>
      <w:adjustRightInd w:val="0"/>
      <w:spacing w:after="170" w:line="460" w:lineRule="atLeast"/>
      <w:textAlignment w:val="center"/>
    </w:pPr>
    <w:rPr>
      <w:rFonts w:ascii="Roboto" w:hAnsi="Roboto" w:cs="Roboto"/>
      <w:b/>
      <w:bCs/>
      <w:color w:val="FFFFFF"/>
      <w:spacing w:val="-3"/>
      <w:sz w:val="44"/>
      <w:szCs w:val="44"/>
      <w:lang w:val="en-GB" w:eastAsia="en-AU"/>
    </w:rPr>
  </w:style>
  <w:style w:type="paragraph" w:customStyle="1" w:styleId="NoParagraphStyle">
    <w:name w:val="[No Paragraph Style]"/>
    <w:rsid w:val="00260042"/>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Bulletcolour">
    <w:name w:val="Bullet colour"/>
    <w:uiPriority w:val="99"/>
    <w:rsid w:val="00260042"/>
    <w:rPr>
      <w:color w:val="000000"/>
    </w:rPr>
  </w:style>
  <w:style w:type="character" w:customStyle="1" w:styleId="01bodybold">
    <w:name w:val="01 body bold"/>
    <w:uiPriority w:val="99"/>
    <w:rsid w:val="00260042"/>
    <w:rPr>
      <w:b/>
      <w:bCs/>
      <w:color w:val="000000"/>
    </w:rPr>
  </w:style>
  <w:style w:type="character" w:customStyle="1" w:styleId="NoBreak">
    <w:name w:val="No Break"/>
    <w:uiPriority w:val="99"/>
    <w:rsid w:val="00260042"/>
  </w:style>
  <w:style w:type="paragraph" w:customStyle="1" w:styleId="IndexBodyL1">
    <w:name w:val="Index Body L1"/>
    <w:basedOn w:val="NoParagraphStyle"/>
    <w:uiPriority w:val="99"/>
    <w:rsid w:val="00260042"/>
    <w:pPr>
      <w:tabs>
        <w:tab w:val="left" w:pos="283"/>
      </w:tabs>
      <w:suppressAutoHyphens/>
      <w:ind w:left="283" w:hanging="283"/>
    </w:pPr>
    <w:rPr>
      <w:rFonts w:ascii="Roboto" w:hAnsi="Roboto" w:cs="Roboto"/>
      <w:sz w:val="20"/>
      <w:szCs w:val="20"/>
      <w:lang w:val="en-US"/>
    </w:rPr>
  </w:style>
  <w:style w:type="paragraph" w:customStyle="1" w:styleId="IndexBodyL2">
    <w:name w:val="Index Body L2"/>
    <w:basedOn w:val="NoParagraphStyle"/>
    <w:uiPriority w:val="99"/>
    <w:rsid w:val="00260042"/>
    <w:pPr>
      <w:tabs>
        <w:tab w:val="left" w:pos="283"/>
      </w:tabs>
      <w:suppressAutoHyphens/>
      <w:ind w:left="567" w:hanging="283"/>
    </w:pPr>
    <w:rPr>
      <w:rFonts w:ascii="Roboto" w:hAnsi="Roboto" w:cs="Roboto"/>
      <w:sz w:val="20"/>
      <w:szCs w:val="20"/>
      <w:lang w:val="en-US"/>
    </w:rPr>
  </w:style>
  <w:style w:type="character" w:styleId="CommentReference">
    <w:name w:val="annotation reference"/>
    <w:basedOn w:val="DefaultParagraphFont"/>
    <w:uiPriority w:val="99"/>
    <w:semiHidden/>
    <w:unhideWhenUsed/>
    <w:rsid w:val="003824D8"/>
    <w:rPr>
      <w:sz w:val="16"/>
      <w:szCs w:val="16"/>
    </w:rPr>
  </w:style>
  <w:style w:type="table" w:styleId="TableGridLight">
    <w:name w:val="Grid Table Light"/>
    <w:basedOn w:val="TableNormal"/>
    <w:uiPriority w:val="40"/>
    <w:rsid w:val="00FE68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A6181"/>
    <w:pPr>
      <w:tabs>
        <w:tab w:val="clear" w:pos="1066"/>
        <w:tab w:val="center" w:pos="4513"/>
        <w:tab w:val="right" w:pos="9026"/>
      </w:tabs>
    </w:pPr>
  </w:style>
  <w:style w:type="character" w:customStyle="1" w:styleId="HeaderChar">
    <w:name w:val="Header Char"/>
    <w:basedOn w:val="DefaultParagraphFont"/>
    <w:link w:val="Header"/>
    <w:uiPriority w:val="99"/>
    <w:rsid w:val="00AA6181"/>
    <w:rPr>
      <w:rFonts w:ascii="Arial" w:hAnsi="Arial"/>
      <w:sz w:val="24"/>
      <w:szCs w:val="24"/>
      <w:lang w:eastAsia="en-US"/>
    </w:rPr>
  </w:style>
  <w:style w:type="paragraph" w:styleId="Footer">
    <w:name w:val="footer"/>
    <w:basedOn w:val="Normal"/>
    <w:link w:val="FooterChar"/>
    <w:uiPriority w:val="99"/>
    <w:unhideWhenUsed/>
    <w:rsid w:val="00AA6181"/>
    <w:pPr>
      <w:tabs>
        <w:tab w:val="clear" w:pos="1066"/>
        <w:tab w:val="center" w:pos="4513"/>
        <w:tab w:val="right" w:pos="9026"/>
      </w:tabs>
    </w:pPr>
  </w:style>
  <w:style w:type="character" w:customStyle="1" w:styleId="FooterChar">
    <w:name w:val="Footer Char"/>
    <w:basedOn w:val="DefaultParagraphFont"/>
    <w:link w:val="Footer"/>
    <w:uiPriority w:val="99"/>
    <w:rsid w:val="00AA618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6" ma:contentTypeDescription="Create a new document." ma:contentTypeScope="" ma:versionID="a140c41861fa75e9a511c0ebd3a2cdfb">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9d869f8451a1f9696aac15851bd73f3d"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3943C7D8-AD77-4269-A43F-19C5BA01BE51}">
  <ds:schemaRefs>
    <ds:schemaRef ds:uri="http://schemas.openxmlformats.org/officeDocument/2006/bibliography"/>
  </ds:schemaRefs>
</ds:datastoreItem>
</file>

<file path=customXml/itemProps2.xml><?xml version="1.0" encoding="utf-8"?>
<ds:datastoreItem xmlns:ds="http://schemas.openxmlformats.org/officeDocument/2006/customXml" ds:itemID="{C72FC1D6-4764-49E9-B399-707298AEE71C}"/>
</file>

<file path=customXml/itemProps3.xml><?xml version="1.0" encoding="utf-8"?>
<ds:datastoreItem xmlns:ds="http://schemas.openxmlformats.org/officeDocument/2006/customXml" ds:itemID="{EC5B964C-ADFD-4343-B9B9-44D909F518C0}"/>
</file>

<file path=customXml/itemProps4.xml><?xml version="1.0" encoding="utf-8"?>
<ds:datastoreItem xmlns:ds="http://schemas.openxmlformats.org/officeDocument/2006/customXml" ds:itemID="{B1F724B2-F327-48B3-9B01-62D4A560C187}"/>
</file>

<file path=docProps/app.xml><?xml version="1.0" encoding="utf-8"?>
<Properties xmlns="http://schemas.openxmlformats.org/officeDocument/2006/extended-properties" xmlns:vt="http://schemas.openxmlformats.org/officeDocument/2006/docPropsVTypes">
  <Template>Normal</Template>
  <TotalTime>0</TotalTime>
  <Pages>193</Pages>
  <Words>56446</Words>
  <Characters>324190</Characters>
  <Application>Microsoft Office Word</Application>
  <DocSecurity>0</DocSecurity>
  <Lines>2701</Lines>
  <Paragraphs>759</Paragraphs>
  <ScaleCrop>false</ScaleCrop>
  <HeadingPairs>
    <vt:vector size="2" baseType="variant">
      <vt:variant>
        <vt:lpstr>Title</vt:lpstr>
      </vt:variant>
      <vt:variant>
        <vt:i4>1</vt:i4>
      </vt:variant>
    </vt:vector>
  </HeadingPairs>
  <TitlesOfParts>
    <vt:vector size="1" baseType="lpstr">
      <vt:lpstr>Services Australia 2020–21 Annual Report</vt:lpstr>
    </vt:vector>
  </TitlesOfParts>
  <Company/>
  <LinksUpToDate>false</LinksUpToDate>
  <CharactersWithSpaces>379877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2020–21 Annual Report</dc:title>
  <dc:subject/>
  <dc:creator>Services Australia</dc:creator>
  <cp:keywords>8802.2110</cp:keywords>
  <dc:description/>
  <cp:lastModifiedBy/>
  <cp:revision>1</cp:revision>
  <dcterms:created xsi:type="dcterms:W3CDTF">2021-10-09T00:18:00Z</dcterms:created>
  <dcterms:modified xsi:type="dcterms:W3CDTF">2021-10-12T22:02:00Z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ies>
</file>