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22" w:rsidRDefault="00E42522" w:rsidP="005D794B">
      <w:pPr>
        <w:pStyle w:val="Heading1"/>
      </w:pPr>
      <w:r>
        <w:t>Australian Government</w:t>
      </w:r>
    </w:p>
    <w:p w:rsidR="00E42522" w:rsidRDefault="00E42522" w:rsidP="005D794B">
      <w:pPr>
        <w:pStyle w:val="Heading1"/>
      </w:pPr>
      <w:r>
        <w:t>Services Australia</w:t>
      </w:r>
    </w:p>
    <w:p w:rsidR="00E018DC" w:rsidRDefault="008E273C" w:rsidP="005D794B">
      <w:pPr>
        <w:pStyle w:val="Heading1"/>
      </w:pPr>
      <w:r>
        <w:t>Annual Report 2019–20</w:t>
      </w:r>
    </w:p>
    <w:p w:rsidR="00E42522" w:rsidRDefault="005D794B" w:rsidP="00E42522">
      <w:pPr>
        <w:pStyle w:val="Heading4"/>
      </w:pPr>
      <w:r>
        <w:t>Copyright statement</w:t>
      </w:r>
    </w:p>
    <w:p w:rsidR="00E42522" w:rsidRDefault="00E42522" w:rsidP="00E42522">
      <w:pPr>
        <w:pStyle w:val="BodyText"/>
      </w:pPr>
      <w:r>
        <w:t>Unless otherwise noted, copyright in this annual report is owned by the Commonwealth of Australia, represented by Services Australia.</w:t>
      </w:r>
    </w:p>
    <w:p w:rsidR="00E42522" w:rsidRDefault="00E42522" w:rsidP="00E42522">
      <w:pPr>
        <w:pStyle w:val="BodyText"/>
        <w:spacing w:after="0"/>
      </w:pPr>
      <w:r>
        <w:t xml:space="preserve">ISSN: 1832-8792 (Print) </w:t>
      </w:r>
    </w:p>
    <w:p w:rsidR="00E42522" w:rsidRDefault="00E42522" w:rsidP="00E42522">
      <w:pPr>
        <w:pStyle w:val="BodyText"/>
      </w:pPr>
      <w:r>
        <w:t>ISSN: 1838-2452 (Online)</w:t>
      </w:r>
    </w:p>
    <w:p w:rsidR="00E42522" w:rsidRDefault="00E42522" w:rsidP="00E42522">
      <w:pPr>
        <w:pStyle w:val="Heading4"/>
      </w:pPr>
      <w:r>
        <w:t>Attribution</w:t>
      </w:r>
    </w:p>
    <w:p w:rsidR="00E42522" w:rsidRDefault="00E42522" w:rsidP="00E42522">
      <w:pPr>
        <w:pStyle w:val="BodyText"/>
        <w:spacing w:after="57"/>
      </w:pPr>
      <w:r>
        <w:t>Except where otherwise noted, content in this publication is licensed under a Creative Commons Attribution 4.0 Australia Licence, with the exception of:</w:t>
      </w:r>
    </w:p>
    <w:p w:rsidR="00E42522" w:rsidRDefault="00E42522" w:rsidP="00E42522">
      <w:pPr>
        <w:pStyle w:val="ListBullet"/>
      </w:pPr>
      <w:r>
        <w:tab/>
        <w:t>the Commonwealth Coat of Arms;</w:t>
      </w:r>
    </w:p>
    <w:p w:rsidR="00E42522" w:rsidRDefault="00E42522" w:rsidP="00E42522">
      <w:pPr>
        <w:pStyle w:val="ListBullet"/>
      </w:pPr>
      <w:r>
        <w:tab/>
        <w:t>the Australian Government Services Australia logo;</w:t>
      </w:r>
    </w:p>
    <w:p w:rsidR="00E42522" w:rsidRDefault="00E42522" w:rsidP="00E42522">
      <w:pPr>
        <w:pStyle w:val="ListBullet"/>
      </w:pPr>
      <w:r>
        <w:tab/>
        <w:t>any protected names and symbols under Commonwealth legislation;</w:t>
      </w:r>
    </w:p>
    <w:p w:rsidR="00E42522" w:rsidRDefault="00E42522" w:rsidP="00E42522">
      <w:pPr>
        <w:pStyle w:val="ListBullet"/>
      </w:pPr>
      <w:r>
        <w:tab/>
        <w:t>any registered trademarks owned by the Commonwealth of Australia;</w:t>
      </w:r>
    </w:p>
    <w:p w:rsidR="00E42522" w:rsidRDefault="00E42522" w:rsidP="00E42522">
      <w:pPr>
        <w:pStyle w:val="ListBullet"/>
      </w:pPr>
      <w:r>
        <w:tab/>
        <w:t>images; and</w:t>
      </w:r>
    </w:p>
    <w:p w:rsidR="00E42522" w:rsidRDefault="00E42522" w:rsidP="00E42522">
      <w:pPr>
        <w:pStyle w:val="ListBullet"/>
      </w:pPr>
      <w:r>
        <w:tab/>
      </w:r>
      <w:proofErr w:type="gramStart"/>
      <w:r>
        <w:t>content</w:t>
      </w:r>
      <w:proofErr w:type="gramEnd"/>
      <w:r>
        <w:t xml:space="preserve"> supplied by third parties, as identified.</w:t>
      </w:r>
    </w:p>
    <w:p w:rsidR="00E42522" w:rsidRDefault="00E42522" w:rsidP="00E42522">
      <w:pPr>
        <w:pStyle w:val="BodyText"/>
      </w:pPr>
      <w:r>
        <w:t>Full details of the licensed terms are available on the Creative Commons website.</w:t>
      </w:r>
    </w:p>
    <w:p w:rsidR="00E42522" w:rsidRDefault="00E42522" w:rsidP="00E42522">
      <w:pPr>
        <w:pStyle w:val="BodyText"/>
      </w:pPr>
      <w:r>
        <w:t>The terms of use for the Coat of Arms are available from the Department of the Prime Minister and Cabinet website.</w:t>
      </w:r>
    </w:p>
    <w:p w:rsidR="00E42522" w:rsidRDefault="00E42522" w:rsidP="00E42522">
      <w:pPr>
        <w:pStyle w:val="BodyText"/>
      </w:pPr>
      <w:r>
        <w:t xml:space="preserve">Material obtained from this annual report is to be attributed to Services Australia as </w:t>
      </w:r>
      <w:r>
        <w:rPr>
          <w:rStyle w:val="Boldnobreak"/>
        </w:rPr>
        <w:t>© Commonwealth of Australia</w:t>
      </w:r>
      <w:r>
        <w:t>.</w:t>
      </w:r>
    </w:p>
    <w:p w:rsidR="00E42522" w:rsidRDefault="00E42522" w:rsidP="00E42522">
      <w:pPr>
        <w:pStyle w:val="BodyText"/>
        <w:rPr>
          <w:rStyle w:val="NoBreak"/>
        </w:rPr>
      </w:pPr>
      <w:r>
        <w:t>Whenever a third party holds copyright in material presented in this publication, the copyright remains with that party. Th</w:t>
      </w:r>
      <w:r>
        <w:rPr>
          <w:rStyle w:val="NoBreak"/>
        </w:rPr>
        <w:t>eir per</w:t>
      </w:r>
      <w:r>
        <w:t>mission may be required to use the material. We have made all reasonable effor</w:t>
      </w:r>
      <w:r>
        <w:rPr>
          <w:rStyle w:val="NoBreak"/>
        </w:rPr>
        <w:t>ts to:</w:t>
      </w:r>
    </w:p>
    <w:p w:rsidR="00E42522" w:rsidRDefault="00E42522" w:rsidP="00E42522">
      <w:pPr>
        <w:pStyle w:val="ListBullet"/>
      </w:pPr>
      <w:r>
        <w:t xml:space="preserve">clearly label and attribute material where the copyright is owned by a third party; and </w:t>
      </w:r>
    </w:p>
    <w:p w:rsidR="00E42522" w:rsidRDefault="00E42522" w:rsidP="00E42522">
      <w:pPr>
        <w:pStyle w:val="ListBullet"/>
      </w:pPr>
      <w:r>
        <w:tab/>
      </w:r>
      <w:proofErr w:type="gramStart"/>
      <w:r>
        <w:t>make</w:t>
      </w:r>
      <w:proofErr w:type="gramEnd"/>
      <w:r>
        <w:t xml:space="preserve"> sure the copyright owner has consented to this material being presented in this publication.</w:t>
      </w:r>
    </w:p>
    <w:p w:rsidR="00E42522" w:rsidRDefault="005D794B" w:rsidP="00E42522">
      <w:pPr>
        <w:pStyle w:val="Heading4"/>
      </w:pPr>
      <w:r>
        <w:t>Contact information</w:t>
      </w:r>
    </w:p>
    <w:p w:rsidR="00E42522" w:rsidRDefault="00E42522" w:rsidP="00E42522">
      <w:pPr>
        <w:pStyle w:val="BodyText"/>
      </w:pPr>
      <w:r>
        <w:t>If you have any feedback or queries regarding this annual report, or you would like a copy of the report, please contact:</w:t>
      </w:r>
    </w:p>
    <w:p w:rsidR="00E42522" w:rsidRDefault="00AC4959" w:rsidP="00AC4959">
      <w:pPr>
        <w:pStyle w:val="BodyText"/>
        <w:rPr>
          <w:rStyle w:val="Bold"/>
        </w:rPr>
      </w:pPr>
      <w:r>
        <w:rPr>
          <w:rStyle w:val="Bold"/>
        </w:rPr>
        <w:t>Annual report coordinator</w:t>
      </w:r>
    </w:p>
    <w:p w:rsidR="00E42522" w:rsidRDefault="00E42522" w:rsidP="00E42522">
      <w:pPr>
        <w:pStyle w:val="BodyText"/>
        <w:spacing w:after="0"/>
      </w:pPr>
      <w:r>
        <w:t>Performance, Priorities and Reporting Branch</w:t>
      </w:r>
    </w:p>
    <w:p w:rsidR="00E42522" w:rsidRDefault="00E42522" w:rsidP="00E42522">
      <w:pPr>
        <w:pStyle w:val="BodyText"/>
        <w:spacing w:after="0"/>
      </w:pPr>
      <w:r>
        <w:lastRenderedPageBreak/>
        <w:t>Enterprise Strategy and Governance Division</w:t>
      </w:r>
    </w:p>
    <w:p w:rsidR="00E42522" w:rsidRDefault="00E42522" w:rsidP="00E42522">
      <w:pPr>
        <w:pStyle w:val="BodyText"/>
        <w:spacing w:after="0"/>
      </w:pPr>
      <w:r>
        <w:t xml:space="preserve">Services Australia </w:t>
      </w:r>
    </w:p>
    <w:p w:rsidR="00E42522" w:rsidRDefault="00E42522" w:rsidP="00E42522">
      <w:pPr>
        <w:pStyle w:val="BodyText"/>
        <w:spacing w:after="0"/>
      </w:pPr>
      <w:r>
        <w:t xml:space="preserve">PO Box 7788 </w:t>
      </w:r>
    </w:p>
    <w:p w:rsidR="00E42522" w:rsidRDefault="00E42522" w:rsidP="00E42522">
      <w:pPr>
        <w:pStyle w:val="BodyText"/>
      </w:pPr>
      <w:r>
        <w:t>Canberra BC ACT 2610</w:t>
      </w:r>
    </w:p>
    <w:p w:rsidR="00E42522" w:rsidRDefault="00E42522" w:rsidP="00E42522">
      <w:pPr>
        <w:pStyle w:val="BodyText"/>
      </w:pPr>
      <w:r>
        <w:t xml:space="preserve">Email: </w:t>
      </w:r>
      <w:r>
        <w:rPr>
          <w:rStyle w:val="Boldnobreak"/>
        </w:rPr>
        <w:t>annual.report@servicesaustralia.gov.au</w:t>
      </w:r>
    </w:p>
    <w:p w:rsidR="00E42522" w:rsidRDefault="00E42522" w:rsidP="00E42522">
      <w:pPr>
        <w:pStyle w:val="BodyText"/>
      </w:pPr>
      <w:r>
        <w:t xml:space="preserve">This annual report is available online at </w:t>
      </w:r>
      <w:r>
        <w:rPr>
          <w:rStyle w:val="Boldnobreak"/>
        </w:rPr>
        <w:t>transparency.gov.au</w:t>
      </w:r>
      <w:r>
        <w:t xml:space="preserve"> or </w:t>
      </w:r>
      <w:r>
        <w:rPr>
          <w:rStyle w:val="Boldnobreak"/>
        </w:rPr>
        <w:t>servicesaustralia.gov.au</w:t>
      </w:r>
    </w:p>
    <w:p w:rsidR="00E42522" w:rsidRDefault="00E42522" w:rsidP="00E42522">
      <w:pPr>
        <w:pStyle w:val="BodyText"/>
      </w:pPr>
      <w:r>
        <w:t xml:space="preserve">To speak to the agency in languages other than English, please call </w:t>
      </w:r>
      <w:r>
        <w:rPr>
          <w:rStyle w:val="Boldnobreak"/>
        </w:rPr>
        <w:t>131 202</w:t>
      </w:r>
      <w:r>
        <w:t>.</w:t>
      </w:r>
    </w:p>
    <w:p w:rsidR="00E42522" w:rsidRDefault="00E42522" w:rsidP="00E42522">
      <w:pPr>
        <w:pStyle w:val="BodyText"/>
      </w:pPr>
      <w:r>
        <w:t xml:space="preserve">If you are deaf or have a hearing or speech impairment, please call </w:t>
      </w:r>
      <w:r w:rsidRPr="00AC4959">
        <w:t xml:space="preserve">1800 810 586 </w:t>
      </w:r>
      <w:r>
        <w:t>(a TTY phone is required to use this service).</w:t>
      </w:r>
    </w:p>
    <w:p w:rsidR="00E42522" w:rsidRDefault="00E42522" w:rsidP="00E42522">
      <w:pPr>
        <w:pStyle w:val="BodyText"/>
        <w:spacing w:after="57"/>
      </w:pPr>
      <w:r>
        <w:t xml:space="preserve">More information about the agency is available at </w:t>
      </w:r>
      <w:r>
        <w:rPr>
          <w:rStyle w:val="Boldnobreak"/>
        </w:rPr>
        <w:t>servicesaustralia.gov.au</w:t>
      </w:r>
      <w:r w:rsidRPr="00AC4959">
        <w:t xml:space="preserve"> </w:t>
      </w:r>
      <w:r>
        <w:t>and on social media at:</w:t>
      </w:r>
    </w:p>
    <w:p w:rsidR="00E42522" w:rsidRDefault="00E42522" w:rsidP="00E42522">
      <w:pPr>
        <w:pStyle w:val="ListBullet"/>
      </w:pPr>
      <w:r>
        <w:t>facebook.com/</w:t>
      </w:r>
      <w:proofErr w:type="spellStart"/>
      <w:r>
        <w:t>ServicesAustraliaAU</w:t>
      </w:r>
      <w:proofErr w:type="spellEnd"/>
      <w:r>
        <w:t xml:space="preserve"> </w:t>
      </w:r>
    </w:p>
    <w:p w:rsidR="00E42522" w:rsidRDefault="00E42522" w:rsidP="00E42522">
      <w:pPr>
        <w:pStyle w:val="ListBullet"/>
      </w:pPr>
      <w:r>
        <w:t>twitter.com/</w:t>
      </w:r>
      <w:proofErr w:type="spellStart"/>
      <w:r>
        <w:t>ServicesAustraliaAU</w:t>
      </w:r>
      <w:proofErr w:type="spellEnd"/>
      <w:r>
        <w:t xml:space="preserve"> </w:t>
      </w:r>
    </w:p>
    <w:p w:rsidR="00E42522" w:rsidRDefault="00E42522" w:rsidP="00E42522">
      <w:pPr>
        <w:pStyle w:val="ListBullet"/>
      </w:pPr>
      <w:r>
        <w:t>youtube.com/user/</w:t>
      </w:r>
      <w:proofErr w:type="spellStart"/>
      <w:r>
        <w:t>ServicesAustraliaAU</w:t>
      </w:r>
      <w:proofErr w:type="spellEnd"/>
    </w:p>
    <w:p w:rsidR="00E42522" w:rsidRDefault="00E42522" w:rsidP="005D794B">
      <w:pPr>
        <w:pStyle w:val="Heading1"/>
      </w:pPr>
      <w:r>
        <w:t>Letter of transmittal</w:t>
      </w:r>
    </w:p>
    <w:p w:rsidR="008E273C" w:rsidRDefault="008E273C" w:rsidP="008E273C">
      <w:pPr>
        <w:pStyle w:val="Heading1"/>
      </w:pPr>
      <w:r>
        <w:t>Chief Executive Officer’s review</w:t>
      </w:r>
    </w:p>
    <w:p w:rsidR="008E273C" w:rsidRDefault="008E273C" w:rsidP="005D794B">
      <w:pPr>
        <w:pStyle w:val="BodyText"/>
      </w:pPr>
      <w:r>
        <w:t>In 2020 we marked our one-year anniversary as Services Australia. At the outset of that journey, we could not have anticipated just how critical our vision for a better service would prove to be. Australians have looked to us in crises on a scale we had never encountered, from the bushfires that raged for months across the country, to a global pandemic that created uncertainty for all.</w:t>
      </w:r>
    </w:p>
    <w:p w:rsidR="008E273C" w:rsidRDefault="008E273C" w:rsidP="008E273C">
      <w:pPr>
        <w:pStyle w:val="BodyText"/>
      </w:pPr>
      <w:r>
        <w:t>The figures in this report are a testament to enormous hardship in the community. They are also a testament to an agency with the capacity to do things differently, to do them better and on a large scale.</w:t>
      </w:r>
    </w:p>
    <w:p w:rsidR="008E273C" w:rsidRDefault="008E273C" w:rsidP="008E273C">
      <w:pPr>
        <w:pStyle w:val="BodyText"/>
        <w:rPr>
          <w:rStyle w:val="NoBreak"/>
        </w:rPr>
      </w:pPr>
      <w:r>
        <w:t>We enter the new financial year with record low claims on hand, significantly enhanced online services and measurable improvements in our response times across multiple channels and all that despite an unprecedented surge i</w:t>
      </w:r>
      <w:r>
        <w:rPr>
          <w:rStyle w:val="NoBreak"/>
        </w:rPr>
        <w:t>n demand.</w:t>
      </w:r>
    </w:p>
    <w:p w:rsidR="008E273C" w:rsidRDefault="008E273C" w:rsidP="008E273C">
      <w:pPr>
        <w:pStyle w:val="BodyText"/>
      </w:pPr>
      <w:r>
        <w:t xml:space="preserve">This report shows how far we have come in a short time. Our role is to efficiently deliver high quality, accessible services and payments on behalf of government. We recognise that Australians are seeking more simple, helpful, respectful and transparent paths to that support. </w:t>
      </w:r>
    </w:p>
    <w:p w:rsidR="008E273C" w:rsidRDefault="008E273C" w:rsidP="008E273C">
      <w:pPr>
        <w:pStyle w:val="BodyText"/>
      </w:pPr>
      <w:r>
        <w:t xml:space="preserve">This approach shaped our responses to the many challenges of </w:t>
      </w:r>
      <w:r>
        <w:rPr>
          <w:rStyle w:val="NoBreak"/>
        </w:rPr>
        <w:t>2019–20</w:t>
      </w:r>
      <w:r>
        <w:t>, and will continue to guide our</w:t>
      </w:r>
      <w:r w:rsidR="005D794B">
        <w:t xml:space="preserve"> effort for some time to come.</w:t>
      </w:r>
    </w:p>
    <w:p w:rsidR="008E273C" w:rsidRDefault="005D794B" w:rsidP="008E273C">
      <w:pPr>
        <w:pStyle w:val="Heading4"/>
      </w:pPr>
      <w:r>
        <w:t>Meeting the covid-19 challenge</w:t>
      </w:r>
    </w:p>
    <w:p w:rsidR="008E273C" w:rsidRDefault="008E273C" w:rsidP="008E273C">
      <w:pPr>
        <w:pStyle w:val="BodyText"/>
      </w:pPr>
      <w:r>
        <w:t xml:space="preserve">COVID-19 will no doubt be remembered as the defining challenge of this period, and so it has been for our agency. The pandemic created a level of community need not seen since the Great Depression. </w:t>
      </w:r>
    </w:p>
    <w:p w:rsidR="008E273C" w:rsidRDefault="008E273C" w:rsidP="008E273C">
      <w:pPr>
        <w:pStyle w:val="BodyText"/>
      </w:pPr>
      <w:r>
        <w:t xml:space="preserve">As Australia went into widespread lockdown, we acted quickly to respond to the demand, while ensuring our customers could be assisted safely from their homes or by our frontline staff. </w:t>
      </w:r>
    </w:p>
    <w:p w:rsidR="008E273C" w:rsidRDefault="008E273C" w:rsidP="008E273C">
      <w:pPr>
        <w:pStyle w:val="BodyText"/>
        <w:rPr>
          <w:spacing w:val="-4"/>
        </w:rPr>
      </w:pPr>
      <w:r>
        <w:rPr>
          <w:spacing w:val="-3"/>
        </w:rPr>
        <w:lastRenderedPageBreak/>
        <w:t xml:space="preserve">We processed 1.3 million </w:t>
      </w:r>
      <w:proofErr w:type="spellStart"/>
      <w:r>
        <w:rPr>
          <w:spacing w:val="-3"/>
        </w:rPr>
        <w:t>JobSeeker</w:t>
      </w:r>
      <w:proofErr w:type="spellEnd"/>
      <w:r>
        <w:rPr>
          <w:spacing w:val="-3"/>
        </w:rPr>
        <w:t xml:space="preserve"> claims in 55 days, a claim volume normally </w:t>
      </w:r>
      <w:r>
        <w:t xml:space="preserve">processed in two and a half years. At the peak of demand, more than 53,000 claims </w:t>
      </w:r>
      <w:r>
        <w:rPr>
          <w:spacing w:val="-4"/>
        </w:rPr>
        <w:t>were completed in a single day.</w:t>
      </w:r>
    </w:p>
    <w:p w:rsidR="008E273C" w:rsidRDefault="008E273C" w:rsidP="008E273C">
      <w:pPr>
        <w:pStyle w:val="BodyText"/>
      </w:pPr>
      <w:r>
        <w:t xml:space="preserve">We achieved this by mobilising additional staff, including through a redeployment of resources across the Australian Public Service. This increased our claims processing capability and enabled us to answer the influx of phone calls and social media enquiries. </w:t>
      </w:r>
    </w:p>
    <w:p w:rsidR="008E273C" w:rsidRDefault="008E273C" w:rsidP="008E273C">
      <w:pPr>
        <w:pStyle w:val="BodyText"/>
      </w:pPr>
      <w:r>
        <w:t xml:space="preserve">New physical safety measures and the commitment of frontline staff also ensured that more than 300 walk-in service centres located around the country could stay open. </w:t>
      </w:r>
    </w:p>
    <w:p w:rsidR="008E273C" w:rsidRDefault="008E273C" w:rsidP="008E273C">
      <w:pPr>
        <w:pStyle w:val="BodyText"/>
      </w:pPr>
      <w:r>
        <w:t xml:space="preserve">At the same time, we enabled many thousands of customers to make the transition to online service. An ‘intent to claim’ process was rapidly built and launched to enable people to register with us and secure the </w:t>
      </w:r>
      <w:proofErr w:type="spellStart"/>
      <w:r>
        <w:t>JobSeeker</w:t>
      </w:r>
      <w:proofErr w:type="spellEnd"/>
      <w:r>
        <w:t xml:space="preserve"> Payment from the date they became unemployed, even if they could not visit a service centre in person.</w:t>
      </w:r>
    </w:p>
    <w:p w:rsidR="008E273C" w:rsidRDefault="008E273C" w:rsidP="008E273C">
      <w:pPr>
        <w:pStyle w:val="BodyText"/>
      </w:pPr>
      <w:r>
        <w:t xml:space="preserve">We boosted </w:t>
      </w:r>
      <w:proofErr w:type="spellStart"/>
      <w:r>
        <w:t>myGov’s</w:t>
      </w:r>
      <w:proofErr w:type="spellEnd"/>
      <w:r>
        <w:t xml:space="preserve"> capacity so that it now has the largest capacity of any authenticated online platform in Australia.</w:t>
      </w:r>
    </w:p>
    <w:p w:rsidR="008E273C" w:rsidRDefault="008E273C" w:rsidP="00E42522">
      <w:pPr>
        <w:pStyle w:val="BodyText"/>
      </w:pPr>
      <w:r>
        <w:t>In all, during 2019–20 Services Australia:</w:t>
      </w:r>
    </w:p>
    <w:p w:rsidR="008E273C" w:rsidRDefault="008E273C" w:rsidP="00E42522">
      <w:pPr>
        <w:pStyle w:val="ListBullet"/>
      </w:pPr>
      <w:r>
        <w:tab/>
        <w:t xml:space="preserve">paid more than $5.6 billion in Coronavirus Supplements </w:t>
      </w:r>
    </w:p>
    <w:p w:rsidR="008E273C" w:rsidRDefault="008E273C" w:rsidP="00E42522">
      <w:pPr>
        <w:pStyle w:val="ListBullet"/>
      </w:pPr>
      <w:r>
        <w:tab/>
        <w:t xml:space="preserve">delivered $5.3 billion in Economic Support Payments </w:t>
      </w:r>
    </w:p>
    <w:p w:rsidR="008E273C" w:rsidRDefault="008E273C" w:rsidP="00E42522">
      <w:pPr>
        <w:pStyle w:val="ListBullet"/>
      </w:pPr>
      <w:r>
        <w:tab/>
        <w:t xml:space="preserve">processed more than 1.4 million </w:t>
      </w:r>
      <w:proofErr w:type="spellStart"/>
      <w:r>
        <w:t>JobSeeker</w:t>
      </w:r>
      <w:proofErr w:type="spellEnd"/>
      <w:r>
        <w:t xml:space="preserve"> Payment claims</w:t>
      </w:r>
    </w:p>
    <w:p w:rsidR="008E273C" w:rsidRDefault="008E273C" w:rsidP="00E42522">
      <w:pPr>
        <w:pStyle w:val="ListBullet"/>
      </w:pPr>
      <w:r>
        <w:tab/>
      </w:r>
      <w:proofErr w:type="gramStart"/>
      <w:r>
        <w:t>increased</w:t>
      </w:r>
      <w:proofErr w:type="gramEnd"/>
      <w:r>
        <w:t xml:space="preserve"> a number of aged care subsidies and supplements, introduced a new emergency leave provision to further support the sector, and paid over $198 million as a one-off COVID-19 Support Supplement for residential aged care providers.</w:t>
      </w:r>
    </w:p>
    <w:p w:rsidR="008E273C" w:rsidRDefault="005D794B" w:rsidP="008E273C">
      <w:pPr>
        <w:pStyle w:val="Heading4"/>
      </w:pPr>
      <w:r>
        <w:t>Making our services simpler</w:t>
      </w:r>
    </w:p>
    <w:p w:rsidR="008E273C" w:rsidRDefault="008E273C" w:rsidP="008E273C">
      <w:pPr>
        <w:pStyle w:val="BodyText"/>
      </w:pPr>
      <w:r>
        <w:t xml:space="preserve">These outcomes would not have been possible without the ongoing modernisation of our processes and systems.  </w:t>
      </w:r>
    </w:p>
    <w:p w:rsidR="008E273C" w:rsidRDefault="008E273C" w:rsidP="008E273C">
      <w:pPr>
        <w:pStyle w:val="BodyText"/>
      </w:pPr>
      <w:r>
        <w:t xml:space="preserve">Through our Welfare Payment Infrastructure Transformation (WPIT) programme, we are building the architecture we need to realise our service delivery goals. </w:t>
      </w:r>
    </w:p>
    <w:p w:rsidR="008E273C" w:rsidRDefault="008E273C" w:rsidP="00E42522">
      <w:pPr>
        <w:pStyle w:val="BodyText"/>
      </w:pPr>
      <w:r>
        <w:t>This year we introduced a new digital platform, making it quick and easy for our customers to make online claims. Benefits include:</w:t>
      </w:r>
    </w:p>
    <w:p w:rsidR="008E273C" w:rsidRDefault="008E273C" w:rsidP="00E42522">
      <w:pPr>
        <w:pStyle w:val="ListBullet"/>
      </w:pPr>
      <w:r>
        <w:tab/>
        <w:t xml:space="preserve">more online claim options </w:t>
      </w:r>
    </w:p>
    <w:p w:rsidR="008E273C" w:rsidRDefault="008E273C" w:rsidP="00E42522">
      <w:pPr>
        <w:pStyle w:val="ListBullet"/>
      </w:pPr>
      <w:r>
        <w:tab/>
        <w:t>the introduction of up-front eligibility questions to make sure customers claim the right payment</w:t>
      </w:r>
    </w:p>
    <w:p w:rsidR="008E273C" w:rsidRDefault="008E273C" w:rsidP="00E42522">
      <w:pPr>
        <w:pStyle w:val="ListBullet"/>
      </w:pPr>
      <w:r>
        <w:tab/>
        <w:t>pre-filled customer claim forms</w:t>
      </w:r>
    </w:p>
    <w:p w:rsidR="008E273C" w:rsidRDefault="008E273C" w:rsidP="00E42522">
      <w:pPr>
        <w:pStyle w:val="ListBullet"/>
      </w:pPr>
      <w:r>
        <w:tab/>
        <w:t>an enhanced Payment and Service Finder tool</w:t>
      </w:r>
    </w:p>
    <w:p w:rsidR="008E273C" w:rsidRDefault="008E273C" w:rsidP="00E42522">
      <w:pPr>
        <w:pStyle w:val="ListBullet"/>
      </w:pPr>
      <w:r>
        <w:tab/>
        <w:t xml:space="preserve">the ability to make an online claim on a mobile device </w:t>
      </w:r>
    </w:p>
    <w:p w:rsidR="008E273C" w:rsidRDefault="008E273C" w:rsidP="00E42522">
      <w:pPr>
        <w:pStyle w:val="ListBullet"/>
      </w:pPr>
      <w:r>
        <w:tab/>
      </w:r>
      <w:proofErr w:type="gramStart"/>
      <w:r>
        <w:t>fewer</w:t>
      </w:r>
      <w:proofErr w:type="gramEnd"/>
      <w:r>
        <w:t xml:space="preserve"> and easier to understand online claims questions. </w:t>
      </w:r>
    </w:p>
    <w:p w:rsidR="008E273C" w:rsidRDefault="008E273C" w:rsidP="008E273C">
      <w:pPr>
        <w:pStyle w:val="BodyText"/>
        <w:rPr>
          <w:rStyle w:val="NoBreak"/>
          <w:spacing w:val="-1"/>
        </w:rPr>
      </w:pPr>
      <w:r>
        <w:rPr>
          <w:spacing w:val="-1"/>
        </w:rPr>
        <w:t>These measures save our customers time and energy, make it easier for them to provide us with accurate information, and accelerate the processing o</w:t>
      </w:r>
      <w:r>
        <w:rPr>
          <w:rStyle w:val="NoBreak"/>
          <w:spacing w:val="-1"/>
        </w:rPr>
        <w:t>f claims.</w:t>
      </w:r>
    </w:p>
    <w:p w:rsidR="008E273C" w:rsidRDefault="008E273C" w:rsidP="008E273C">
      <w:pPr>
        <w:pStyle w:val="BodyText"/>
      </w:pPr>
      <w:r>
        <w:lastRenderedPageBreak/>
        <w:t xml:space="preserve">During this year’s bushfire season, for example, we made more than </w:t>
      </w:r>
      <w:r>
        <w:rPr>
          <w:rStyle w:val="NoBreak"/>
        </w:rPr>
        <w:t>$233 milli</w:t>
      </w:r>
      <w:r>
        <w:t>on in Australian Government Disaster Recovery Payments and answered over 200,000 calls via our disaster payments hotline. In most cases, these payments were made in minutes using the New Payments Platform.</w:t>
      </w:r>
    </w:p>
    <w:p w:rsidR="008E273C" w:rsidRDefault="005D794B" w:rsidP="008E273C">
      <w:pPr>
        <w:pStyle w:val="Heading4"/>
      </w:pPr>
      <w:r>
        <w:t>Listening to our customers and our people</w:t>
      </w:r>
    </w:p>
    <w:p w:rsidR="008E273C" w:rsidRDefault="008E273C" w:rsidP="008E273C">
      <w:pPr>
        <w:pStyle w:val="BodyText"/>
      </w:pPr>
      <w:r>
        <w:t>Throughout the 2019–20 financial year we continued to put our customers at the centre of what we do. Customer feedback and proactive user research has helped us align our plans to what our diverse communities need. W</w:t>
      </w:r>
      <w:r>
        <w:rPr>
          <w:rStyle w:val="NoBreak"/>
        </w:rPr>
        <w:t>e encoura</w:t>
      </w:r>
      <w:r>
        <w:t>ged suggestions about services and new initiatives. We also drew on staff knowledge, experience and ideas to find better ways of operating and delivering for our customers. Our internal Innovation Challenge about what we could do better for our customers saw over 800 ideas put forward by staff, a reflection of their commitment to our vision for change.</w:t>
      </w:r>
    </w:p>
    <w:p w:rsidR="008E273C" w:rsidRDefault="005D794B" w:rsidP="008E273C">
      <w:pPr>
        <w:pStyle w:val="Heading4"/>
      </w:pPr>
      <w:r>
        <w:t>Financial and performance outcomes</w:t>
      </w:r>
    </w:p>
    <w:p w:rsidR="008E273C" w:rsidRDefault="008E273C" w:rsidP="008E273C">
      <w:pPr>
        <w:pStyle w:val="BodyText"/>
      </w:pPr>
      <w:r>
        <w:t xml:space="preserve">In 2019–20 Services Australia administered $203.7 billion in payments, the majority on behalf of the Department of Social Services, the Department of Health and the Department of Education, Skills and Employment. </w:t>
      </w:r>
    </w:p>
    <w:p w:rsidR="008E273C" w:rsidRDefault="008E273C" w:rsidP="008E273C">
      <w:pPr>
        <w:pStyle w:val="BodyText"/>
      </w:pPr>
      <w:r>
        <w:t>The agency received additional funding of $521 million to support the response to the COVID-19 pandemic. This funding was used to meet the increased demand for services to the community.</w:t>
      </w:r>
    </w:p>
    <w:p w:rsidR="008E273C" w:rsidRDefault="008E273C" w:rsidP="008E273C">
      <w:pPr>
        <w:pStyle w:val="BodyText"/>
      </w:pPr>
      <w:r>
        <w:t>The agency reported an operating surplus of $346.6 million after adjusting for unfunded depreciation and amortisation expenses and principal lease payments, primarily due to unspent COVID-19 funding.</w:t>
      </w:r>
    </w:p>
    <w:p w:rsidR="008E273C" w:rsidRDefault="008E273C" w:rsidP="008E273C">
      <w:pPr>
        <w:pStyle w:val="BodyText"/>
      </w:pPr>
      <w:r>
        <w:t>In 2019–20 the agency met 22 of its 30 performance measure targets, noting three new measures were being baselined and did not include targets. In</w:t>
      </w:r>
      <w:r>
        <w:rPr>
          <w:rStyle w:val="NoBreak"/>
        </w:rPr>
        <w:t xml:space="preserve"> co</w:t>
      </w:r>
      <w:r>
        <w:t xml:space="preserve">mparison, the agency met 20 of 27 in </w:t>
      </w:r>
      <w:r>
        <w:rPr>
          <w:rStyle w:val="NoBreak"/>
        </w:rPr>
        <w:t>2018–19</w:t>
      </w:r>
      <w:r>
        <w:t xml:space="preserve"> and 30 of 36 in 2</w:t>
      </w:r>
      <w:r>
        <w:rPr>
          <w:rStyle w:val="NoBreak"/>
        </w:rPr>
        <w:t>016–1</w:t>
      </w:r>
      <w:r>
        <w:t xml:space="preserve">7. </w:t>
      </w:r>
    </w:p>
    <w:p w:rsidR="008E273C" w:rsidRDefault="005D794B" w:rsidP="008E273C">
      <w:pPr>
        <w:pStyle w:val="Heading4"/>
      </w:pPr>
      <w:r>
        <w:t>The year ahead</w:t>
      </w:r>
    </w:p>
    <w:p w:rsidR="008E273C" w:rsidRDefault="008E273C" w:rsidP="008E273C">
      <w:pPr>
        <w:pStyle w:val="BodyText"/>
      </w:pPr>
      <w:r>
        <w:t>Our vision is centred on progress, supporting our customers as they progress through life, and supporting our people to progress towards our goals. Th</w:t>
      </w:r>
      <w:r>
        <w:rPr>
          <w:rStyle w:val="NoBreak"/>
        </w:rPr>
        <w:t>is in</w:t>
      </w:r>
      <w:r>
        <w:t>cludes focusing on the things that make the customer experience better, not just in times of crisis, but every day.</w:t>
      </w:r>
    </w:p>
    <w:p w:rsidR="008E273C" w:rsidRDefault="008E273C" w:rsidP="008E273C">
      <w:pPr>
        <w:pStyle w:val="BodyText"/>
      </w:pPr>
      <w:r>
        <w:t xml:space="preserve">In </w:t>
      </w:r>
      <w:r>
        <w:rPr>
          <w:rStyle w:val="NoBreak"/>
        </w:rPr>
        <w:t>2020–2</w:t>
      </w:r>
      <w:r>
        <w:t>1 we will continue to deliver tangible, practical changes quickly, building over time to become a leader in customer service delivery.</w:t>
      </w:r>
    </w:p>
    <w:p w:rsidR="008E273C" w:rsidRDefault="008E273C" w:rsidP="008E273C">
      <w:pPr>
        <w:pStyle w:val="BodyText"/>
      </w:pPr>
      <w:r>
        <w:t xml:space="preserve">Crucially, we will start the fourth phase of WPIT. We will continue to streamline processes for customers and staff, enhancing our digital services, increasing automation, making better use of data and developing technology that is reusable across government. </w:t>
      </w:r>
    </w:p>
    <w:p w:rsidR="008E273C" w:rsidRDefault="008E273C" w:rsidP="008E273C">
      <w:pPr>
        <w:pStyle w:val="BodyText"/>
      </w:pPr>
      <w:r>
        <w:t xml:space="preserve">The social and economic impact of the COVID-19 pandemic will continue to challenge our community. We will need to respond to circumstances beyond our control that require our support. I am confident that, with the lessons learned, we are up to the task. </w:t>
      </w:r>
    </w:p>
    <w:p w:rsidR="008E273C" w:rsidRDefault="008E273C" w:rsidP="008E273C">
      <w:pPr>
        <w:pStyle w:val="BodyText"/>
      </w:pPr>
      <w:r>
        <w:t>I have great optimism for the progress we can achieve as we continue our transformation journey over the coming year and beyond.</w:t>
      </w:r>
    </w:p>
    <w:p w:rsidR="008E273C" w:rsidRDefault="005D794B" w:rsidP="008E273C">
      <w:pPr>
        <w:pStyle w:val="Heading4"/>
      </w:pPr>
      <w:r>
        <w:t xml:space="preserve">Acknowledgements </w:t>
      </w:r>
    </w:p>
    <w:p w:rsidR="008E273C" w:rsidRDefault="008E273C" w:rsidP="008E273C">
      <w:pPr>
        <w:pStyle w:val="BodyText"/>
      </w:pPr>
      <w:r>
        <w:t>I would like to acknowledge the leadership of my predecessor, Renée Leon.</w:t>
      </w:r>
    </w:p>
    <w:p w:rsidR="008E273C" w:rsidRDefault="008E273C" w:rsidP="008E273C">
      <w:pPr>
        <w:pStyle w:val="BodyText"/>
      </w:pPr>
      <w:r>
        <w:lastRenderedPageBreak/>
        <w:t>I would also like to thank all those who have stepped up with unwavering resolve during this uniquely challenging year, including those newly recruited to our team and those who assisted us from across the Australian Public Service.</w:t>
      </w:r>
    </w:p>
    <w:p w:rsidR="008E273C" w:rsidRDefault="008E273C" w:rsidP="008E273C">
      <w:pPr>
        <w:pStyle w:val="BodyText"/>
      </w:pPr>
      <w:r>
        <w:t xml:space="preserve">Finally, and most importantly, I thank both our staff at the frontline and our enabling teams who have put in an extraordinary effort, often in unfamiliar places or roles. Many live and work outside Canberra in their own communities, supporting others with compassion, integrity and understanding. </w:t>
      </w:r>
    </w:p>
    <w:p w:rsidR="008E273C" w:rsidRDefault="008E273C" w:rsidP="008E273C">
      <w:pPr>
        <w:pStyle w:val="BodyText"/>
      </w:pPr>
      <w:r>
        <w:t>I am pleased to present the agency’s Annual Report for 2019–20.</w:t>
      </w:r>
    </w:p>
    <w:p w:rsidR="005D794B" w:rsidRDefault="008E273C" w:rsidP="008E273C">
      <w:pPr>
        <w:pStyle w:val="BodyText"/>
      </w:pPr>
      <w:r>
        <w:t>Rebecca Skinner</w:t>
      </w:r>
    </w:p>
    <w:p w:rsidR="008E273C" w:rsidRDefault="008E273C" w:rsidP="008E273C">
      <w:pPr>
        <w:pStyle w:val="BodyText"/>
      </w:pPr>
      <w:r>
        <w:t>Chief Executive Officer</w:t>
      </w:r>
    </w:p>
    <w:p w:rsidR="005D794B" w:rsidRDefault="005D794B" w:rsidP="00C4340D">
      <w:pPr>
        <w:pStyle w:val="Heading2"/>
      </w:pPr>
      <w:r>
        <w:t>Operational Snapshot</w:t>
      </w:r>
    </w:p>
    <w:p w:rsidR="008E273C" w:rsidRDefault="008E273C" w:rsidP="008E273C">
      <w:pPr>
        <w:pStyle w:val="Heading1"/>
      </w:pPr>
      <w:r>
        <w:t>COVID-19 pandemic</w:t>
      </w:r>
    </w:p>
    <w:p w:rsidR="008E273C" w:rsidRDefault="008E273C" w:rsidP="005D794B">
      <w:pPr>
        <w:pStyle w:val="BodyText"/>
        <w:rPr>
          <w:rStyle w:val="NoBreak"/>
        </w:rPr>
      </w:pPr>
      <w:r>
        <w:t>Due to unprecedented demand for support during the COVID-19 pandemic, Servi</w:t>
      </w:r>
      <w:r>
        <w:rPr>
          <w:rStyle w:val="NoBreak"/>
        </w:rPr>
        <w:t>ces Austra</w:t>
      </w:r>
      <w:r>
        <w:t>lia was at the forefront of the Australian Government’s response. During the year Services Australia helped millions of Australians through a period of hardship and uncertainty many had ne</w:t>
      </w:r>
      <w:r>
        <w:rPr>
          <w:rStyle w:val="NoBreak"/>
        </w:rPr>
        <w:t xml:space="preserve">ver experienced. </w:t>
      </w:r>
    </w:p>
    <w:p w:rsidR="008E273C" w:rsidRDefault="008E273C" w:rsidP="008E273C">
      <w:pPr>
        <w:pStyle w:val="Heading2"/>
      </w:pPr>
      <w:r>
        <w:t>Delivering financial relief</w:t>
      </w:r>
    </w:p>
    <w:p w:rsidR="008E273C" w:rsidRDefault="008E273C" w:rsidP="00E42522">
      <w:pPr>
        <w:pStyle w:val="BodyText"/>
      </w:pPr>
      <w:r>
        <w:t>Initial financial relief injected billions of dollars into the economy:</w:t>
      </w:r>
    </w:p>
    <w:p w:rsidR="008E273C" w:rsidRDefault="008E273C" w:rsidP="00E42522">
      <w:pPr>
        <w:pStyle w:val="ListBullet"/>
        <w:rPr>
          <w:rStyle w:val="NoBreak"/>
        </w:rPr>
      </w:pPr>
      <w:r>
        <w:tab/>
        <w:t>from 27 April 2020 people receiving Jobseeker Payment, including Youth Allowance (</w:t>
      </w:r>
      <w:proofErr w:type="spellStart"/>
      <w:r>
        <w:t>JobSeeker</w:t>
      </w:r>
      <w:proofErr w:type="spellEnd"/>
      <w:r>
        <w:t xml:space="preserve">), started to receive the Coronavirus Supplement of </w:t>
      </w:r>
      <w:r>
        <w:rPr>
          <w:rStyle w:val="NoBreak"/>
        </w:rPr>
        <w:t xml:space="preserve">$550 per fortnight </w:t>
      </w:r>
    </w:p>
    <w:p w:rsidR="008E273C" w:rsidRDefault="008E273C" w:rsidP="00E42522">
      <w:pPr>
        <w:pStyle w:val="ListBullet"/>
      </w:pPr>
      <w:r>
        <w:tab/>
      </w:r>
      <w:proofErr w:type="gramStart"/>
      <w:r>
        <w:t>between</w:t>
      </w:r>
      <w:proofErr w:type="gramEnd"/>
      <w:r>
        <w:t xml:space="preserve"> 12 March and 13 April 2020, Economic Support Payments of $750 were paid to eligible agency customers, including people receiving Age Pension, Carer Payment, Family Tax Benefit, Disability Support Pension and Parenting Payment. (Another Economic Support Payment of $750 is scheduled from 1 July 2020.)</w:t>
      </w:r>
    </w:p>
    <w:p w:rsidR="008E273C" w:rsidRDefault="008E273C" w:rsidP="00E42522">
      <w:pPr>
        <w:pStyle w:val="BodyText"/>
      </w:pPr>
      <w:r>
        <w:t xml:space="preserve">In total, during 2019–20: </w:t>
      </w:r>
    </w:p>
    <w:p w:rsidR="008E273C" w:rsidRDefault="008E273C" w:rsidP="00E42522">
      <w:pPr>
        <w:pStyle w:val="ListBullet"/>
      </w:pPr>
      <w:r>
        <w:tab/>
        <w:t>more than $5.6 billion in Coronavirus Supplements was paid to more than 4</w:t>
      </w:r>
      <w:r>
        <w:rPr>
          <w:rStyle w:val="NoBreak"/>
        </w:rPr>
        <w:t xml:space="preserve"> million</w:t>
      </w:r>
      <w:r>
        <w:t xml:space="preserve"> people</w:t>
      </w:r>
    </w:p>
    <w:p w:rsidR="008E273C" w:rsidRDefault="008E273C" w:rsidP="00E42522">
      <w:pPr>
        <w:pStyle w:val="ListBullet"/>
      </w:pPr>
      <w:r>
        <w:tab/>
        <w:t xml:space="preserve">$5.3 billion in Economic Support Payments were delivered to over </w:t>
      </w:r>
      <w:r>
        <w:rPr>
          <w:rStyle w:val="NoBreak"/>
        </w:rPr>
        <w:t>7 million peopl</w:t>
      </w:r>
      <w:r>
        <w:t xml:space="preserve">e </w:t>
      </w:r>
    </w:p>
    <w:p w:rsidR="008E273C" w:rsidRDefault="008E273C" w:rsidP="00E42522">
      <w:pPr>
        <w:pStyle w:val="ListBullet"/>
      </w:pPr>
      <w:r>
        <w:tab/>
      </w:r>
      <w:proofErr w:type="gramStart"/>
      <w:r>
        <w:t>increases</w:t>
      </w:r>
      <w:proofErr w:type="gramEnd"/>
      <w:r>
        <w:t xml:space="preserve"> were made to a number of aged care subsidies and supplements, a new emergency leave provision further supported the sector, and over $198 million was paid as a one-off COVID-19 Support Supplement for residential aged care providers. </w:t>
      </w:r>
    </w:p>
    <w:p w:rsidR="008E273C" w:rsidRDefault="008E273C" w:rsidP="008E273C">
      <w:pPr>
        <w:pStyle w:val="Heading2"/>
      </w:pPr>
      <w:r>
        <w:t>Rapid changes to deliver critical payments</w:t>
      </w:r>
    </w:p>
    <w:p w:rsidR="008E273C" w:rsidRDefault="008E273C" w:rsidP="008E273C">
      <w:pPr>
        <w:pStyle w:val="BodyText"/>
      </w:pPr>
      <w:r>
        <w:t>When the Australian Government announced the two $750 Economic Support Payments to help millions of Australians during the COVID-19 pandemic, Services Australia responded quickly so that the first of the new payments started to appear in people’s bank accounts from 1 April.</w:t>
      </w:r>
    </w:p>
    <w:p w:rsidR="008E273C" w:rsidRDefault="008E273C" w:rsidP="008E273C">
      <w:pPr>
        <w:pStyle w:val="BodyText"/>
      </w:pPr>
      <w:r>
        <w:t xml:space="preserve">The agency also introduced the ‘intention to claim’ feature for </w:t>
      </w:r>
      <w:proofErr w:type="spellStart"/>
      <w:r>
        <w:t>JobSeeker</w:t>
      </w:r>
      <w:proofErr w:type="spellEnd"/>
      <w:r>
        <w:t xml:space="preserve"> Payment in </w:t>
      </w:r>
      <w:proofErr w:type="spellStart"/>
      <w:r>
        <w:t>myGov</w:t>
      </w:r>
      <w:proofErr w:type="spellEnd"/>
      <w:r>
        <w:t xml:space="preserve">. This ensured people could start the claim process without calling or visiting a Service Centre. Payments </w:t>
      </w:r>
      <w:r>
        <w:lastRenderedPageBreak/>
        <w:t xml:space="preserve">would then be backdated to when the ‘intention to claim’ was submitted, even if the claim was finalised later. </w:t>
      </w:r>
    </w:p>
    <w:p w:rsidR="008E273C" w:rsidRDefault="008E273C" w:rsidP="008E273C">
      <w:pPr>
        <w:pStyle w:val="BodyText"/>
      </w:pPr>
      <w:r>
        <w:t xml:space="preserve">The agency’s team responsible for </w:t>
      </w:r>
      <w:proofErr w:type="spellStart"/>
      <w:r>
        <w:t>myGov</w:t>
      </w:r>
      <w:proofErr w:type="spellEnd"/>
      <w:r>
        <w:t xml:space="preserve"> planned, built, tested and deployed the ‘intention to claim’ feature in just 36 hours. Within days, 890,000 Australians had used it. Within months, this number had grown to 3.4 million. </w:t>
      </w:r>
    </w:p>
    <w:p w:rsidR="008E273C" w:rsidRDefault="008E273C" w:rsidP="00C4340D">
      <w:pPr>
        <w:pStyle w:val="BodyText"/>
      </w:pPr>
      <w:r>
        <w:rPr>
          <w:rStyle w:val="Italic"/>
        </w:rPr>
        <w:t xml:space="preserve">It’s an environment that can be tough on staff. But the flipside is that every improvement we made was immediately seen and felt in thousands of people’s lives—Tanya, Manager and Coach, </w:t>
      </w:r>
      <w:proofErr w:type="spellStart"/>
      <w:r>
        <w:rPr>
          <w:rStyle w:val="Italic"/>
        </w:rPr>
        <w:t>myGov</w:t>
      </w:r>
      <w:proofErr w:type="spellEnd"/>
      <w:r>
        <w:rPr>
          <w:rStyle w:val="Italic"/>
        </w:rPr>
        <w:t xml:space="preserve"> team</w:t>
      </w:r>
    </w:p>
    <w:p w:rsidR="008E273C" w:rsidRDefault="008E273C" w:rsidP="008E273C">
      <w:pPr>
        <w:pStyle w:val="Heading2"/>
      </w:pPr>
      <w:r>
        <w:t>Extra help to support our customers</w:t>
      </w:r>
    </w:p>
    <w:p w:rsidR="008E273C" w:rsidRDefault="008E273C" w:rsidP="008E273C">
      <w:pPr>
        <w:pStyle w:val="BodyText"/>
      </w:pPr>
      <w:r>
        <w:t xml:space="preserve">Temporary increases to incentive payments for general practices increased support for bulk billed services and ensured patients could access essential face-to-face care. The Practice Incentive Program Quality Improvement Incentive was temporarily doubled for two payment quarters. </w:t>
      </w:r>
    </w:p>
    <w:p w:rsidR="008E273C" w:rsidRDefault="008E273C" w:rsidP="00E42522">
      <w:pPr>
        <w:pStyle w:val="BodyText"/>
      </w:pPr>
      <w:r>
        <w:t>Additional work the agency undertook also included:</w:t>
      </w:r>
    </w:p>
    <w:p w:rsidR="008E273C" w:rsidRDefault="008E273C" w:rsidP="00E42522">
      <w:pPr>
        <w:pStyle w:val="ListBullet"/>
      </w:pPr>
      <w:r>
        <w:t xml:space="preserve">extending the </w:t>
      </w:r>
      <w:proofErr w:type="spellStart"/>
      <w:r>
        <w:t>JobSeeker</w:t>
      </w:r>
      <w:proofErr w:type="spellEnd"/>
      <w:r>
        <w:t xml:space="preserve"> phone line operating hours</w:t>
      </w:r>
    </w:p>
    <w:p w:rsidR="008E273C" w:rsidRDefault="008E273C" w:rsidP="00E42522">
      <w:pPr>
        <w:pStyle w:val="ListBullet"/>
      </w:pPr>
      <w:r>
        <w:tab/>
        <w:t xml:space="preserve">adding new emergency leave for older Australians in residential care </w:t>
      </w:r>
    </w:p>
    <w:p w:rsidR="008E273C" w:rsidRDefault="008E273C" w:rsidP="00E42522">
      <w:pPr>
        <w:pStyle w:val="ListBullet"/>
      </w:pPr>
      <w:r>
        <w:tab/>
        <w:t>paying temporary increases to a number of subsidies and supplements for the aged care sector, including a new one-off COVID-19 Support Supplement for aged care providers</w:t>
      </w:r>
    </w:p>
    <w:p w:rsidR="008E273C" w:rsidRDefault="008E273C" w:rsidP="00E42522">
      <w:pPr>
        <w:pStyle w:val="ListBullet"/>
      </w:pPr>
      <w:r>
        <w:tab/>
      </w:r>
      <w:proofErr w:type="gramStart"/>
      <w:r>
        <w:t>implementing</w:t>
      </w:r>
      <w:proofErr w:type="gramEnd"/>
      <w:r>
        <w:t xml:space="preserve"> changes to the Medicare Benefits Schedule items to support access to essential Medicare subsidised health services. </w:t>
      </w:r>
    </w:p>
    <w:p w:rsidR="008E273C" w:rsidRDefault="008E273C" w:rsidP="008E273C">
      <w:pPr>
        <w:pStyle w:val="Heading2"/>
      </w:pPr>
      <w:r>
        <w:t xml:space="preserve">Expanding our capacity </w:t>
      </w:r>
    </w:p>
    <w:p w:rsidR="008E273C" w:rsidRDefault="008E273C" w:rsidP="008E273C">
      <w:pPr>
        <w:pStyle w:val="BodyText"/>
      </w:pPr>
      <w:r>
        <w:t>At the height of the COVID-19 pandemic we needed to significantly increase our capacity to respond to the millions of Australians who sought help. Demand for government services reached unprecedented levels, as people lined up outside Service Centres across the country and phone and digital channels were stretched to capacity.</w:t>
      </w:r>
    </w:p>
    <w:p w:rsidR="008E273C" w:rsidRDefault="008E273C" w:rsidP="008E273C">
      <w:pPr>
        <w:pStyle w:val="BodyText"/>
      </w:pPr>
      <w:r>
        <w:t>But the agency wasn’t alone in facing this crisis—the Australian Public Service Commission established the Workforce Management Taskforce, and public servants across the APS stepped up and answered the call for help.</w:t>
      </w:r>
    </w:p>
    <w:p w:rsidR="008E273C" w:rsidRDefault="008E273C" w:rsidP="008E273C">
      <w:pPr>
        <w:pStyle w:val="BodyText"/>
      </w:pPr>
      <w:r>
        <w:t xml:space="preserve">More than 2,100 staff were seconded to Services Australia from roles as diverse as COMCAR drivers to museum curators. </w:t>
      </w:r>
    </w:p>
    <w:p w:rsidR="008E273C" w:rsidRDefault="008E273C" w:rsidP="001E0BFD">
      <w:pPr>
        <w:pStyle w:val="BodyText"/>
        <w:rPr>
          <w:rStyle w:val="Italic"/>
        </w:rPr>
      </w:pPr>
      <w:r>
        <w:rPr>
          <w:rStyle w:val="Italic"/>
        </w:rPr>
        <w:t>It epitomises the Australian Public Service. We came together to join the work in Services Australia and for us it meant we could make a difference—</w:t>
      </w:r>
      <w:proofErr w:type="spellStart"/>
      <w:r>
        <w:rPr>
          <w:rStyle w:val="Italic"/>
        </w:rPr>
        <w:t>secondee</w:t>
      </w:r>
      <w:proofErr w:type="spellEnd"/>
      <w:r>
        <w:rPr>
          <w:rStyle w:val="Italic"/>
        </w:rPr>
        <w:t xml:space="preserve"> from the Department of Education, Skills and Employment</w:t>
      </w:r>
    </w:p>
    <w:p w:rsidR="008E273C" w:rsidRDefault="008E273C" w:rsidP="008E273C">
      <w:pPr>
        <w:pStyle w:val="BodyText"/>
      </w:pPr>
      <w:r>
        <w:t xml:space="preserve">Mobilising, training and allocating so many staff so quickly required an unprecedented effort across the APS and quick support from Services Australia. </w:t>
      </w:r>
    </w:p>
    <w:p w:rsidR="008E273C" w:rsidRDefault="008E273C" w:rsidP="008E273C">
      <w:pPr>
        <w:pStyle w:val="BodyText"/>
      </w:pPr>
      <w:r>
        <w:t xml:space="preserve">Within weeks those staff were trained, making outbound customer calls and processing claims. Within three months, they had contributed to processing more than 428,000 </w:t>
      </w:r>
      <w:proofErr w:type="spellStart"/>
      <w:r>
        <w:t>JobSeeker</w:t>
      </w:r>
      <w:proofErr w:type="spellEnd"/>
      <w:r>
        <w:t xml:space="preserve"> Payment, Youth Allowance (</w:t>
      </w:r>
      <w:proofErr w:type="spellStart"/>
      <w:r>
        <w:t>JobSeeker</w:t>
      </w:r>
      <w:proofErr w:type="spellEnd"/>
      <w:r>
        <w:t>) claims, and non-new claims activities—an incredible contribution to the Government’s COVID-19 response.</w:t>
      </w:r>
    </w:p>
    <w:p w:rsidR="008E273C" w:rsidRDefault="008E273C" w:rsidP="00E42522">
      <w:pPr>
        <w:pStyle w:val="BodyText"/>
      </w:pPr>
      <w:r>
        <w:lastRenderedPageBreak/>
        <w:t xml:space="preserve">In all, at the peak of demand (April 2020), 11,898 staff were assisting the agency to manage its response to COVID-19. This comprised: </w:t>
      </w:r>
    </w:p>
    <w:p w:rsidR="008E273C" w:rsidRDefault="008E273C" w:rsidP="00E42522">
      <w:pPr>
        <w:pStyle w:val="ListBullet"/>
      </w:pPr>
      <w:r>
        <w:t>3,414 redeployed Services Australia employees</w:t>
      </w:r>
    </w:p>
    <w:p w:rsidR="008E273C" w:rsidRDefault="008E273C" w:rsidP="00E42522">
      <w:pPr>
        <w:pStyle w:val="ListBullet"/>
      </w:pPr>
      <w:r>
        <w:t>over 1,700 redeployed employees from at least 37 different APS departments and agencies</w:t>
      </w:r>
    </w:p>
    <w:p w:rsidR="008E273C" w:rsidRDefault="008E273C" w:rsidP="00E42522">
      <w:pPr>
        <w:pStyle w:val="ListBullet"/>
      </w:pPr>
      <w:r>
        <w:t>6,774 new employees including 1,546 non-ongoing and casual employees, 3,125 labour hire employees and 2,103 employees through our service delivery partners.</w:t>
      </w:r>
    </w:p>
    <w:p w:rsidR="008E273C" w:rsidRDefault="008E273C" w:rsidP="008E273C">
      <w:pPr>
        <w:pStyle w:val="Heading2"/>
      </w:pPr>
      <w:r>
        <w:t>Balancing the enormous workload</w:t>
      </w:r>
    </w:p>
    <w:p w:rsidR="008E273C" w:rsidRDefault="008E273C" w:rsidP="00E42522">
      <w:pPr>
        <w:pStyle w:val="BodyText"/>
      </w:pPr>
      <w:r>
        <w:t>Taking account of travel and social distancing, during the pandemic we had to change, restrict or put on hold some of the agency’s requirements and services. We worked with our policy agency partners to streamline our processes to support fast and easy access for those affected by the pandemic. This involved:</w:t>
      </w:r>
    </w:p>
    <w:p w:rsidR="008E273C" w:rsidRDefault="008E273C" w:rsidP="00E42522">
      <w:pPr>
        <w:pStyle w:val="ListBullet"/>
      </w:pPr>
      <w:r>
        <w:tab/>
        <w:t xml:space="preserve">suspending mutual obligation requirements for people in receipt of several payments, including </w:t>
      </w:r>
      <w:proofErr w:type="spellStart"/>
      <w:r>
        <w:t>JobSeeker</w:t>
      </w:r>
      <w:proofErr w:type="spellEnd"/>
      <w:r>
        <w:t xml:space="preserve"> </w:t>
      </w:r>
    </w:p>
    <w:p w:rsidR="008E273C" w:rsidRDefault="008E273C" w:rsidP="00E42522">
      <w:pPr>
        <w:pStyle w:val="ListBullet"/>
      </w:pPr>
      <w:r>
        <w:tab/>
        <w:t>changing some requirements and arrangements for students–such as reducing requirements for documentary evidence, continuing student payments when institutions cancelled study units, and paying for boarding arrangements for remote and rural secondary school students for term two, even if they returned to their communities to self-isolate</w:t>
      </w:r>
    </w:p>
    <w:p w:rsidR="008E273C" w:rsidRDefault="008E273C" w:rsidP="00E42522">
      <w:pPr>
        <w:pStyle w:val="ListBullet"/>
      </w:pPr>
      <w:r>
        <w:tab/>
        <w:t xml:space="preserve">pausing debt raising and recovery activities </w:t>
      </w:r>
    </w:p>
    <w:p w:rsidR="008E273C" w:rsidRDefault="008E273C" w:rsidP="00E42522">
      <w:pPr>
        <w:pStyle w:val="ListBullet"/>
      </w:pPr>
      <w:r>
        <w:tab/>
        <w:t>temporarily adjusting identity checking processes so that customers could access payments without coming into service centres</w:t>
      </w:r>
    </w:p>
    <w:p w:rsidR="008E273C" w:rsidRDefault="008E273C" w:rsidP="00E42522">
      <w:pPr>
        <w:pStyle w:val="ListBullet"/>
        <w:rPr>
          <w:rStyle w:val="NoBreak"/>
        </w:rPr>
      </w:pPr>
      <w:r>
        <w:tab/>
        <w:t>changing to phone and online work only for several fa</w:t>
      </w:r>
      <w:r>
        <w:rPr>
          <w:rStyle w:val="NoBreak"/>
        </w:rPr>
        <w:t>ce-to-fac</w:t>
      </w:r>
      <w:r>
        <w:t>e and outreach services—for example, Community Engagement Officers, interpreting services in service centres, our role in the Humanitarian Settlement Program, citizenship testing, Remote Servicing Teams, Mobile Service Centres, some social work services, support for incarc</w:t>
      </w:r>
      <w:r>
        <w:rPr>
          <w:rStyle w:val="NoBreak"/>
        </w:rPr>
        <w:t>erated customers</w:t>
      </w:r>
    </w:p>
    <w:p w:rsidR="008E273C" w:rsidRDefault="008E273C" w:rsidP="00E42522">
      <w:pPr>
        <w:pStyle w:val="ListBullet"/>
      </w:pPr>
      <w:r>
        <w:tab/>
      </w:r>
      <w:proofErr w:type="gramStart"/>
      <w:r>
        <w:t>conducting</w:t>
      </w:r>
      <w:proofErr w:type="gramEnd"/>
      <w:r>
        <w:t xml:space="preserve"> medical assessments for Disability Support Pension via video and teleconferencing.</w:t>
      </w:r>
    </w:p>
    <w:p w:rsidR="008E273C" w:rsidRDefault="008E273C" w:rsidP="008E273C">
      <w:pPr>
        <w:pStyle w:val="Heading2"/>
      </w:pPr>
      <w:r>
        <w:t xml:space="preserve">Keeping our staff working and safe </w:t>
      </w:r>
    </w:p>
    <w:p w:rsidR="008E273C" w:rsidRDefault="008E273C" w:rsidP="008E273C">
      <w:pPr>
        <w:pStyle w:val="BodyText"/>
      </w:pPr>
      <w:r>
        <w:t>In response to the pandemic the agency ensured social distancing in all Services Australia sites. Hygiene and cleaning practices were also upgraded and a suite of human resources guidance material to support management and staff was developed.</w:t>
      </w:r>
    </w:p>
    <w:p w:rsidR="008E273C" w:rsidRDefault="008E273C" w:rsidP="001E0BFD">
      <w:pPr>
        <w:pStyle w:val="BodyText"/>
        <w:rPr>
          <w:rStyle w:val="Italic"/>
        </w:rPr>
      </w:pPr>
      <w:r>
        <w:rPr>
          <w:rStyle w:val="Italic"/>
        </w:rPr>
        <w:t>To cope with demand, we increased our opening hours and worked with the distancing guidelines to limit the number of people in the office at any one time—Sharon, Services Australia Agent in Onslow, Western Australia</w:t>
      </w:r>
    </w:p>
    <w:p w:rsidR="008E273C" w:rsidRDefault="008E273C" w:rsidP="008E273C">
      <w:pPr>
        <w:pStyle w:val="BodyText"/>
      </w:pPr>
      <w:r>
        <w:t xml:space="preserve">At the beginning of the pandemic around 9,000 ‘Office in a Box’ kits were distributed to agency staff so they could work from home. The box included phones and PCs with the ability to connect to the agency network and hold virtual ‘meetings’ via secure links. </w:t>
      </w:r>
    </w:p>
    <w:p w:rsidR="00E42522" w:rsidRDefault="00E42522" w:rsidP="001E0BFD">
      <w:pPr>
        <w:pStyle w:val="Heading1"/>
      </w:pPr>
      <w:r>
        <w:lastRenderedPageBreak/>
        <w:t>Part 1: Delivering payments and services to our customers</w:t>
      </w:r>
    </w:p>
    <w:p w:rsidR="008E273C" w:rsidRDefault="008E273C" w:rsidP="008E273C">
      <w:pPr>
        <w:pStyle w:val="Heading1"/>
      </w:pPr>
      <w:r>
        <w:t xml:space="preserve">1.1 How Services Australia delivers payments and services </w:t>
      </w:r>
    </w:p>
    <w:p w:rsidR="008E273C" w:rsidRDefault="008E273C" w:rsidP="005D794B">
      <w:pPr>
        <w:pStyle w:val="BodyText"/>
      </w:pPr>
      <w:r>
        <w:t xml:space="preserve">As the Government’s main service delivery agency, Services Australia (the agency) is responsible for designing, developing and delivering government services and payments and providing the Government with advice on their delivery. The agency also collaborates with other agencies, providers and businesses to deliver convenient, accessible and efficient services to individuals, families and communities. </w:t>
      </w:r>
    </w:p>
    <w:p w:rsidR="008E273C" w:rsidRDefault="008E273C" w:rsidP="008E273C">
      <w:pPr>
        <w:pStyle w:val="BodyText"/>
        <w:spacing w:after="57"/>
      </w:pPr>
      <w:r>
        <w:t xml:space="preserve">We work to deliver simple, helpful, respectful and transparent government services for all Australians. Our customers interact with us in a variety of ways, including through: </w:t>
      </w:r>
    </w:p>
    <w:p w:rsidR="008E273C" w:rsidRDefault="008E273C" w:rsidP="00E42522">
      <w:pPr>
        <w:pStyle w:val="ListBullet"/>
      </w:pPr>
      <w:r>
        <w:t xml:space="preserve">digital services (see below), such as </w:t>
      </w:r>
      <w:proofErr w:type="spellStart"/>
      <w:r>
        <w:t>myGov</w:t>
      </w:r>
      <w:proofErr w:type="spellEnd"/>
      <w:r>
        <w:t xml:space="preserve">, Health Professional Online Services (see page 21) and the Aged Care Provider Portal (see </w:t>
      </w:r>
      <w:r>
        <w:rPr>
          <w:rStyle w:val="Italic"/>
        </w:rPr>
        <w:t>Improving services to the aged care secto</w:t>
      </w:r>
      <w:r>
        <w:t>r on page 26)</w:t>
      </w:r>
    </w:p>
    <w:p w:rsidR="008E273C" w:rsidRDefault="008E273C" w:rsidP="00E42522">
      <w:pPr>
        <w:pStyle w:val="ListBullet"/>
      </w:pPr>
      <w:r>
        <w:t>phone services (see Phone and claims processing services on page 3)</w:t>
      </w:r>
    </w:p>
    <w:p w:rsidR="008E273C" w:rsidRDefault="008E273C" w:rsidP="00E42522">
      <w:pPr>
        <w:pStyle w:val="ListBullet"/>
      </w:pPr>
      <w:proofErr w:type="gramStart"/>
      <w:r>
        <w:t>face-to-face</w:t>
      </w:r>
      <w:proofErr w:type="gramEnd"/>
      <w:r>
        <w:t xml:space="preserve"> services in Service centres (see page 3), Agents and Access Points (see page 43), Mobile Service Centres (see page 42) and Community Engagement Officers (see page 47).</w:t>
      </w:r>
    </w:p>
    <w:p w:rsidR="008E273C" w:rsidRDefault="008E273C" w:rsidP="008E273C">
      <w:pPr>
        <w:pStyle w:val="Heading2"/>
      </w:pPr>
      <w:r>
        <w:t>Digital services</w:t>
      </w:r>
    </w:p>
    <w:p w:rsidR="008E273C" w:rsidRDefault="008E273C" w:rsidP="008E273C">
      <w:pPr>
        <w:pStyle w:val="BodyText"/>
      </w:pPr>
      <w:r>
        <w:t xml:space="preserve">Using advances in technology, in 2019–20 the agency continued to expand its digital service offer, making it simpler for customers to engage with us, at a time of their choosing. </w:t>
      </w:r>
    </w:p>
    <w:p w:rsidR="008E273C" w:rsidRDefault="008E273C" w:rsidP="008E273C">
      <w:pPr>
        <w:pStyle w:val="BodyText"/>
      </w:pPr>
      <w:r>
        <w:t>A focus on better integrating traditional service delivery channels and automating manual processes, meant customers had more options to conduct their business digitally without having to visit a Service Centre or call us on the phone.</w:t>
      </w:r>
    </w:p>
    <w:p w:rsidR="008E273C" w:rsidRDefault="008E273C" w:rsidP="008E273C">
      <w:pPr>
        <w:pStyle w:val="BodyText"/>
      </w:pPr>
      <w:r>
        <w:t>During the COVID-19 pandemic, we saw an unprecedented surge in demand for online, ‘contactless’ support. To help keep our customers and staff safe, we rapidly increased our online capacity and the range of transactions customers could complete without having to queue at service centres.</w:t>
      </w:r>
    </w:p>
    <w:p w:rsidR="008E273C" w:rsidRDefault="008E273C" w:rsidP="008E273C">
      <w:pPr>
        <w:pStyle w:val="BodyText"/>
      </w:pPr>
      <w:r>
        <w:t>Upgrades to the agency’s Express Plus mobile apps also led to a significant increase in customers using this channel.</w:t>
      </w:r>
    </w:p>
    <w:p w:rsidR="008E273C" w:rsidRDefault="008E273C" w:rsidP="008E273C">
      <w:pPr>
        <w:pStyle w:val="BodyText"/>
      </w:pPr>
      <w:r>
        <w:t>These improvements freed up face-to-face service staff to support customers with more complex circumstances and gave them more time to help customers understand and use our digital services.</w:t>
      </w:r>
    </w:p>
    <w:p w:rsidR="008E273C" w:rsidRDefault="008E273C" w:rsidP="008E273C">
      <w:pPr>
        <w:pStyle w:val="Heading2"/>
      </w:pPr>
      <w:r>
        <w:t xml:space="preserve">Phone and claims processing services </w:t>
      </w:r>
    </w:p>
    <w:p w:rsidR="008E273C" w:rsidRDefault="008E273C" w:rsidP="008E273C">
      <w:pPr>
        <w:pStyle w:val="BodyText"/>
      </w:pPr>
      <w:r>
        <w:t xml:space="preserve">Customers can contact Services Australia through its phone services, delivered through our Smart Centres, which form an Australia-wide network. As part of its phone network, the agency has specific phone services for multilingual, international, rural and remote and child support customers, health providers for Medicare, the Pharmaceutical Benefits Scheme, aged care and a range of other health programs. </w:t>
      </w:r>
    </w:p>
    <w:p w:rsidR="008E273C" w:rsidRDefault="008E273C" w:rsidP="008E273C">
      <w:pPr>
        <w:pStyle w:val="BodyText"/>
      </w:pPr>
      <w:r>
        <w:lastRenderedPageBreak/>
        <w:t xml:space="preserve">Some Smart Centres deliver Centrelink, Medicare, and Child Support phone and claims processing services. Whenever possible, Smart Centre staff resolve enquiries at the first point of contact. They also make sure that customers know about, and can use, self-service options, including Express Plus mobile apps and online services. Many customers prefer to use these as a convenient alternative to phone services. </w:t>
      </w:r>
    </w:p>
    <w:p w:rsidR="008E273C" w:rsidRDefault="008E273C" w:rsidP="008E273C">
      <w:pPr>
        <w:pStyle w:val="BodyText"/>
      </w:pPr>
      <w:r>
        <w:t xml:space="preserve">The agency ensures that its staff are skilled in multiple areas and can be deployed based on demand. Phone services staff also respond to emergencies, including the 2019–20, ‘Black Summer’ bushfires and the COVID-19 pandemic response, by taking phone calls and processing claims from affected customers. For more information see </w:t>
      </w:r>
      <w:r>
        <w:rPr>
          <w:rFonts w:ascii="Roboto-Italic" w:hAnsi="Roboto-Italic" w:cs="Roboto-Italic"/>
          <w:i/>
          <w:iCs/>
        </w:rPr>
        <w:t>COVID-19</w:t>
      </w:r>
      <w:r>
        <w:t xml:space="preserve"> </w:t>
      </w:r>
      <w:r>
        <w:rPr>
          <w:rFonts w:ascii="Roboto-Italic" w:hAnsi="Roboto-Italic" w:cs="Roboto-Italic"/>
          <w:i/>
          <w:iCs/>
        </w:rPr>
        <w:t>pandemic</w:t>
      </w:r>
      <w:r>
        <w:t xml:space="preserve"> on page xv.</w:t>
      </w:r>
    </w:p>
    <w:p w:rsidR="008E273C" w:rsidRDefault="008E273C" w:rsidP="008E273C">
      <w:pPr>
        <w:pStyle w:val="Heading2"/>
      </w:pPr>
      <w:r>
        <w:t xml:space="preserve">Service centres </w:t>
      </w:r>
    </w:p>
    <w:p w:rsidR="008E273C" w:rsidRDefault="008E273C" w:rsidP="008E273C">
      <w:pPr>
        <w:pStyle w:val="BodyText"/>
      </w:pPr>
      <w:r>
        <w:t xml:space="preserve">At 30 June 2020, the agency delivered Centrelink and Medicare program services from 327 service centres across the country. Over two-thirds of service centres offer the full range of face-to-face Centrelink and Medicare services, as well as supported digital services, from a single physical location. </w:t>
      </w:r>
    </w:p>
    <w:p w:rsidR="008E273C" w:rsidRDefault="008E273C" w:rsidP="008E273C">
      <w:pPr>
        <w:pStyle w:val="BodyText"/>
      </w:pPr>
      <w:r>
        <w:t>Service centres make it easier and convenient for customers to transact their business with the government. The sustainable, accessible and fi</w:t>
      </w:r>
      <w:r>
        <w:rPr>
          <w:rStyle w:val="NoBreak"/>
        </w:rPr>
        <w:t>t-for-purpo</w:t>
      </w:r>
      <w:r>
        <w:t xml:space="preserve">se network of service centres reduces costs and service delivery duplication. They also give us more scope and capacity to provide targeted assistance to customers who require more intensive support due to their complex circumstances. </w:t>
      </w:r>
    </w:p>
    <w:p w:rsidR="008E273C" w:rsidRDefault="008E273C" w:rsidP="008E273C">
      <w:pPr>
        <w:pStyle w:val="Heading1"/>
      </w:pPr>
      <w:r>
        <w:t>1.2 Improving customer experiences</w:t>
      </w:r>
    </w:p>
    <w:p w:rsidR="008E273C" w:rsidRDefault="008E273C" w:rsidP="005D794B">
      <w:pPr>
        <w:pStyle w:val="BodyText"/>
      </w:pPr>
      <w:r>
        <w:t xml:space="preserve">Services Australia continues to improve citizens’ experiences of government by putting customer needs at the centre when we design and deliver our services. </w:t>
      </w:r>
    </w:p>
    <w:p w:rsidR="008E273C" w:rsidRDefault="008E273C" w:rsidP="00E42522">
      <w:pPr>
        <w:pStyle w:val="BodyText"/>
      </w:pPr>
      <w:r>
        <w:t xml:space="preserve">Throughout 2019–20 we made it easier for people to access government services by: </w:t>
      </w:r>
    </w:p>
    <w:p w:rsidR="008E273C" w:rsidRDefault="008E273C" w:rsidP="00E42522">
      <w:pPr>
        <w:pStyle w:val="ListBullet"/>
      </w:pPr>
      <w:r>
        <w:t xml:space="preserve">simplifying online claims to transform the experience for job seekers, older Australians, carers and people with disability to support greater self-service and streamlining the processes for customers to do business with the government (see </w:t>
      </w:r>
      <w:r>
        <w:rPr>
          <w:rStyle w:val="Italic"/>
        </w:rPr>
        <w:t>Welfare Payment Infrastructure Transformation Programme</w:t>
      </w:r>
      <w:r>
        <w:t xml:space="preserve"> below and </w:t>
      </w:r>
      <w:r>
        <w:rPr>
          <w:rStyle w:val="Italic"/>
        </w:rPr>
        <w:t>COVID-19 pandemic</w:t>
      </w:r>
      <w:r>
        <w:t xml:space="preserve"> on page xv)</w:t>
      </w:r>
    </w:p>
    <w:p w:rsidR="008E273C" w:rsidRDefault="008E273C" w:rsidP="00E42522">
      <w:pPr>
        <w:pStyle w:val="ListBullet"/>
      </w:pPr>
      <w:r>
        <w:t xml:space="preserve">making it easier for health care professionals and aged care providers to interact with government through digital services (see </w:t>
      </w:r>
      <w:r>
        <w:rPr>
          <w:rStyle w:val="Italic"/>
        </w:rPr>
        <w:t>Health and aged care modernisation</w:t>
      </w:r>
      <w:r>
        <w:t xml:space="preserve"> on page 5) </w:t>
      </w:r>
    </w:p>
    <w:p w:rsidR="008E273C" w:rsidRDefault="008E273C" w:rsidP="00E42522">
      <w:pPr>
        <w:pStyle w:val="ListBullet"/>
      </w:pPr>
      <w:r>
        <w:t>improving the experience of veterans making it easier for them to access services by streamlining and enhancing telephony and online claiming (s</w:t>
      </w:r>
      <w:r>
        <w:rPr>
          <w:rStyle w:val="NoBreak"/>
        </w:rPr>
        <w:t xml:space="preserve">ee </w:t>
      </w:r>
      <w:r>
        <w:rPr>
          <w:rStyle w:val="Italic"/>
        </w:rPr>
        <w:t>veteran centric reform</w:t>
      </w:r>
      <w:r>
        <w:t xml:space="preserve"> on page 5)</w:t>
      </w:r>
    </w:p>
    <w:p w:rsidR="008E273C" w:rsidRDefault="008E273C" w:rsidP="00E42522">
      <w:pPr>
        <w:pStyle w:val="ListBullet"/>
      </w:pPr>
      <w:r>
        <w:t xml:space="preserve">improving the use of data to provide better services (see </w:t>
      </w:r>
      <w:r>
        <w:rPr>
          <w:rStyle w:val="Italic"/>
        </w:rPr>
        <w:t>Improved use of data</w:t>
      </w:r>
      <w:r>
        <w:t xml:space="preserve"> on page 6) </w:t>
      </w:r>
    </w:p>
    <w:p w:rsidR="008E273C" w:rsidRDefault="008E273C" w:rsidP="00E42522">
      <w:pPr>
        <w:pStyle w:val="ListBullet"/>
      </w:pPr>
      <w:proofErr w:type="gramStart"/>
      <w:r>
        <w:t>making</w:t>
      </w:r>
      <w:proofErr w:type="gramEnd"/>
      <w:r>
        <w:t xml:space="preserve"> information more accessible and optimising our face-to-face servicing. </w:t>
      </w:r>
    </w:p>
    <w:p w:rsidR="008E273C" w:rsidRDefault="008E273C" w:rsidP="008E273C">
      <w:pPr>
        <w:pStyle w:val="Heading2"/>
      </w:pPr>
      <w:r>
        <w:t xml:space="preserve">Welfare Payment Infrastructure Transformation Programme </w:t>
      </w:r>
    </w:p>
    <w:p w:rsidR="008E273C" w:rsidRDefault="008E273C" w:rsidP="008E273C">
      <w:pPr>
        <w:pStyle w:val="BodyText"/>
        <w:rPr>
          <w:rStyle w:val="NoBreak"/>
        </w:rPr>
      </w:pPr>
      <w:r>
        <w:t>The seven-year development of the Welfare Payment Infrastructure Transformation (WPIT) Programme will fundamentally transform Se</w:t>
      </w:r>
      <w:r>
        <w:rPr>
          <w:rStyle w:val="NoBreak"/>
        </w:rPr>
        <w:t>rvices Austr</w:t>
      </w:r>
      <w:r>
        <w:t>alia’s delivery of welfare payments and services. It is an important lo</w:t>
      </w:r>
      <w:r>
        <w:rPr>
          <w:rStyle w:val="NoBreak"/>
        </w:rPr>
        <w:t>ng-ter</w:t>
      </w:r>
      <w:r>
        <w:t>m investment in addressing the challenges facing Austr</w:t>
      </w:r>
      <w:r>
        <w:rPr>
          <w:rStyle w:val="NoBreak"/>
        </w:rPr>
        <w:t xml:space="preserve">alia’s welfare system. </w:t>
      </w:r>
    </w:p>
    <w:p w:rsidR="008E273C" w:rsidRDefault="008E273C" w:rsidP="008E273C">
      <w:pPr>
        <w:pStyle w:val="BodyText"/>
      </w:pPr>
      <w:r>
        <w:lastRenderedPageBreak/>
        <w:t>In its fifth year of design the programme will lead to improvements in our digital capabilities and also reduce the costs of administering payments. The welfare system will be quicker and easier to navigate, and customers will experience much better face</w:t>
      </w:r>
      <w:r>
        <w:noBreakHyphen/>
        <w:t>to</w:t>
      </w:r>
      <w:r>
        <w:noBreakHyphen/>
        <w:t xml:space="preserve">face, phone and digital services. </w:t>
      </w:r>
    </w:p>
    <w:p w:rsidR="008E273C" w:rsidRDefault="008E273C" w:rsidP="008E273C">
      <w:pPr>
        <w:pStyle w:val="BodyText"/>
      </w:pPr>
      <w:r>
        <w:t>During the year we continued to work on Tranche Three of the WPIT Programme, with a focus on transforming how payments for students, job seekers, carers, older Australians and people with disability are delivered.</w:t>
      </w:r>
    </w:p>
    <w:p w:rsidR="008E273C" w:rsidRDefault="008E273C" w:rsidP="008E273C">
      <w:pPr>
        <w:pStyle w:val="BodyText"/>
      </w:pPr>
      <w:r>
        <w:t xml:space="preserve">This includes redesigning high value services, centred on customers, to provide a digital experience that is easy and intuitive. The agency also continued to work across government to develop a flexible approach to policy that supports improved service design. </w:t>
      </w:r>
    </w:p>
    <w:p w:rsidR="008E273C" w:rsidRDefault="008E273C" w:rsidP="008E273C">
      <w:pPr>
        <w:pStyle w:val="BodyText"/>
      </w:pPr>
      <w:r>
        <w:t xml:space="preserve">In 2019–20 input from the WPIT Programme was critical in successfully introducing the new </w:t>
      </w:r>
      <w:proofErr w:type="spellStart"/>
      <w:r>
        <w:t>JobSeeker</w:t>
      </w:r>
      <w:proofErr w:type="spellEnd"/>
      <w:r>
        <w:t xml:space="preserve"> payment which consolidated several working age payments (see </w:t>
      </w:r>
      <w:proofErr w:type="spellStart"/>
      <w:r>
        <w:rPr>
          <w:rStyle w:val="Italic"/>
        </w:rPr>
        <w:t>JobSeeker</w:t>
      </w:r>
      <w:proofErr w:type="spellEnd"/>
      <w:r>
        <w:rPr>
          <w:rStyle w:val="Italic"/>
        </w:rPr>
        <w:t xml:space="preserve"> Payment</w:t>
      </w:r>
      <w:r>
        <w:t xml:space="preserve"> on page 12), and in developing the new customer and staff interfaces needed for this reform. </w:t>
      </w:r>
    </w:p>
    <w:p w:rsidR="008E273C" w:rsidRDefault="008E273C" w:rsidP="008E273C">
      <w:pPr>
        <w:pStyle w:val="Heading2"/>
      </w:pPr>
      <w:r>
        <w:t>Health and aged care modernisation</w:t>
      </w:r>
    </w:p>
    <w:p w:rsidR="008E273C" w:rsidRDefault="008E273C" w:rsidP="008E273C">
      <w:pPr>
        <w:pStyle w:val="BodyText"/>
      </w:pPr>
      <w:r>
        <w:t xml:space="preserve">Under the Health Delivery Modernisation Project, Services Australia is continuing to work with the Department of Health to stabilise and modernise the health and aged care payments system, ensuring the continuity of services and the payment of benefits to customers and health care professionals. </w:t>
      </w:r>
    </w:p>
    <w:p w:rsidR="008E273C" w:rsidRDefault="008E273C" w:rsidP="00E42522">
      <w:pPr>
        <w:pStyle w:val="BodyText"/>
      </w:pPr>
      <w:r>
        <w:t>Through the 2019–20 Mid-Year Economic and Fiscal Outlook, a further $</w:t>
      </w:r>
      <w:r>
        <w:rPr>
          <w:rStyle w:val="NoBreak"/>
        </w:rPr>
        <w:t>36.3 milli</w:t>
      </w:r>
      <w:r>
        <w:t>on was allocated over six months to continue essential system remediation activities. This work included further stabilisation of the aged care and Medicare systems and strengthening of the security for systems used by health professionals and aged care providers. Customers’ improvements delivered in 2019–20 for health care professionals and businesses included:</w:t>
      </w:r>
    </w:p>
    <w:p w:rsidR="008E273C" w:rsidRDefault="008E273C" w:rsidP="00E42522">
      <w:pPr>
        <w:pStyle w:val="ListBullet"/>
      </w:pPr>
      <w:r>
        <w:t xml:space="preserve">streamlining registration processes for medical interns </w:t>
      </w:r>
    </w:p>
    <w:p w:rsidR="008E273C" w:rsidRDefault="008E273C" w:rsidP="00E42522">
      <w:pPr>
        <w:pStyle w:val="ListBullet"/>
      </w:pPr>
      <w:r>
        <w:t xml:space="preserve">providing a secure digital channel for lodgement of Stoma Appliance Scheme claims </w:t>
      </w:r>
    </w:p>
    <w:p w:rsidR="008E273C" w:rsidRDefault="008E273C" w:rsidP="00E42522">
      <w:pPr>
        <w:pStyle w:val="ListBullet"/>
      </w:pPr>
      <w:proofErr w:type="gramStart"/>
      <w:r>
        <w:t>providing</w:t>
      </w:r>
      <w:proofErr w:type="gramEnd"/>
      <w:r>
        <w:t xml:space="preserve"> a new portal for aged care providers to access online services and make claims quickly, easily and securely. </w:t>
      </w:r>
    </w:p>
    <w:p w:rsidR="008E273C" w:rsidRDefault="008E273C" w:rsidP="008E273C">
      <w:pPr>
        <w:pStyle w:val="Heading2"/>
      </w:pPr>
      <w:r>
        <w:t xml:space="preserve">Veteran centric reform </w:t>
      </w:r>
    </w:p>
    <w:p w:rsidR="008E273C" w:rsidRDefault="008E273C" w:rsidP="008E273C">
      <w:pPr>
        <w:pStyle w:val="BodyText"/>
      </w:pPr>
      <w:r>
        <w:t>The Veteran Centric Reform—Putting Veterans and Their Families First Program (VCR-PVFF) is a comprehensive multi-year transformation of the Department of Veterans’ Affairs (DVA) with a strong emphasis on veterans and their families. I</w:t>
      </w:r>
      <w:r>
        <w:rPr>
          <w:rStyle w:val="NoBreak"/>
        </w:rPr>
        <w:t>t focuse</w:t>
      </w:r>
      <w:r>
        <w:t>s on early access to services, preventive health approaches and care for veterans with complex circumstances.</w:t>
      </w:r>
    </w:p>
    <w:p w:rsidR="008E273C" w:rsidRDefault="008E273C" w:rsidP="008E273C">
      <w:pPr>
        <w:pStyle w:val="BodyText"/>
      </w:pPr>
      <w:r>
        <w:t>The program is working to provide a modern digital ICT platform for DVA, drawing on capabilities already delivered by the WPIT Programme (</w:t>
      </w:r>
      <w:r>
        <w:rPr>
          <w:rStyle w:val="NoBreak"/>
        </w:rPr>
        <w:t>see page 4</w:t>
      </w:r>
      <w:r>
        <w:t>).</w:t>
      </w:r>
    </w:p>
    <w:p w:rsidR="008E273C" w:rsidRDefault="008E273C" w:rsidP="00E42522">
      <w:pPr>
        <w:pStyle w:val="BodyText"/>
      </w:pPr>
      <w:r>
        <w:t>Services Australia is supporting VCR-PVFF, which concluded its third year on 30 June 2020. The program makes it easier for veterans to access services, f</w:t>
      </w:r>
      <w:r>
        <w:rPr>
          <w:rStyle w:val="NoBreak"/>
        </w:rPr>
        <w:t>or ex</w:t>
      </w:r>
      <w:r>
        <w:t>ample, by:</w:t>
      </w:r>
    </w:p>
    <w:p w:rsidR="008E273C" w:rsidRDefault="008E273C" w:rsidP="00E42522">
      <w:pPr>
        <w:pStyle w:val="ListBullet"/>
      </w:pPr>
      <w:r>
        <w:t xml:space="preserve">streamlining and enhancing telephony and online claim processes </w:t>
      </w:r>
    </w:p>
    <w:p w:rsidR="008E273C" w:rsidRDefault="008E273C" w:rsidP="00E42522">
      <w:pPr>
        <w:pStyle w:val="ListBullet"/>
      </w:pPr>
      <w:r>
        <w:t>building the underlying ICT system for approximately 200,000 veterans and their families</w:t>
      </w:r>
    </w:p>
    <w:p w:rsidR="008E273C" w:rsidRDefault="008E273C" w:rsidP="00E42522">
      <w:pPr>
        <w:pStyle w:val="ListBullet"/>
      </w:pPr>
      <w:r>
        <w:lastRenderedPageBreak/>
        <w:t>providing veterans and their families in regional Australia greater access to services through Services Australia Mobile Services Centres and Agents network</w:t>
      </w:r>
    </w:p>
    <w:p w:rsidR="008E273C" w:rsidRDefault="008E273C" w:rsidP="00E42522">
      <w:pPr>
        <w:pStyle w:val="ListBullet"/>
      </w:pPr>
      <w:proofErr w:type="gramStart"/>
      <w:r>
        <w:t>releasing</w:t>
      </w:r>
      <w:proofErr w:type="gramEnd"/>
      <w:r>
        <w:t xml:space="preserve"> the DVA Third Party Portal, allowing external organisations to interact with DVA through authenticated online platform and use of the Whole of Government Provider Digital Access solution.</w:t>
      </w:r>
    </w:p>
    <w:p w:rsidR="008E273C" w:rsidRDefault="008E273C" w:rsidP="008E273C">
      <w:pPr>
        <w:pStyle w:val="Heading2"/>
      </w:pPr>
      <w:r>
        <w:t>Improved use of data</w:t>
      </w:r>
    </w:p>
    <w:p w:rsidR="008E273C" w:rsidRDefault="008E273C" w:rsidP="008E273C">
      <w:pPr>
        <w:pStyle w:val="BodyText"/>
      </w:pPr>
      <w:r>
        <w:t>To better support customers navigate our services, we are improving our capabilities so we can draw new insights about the operational and policy performance of our programs. This includes better using our data to help shape and guide future policy and service delivery approaches. Our connected data and data analytics capabilities also contribute to improvements in customer services, integrity and decision making.</w:t>
      </w:r>
    </w:p>
    <w:p w:rsidR="008E273C" w:rsidRDefault="008E273C" w:rsidP="008E273C">
      <w:pPr>
        <w:pStyle w:val="Heading1"/>
      </w:pPr>
      <w:r>
        <w:t>1.3 Social security and welfare</w:t>
      </w:r>
    </w:p>
    <w:p w:rsidR="008E273C" w:rsidRDefault="008E273C" w:rsidP="005D794B">
      <w:pPr>
        <w:pStyle w:val="BodyText"/>
      </w:pPr>
      <w:r>
        <w:t>The agency supports the Australian community to access social security and welfare payments for older Australians, people with disability, families, job seekers and students.</w:t>
      </w:r>
    </w:p>
    <w:p w:rsidR="008E273C" w:rsidRDefault="008E273C" w:rsidP="008E273C">
      <w:pPr>
        <w:pStyle w:val="BodyText"/>
      </w:pPr>
      <w:r>
        <w:t xml:space="preserve">Table 1 shows that Services Australia processed more than </w:t>
      </w:r>
      <w:r>
        <w:rPr>
          <w:rStyle w:val="NoBreak"/>
        </w:rPr>
        <w:t>4.9 milli</w:t>
      </w:r>
      <w:r>
        <w:t>on claims for social security and welfare during the year. Of these around 3</w:t>
      </w:r>
      <w:r>
        <w:rPr>
          <w:rStyle w:val="NoBreak"/>
        </w:rPr>
        <w:t>.8 million</w:t>
      </w:r>
      <w:r>
        <w:t xml:space="preserve"> claims were granted and just over 1.1 million were rejected. </w:t>
      </w:r>
    </w:p>
    <w:p w:rsidR="008E273C" w:rsidRPr="00CB2A52" w:rsidRDefault="00CB2A52" w:rsidP="00CB2A52">
      <w:pPr>
        <w:pStyle w:val="BodyText"/>
        <w:rPr>
          <w:b/>
        </w:rPr>
      </w:pPr>
      <w:r w:rsidRPr="00CB2A52">
        <w:rPr>
          <w:b/>
        </w:rPr>
        <w:t>Table</w:t>
      </w:r>
      <w:r>
        <w:rPr>
          <w:b/>
        </w:rPr>
        <w:t xml:space="preserve"> </w:t>
      </w:r>
      <w:r w:rsidRPr="00CB2A52">
        <w:rPr>
          <w:b/>
        </w:rPr>
        <w:t>1:</w:t>
      </w:r>
      <w:r w:rsidR="008E273C" w:rsidRPr="00CB2A52">
        <w:rPr>
          <w:b/>
        </w:rPr>
        <w:t xml:space="preserve"> Claims finalised in 2019–20</w:t>
      </w:r>
    </w:p>
    <w:tbl>
      <w:tblPr>
        <w:tblStyle w:val="TableGrid"/>
        <w:tblW w:w="5000" w:type="pct"/>
        <w:tblLook w:val="0000" w:firstRow="0" w:lastRow="0" w:firstColumn="0" w:lastColumn="0" w:noHBand="0" w:noVBand="0"/>
        <w:tblCaption w:val="Table 1: Claims finalised in 2019–20"/>
        <w:tblDescription w:val="Table 1: Claims finalised in 2019–20"/>
      </w:tblPr>
      <w:tblGrid>
        <w:gridCol w:w="5416"/>
        <w:gridCol w:w="1894"/>
        <w:gridCol w:w="1893"/>
        <w:gridCol w:w="1893"/>
      </w:tblGrid>
      <w:tr w:rsidR="008E273C" w:rsidTr="00CB2A52">
        <w:trPr>
          <w:trHeight w:val="285"/>
          <w:tblHeader/>
        </w:trPr>
        <w:tc>
          <w:tcPr>
            <w:tcW w:w="2440" w:type="pct"/>
          </w:tcPr>
          <w:p w:rsidR="008E273C" w:rsidRPr="00CB2A52" w:rsidRDefault="008E273C" w:rsidP="00CB2A52">
            <w:pPr>
              <w:pStyle w:val="BodyText"/>
              <w:rPr>
                <w:b/>
              </w:rPr>
            </w:pPr>
            <w:r w:rsidRPr="00CB2A52">
              <w:rPr>
                <w:b/>
              </w:rPr>
              <w:t>Payment type</w:t>
            </w:r>
          </w:p>
        </w:tc>
        <w:tc>
          <w:tcPr>
            <w:tcW w:w="853" w:type="pct"/>
          </w:tcPr>
          <w:p w:rsidR="008E273C" w:rsidRPr="00CB2A52" w:rsidRDefault="008E273C" w:rsidP="00CB2A52">
            <w:pPr>
              <w:pStyle w:val="BodyText"/>
              <w:rPr>
                <w:b/>
              </w:rPr>
            </w:pPr>
            <w:r w:rsidRPr="00CB2A52">
              <w:rPr>
                <w:b/>
              </w:rPr>
              <w:t>Claims</w:t>
            </w:r>
          </w:p>
        </w:tc>
        <w:tc>
          <w:tcPr>
            <w:tcW w:w="853" w:type="pct"/>
          </w:tcPr>
          <w:p w:rsidR="008E273C" w:rsidRPr="00CB2A52" w:rsidRDefault="008E273C" w:rsidP="00CB2A52">
            <w:pPr>
              <w:pStyle w:val="BodyText"/>
              <w:rPr>
                <w:b/>
              </w:rPr>
            </w:pPr>
            <w:r w:rsidRPr="00CB2A52">
              <w:rPr>
                <w:b/>
              </w:rPr>
              <w:t>Granted</w:t>
            </w:r>
          </w:p>
        </w:tc>
        <w:tc>
          <w:tcPr>
            <w:tcW w:w="853" w:type="pct"/>
          </w:tcPr>
          <w:p w:rsidR="008E273C" w:rsidRPr="00CB2A52" w:rsidRDefault="008E273C" w:rsidP="00CB2A52">
            <w:pPr>
              <w:pStyle w:val="BodyText"/>
              <w:rPr>
                <w:b/>
              </w:rPr>
            </w:pPr>
            <w:r w:rsidRPr="00CB2A52">
              <w:rPr>
                <w:b/>
              </w:rPr>
              <w:t>Rejected</w:t>
            </w:r>
          </w:p>
        </w:tc>
      </w:tr>
      <w:tr w:rsidR="008E273C" w:rsidTr="00CB2A52">
        <w:trPr>
          <w:trHeight w:val="285"/>
        </w:trPr>
        <w:tc>
          <w:tcPr>
            <w:tcW w:w="2440" w:type="pct"/>
          </w:tcPr>
          <w:p w:rsidR="008E273C" w:rsidRDefault="008E273C" w:rsidP="00CB2A52">
            <w:pPr>
              <w:pStyle w:val="BodyText"/>
            </w:pPr>
            <w:r>
              <w:rPr>
                <w:rStyle w:val="Bulletcolour"/>
              </w:rPr>
              <w:t>ABSTUDY</w:t>
            </w:r>
          </w:p>
        </w:tc>
        <w:tc>
          <w:tcPr>
            <w:tcW w:w="853" w:type="pct"/>
          </w:tcPr>
          <w:p w:rsidR="008E273C" w:rsidRDefault="008E273C" w:rsidP="00CB2A52">
            <w:pPr>
              <w:pStyle w:val="BodyText"/>
            </w:pPr>
            <w:r>
              <w:rPr>
                <w:rStyle w:val="Bulletcolour"/>
              </w:rPr>
              <w:t xml:space="preserve">29,000 </w:t>
            </w:r>
          </w:p>
        </w:tc>
        <w:tc>
          <w:tcPr>
            <w:tcW w:w="853" w:type="pct"/>
          </w:tcPr>
          <w:p w:rsidR="008E273C" w:rsidRDefault="008E273C" w:rsidP="00CB2A52">
            <w:pPr>
              <w:pStyle w:val="BodyText"/>
            </w:pPr>
            <w:r>
              <w:rPr>
                <w:rStyle w:val="Bulletcolour"/>
              </w:rPr>
              <w:t xml:space="preserve">24,000 </w:t>
            </w:r>
          </w:p>
        </w:tc>
        <w:tc>
          <w:tcPr>
            <w:tcW w:w="853" w:type="pct"/>
          </w:tcPr>
          <w:p w:rsidR="008E273C" w:rsidRDefault="008E273C" w:rsidP="00CB2A52">
            <w:pPr>
              <w:pStyle w:val="BodyText"/>
            </w:pPr>
            <w:r>
              <w:rPr>
                <w:rStyle w:val="Bulletcolour"/>
              </w:rPr>
              <w:t xml:space="preserve">5,000 </w:t>
            </w:r>
          </w:p>
        </w:tc>
      </w:tr>
      <w:tr w:rsidR="008E273C" w:rsidTr="00CB2A52">
        <w:trPr>
          <w:trHeight w:val="285"/>
        </w:trPr>
        <w:tc>
          <w:tcPr>
            <w:tcW w:w="2440" w:type="pct"/>
          </w:tcPr>
          <w:p w:rsidR="008E273C" w:rsidRDefault="008E273C" w:rsidP="00CB2A52">
            <w:pPr>
              <w:pStyle w:val="BodyText"/>
            </w:pPr>
            <w:r>
              <w:rPr>
                <w:rStyle w:val="Bulletcolour"/>
              </w:rPr>
              <w:t>Additional Child Care Subsidy</w:t>
            </w:r>
          </w:p>
        </w:tc>
        <w:tc>
          <w:tcPr>
            <w:tcW w:w="853" w:type="pct"/>
          </w:tcPr>
          <w:p w:rsidR="008E273C" w:rsidRDefault="008E273C" w:rsidP="00CB2A52">
            <w:pPr>
              <w:pStyle w:val="BodyText"/>
            </w:pPr>
            <w:r>
              <w:rPr>
                <w:rStyle w:val="Bulletcolour"/>
              </w:rPr>
              <w:t xml:space="preserve">121,000 </w:t>
            </w:r>
          </w:p>
        </w:tc>
        <w:tc>
          <w:tcPr>
            <w:tcW w:w="853" w:type="pct"/>
          </w:tcPr>
          <w:p w:rsidR="008E273C" w:rsidRDefault="008E273C" w:rsidP="00CB2A52">
            <w:pPr>
              <w:pStyle w:val="BodyText"/>
            </w:pPr>
            <w:r>
              <w:rPr>
                <w:rStyle w:val="Bulletcolour"/>
              </w:rPr>
              <w:t xml:space="preserve">87,000 </w:t>
            </w:r>
          </w:p>
        </w:tc>
        <w:tc>
          <w:tcPr>
            <w:tcW w:w="853" w:type="pct"/>
          </w:tcPr>
          <w:p w:rsidR="008E273C" w:rsidRDefault="008E273C" w:rsidP="00CB2A52">
            <w:pPr>
              <w:pStyle w:val="BodyText"/>
            </w:pPr>
            <w:r>
              <w:rPr>
                <w:rStyle w:val="Bulletcolour"/>
              </w:rPr>
              <w:t xml:space="preserve">34,000 </w:t>
            </w:r>
          </w:p>
        </w:tc>
      </w:tr>
      <w:tr w:rsidR="008E273C" w:rsidTr="00CB2A52">
        <w:trPr>
          <w:trHeight w:val="376"/>
        </w:trPr>
        <w:tc>
          <w:tcPr>
            <w:tcW w:w="2440" w:type="pct"/>
          </w:tcPr>
          <w:p w:rsidR="008E273C" w:rsidRDefault="008E273C" w:rsidP="00CB2A52">
            <w:pPr>
              <w:pStyle w:val="BodyText"/>
            </w:pPr>
            <w:r>
              <w:rPr>
                <w:rStyle w:val="Bulletcolour"/>
              </w:rPr>
              <w:t>Age Pension</w:t>
            </w:r>
          </w:p>
        </w:tc>
        <w:tc>
          <w:tcPr>
            <w:tcW w:w="853" w:type="pct"/>
          </w:tcPr>
          <w:p w:rsidR="008E273C" w:rsidRDefault="008E273C" w:rsidP="00CB2A52">
            <w:pPr>
              <w:pStyle w:val="BodyText"/>
            </w:pPr>
            <w:r>
              <w:rPr>
                <w:rStyle w:val="Bulletcolour"/>
              </w:rPr>
              <w:t xml:space="preserve">190,000 </w:t>
            </w:r>
          </w:p>
        </w:tc>
        <w:tc>
          <w:tcPr>
            <w:tcW w:w="853" w:type="pct"/>
          </w:tcPr>
          <w:p w:rsidR="008E273C" w:rsidRDefault="008E273C" w:rsidP="00CB2A52">
            <w:pPr>
              <w:pStyle w:val="BodyText"/>
            </w:pPr>
            <w:r>
              <w:rPr>
                <w:rStyle w:val="Bulletcolour"/>
              </w:rPr>
              <w:t xml:space="preserve">146,000 </w:t>
            </w:r>
          </w:p>
        </w:tc>
        <w:tc>
          <w:tcPr>
            <w:tcW w:w="853" w:type="pct"/>
          </w:tcPr>
          <w:p w:rsidR="008E273C" w:rsidRDefault="008E273C" w:rsidP="00CB2A52">
            <w:pPr>
              <w:pStyle w:val="BodyText"/>
            </w:pPr>
            <w:r>
              <w:rPr>
                <w:rStyle w:val="Bulletcolour"/>
              </w:rPr>
              <w:t xml:space="preserve">44,000 </w:t>
            </w:r>
          </w:p>
        </w:tc>
      </w:tr>
      <w:tr w:rsidR="008E273C" w:rsidTr="00CB2A52">
        <w:trPr>
          <w:trHeight w:val="285"/>
        </w:trPr>
        <w:tc>
          <w:tcPr>
            <w:tcW w:w="2440" w:type="pct"/>
          </w:tcPr>
          <w:p w:rsidR="008E273C" w:rsidRDefault="008E273C" w:rsidP="00CB2A52">
            <w:pPr>
              <w:pStyle w:val="BodyText"/>
            </w:pPr>
            <w:r>
              <w:rPr>
                <w:rStyle w:val="Bulletcolour"/>
              </w:rPr>
              <w:t>Assistance for Isolated Children</w:t>
            </w:r>
          </w:p>
        </w:tc>
        <w:tc>
          <w:tcPr>
            <w:tcW w:w="853" w:type="pct"/>
          </w:tcPr>
          <w:p w:rsidR="008E273C" w:rsidRDefault="008E273C" w:rsidP="00CB2A52">
            <w:pPr>
              <w:pStyle w:val="BodyText"/>
            </w:pPr>
            <w:r>
              <w:rPr>
                <w:rStyle w:val="Bulletcolour"/>
              </w:rPr>
              <w:t xml:space="preserve">6,500 </w:t>
            </w:r>
          </w:p>
        </w:tc>
        <w:tc>
          <w:tcPr>
            <w:tcW w:w="853" w:type="pct"/>
          </w:tcPr>
          <w:p w:rsidR="008E273C" w:rsidRDefault="008E273C" w:rsidP="00CB2A52">
            <w:pPr>
              <w:pStyle w:val="BodyText"/>
            </w:pPr>
            <w:r>
              <w:rPr>
                <w:rStyle w:val="Bulletcolour"/>
              </w:rPr>
              <w:t xml:space="preserve">4,700 </w:t>
            </w:r>
          </w:p>
        </w:tc>
        <w:tc>
          <w:tcPr>
            <w:tcW w:w="853" w:type="pct"/>
          </w:tcPr>
          <w:p w:rsidR="008E273C" w:rsidRDefault="008E273C" w:rsidP="00CB2A52">
            <w:pPr>
              <w:pStyle w:val="BodyText"/>
            </w:pPr>
            <w:r>
              <w:rPr>
                <w:rStyle w:val="Bulletcolour"/>
              </w:rPr>
              <w:t xml:space="preserve">1,800 </w:t>
            </w:r>
          </w:p>
        </w:tc>
      </w:tr>
      <w:tr w:rsidR="008E273C" w:rsidTr="00CB2A52">
        <w:trPr>
          <w:trHeight w:val="285"/>
        </w:trPr>
        <w:tc>
          <w:tcPr>
            <w:tcW w:w="2440" w:type="pct"/>
          </w:tcPr>
          <w:p w:rsidR="008E273C" w:rsidRDefault="008E273C" w:rsidP="00CB2A52">
            <w:pPr>
              <w:pStyle w:val="BodyText"/>
            </w:pPr>
            <w:r>
              <w:rPr>
                <w:rStyle w:val="Bulletcolour"/>
              </w:rPr>
              <w:t>Bereavement Allowance</w:t>
            </w:r>
          </w:p>
        </w:tc>
        <w:tc>
          <w:tcPr>
            <w:tcW w:w="853" w:type="pct"/>
          </w:tcPr>
          <w:p w:rsidR="008E273C" w:rsidRDefault="008E273C" w:rsidP="00CB2A52">
            <w:pPr>
              <w:pStyle w:val="BodyText"/>
            </w:pPr>
            <w:r>
              <w:rPr>
                <w:rStyle w:val="Bulletcolour"/>
              </w:rPr>
              <w:t xml:space="preserve">1,000 </w:t>
            </w:r>
          </w:p>
        </w:tc>
        <w:tc>
          <w:tcPr>
            <w:tcW w:w="853" w:type="pct"/>
          </w:tcPr>
          <w:p w:rsidR="008E273C" w:rsidRDefault="008E273C" w:rsidP="00CB2A52">
            <w:pPr>
              <w:pStyle w:val="BodyText"/>
            </w:pPr>
            <w:r>
              <w:rPr>
                <w:rStyle w:val="Bulletcolour"/>
              </w:rPr>
              <w:t xml:space="preserve">600 </w:t>
            </w:r>
          </w:p>
        </w:tc>
        <w:tc>
          <w:tcPr>
            <w:tcW w:w="853" w:type="pct"/>
          </w:tcPr>
          <w:p w:rsidR="008E273C" w:rsidRDefault="008E273C" w:rsidP="00CB2A52">
            <w:pPr>
              <w:pStyle w:val="BodyText"/>
            </w:pPr>
            <w:r>
              <w:rPr>
                <w:rStyle w:val="Bulletcolour"/>
              </w:rPr>
              <w:t xml:space="preserve">400 </w:t>
            </w:r>
          </w:p>
        </w:tc>
      </w:tr>
      <w:tr w:rsidR="008E273C" w:rsidTr="00CB2A52">
        <w:trPr>
          <w:trHeight w:val="285"/>
        </w:trPr>
        <w:tc>
          <w:tcPr>
            <w:tcW w:w="2440" w:type="pct"/>
          </w:tcPr>
          <w:p w:rsidR="008E273C" w:rsidRDefault="008E273C" w:rsidP="00CB2A52">
            <w:pPr>
              <w:pStyle w:val="BodyText"/>
            </w:pPr>
            <w:r>
              <w:rPr>
                <w:rStyle w:val="Bulletcolour"/>
              </w:rPr>
              <w:t>Carer Payment and Carer Allowance</w:t>
            </w:r>
          </w:p>
        </w:tc>
        <w:tc>
          <w:tcPr>
            <w:tcW w:w="853" w:type="pct"/>
          </w:tcPr>
          <w:p w:rsidR="008E273C" w:rsidRDefault="008E273C" w:rsidP="00CB2A52">
            <w:pPr>
              <w:pStyle w:val="BodyText"/>
            </w:pPr>
            <w:r>
              <w:rPr>
                <w:rStyle w:val="Bulletcolour"/>
              </w:rPr>
              <w:t xml:space="preserve">219,000 </w:t>
            </w:r>
          </w:p>
        </w:tc>
        <w:tc>
          <w:tcPr>
            <w:tcW w:w="853" w:type="pct"/>
          </w:tcPr>
          <w:p w:rsidR="008E273C" w:rsidRDefault="008E273C" w:rsidP="00CB2A52">
            <w:pPr>
              <w:pStyle w:val="BodyText"/>
            </w:pPr>
            <w:r>
              <w:rPr>
                <w:rStyle w:val="Bulletcolour"/>
              </w:rPr>
              <w:t xml:space="preserve">141,000 </w:t>
            </w:r>
          </w:p>
        </w:tc>
        <w:tc>
          <w:tcPr>
            <w:tcW w:w="853" w:type="pct"/>
          </w:tcPr>
          <w:p w:rsidR="008E273C" w:rsidRDefault="008E273C" w:rsidP="00CB2A52">
            <w:pPr>
              <w:pStyle w:val="BodyText"/>
            </w:pPr>
            <w:r>
              <w:rPr>
                <w:rStyle w:val="Bulletcolour"/>
              </w:rPr>
              <w:t xml:space="preserve">78,000 </w:t>
            </w:r>
          </w:p>
        </w:tc>
      </w:tr>
      <w:tr w:rsidR="008E273C" w:rsidTr="00CB2A52">
        <w:trPr>
          <w:trHeight w:val="285"/>
        </w:trPr>
        <w:tc>
          <w:tcPr>
            <w:tcW w:w="2440" w:type="pct"/>
          </w:tcPr>
          <w:p w:rsidR="008E273C" w:rsidRDefault="008E273C" w:rsidP="00CB2A52">
            <w:pPr>
              <w:pStyle w:val="BodyText"/>
            </w:pPr>
            <w:r>
              <w:rPr>
                <w:rStyle w:val="Bulletcolour"/>
              </w:rPr>
              <w:t>Child Care Subsidy</w:t>
            </w:r>
          </w:p>
        </w:tc>
        <w:tc>
          <w:tcPr>
            <w:tcW w:w="853" w:type="pct"/>
          </w:tcPr>
          <w:p w:rsidR="008E273C" w:rsidRDefault="008E273C" w:rsidP="00CB2A52">
            <w:pPr>
              <w:pStyle w:val="BodyText"/>
            </w:pPr>
            <w:r>
              <w:rPr>
                <w:rStyle w:val="Bulletcolour"/>
              </w:rPr>
              <w:t xml:space="preserve">333,000 </w:t>
            </w:r>
          </w:p>
        </w:tc>
        <w:tc>
          <w:tcPr>
            <w:tcW w:w="853" w:type="pct"/>
          </w:tcPr>
          <w:p w:rsidR="008E273C" w:rsidRDefault="008E273C" w:rsidP="00CB2A52">
            <w:pPr>
              <w:pStyle w:val="BodyText"/>
            </w:pPr>
            <w:r>
              <w:rPr>
                <w:rStyle w:val="Bulletcolour"/>
              </w:rPr>
              <w:t xml:space="preserve">316,000 </w:t>
            </w:r>
          </w:p>
        </w:tc>
        <w:tc>
          <w:tcPr>
            <w:tcW w:w="853" w:type="pct"/>
          </w:tcPr>
          <w:p w:rsidR="008E273C" w:rsidRDefault="008E273C" w:rsidP="00CB2A52">
            <w:pPr>
              <w:pStyle w:val="BodyText"/>
            </w:pPr>
            <w:r>
              <w:rPr>
                <w:rStyle w:val="Bulletcolour"/>
              </w:rPr>
              <w:t xml:space="preserve">17,000 </w:t>
            </w:r>
          </w:p>
        </w:tc>
      </w:tr>
      <w:tr w:rsidR="008E273C" w:rsidTr="00CB2A52">
        <w:trPr>
          <w:trHeight w:val="285"/>
        </w:trPr>
        <w:tc>
          <w:tcPr>
            <w:tcW w:w="2440" w:type="pct"/>
          </w:tcPr>
          <w:p w:rsidR="008E273C" w:rsidRDefault="008E273C" w:rsidP="00CB2A52">
            <w:pPr>
              <w:pStyle w:val="BodyText"/>
            </w:pPr>
            <w:r>
              <w:rPr>
                <w:rStyle w:val="Bulletcolour"/>
              </w:rPr>
              <w:t>Crisis Payment</w:t>
            </w:r>
          </w:p>
        </w:tc>
        <w:tc>
          <w:tcPr>
            <w:tcW w:w="853" w:type="pct"/>
          </w:tcPr>
          <w:p w:rsidR="008E273C" w:rsidRDefault="008E273C" w:rsidP="00CB2A52">
            <w:pPr>
              <w:pStyle w:val="BodyText"/>
            </w:pPr>
            <w:r>
              <w:rPr>
                <w:rStyle w:val="Bulletcolour"/>
              </w:rPr>
              <w:t xml:space="preserve">202,000 </w:t>
            </w:r>
          </w:p>
        </w:tc>
        <w:tc>
          <w:tcPr>
            <w:tcW w:w="853" w:type="pct"/>
          </w:tcPr>
          <w:p w:rsidR="008E273C" w:rsidRDefault="008E273C" w:rsidP="00CB2A52">
            <w:pPr>
              <w:pStyle w:val="BodyText"/>
            </w:pPr>
            <w:r>
              <w:rPr>
                <w:rStyle w:val="Bulletcolour"/>
              </w:rPr>
              <w:t xml:space="preserve">135,000 </w:t>
            </w:r>
          </w:p>
        </w:tc>
        <w:tc>
          <w:tcPr>
            <w:tcW w:w="853" w:type="pct"/>
          </w:tcPr>
          <w:p w:rsidR="008E273C" w:rsidRDefault="008E273C" w:rsidP="00CB2A52">
            <w:pPr>
              <w:pStyle w:val="BodyText"/>
            </w:pPr>
            <w:r>
              <w:rPr>
                <w:rStyle w:val="Bulletcolour"/>
              </w:rPr>
              <w:t xml:space="preserve">67,000 </w:t>
            </w:r>
          </w:p>
        </w:tc>
      </w:tr>
      <w:tr w:rsidR="008E273C" w:rsidTr="00CB2A52">
        <w:trPr>
          <w:trHeight w:val="285"/>
        </w:trPr>
        <w:tc>
          <w:tcPr>
            <w:tcW w:w="2440" w:type="pct"/>
          </w:tcPr>
          <w:p w:rsidR="008E273C" w:rsidRDefault="008E273C" w:rsidP="00CB2A52">
            <w:pPr>
              <w:pStyle w:val="BodyText"/>
            </w:pPr>
            <w:r>
              <w:rPr>
                <w:rStyle w:val="Bulletcolour"/>
              </w:rPr>
              <w:t>Dad and Partner Pay</w:t>
            </w:r>
          </w:p>
        </w:tc>
        <w:tc>
          <w:tcPr>
            <w:tcW w:w="853" w:type="pct"/>
          </w:tcPr>
          <w:p w:rsidR="008E273C" w:rsidRDefault="008E273C" w:rsidP="00CB2A52">
            <w:pPr>
              <w:pStyle w:val="BodyText"/>
            </w:pPr>
            <w:r>
              <w:rPr>
                <w:rStyle w:val="Bulletcolour"/>
              </w:rPr>
              <w:t xml:space="preserve">109,000 </w:t>
            </w:r>
          </w:p>
        </w:tc>
        <w:tc>
          <w:tcPr>
            <w:tcW w:w="853" w:type="pct"/>
          </w:tcPr>
          <w:p w:rsidR="008E273C" w:rsidRDefault="008E273C" w:rsidP="00CB2A52">
            <w:pPr>
              <w:pStyle w:val="BodyText"/>
            </w:pPr>
            <w:r>
              <w:rPr>
                <w:rStyle w:val="Bulletcolour"/>
              </w:rPr>
              <w:t xml:space="preserve">97,000 </w:t>
            </w:r>
          </w:p>
        </w:tc>
        <w:tc>
          <w:tcPr>
            <w:tcW w:w="853" w:type="pct"/>
          </w:tcPr>
          <w:p w:rsidR="008E273C" w:rsidRDefault="008E273C" w:rsidP="00CB2A52">
            <w:pPr>
              <w:pStyle w:val="BodyText"/>
            </w:pPr>
            <w:r>
              <w:rPr>
                <w:rStyle w:val="Bulletcolour"/>
              </w:rPr>
              <w:t xml:space="preserve">12,000 </w:t>
            </w:r>
          </w:p>
        </w:tc>
      </w:tr>
      <w:tr w:rsidR="008E273C" w:rsidTr="00CB2A52">
        <w:trPr>
          <w:trHeight w:val="285"/>
        </w:trPr>
        <w:tc>
          <w:tcPr>
            <w:tcW w:w="2440" w:type="pct"/>
          </w:tcPr>
          <w:p w:rsidR="008E273C" w:rsidRDefault="008E273C" w:rsidP="00CB2A52">
            <w:pPr>
              <w:pStyle w:val="BodyText"/>
            </w:pPr>
            <w:r>
              <w:rPr>
                <w:rStyle w:val="Bulletcolour"/>
              </w:rPr>
              <w:t>Disability Support Pension</w:t>
            </w:r>
          </w:p>
        </w:tc>
        <w:tc>
          <w:tcPr>
            <w:tcW w:w="853" w:type="pct"/>
          </w:tcPr>
          <w:p w:rsidR="008E273C" w:rsidRDefault="008E273C" w:rsidP="00CB2A52">
            <w:pPr>
              <w:pStyle w:val="BodyText"/>
            </w:pPr>
            <w:r>
              <w:rPr>
                <w:rStyle w:val="Bulletcolour"/>
              </w:rPr>
              <w:t xml:space="preserve">102,000 </w:t>
            </w:r>
          </w:p>
        </w:tc>
        <w:tc>
          <w:tcPr>
            <w:tcW w:w="853" w:type="pct"/>
          </w:tcPr>
          <w:p w:rsidR="008E273C" w:rsidRDefault="008E273C" w:rsidP="00CB2A52">
            <w:pPr>
              <w:pStyle w:val="BodyText"/>
            </w:pPr>
            <w:r>
              <w:rPr>
                <w:rStyle w:val="Bulletcolour"/>
              </w:rPr>
              <w:t xml:space="preserve">42,000 </w:t>
            </w:r>
          </w:p>
        </w:tc>
        <w:tc>
          <w:tcPr>
            <w:tcW w:w="853" w:type="pct"/>
          </w:tcPr>
          <w:p w:rsidR="008E273C" w:rsidRDefault="008E273C" w:rsidP="00CB2A52">
            <w:pPr>
              <w:pStyle w:val="BodyText"/>
            </w:pPr>
            <w:r>
              <w:rPr>
                <w:rStyle w:val="Bulletcolour"/>
              </w:rPr>
              <w:t xml:space="preserve">60,000 </w:t>
            </w:r>
          </w:p>
        </w:tc>
      </w:tr>
      <w:tr w:rsidR="008E273C" w:rsidTr="00CB2A52">
        <w:trPr>
          <w:trHeight w:val="285"/>
        </w:trPr>
        <w:tc>
          <w:tcPr>
            <w:tcW w:w="2440" w:type="pct"/>
          </w:tcPr>
          <w:p w:rsidR="008E273C" w:rsidRDefault="008E273C" w:rsidP="00CB2A52">
            <w:pPr>
              <w:pStyle w:val="BodyText"/>
            </w:pPr>
            <w:r>
              <w:rPr>
                <w:rStyle w:val="Bulletcolour"/>
              </w:rPr>
              <w:lastRenderedPageBreak/>
              <w:t>Double Orphan Pension</w:t>
            </w:r>
          </w:p>
        </w:tc>
        <w:tc>
          <w:tcPr>
            <w:tcW w:w="853" w:type="pct"/>
          </w:tcPr>
          <w:p w:rsidR="008E273C" w:rsidRDefault="008E273C" w:rsidP="00CB2A52">
            <w:pPr>
              <w:pStyle w:val="BodyText"/>
            </w:pPr>
            <w:r>
              <w:rPr>
                <w:rStyle w:val="Bulletcolour"/>
              </w:rPr>
              <w:t xml:space="preserve">160 </w:t>
            </w:r>
          </w:p>
        </w:tc>
        <w:tc>
          <w:tcPr>
            <w:tcW w:w="853" w:type="pct"/>
          </w:tcPr>
          <w:p w:rsidR="008E273C" w:rsidRDefault="008E273C" w:rsidP="00CB2A52">
            <w:pPr>
              <w:pStyle w:val="BodyText"/>
            </w:pPr>
            <w:r>
              <w:rPr>
                <w:rStyle w:val="Bulletcolour"/>
              </w:rPr>
              <w:t xml:space="preserve">120 </w:t>
            </w:r>
          </w:p>
        </w:tc>
        <w:tc>
          <w:tcPr>
            <w:tcW w:w="853" w:type="pct"/>
          </w:tcPr>
          <w:p w:rsidR="008E273C" w:rsidRDefault="008E273C" w:rsidP="00CB2A52">
            <w:pPr>
              <w:pStyle w:val="BodyText"/>
            </w:pPr>
            <w:r>
              <w:rPr>
                <w:rStyle w:val="Bulletcolour"/>
              </w:rPr>
              <w:t xml:space="preserve">40 </w:t>
            </w:r>
          </w:p>
        </w:tc>
      </w:tr>
      <w:tr w:rsidR="008E273C" w:rsidTr="00CB2A52">
        <w:trPr>
          <w:trHeight w:val="285"/>
        </w:trPr>
        <w:tc>
          <w:tcPr>
            <w:tcW w:w="2440" w:type="pct"/>
          </w:tcPr>
          <w:p w:rsidR="008E273C" w:rsidRDefault="008E273C" w:rsidP="00CB2A52">
            <w:pPr>
              <w:pStyle w:val="BodyText"/>
            </w:pPr>
            <w:r>
              <w:rPr>
                <w:rStyle w:val="Bulletcolour"/>
              </w:rPr>
              <w:t>Family Tax Benefit</w:t>
            </w:r>
          </w:p>
        </w:tc>
        <w:tc>
          <w:tcPr>
            <w:tcW w:w="853" w:type="pct"/>
          </w:tcPr>
          <w:p w:rsidR="008E273C" w:rsidRDefault="008E273C" w:rsidP="00CB2A52">
            <w:pPr>
              <w:pStyle w:val="BodyText"/>
            </w:pPr>
            <w:r>
              <w:rPr>
                <w:rStyle w:val="Bulletcolour"/>
              </w:rPr>
              <w:t xml:space="preserve">557,000 </w:t>
            </w:r>
          </w:p>
        </w:tc>
        <w:tc>
          <w:tcPr>
            <w:tcW w:w="853" w:type="pct"/>
          </w:tcPr>
          <w:p w:rsidR="008E273C" w:rsidRDefault="008E273C" w:rsidP="00CB2A52">
            <w:pPr>
              <w:pStyle w:val="BodyText"/>
            </w:pPr>
            <w:r>
              <w:rPr>
                <w:rStyle w:val="Bulletcolour"/>
              </w:rPr>
              <w:t xml:space="preserve">368,000 </w:t>
            </w:r>
          </w:p>
        </w:tc>
        <w:tc>
          <w:tcPr>
            <w:tcW w:w="853" w:type="pct"/>
          </w:tcPr>
          <w:p w:rsidR="008E273C" w:rsidRDefault="008E273C" w:rsidP="00CB2A52">
            <w:pPr>
              <w:pStyle w:val="BodyText"/>
            </w:pPr>
            <w:r>
              <w:rPr>
                <w:rStyle w:val="Bulletcolour"/>
              </w:rPr>
              <w:t xml:space="preserve">189,000 </w:t>
            </w:r>
          </w:p>
        </w:tc>
      </w:tr>
      <w:tr w:rsidR="008E273C" w:rsidTr="00CB2A52">
        <w:trPr>
          <w:trHeight w:val="285"/>
        </w:trPr>
        <w:tc>
          <w:tcPr>
            <w:tcW w:w="2440" w:type="pct"/>
          </w:tcPr>
          <w:p w:rsidR="008E273C" w:rsidRDefault="008E273C" w:rsidP="00CB2A52">
            <w:pPr>
              <w:pStyle w:val="BodyText"/>
            </w:pPr>
            <w:proofErr w:type="spellStart"/>
            <w:r>
              <w:rPr>
                <w:rStyle w:val="Bulletcolour"/>
              </w:rPr>
              <w:t>JobSeeker</w:t>
            </w:r>
            <w:proofErr w:type="spellEnd"/>
            <w:r>
              <w:rPr>
                <w:rStyle w:val="Bulletcolour"/>
              </w:rPr>
              <w:t xml:space="preserve"> Payment</w:t>
            </w:r>
          </w:p>
        </w:tc>
        <w:tc>
          <w:tcPr>
            <w:tcW w:w="853" w:type="pct"/>
          </w:tcPr>
          <w:p w:rsidR="008E273C" w:rsidRDefault="008E273C" w:rsidP="00CB2A52">
            <w:pPr>
              <w:pStyle w:val="BodyText"/>
            </w:pPr>
            <w:r>
              <w:rPr>
                <w:rStyle w:val="Bulletcolour"/>
              </w:rPr>
              <w:t xml:space="preserve">1,191,000 </w:t>
            </w:r>
          </w:p>
        </w:tc>
        <w:tc>
          <w:tcPr>
            <w:tcW w:w="853" w:type="pct"/>
          </w:tcPr>
          <w:p w:rsidR="008E273C" w:rsidRDefault="008E273C" w:rsidP="00CB2A52">
            <w:pPr>
              <w:pStyle w:val="BodyText"/>
            </w:pPr>
            <w:r>
              <w:rPr>
                <w:rStyle w:val="Bulletcolour"/>
              </w:rPr>
              <w:t xml:space="preserve">1,075,000 </w:t>
            </w:r>
          </w:p>
        </w:tc>
        <w:tc>
          <w:tcPr>
            <w:tcW w:w="853" w:type="pct"/>
          </w:tcPr>
          <w:p w:rsidR="008E273C" w:rsidRDefault="008E273C" w:rsidP="00CB2A52">
            <w:pPr>
              <w:pStyle w:val="BodyText"/>
            </w:pPr>
            <w:r>
              <w:rPr>
                <w:rStyle w:val="Bulletcolour"/>
              </w:rPr>
              <w:t xml:space="preserve">116,000 </w:t>
            </w:r>
          </w:p>
        </w:tc>
      </w:tr>
      <w:tr w:rsidR="008E273C" w:rsidTr="00CB2A52">
        <w:trPr>
          <w:trHeight w:val="285"/>
        </w:trPr>
        <w:tc>
          <w:tcPr>
            <w:tcW w:w="2440" w:type="pct"/>
          </w:tcPr>
          <w:p w:rsidR="008E273C" w:rsidRDefault="008E273C" w:rsidP="00CB2A52">
            <w:pPr>
              <w:pStyle w:val="BodyText"/>
            </w:pPr>
            <w:r>
              <w:rPr>
                <w:rStyle w:val="Bulletcolour"/>
              </w:rPr>
              <w:t>Low Income Card</w:t>
            </w:r>
          </w:p>
        </w:tc>
        <w:tc>
          <w:tcPr>
            <w:tcW w:w="853" w:type="pct"/>
          </w:tcPr>
          <w:p w:rsidR="008E273C" w:rsidRDefault="008E273C" w:rsidP="00CB2A52">
            <w:pPr>
              <w:pStyle w:val="BodyText"/>
            </w:pPr>
            <w:r>
              <w:rPr>
                <w:rStyle w:val="Bulletcolour"/>
              </w:rPr>
              <w:t xml:space="preserve">167,000 </w:t>
            </w:r>
          </w:p>
        </w:tc>
        <w:tc>
          <w:tcPr>
            <w:tcW w:w="853" w:type="pct"/>
          </w:tcPr>
          <w:p w:rsidR="008E273C" w:rsidRDefault="008E273C" w:rsidP="00CB2A52">
            <w:pPr>
              <w:pStyle w:val="BodyText"/>
            </w:pPr>
            <w:r>
              <w:rPr>
                <w:rStyle w:val="Bulletcolour"/>
              </w:rPr>
              <w:t xml:space="preserve">96,000 </w:t>
            </w:r>
          </w:p>
        </w:tc>
        <w:tc>
          <w:tcPr>
            <w:tcW w:w="853" w:type="pct"/>
          </w:tcPr>
          <w:p w:rsidR="008E273C" w:rsidRDefault="008E273C" w:rsidP="00CB2A52">
            <w:pPr>
              <w:pStyle w:val="BodyText"/>
            </w:pPr>
            <w:r>
              <w:rPr>
                <w:rStyle w:val="Bulletcolour"/>
              </w:rPr>
              <w:t xml:space="preserve">71,000 </w:t>
            </w:r>
          </w:p>
        </w:tc>
      </w:tr>
      <w:tr w:rsidR="008E273C" w:rsidTr="00CB2A52">
        <w:trPr>
          <w:trHeight w:val="285"/>
        </w:trPr>
        <w:tc>
          <w:tcPr>
            <w:tcW w:w="2440" w:type="pct"/>
          </w:tcPr>
          <w:p w:rsidR="008E273C" w:rsidRDefault="008E273C" w:rsidP="00CB2A52">
            <w:pPr>
              <w:pStyle w:val="BodyText"/>
            </w:pPr>
            <w:r>
              <w:rPr>
                <w:rStyle w:val="Bulletcolour"/>
              </w:rPr>
              <w:t>Mobility Allowance</w:t>
            </w:r>
          </w:p>
        </w:tc>
        <w:tc>
          <w:tcPr>
            <w:tcW w:w="853" w:type="pct"/>
          </w:tcPr>
          <w:p w:rsidR="008E273C" w:rsidRDefault="008E273C" w:rsidP="00CB2A52">
            <w:pPr>
              <w:pStyle w:val="BodyText"/>
            </w:pPr>
            <w:r>
              <w:rPr>
                <w:rStyle w:val="Bulletcolour"/>
              </w:rPr>
              <w:t xml:space="preserve">5,800 </w:t>
            </w:r>
          </w:p>
        </w:tc>
        <w:tc>
          <w:tcPr>
            <w:tcW w:w="853" w:type="pct"/>
          </w:tcPr>
          <w:p w:rsidR="008E273C" w:rsidRDefault="008E273C" w:rsidP="00CB2A52">
            <w:pPr>
              <w:pStyle w:val="BodyText"/>
            </w:pPr>
            <w:r>
              <w:rPr>
                <w:rStyle w:val="Bulletcolour"/>
              </w:rPr>
              <w:t xml:space="preserve">2,200 </w:t>
            </w:r>
          </w:p>
        </w:tc>
        <w:tc>
          <w:tcPr>
            <w:tcW w:w="853" w:type="pct"/>
          </w:tcPr>
          <w:p w:rsidR="008E273C" w:rsidRDefault="008E273C" w:rsidP="00CB2A52">
            <w:pPr>
              <w:pStyle w:val="BodyText"/>
            </w:pPr>
            <w:r>
              <w:rPr>
                <w:rStyle w:val="Bulletcolour"/>
              </w:rPr>
              <w:t xml:space="preserve">3,600 </w:t>
            </w:r>
          </w:p>
        </w:tc>
      </w:tr>
      <w:tr w:rsidR="008E273C" w:rsidTr="00CB2A52">
        <w:trPr>
          <w:trHeight w:val="285"/>
        </w:trPr>
        <w:tc>
          <w:tcPr>
            <w:tcW w:w="2440" w:type="pct"/>
          </w:tcPr>
          <w:p w:rsidR="008E273C" w:rsidRDefault="008E273C" w:rsidP="00CB2A52">
            <w:pPr>
              <w:pStyle w:val="BodyText"/>
            </w:pPr>
            <w:proofErr w:type="spellStart"/>
            <w:r>
              <w:rPr>
                <w:rStyle w:val="Bulletcolour"/>
              </w:rPr>
              <w:t>Newstart</w:t>
            </w:r>
            <w:proofErr w:type="spellEnd"/>
            <w:r>
              <w:rPr>
                <w:rStyle w:val="Bulletcolour"/>
              </w:rPr>
              <w:t xml:space="preserve"> Allowance</w:t>
            </w:r>
          </w:p>
        </w:tc>
        <w:tc>
          <w:tcPr>
            <w:tcW w:w="853" w:type="pct"/>
          </w:tcPr>
          <w:p w:rsidR="008E273C" w:rsidRDefault="008E273C" w:rsidP="00CB2A52">
            <w:pPr>
              <w:pStyle w:val="BodyText"/>
            </w:pPr>
            <w:r>
              <w:rPr>
                <w:rStyle w:val="Bulletcolour"/>
              </w:rPr>
              <w:t xml:space="preserve">502,000 </w:t>
            </w:r>
          </w:p>
        </w:tc>
        <w:tc>
          <w:tcPr>
            <w:tcW w:w="853" w:type="pct"/>
          </w:tcPr>
          <w:p w:rsidR="008E273C" w:rsidRDefault="008E273C" w:rsidP="00CB2A52">
            <w:pPr>
              <w:pStyle w:val="BodyText"/>
            </w:pPr>
            <w:r>
              <w:rPr>
                <w:rStyle w:val="Bulletcolour"/>
              </w:rPr>
              <w:t xml:space="preserve">341,000 </w:t>
            </w:r>
          </w:p>
        </w:tc>
        <w:tc>
          <w:tcPr>
            <w:tcW w:w="853" w:type="pct"/>
          </w:tcPr>
          <w:p w:rsidR="008E273C" w:rsidRDefault="008E273C" w:rsidP="00CB2A52">
            <w:pPr>
              <w:pStyle w:val="BodyText"/>
            </w:pPr>
            <w:r>
              <w:rPr>
                <w:rStyle w:val="Bulletcolour"/>
              </w:rPr>
              <w:t xml:space="preserve">161,000 </w:t>
            </w:r>
          </w:p>
        </w:tc>
      </w:tr>
      <w:tr w:rsidR="008E273C" w:rsidTr="00CB2A52">
        <w:trPr>
          <w:trHeight w:val="285"/>
        </w:trPr>
        <w:tc>
          <w:tcPr>
            <w:tcW w:w="2440" w:type="pct"/>
          </w:tcPr>
          <w:p w:rsidR="008E273C" w:rsidRDefault="008E273C" w:rsidP="00CB2A52">
            <w:pPr>
              <w:pStyle w:val="BodyText"/>
            </w:pPr>
            <w:r>
              <w:rPr>
                <w:rStyle w:val="Bulletcolour"/>
              </w:rPr>
              <w:t>Paid Parental Leave</w:t>
            </w:r>
          </w:p>
        </w:tc>
        <w:tc>
          <w:tcPr>
            <w:tcW w:w="853" w:type="pct"/>
          </w:tcPr>
          <w:p w:rsidR="008E273C" w:rsidRDefault="008E273C" w:rsidP="00CB2A52">
            <w:pPr>
              <w:pStyle w:val="BodyText"/>
            </w:pPr>
            <w:r>
              <w:rPr>
                <w:rStyle w:val="Bulletcolour"/>
              </w:rPr>
              <w:t xml:space="preserve">321,000 </w:t>
            </w:r>
          </w:p>
        </w:tc>
        <w:tc>
          <w:tcPr>
            <w:tcW w:w="853" w:type="pct"/>
          </w:tcPr>
          <w:p w:rsidR="008E273C" w:rsidRDefault="008E273C" w:rsidP="00CB2A52">
            <w:pPr>
              <w:pStyle w:val="BodyText"/>
            </w:pPr>
            <w:r>
              <w:rPr>
                <w:rStyle w:val="Bulletcolour"/>
              </w:rPr>
              <w:t xml:space="preserve">293,000 </w:t>
            </w:r>
          </w:p>
        </w:tc>
        <w:tc>
          <w:tcPr>
            <w:tcW w:w="853" w:type="pct"/>
          </w:tcPr>
          <w:p w:rsidR="008E273C" w:rsidRDefault="008E273C" w:rsidP="00CB2A52">
            <w:pPr>
              <w:pStyle w:val="BodyText"/>
            </w:pPr>
            <w:r>
              <w:rPr>
                <w:rStyle w:val="Bulletcolour"/>
              </w:rPr>
              <w:t xml:space="preserve">28,000 </w:t>
            </w:r>
          </w:p>
        </w:tc>
      </w:tr>
      <w:tr w:rsidR="008E273C" w:rsidTr="00CB2A52">
        <w:trPr>
          <w:trHeight w:val="285"/>
        </w:trPr>
        <w:tc>
          <w:tcPr>
            <w:tcW w:w="2440" w:type="pct"/>
          </w:tcPr>
          <w:p w:rsidR="008E273C" w:rsidRDefault="008E273C" w:rsidP="00CB2A52">
            <w:pPr>
              <w:pStyle w:val="BodyText"/>
            </w:pPr>
            <w:r>
              <w:rPr>
                <w:rStyle w:val="Bulletcolour"/>
              </w:rPr>
              <w:t>Parenting Payment</w:t>
            </w:r>
          </w:p>
        </w:tc>
        <w:tc>
          <w:tcPr>
            <w:tcW w:w="853" w:type="pct"/>
          </w:tcPr>
          <w:p w:rsidR="008E273C" w:rsidRDefault="008E273C" w:rsidP="00CB2A52">
            <w:pPr>
              <w:pStyle w:val="BodyText"/>
            </w:pPr>
            <w:r>
              <w:rPr>
                <w:rStyle w:val="Bulletcolour"/>
              </w:rPr>
              <w:t xml:space="preserve">190,000 </w:t>
            </w:r>
          </w:p>
        </w:tc>
        <w:tc>
          <w:tcPr>
            <w:tcW w:w="853" w:type="pct"/>
          </w:tcPr>
          <w:p w:rsidR="008E273C" w:rsidRDefault="008E273C" w:rsidP="00CB2A52">
            <w:pPr>
              <w:pStyle w:val="BodyText"/>
            </w:pPr>
            <w:r>
              <w:rPr>
                <w:rStyle w:val="Bulletcolour"/>
              </w:rPr>
              <w:t xml:space="preserve">120,000 </w:t>
            </w:r>
          </w:p>
        </w:tc>
        <w:tc>
          <w:tcPr>
            <w:tcW w:w="853" w:type="pct"/>
          </w:tcPr>
          <w:p w:rsidR="008E273C" w:rsidRDefault="008E273C" w:rsidP="00CB2A52">
            <w:pPr>
              <w:pStyle w:val="BodyText"/>
            </w:pPr>
            <w:r>
              <w:rPr>
                <w:rStyle w:val="Bulletcolour"/>
              </w:rPr>
              <w:t xml:space="preserve">70,000 </w:t>
            </w:r>
          </w:p>
        </w:tc>
      </w:tr>
      <w:tr w:rsidR="008E273C" w:rsidTr="00CB2A52">
        <w:trPr>
          <w:trHeight w:val="285"/>
        </w:trPr>
        <w:tc>
          <w:tcPr>
            <w:tcW w:w="2440" w:type="pct"/>
          </w:tcPr>
          <w:p w:rsidR="008E273C" w:rsidRDefault="008E273C" w:rsidP="00CB2A52">
            <w:pPr>
              <w:pStyle w:val="BodyText"/>
            </w:pPr>
            <w:r>
              <w:rPr>
                <w:rStyle w:val="Bulletcolour"/>
              </w:rPr>
              <w:t>Pensioner Education Supplement</w:t>
            </w:r>
          </w:p>
        </w:tc>
        <w:tc>
          <w:tcPr>
            <w:tcW w:w="853" w:type="pct"/>
          </w:tcPr>
          <w:p w:rsidR="008E273C" w:rsidRDefault="008E273C" w:rsidP="00CB2A52">
            <w:pPr>
              <w:pStyle w:val="BodyText"/>
            </w:pPr>
            <w:r>
              <w:rPr>
                <w:rStyle w:val="Bulletcolour"/>
              </w:rPr>
              <w:t xml:space="preserve">43,000 </w:t>
            </w:r>
          </w:p>
        </w:tc>
        <w:tc>
          <w:tcPr>
            <w:tcW w:w="853" w:type="pct"/>
          </w:tcPr>
          <w:p w:rsidR="008E273C" w:rsidRDefault="008E273C" w:rsidP="00CB2A52">
            <w:pPr>
              <w:pStyle w:val="BodyText"/>
            </w:pPr>
            <w:r>
              <w:rPr>
                <w:rStyle w:val="Bulletcolour"/>
              </w:rPr>
              <w:t xml:space="preserve">34,000 </w:t>
            </w:r>
          </w:p>
        </w:tc>
        <w:tc>
          <w:tcPr>
            <w:tcW w:w="853" w:type="pct"/>
          </w:tcPr>
          <w:p w:rsidR="008E273C" w:rsidRDefault="008E273C" w:rsidP="00CB2A52">
            <w:pPr>
              <w:pStyle w:val="BodyText"/>
            </w:pPr>
            <w:r>
              <w:rPr>
                <w:rStyle w:val="Bulletcolour"/>
              </w:rPr>
              <w:t xml:space="preserve">9,000 </w:t>
            </w:r>
          </w:p>
        </w:tc>
      </w:tr>
      <w:tr w:rsidR="008E273C" w:rsidTr="00CB2A52">
        <w:trPr>
          <w:trHeight w:val="285"/>
        </w:trPr>
        <w:tc>
          <w:tcPr>
            <w:tcW w:w="2440" w:type="pct"/>
          </w:tcPr>
          <w:p w:rsidR="008E273C" w:rsidRDefault="008E273C" w:rsidP="00CB2A52">
            <w:pPr>
              <w:pStyle w:val="BodyText"/>
            </w:pPr>
            <w:r>
              <w:rPr>
                <w:rStyle w:val="Bulletcolour"/>
              </w:rPr>
              <w:t>Seniors Health Card</w:t>
            </w:r>
          </w:p>
        </w:tc>
        <w:tc>
          <w:tcPr>
            <w:tcW w:w="853" w:type="pct"/>
          </w:tcPr>
          <w:p w:rsidR="008E273C" w:rsidRDefault="008E273C" w:rsidP="00CB2A52">
            <w:pPr>
              <w:pStyle w:val="BodyText"/>
            </w:pPr>
            <w:r>
              <w:rPr>
                <w:rStyle w:val="Bulletcolour"/>
              </w:rPr>
              <w:t xml:space="preserve">64,000 </w:t>
            </w:r>
          </w:p>
        </w:tc>
        <w:tc>
          <w:tcPr>
            <w:tcW w:w="853" w:type="pct"/>
          </w:tcPr>
          <w:p w:rsidR="008E273C" w:rsidRDefault="008E273C" w:rsidP="00CB2A52">
            <w:pPr>
              <w:pStyle w:val="BodyText"/>
            </w:pPr>
            <w:r>
              <w:rPr>
                <w:rStyle w:val="Bulletcolour"/>
              </w:rPr>
              <w:t xml:space="preserve">51,000 </w:t>
            </w:r>
          </w:p>
        </w:tc>
        <w:tc>
          <w:tcPr>
            <w:tcW w:w="853" w:type="pct"/>
          </w:tcPr>
          <w:p w:rsidR="008E273C" w:rsidRDefault="008E273C" w:rsidP="00CB2A52">
            <w:pPr>
              <w:pStyle w:val="BodyText"/>
            </w:pPr>
            <w:r>
              <w:rPr>
                <w:rStyle w:val="Bulletcolour"/>
              </w:rPr>
              <w:t xml:space="preserve">13,000 </w:t>
            </w:r>
          </w:p>
        </w:tc>
      </w:tr>
      <w:tr w:rsidR="008E273C" w:rsidTr="00CB2A52">
        <w:trPr>
          <w:trHeight w:val="285"/>
        </w:trPr>
        <w:tc>
          <w:tcPr>
            <w:tcW w:w="2440" w:type="pct"/>
          </w:tcPr>
          <w:p w:rsidR="008E273C" w:rsidRDefault="008E273C" w:rsidP="00CB2A52">
            <w:pPr>
              <w:pStyle w:val="BodyText"/>
            </w:pPr>
            <w:r>
              <w:rPr>
                <w:rStyle w:val="Bulletcolour"/>
              </w:rPr>
              <w:t>Sickness Allowance</w:t>
            </w:r>
          </w:p>
        </w:tc>
        <w:tc>
          <w:tcPr>
            <w:tcW w:w="853" w:type="pct"/>
          </w:tcPr>
          <w:p w:rsidR="008E273C" w:rsidRDefault="008E273C" w:rsidP="00CB2A52">
            <w:pPr>
              <w:pStyle w:val="BodyText"/>
            </w:pPr>
            <w:r>
              <w:rPr>
                <w:rStyle w:val="Bulletcolour"/>
              </w:rPr>
              <w:t xml:space="preserve">26,000 </w:t>
            </w:r>
          </w:p>
        </w:tc>
        <w:tc>
          <w:tcPr>
            <w:tcW w:w="853" w:type="pct"/>
          </w:tcPr>
          <w:p w:rsidR="008E273C" w:rsidRDefault="008E273C" w:rsidP="00CB2A52">
            <w:pPr>
              <w:pStyle w:val="BodyText"/>
            </w:pPr>
            <w:r>
              <w:rPr>
                <w:rStyle w:val="Bulletcolour"/>
              </w:rPr>
              <w:t xml:space="preserve">10,000 </w:t>
            </w:r>
          </w:p>
        </w:tc>
        <w:tc>
          <w:tcPr>
            <w:tcW w:w="853" w:type="pct"/>
          </w:tcPr>
          <w:p w:rsidR="008E273C" w:rsidRDefault="008E273C" w:rsidP="00CB2A52">
            <w:pPr>
              <w:pStyle w:val="BodyText"/>
            </w:pPr>
            <w:r>
              <w:rPr>
                <w:rStyle w:val="Bulletcolour"/>
              </w:rPr>
              <w:t xml:space="preserve">16,000 </w:t>
            </w:r>
          </w:p>
        </w:tc>
      </w:tr>
      <w:tr w:rsidR="008E273C" w:rsidTr="00CB2A52">
        <w:trPr>
          <w:trHeight w:val="285"/>
        </w:trPr>
        <w:tc>
          <w:tcPr>
            <w:tcW w:w="2440" w:type="pct"/>
          </w:tcPr>
          <w:p w:rsidR="008E273C" w:rsidRDefault="008E273C" w:rsidP="00CB2A52">
            <w:pPr>
              <w:pStyle w:val="BodyText"/>
            </w:pPr>
            <w:r>
              <w:rPr>
                <w:rStyle w:val="Bulletcolour"/>
              </w:rPr>
              <w:t>Special Benefit</w:t>
            </w:r>
          </w:p>
        </w:tc>
        <w:tc>
          <w:tcPr>
            <w:tcW w:w="853" w:type="pct"/>
          </w:tcPr>
          <w:p w:rsidR="008E273C" w:rsidRDefault="008E273C" w:rsidP="00CB2A52">
            <w:pPr>
              <w:pStyle w:val="BodyText"/>
            </w:pPr>
            <w:r>
              <w:rPr>
                <w:rStyle w:val="Bulletcolour"/>
              </w:rPr>
              <w:t xml:space="preserve">17,000 </w:t>
            </w:r>
          </w:p>
        </w:tc>
        <w:tc>
          <w:tcPr>
            <w:tcW w:w="853" w:type="pct"/>
          </w:tcPr>
          <w:p w:rsidR="008E273C" w:rsidRDefault="008E273C" w:rsidP="00CB2A52">
            <w:pPr>
              <w:pStyle w:val="BodyText"/>
            </w:pPr>
            <w:r>
              <w:rPr>
                <w:rStyle w:val="Bulletcolour"/>
              </w:rPr>
              <w:t xml:space="preserve">7,000 </w:t>
            </w:r>
          </w:p>
        </w:tc>
        <w:tc>
          <w:tcPr>
            <w:tcW w:w="853" w:type="pct"/>
          </w:tcPr>
          <w:p w:rsidR="008E273C" w:rsidRDefault="008E273C" w:rsidP="00CB2A52">
            <w:pPr>
              <w:pStyle w:val="BodyText"/>
            </w:pPr>
            <w:r>
              <w:rPr>
                <w:rStyle w:val="Bulletcolour"/>
              </w:rPr>
              <w:t xml:space="preserve">10,000 </w:t>
            </w:r>
          </w:p>
        </w:tc>
      </w:tr>
      <w:tr w:rsidR="008E273C" w:rsidTr="00CB2A52">
        <w:trPr>
          <w:trHeight w:val="285"/>
        </w:trPr>
        <w:tc>
          <w:tcPr>
            <w:tcW w:w="2440" w:type="pct"/>
          </w:tcPr>
          <w:p w:rsidR="008E273C" w:rsidRDefault="008E273C" w:rsidP="00CB2A52">
            <w:pPr>
              <w:pStyle w:val="BodyText"/>
            </w:pPr>
            <w:r>
              <w:rPr>
                <w:rStyle w:val="Bulletcolour"/>
              </w:rPr>
              <w:t>Stillborn Baby Payment</w:t>
            </w:r>
          </w:p>
        </w:tc>
        <w:tc>
          <w:tcPr>
            <w:tcW w:w="853" w:type="pct"/>
          </w:tcPr>
          <w:p w:rsidR="008E273C" w:rsidRDefault="008E273C" w:rsidP="00CB2A52">
            <w:pPr>
              <w:pStyle w:val="BodyText"/>
            </w:pPr>
            <w:r>
              <w:rPr>
                <w:rStyle w:val="Bulletcolour"/>
              </w:rPr>
              <w:t xml:space="preserve">1,450 </w:t>
            </w:r>
          </w:p>
        </w:tc>
        <w:tc>
          <w:tcPr>
            <w:tcW w:w="853" w:type="pct"/>
          </w:tcPr>
          <w:p w:rsidR="008E273C" w:rsidRDefault="008E273C" w:rsidP="00CB2A52">
            <w:pPr>
              <w:pStyle w:val="BodyText"/>
            </w:pPr>
            <w:r>
              <w:rPr>
                <w:rStyle w:val="Bulletcolour"/>
              </w:rPr>
              <w:t xml:space="preserve">800 </w:t>
            </w:r>
          </w:p>
        </w:tc>
        <w:tc>
          <w:tcPr>
            <w:tcW w:w="853" w:type="pct"/>
          </w:tcPr>
          <w:p w:rsidR="008E273C" w:rsidRDefault="008E273C" w:rsidP="00CB2A52">
            <w:pPr>
              <w:pStyle w:val="BodyText"/>
            </w:pPr>
            <w:r>
              <w:rPr>
                <w:rStyle w:val="Bulletcolour"/>
              </w:rPr>
              <w:t xml:space="preserve">650 </w:t>
            </w:r>
          </w:p>
        </w:tc>
      </w:tr>
      <w:tr w:rsidR="008E273C" w:rsidTr="00CB2A52">
        <w:trPr>
          <w:trHeight w:val="285"/>
        </w:trPr>
        <w:tc>
          <w:tcPr>
            <w:tcW w:w="2440" w:type="pct"/>
          </w:tcPr>
          <w:p w:rsidR="008E273C" w:rsidRDefault="008E273C" w:rsidP="00CB2A52">
            <w:pPr>
              <w:pStyle w:val="BodyText"/>
            </w:pPr>
            <w:r>
              <w:rPr>
                <w:rStyle w:val="Bulletcolour"/>
              </w:rPr>
              <w:t xml:space="preserve">Youth Allowance and </w:t>
            </w:r>
            <w:proofErr w:type="spellStart"/>
            <w:r>
              <w:rPr>
                <w:rStyle w:val="Bulletcolour"/>
              </w:rPr>
              <w:t>Austudy</w:t>
            </w:r>
            <w:proofErr w:type="spellEnd"/>
          </w:p>
        </w:tc>
        <w:tc>
          <w:tcPr>
            <w:tcW w:w="853" w:type="pct"/>
          </w:tcPr>
          <w:p w:rsidR="008E273C" w:rsidRDefault="008E273C" w:rsidP="00CB2A52">
            <w:pPr>
              <w:pStyle w:val="BodyText"/>
            </w:pPr>
            <w:r>
              <w:rPr>
                <w:rStyle w:val="Bulletcolour"/>
              </w:rPr>
              <w:t xml:space="preserve">554,000 </w:t>
            </w:r>
          </w:p>
        </w:tc>
        <w:tc>
          <w:tcPr>
            <w:tcW w:w="853" w:type="pct"/>
          </w:tcPr>
          <w:p w:rsidR="008E273C" w:rsidRDefault="008E273C" w:rsidP="00CB2A52">
            <w:pPr>
              <w:pStyle w:val="BodyText"/>
            </w:pPr>
            <w:r>
              <w:rPr>
                <w:rStyle w:val="Bulletcolour"/>
              </w:rPr>
              <w:t xml:space="preserve">368,000 </w:t>
            </w:r>
          </w:p>
        </w:tc>
        <w:tc>
          <w:tcPr>
            <w:tcW w:w="853" w:type="pct"/>
          </w:tcPr>
          <w:p w:rsidR="008E273C" w:rsidRDefault="008E273C" w:rsidP="00CB2A52">
            <w:pPr>
              <w:pStyle w:val="BodyText"/>
            </w:pPr>
            <w:r>
              <w:rPr>
                <w:rStyle w:val="Bulletcolour"/>
              </w:rPr>
              <w:t xml:space="preserve">186,000 </w:t>
            </w:r>
          </w:p>
        </w:tc>
      </w:tr>
      <w:tr w:rsidR="008E273C" w:rsidTr="00CB2A52">
        <w:trPr>
          <w:trHeight w:val="285"/>
        </w:trPr>
        <w:tc>
          <w:tcPr>
            <w:tcW w:w="2440" w:type="pct"/>
          </w:tcPr>
          <w:p w:rsidR="008E273C" w:rsidRPr="00CB2A52" w:rsidRDefault="008E273C" w:rsidP="00CB2A52">
            <w:pPr>
              <w:pStyle w:val="BodyText"/>
              <w:rPr>
                <w:b/>
              </w:rPr>
            </w:pPr>
            <w:r w:rsidRPr="00CB2A52">
              <w:rPr>
                <w:rStyle w:val="Bulletcolour"/>
                <w:b/>
              </w:rPr>
              <w:t>Total</w:t>
            </w:r>
          </w:p>
        </w:tc>
        <w:tc>
          <w:tcPr>
            <w:tcW w:w="853" w:type="pct"/>
          </w:tcPr>
          <w:p w:rsidR="008E273C" w:rsidRPr="00CB2A52" w:rsidRDefault="008E273C" w:rsidP="00CB2A52">
            <w:pPr>
              <w:pStyle w:val="BodyText"/>
              <w:rPr>
                <w:b/>
              </w:rPr>
            </w:pPr>
            <w:r w:rsidRPr="00CB2A52">
              <w:rPr>
                <w:rStyle w:val="Bulletcolour"/>
                <w:b/>
              </w:rPr>
              <w:t xml:space="preserve">4,951,910 </w:t>
            </w:r>
          </w:p>
        </w:tc>
        <w:tc>
          <w:tcPr>
            <w:tcW w:w="853" w:type="pct"/>
          </w:tcPr>
          <w:p w:rsidR="008E273C" w:rsidRPr="00CB2A52" w:rsidRDefault="008E273C" w:rsidP="00CB2A52">
            <w:pPr>
              <w:pStyle w:val="BodyText"/>
              <w:rPr>
                <w:b/>
              </w:rPr>
            </w:pPr>
            <w:r w:rsidRPr="00CB2A52">
              <w:rPr>
                <w:rStyle w:val="Bulletcolour"/>
                <w:b/>
              </w:rPr>
              <w:t xml:space="preserve">3,759,420 </w:t>
            </w:r>
          </w:p>
        </w:tc>
        <w:tc>
          <w:tcPr>
            <w:tcW w:w="853" w:type="pct"/>
          </w:tcPr>
          <w:p w:rsidR="008E273C" w:rsidRPr="00CB2A52" w:rsidRDefault="008E273C" w:rsidP="00CB2A52">
            <w:pPr>
              <w:pStyle w:val="BodyText"/>
              <w:rPr>
                <w:b/>
              </w:rPr>
            </w:pPr>
            <w:r w:rsidRPr="00CB2A52">
              <w:rPr>
                <w:rStyle w:val="Bulletcolour"/>
                <w:b/>
              </w:rPr>
              <w:t xml:space="preserve">1,192,490 </w:t>
            </w:r>
          </w:p>
        </w:tc>
      </w:tr>
    </w:tbl>
    <w:p w:rsidR="008E273C" w:rsidRDefault="008E273C" w:rsidP="008E273C">
      <w:pPr>
        <w:pStyle w:val="BodyText"/>
      </w:pPr>
      <w:r>
        <w:t xml:space="preserve">For more information about social security and welfare payments and support see our website at </w:t>
      </w:r>
      <w:r>
        <w:rPr>
          <w:rFonts w:ascii="Roboto-Bold" w:hAnsi="Roboto-Bold" w:cs="Roboto-Bold"/>
          <w:b/>
          <w:bCs/>
        </w:rPr>
        <w:t>servicesaustralia.gov.au</w:t>
      </w:r>
      <w:r>
        <w:t xml:space="preserve"> </w:t>
      </w:r>
    </w:p>
    <w:p w:rsidR="008E273C" w:rsidRDefault="008E273C" w:rsidP="008E273C">
      <w:pPr>
        <w:pStyle w:val="Heading2"/>
      </w:pPr>
      <w:r>
        <w:t>Older Australians</w:t>
      </w:r>
    </w:p>
    <w:p w:rsidR="008E273C" w:rsidRDefault="008E273C" w:rsidP="008E273C">
      <w:pPr>
        <w:pStyle w:val="Heading3"/>
      </w:pPr>
      <w:r>
        <w:t xml:space="preserve">Age Pension </w:t>
      </w:r>
    </w:p>
    <w:p w:rsidR="008E273C" w:rsidRDefault="008E273C" w:rsidP="008E273C">
      <w:pPr>
        <w:pStyle w:val="BodyText"/>
      </w:pPr>
      <w:r>
        <w:t xml:space="preserve">Age Pension is an income support payment for eligible older Australians. It also gives customers a Pension Concession Card and access to a range of concessions. </w:t>
      </w:r>
    </w:p>
    <w:p w:rsidR="008E273C" w:rsidRDefault="008E273C" w:rsidP="008E273C">
      <w:pPr>
        <w:pStyle w:val="BodyText"/>
      </w:pPr>
      <w:r>
        <w:t xml:space="preserve">Age Pension is income and assets tested. Age Pension customers’ entitlements are assessed under the Social Security Income and Assets Tests. </w:t>
      </w:r>
    </w:p>
    <w:p w:rsidR="008E273C" w:rsidRDefault="008E273C" w:rsidP="008E273C">
      <w:pPr>
        <w:pStyle w:val="BodyText"/>
      </w:pPr>
      <w:r>
        <w:t xml:space="preserve">In 2019–20 there were approximately 2.56 million Age Pension customers. </w:t>
      </w:r>
    </w:p>
    <w:p w:rsidR="008E273C" w:rsidRDefault="008E273C" w:rsidP="00E42522">
      <w:pPr>
        <w:pStyle w:val="BodyText"/>
      </w:pPr>
      <w:r>
        <w:lastRenderedPageBreak/>
        <w:t>From 1 July 2019 the Age Pension age increased to 66 years for people born on or after 1 July 1954. The Age Pension age will progressively increase by six months every two years until it reaches 67 years on 1 July 2023. In 2019–20:</w:t>
      </w:r>
    </w:p>
    <w:p w:rsidR="008E273C" w:rsidRDefault="008E273C" w:rsidP="00E42522">
      <w:pPr>
        <w:pStyle w:val="ListBullet"/>
      </w:pPr>
      <w:r>
        <w:t>66.9 per cent of age pensioners received the full-rate pension and 32.8 per cent received a part-rate pension based on their income and assets (excluding recipients that are suspended, manually assessed, have a zero rate, or are unknown—approximately 0.3 per cent)</w:t>
      </w:r>
    </w:p>
    <w:p w:rsidR="008E273C" w:rsidRDefault="008E273C" w:rsidP="00E42522">
      <w:pPr>
        <w:pStyle w:val="ListBullet"/>
      </w:pPr>
      <w:r>
        <w:t>Services Australia paid over $49.9 billion in Age Pension payments.</w:t>
      </w:r>
    </w:p>
    <w:p w:rsidR="008E273C" w:rsidRDefault="008E273C" w:rsidP="008E273C">
      <w:pPr>
        <w:pStyle w:val="Heading3"/>
      </w:pPr>
      <w:r>
        <w:t>Changes to Age Pension—Work Bonus increase</w:t>
      </w:r>
    </w:p>
    <w:p w:rsidR="008E273C" w:rsidRDefault="008E273C" w:rsidP="008E273C">
      <w:pPr>
        <w:pStyle w:val="BodyText"/>
      </w:pPr>
      <w:r>
        <w:t>On 1 July 2019 the Work Bonus increased to $300 per fortnight and the maximum that can be accrued increased to $7,800. From that date, the Wo</w:t>
      </w:r>
      <w:r>
        <w:rPr>
          <w:rStyle w:val="NoBreak"/>
        </w:rPr>
        <w:t>rk Bonu</w:t>
      </w:r>
      <w:r>
        <w:t xml:space="preserve">s also applies to self-employment income earned by the customer through personal exertion. </w:t>
      </w:r>
    </w:p>
    <w:p w:rsidR="008E273C" w:rsidRDefault="008E273C" w:rsidP="008E273C">
      <w:pPr>
        <w:pStyle w:val="Heading2"/>
      </w:pPr>
      <w:r>
        <w:t>Carers</w:t>
      </w:r>
    </w:p>
    <w:p w:rsidR="008E273C" w:rsidRDefault="008E273C" w:rsidP="008E273C">
      <w:pPr>
        <w:pStyle w:val="Heading3"/>
      </w:pPr>
      <w:r>
        <w:t xml:space="preserve">Carer Payment </w:t>
      </w:r>
    </w:p>
    <w:p w:rsidR="008E273C" w:rsidRDefault="008E273C" w:rsidP="00E42522">
      <w:pPr>
        <w:pStyle w:val="BodyText"/>
      </w:pPr>
      <w:r>
        <w:t>Carer Payment is an income support payment for carers who are unable to work in substantial paid employment because they are providing significant care for another person who has high care needs. To be eligible for Carer Payment, a carer must be providing constant care for:</w:t>
      </w:r>
    </w:p>
    <w:p w:rsidR="008E273C" w:rsidRDefault="008E273C" w:rsidP="00E42522">
      <w:pPr>
        <w:pStyle w:val="ListBullet"/>
      </w:pPr>
      <w:r>
        <w:t xml:space="preserve">an adult or child with disability or severe medical condition, or </w:t>
      </w:r>
    </w:p>
    <w:p w:rsidR="008E273C" w:rsidRDefault="008E273C" w:rsidP="00E42522">
      <w:pPr>
        <w:pStyle w:val="ListBullet"/>
      </w:pPr>
      <w:proofErr w:type="gramStart"/>
      <w:r>
        <w:t>an</w:t>
      </w:r>
      <w:proofErr w:type="gramEnd"/>
      <w:r>
        <w:t xml:space="preserve"> adult who is frail aged. </w:t>
      </w:r>
    </w:p>
    <w:p w:rsidR="008E273C" w:rsidRDefault="008E273C" w:rsidP="008E273C">
      <w:pPr>
        <w:pStyle w:val="BodyText"/>
      </w:pPr>
      <w:r>
        <w:t>In 2019–20 over 52,000 claims for Carer Payment were granted.</w:t>
      </w:r>
    </w:p>
    <w:p w:rsidR="008E273C" w:rsidRDefault="008E273C" w:rsidP="008E273C">
      <w:pPr>
        <w:pStyle w:val="Heading3"/>
      </w:pPr>
      <w:r>
        <w:t xml:space="preserve">Carer Allowance </w:t>
      </w:r>
    </w:p>
    <w:p w:rsidR="008E273C" w:rsidRDefault="008E273C" w:rsidP="008E273C">
      <w:pPr>
        <w:pStyle w:val="BodyText"/>
        <w:spacing w:after="57"/>
      </w:pPr>
      <w:r>
        <w:t>Carer Allowance is an income supplement for people who provide additional daily care and attention for:</w:t>
      </w:r>
    </w:p>
    <w:p w:rsidR="008E273C" w:rsidRDefault="008E273C" w:rsidP="00E42522">
      <w:pPr>
        <w:pStyle w:val="ListBullet"/>
      </w:pPr>
      <w:r>
        <w:t xml:space="preserve">an adult or child with disability or severe medical condition, or </w:t>
      </w:r>
    </w:p>
    <w:p w:rsidR="008E273C" w:rsidRDefault="008E273C" w:rsidP="00E42522">
      <w:pPr>
        <w:pStyle w:val="ListBullet"/>
      </w:pPr>
      <w:proofErr w:type="gramStart"/>
      <w:r>
        <w:t>an</w:t>
      </w:r>
      <w:proofErr w:type="gramEnd"/>
      <w:r>
        <w:t xml:space="preserve"> adult who is frail aged. </w:t>
      </w:r>
    </w:p>
    <w:p w:rsidR="008E273C" w:rsidRDefault="008E273C" w:rsidP="008E273C">
      <w:pPr>
        <w:pStyle w:val="BodyText"/>
      </w:pPr>
      <w:r>
        <w:t xml:space="preserve">Carer Allowance is income tested but is not taxable or assets tested. </w:t>
      </w:r>
    </w:p>
    <w:p w:rsidR="008E273C" w:rsidRDefault="008E273C" w:rsidP="008E273C">
      <w:pPr>
        <w:pStyle w:val="BodyText"/>
      </w:pPr>
      <w:r>
        <w:t>In 2019–20 nearly 88,000 claims for Carer Allowance were granted.</w:t>
      </w:r>
    </w:p>
    <w:p w:rsidR="008E273C" w:rsidRDefault="008E273C" w:rsidP="008E273C">
      <w:pPr>
        <w:pStyle w:val="Heading2"/>
      </w:pPr>
      <w:r>
        <w:t>People with disability</w:t>
      </w:r>
    </w:p>
    <w:p w:rsidR="008E273C" w:rsidRDefault="008E273C" w:rsidP="008E273C">
      <w:pPr>
        <w:pStyle w:val="Heading3"/>
      </w:pPr>
      <w:r>
        <w:t>Pre-claim guide for Disability Support Pension</w:t>
      </w:r>
    </w:p>
    <w:p w:rsidR="008E273C" w:rsidRDefault="008E273C" w:rsidP="00E42522">
      <w:pPr>
        <w:pStyle w:val="BodyText"/>
      </w:pPr>
      <w:r>
        <w:t>In November 2019 Services Australia introduced a new online Disability Support Pension (DSP) pre-claim guide on our website, to give customers an early indication about their potential eligibility for DSP. The guide:</w:t>
      </w:r>
    </w:p>
    <w:p w:rsidR="008E273C" w:rsidRDefault="008E273C" w:rsidP="00E42522">
      <w:pPr>
        <w:pStyle w:val="ListBullet"/>
      </w:pPr>
      <w:r>
        <w:t xml:space="preserve">introduces customers to DSP eligibility rules </w:t>
      </w:r>
    </w:p>
    <w:p w:rsidR="008E273C" w:rsidRDefault="008E273C" w:rsidP="00E42522">
      <w:pPr>
        <w:pStyle w:val="ListBullet"/>
      </w:pPr>
      <w:r>
        <w:lastRenderedPageBreak/>
        <w:t>suggests further reading of more detailed DSP content on the website, based on the reader’s situation</w:t>
      </w:r>
    </w:p>
    <w:p w:rsidR="008E273C" w:rsidRDefault="008E273C" w:rsidP="00E42522">
      <w:pPr>
        <w:pStyle w:val="ListBullet"/>
      </w:pPr>
      <w:r>
        <w:t>complements information in the enhanced DSP online claim (see below)</w:t>
      </w:r>
    </w:p>
    <w:p w:rsidR="008E273C" w:rsidRDefault="008E273C" w:rsidP="00E42522">
      <w:pPr>
        <w:pStyle w:val="ListBullet"/>
      </w:pPr>
      <w:proofErr w:type="gramStart"/>
      <w:r>
        <w:t>helps</w:t>
      </w:r>
      <w:proofErr w:type="gramEnd"/>
      <w:r>
        <w:t xml:space="preserve"> customers better understand our DSP claim decisions.</w:t>
      </w:r>
    </w:p>
    <w:p w:rsidR="008E273C" w:rsidRDefault="008E273C" w:rsidP="008E273C">
      <w:pPr>
        <w:pStyle w:val="Heading3"/>
      </w:pPr>
      <w:r>
        <w:t>Enhanced online claim for Disability Support Pension</w:t>
      </w:r>
    </w:p>
    <w:p w:rsidR="008E273C" w:rsidRDefault="008E273C" w:rsidP="008E273C">
      <w:pPr>
        <w:pStyle w:val="BodyText"/>
      </w:pPr>
      <w:r>
        <w:t xml:space="preserve">In November 2019 Services Australia released an enhanced online claim for DSP, including via mobile devices. It allows organisational and personal nominees to claim on behalf of their principal. </w:t>
      </w:r>
    </w:p>
    <w:p w:rsidR="008E273C" w:rsidRDefault="008E273C" w:rsidP="008E273C">
      <w:pPr>
        <w:pStyle w:val="BodyText"/>
      </w:pPr>
      <w:r>
        <w:t xml:space="preserve">The new claim is more accessible, including for many customers who require assistive technology. The claim has improved questions and messaging to help customers through the claiming process by providing additional information and content. </w:t>
      </w:r>
    </w:p>
    <w:p w:rsidR="008E273C" w:rsidRDefault="008E273C" w:rsidP="008E273C">
      <w:pPr>
        <w:pStyle w:val="Heading3"/>
      </w:pPr>
      <w:r>
        <w:t>Improvements to Disability Medical Assessments for vulnerable customers</w:t>
      </w:r>
    </w:p>
    <w:p w:rsidR="008E273C" w:rsidRDefault="008E273C" w:rsidP="00E42522">
      <w:pPr>
        <w:pStyle w:val="BodyText"/>
      </w:pPr>
      <w:r>
        <w:t>People claiming DSP may be required to undergo an independent Disability Medical Assessment to confirm medical eligibility. In 2019–20 Services Australia implemented improvements to medical assessment appointment processes that strengthened support for remote and vulnerable customers claiming DSP. Improvements included:</w:t>
      </w:r>
    </w:p>
    <w:p w:rsidR="008E273C" w:rsidRDefault="008E273C" w:rsidP="00E42522">
      <w:pPr>
        <w:pStyle w:val="ListBullet"/>
      </w:pPr>
      <w:r>
        <w:t>local Services Australia Agents in remote areas assisting customers to access on-call government-contracted doctors</w:t>
      </w:r>
    </w:p>
    <w:p w:rsidR="008E273C" w:rsidRDefault="008E273C" w:rsidP="00E42522">
      <w:pPr>
        <w:pStyle w:val="ListBullet"/>
      </w:pPr>
      <w:proofErr w:type="gramStart"/>
      <w:r>
        <w:t>assessments</w:t>
      </w:r>
      <w:proofErr w:type="gramEnd"/>
      <w:r>
        <w:t xml:space="preserve"> being completed in consultation with a customer’s treating health professional. </w:t>
      </w:r>
    </w:p>
    <w:p w:rsidR="008E273C" w:rsidRDefault="008E273C" w:rsidP="008E273C">
      <w:pPr>
        <w:pStyle w:val="Heading3"/>
      </w:pPr>
      <w:r>
        <w:t>Essential Medical Equipment Payment</w:t>
      </w:r>
    </w:p>
    <w:p w:rsidR="008E273C" w:rsidRDefault="008E273C" w:rsidP="008E273C">
      <w:pPr>
        <w:pStyle w:val="BodyText"/>
      </w:pPr>
      <w:r>
        <w:t>The Essential Medical Equipment Payment is a yearly payment to help with energy costs to run medical equipment or medically required heating or cooling. In 2019–20 more than 7,000 new claims for Essential Medical Equipment Payment were granted.</w:t>
      </w:r>
    </w:p>
    <w:p w:rsidR="008E273C" w:rsidRDefault="008E273C" w:rsidP="008E273C">
      <w:pPr>
        <w:pStyle w:val="Heading2"/>
      </w:pPr>
      <w:r>
        <w:t>Families</w:t>
      </w:r>
    </w:p>
    <w:p w:rsidR="008E273C" w:rsidRDefault="008E273C" w:rsidP="008E273C">
      <w:pPr>
        <w:pStyle w:val="BodyText"/>
      </w:pPr>
      <w:r>
        <w:t xml:space="preserve">Services Australia administers a range of payments and support to help families meet the costs of raising children. We also help parents planning to return to work and education, and grandparents and non-parent carers needing information. </w:t>
      </w:r>
    </w:p>
    <w:p w:rsidR="008E273C" w:rsidRDefault="008E273C" w:rsidP="008E273C">
      <w:pPr>
        <w:pStyle w:val="Heading3"/>
      </w:pPr>
      <w:r>
        <w:t xml:space="preserve">Family Tax Benefit </w:t>
      </w:r>
    </w:p>
    <w:p w:rsidR="008E273C" w:rsidRDefault="008E273C" w:rsidP="008E273C">
      <w:pPr>
        <w:pStyle w:val="BodyText"/>
      </w:pPr>
      <w:r>
        <w:t>Family Tax Benefit (FTB) assists families with the day-to-day cost of raising children. It has two parts: FTB Part A, which is paid per child; and FTB Part B, which is paid for the family. Both payments are income tested and the amount each family is paid is based on the family’s individual circumstances.</w:t>
      </w:r>
    </w:p>
    <w:p w:rsidR="008E273C" w:rsidRDefault="008E273C" w:rsidP="008E273C">
      <w:pPr>
        <w:pStyle w:val="Heading3"/>
      </w:pPr>
      <w:r>
        <w:t xml:space="preserve">Paid Parental Leave Scheme </w:t>
      </w:r>
    </w:p>
    <w:p w:rsidR="008E273C" w:rsidRDefault="008E273C" w:rsidP="008E273C">
      <w:pPr>
        <w:pStyle w:val="BodyText"/>
        <w:spacing w:after="57"/>
      </w:pPr>
      <w:r>
        <w:t xml:space="preserve">Paid Parental Leave Scheme payments help eligible parents to take time off work to care for a new baby or recently adopted child. There are two payments under the scheme: </w:t>
      </w:r>
    </w:p>
    <w:p w:rsidR="008E273C" w:rsidRDefault="008E273C" w:rsidP="00E42522">
      <w:pPr>
        <w:pStyle w:val="ListBullet"/>
      </w:pPr>
      <w:r>
        <w:lastRenderedPageBreak/>
        <w:t xml:space="preserve">Parental Leave Pay, which is a payment to parents of newborns and newly adopted children </w:t>
      </w:r>
    </w:p>
    <w:p w:rsidR="008E273C" w:rsidRDefault="008E273C" w:rsidP="00E42522">
      <w:pPr>
        <w:pStyle w:val="ListBullet"/>
      </w:pPr>
      <w:r>
        <w:t xml:space="preserve">Dad and Partner Pay, which is a short-term payment to fathers or partners who are on leave to help care for a new child. </w:t>
      </w:r>
    </w:p>
    <w:p w:rsidR="008E273C" w:rsidRDefault="008E273C" w:rsidP="008E273C">
      <w:pPr>
        <w:pStyle w:val="BodyText"/>
      </w:pPr>
      <w:r>
        <w:t>To receive these payments, the applicant must meet an income test, a work test and residency requirements.</w:t>
      </w:r>
    </w:p>
    <w:p w:rsidR="008E273C" w:rsidRDefault="008E273C" w:rsidP="008E273C">
      <w:pPr>
        <w:pStyle w:val="Heading3"/>
      </w:pPr>
      <w:r>
        <w:t xml:space="preserve">Child Care Subsidy </w:t>
      </w:r>
    </w:p>
    <w:p w:rsidR="008E273C" w:rsidRDefault="008E273C" w:rsidP="00E42522">
      <w:pPr>
        <w:pStyle w:val="BodyText"/>
      </w:pPr>
      <w:r>
        <w:t>Payments that help parents with the cost of child care are the:</w:t>
      </w:r>
    </w:p>
    <w:p w:rsidR="008E273C" w:rsidRDefault="008E273C" w:rsidP="00E42522">
      <w:pPr>
        <w:pStyle w:val="ListBullet"/>
      </w:pPr>
      <w:r>
        <w:t xml:space="preserve">Child Care Subsidy, which is a single, income tested and activity tested subsidy to reduce the out-of-pocket cost of child care for families </w:t>
      </w:r>
    </w:p>
    <w:p w:rsidR="008E273C" w:rsidRDefault="008E273C" w:rsidP="00E42522">
      <w:pPr>
        <w:pStyle w:val="ListBullet"/>
      </w:pPr>
      <w:r>
        <w:t xml:space="preserve">Additional Child Care Subsidy, which gives eligible families extra help with the cost of approved child care. </w:t>
      </w:r>
    </w:p>
    <w:p w:rsidR="008E273C" w:rsidRDefault="008E273C" w:rsidP="008E273C">
      <w:pPr>
        <w:pStyle w:val="BodyText"/>
      </w:pPr>
      <w:r>
        <w:t>These payments are usually paid directly to child care providers.</w:t>
      </w:r>
    </w:p>
    <w:p w:rsidR="008E273C" w:rsidRDefault="008E273C" w:rsidP="008E273C">
      <w:pPr>
        <w:pStyle w:val="Heading3"/>
      </w:pPr>
      <w:r>
        <w:t xml:space="preserve">Newborns and newly adopted children </w:t>
      </w:r>
    </w:p>
    <w:p w:rsidR="008E273C" w:rsidRDefault="008E273C" w:rsidP="00E42522">
      <w:pPr>
        <w:pStyle w:val="BodyText"/>
      </w:pPr>
      <w:r>
        <w:t xml:space="preserve">Services Australia delivers payments that help parents with expenses for newborn or newly adopted children. They are: </w:t>
      </w:r>
    </w:p>
    <w:p w:rsidR="008E273C" w:rsidRDefault="008E273C" w:rsidP="00E42522">
      <w:pPr>
        <w:pStyle w:val="ListBullet"/>
      </w:pPr>
      <w:r>
        <w:t>Newborn Upfront Payment—a one-off payment</w:t>
      </w:r>
    </w:p>
    <w:p w:rsidR="008E273C" w:rsidRDefault="008E273C" w:rsidP="00E42522">
      <w:pPr>
        <w:pStyle w:val="ListBullet"/>
        <w:rPr>
          <w:rStyle w:val="NoBreak"/>
        </w:rPr>
      </w:pPr>
      <w:r>
        <w:t>Newborn Supplement—which increases the rate of FTB Part A f</w:t>
      </w:r>
      <w:r>
        <w:rPr>
          <w:rStyle w:val="NoBreak"/>
        </w:rPr>
        <w:t>or up to 13 weeks</w:t>
      </w:r>
    </w:p>
    <w:p w:rsidR="008E273C" w:rsidRDefault="008E273C" w:rsidP="00E42522">
      <w:pPr>
        <w:pStyle w:val="ListBullet"/>
      </w:pPr>
      <w:r>
        <w:t>Paid Parental Leave Scheme payments.</w:t>
      </w:r>
    </w:p>
    <w:p w:rsidR="008E273C" w:rsidRDefault="008E273C" w:rsidP="008E273C">
      <w:pPr>
        <w:pStyle w:val="Heading3"/>
      </w:pPr>
      <w:r>
        <w:t>Stillborn Baby Payment</w:t>
      </w:r>
    </w:p>
    <w:p w:rsidR="008E273C" w:rsidRDefault="008E273C" w:rsidP="008E273C">
      <w:pPr>
        <w:pStyle w:val="BodyText"/>
      </w:pPr>
      <w:r>
        <w:t>Stillborn Baby Payment is a one-off payment to assist families with the extra costs they face when their child is stillborn. Families cannot receive Stillborn Baby Payment and Parental Leave Pay for the same child.</w:t>
      </w:r>
    </w:p>
    <w:p w:rsidR="008E273C" w:rsidRDefault="008E273C" w:rsidP="008E273C">
      <w:pPr>
        <w:pStyle w:val="Heading3"/>
      </w:pPr>
      <w:r>
        <w:t xml:space="preserve">Double Orphan Pension </w:t>
      </w:r>
    </w:p>
    <w:p w:rsidR="008E273C" w:rsidRDefault="008E273C" w:rsidP="008E273C">
      <w:pPr>
        <w:pStyle w:val="BodyText"/>
      </w:pPr>
      <w:r>
        <w:t xml:space="preserve">Double Orphan Pension is available to help with the costs of caring for orphaned children. It is not income or assets tested. </w:t>
      </w:r>
    </w:p>
    <w:p w:rsidR="008E273C" w:rsidRDefault="008E273C" w:rsidP="008E273C">
      <w:pPr>
        <w:pStyle w:val="Heading3"/>
      </w:pPr>
      <w:r>
        <w:t>Supporting No Jab No Pay and Healthy Start for School</w:t>
      </w:r>
    </w:p>
    <w:p w:rsidR="008E273C" w:rsidRDefault="008E273C" w:rsidP="008E273C">
      <w:pPr>
        <w:pStyle w:val="BodyText"/>
      </w:pPr>
      <w:r>
        <w:t>The Supporting No Jab No Pay and Healthy Start for School measure is to strengthen FTB Part A immunisation and health check requirements. In 2019–20 FTB Part A payments were reduced by up to $28.84 per fortnight (or $751.90 per year) for each child who did not meet immunisation or health check requirements.</w:t>
      </w:r>
    </w:p>
    <w:p w:rsidR="008E273C" w:rsidRDefault="008E273C" w:rsidP="008E273C">
      <w:pPr>
        <w:pStyle w:val="Heading3"/>
      </w:pPr>
      <w:r>
        <w:t xml:space="preserve">Grandparent Adviser Program </w:t>
      </w:r>
    </w:p>
    <w:p w:rsidR="008E273C" w:rsidRDefault="008E273C" w:rsidP="008E273C">
      <w:pPr>
        <w:pStyle w:val="BodyText"/>
      </w:pPr>
      <w:r>
        <w:t xml:space="preserve">The Grandparent Adviser Program was established for grandparents and other non-parent carers who have ongoing caring responsibility for children. Grandparent Advisers give tailored information about </w:t>
      </w:r>
      <w:r>
        <w:lastRenderedPageBreak/>
        <w:t>payments and services that are available through the federal, state and territory governments and community service providers. They also operate a Grandparent Adviser Line, attend community forums and work with carer organisations. In 2019–20 almost 21,000 calls were handled through the Grandparent Adviser Line, compared with more than 22,000 calls in 2018–19.</w:t>
      </w:r>
    </w:p>
    <w:p w:rsidR="008E273C" w:rsidRDefault="008E273C" w:rsidP="008E273C">
      <w:pPr>
        <w:pStyle w:val="Heading2"/>
      </w:pPr>
      <w:r>
        <w:t>Job seekers</w:t>
      </w:r>
    </w:p>
    <w:p w:rsidR="008E273C" w:rsidRDefault="008E273C" w:rsidP="008E273C">
      <w:pPr>
        <w:pStyle w:val="Heading3"/>
      </w:pPr>
      <w:proofErr w:type="spellStart"/>
      <w:r>
        <w:t>JobSeeker</w:t>
      </w:r>
      <w:proofErr w:type="spellEnd"/>
      <w:r>
        <w:t xml:space="preserve"> Payment</w:t>
      </w:r>
    </w:p>
    <w:p w:rsidR="008E273C" w:rsidRDefault="008E273C" w:rsidP="008E273C">
      <w:pPr>
        <w:pStyle w:val="BodyText"/>
      </w:pPr>
      <w:r>
        <w:t xml:space="preserve">On 20 March 2020 the </w:t>
      </w:r>
      <w:proofErr w:type="spellStart"/>
      <w:r>
        <w:t>JobSeeker</w:t>
      </w:r>
      <w:proofErr w:type="spellEnd"/>
      <w:r>
        <w:t xml:space="preserve"> Payment was introduced as the main working age payment and is replacing seven other payments. Jobseeker is for people looking for work and willing to take part in activities to increase their chances of finding a job, or people who are unable to work or study for medical reasons.</w:t>
      </w:r>
    </w:p>
    <w:p w:rsidR="008E273C" w:rsidRDefault="008E273C" w:rsidP="008E273C">
      <w:pPr>
        <w:pStyle w:val="BodyText"/>
        <w:rPr>
          <w:rFonts w:ascii="Roboto-Bold" w:hAnsi="Roboto-Bold" w:cs="Roboto-Bold"/>
          <w:b/>
          <w:bCs/>
        </w:rPr>
      </w:pPr>
      <w:r>
        <w:t xml:space="preserve">In recognition of the effects of the COVID-19 pandemic, from 27 April 2020 all people on </w:t>
      </w:r>
      <w:proofErr w:type="spellStart"/>
      <w:r>
        <w:t>JobSeeker</w:t>
      </w:r>
      <w:proofErr w:type="spellEnd"/>
      <w:r>
        <w:t xml:space="preserve"> Payments, (including Youth Allowance (</w:t>
      </w:r>
      <w:proofErr w:type="spellStart"/>
      <w:r>
        <w:t>JobSeekers</w:t>
      </w:r>
      <w:proofErr w:type="spellEnd"/>
      <w:r>
        <w:t xml:space="preserve">)) were paid a Coronavirus Supplement of $550 extra a fortnight. See also </w:t>
      </w:r>
      <w:r>
        <w:rPr>
          <w:rFonts w:ascii="Roboto-Italic" w:hAnsi="Roboto-Italic" w:cs="Roboto-Italic"/>
          <w:i/>
          <w:iCs/>
        </w:rPr>
        <w:t>COVID-19 pandemic</w:t>
      </w:r>
      <w:r>
        <w:t xml:space="preserve"> on page xv.</w:t>
      </w:r>
    </w:p>
    <w:tbl>
      <w:tblPr>
        <w:tblStyle w:val="TableGrid"/>
        <w:tblW w:w="5000" w:type="pct"/>
        <w:tblLook w:val="0000" w:firstRow="0" w:lastRow="0" w:firstColumn="0" w:lastColumn="0" w:noHBand="0" w:noVBand="0"/>
        <w:tblCaption w:val="JobSeeker Payment–a ‘just in time’ solution case study"/>
        <w:tblDescription w:val="JobSeeker Payment–a ‘just in time’ solution case study"/>
      </w:tblPr>
      <w:tblGrid>
        <w:gridCol w:w="11096"/>
      </w:tblGrid>
      <w:tr w:rsidR="008E273C" w:rsidRPr="00CB2A52" w:rsidTr="00CB2A52">
        <w:trPr>
          <w:trHeight w:val="5696"/>
          <w:tblHeader/>
        </w:trPr>
        <w:tc>
          <w:tcPr>
            <w:tcW w:w="5000" w:type="pct"/>
          </w:tcPr>
          <w:p w:rsidR="008E273C" w:rsidRPr="00CB2A52" w:rsidRDefault="008E273C" w:rsidP="00CB2A52">
            <w:pPr>
              <w:pStyle w:val="BodyText"/>
              <w:rPr>
                <w:b/>
              </w:rPr>
            </w:pPr>
            <w:proofErr w:type="spellStart"/>
            <w:r w:rsidRPr="00CB2A52">
              <w:rPr>
                <w:b/>
              </w:rPr>
              <w:t>JobSeeker</w:t>
            </w:r>
            <w:proofErr w:type="spellEnd"/>
            <w:r w:rsidRPr="00CB2A52">
              <w:rPr>
                <w:b/>
              </w:rPr>
              <w:t xml:space="preserve"> Payment–a ‘just in time’ solution</w:t>
            </w:r>
          </w:p>
          <w:p w:rsidR="008E273C" w:rsidRPr="00CB2A52" w:rsidRDefault="008E273C" w:rsidP="00CB2A52">
            <w:pPr>
              <w:pStyle w:val="BodyText"/>
            </w:pPr>
            <w:r w:rsidRPr="00CB2A52">
              <w:t xml:space="preserve">The new </w:t>
            </w:r>
            <w:proofErr w:type="spellStart"/>
            <w:r w:rsidRPr="00CB2A52">
              <w:t>JobSeeker</w:t>
            </w:r>
            <w:proofErr w:type="spellEnd"/>
            <w:r w:rsidRPr="00CB2A52">
              <w:t xml:space="preserve"> Payment went live on Friday 20 March 2020, two days before a national shutdown of non-essential services in a bid to stop COVID-19’s spread.</w:t>
            </w:r>
          </w:p>
          <w:p w:rsidR="008E273C" w:rsidRPr="00CB2A52" w:rsidRDefault="008E273C" w:rsidP="00CB2A52">
            <w:pPr>
              <w:pStyle w:val="BodyText"/>
              <w:rPr>
                <w:rStyle w:val="NoBreak"/>
              </w:rPr>
            </w:pPr>
            <w:r w:rsidRPr="00CB2A52">
              <w:t xml:space="preserve">The creation of </w:t>
            </w:r>
            <w:proofErr w:type="spellStart"/>
            <w:r w:rsidRPr="00CB2A52">
              <w:t>JobSeeker</w:t>
            </w:r>
            <w:proofErr w:type="spellEnd"/>
            <w:r w:rsidRPr="00CB2A52">
              <w:t xml:space="preserve"> Payment—the result of 18 months’ work combining the first five of seven working age payments into one—w</w:t>
            </w:r>
            <w:r w:rsidRPr="00CB2A52">
              <w:rPr>
                <w:rStyle w:val="NoBreak"/>
              </w:rPr>
              <w:t>as fortuitous.</w:t>
            </w:r>
          </w:p>
          <w:p w:rsidR="008E273C" w:rsidRPr="00CB2A52" w:rsidRDefault="008E273C" w:rsidP="00CB2A52">
            <w:pPr>
              <w:pStyle w:val="BodyText"/>
            </w:pPr>
            <w:r w:rsidRPr="00CB2A52">
              <w:t>But even so, agency staff had to contend with a large increase in claims.</w:t>
            </w:r>
          </w:p>
          <w:p w:rsidR="008E273C" w:rsidRPr="00CB2A52" w:rsidRDefault="008E273C" w:rsidP="00CB2A52">
            <w:pPr>
              <w:pStyle w:val="BodyText"/>
            </w:pPr>
            <w:r w:rsidRPr="00CB2A52">
              <w:t>Within a week, more than 150,000 newly unemployed Australians had applied for support—10 times more claims than the agency would usually expect in that time.</w:t>
            </w:r>
          </w:p>
          <w:p w:rsidR="008E273C" w:rsidRPr="00CB2A52" w:rsidRDefault="008E273C" w:rsidP="00CB2A52">
            <w:pPr>
              <w:pStyle w:val="BodyText"/>
              <w:rPr>
                <w:rStyle w:val="NoBreak"/>
              </w:rPr>
            </w:pPr>
            <w:r w:rsidRPr="00CB2A52">
              <w:t xml:space="preserve">The pandemic necessitated flexibility in </w:t>
            </w:r>
            <w:proofErr w:type="spellStart"/>
            <w:r w:rsidRPr="00CB2A52">
              <w:t>JobSeeker’s</w:t>
            </w:r>
            <w:proofErr w:type="spellEnd"/>
            <w:r w:rsidRPr="00CB2A52">
              <w:t xml:space="preserve"> implementation, and the agency responded by making accessing support as simple a</w:t>
            </w:r>
            <w:r w:rsidRPr="00CB2A52">
              <w:rPr>
                <w:rStyle w:val="NoBreak"/>
              </w:rPr>
              <w:t xml:space="preserve">s possible. </w:t>
            </w:r>
          </w:p>
          <w:p w:rsidR="008E273C" w:rsidRPr="00CB2A52" w:rsidRDefault="008E273C" w:rsidP="00CB2A52">
            <w:pPr>
              <w:pStyle w:val="BodyText"/>
              <w:rPr>
                <w:rStyle w:val="NoBreak"/>
              </w:rPr>
            </w:pPr>
            <w:r w:rsidRPr="00CB2A52">
              <w:t xml:space="preserve">A new early claim capability allowed people to claim the payment online through </w:t>
            </w:r>
            <w:proofErr w:type="spellStart"/>
            <w:r w:rsidRPr="00CB2A52">
              <w:t>myGov</w:t>
            </w:r>
            <w:proofErr w:type="spellEnd"/>
            <w:r w:rsidRPr="00CB2A52">
              <w:t xml:space="preserve"> up to 13 weeks before they needed the payment. This feature helped Australians navigate the economic impact of the pandemic, and mitigate against looming reductions in shifts or loss </w:t>
            </w:r>
            <w:r w:rsidRPr="00CB2A52">
              <w:rPr>
                <w:rStyle w:val="NoBreak"/>
              </w:rPr>
              <w:t xml:space="preserve">of employment. </w:t>
            </w:r>
          </w:p>
          <w:p w:rsidR="008E273C" w:rsidRPr="00CB2A52" w:rsidRDefault="008E273C" w:rsidP="00CB2A52">
            <w:pPr>
              <w:pStyle w:val="BodyText"/>
            </w:pPr>
            <w:r w:rsidRPr="00CB2A52">
              <w:t xml:space="preserve">Within three months of the new payment’s introduction, Services Australia had processed more than 1.1 million </w:t>
            </w:r>
            <w:proofErr w:type="spellStart"/>
            <w:r w:rsidRPr="00CB2A52">
              <w:t>JobSeeker</w:t>
            </w:r>
            <w:proofErr w:type="spellEnd"/>
            <w:r w:rsidRPr="00CB2A52">
              <w:t xml:space="preserve"> claims, paying out more than </w:t>
            </w:r>
            <w:r w:rsidRPr="00CB2A52">
              <w:rPr>
                <w:rStyle w:val="NoBreak"/>
              </w:rPr>
              <w:t>$9 bill</w:t>
            </w:r>
            <w:r w:rsidRPr="00CB2A52">
              <w:t>ion—the successful culmination of 18 months of preparation across a range of business teams.</w:t>
            </w:r>
          </w:p>
        </w:tc>
      </w:tr>
    </w:tbl>
    <w:p w:rsidR="008E273C" w:rsidRDefault="008E273C" w:rsidP="008E273C">
      <w:pPr>
        <w:pStyle w:val="Heading3"/>
      </w:pPr>
      <w:r>
        <w:t xml:space="preserve">Youth Allowance (Job Seekers) </w:t>
      </w:r>
    </w:p>
    <w:p w:rsidR="008E273C" w:rsidRDefault="008E273C" w:rsidP="008E273C">
      <w:pPr>
        <w:pStyle w:val="BodyText"/>
      </w:pPr>
      <w:r>
        <w:t>Youth Allowance (Job Seekers) is an income support payment for young job seekers generally aged 16 to 21 years. People need to meet income and assets tests and residency requirements. They may also need to meet mutual obligation requirements.</w:t>
      </w:r>
    </w:p>
    <w:p w:rsidR="008E273C" w:rsidRDefault="008E273C" w:rsidP="008E273C">
      <w:pPr>
        <w:pStyle w:val="Heading2"/>
        <w:rPr>
          <w:rFonts w:ascii="Roboto-Regular" w:hAnsi="Roboto-Regular" w:cs="Roboto-Regular"/>
          <w:b w:val="0"/>
          <w:bCs w:val="0"/>
          <w:caps/>
          <w:sz w:val="20"/>
          <w:szCs w:val="20"/>
          <w:lang w:val="en-US"/>
        </w:rPr>
      </w:pPr>
      <w:r>
        <w:lastRenderedPageBreak/>
        <w:t>Assessment services</w:t>
      </w:r>
    </w:p>
    <w:p w:rsidR="008E273C" w:rsidRDefault="008E273C" w:rsidP="008E273C">
      <w:pPr>
        <w:pStyle w:val="Heading3"/>
      </w:pPr>
      <w:r>
        <w:t>Assessments of medical conditions and work capacity</w:t>
      </w:r>
    </w:p>
    <w:p w:rsidR="008E273C" w:rsidRDefault="008E273C" w:rsidP="008E273C">
      <w:pPr>
        <w:pStyle w:val="BodyText"/>
      </w:pPr>
      <w:r>
        <w:t>Services Australia can assess whether a person has barriers to work, including medical conditions. The assessments are:</w:t>
      </w:r>
    </w:p>
    <w:p w:rsidR="008E273C" w:rsidRDefault="008E273C" w:rsidP="008E273C">
      <w:pPr>
        <w:pStyle w:val="BodyText"/>
      </w:pPr>
      <w:r>
        <w:rPr>
          <w:rFonts w:ascii="Roboto-Bold" w:hAnsi="Roboto-Bold" w:cs="Roboto-Bold"/>
          <w:b/>
          <w:bCs/>
        </w:rPr>
        <w:t>Medical Assessment Team (MAT) Assessments</w:t>
      </w:r>
      <w:r>
        <w:t>—an early assessment of all available medical evidence to determine if the more comprehensive Jo</w:t>
      </w:r>
      <w:r>
        <w:rPr>
          <w:rStyle w:val="NoBreak"/>
        </w:rPr>
        <w:t>b Capa</w:t>
      </w:r>
      <w:r>
        <w:t xml:space="preserve">city Assessment (JCA) is required to assess eligibility. </w:t>
      </w:r>
    </w:p>
    <w:p w:rsidR="008E273C" w:rsidRDefault="008E273C" w:rsidP="008E273C">
      <w:pPr>
        <w:pStyle w:val="BodyText"/>
      </w:pPr>
      <w:r>
        <w:rPr>
          <w:rFonts w:ascii="Roboto-Bold" w:hAnsi="Roboto-Bold" w:cs="Roboto-Bold"/>
          <w:b/>
          <w:bCs/>
        </w:rPr>
        <w:t>Job Capacity Assessments (JCAs)</w:t>
      </w:r>
      <w:r>
        <w:t xml:space="preserve">—determine the impact of medical conditions on a person’s ability to work and whether the person would benefit from employment assistance or whether they are eligible for Disability Support Pension. </w:t>
      </w:r>
    </w:p>
    <w:p w:rsidR="008E273C" w:rsidRDefault="008E273C" w:rsidP="008E273C">
      <w:pPr>
        <w:pStyle w:val="BodyText"/>
      </w:pPr>
      <w:r>
        <w:rPr>
          <w:rFonts w:ascii="Roboto-Bold" w:hAnsi="Roboto-Bold" w:cs="Roboto-Bold"/>
          <w:b/>
          <w:bCs/>
        </w:rPr>
        <w:t>Employment Services Assessments (</w:t>
      </w:r>
      <w:proofErr w:type="spellStart"/>
      <w:r>
        <w:rPr>
          <w:rFonts w:ascii="Roboto-Bold" w:hAnsi="Roboto-Bold" w:cs="Roboto-Bold"/>
          <w:b/>
          <w:bCs/>
        </w:rPr>
        <w:t>ESAts</w:t>
      </w:r>
      <w:proofErr w:type="spellEnd"/>
      <w:r>
        <w:rPr>
          <w:rFonts w:ascii="Roboto-Bold" w:hAnsi="Roboto-Bold" w:cs="Roboto-Bold"/>
          <w:b/>
          <w:bCs/>
        </w:rPr>
        <w:t>)</w:t>
      </w:r>
      <w:r>
        <w:t xml:space="preserve">—identify the most appropriate type of employment service for job seekers with multiple and/or complex barriers. </w:t>
      </w:r>
    </w:p>
    <w:p w:rsidR="008E273C" w:rsidRPr="00442B0D" w:rsidRDefault="00442B0D" w:rsidP="00442B0D">
      <w:pPr>
        <w:pStyle w:val="BodyText"/>
        <w:rPr>
          <w:b/>
        </w:rPr>
      </w:pPr>
      <w:r w:rsidRPr="00442B0D">
        <w:rPr>
          <w:b/>
        </w:rPr>
        <w:t>Table 2:</w:t>
      </w:r>
      <w:r w:rsidR="008E273C" w:rsidRPr="00442B0D">
        <w:rPr>
          <w:b/>
        </w:rPr>
        <w:t xml:space="preserve"> Medical and non</w:t>
      </w:r>
      <w:r w:rsidR="008E273C" w:rsidRPr="00442B0D">
        <w:rPr>
          <w:b/>
        </w:rPr>
        <w:noBreakHyphen/>
        <w:t xml:space="preserve">medical </w:t>
      </w:r>
      <w:proofErr w:type="spellStart"/>
      <w:r w:rsidR="008E273C" w:rsidRPr="00442B0D">
        <w:rPr>
          <w:b/>
        </w:rPr>
        <w:t>ESAts</w:t>
      </w:r>
      <w:proofErr w:type="spellEnd"/>
      <w:r w:rsidR="008E273C" w:rsidRPr="00442B0D">
        <w:rPr>
          <w:b/>
        </w:rPr>
        <w:t>, MAT assessments and JCAs</w:t>
      </w:r>
    </w:p>
    <w:tbl>
      <w:tblPr>
        <w:tblStyle w:val="TableGrid"/>
        <w:tblW w:w="5000" w:type="pct"/>
        <w:tblLook w:val="0000" w:firstRow="0" w:lastRow="0" w:firstColumn="0" w:lastColumn="0" w:noHBand="0" w:noVBand="0"/>
        <w:tblCaption w:val="Table 2: Medical and non medical ESAts, MAT assessments and JCAs"/>
        <w:tblDescription w:val="Table 2: Medical and non medical ESAts, MAT assessments and JCAs"/>
      </w:tblPr>
      <w:tblGrid>
        <w:gridCol w:w="3302"/>
        <w:gridCol w:w="1762"/>
        <w:gridCol w:w="1762"/>
        <w:gridCol w:w="1762"/>
        <w:gridCol w:w="2508"/>
      </w:tblGrid>
      <w:tr w:rsidR="008E273C" w:rsidTr="00442B0D">
        <w:trPr>
          <w:trHeight w:val="60"/>
          <w:tblHeader/>
        </w:trPr>
        <w:tc>
          <w:tcPr>
            <w:tcW w:w="1488" w:type="pct"/>
          </w:tcPr>
          <w:p w:rsidR="008E273C" w:rsidRPr="00442B0D" w:rsidRDefault="008E273C" w:rsidP="00442B0D">
            <w:pPr>
              <w:pStyle w:val="BodyText"/>
              <w:rPr>
                <w:b/>
              </w:rPr>
            </w:pPr>
          </w:p>
        </w:tc>
        <w:tc>
          <w:tcPr>
            <w:tcW w:w="794" w:type="pct"/>
          </w:tcPr>
          <w:p w:rsidR="008E273C" w:rsidRPr="00442B0D" w:rsidRDefault="008E273C" w:rsidP="00442B0D">
            <w:pPr>
              <w:pStyle w:val="BodyText"/>
              <w:rPr>
                <w:b/>
              </w:rPr>
            </w:pPr>
            <w:r w:rsidRPr="00442B0D">
              <w:rPr>
                <w:rStyle w:val="Bulletcolour"/>
                <w:b/>
              </w:rPr>
              <w:t>2017–18</w:t>
            </w:r>
          </w:p>
        </w:tc>
        <w:tc>
          <w:tcPr>
            <w:tcW w:w="794" w:type="pct"/>
          </w:tcPr>
          <w:p w:rsidR="008E273C" w:rsidRPr="00442B0D" w:rsidRDefault="008E273C" w:rsidP="00442B0D">
            <w:pPr>
              <w:pStyle w:val="BodyText"/>
              <w:rPr>
                <w:b/>
              </w:rPr>
            </w:pPr>
            <w:r w:rsidRPr="00442B0D">
              <w:rPr>
                <w:rStyle w:val="Bulletcolour"/>
                <w:b/>
              </w:rPr>
              <w:t>2018–19</w:t>
            </w:r>
          </w:p>
        </w:tc>
        <w:tc>
          <w:tcPr>
            <w:tcW w:w="794" w:type="pct"/>
          </w:tcPr>
          <w:p w:rsidR="008E273C" w:rsidRPr="00442B0D" w:rsidRDefault="008E273C" w:rsidP="00442B0D">
            <w:pPr>
              <w:pStyle w:val="BodyText"/>
              <w:rPr>
                <w:b/>
              </w:rPr>
            </w:pPr>
            <w:r w:rsidRPr="00442B0D">
              <w:rPr>
                <w:rStyle w:val="Bulletcolour"/>
                <w:b/>
              </w:rPr>
              <w:t>2019–20</w:t>
            </w:r>
          </w:p>
        </w:tc>
        <w:tc>
          <w:tcPr>
            <w:tcW w:w="1130" w:type="pct"/>
          </w:tcPr>
          <w:p w:rsidR="008E273C" w:rsidRPr="00442B0D" w:rsidRDefault="008E273C" w:rsidP="00442B0D">
            <w:pPr>
              <w:pStyle w:val="BodyText"/>
              <w:rPr>
                <w:b/>
              </w:rPr>
            </w:pPr>
            <w:r w:rsidRPr="00442B0D">
              <w:rPr>
                <w:rStyle w:val="Bulletcolour"/>
                <w:b/>
              </w:rPr>
              <w:t>% change since 2018–19</w:t>
            </w:r>
          </w:p>
        </w:tc>
      </w:tr>
      <w:tr w:rsidR="008E273C" w:rsidTr="00442B0D">
        <w:trPr>
          <w:trHeight w:val="60"/>
        </w:trPr>
        <w:tc>
          <w:tcPr>
            <w:tcW w:w="1488" w:type="pct"/>
          </w:tcPr>
          <w:p w:rsidR="008E273C" w:rsidRDefault="008E273C" w:rsidP="00442B0D">
            <w:pPr>
              <w:pStyle w:val="BodyText"/>
            </w:pPr>
            <w:r>
              <w:rPr>
                <w:rStyle w:val="Bulletcolour"/>
              </w:rPr>
              <w:t>MAT assessments</w:t>
            </w:r>
          </w:p>
        </w:tc>
        <w:tc>
          <w:tcPr>
            <w:tcW w:w="794" w:type="pct"/>
          </w:tcPr>
          <w:p w:rsidR="008E273C" w:rsidRDefault="008E273C" w:rsidP="00442B0D">
            <w:pPr>
              <w:pStyle w:val="BodyText"/>
            </w:pPr>
            <w:r>
              <w:rPr>
                <w:rStyle w:val="Bulletcolour"/>
              </w:rPr>
              <w:t>96,663</w:t>
            </w:r>
          </w:p>
        </w:tc>
        <w:tc>
          <w:tcPr>
            <w:tcW w:w="794" w:type="pct"/>
          </w:tcPr>
          <w:p w:rsidR="008E273C" w:rsidRDefault="008E273C" w:rsidP="00442B0D">
            <w:pPr>
              <w:pStyle w:val="BodyText"/>
            </w:pPr>
            <w:r>
              <w:rPr>
                <w:rStyle w:val="Bulletcolour"/>
              </w:rPr>
              <w:t>96,699</w:t>
            </w:r>
          </w:p>
        </w:tc>
        <w:tc>
          <w:tcPr>
            <w:tcW w:w="794" w:type="pct"/>
          </w:tcPr>
          <w:p w:rsidR="008E273C" w:rsidRDefault="008E273C" w:rsidP="00442B0D">
            <w:pPr>
              <w:pStyle w:val="BodyText"/>
            </w:pPr>
            <w:r>
              <w:rPr>
                <w:rStyle w:val="Bulletcolour"/>
              </w:rPr>
              <w:t>109,619</w:t>
            </w:r>
          </w:p>
        </w:tc>
        <w:tc>
          <w:tcPr>
            <w:tcW w:w="1130" w:type="pct"/>
          </w:tcPr>
          <w:p w:rsidR="008E273C" w:rsidRDefault="008E273C" w:rsidP="00442B0D">
            <w:pPr>
              <w:pStyle w:val="BodyText"/>
            </w:pPr>
            <w:r>
              <w:rPr>
                <w:rStyle w:val="Bulletcolour"/>
              </w:rPr>
              <w:t>13%</w:t>
            </w:r>
          </w:p>
        </w:tc>
      </w:tr>
      <w:tr w:rsidR="008E273C" w:rsidTr="00442B0D">
        <w:trPr>
          <w:trHeight w:val="60"/>
        </w:trPr>
        <w:tc>
          <w:tcPr>
            <w:tcW w:w="1488" w:type="pct"/>
          </w:tcPr>
          <w:p w:rsidR="008E273C" w:rsidRDefault="008E273C" w:rsidP="00442B0D">
            <w:pPr>
              <w:pStyle w:val="BodyText"/>
            </w:pPr>
            <w:r>
              <w:rPr>
                <w:rStyle w:val="Bulletcolour"/>
              </w:rPr>
              <w:t>JCAs</w:t>
            </w:r>
          </w:p>
        </w:tc>
        <w:tc>
          <w:tcPr>
            <w:tcW w:w="794" w:type="pct"/>
          </w:tcPr>
          <w:p w:rsidR="008E273C" w:rsidRDefault="008E273C" w:rsidP="00442B0D">
            <w:pPr>
              <w:pStyle w:val="BodyText"/>
            </w:pPr>
            <w:r>
              <w:rPr>
                <w:rStyle w:val="Bulletcolour"/>
              </w:rPr>
              <w:t>49,701</w:t>
            </w:r>
          </w:p>
        </w:tc>
        <w:tc>
          <w:tcPr>
            <w:tcW w:w="794" w:type="pct"/>
          </w:tcPr>
          <w:p w:rsidR="008E273C" w:rsidRDefault="008E273C" w:rsidP="00442B0D">
            <w:pPr>
              <w:pStyle w:val="BodyText"/>
            </w:pPr>
            <w:r>
              <w:rPr>
                <w:rStyle w:val="Bulletcolour"/>
              </w:rPr>
              <w:t>41,912</w:t>
            </w:r>
          </w:p>
        </w:tc>
        <w:tc>
          <w:tcPr>
            <w:tcW w:w="794" w:type="pct"/>
          </w:tcPr>
          <w:p w:rsidR="008E273C" w:rsidRDefault="008E273C" w:rsidP="00442B0D">
            <w:pPr>
              <w:pStyle w:val="BodyText"/>
            </w:pPr>
            <w:r>
              <w:rPr>
                <w:rStyle w:val="Bulletcolour"/>
              </w:rPr>
              <w:t>50,860</w:t>
            </w:r>
          </w:p>
        </w:tc>
        <w:tc>
          <w:tcPr>
            <w:tcW w:w="1130" w:type="pct"/>
          </w:tcPr>
          <w:p w:rsidR="008E273C" w:rsidRDefault="008E273C" w:rsidP="00442B0D">
            <w:pPr>
              <w:pStyle w:val="BodyText"/>
            </w:pPr>
            <w:r>
              <w:rPr>
                <w:rStyle w:val="Bulletcolour"/>
              </w:rPr>
              <w:t>21%</w:t>
            </w:r>
          </w:p>
        </w:tc>
      </w:tr>
      <w:tr w:rsidR="008E273C" w:rsidTr="00442B0D">
        <w:trPr>
          <w:trHeight w:val="60"/>
        </w:trPr>
        <w:tc>
          <w:tcPr>
            <w:tcW w:w="1488" w:type="pct"/>
          </w:tcPr>
          <w:p w:rsidR="008E273C" w:rsidRDefault="008E273C" w:rsidP="00442B0D">
            <w:pPr>
              <w:pStyle w:val="BodyText"/>
            </w:pPr>
            <w:proofErr w:type="spellStart"/>
            <w:r>
              <w:rPr>
                <w:rStyle w:val="Bulletcolour"/>
              </w:rPr>
              <w:t>ESAts</w:t>
            </w:r>
            <w:proofErr w:type="spellEnd"/>
            <w:r>
              <w:rPr>
                <w:rStyle w:val="Bulletcolour"/>
              </w:rPr>
              <w:t>—medical</w:t>
            </w:r>
          </w:p>
        </w:tc>
        <w:tc>
          <w:tcPr>
            <w:tcW w:w="794" w:type="pct"/>
          </w:tcPr>
          <w:p w:rsidR="008E273C" w:rsidRDefault="008E273C" w:rsidP="00442B0D">
            <w:pPr>
              <w:pStyle w:val="BodyText"/>
            </w:pPr>
            <w:r>
              <w:rPr>
                <w:rStyle w:val="Bulletcolour"/>
              </w:rPr>
              <w:t>182,524</w:t>
            </w:r>
          </w:p>
        </w:tc>
        <w:tc>
          <w:tcPr>
            <w:tcW w:w="794" w:type="pct"/>
          </w:tcPr>
          <w:p w:rsidR="008E273C" w:rsidRDefault="008E273C" w:rsidP="00442B0D">
            <w:pPr>
              <w:pStyle w:val="BodyText"/>
            </w:pPr>
            <w:r>
              <w:rPr>
                <w:rStyle w:val="Bulletcolour"/>
              </w:rPr>
              <w:t>216,023</w:t>
            </w:r>
          </w:p>
        </w:tc>
        <w:tc>
          <w:tcPr>
            <w:tcW w:w="794" w:type="pct"/>
          </w:tcPr>
          <w:p w:rsidR="008E273C" w:rsidRDefault="008E273C" w:rsidP="00442B0D">
            <w:pPr>
              <w:pStyle w:val="BodyText"/>
            </w:pPr>
            <w:r>
              <w:rPr>
                <w:rStyle w:val="Bulletcolour"/>
              </w:rPr>
              <w:t>218,851</w:t>
            </w:r>
          </w:p>
        </w:tc>
        <w:tc>
          <w:tcPr>
            <w:tcW w:w="1130" w:type="pct"/>
          </w:tcPr>
          <w:p w:rsidR="008E273C" w:rsidRDefault="008E273C" w:rsidP="00442B0D">
            <w:pPr>
              <w:pStyle w:val="BodyText"/>
            </w:pPr>
            <w:r>
              <w:rPr>
                <w:rStyle w:val="Bulletcolour"/>
              </w:rPr>
              <w:t>1%</w:t>
            </w:r>
          </w:p>
        </w:tc>
      </w:tr>
      <w:tr w:rsidR="008E273C" w:rsidTr="00442B0D">
        <w:trPr>
          <w:trHeight w:val="60"/>
        </w:trPr>
        <w:tc>
          <w:tcPr>
            <w:tcW w:w="1488" w:type="pct"/>
          </w:tcPr>
          <w:p w:rsidR="008E273C" w:rsidRDefault="008E273C" w:rsidP="00442B0D">
            <w:pPr>
              <w:pStyle w:val="BodyText"/>
            </w:pPr>
            <w:proofErr w:type="spellStart"/>
            <w:r>
              <w:rPr>
                <w:rStyle w:val="Bulletcolour"/>
              </w:rPr>
              <w:t>ESAts</w:t>
            </w:r>
            <w:proofErr w:type="spellEnd"/>
            <w:r>
              <w:rPr>
                <w:rStyle w:val="Bulletcolour"/>
              </w:rPr>
              <w:t>—non-medical</w:t>
            </w:r>
          </w:p>
        </w:tc>
        <w:tc>
          <w:tcPr>
            <w:tcW w:w="794" w:type="pct"/>
          </w:tcPr>
          <w:p w:rsidR="008E273C" w:rsidRDefault="008E273C" w:rsidP="00442B0D">
            <w:pPr>
              <w:pStyle w:val="BodyText"/>
            </w:pPr>
            <w:r>
              <w:rPr>
                <w:rStyle w:val="Bulletcolour"/>
              </w:rPr>
              <w:t>12,524</w:t>
            </w:r>
          </w:p>
        </w:tc>
        <w:tc>
          <w:tcPr>
            <w:tcW w:w="794" w:type="pct"/>
          </w:tcPr>
          <w:p w:rsidR="008E273C" w:rsidRDefault="008E273C" w:rsidP="00442B0D">
            <w:pPr>
              <w:pStyle w:val="BodyText"/>
            </w:pPr>
            <w:r>
              <w:rPr>
                <w:rStyle w:val="Bulletcolour"/>
              </w:rPr>
              <w:t>16,816</w:t>
            </w:r>
          </w:p>
        </w:tc>
        <w:tc>
          <w:tcPr>
            <w:tcW w:w="794" w:type="pct"/>
          </w:tcPr>
          <w:p w:rsidR="008E273C" w:rsidRDefault="008E273C" w:rsidP="00442B0D">
            <w:pPr>
              <w:pStyle w:val="BodyText"/>
            </w:pPr>
            <w:r>
              <w:rPr>
                <w:rStyle w:val="Bulletcolour"/>
              </w:rPr>
              <w:t xml:space="preserve">18,555 </w:t>
            </w:r>
          </w:p>
        </w:tc>
        <w:tc>
          <w:tcPr>
            <w:tcW w:w="1130" w:type="pct"/>
          </w:tcPr>
          <w:p w:rsidR="008E273C" w:rsidRDefault="008E273C" w:rsidP="00442B0D">
            <w:pPr>
              <w:pStyle w:val="BodyText"/>
            </w:pPr>
            <w:r>
              <w:rPr>
                <w:rStyle w:val="Bulletcolour"/>
              </w:rPr>
              <w:t>10%</w:t>
            </w:r>
          </w:p>
        </w:tc>
      </w:tr>
      <w:tr w:rsidR="008E273C" w:rsidTr="00442B0D">
        <w:trPr>
          <w:trHeight w:val="60"/>
        </w:trPr>
        <w:tc>
          <w:tcPr>
            <w:tcW w:w="1488" w:type="pct"/>
          </w:tcPr>
          <w:p w:rsidR="008E273C" w:rsidRPr="00442B0D" w:rsidRDefault="008E273C" w:rsidP="00442B0D">
            <w:pPr>
              <w:pStyle w:val="BodyText"/>
              <w:rPr>
                <w:b/>
              </w:rPr>
            </w:pPr>
            <w:r w:rsidRPr="00442B0D">
              <w:rPr>
                <w:b/>
              </w:rPr>
              <w:t xml:space="preserve">Total </w:t>
            </w:r>
          </w:p>
        </w:tc>
        <w:tc>
          <w:tcPr>
            <w:tcW w:w="794" w:type="pct"/>
          </w:tcPr>
          <w:p w:rsidR="008E273C" w:rsidRPr="00442B0D" w:rsidRDefault="008E273C" w:rsidP="00442B0D">
            <w:pPr>
              <w:pStyle w:val="BodyText"/>
              <w:rPr>
                <w:b/>
              </w:rPr>
            </w:pPr>
            <w:r w:rsidRPr="00442B0D">
              <w:rPr>
                <w:b/>
              </w:rPr>
              <w:t>341,412</w:t>
            </w:r>
          </w:p>
        </w:tc>
        <w:tc>
          <w:tcPr>
            <w:tcW w:w="794" w:type="pct"/>
          </w:tcPr>
          <w:p w:rsidR="008E273C" w:rsidRPr="00442B0D" w:rsidRDefault="008E273C" w:rsidP="00442B0D">
            <w:pPr>
              <w:pStyle w:val="BodyText"/>
              <w:rPr>
                <w:b/>
              </w:rPr>
            </w:pPr>
            <w:r w:rsidRPr="00442B0D">
              <w:rPr>
                <w:b/>
              </w:rPr>
              <w:t>371,450</w:t>
            </w:r>
          </w:p>
        </w:tc>
        <w:tc>
          <w:tcPr>
            <w:tcW w:w="794" w:type="pct"/>
          </w:tcPr>
          <w:p w:rsidR="008E273C" w:rsidRPr="00442B0D" w:rsidRDefault="008E273C" w:rsidP="00442B0D">
            <w:pPr>
              <w:pStyle w:val="BodyText"/>
              <w:rPr>
                <w:b/>
              </w:rPr>
            </w:pPr>
            <w:r w:rsidRPr="00442B0D">
              <w:rPr>
                <w:b/>
              </w:rPr>
              <w:t xml:space="preserve">397,885 </w:t>
            </w:r>
          </w:p>
        </w:tc>
        <w:tc>
          <w:tcPr>
            <w:tcW w:w="1130" w:type="pct"/>
          </w:tcPr>
          <w:p w:rsidR="008E273C" w:rsidRPr="00442B0D" w:rsidRDefault="008E273C" w:rsidP="00442B0D">
            <w:pPr>
              <w:pStyle w:val="BodyText"/>
              <w:rPr>
                <w:b/>
              </w:rPr>
            </w:pPr>
            <w:r w:rsidRPr="00442B0D">
              <w:rPr>
                <w:b/>
              </w:rPr>
              <w:t>7%</w:t>
            </w:r>
          </w:p>
        </w:tc>
      </w:tr>
    </w:tbl>
    <w:p w:rsidR="008E273C" w:rsidRDefault="008E273C" w:rsidP="008E273C">
      <w:pPr>
        <w:pStyle w:val="Heading3"/>
      </w:pPr>
      <w:r>
        <w:t>Assessors</w:t>
      </w:r>
    </w:p>
    <w:p w:rsidR="008E273C" w:rsidRDefault="008E273C" w:rsidP="008E273C">
      <w:pPr>
        <w:pStyle w:val="BodyText"/>
      </w:pPr>
      <w:r>
        <w:t>The agency employs qualified health and allied health professionals to perform the above assessments. This includes a Health Professional Advisory Unit, which has</w:t>
      </w:r>
      <w:r>
        <w:rPr>
          <w:rFonts w:ascii="Roboto-Bold" w:hAnsi="Roboto-Bold" w:cs="Roboto-Bold"/>
          <w:b/>
          <w:bCs/>
        </w:rPr>
        <w:t xml:space="preserve"> </w:t>
      </w:r>
      <w:r>
        <w:t>nine medical advisers, supported by 12 health and allied health professionals across a virtual network. In 2019–20 the unit completed 813 referrals.</w:t>
      </w:r>
    </w:p>
    <w:p w:rsidR="008E273C" w:rsidRDefault="008E273C" w:rsidP="008E273C">
      <w:pPr>
        <w:pStyle w:val="Heading2"/>
      </w:pPr>
      <w:r>
        <w:t>Students</w:t>
      </w:r>
    </w:p>
    <w:p w:rsidR="008E273C" w:rsidRDefault="008E273C" w:rsidP="008E273C">
      <w:pPr>
        <w:pStyle w:val="Heading3"/>
      </w:pPr>
      <w:r>
        <w:t>New-look online claim for students</w:t>
      </w:r>
    </w:p>
    <w:p w:rsidR="008E273C" w:rsidRDefault="008E273C" w:rsidP="008E273C">
      <w:pPr>
        <w:pStyle w:val="BodyText"/>
      </w:pPr>
      <w:r>
        <w:t>During the year Services Australia introduced a new-look online claim for You</w:t>
      </w:r>
      <w:r>
        <w:rPr>
          <w:rStyle w:val="NoBreak"/>
        </w:rPr>
        <w:t>th Allo</w:t>
      </w:r>
      <w:r>
        <w:t xml:space="preserve">wance and </w:t>
      </w:r>
      <w:proofErr w:type="spellStart"/>
      <w:r>
        <w:t>Austudy</w:t>
      </w:r>
      <w:proofErr w:type="spellEnd"/>
      <w:r>
        <w:t xml:space="preserve"> students, and their nominees. The new claim uses virtual assistants and has an improved sequence of questions, making it better tailored to individual circumstances.</w:t>
      </w:r>
    </w:p>
    <w:p w:rsidR="008E273C" w:rsidRDefault="008E273C" w:rsidP="008E273C">
      <w:pPr>
        <w:pStyle w:val="BodyText"/>
      </w:pPr>
      <w:r>
        <w:lastRenderedPageBreak/>
        <w:t>The agency also implemented a new-look online service to improve the pare</w:t>
      </w:r>
      <w:r>
        <w:rPr>
          <w:rStyle w:val="NoBreak"/>
        </w:rPr>
        <w:t>ntal incom</w:t>
      </w:r>
      <w:r>
        <w:t>e review process for dependent young people.</w:t>
      </w:r>
    </w:p>
    <w:p w:rsidR="008E273C" w:rsidRDefault="008E273C" w:rsidP="008E273C">
      <w:pPr>
        <w:pStyle w:val="Heading3"/>
      </w:pPr>
      <w:r>
        <w:t>Support for students during the COVID-19 pandemic</w:t>
      </w:r>
    </w:p>
    <w:p w:rsidR="008E273C" w:rsidRDefault="008E273C" w:rsidP="008E273C">
      <w:pPr>
        <w:pStyle w:val="BodyText"/>
      </w:pPr>
      <w:r>
        <w:t>In response to the COVID-19 pandemic, Services Australia changed several eligibility requirements and arrangements for affected students. S</w:t>
      </w:r>
      <w:r>
        <w:rPr>
          <w:rStyle w:val="NoBreak"/>
        </w:rPr>
        <w:t xml:space="preserve">ee </w:t>
      </w:r>
      <w:r>
        <w:rPr>
          <w:rStyle w:val="NoBreak"/>
          <w:rFonts w:ascii="Roboto-Italic" w:hAnsi="Roboto-Italic" w:cs="Roboto-Italic"/>
          <w:i/>
          <w:iCs/>
        </w:rPr>
        <w:t>COVID-19 pan</w:t>
      </w:r>
      <w:r>
        <w:rPr>
          <w:rFonts w:ascii="Roboto-Italic" w:hAnsi="Roboto-Italic" w:cs="Roboto-Italic"/>
          <w:i/>
          <w:iCs/>
        </w:rPr>
        <w:t>demic</w:t>
      </w:r>
      <w:r>
        <w:t xml:space="preserve"> on page xv.</w:t>
      </w:r>
    </w:p>
    <w:p w:rsidR="008E273C" w:rsidRDefault="008E273C" w:rsidP="008E273C">
      <w:pPr>
        <w:pStyle w:val="Heading1"/>
      </w:pPr>
      <w:r>
        <w:t>1.4 Health</w:t>
      </w:r>
    </w:p>
    <w:p w:rsidR="008E273C" w:rsidRDefault="008E273C" w:rsidP="005D794B">
      <w:pPr>
        <w:pStyle w:val="BodyText"/>
      </w:pPr>
      <w:r>
        <w:t>The agency administers a range of health, pharmaceutical, aged care and veterans’ programs and related services. These enable access to cost</w:t>
      </w:r>
      <w:r>
        <w:noBreakHyphen/>
        <w:t xml:space="preserve">effective medicines, health services and care, as well as supporting and improving the wellbeing of an ageing population. </w:t>
      </w:r>
    </w:p>
    <w:p w:rsidR="008E273C" w:rsidRDefault="008E273C" w:rsidP="008E273C">
      <w:pPr>
        <w:pStyle w:val="BodyText"/>
      </w:pPr>
      <w:r>
        <w:t>For more information about health programs, payments and services se</w:t>
      </w:r>
      <w:r>
        <w:rPr>
          <w:rStyle w:val="NoBreak"/>
        </w:rPr>
        <w:t>e o</w:t>
      </w:r>
      <w:r>
        <w:t xml:space="preserve">ur website at </w:t>
      </w:r>
      <w:r w:rsidRPr="00BD07FC">
        <w:rPr>
          <w:b/>
        </w:rPr>
        <w:t>servicesaustralia.gov.au</w:t>
      </w:r>
      <w:r>
        <w:t xml:space="preserve"> and the Department of Health’s 2</w:t>
      </w:r>
      <w:r>
        <w:rPr>
          <w:rStyle w:val="NoBreak"/>
        </w:rPr>
        <w:t>019–20 an</w:t>
      </w:r>
      <w:r>
        <w:t xml:space="preserve">nual report at </w:t>
      </w:r>
      <w:r w:rsidRPr="00BD07FC">
        <w:rPr>
          <w:b/>
        </w:rPr>
        <w:t>health.gov.au</w:t>
      </w:r>
    </w:p>
    <w:p w:rsidR="008E273C" w:rsidRDefault="008E273C" w:rsidP="008E273C">
      <w:pPr>
        <w:pStyle w:val="Heading2"/>
      </w:pPr>
      <w:r>
        <w:t>Medicare</w:t>
      </w:r>
    </w:p>
    <w:p w:rsidR="008E273C" w:rsidRDefault="008E273C" w:rsidP="008E273C">
      <w:pPr>
        <w:pStyle w:val="BodyText"/>
      </w:pPr>
      <w:r>
        <w:t>Medicare provides eligible people access to medical services, optometry and other allied health services.</w:t>
      </w:r>
    </w:p>
    <w:p w:rsidR="008E273C" w:rsidRDefault="008E273C" w:rsidP="008E273C">
      <w:pPr>
        <w:pStyle w:val="BodyText"/>
      </w:pPr>
      <w:r>
        <w:t>During the COVID-19 pandemic the Australian Government introduced new temporary telehealth items to the Medicare Benefits Schedule. The</w:t>
      </w:r>
      <w:r>
        <w:rPr>
          <w:rStyle w:val="NoBreak"/>
        </w:rPr>
        <w:t>se arrangem</w:t>
      </w:r>
      <w:r>
        <w:t>ents protect health care professionals, their staff and patie</w:t>
      </w:r>
      <w:r>
        <w:rPr>
          <w:rStyle w:val="NoBreak"/>
        </w:rPr>
        <w:t>nts from</w:t>
      </w:r>
      <w:r>
        <w:t xml:space="preserve"> unnecessary risk of infection.</w:t>
      </w:r>
    </w:p>
    <w:tbl>
      <w:tblPr>
        <w:tblStyle w:val="TableGrid"/>
        <w:tblW w:w="0" w:type="auto"/>
        <w:tblLook w:val="04A0" w:firstRow="1" w:lastRow="0" w:firstColumn="1" w:lastColumn="0" w:noHBand="0" w:noVBand="1"/>
        <w:tblCaption w:val="Telehealth keeping people safe and healthy case study"/>
        <w:tblDescription w:val="Telehealth keeping people safe and healthy case study"/>
      </w:tblPr>
      <w:tblGrid>
        <w:gridCol w:w="11096"/>
      </w:tblGrid>
      <w:tr w:rsidR="00442B0D" w:rsidTr="00442B0D">
        <w:trPr>
          <w:tblHeader/>
        </w:trPr>
        <w:tc>
          <w:tcPr>
            <w:tcW w:w="11096" w:type="dxa"/>
          </w:tcPr>
          <w:p w:rsidR="00442B0D" w:rsidRPr="00442B0D" w:rsidRDefault="00442B0D" w:rsidP="00442B0D">
            <w:pPr>
              <w:pStyle w:val="BodyText"/>
              <w:rPr>
                <w:b/>
              </w:rPr>
            </w:pPr>
            <w:r w:rsidRPr="00442B0D">
              <w:rPr>
                <w:b/>
              </w:rPr>
              <w:t>Telehealth keeping people safe and healthy</w:t>
            </w:r>
          </w:p>
          <w:p w:rsidR="00442B0D" w:rsidRDefault="00442B0D" w:rsidP="00442B0D">
            <w:pPr>
              <w:pStyle w:val="BodyText"/>
            </w:pPr>
            <w:r>
              <w:t>When COVID-19 restrictions started in Marc</w:t>
            </w:r>
            <w:r>
              <w:rPr>
                <w:rStyle w:val="NoBreak"/>
              </w:rPr>
              <w:t>h 2</w:t>
            </w:r>
            <w:r>
              <w:t xml:space="preserve">020, getting to the doctor’s office was impossible for many Australians. Telehealth enabled people to speak with medical professionals without leaving their home. </w:t>
            </w:r>
          </w:p>
          <w:p w:rsidR="00442B0D" w:rsidRDefault="00442B0D" w:rsidP="00442B0D">
            <w:pPr>
              <w:pStyle w:val="BodyText"/>
            </w:pPr>
            <w:r>
              <w:t>Medicare-subsidised telehealth services were quickly expanded for all Australians. Within a month, over 70,000 health professionals had delivered over 5 million COVID-19 related services to more than 3.5 million Australians.</w:t>
            </w:r>
          </w:p>
          <w:p w:rsidR="00442B0D" w:rsidRDefault="00442B0D" w:rsidP="00442B0D">
            <w:pPr>
              <w:pStyle w:val="BodyText"/>
            </w:pPr>
            <w:r>
              <w:t>Customer Penny, an expectant mother, from Canberra, said, ‘Almost all of my appointments so far, with my GP and my midwife, have been on the phone’. ‘It’s been really reassuring knowing that I can stay home and stay safe but still get medical assistance when I need it’.</w:t>
            </w:r>
          </w:p>
          <w:p w:rsidR="00442B0D" w:rsidRDefault="00442B0D" w:rsidP="00442B0D">
            <w:pPr>
              <w:pStyle w:val="BodyText"/>
            </w:pPr>
            <w:r>
              <w:t>Behind the scenes was an extraordinary effort from the agency’s staff, who worked closely with their counterparts at the Department of Health to integrate the new and expanded services.</w:t>
            </w:r>
          </w:p>
          <w:p w:rsidR="00442B0D" w:rsidRDefault="00442B0D" w:rsidP="00442B0D">
            <w:pPr>
              <w:pStyle w:val="BodyText"/>
            </w:pPr>
            <w:r>
              <w:t xml:space="preserve">Across the start of the year, agency staff added almost 400 new items to the Medicare Benefits Schedule—more new items in five weeks than in each of the preceding two calendar years. </w:t>
            </w:r>
          </w:p>
          <w:p w:rsidR="00442B0D" w:rsidRDefault="00442B0D" w:rsidP="00442B0D">
            <w:pPr>
              <w:pStyle w:val="BodyText"/>
            </w:pPr>
            <w:r>
              <w:t>A significant number of these were items designed to improve the availability of telehealth services, allowing Australians who require regular medical appointments to consult safely with their health care providers during the COVID-19 pandemic.</w:t>
            </w:r>
          </w:p>
        </w:tc>
      </w:tr>
    </w:tbl>
    <w:p w:rsidR="008E273C" w:rsidRDefault="008E273C" w:rsidP="008E273C">
      <w:pPr>
        <w:pStyle w:val="BodyText"/>
      </w:pPr>
      <w:r>
        <w:lastRenderedPageBreak/>
        <w:t>In 2019–20 25.9 million people were enrolled in Medicare and $25.0 billion was paid in benefits. The percentage of digital claims continues to grow, with 99.2 per cent of Medicare services claimed digitally in 2019–20. Approximately 80 per cent of all health practices lodge 100 per cent of their Medicare claims digitally at their practice.</w:t>
      </w:r>
    </w:p>
    <w:p w:rsidR="008E273C" w:rsidRDefault="008E273C" w:rsidP="008E273C">
      <w:pPr>
        <w:pStyle w:val="BodyText"/>
      </w:pPr>
      <w:r>
        <w:t>The agency continues to make technology enhancements to promote digital transactions.</w:t>
      </w:r>
    </w:p>
    <w:p w:rsidR="008E273C" w:rsidRPr="00442B0D" w:rsidRDefault="00442B0D" w:rsidP="00442B0D">
      <w:pPr>
        <w:pStyle w:val="BodyText"/>
        <w:rPr>
          <w:b/>
        </w:rPr>
      </w:pPr>
      <w:r w:rsidRPr="00442B0D">
        <w:rPr>
          <w:b/>
        </w:rPr>
        <w:t>Table 3:</w:t>
      </w:r>
      <w:r w:rsidR="008E273C" w:rsidRPr="00442B0D">
        <w:rPr>
          <w:b/>
        </w:rPr>
        <w:t xml:space="preserve"> Medicare enrolments</w:t>
      </w:r>
    </w:p>
    <w:tbl>
      <w:tblPr>
        <w:tblStyle w:val="TableGrid"/>
        <w:tblW w:w="5000" w:type="pct"/>
        <w:tblLook w:val="0000" w:firstRow="0" w:lastRow="0" w:firstColumn="0" w:lastColumn="0" w:noHBand="0" w:noVBand="0"/>
        <w:tblCaption w:val="Table 3: Medicare enrolments"/>
        <w:tblDescription w:val="Table 3: Medicare enrolments"/>
      </w:tblPr>
      <w:tblGrid>
        <w:gridCol w:w="4351"/>
        <w:gridCol w:w="2249"/>
        <w:gridCol w:w="2248"/>
        <w:gridCol w:w="2248"/>
      </w:tblGrid>
      <w:tr w:rsidR="008E273C" w:rsidTr="00442B0D">
        <w:trPr>
          <w:trHeight w:val="60"/>
          <w:tblHeader/>
        </w:trPr>
        <w:tc>
          <w:tcPr>
            <w:tcW w:w="1960" w:type="pct"/>
          </w:tcPr>
          <w:p w:rsidR="008E273C" w:rsidRPr="00442B0D" w:rsidRDefault="008E273C" w:rsidP="00442B0D">
            <w:pPr>
              <w:pStyle w:val="BodyText"/>
              <w:rPr>
                <w:b/>
              </w:rPr>
            </w:pPr>
          </w:p>
        </w:tc>
        <w:tc>
          <w:tcPr>
            <w:tcW w:w="1013" w:type="pct"/>
          </w:tcPr>
          <w:p w:rsidR="008E273C" w:rsidRPr="00442B0D" w:rsidRDefault="008E273C" w:rsidP="00442B0D">
            <w:pPr>
              <w:pStyle w:val="BodyText"/>
              <w:rPr>
                <w:b/>
              </w:rPr>
            </w:pPr>
            <w:r w:rsidRPr="00442B0D">
              <w:rPr>
                <w:rStyle w:val="Bulletcolour"/>
                <w:b/>
              </w:rPr>
              <w:t>2017–18</w:t>
            </w:r>
          </w:p>
        </w:tc>
        <w:tc>
          <w:tcPr>
            <w:tcW w:w="1013" w:type="pct"/>
          </w:tcPr>
          <w:p w:rsidR="008E273C" w:rsidRPr="00442B0D" w:rsidRDefault="008E273C" w:rsidP="00442B0D">
            <w:pPr>
              <w:pStyle w:val="BodyText"/>
              <w:rPr>
                <w:b/>
              </w:rPr>
            </w:pPr>
            <w:r w:rsidRPr="00442B0D">
              <w:rPr>
                <w:rStyle w:val="Bulletcolour"/>
                <w:b/>
              </w:rPr>
              <w:t>2018–19</w:t>
            </w:r>
          </w:p>
        </w:tc>
        <w:tc>
          <w:tcPr>
            <w:tcW w:w="1013" w:type="pct"/>
          </w:tcPr>
          <w:p w:rsidR="008E273C" w:rsidRPr="00442B0D" w:rsidRDefault="008E273C" w:rsidP="00442B0D">
            <w:pPr>
              <w:pStyle w:val="BodyText"/>
              <w:rPr>
                <w:b/>
              </w:rPr>
            </w:pPr>
            <w:r w:rsidRPr="00442B0D">
              <w:rPr>
                <w:rStyle w:val="Bulletcolour"/>
                <w:b/>
              </w:rPr>
              <w:t>2019–20</w:t>
            </w:r>
          </w:p>
        </w:tc>
      </w:tr>
      <w:tr w:rsidR="008E273C" w:rsidTr="00442B0D">
        <w:trPr>
          <w:trHeight w:val="60"/>
        </w:trPr>
        <w:tc>
          <w:tcPr>
            <w:tcW w:w="1960" w:type="pct"/>
          </w:tcPr>
          <w:p w:rsidR="008E273C" w:rsidRDefault="008E273C" w:rsidP="00442B0D">
            <w:pPr>
              <w:pStyle w:val="BodyText"/>
            </w:pPr>
            <w:r>
              <w:rPr>
                <w:rStyle w:val="Bulletcolour"/>
              </w:rPr>
              <w:t>People enrolled at 30 June</w:t>
            </w:r>
          </w:p>
        </w:tc>
        <w:tc>
          <w:tcPr>
            <w:tcW w:w="1013" w:type="pct"/>
          </w:tcPr>
          <w:p w:rsidR="008E273C" w:rsidRDefault="008E273C" w:rsidP="00442B0D">
            <w:pPr>
              <w:pStyle w:val="BodyText"/>
            </w:pPr>
            <w:r>
              <w:rPr>
                <w:rStyle w:val="Bulletcolour"/>
              </w:rPr>
              <w:t>25.3 million</w:t>
            </w:r>
          </w:p>
        </w:tc>
        <w:tc>
          <w:tcPr>
            <w:tcW w:w="1013" w:type="pct"/>
          </w:tcPr>
          <w:p w:rsidR="008E273C" w:rsidRDefault="008E273C" w:rsidP="00442B0D">
            <w:pPr>
              <w:pStyle w:val="BodyText"/>
            </w:pPr>
            <w:r>
              <w:rPr>
                <w:rStyle w:val="Bulletcolour"/>
              </w:rPr>
              <w:t>25.6 million</w:t>
            </w:r>
          </w:p>
        </w:tc>
        <w:tc>
          <w:tcPr>
            <w:tcW w:w="1013" w:type="pct"/>
          </w:tcPr>
          <w:p w:rsidR="008E273C" w:rsidRDefault="008E273C" w:rsidP="00442B0D">
            <w:pPr>
              <w:pStyle w:val="BodyText"/>
            </w:pPr>
            <w:r>
              <w:rPr>
                <w:rStyle w:val="Bulletcolour"/>
              </w:rPr>
              <w:t>25.9 million</w:t>
            </w:r>
          </w:p>
        </w:tc>
      </w:tr>
      <w:tr w:rsidR="008E273C" w:rsidTr="00442B0D">
        <w:trPr>
          <w:trHeight w:val="60"/>
        </w:trPr>
        <w:tc>
          <w:tcPr>
            <w:tcW w:w="1960" w:type="pct"/>
          </w:tcPr>
          <w:p w:rsidR="008E273C" w:rsidRDefault="008E273C" w:rsidP="00442B0D">
            <w:pPr>
              <w:pStyle w:val="BodyText"/>
            </w:pPr>
            <w:r>
              <w:rPr>
                <w:rStyle w:val="Bulletcolour"/>
              </w:rPr>
              <w:t>Active cards at 30 June</w:t>
            </w:r>
          </w:p>
        </w:tc>
        <w:tc>
          <w:tcPr>
            <w:tcW w:w="1013" w:type="pct"/>
          </w:tcPr>
          <w:p w:rsidR="008E273C" w:rsidRDefault="008E273C" w:rsidP="00442B0D">
            <w:pPr>
              <w:pStyle w:val="BodyText"/>
            </w:pPr>
            <w:r>
              <w:rPr>
                <w:rStyle w:val="Bulletcolour"/>
              </w:rPr>
              <w:t>14.4 million</w:t>
            </w:r>
          </w:p>
        </w:tc>
        <w:tc>
          <w:tcPr>
            <w:tcW w:w="1013" w:type="pct"/>
          </w:tcPr>
          <w:p w:rsidR="008E273C" w:rsidRDefault="008E273C" w:rsidP="00442B0D">
            <w:pPr>
              <w:pStyle w:val="BodyText"/>
            </w:pPr>
            <w:r>
              <w:rPr>
                <w:rStyle w:val="Bulletcolour"/>
              </w:rPr>
              <w:t>14.6 million</w:t>
            </w:r>
          </w:p>
        </w:tc>
        <w:tc>
          <w:tcPr>
            <w:tcW w:w="1013" w:type="pct"/>
          </w:tcPr>
          <w:p w:rsidR="008E273C" w:rsidRDefault="008E273C" w:rsidP="00442B0D">
            <w:pPr>
              <w:pStyle w:val="BodyText"/>
            </w:pPr>
            <w:r>
              <w:rPr>
                <w:rStyle w:val="Bulletcolour"/>
              </w:rPr>
              <w:t>14.7 million</w:t>
            </w:r>
          </w:p>
        </w:tc>
      </w:tr>
      <w:tr w:rsidR="008E273C" w:rsidTr="00442B0D">
        <w:trPr>
          <w:trHeight w:val="60"/>
        </w:trPr>
        <w:tc>
          <w:tcPr>
            <w:tcW w:w="1960" w:type="pct"/>
          </w:tcPr>
          <w:p w:rsidR="008E273C" w:rsidRDefault="008E273C" w:rsidP="00442B0D">
            <w:pPr>
              <w:pStyle w:val="BodyText"/>
            </w:pPr>
            <w:r>
              <w:rPr>
                <w:rStyle w:val="Bulletcolour"/>
              </w:rPr>
              <w:t>New enrolments</w:t>
            </w:r>
          </w:p>
        </w:tc>
        <w:tc>
          <w:tcPr>
            <w:tcW w:w="1013" w:type="pct"/>
          </w:tcPr>
          <w:p w:rsidR="008E273C" w:rsidRDefault="008E273C" w:rsidP="00442B0D">
            <w:pPr>
              <w:pStyle w:val="BodyText"/>
            </w:pPr>
            <w:r>
              <w:rPr>
                <w:rStyle w:val="Bulletcolour"/>
              </w:rPr>
              <w:t>567,143</w:t>
            </w:r>
          </w:p>
        </w:tc>
        <w:tc>
          <w:tcPr>
            <w:tcW w:w="1013" w:type="pct"/>
          </w:tcPr>
          <w:p w:rsidR="008E273C" w:rsidRDefault="008E273C" w:rsidP="00442B0D">
            <w:pPr>
              <w:pStyle w:val="BodyText"/>
            </w:pPr>
            <w:r>
              <w:rPr>
                <w:rStyle w:val="Bulletcolour"/>
              </w:rPr>
              <w:t>550,906</w:t>
            </w:r>
          </w:p>
        </w:tc>
        <w:tc>
          <w:tcPr>
            <w:tcW w:w="1013" w:type="pct"/>
          </w:tcPr>
          <w:p w:rsidR="008E273C" w:rsidRDefault="008E273C" w:rsidP="00442B0D">
            <w:pPr>
              <w:pStyle w:val="BodyText"/>
            </w:pPr>
            <w:r>
              <w:rPr>
                <w:rStyle w:val="Bulletcolour"/>
              </w:rPr>
              <w:t>521,125</w:t>
            </w:r>
          </w:p>
        </w:tc>
      </w:tr>
    </w:tbl>
    <w:p w:rsidR="008E273C" w:rsidRDefault="008E273C" w:rsidP="008E273C">
      <w:pPr>
        <w:pStyle w:val="Heading3"/>
      </w:pPr>
      <w:r>
        <w:t>Medicare Entitlement Statements</w:t>
      </w:r>
    </w:p>
    <w:p w:rsidR="008E273C" w:rsidRDefault="008E273C" w:rsidP="008E273C">
      <w:pPr>
        <w:pStyle w:val="BodyText"/>
      </w:pPr>
      <w:r>
        <w:t xml:space="preserve">People who do not meet the eligibility criteria for Medicare may apply to be exempt from paying the Medicare levy. If the application is approved, the agency issues a Medicare Entitlement Statement, which entitles them to an exemption from the Australian Taxation Office. </w:t>
      </w:r>
    </w:p>
    <w:p w:rsidR="008E273C" w:rsidRPr="00442B0D" w:rsidRDefault="00442B0D" w:rsidP="00442B0D">
      <w:pPr>
        <w:pStyle w:val="BodyText"/>
        <w:rPr>
          <w:b/>
        </w:rPr>
      </w:pPr>
      <w:r w:rsidRPr="00442B0D">
        <w:rPr>
          <w:b/>
        </w:rPr>
        <w:t>Table 4:</w:t>
      </w:r>
      <w:r w:rsidR="008E273C" w:rsidRPr="00442B0D">
        <w:rPr>
          <w:b/>
        </w:rPr>
        <w:t xml:space="preserve"> Medicare Entitlement Statements</w:t>
      </w:r>
    </w:p>
    <w:tbl>
      <w:tblPr>
        <w:tblStyle w:val="TableGrid"/>
        <w:tblW w:w="5000" w:type="pct"/>
        <w:tblLook w:val="0000" w:firstRow="0" w:lastRow="0" w:firstColumn="0" w:lastColumn="0" w:noHBand="0" w:noVBand="0"/>
        <w:tblCaption w:val="Table 4: Medicare Entitlement Statements"/>
        <w:tblDescription w:val="Table 4: Medicare Entitlement Statements"/>
      </w:tblPr>
      <w:tblGrid>
        <w:gridCol w:w="4351"/>
        <w:gridCol w:w="2249"/>
        <w:gridCol w:w="2248"/>
        <w:gridCol w:w="2248"/>
      </w:tblGrid>
      <w:tr w:rsidR="008E273C" w:rsidTr="00442B0D">
        <w:trPr>
          <w:trHeight w:val="60"/>
          <w:tblHeader/>
        </w:trPr>
        <w:tc>
          <w:tcPr>
            <w:tcW w:w="1960" w:type="pct"/>
          </w:tcPr>
          <w:p w:rsidR="008E273C" w:rsidRPr="00442B0D" w:rsidRDefault="008E273C" w:rsidP="00442B0D">
            <w:pPr>
              <w:pStyle w:val="BodyText"/>
              <w:rPr>
                <w:b/>
              </w:rPr>
            </w:pPr>
          </w:p>
        </w:tc>
        <w:tc>
          <w:tcPr>
            <w:tcW w:w="1013" w:type="pct"/>
          </w:tcPr>
          <w:p w:rsidR="008E273C" w:rsidRPr="00442B0D" w:rsidRDefault="008E273C" w:rsidP="00442B0D">
            <w:pPr>
              <w:pStyle w:val="BodyText"/>
              <w:rPr>
                <w:b/>
              </w:rPr>
            </w:pPr>
            <w:r w:rsidRPr="00442B0D">
              <w:rPr>
                <w:rStyle w:val="Bulletcolour"/>
                <w:b/>
              </w:rPr>
              <w:t>2017–18</w:t>
            </w:r>
          </w:p>
        </w:tc>
        <w:tc>
          <w:tcPr>
            <w:tcW w:w="1013" w:type="pct"/>
          </w:tcPr>
          <w:p w:rsidR="008E273C" w:rsidRPr="00442B0D" w:rsidRDefault="008E273C" w:rsidP="00442B0D">
            <w:pPr>
              <w:pStyle w:val="BodyText"/>
              <w:rPr>
                <w:b/>
              </w:rPr>
            </w:pPr>
            <w:r w:rsidRPr="00442B0D">
              <w:rPr>
                <w:rStyle w:val="Bulletcolour"/>
                <w:b/>
              </w:rPr>
              <w:t>2018–19</w:t>
            </w:r>
          </w:p>
        </w:tc>
        <w:tc>
          <w:tcPr>
            <w:tcW w:w="1013" w:type="pct"/>
          </w:tcPr>
          <w:p w:rsidR="008E273C" w:rsidRPr="00442B0D" w:rsidRDefault="008E273C" w:rsidP="00442B0D">
            <w:pPr>
              <w:pStyle w:val="BodyText"/>
              <w:rPr>
                <w:b/>
              </w:rPr>
            </w:pPr>
            <w:r w:rsidRPr="00442B0D">
              <w:rPr>
                <w:rStyle w:val="Bulletcolour"/>
                <w:b/>
              </w:rPr>
              <w:t>2019–20</w:t>
            </w:r>
          </w:p>
        </w:tc>
      </w:tr>
      <w:tr w:rsidR="008E273C" w:rsidTr="00442B0D">
        <w:trPr>
          <w:trHeight w:val="60"/>
        </w:trPr>
        <w:tc>
          <w:tcPr>
            <w:tcW w:w="1960" w:type="pct"/>
          </w:tcPr>
          <w:p w:rsidR="008E273C" w:rsidRDefault="008E273C" w:rsidP="00442B0D">
            <w:pPr>
              <w:pStyle w:val="BodyText"/>
            </w:pPr>
            <w:r>
              <w:rPr>
                <w:rStyle w:val="Bulletcolour"/>
              </w:rPr>
              <w:t>Accepted applications</w:t>
            </w:r>
          </w:p>
        </w:tc>
        <w:tc>
          <w:tcPr>
            <w:tcW w:w="1013" w:type="pct"/>
          </w:tcPr>
          <w:p w:rsidR="008E273C" w:rsidRDefault="008E273C" w:rsidP="00442B0D">
            <w:pPr>
              <w:pStyle w:val="BodyText"/>
            </w:pPr>
            <w:r>
              <w:rPr>
                <w:rStyle w:val="Bulletcolour"/>
              </w:rPr>
              <w:t>109,765</w:t>
            </w:r>
          </w:p>
        </w:tc>
        <w:tc>
          <w:tcPr>
            <w:tcW w:w="1013" w:type="pct"/>
          </w:tcPr>
          <w:p w:rsidR="008E273C" w:rsidRDefault="008E273C" w:rsidP="00442B0D">
            <w:pPr>
              <w:pStyle w:val="BodyText"/>
            </w:pPr>
            <w:r>
              <w:rPr>
                <w:rStyle w:val="Bulletcolour"/>
              </w:rPr>
              <w:t>96,640</w:t>
            </w:r>
          </w:p>
        </w:tc>
        <w:tc>
          <w:tcPr>
            <w:tcW w:w="1013" w:type="pct"/>
          </w:tcPr>
          <w:p w:rsidR="008E273C" w:rsidRDefault="008E273C" w:rsidP="00442B0D">
            <w:pPr>
              <w:pStyle w:val="BodyText"/>
            </w:pPr>
            <w:r>
              <w:rPr>
                <w:rStyle w:val="Bulletcolour"/>
              </w:rPr>
              <w:t>90,412</w:t>
            </w:r>
          </w:p>
        </w:tc>
      </w:tr>
      <w:tr w:rsidR="008E273C" w:rsidTr="00442B0D">
        <w:trPr>
          <w:trHeight w:val="60"/>
        </w:trPr>
        <w:tc>
          <w:tcPr>
            <w:tcW w:w="1960" w:type="pct"/>
          </w:tcPr>
          <w:p w:rsidR="008E273C" w:rsidRDefault="008E273C" w:rsidP="00442B0D">
            <w:pPr>
              <w:pStyle w:val="BodyText"/>
            </w:pPr>
            <w:r>
              <w:rPr>
                <w:rStyle w:val="Bulletcolour"/>
              </w:rPr>
              <w:t>Rejected applications</w:t>
            </w:r>
          </w:p>
        </w:tc>
        <w:tc>
          <w:tcPr>
            <w:tcW w:w="1013" w:type="pct"/>
          </w:tcPr>
          <w:p w:rsidR="008E273C" w:rsidRDefault="008E273C" w:rsidP="00442B0D">
            <w:pPr>
              <w:pStyle w:val="BodyText"/>
            </w:pPr>
            <w:r>
              <w:rPr>
                <w:rStyle w:val="Bulletcolour"/>
              </w:rPr>
              <w:t>2,505</w:t>
            </w:r>
          </w:p>
        </w:tc>
        <w:tc>
          <w:tcPr>
            <w:tcW w:w="1013" w:type="pct"/>
          </w:tcPr>
          <w:p w:rsidR="008E273C" w:rsidRDefault="008E273C" w:rsidP="00442B0D">
            <w:pPr>
              <w:pStyle w:val="BodyText"/>
            </w:pPr>
            <w:r>
              <w:rPr>
                <w:rStyle w:val="Bulletcolour"/>
              </w:rPr>
              <w:t>3,086</w:t>
            </w:r>
          </w:p>
        </w:tc>
        <w:tc>
          <w:tcPr>
            <w:tcW w:w="1013" w:type="pct"/>
          </w:tcPr>
          <w:p w:rsidR="008E273C" w:rsidRDefault="008E273C" w:rsidP="00442B0D">
            <w:pPr>
              <w:pStyle w:val="BodyText"/>
            </w:pPr>
            <w:r>
              <w:rPr>
                <w:rStyle w:val="Bulletcolour"/>
              </w:rPr>
              <w:t>3,173</w:t>
            </w:r>
          </w:p>
        </w:tc>
      </w:tr>
      <w:tr w:rsidR="008E273C" w:rsidTr="00442B0D">
        <w:trPr>
          <w:trHeight w:val="60"/>
        </w:trPr>
        <w:tc>
          <w:tcPr>
            <w:tcW w:w="1960" w:type="pct"/>
          </w:tcPr>
          <w:p w:rsidR="008E273C" w:rsidRPr="00442B0D" w:rsidRDefault="008E273C" w:rsidP="00442B0D">
            <w:pPr>
              <w:pStyle w:val="BodyText"/>
              <w:rPr>
                <w:b/>
              </w:rPr>
            </w:pPr>
            <w:r w:rsidRPr="00442B0D">
              <w:rPr>
                <w:rStyle w:val="Bulletcolour"/>
                <w:b/>
              </w:rPr>
              <w:t>Total applications</w:t>
            </w:r>
          </w:p>
        </w:tc>
        <w:tc>
          <w:tcPr>
            <w:tcW w:w="1013" w:type="pct"/>
          </w:tcPr>
          <w:p w:rsidR="008E273C" w:rsidRPr="00442B0D" w:rsidRDefault="008E273C" w:rsidP="00442B0D">
            <w:pPr>
              <w:pStyle w:val="BodyText"/>
              <w:rPr>
                <w:b/>
              </w:rPr>
            </w:pPr>
            <w:r w:rsidRPr="00442B0D">
              <w:rPr>
                <w:rStyle w:val="Bulletcolour"/>
                <w:b/>
              </w:rPr>
              <w:t>112,270</w:t>
            </w:r>
          </w:p>
        </w:tc>
        <w:tc>
          <w:tcPr>
            <w:tcW w:w="1013" w:type="pct"/>
          </w:tcPr>
          <w:p w:rsidR="008E273C" w:rsidRPr="00442B0D" w:rsidRDefault="008E273C" w:rsidP="00442B0D">
            <w:pPr>
              <w:pStyle w:val="BodyText"/>
              <w:rPr>
                <w:b/>
              </w:rPr>
            </w:pPr>
            <w:r w:rsidRPr="00442B0D">
              <w:rPr>
                <w:rStyle w:val="Bulletcolour"/>
                <w:b/>
              </w:rPr>
              <w:t>99,726</w:t>
            </w:r>
          </w:p>
        </w:tc>
        <w:tc>
          <w:tcPr>
            <w:tcW w:w="1013" w:type="pct"/>
          </w:tcPr>
          <w:p w:rsidR="008E273C" w:rsidRPr="00442B0D" w:rsidRDefault="008E273C" w:rsidP="00442B0D">
            <w:pPr>
              <w:pStyle w:val="BodyText"/>
              <w:rPr>
                <w:b/>
              </w:rPr>
            </w:pPr>
            <w:r w:rsidRPr="00442B0D">
              <w:rPr>
                <w:rStyle w:val="Bulletcolour"/>
                <w:b/>
              </w:rPr>
              <w:t>93,585</w:t>
            </w:r>
          </w:p>
        </w:tc>
      </w:tr>
    </w:tbl>
    <w:p w:rsidR="008E273C" w:rsidRDefault="008E273C" w:rsidP="008E273C">
      <w:pPr>
        <w:pStyle w:val="Heading3"/>
      </w:pPr>
      <w:r>
        <w:t>Medicare Safety Net</w:t>
      </w:r>
    </w:p>
    <w:p w:rsidR="008E273C" w:rsidRDefault="008E273C" w:rsidP="008E273C">
      <w:pPr>
        <w:pStyle w:val="BodyText"/>
      </w:pPr>
      <w:r>
        <w:t>The Medicare Safety Net provides an additional Medicare benefit to eligible individuals, couples and families who have high out</w:t>
      </w:r>
      <w:r>
        <w:noBreakHyphen/>
        <w:t>of</w:t>
      </w:r>
      <w:r>
        <w:noBreakHyphen/>
        <w:t>hospital medical expenses. When the total out</w:t>
      </w:r>
      <w:r>
        <w:noBreakHyphen/>
        <w:t>of</w:t>
      </w:r>
      <w:r>
        <w:noBreakHyphen/>
        <w:t xml:space="preserve">pocket costs a customer pays reaches a certain threshold, the customer can receive higher Medicare benefits for the rest of the calendar year. </w:t>
      </w:r>
    </w:p>
    <w:p w:rsidR="008E273C" w:rsidRDefault="008E273C" w:rsidP="00E42522">
      <w:pPr>
        <w:pStyle w:val="BodyText"/>
      </w:pPr>
      <w:r>
        <w:t>There are two Medicare Safety Nets:</w:t>
      </w:r>
    </w:p>
    <w:p w:rsidR="008E273C" w:rsidRDefault="008E273C" w:rsidP="00E42522">
      <w:pPr>
        <w:pStyle w:val="ListBullet"/>
      </w:pPr>
      <w:r>
        <w:t xml:space="preserve">The </w:t>
      </w:r>
      <w:r>
        <w:rPr>
          <w:rFonts w:ascii="Roboto-Bold" w:hAnsi="Roboto-Bold" w:cs="Roboto-Bold"/>
          <w:b/>
          <w:bCs/>
        </w:rPr>
        <w:t>Original Medicare Safety Net</w:t>
      </w:r>
      <w:r>
        <w:t xml:space="preserve"> threshold for the 2020 calendar year is $477.90 and applies to all Medicare cardholders. </w:t>
      </w:r>
    </w:p>
    <w:p w:rsidR="008E273C" w:rsidRDefault="008E273C" w:rsidP="00E42522">
      <w:pPr>
        <w:pStyle w:val="ListBullet"/>
      </w:pPr>
      <w:r>
        <w:t xml:space="preserve">The </w:t>
      </w:r>
      <w:r>
        <w:rPr>
          <w:rFonts w:ascii="Roboto-Bold" w:hAnsi="Roboto-Bold" w:cs="Roboto-Bold"/>
          <w:b/>
          <w:bCs/>
        </w:rPr>
        <w:t>Extended Medicare Safety Net</w:t>
      </w:r>
      <w:r>
        <w:t xml:space="preserve"> has two threshold levels for the 20</w:t>
      </w:r>
      <w:r>
        <w:rPr>
          <w:rStyle w:val="NoBreak"/>
        </w:rPr>
        <w:t>20 calen</w:t>
      </w:r>
      <w:r>
        <w:t>dar year:</w:t>
      </w:r>
    </w:p>
    <w:p w:rsidR="008E273C" w:rsidRDefault="008E273C" w:rsidP="00F43665">
      <w:pPr>
        <w:pStyle w:val="ListBullet2"/>
      </w:pPr>
      <w:r>
        <w:t>$692.20 for Commonwealth concession cardholders and families eligible for Family Tax Benefit Part A</w:t>
      </w:r>
    </w:p>
    <w:p w:rsidR="008E273C" w:rsidRDefault="008E273C" w:rsidP="00F43665">
      <w:pPr>
        <w:pStyle w:val="ListBullet2"/>
      </w:pPr>
      <w:proofErr w:type="gramStart"/>
      <w:r>
        <w:lastRenderedPageBreak/>
        <w:t>a</w:t>
      </w:r>
      <w:proofErr w:type="gramEnd"/>
      <w:r>
        <w:t xml:space="preserve"> general threshold of $2,169.20 for all other Medicare cardholders (individuals and registered families).</w:t>
      </w:r>
    </w:p>
    <w:p w:rsidR="008E273C" w:rsidRDefault="008E273C" w:rsidP="008E273C">
      <w:pPr>
        <w:pStyle w:val="Heading3"/>
      </w:pPr>
      <w:r>
        <w:t xml:space="preserve">Access to Medicare benefits </w:t>
      </w:r>
    </w:p>
    <w:p w:rsidR="008E273C" w:rsidRDefault="008E273C" w:rsidP="008E273C">
      <w:pPr>
        <w:pStyle w:val="BodyText"/>
      </w:pPr>
      <w:r>
        <w:t xml:space="preserve">In 2019–20 the agency implemented changes to 6,844 Medicare Benefits Schedule (MBS) items to support Australians’ access to essential Medicare subsidised health services. The changes included responses to emergency events so Australians could continue to have access to the health services they needed. (See </w:t>
      </w:r>
      <w:r>
        <w:rPr>
          <w:rFonts w:ascii="Roboto-Italic" w:hAnsi="Roboto-Italic" w:cs="Roboto-Italic"/>
          <w:i/>
          <w:iCs/>
        </w:rPr>
        <w:t xml:space="preserve">Responses to emergencies </w:t>
      </w:r>
      <w:r>
        <w:t xml:space="preserve">on page 49 and </w:t>
      </w:r>
      <w:r>
        <w:rPr>
          <w:rFonts w:ascii="Roboto-Italic" w:hAnsi="Roboto-Italic" w:cs="Roboto-Italic"/>
          <w:i/>
          <w:iCs/>
        </w:rPr>
        <w:t>COVID-19 pandemic</w:t>
      </w:r>
      <w:r>
        <w:t xml:space="preserve"> on page xv.)</w:t>
      </w:r>
    </w:p>
    <w:p w:rsidR="008E273C" w:rsidRDefault="008E273C" w:rsidP="008E273C">
      <w:pPr>
        <w:pStyle w:val="Heading3"/>
      </w:pPr>
      <w:r>
        <w:t>Medicare claiming</w:t>
      </w:r>
    </w:p>
    <w:p w:rsidR="008E273C" w:rsidRDefault="008E273C" w:rsidP="008E273C">
      <w:pPr>
        <w:pStyle w:val="BodyText"/>
      </w:pPr>
      <w:r>
        <w:t>Health professionals can ‘bulk bill’ their patients. This means that the patient agrees to have their Medicare benefit paid directly to the health professional.</w:t>
      </w:r>
    </w:p>
    <w:p w:rsidR="008E273C" w:rsidRDefault="008E273C" w:rsidP="008E273C">
      <w:pPr>
        <w:pStyle w:val="BodyText"/>
      </w:pPr>
      <w:r>
        <w:t>The health professional, or the patient (if they pay their account), can claim the Medicare benefit directly from Services Australia as full payment for the service. Where a patient has received in</w:t>
      </w:r>
      <w:r>
        <w:noBreakHyphen/>
        <w:t xml:space="preserve">hospital services, Medicare claims can be made through simplified billing arrangements. </w:t>
      </w:r>
    </w:p>
    <w:p w:rsidR="008E273C" w:rsidRPr="00F43665" w:rsidRDefault="00F43665" w:rsidP="00F43665">
      <w:pPr>
        <w:pStyle w:val="BodyText"/>
        <w:rPr>
          <w:b/>
        </w:rPr>
      </w:pPr>
      <w:r w:rsidRPr="00F43665">
        <w:rPr>
          <w:b/>
        </w:rPr>
        <w:t>Table 5:</w:t>
      </w:r>
      <w:r w:rsidR="008E273C" w:rsidRPr="00F43665">
        <w:rPr>
          <w:b/>
        </w:rPr>
        <w:t xml:space="preserve"> Medicare services and benefits by claim type</w:t>
      </w:r>
    </w:p>
    <w:tbl>
      <w:tblPr>
        <w:tblStyle w:val="TableGrid"/>
        <w:tblW w:w="5000" w:type="pct"/>
        <w:tblLook w:val="0000" w:firstRow="0" w:lastRow="0" w:firstColumn="0" w:lastColumn="0" w:noHBand="0" w:noVBand="0"/>
        <w:tblCaption w:val="Table 5: Medicare services and benefits by claim type"/>
        <w:tblDescription w:val="Table 5: Medicare services and benefits by claim type"/>
      </w:tblPr>
      <w:tblGrid>
        <w:gridCol w:w="4351"/>
        <w:gridCol w:w="2249"/>
        <w:gridCol w:w="2248"/>
        <w:gridCol w:w="2248"/>
      </w:tblGrid>
      <w:tr w:rsidR="008E273C" w:rsidTr="00F43665">
        <w:trPr>
          <w:trHeight w:val="60"/>
          <w:tblHeader/>
        </w:trPr>
        <w:tc>
          <w:tcPr>
            <w:tcW w:w="1960" w:type="pct"/>
          </w:tcPr>
          <w:p w:rsidR="008E273C" w:rsidRPr="00F43665" w:rsidRDefault="008E273C" w:rsidP="00F43665">
            <w:pPr>
              <w:pStyle w:val="BodyText"/>
              <w:rPr>
                <w:b/>
              </w:rPr>
            </w:pPr>
          </w:p>
        </w:tc>
        <w:tc>
          <w:tcPr>
            <w:tcW w:w="1013" w:type="pct"/>
          </w:tcPr>
          <w:p w:rsidR="008E273C" w:rsidRPr="00F43665" w:rsidRDefault="008E273C" w:rsidP="00F43665">
            <w:pPr>
              <w:pStyle w:val="BodyText"/>
              <w:rPr>
                <w:b/>
              </w:rPr>
            </w:pPr>
            <w:r w:rsidRPr="00F43665">
              <w:rPr>
                <w:rStyle w:val="Bulletcolour"/>
                <w:b/>
              </w:rPr>
              <w:t>2017–18</w:t>
            </w:r>
          </w:p>
        </w:tc>
        <w:tc>
          <w:tcPr>
            <w:tcW w:w="1013" w:type="pct"/>
          </w:tcPr>
          <w:p w:rsidR="008E273C" w:rsidRPr="00F43665" w:rsidRDefault="008E273C" w:rsidP="00F43665">
            <w:pPr>
              <w:pStyle w:val="BodyText"/>
              <w:rPr>
                <w:b/>
              </w:rPr>
            </w:pPr>
            <w:r w:rsidRPr="00F43665">
              <w:rPr>
                <w:rStyle w:val="Bulletcolour"/>
                <w:b/>
              </w:rPr>
              <w:t>2018–19</w:t>
            </w:r>
          </w:p>
        </w:tc>
        <w:tc>
          <w:tcPr>
            <w:tcW w:w="1013" w:type="pct"/>
          </w:tcPr>
          <w:p w:rsidR="008E273C" w:rsidRPr="00F43665" w:rsidRDefault="008E273C" w:rsidP="00F43665">
            <w:pPr>
              <w:pStyle w:val="BodyText"/>
              <w:rPr>
                <w:b/>
              </w:rPr>
            </w:pPr>
            <w:r w:rsidRPr="00F43665">
              <w:rPr>
                <w:rStyle w:val="Bulletcolour"/>
                <w:b/>
              </w:rPr>
              <w:t>2019–20</w:t>
            </w:r>
          </w:p>
        </w:tc>
      </w:tr>
      <w:tr w:rsidR="008E273C" w:rsidTr="00F43665">
        <w:trPr>
          <w:trHeight w:val="60"/>
        </w:trPr>
        <w:tc>
          <w:tcPr>
            <w:tcW w:w="1960" w:type="pct"/>
          </w:tcPr>
          <w:p w:rsidR="008E273C" w:rsidRDefault="008E273C" w:rsidP="00F43665">
            <w:pPr>
              <w:pStyle w:val="BodyText"/>
            </w:pPr>
            <w:r>
              <w:rPr>
                <w:rStyle w:val="Bulletcolour"/>
              </w:rPr>
              <w:t>Bulk billing</w:t>
            </w:r>
          </w:p>
        </w:tc>
        <w:tc>
          <w:tcPr>
            <w:tcW w:w="1013" w:type="pct"/>
          </w:tcPr>
          <w:p w:rsidR="008E273C" w:rsidRDefault="008E273C" w:rsidP="00F43665">
            <w:pPr>
              <w:pStyle w:val="BodyText"/>
            </w:pPr>
            <w:r>
              <w:rPr>
                <w:rStyle w:val="Bulletcolour"/>
              </w:rPr>
              <w:t>332.3 million</w:t>
            </w:r>
          </w:p>
        </w:tc>
        <w:tc>
          <w:tcPr>
            <w:tcW w:w="1013" w:type="pct"/>
          </w:tcPr>
          <w:p w:rsidR="008E273C" w:rsidRDefault="008E273C" w:rsidP="00F43665">
            <w:pPr>
              <w:pStyle w:val="BodyText"/>
            </w:pPr>
            <w:r>
              <w:rPr>
                <w:rStyle w:val="Bulletcolour"/>
              </w:rPr>
              <w:t>341.0 million</w:t>
            </w:r>
          </w:p>
        </w:tc>
        <w:tc>
          <w:tcPr>
            <w:tcW w:w="1013" w:type="pct"/>
          </w:tcPr>
          <w:p w:rsidR="008E273C" w:rsidRDefault="008E273C" w:rsidP="00F43665">
            <w:pPr>
              <w:pStyle w:val="BodyText"/>
            </w:pPr>
            <w:r>
              <w:rPr>
                <w:rStyle w:val="Bulletcolour"/>
              </w:rPr>
              <w:t>347.7 million</w:t>
            </w:r>
          </w:p>
        </w:tc>
      </w:tr>
      <w:tr w:rsidR="008E273C" w:rsidTr="00F43665">
        <w:trPr>
          <w:trHeight w:val="60"/>
        </w:trPr>
        <w:tc>
          <w:tcPr>
            <w:tcW w:w="1960" w:type="pct"/>
          </w:tcPr>
          <w:p w:rsidR="008E273C" w:rsidRDefault="008E273C" w:rsidP="00F43665">
            <w:pPr>
              <w:pStyle w:val="BodyText"/>
            </w:pPr>
            <w:r>
              <w:rPr>
                <w:rStyle w:val="Bulletcolour"/>
              </w:rPr>
              <w:t>Patient claiming</w:t>
            </w:r>
          </w:p>
        </w:tc>
        <w:tc>
          <w:tcPr>
            <w:tcW w:w="1013" w:type="pct"/>
          </w:tcPr>
          <w:p w:rsidR="008E273C" w:rsidRDefault="008E273C" w:rsidP="00F43665">
            <w:pPr>
              <w:pStyle w:val="BodyText"/>
            </w:pPr>
            <w:r>
              <w:rPr>
                <w:rStyle w:val="Bulletcolour"/>
              </w:rPr>
              <w:t>53.5 million</w:t>
            </w:r>
          </w:p>
        </w:tc>
        <w:tc>
          <w:tcPr>
            <w:tcW w:w="1013" w:type="pct"/>
          </w:tcPr>
          <w:p w:rsidR="008E273C" w:rsidRDefault="008E273C" w:rsidP="00F43665">
            <w:pPr>
              <w:pStyle w:val="BodyText"/>
            </w:pPr>
            <w:r>
              <w:rPr>
                <w:rStyle w:val="Bulletcolour"/>
              </w:rPr>
              <w:t>54.0 million</w:t>
            </w:r>
          </w:p>
        </w:tc>
        <w:tc>
          <w:tcPr>
            <w:tcW w:w="1013" w:type="pct"/>
          </w:tcPr>
          <w:p w:rsidR="008E273C" w:rsidRDefault="008E273C" w:rsidP="00F43665">
            <w:pPr>
              <w:pStyle w:val="BodyText"/>
            </w:pPr>
            <w:r>
              <w:rPr>
                <w:rStyle w:val="Bulletcolour"/>
              </w:rPr>
              <w:t>51.3 million</w:t>
            </w:r>
          </w:p>
        </w:tc>
      </w:tr>
      <w:tr w:rsidR="008E273C" w:rsidTr="00F43665">
        <w:trPr>
          <w:trHeight w:val="60"/>
        </w:trPr>
        <w:tc>
          <w:tcPr>
            <w:tcW w:w="1960" w:type="pct"/>
          </w:tcPr>
          <w:p w:rsidR="008E273C" w:rsidRDefault="008E273C" w:rsidP="00F43665">
            <w:pPr>
              <w:pStyle w:val="BodyText"/>
            </w:pPr>
            <w:r>
              <w:rPr>
                <w:rStyle w:val="Bulletcolour"/>
              </w:rPr>
              <w:t>Simplified billing</w:t>
            </w:r>
          </w:p>
        </w:tc>
        <w:tc>
          <w:tcPr>
            <w:tcW w:w="1013" w:type="pct"/>
          </w:tcPr>
          <w:p w:rsidR="008E273C" w:rsidRDefault="008E273C" w:rsidP="00F43665">
            <w:pPr>
              <w:pStyle w:val="BodyText"/>
            </w:pPr>
            <w:r>
              <w:rPr>
                <w:rStyle w:val="Bulletcolour"/>
              </w:rPr>
              <w:t>34.0 million</w:t>
            </w:r>
          </w:p>
        </w:tc>
        <w:tc>
          <w:tcPr>
            <w:tcW w:w="1013" w:type="pct"/>
          </w:tcPr>
          <w:p w:rsidR="008E273C" w:rsidRDefault="008E273C" w:rsidP="00F43665">
            <w:pPr>
              <w:pStyle w:val="BodyText"/>
            </w:pPr>
            <w:r>
              <w:rPr>
                <w:rStyle w:val="Bulletcolour"/>
              </w:rPr>
              <w:t>34.5 million</w:t>
            </w:r>
          </w:p>
        </w:tc>
        <w:tc>
          <w:tcPr>
            <w:tcW w:w="1013" w:type="pct"/>
          </w:tcPr>
          <w:p w:rsidR="008E273C" w:rsidRDefault="008E273C" w:rsidP="00F43665">
            <w:pPr>
              <w:pStyle w:val="BodyText"/>
            </w:pPr>
            <w:r>
              <w:rPr>
                <w:rStyle w:val="Bulletcolour"/>
              </w:rPr>
              <w:t>34.1 million</w:t>
            </w:r>
          </w:p>
        </w:tc>
      </w:tr>
      <w:tr w:rsidR="008E273C" w:rsidTr="00F43665">
        <w:trPr>
          <w:trHeight w:val="60"/>
        </w:trPr>
        <w:tc>
          <w:tcPr>
            <w:tcW w:w="1960" w:type="pct"/>
          </w:tcPr>
          <w:p w:rsidR="008E273C" w:rsidRPr="00F43665" w:rsidRDefault="008E273C" w:rsidP="00F43665">
            <w:pPr>
              <w:pStyle w:val="BodyText"/>
              <w:rPr>
                <w:b/>
              </w:rPr>
            </w:pPr>
            <w:r w:rsidRPr="00F43665">
              <w:rPr>
                <w:rStyle w:val="Bulletcolour"/>
                <w:b/>
              </w:rPr>
              <w:t>Total services processed</w:t>
            </w:r>
            <w:r w:rsidRPr="00F43665">
              <w:rPr>
                <w:rStyle w:val="Bulletcolour"/>
                <w:b/>
                <w:vertAlign w:val="superscript"/>
              </w:rPr>
              <w:t>(a)</w:t>
            </w:r>
          </w:p>
        </w:tc>
        <w:tc>
          <w:tcPr>
            <w:tcW w:w="1013" w:type="pct"/>
          </w:tcPr>
          <w:p w:rsidR="008E273C" w:rsidRPr="00F43665" w:rsidRDefault="008E273C" w:rsidP="00F43665">
            <w:pPr>
              <w:pStyle w:val="BodyText"/>
              <w:rPr>
                <w:b/>
              </w:rPr>
            </w:pPr>
            <w:r w:rsidRPr="00F43665">
              <w:rPr>
                <w:rStyle w:val="Bulletcolour"/>
                <w:b/>
              </w:rPr>
              <w:t>419.9 million</w:t>
            </w:r>
          </w:p>
        </w:tc>
        <w:tc>
          <w:tcPr>
            <w:tcW w:w="1013" w:type="pct"/>
          </w:tcPr>
          <w:p w:rsidR="008E273C" w:rsidRPr="00F43665" w:rsidRDefault="008E273C" w:rsidP="00F43665">
            <w:pPr>
              <w:pStyle w:val="BodyText"/>
              <w:rPr>
                <w:b/>
              </w:rPr>
            </w:pPr>
            <w:r w:rsidRPr="00F43665">
              <w:rPr>
                <w:rStyle w:val="Bulletcolour"/>
                <w:b/>
              </w:rPr>
              <w:t>429.6 million</w:t>
            </w:r>
          </w:p>
        </w:tc>
        <w:tc>
          <w:tcPr>
            <w:tcW w:w="1013" w:type="pct"/>
          </w:tcPr>
          <w:p w:rsidR="008E273C" w:rsidRPr="00F43665" w:rsidRDefault="008E273C" w:rsidP="00F43665">
            <w:pPr>
              <w:pStyle w:val="BodyText"/>
              <w:rPr>
                <w:b/>
              </w:rPr>
            </w:pPr>
            <w:r w:rsidRPr="00F43665">
              <w:rPr>
                <w:rStyle w:val="Bulletcolour"/>
                <w:b/>
              </w:rPr>
              <w:t>433.1 million</w:t>
            </w:r>
          </w:p>
        </w:tc>
      </w:tr>
      <w:tr w:rsidR="008E273C" w:rsidTr="00F43665">
        <w:trPr>
          <w:trHeight w:val="60"/>
        </w:trPr>
        <w:tc>
          <w:tcPr>
            <w:tcW w:w="1960" w:type="pct"/>
          </w:tcPr>
          <w:p w:rsidR="008E273C" w:rsidRDefault="008E273C" w:rsidP="00F43665">
            <w:pPr>
              <w:pStyle w:val="BodyText"/>
            </w:pPr>
            <w:r>
              <w:rPr>
                <w:rStyle w:val="Bulletcolour"/>
              </w:rPr>
              <w:t>Bulk billing</w:t>
            </w:r>
          </w:p>
        </w:tc>
        <w:tc>
          <w:tcPr>
            <w:tcW w:w="1013" w:type="pct"/>
          </w:tcPr>
          <w:p w:rsidR="008E273C" w:rsidRDefault="008E273C" w:rsidP="00F43665">
            <w:pPr>
              <w:pStyle w:val="BodyText"/>
            </w:pPr>
            <w:r>
              <w:rPr>
                <w:rStyle w:val="Bulletcolour"/>
              </w:rPr>
              <w:t>$16.5 billion</w:t>
            </w:r>
          </w:p>
        </w:tc>
        <w:tc>
          <w:tcPr>
            <w:tcW w:w="1013" w:type="pct"/>
          </w:tcPr>
          <w:p w:rsidR="008E273C" w:rsidRDefault="008E273C" w:rsidP="00F43665">
            <w:pPr>
              <w:pStyle w:val="BodyText"/>
            </w:pPr>
            <w:r>
              <w:rPr>
                <w:rStyle w:val="Bulletcolour"/>
              </w:rPr>
              <w:t>$17.1 billion</w:t>
            </w:r>
          </w:p>
        </w:tc>
        <w:tc>
          <w:tcPr>
            <w:tcW w:w="1013" w:type="pct"/>
          </w:tcPr>
          <w:p w:rsidR="008E273C" w:rsidRDefault="008E273C" w:rsidP="00F43665">
            <w:pPr>
              <w:pStyle w:val="BodyText"/>
            </w:pPr>
            <w:r>
              <w:rPr>
                <w:rStyle w:val="Bulletcolour"/>
              </w:rPr>
              <w:t>$17.9 billion</w:t>
            </w:r>
          </w:p>
        </w:tc>
      </w:tr>
      <w:tr w:rsidR="008E273C" w:rsidTr="00F43665">
        <w:trPr>
          <w:trHeight w:val="60"/>
        </w:trPr>
        <w:tc>
          <w:tcPr>
            <w:tcW w:w="1960" w:type="pct"/>
          </w:tcPr>
          <w:p w:rsidR="008E273C" w:rsidRDefault="008E273C" w:rsidP="00F43665">
            <w:pPr>
              <w:pStyle w:val="BodyText"/>
            </w:pPr>
            <w:r>
              <w:rPr>
                <w:rStyle w:val="Bulletcolour"/>
              </w:rPr>
              <w:t>Patient claiming</w:t>
            </w:r>
          </w:p>
        </w:tc>
        <w:tc>
          <w:tcPr>
            <w:tcW w:w="1013" w:type="pct"/>
          </w:tcPr>
          <w:p w:rsidR="008E273C" w:rsidRDefault="008E273C" w:rsidP="00F43665">
            <w:pPr>
              <w:pStyle w:val="BodyText"/>
            </w:pPr>
            <w:r>
              <w:rPr>
                <w:rStyle w:val="Bulletcolour"/>
              </w:rPr>
              <w:t>$4.4 billion</w:t>
            </w:r>
          </w:p>
        </w:tc>
        <w:tc>
          <w:tcPr>
            <w:tcW w:w="1013" w:type="pct"/>
          </w:tcPr>
          <w:p w:rsidR="008E273C" w:rsidRDefault="008E273C" w:rsidP="00F43665">
            <w:pPr>
              <w:pStyle w:val="BodyText"/>
            </w:pPr>
            <w:r>
              <w:rPr>
                <w:rStyle w:val="Bulletcolour"/>
              </w:rPr>
              <w:t>$4.5 billion</w:t>
            </w:r>
          </w:p>
        </w:tc>
        <w:tc>
          <w:tcPr>
            <w:tcW w:w="1013" w:type="pct"/>
          </w:tcPr>
          <w:p w:rsidR="008E273C" w:rsidRDefault="008E273C" w:rsidP="00F43665">
            <w:pPr>
              <w:pStyle w:val="BodyText"/>
            </w:pPr>
            <w:r>
              <w:rPr>
                <w:rStyle w:val="Bulletcolour"/>
              </w:rPr>
              <w:t>$4.4 billion</w:t>
            </w:r>
          </w:p>
        </w:tc>
      </w:tr>
      <w:tr w:rsidR="008E273C" w:rsidTr="00F43665">
        <w:trPr>
          <w:trHeight w:val="60"/>
        </w:trPr>
        <w:tc>
          <w:tcPr>
            <w:tcW w:w="1960" w:type="pct"/>
          </w:tcPr>
          <w:p w:rsidR="008E273C" w:rsidRDefault="008E273C" w:rsidP="00F43665">
            <w:pPr>
              <w:pStyle w:val="BodyText"/>
            </w:pPr>
            <w:r>
              <w:rPr>
                <w:rStyle w:val="Bulletcolour"/>
              </w:rPr>
              <w:t>Simplified billing</w:t>
            </w:r>
          </w:p>
        </w:tc>
        <w:tc>
          <w:tcPr>
            <w:tcW w:w="1013" w:type="pct"/>
          </w:tcPr>
          <w:p w:rsidR="008E273C" w:rsidRDefault="008E273C" w:rsidP="00F43665">
            <w:pPr>
              <w:pStyle w:val="BodyText"/>
            </w:pPr>
            <w:r>
              <w:rPr>
                <w:rStyle w:val="Bulletcolour"/>
              </w:rPr>
              <w:t>$2.6 billion</w:t>
            </w:r>
          </w:p>
        </w:tc>
        <w:tc>
          <w:tcPr>
            <w:tcW w:w="1013" w:type="pct"/>
          </w:tcPr>
          <w:p w:rsidR="008E273C" w:rsidRDefault="008E273C" w:rsidP="00F43665">
            <w:pPr>
              <w:pStyle w:val="BodyText"/>
            </w:pPr>
            <w:r>
              <w:rPr>
                <w:rStyle w:val="Bulletcolour"/>
              </w:rPr>
              <w:t>$2.7 billion</w:t>
            </w:r>
          </w:p>
        </w:tc>
        <w:tc>
          <w:tcPr>
            <w:tcW w:w="1013" w:type="pct"/>
          </w:tcPr>
          <w:p w:rsidR="008E273C" w:rsidRDefault="008E273C" w:rsidP="00F43665">
            <w:pPr>
              <w:pStyle w:val="BodyText"/>
            </w:pPr>
            <w:r>
              <w:rPr>
                <w:rStyle w:val="Bulletcolour"/>
              </w:rPr>
              <w:t>$2.7 billion</w:t>
            </w:r>
          </w:p>
        </w:tc>
      </w:tr>
      <w:tr w:rsidR="008E273C" w:rsidTr="00F43665">
        <w:trPr>
          <w:trHeight w:val="60"/>
        </w:trPr>
        <w:tc>
          <w:tcPr>
            <w:tcW w:w="1960" w:type="pct"/>
          </w:tcPr>
          <w:p w:rsidR="008E273C" w:rsidRPr="00F43665" w:rsidRDefault="008E273C" w:rsidP="00F43665">
            <w:pPr>
              <w:pStyle w:val="BodyText"/>
              <w:rPr>
                <w:b/>
              </w:rPr>
            </w:pPr>
            <w:r w:rsidRPr="00F43665">
              <w:rPr>
                <w:rStyle w:val="Bulletcolour"/>
                <w:b/>
              </w:rPr>
              <w:t>Total benefits paid</w:t>
            </w:r>
            <w:r w:rsidRPr="00F43665">
              <w:rPr>
                <w:rStyle w:val="Bulletcolour"/>
                <w:b/>
                <w:vertAlign w:val="superscript"/>
              </w:rPr>
              <w:t>(a)</w:t>
            </w:r>
          </w:p>
        </w:tc>
        <w:tc>
          <w:tcPr>
            <w:tcW w:w="1013" w:type="pct"/>
          </w:tcPr>
          <w:p w:rsidR="008E273C" w:rsidRPr="00F43665" w:rsidRDefault="008E273C" w:rsidP="00F43665">
            <w:pPr>
              <w:pStyle w:val="BodyText"/>
              <w:rPr>
                <w:b/>
              </w:rPr>
            </w:pPr>
            <w:r w:rsidRPr="00F43665">
              <w:rPr>
                <w:rStyle w:val="Bulletcolour"/>
                <w:b/>
              </w:rPr>
              <w:t>$23.5 billion</w:t>
            </w:r>
          </w:p>
        </w:tc>
        <w:tc>
          <w:tcPr>
            <w:tcW w:w="1013" w:type="pct"/>
          </w:tcPr>
          <w:p w:rsidR="008E273C" w:rsidRPr="00F43665" w:rsidRDefault="008E273C" w:rsidP="00F43665">
            <w:pPr>
              <w:pStyle w:val="BodyText"/>
              <w:rPr>
                <w:b/>
              </w:rPr>
            </w:pPr>
            <w:r w:rsidRPr="00F43665">
              <w:rPr>
                <w:rStyle w:val="Bulletcolour"/>
                <w:b/>
              </w:rPr>
              <w:t>$24.4 billion</w:t>
            </w:r>
          </w:p>
        </w:tc>
        <w:tc>
          <w:tcPr>
            <w:tcW w:w="1013" w:type="pct"/>
          </w:tcPr>
          <w:p w:rsidR="008E273C" w:rsidRPr="00F43665" w:rsidRDefault="008E273C" w:rsidP="00F43665">
            <w:pPr>
              <w:pStyle w:val="BodyText"/>
              <w:rPr>
                <w:b/>
              </w:rPr>
            </w:pPr>
            <w:r w:rsidRPr="00F43665">
              <w:rPr>
                <w:rStyle w:val="Bulletcolour"/>
                <w:b/>
              </w:rPr>
              <w:t>$25.0 billion</w:t>
            </w:r>
          </w:p>
        </w:tc>
      </w:tr>
      <w:tr w:rsidR="008E273C" w:rsidTr="00F43665">
        <w:trPr>
          <w:trHeight w:val="60"/>
        </w:trPr>
        <w:tc>
          <w:tcPr>
            <w:tcW w:w="1960" w:type="pct"/>
          </w:tcPr>
          <w:p w:rsidR="008E273C" w:rsidRDefault="008E273C" w:rsidP="00F43665">
            <w:pPr>
              <w:pStyle w:val="BodyText"/>
            </w:pPr>
            <w:r>
              <w:rPr>
                <w:rStyle w:val="Bulletcolour"/>
              </w:rPr>
              <w:t>Average benefit per service</w:t>
            </w:r>
          </w:p>
        </w:tc>
        <w:tc>
          <w:tcPr>
            <w:tcW w:w="1013" w:type="pct"/>
          </w:tcPr>
          <w:p w:rsidR="008E273C" w:rsidRDefault="008E273C" w:rsidP="00F43665">
            <w:pPr>
              <w:pStyle w:val="BodyText"/>
            </w:pPr>
            <w:r>
              <w:rPr>
                <w:rStyle w:val="Bulletcolour"/>
              </w:rPr>
              <w:t>$56.04</w:t>
            </w:r>
          </w:p>
        </w:tc>
        <w:tc>
          <w:tcPr>
            <w:tcW w:w="1013" w:type="pct"/>
          </w:tcPr>
          <w:p w:rsidR="008E273C" w:rsidRDefault="008E273C" w:rsidP="00F43665">
            <w:pPr>
              <w:pStyle w:val="BodyText"/>
            </w:pPr>
            <w:r>
              <w:rPr>
                <w:rStyle w:val="Bulletcolour"/>
              </w:rPr>
              <w:t>$56.78</w:t>
            </w:r>
          </w:p>
        </w:tc>
        <w:tc>
          <w:tcPr>
            <w:tcW w:w="1013" w:type="pct"/>
          </w:tcPr>
          <w:p w:rsidR="008E273C" w:rsidRDefault="008E273C" w:rsidP="00F43665">
            <w:pPr>
              <w:pStyle w:val="BodyText"/>
            </w:pPr>
            <w:r>
              <w:rPr>
                <w:rStyle w:val="Bulletcolour"/>
              </w:rPr>
              <w:t>$57.67</w:t>
            </w:r>
          </w:p>
        </w:tc>
      </w:tr>
      <w:tr w:rsidR="008E273C" w:rsidTr="00F43665">
        <w:trPr>
          <w:trHeight w:val="60"/>
        </w:trPr>
        <w:tc>
          <w:tcPr>
            <w:tcW w:w="1960" w:type="pct"/>
          </w:tcPr>
          <w:p w:rsidR="008E273C" w:rsidRDefault="008E273C" w:rsidP="00F43665">
            <w:pPr>
              <w:pStyle w:val="BodyText"/>
            </w:pPr>
            <w:r>
              <w:rPr>
                <w:rStyle w:val="Bulletcolour"/>
              </w:rPr>
              <w:t>Average period (date of lodgement to processing)</w:t>
            </w:r>
          </w:p>
        </w:tc>
        <w:tc>
          <w:tcPr>
            <w:tcW w:w="1013" w:type="pct"/>
          </w:tcPr>
          <w:p w:rsidR="008E273C" w:rsidRDefault="008E273C" w:rsidP="00F43665">
            <w:pPr>
              <w:pStyle w:val="BodyText"/>
            </w:pPr>
            <w:r>
              <w:rPr>
                <w:rStyle w:val="Bulletcolour"/>
              </w:rPr>
              <w:t>2.3 days</w:t>
            </w:r>
          </w:p>
        </w:tc>
        <w:tc>
          <w:tcPr>
            <w:tcW w:w="1013" w:type="pct"/>
          </w:tcPr>
          <w:p w:rsidR="008E273C" w:rsidRDefault="008E273C" w:rsidP="00F43665">
            <w:pPr>
              <w:pStyle w:val="BodyText"/>
            </w:pPr>
            <w:r>
              <w:rPr>
                <w:rStyle w:val="Bulletcolour"/>
              </w:rPr>
              <w:t>0.88 days</w:t>
            </w:r>
          </w:p>
        </w:tc>
        <w:tc>
          <w:tcPr>
            <w:tcW w:w="1013" w:type="pct"/>
          </w:tcPr>
          <w:p w:rsidR="008E273C" w:rsidRDefault="008E273C" w:rsidP="00F43665">
            <w:pPr>
              <w:pStyle w:val="BodyText"/>
            </w:pPr>
            <w:r>
              <w:rPr>
                <w:rStyle w:val="Bulletcolour"/>
              </w:rPr>
              <w:t>0.81 days</w:t>
            </w:r>
          </w:p>
        </w:tc>
      </w:tr>
    </w:tbl>
    <w:p w:rsidR="008E273C" w:rsidRDefault="008E273C" w:rsidP="00F43665">
      <w:pPr>
        <w:pStyle w:val="BodyText"/>
      </w:pPr>
      <w:r>
        <w:t>(a) Totals take account of rounding.</w:t>
      </w:r>
    </w:p>
    <w:p w:rsidR="008E273C" w:rsidRPr="00F43665" w:rsidRDefault="00F43665" w:rsidP="00F43665">
      <w:pPr>
        <w:pStyle w:val="BodyText"/>
        <w:rPr>
          <w:b/>
        </w:rPr>
      </w:pPr>
      <w:r w:rsidRPr="00F43665">
        <w:rPr>
          <w:b/>
        </w:rPr>
        <w:t>Table 6:</w:t>
      </w:r>
      <w:r w:rsidR="008E273C" w:rsidRPr="00F43665">
        <w:rPr>
          <w:b/>
        </w:rPr>
        <w:t xml:space="preserve"> Medicare services by payment type</w:t>
      </w:r>
    </w:p>
    <w:tbl>
      <w:tblPr>
        <w:tblStyle w:val="TableGrid"/>
        <w:tblW w:w="5000" w:type="pct"/>
        <w:tblLook w:val="0000" w:firstRow="0" w:lastRow="0" w:firstColumn="0" w:lastColumn="0" w:noHBand="0" w:noVBand="0"/>
        <w:tblCaption w:val="Table 6: Medicare services by payment type"/>
        <w:tblDescription w:val="Table 6: Medicare services by payment type"/>
      </w:tblPr>
      <w:tblGrid>
        <w:gridCol w:w="2997"/>
        <w:gridCol w:w="1350"/>
        <w:gridCol w:w="1350"/>
        <w:gridCol w:w="1350"/>
        <w:gridCol w:w="1351"/>
        <w:gridCol w:w="1349"/>
        <w:gridCol w:w="1349"/>
      </w:tblGrid>
      <w:tr w:rsidR="008E273C" w:rsidTr="00F43665">
        <w:trPr>
          <w:trHeight w:val="60"/>
          <w:tblHeader/>
        </w:trPr>
        <w:tc>
          <w:tcPr>
            <w:tcW w:w="1350" w:type="pct"/>
          </w:tcPr>
          <w:p w:rsidR="008E273C" w:rsidRDefault="008E273C" w:rsidP="00F43665">
            <w:pPr>
              <w:pStyle w:val="BodyText"/>
            </w:pPr>
          </w:p>
        </w:tc>
        <w:tc>
          <w:tcPr>
            <w:tcW w:w="608" w:type="pct"/>
          </w:tcPr>
          <w:p w:rsidR="008E273C" w:rsidRPr="00F43665" w:rsidRDefault="008E273C" w:rsidP="00F43665">
            <w:pPr>
              <w:pStyle w:val="BodyText"/>
              <w:rPr>
                <w:b/>
              </w:rPr>
            </w:pPr>
            <w:r w:rsidRPr="00F43665">
              <w:rPr>
                <w:rStyle w:val="Bulletcolour"/>
                <w:b/>
                <w:color w:val="auto"/>
              </w:rPr>
              <w:t>2017–18</w:t>
            </w:r>
            <w:r w:rsidR="00F43665">
              <w:rPr>
                <w:rStyle w:val="Bulletcolour"/>
                <w:b/>
                <w:color w:val="auto"/>
              </w:rPr>
              <w:t xml:space="preserve"> </w:t>
            </w:r>
            <w:r w:rsidRPr="00F43665">
              <w:rPr>
                <w:rStyle w:val="Bulletcolour"/>
                <w:b/>
                <w:color w:val="auto"/>
              </w:rPr>
              <w:t>million</w:t>
            </w:r>
          </w:p>
        </w:tc>
        <w:tc>
          <w:tcPr>
            <w:tcW w:w="608" w:type="pct"/>
          </w:tcPr>
          <w:p w:rsidR="008E273C" w:rsidRPr="00F43665" w:rsidRDefault="008E273C" w:rsidP="00F43665">
            <w:pPr>
              <w:pStyle w:val="BodyText"/>
              <w:rPr>
                <w:b/>
              </w:rPr>
            </w:pPr>
            <w:r w:rsidRPr="00F43665">
              <w:rPr>
                <w:rStyle w:val="Bulletcolour"/>
                <w:b/>
                <w:color w:val="auto"/>
              </w:rPr>
              <w:t>%</w:t>
            </w:r>
          </w:p>
        </w:tc>
        <w:tc>
          <w:tcPr>
            <w:tcW w:w="608" w:type="pct"/>
          </w:tcPr>
          <w:p w:rsidR="008E273C" w:rsidRPr="00F43665" w:rsidRDefault="008E273C" w:rsidP="00F43665">
            <w:pPr>
              <w:pStyle w:val="BodyText"/>
              <w:rPr>
                <w:b/>
              </w:rPr>
            </w:pPr>
            <w:r w:rsidRPr="00F43665">
              <w:rPr>
                <w:rStyle w:val="Bulletcolour"/>
                <w:b/>
                <w:color w:val="auto"/>
              </w:rPr>
              <w:t>2018–19</w:t>
            </w:r>
            <w:r w:rsidR="00F43665">
              <w:rPr>
                <w:rStyle w:val="Bulletcolour"/>
                <w:b/>
                <w:color w:val="auto"/>
              </w:rPr>
              <w:t xml:space="preserve"> </w:t>
            </w:r>
            <w:r w:rsidRPr="00F43665">
              <w:rPr>
                <w:rStyle w:val="Bulletcolour"/>
                <w:b/>
                <w:color w:val="auto"/>
              </w:rPr>
              <w:t>million</w:t>
            </w:r>
          </w:p>
        </w:tc>
        <w:tc>
          <w:tcPr>
            <w:tcW w:w="609" w:type="pct"/>
          </w:tcPr>
          <w:p w:rsidR="008E273C" w:rsidRPr="00F43665" w:rsidRDefault="008E273C" w:rsidP="00F43665">
            <w:pPr>
              <w:pStyle w:val="BodyText"/>
              <w:rPr>
                <w:b/>
              </w:rPr>
            </w:pPr>
            <w:r w:rsidRPr="00F43665">
              <w:rPr>
                <w:rStyle w:val="Bulletcolour"/>
                <w:b/>
                <w:color w:val="auto"/>
              </w:rPr>
              <w:t>%</w:t>
            </w:r>
          </w:p>
        </w:tc>
        <w:tc>
          <w:tcPr>
            <w:tcW w:w="608" w:type="pct"/>
          </w:tcPr>
          <w:p w:rsidR="008E273C" w:rsidRPr="00F43665" w:rsidRDefault="008E273C" w:rsidP="00F43665">
            <w:pPr>
              <w:pStyle w:val="BodyText"/>
              <w:rPr>
                <w:b/>
              </w:rPr>
            </w:pPr>
            <w:r w:rsidRPr="00F43665">
              <w:rPr>
                <w:rStyle w:val="Bulletcolour"/>
                <w:b/>
                <w:color w:val="auto"/>
              </w:rPr>
              <w:t>2019–20</w:t>
            </w:r>
            <w:r w:rsidR="00F43665">
              <w:rPr>
                <w:rStyle w:val="Bulletcolour"/>
                <w:b/>
                <w:color w:val="auto"/>
              </w:rPr>
              <w:t xml:space="preserve"> </w:t>
            </w:r>
            <w:r w:rsidRPr="00F43665">
              <w:rPr>
                <w:rStyle w:val="Bulletcolour"/>
                <w:b/>
                <w:color w:val="auto"/>
              </w:rPr>
              <w:t>million</w:t>
            </w:r>
          </w:p>
        </w:tc>
        <w:tc>
          <w:tcPr>
            <w:tcW w:w="608" w:type="pct"/>
          </w:tcPr>
          <w:p w:rsidR="008E273C" w:rsidRPr="00F43665" w:rsidRDefault="008E273C" w:rsidP="00F43665">
            <w:pPr>
              <w:pStyle w:val="BodyText"/>
              <w:rPr>
                <w:b/>
              </w:rPr>
            </w:pPr>
            <w:r w:rsidRPr="00F43665">
              <w:rPr>
                <w:rStyle w:val="Bulletcolour"/>
                <w:b/>
                <w:color w:val="auto"/>
              </w:rPr>
              <w:t>%</w:t>
            </w:r>
          </w:p>
        </w:tc>
      </w:tr>
      <w:tr w:rsidR="008E273C" w:rsidTr="00F43665">
        <w:trPr>
          <w:trHeight w:val="60"/>
        </w:trPr>
        <w:tc>
          <w:tcPr>
            <w:tcW w:w="1350" w:type="pct"/>
          </w:tcPr>
          <w:p w:rsidR="008E273C" w:rsidRDefault="008E273C" w:rsidP="00F43665">
            <w:pPr>
              <w:pStyle w:val="BodyText"/>
            </w:pPr>
            <w:r>
              <w:rPr>
                <w:rStyle w:val="Bulletcolour"/>
              </w:rPr>
              <w:t>Electronic Funds Transfer (EFT) to claimant</w:t>
            </w:r>
          </w:p>
        </w:tc>
        <w:tc>
          <w:tcPr>
            <w:tcW w:w="608" w:type="pct"/>
          </w:tcPr>
          <w:p w:rsidR="008E273C" w:rsidRDefault="008E273C" w:rsidP="00F43665">
            <w:pPr>
              <w:pStyle w:val="BodyText"/>
            </w:pPr>
            <w:r>
              <w:rPr>
                <w:rStyle w:val="Bulletcolour"/>
              </w:rPr>
              <w:t>38.2</w:t>
            </w:r>
          </w:p>
        </w:tc>
        <w:tc>
          <w:tcPr>
            <w:tcW w:w="608" w:type="pct"/>
          </w:tcPr>
          <w:p w:rsidR="008E273C" w:rsidRDefault="008E273C" w:rsidP="00F43665">
            <w:pPr>
              <w:pStyle w:val="BodyText"/>
            </w:pPr>
            <w:r>
              <w:rPr>
                <w:rStyle w:val="Bulletcolour"/>
              </w:rPr>
              <w:t>9.1</w:t>
            </w:r>
          </w:p>
        </w:tc>
        <w:tc>
          <w:tcPr>
            <w:tcW w:w="608" w:type="pct"/>
          </w:tcPr>
          <w:p w:rsidR="008E273C" w:rsidRDefault="008E273C" w:rsidP="00F43665">
            <w:pPr>
              <w:pStyle w:val="BodyText"/>
            </w:pPr>
            <w:r>
              <w:rPr>
                <w:rStyle w:val="Bulletcolour"/>
              </w:rPr>
              <w:t>38.4</w:t>
            </w:r>
          </w:p>
        </w:tc>
        <w:tc>
          <w:tcPr>
            <w:tcW w:w="609" w:type="pct"/>
          </w:tcPr>
          <w:p w:rsidR="008E273C" w:rsidRDefault="008E273C" w:rsidP="00F43665">
            <w:pPr>
              <w:pStyle w:val="BodyText"/>
            </w:pPr>
            <w:r>
              <w:rPr>
                <w:rStyle w:val="Bulletcolour"/>
              </w:rPr>
              <w:t>8.9</w:t>
            </w:r>
          </w:p>
        </w:tc>
        <w:tc>
          <w:tcPr>
            <w:tcW w:w="608" w:type="pct"/>
          </w:tcPr>
          <w:p w:rsidR="008E273C" w:rsidRDefault="008E273C" w:rsidP="00F43665">
            <w:pPr>
              <w:pStyle w:val="BodyText"/>
            </w:pPr>
            <w:r>
              <w:rPr>
                <w:rStyle w:val="Bulletcolour"/>
              </w:rPr>
              <w:t>36.7</w:t>
            </w:r>
          </w:p>
        </w:tc>
        <w:tc>
          <w:tcPr>
            <w:tcW w:w="608" w:type="pct"/>
          </w:tcPr>
          <w:p w:rsidR="008E273C" w:rsidRDefault="008E273C" w:rsidP="00F43665">
            <w:pPr>
              <w:pStyle w:val="BodyText"/>
            </w:pPr>
            <w:r>
              <w:rPr>
                <w:rStyle w:val="Bulletcolour"/>
              </w:rPr>
              <w:t>8.5</w:t>
            </w:r>
          </w:p>
        </w:tc>
      </w:tr>
      <w:tr w:rsidR="008E273C" w:rsidTr="00F43665">
        <w:trPr>
          <w:trHeight w:val="60"/>
        </w:trPr>
        <w:tc>
          <w:tcPr>
            <w:tcW w:w="1350" w:type="pct"/>
          </w:tcPr>
          <w:p w:rsidR="008E273C" w:rsidRDefault="008E273C" w:rsidP="00F43665">
            <w:pPr>
              <w:pStyle w:val="BodyText"/>
            </w:pPr>
            <w:r>
              <w:rPr>
                <w:rStyle w:val="Bulletcolour"/>
              </w:rPr>
              <w:t>EFTPOS payment to claimant</w:t>
            </w:r>
          </w:p>
        </w:tc>
        <w:tc>
          <w:tcPr>
            <w:tcW w:w="608" w:type="pct"/>
          </w:tcPr>
          <w:p w:rsidR="008E273C" w:rsidRDefault="008E273C" w:rsidP="00F43665">
            <w:pPr>
              <w:pStyle w:val="BodyText"/>
            </w:pPr>
            <w:r>
              <w:rPr>
                <w:rStyle w:val="Bulletcolour"/>
              </w:rPr>
              <w:t>12.3</w:t>
            </w:r>
          </w:p>
        </w:tc>
        <w:tc>
          <w:tcPr>
            <w:tcW w:w="608" w:type="pct"/>
          </w:tcPr>
          <w:p w:rsidR="008E273C" w:rsidRDefault="008E273C" w:rsidP="00F43665">
            <w:pPr>
              <w:pStyle w:val="BodyText"/>
            </w:pPr>
            <w:r>
              <w:rPr>
                <w:rStyle w:val="Bulletcolour"/>
              </w:rPr>
              <w:t>2.9</w:t>
            </w:r>
          </w:p>
        </w:tc>
        <w:tc>
          <w:tcPr>
            <w:tcW w:w="608" w:type="pct"/>
          </w:tcPr>
          <w:p w:rsidR="008E273C" w:rsidRDefault="008E273C" w:rsidP="00F43665">
            <w:pPr>
              <w:pStyle w:val="BodyText"/>
            </w:pPr>
            <w:r>
              <w:rPr>
                <w:rStyle w:val="Bulletcolour"/>
              </w:rPr>
              <w:t>12.8</w:t>
            </w:r>
          </w:p>
        </w:tc>
        <w:tc>
          <w:tcPr>
            <w:tcW w:w="609" w:type="pct"/>
          </w:tcPr>
          <w:p w:rsidR="008E273C" w:rsidRDefault="008E273C" w:rsidP="00F43665">
            <w:pPr>
              <w:pStyle w:val="BodyText"/>
            </w:pPr>
            <w:r>
              <w:rPr>
                <w:rStyle w:val="Bulletcolour"/>
              </w:rPr>
              <w:t>3.0</w:t>
            </w:r>
          </w:p>
        </w:tc>
        <w:tc>
          <w:tcPr>
            <w:tcW w:w="608" w:type="pct"/>
          </w:tcPr>
          <w:p w:rsidR="008E273C" w:rsidRDefault="008E273C" w:rsidP="00F43665">
            <w:pPr>
              <w:pStyle w:val="BodyText"/>
            </w:pPr>
            <w:r>
              <w:rPr>
                <w:rStyle w:val="Bulletcolour"/>
              </w:rPr>
              <w:t>12.1</w:t>
            </w:r>
          </w:p>
        </w:tc>
        <w:tc>
          <w:tcPr>
            <w:tcW w:w="608" w:type="pct"/>
          </w:tcPr>
          <w:p w:rsidR="008E273C" w:rsidRDefault="008E273C" w:rsidP="00F43665">
            <w:pPr>
              <w:pStyle w:val="BodyText"/>
            </w:pPr>
            <w:r>
              <w:rPr>
                <w:rStyle w:val="Bulletcolour"/>
              </w:rPr>
              <w:t>2.8</w:t>
            </w:r>
          </w:p>
        </w:tc>
      </w:tr>
      <w:tr w:rsidR="008E273C" w:rsidTr="00F43665">
        <w:trPr>
          <w:trHeight w:val="60"/>
        </w:trPr>
        <w:tc>
          <w:tcPr>
            <w:tcW w:w="1350" w:type="pct"/>
          </w:tcPr>
          <w:p w:rsidR="008E273C" w:rsidRDefault="008E273C" w:rsidP="00F43665">
            <w:pPr>
              <w:pStyle w:val="BodyText"/>
            </w:pPr>
            <w:r>
              <w:rPr>
                <w:rStyle w:val="Bulletcolour"/>
              </w:rPr>
              <w:t>EFT to health professional</w:t>
            </w:r>
          </w:p>
        </w:tc>
        <w:tc>
          <w:tcPr>
            <w:tcW w:w="608" w:type="pct"/>
          </w:tcPr>
          <w:p w:rsidR="008E273C" w:rsidRDefault="008E273C" w:rsidP="00F43665">
            <w:pPr>
              <w:pStyle w:val="BodyText"/>
            </w:pPr>
            <w:r>
              <w:rPr>
                <w:rStyle w:val="Bulletcolour"/>
              </w:rPr>
              <w:t>332.3</w:t>
            </w:r>
          </w:p>
        </w:tc>
        <w:tc>
          <w:tcPr>
            <w:tcW w:w="608" w:type="pct"/>
          </w:tcPr>
          <w:p w:rsidR="008E273C" w:rsidRDefault="008E273C" w:rsidP="00F43665">
            <w:pPr>
              <w:pStyle w:val="BodyText"/>
            </w:pPr>
            <w:r>
              <w:rPr>
                <w:rStyle w:val="Bulletcolour"/>
              </w:rPr>
              <w:t>79.1</w:t>
            </w:r>
          </w:p>
        </w:tc>
        <w:tc>
          <w:tcPr>
            <w:tcW w:w="608" w:type="pct"/>
          </w:tcPr>
          <w:p w:rsidR="008E273C" w:rsidRDefault="008E273C" w:rsidP="00F43665">
            <w:pPr>
              <w:pStyle w:val="BodyText"/>
            </w:pPr>
            <w:r>
              <w:rPr>
                <w:rStyle w:val="Bulletcolour"/>
                <w:spacing w:val="-2"/>
              </w:rPr>
              <w:t>341.0</w:t>
            </w:r>
            <w:r>
              <w:rPr>
                <w:rStyle w:val="Bulletcolour"/>
                <w:spacing w:val="-2"/>
                <w:vertAlign w:val="superscript"/>
              </w:rPr>
              <w:t>(b)</w:t>
            </w:r>
          </w:p>
        </w:tc>
        <w:tc>
          <w:tcPr>
            <w:tcW w:w="609" w:type="pct"/>
          </w:tcPr>
          <w:p w:rsidR="008E273C" w:rsidRDefault="008E273C" w:rsidP="00F43665">
            <w:pPr>
              <w:pStyle w:val="BodyText"/>
            </w:pPr>
            <w:r>
              <w:rPr>
                <w:rStyle w:val="Bulletcolour"/>
              </w:rPr>
              <w:t>79.4</w:t>
            </w:r>
          </w:p>
        </w:tc>
        <w:tc>
          <w:tcPr>
            <w:tcW w:w="608" w:type="pct"/>
          </w:tcPr>
          <w:p w:rsidR="008E273C" w:rsidRDefault="008E273C" w:rsidP="00F43665">
            <w:pPr>
              <w:pStyle w:val="BodyText"/>
            </w:pPr>
            <w:r>
              <w:rPr>
                <w:rStyle w:val="Bulletcolour"/>
                <w:spacing w:val="-2"/>
              </w:rPr>
              <w:t>347.7</w:t>
            </w:r>
            <w:r>
              <w:rPr>
                <w:rStyle w:val="Bulletcolour"/>
                <w:vertAlign w:val="superscript"/>
              </w:rPr>
              <w:t>(b)</w:t>
            </w:r>
          </w:p>
        </w:tc>
        <w:tc>
          <w:tcPr>
            <w:tcW w:w="608" w:type="pct"/>
          </w:tcPr>
          <w:p w:rsidR="008E273C" w:rsidRDefault="008E273C" w:rsidP="00F43665">
            <w:pPr>
              <w:pStyle w:val="BodyText"/>
            </w:pPr>
            <w:r>
              <w:rPr>
                <w:rStyle w:val="Bulletcolour"/>
              </w:rPr>
              <w:t>80.3</w:t>
            </w:r>
          </w:p>
        </w:tc>
      </w:tr>
      <w:tr w:rsidR="008E273C" w:rsidTr="00F43665">
        <w:trPr>
          <w:trHeight w:val="629"/>
        </w:trPr>
        <w:tc>
          <w:tcPr>
            <w:tcW w:w="1350" w:type="pct"/>
          </w:tcPr>
          <w:p w:rsidR="008E273C" w:rsidRDefault="008E273C" w:rsidP="00F43665">
            <w:pPr>
              <w:pStyle w:val="BodyText"/>
            </w:pPr>
            <w:r>
              <w:rPr>
                <w:rStyle w:val="Bulletcolour"/>
              </w:rPr>
              <w:t>Pay doctor via claimant cheque</w:t>
            </w:r>
          </w:p>
        </w:tc>
        <w:tc>
          <w:tcPr>
            <w:tcW w:w="608" w:type="pct"/>
          </w:tcPr>
          <w:p w:rsidR="008E273C" w:rsidRDefault="008E273C" w:rsidP="00F43665">
            <w:pPr>
              <w:pStyle w:val="BodyText"/>
            </w:pPr>
            <w:r>
              <w:rPr>
                <w:rStyle w:val="Bulletcolour"/>
              </w:rPr>
              <w:t>3.1</w:t>
            </w:r>
          </w:p>
        </w:tc>
        <w:tc>
          <w:tcPr>
            <w:tcW w:w="608" w:type="pct"/>
          </w:tcPr>
          <w:p w:rsidR="008E273C" w:rsidRDefault="008E273C" w:rsidP="00F43665">
            <w:pPr>
              <w:pStyle w:val="BodyText"/>
            </w:pPr>
            <w:r>
              <w:rPr>
                <w:rStyle w:val="Bulletcolour"/>
              </w:rPr>
              <w:t>0.7</w:t>
            </w:r>
          </w:p>
        </w:tc>
        <w:tc>
          <w:tcPr>
            <w:tcW w:w="608" w:type="pct"/>
          </w:tcPr>
          <w:p w:rsidR="008E273C" w:rsidRDefault="008E273C" w:rsidP="00F43665">
            <w:pPr>
              <w:pStyle w:val="BodyText"/>
            </w:pPr>
            <w:r>
              <w:rPr>
                <w:rStyle w:val="Bulletcolour"/>
              </w:rPr>
              <w:t>2.8</w:t>
            </w:r>
          </w:p>
        </w:tc>
        <w:tc>
          <w:tcPr>
            <w:tcW w:w="609" w:type="pct"/>
          </w:tcPr>
          <w:p w:rsidR="008E273C" w:rsidRDefault="008E273C" w:rsidP="00F43665">
            <w:pPr>
              <w:pStyle w:val="BodyText"/>
            </w:pPr>
            <w:r>
              <w:rPr>
                <w:rStyle w:val="Bulletcolour"/>
              </w:rPr>
              <w:t>0.7</w:t>
            </w:r>
          </w:p>
        </w:tc>
        <w:tc>
          <w:tcPr>
            <w:tcW w:w="608" w:type="pct"/>
          </w:tcPr>
          <w:p w:rsidR="008E273C" w:rsidRDefault="008E273C" w:rsidP="00F43665">
            <w:pPr>
              <w:pStyle w:val="BodyText"/>
            </w:pPr>
            <w:r>
              <w:rPr>
                <w:rStyle w:val="Bulletcolour"/>
              </w:rPr>
              <w:t>2.5</w:t>
            </w:r>
          </w:p>
        </w:tc>
        <w:tc>
          <w:tcPr>
            <w:tcW w:w="608" w:type="pct"/>
          </w:tcPr>
          <w:p w:rsidR="008E273C" w:rsidRDefault="008E273C" w:rsidP="00F43665">
            <w:pPr>
              <w:pStyle w:val="BodyText"/>
            </w:pPr>
            <w:r>
              <w:rPr>
                <w:rStyle w:val="Bulletcolour"/>
              </w:rPr>
              <w:t>0.6</w:t>
            </w:r>
          </w:p>
        </w:tc>
      </w:tr>
      <w:tr w:rsidR="008E273C" w:rsidTr="00F43665">
        <w:trPr>
          <w:trHeight w:val="60"/>
        </w:trPr>
        <w:tc>
          <w:tcPr>
            <w:tcW w:w="1350" w:type="pct"/>
          </w:tcPr>
          <w:p w:rsidR="008E273C" w:rsidRDefault="008E273C" w:rsidP="00F43665">
            <w:pPr>
              <w:pStyle w:val="BodyText"/>
            </w:pPr>
            <w:r>
              <w:rPr>
                <w:rStyle w:val="Bulletcolour"/>
              </w:rPr>
              <w:t>Payment to private health fund or billing agent</w:t>
            </w:r>
          </w:p>
        </w:tc>
        <w:tc>
          <w:tcPr>
            <w:tcW w:w="608" w:type="pct"/>
          </w:tcPr>
          <w:p w:rsidR="008E273C" w:rsidRDefault="008E273C" w:rsidP="00F43665">
            <w:pPr>
              <w:pStyle w:val="BodyText"/>
            </w:pPr>
            <w:r>
              <w:rPr>
                <w:rStyle w:val="Bulletcolour"/>
              </w:rPr>
              <w:t>34.0</w:t>
            </w:r>
          </w:p>
        </w:tc>
        <w:tc>
          <w:tcPr>
            <w:tcW w:w="608" w:type="pct"/>
          </w:tcPr>
          <w:p w:rsidR="008E273C" w:rsidRDefault="008E273C" w:rsidP="00F43665">
            <w:pPr>
              <w:pStyle w:val="BodyText"/>
            </w:pPr>
            <w:r>
              <w:rPr>
                <w:rStyle w:val="Bulletcolour"/>
              </w:rPr>
              <w:t>8.1</w:t>
            </w:r>
          </w:p>
        </w:tc>
        <w:tc>
          <w:tcPr>
            <w:tcW w:w="608" w:type="pct"/>
          </w:tcPr>
          <w:p w:rsidR="008E273C" w:rsidRDefault="008E273C" w:rsidP="00F43665">
            <w:pPr>
              <w:pStyle w:val="BodyText"/>
            </w:pPr>
            <w:r>
              <w:rPr>
                <w:rStyle w:val="Bulletcolour"/>
              </w:rPr>
              <w:t>34.5</w:t>
            </w:r>
          </w:p>
        </w:tc>
        <w:tc>
          <w:tcPr>
            <w:tcW w:w="609" w:type="pct"/>
          </w:tcPr>
          <w:p w:rsidR="008E273C" w:rsidRDefault="008E273C" w:rsidP="00F43665">
            <w:pPr>
              <w:pStyle w:val="BodyText"/>
            </w:pPr>
            <w:r>
              <w:rPr>
                <w:rStyle w:val="Bulletcolour"/>
              </w:rPr>
              <w:t>8.0</w:t>
            </w:r>
          </w:p>
        </w:tc>
        <w:tc>
          <w:tcPr>
            <w:tcW w:w="608" w:type="pct"/>
          </w:tcPr>
          <w:p w:rsidR="008E273C" w:rsidRDefault="008E273C" w:rsidP="00F43665">
            <w:pPr>
              <w:pStyle w:val="BodyText"/>
            </w:pPr>
            <w:r>
              <w:rPr>
                <w:rStyle w:val="Bulletcolour"/>
              </w:rPr>
              <w:t>34.1</w:t>
            </w:r>
          </w:p>
        </w:tc>
        <w:tc>
          <w:tcPr>
            <w:tcW w:w="608" w:type="pct"/>
          </w:tcPr>
          <w:p w:rsidR="008E273C" w:rsidRDefault="008E273C" w:rsidP="00F43665">
            <w:pPr>
              <w:pStyle w:val="BodyText"/>
            </w:pPr>
            <w:r>
              <w:rPr>
                <w:rStyle w:val="Bulletcolour"/>
              </w:rPr>
              <w:t>7.9</w:t>
            </w:r>
          </w:p>
        </w:tc>
      </w:tr>
      <w:tr w:rsidR="008E273C" w:rsidTr="00F43665">
        <w:trPr>
          <w:trHeight w:val="60"/>
        </w:trPr>
        <w:tc>
          <w:tcPr>
            <w:tcW w:w="1350" w:type="pct"/>
          </w:tcPr>
          <w:p w:rsidR="008E273C" w:rsidRPr="00F43665" w:rsidRDefault="008E273C" w:rsidP="00F43665">
            <w:pPr>
              <w:pStyle w:val="BodyText"/>
              <w:rPr>
                <w:b/>
              </w:rPr>
            </w:pPr>
            <w:r w:rsidRPr="00F43665">
              <w:rPr>
                <w:rStyle w:val="Bulletcolour"/>
                <w:rFonts w:ascii="Roboto-Bold" w:hAnsi="Roboto-Bold" w:cs="Roboto-Bold"/>
                <w:b/>
                <w:bCs/>
              </w:rPr>
              <w:t>Total services</w:t>
            </w:r>
            <w:r w:rsidRPr="00F43665">
              <w:rPr>
                <w:rStyle w:val="Bulletcolour"/>
                <w:b/>
                <w:vertAlign w:val="superscript"/>
              </w:rPr>
              <w:t>(a)</w:t>
            </w:r>
          </w:p>
        </w:tc>
        <w:tc>
          <w:tcPr>
            <w:tcW w:w="608" w:type="pct"/>
          </w:tcPr>
          <w:p w:rsidR="008E273C" w:rsidRPr="00F43665" w:rsidRDefault="008E273C" w:rsidP="00F43665">
            <w:pPr>
              <w:pStyle w:val="BodyText"/>
              <w:rPr>
                <w:b/>
              </w:rPr>
            </w:pPr>
            <w:r w:rsidRPr="00F43665">
              <w:rPr>
                <w:rStyle w:val="Bulletcolour"/>
                <w:b/>
              </w:rPr>
              <w:t>419.9</w:t>
            </w:r>
          </w:p>
        </w:tc>
        <w:tc>
          <w:tcPr>
            <w:tcW w:w="608" w:type="pct"/>
          </w:tcPr>
          <w:p w:rsidR="008E273C" w:rsidRPr="00F43665" w:rsidRDefault="008E273C" w:rsidP="00F43665">
            <w:pPr>
              <w:pStyle w:val="BodyText"/>
              <w:rPr>
                <w:b/>
              </w:rPr>
            </w:pPr>
            <w:r w:rsidRPr="00F43665">
              <w:rPr>
                <w:rStyle w:val="Bulletcolour"/>
                <w:b/>
              </w:rPr>
              <w:t>100</w:t>
            </w:r>
          </w:p>
        </w:tc>
        <w:tc>
          <w:tcPr>
            <w:tcW w:w="608" w:type="pct"/>
          </w:tcPr>
          <w:p w:rsidR="008E273C" w:rsidRPr="00F43665" w:rsidRDefault="008E273C" w:rsidP="00F43665">
            <w:pPr>
              <w:pStyle w:val="BodyText"/>
              <w:rPr>
                <w:b/>
              </w:rPr>
            </w:pPr>
            <w:r w:rsidRPr="00F43665">
              <w:rPr>
                <w:rStyle w:val="Bulletcolour"/>
                <w:b/>
              </w:rPr>
              <w:t>429.6</w:t>
            </w:r>
          </w:p>
        </w:tc>
        <w:tc>
          <w:tcPr>
            <w:tcW w:w="609" w:type="pct"/>
          </w:tcPr>
          <w:p w:rsidR="008E273C" w:rsidRPr="00F43665" w:rsidRDefault="008E273C" w:rsidP="00F43665">
            <w:pPr>
              <w:pStyle w:val="BodyText"/>
              <w:rPr>
                <w:b/>
              </w:rPr>
            </w:pPr>
            <w:r w:rsidRPr="00F43665">
              <w:rPr>
                <w:rStyle w:val="Bulletcolour"/>
                <w:b/>
              </w:rPr>
              <w:t>100</w:t>
            </w:r>
          </w:p>
        </w:tc>
        <w:tc>
          <w:tcPr>
            <w:tcW w:w="608" w:type="pct"/>
          </w:tcPr>
          <w:p w:rsidR="008E273C" w:rsidRPr="00F43665" w:rsidRDefault="008E273C" w:rsidP="00F43665">
            <w:pPr>
              <w:pStyle w:val="BodyText"/>
              <w:rPr>
                <w:b/>
              </w:rPr>
            </w:pPr>
            <w:r w:rsidRPr="00F43665">
              <w:rPr>
                <w:rStyle w:val="Bulletcolour"/>
                <w:b/>
              </w:rPr>
              <w:t>433.1</w:t>
            </w:r>
          </w:p>
        </w:tc>
        <w:tc>
          <w:tcPr>
            <w:tcW w:w="608" w:type="pct"/>
          </w:tcPr>
          <w:p w:rsidR="008E273C" w:rsidRPr="00F43665" w:rsidRDefault="008E273C" w:rsidP="00F43665">
            <w:pPr>
              <w:pStyle w:val="BodyText"/>
              <w:rPr>
                <w:b/>
              </w:rPr>
            </w:pPr>
            <w:r w:rsidRPr="00F43665">
              <w:rPr>
                <w:rStyle w:val="Bulletcolour"/>
                <w:b/>
              </w:rPr>
              <w:t>100</w:t>
            </w:r>
          </w:p>
        </w:tc>
      </w:tr>
    </w:tbl>
    <w:p w:rsidR="008E273C" w:rsidRDefault="008E273C" w:rsidP="00F43665">
      <w:pPr>
        <w:pStyle w:val="BodyText"/>
      </w:pPr>
      <w:r>
        <w:t>(a)</w:t>
      </w:r>
      <w:r w:rsidR="00F43665">
        <w:t xml:space="preserve"> </w:t>
      </w:r>
      <w:r>
        <w:t>Totals take account of rounding.</w:t>
      </w:r>
    </w:p>
    <w:p w:rsidR="008E273C" w:rsidRDefault="008E273C" w:rsidP="00F43665">
      <w:pPr>
        <w:pStyle w:val="BodyText"/>
      </w:pPr>
      <w:r>
        <w:t>(b)</w:t>
      </w:r>
      <w:r w:rsidR="00F43665">
        <w:t xml:space="preserve"> </w:t>
      </w:r>
      <w:r>
        <w:t>Numbers may differ due to rounding.</w:t>
      </w:r>
    </w:p>
    <w:p w:rsidR="008E273C" w:rsidRPr="00F43665" w:rsidRDefault="00F43665" w:rsidP="00F43665">
      <w:pPr>
        <w:pStyle w:val="BodyText"/>
        <w:rPr>
          <w:b/>
        </w:rPr>
      </w:pPr>
      <w:r w:rsidRPr="00F43665">
        <w:rPr>
          <w:b/>
        </w:rPr>
        <w:t>Table 7:</w:t>
      </w:r>
      <w:r w:rsidR="008E273C" w:rsidRPr="00F43665">
        <w:rPr>
          <w:b/>
        </w:rPr>
        <w:t xml:space="preserve"> Volumes of services transmitted digitally</w:t>
      </w:r>
    </w:p>
    <w:tbl>
      <w:tblPr>
        <w:tblStyle w:val="TableGrid"/>
        <w:tblW w:w="5000" w:type="pct"/>
        <w:tblLook w:val="0000" w:firstRow="0" w:lastRow="0" w:firstColumn="0" w:lastColumn="0" w:noHBand="0" w:noVBand="0"/>
        <w:tblCaption w:val="Table 7: Volumes of services transmitted digitally"/>
        <w:tblDescription w:val="Table 7: Volumes of services transmitted digitally"/>
      </w:tblPr>
      <w:tblGrid>
        <w:gridCol w:w="4147"/>
        <w:gridCol w:w="2317"/>
        <w:gridCol w:w="2317"/>
        <w:gridCol w:w="2315"/>
      </w:tblGrid>
      <w:tr w:rsidR="008E273C" w:rsidTr="00F43665">
        <w:trPr>
          <w:trHeight w:val="60"/>
          <w:tblHeader/>
        </w:trPr>
        <w:tc>
          <w:tcPr>
            <w:tcW w:w="1869"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r w:rsidRPr="00F43665">
              <w:rPr>
                <w:rStyle w:val="Bulletcolour"/>
                <w:b/>
              </w:rPr>
              <w:t>2017–18</w:t>
            </w:r>
          </w:p>
        </w:tc>
        <w:tc>
          <w:tcPr>
            <w:tcW w:w="1044" w:type="pct"/>
          </w:tcPr>
          <w:p w:rsidR="008E273C" w:rsidRPr="00F43665" w:rsidRDefault="008E273C" w:rsidP="00F43665">
            <w:pPr>
              <w:pStyle w:val="BodyText"/>
              <w:rPr>
                <w:b/>
              </w:rPr>
            </w:pPr>
            <w:r w:rsidRPr="00F43665">
              <w:rPr>
                <w:rStyle w:val="Bulletcolour"/>
                <w:b/>
              </w:rPr>
              <w:t>2018–19</w:t>
            </w:r>
          </w:p>
        </w:tc>
        <w:tc>
          <w:tcPr>
            <w:tcW w:w="1044" w:type="pct"/>
          </w:tcPr>
          <w:p w:rsidR="008E273C" w:rsidRPr="00F43665" w:rsidRDefault="008E273C" w:rsidP="00F43665">
            <w:pPr>
              <w:pStyle w:val="BodyText"/>
              <w:rPr>
                <w:b/>
              </w:rPr>
            </w:pPr>
            <w:r w:rsidRPr="00F43665">
              <w:rPr>
                <w:rStyle w:val="Bulletcolour"/>
                <w:b/>
              </w:rPr>
              <w:t>2019–20</w:t>
            </w:r>
          </w:p>
        </w:tc>
      </w:tr>
      <w:tr w:rsidR="008E273C" w:rsidTr="00F43665">
        <w:trPr>
          <w:trHeight w:val="60"/>
        </w:trPr>
        <w:tc>
          <w:tcPr>
            <w:tcW w:w="1869" w:type="pct"/>
          </w:tcPr>
          <w:p w:rsidR="008E273C" w:rsidRPr="00F43665" w:rsidRDefault="008E273C" w:rsidP="00F43665">
            <w:pPr>
              <w:pStyle w:val="BodyText"/>
              <w:rPr>
                <w:b/>
              </w:rPr>
            </w:pPr>
            <w:r w:rsidRPr="00F43665">
              <w:rPr>
                <w:rStyle w:val="Bulletcolour"/>
                <w:b/>
              </w:rPr>
              <w:t>Medicare Online</w:t>
            </w: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r>
      <w:tr w:rsidR="008E273C" w:rsidTr="00F43665">
        <w:trPr>
          <w:trHeight w:val="60"/>
        </w:trPr>
        <w:tc>
          <w:tcPr>
            <w:tcW w:w="1869" w:type="pct"/>
          </w:tcPr>
          <w:p w:rsidR="008E273C" w:rsidRDefault="008E273C" w:rsidP="00F43665">
            <w:pPr>
              <w:pStyle w:val="BodyText"/>
            </w:pPr>
            <w:r>
              <w:rPr>
                <w:rStyle w:val="Bulletcolour"/>
              </w:rPr>
              <w:t>Bulk billing</w:t>
            </w:r>
          </w:p>
        </w:tc>
        <w:tc>
          <w:tcPr>
            <w:tcW w:w="1044" w:type="pct"/>
          </w:tcPr>
          <w:p w:rsidR="008E273C" w:rsidRDefault="008E273C" w:rsidP="00F43665">
            <w:pPr>
              <w:pStyle w:val="BodyText"/>
            </w:pPr>
            <w:r>
              <w:rPr>
                <w:rStyle w:val="Bulletcolour"/>
              </w:rPr>
              <w:t>308.0 million</w:t>
            </w:r>
          </w:p>
        </w:tc>
        <w:tc>
          <w:tcPr>
            <w:tcW w:w="1044" w:type="pct"/>
          </w:tcPr>
          <w:p w:rsidR="008E273C" w:rsidRDefault="008E273C" w:rsidP="00F43665">
            <w:pPr>
              <w:pStyle w:val="BodyText"/>
            </w:pPr>
            <w:r>
              <w:rPr>
                <w:rStyle w:val="Bulletcolour"/>
              </w:rPr>
              <w:t>317.2 million</w:t>
            </w:r>
          </w:p>
        </w:tc>
        <w:tc>
          <w:tcPr>
            <w:tcW w:w="1044" w:type="pct"/>
          </w:tcPr>
          <w:p w:rsidR="008E273C" w:rsidRDefault="008E273C" w:rsidP="00F43665">
            <w:pPr>
              <w:pStyle w:val="BodyText"/>
            </w:pPr>
            <w:r>
              <w:rPr>
                <w:rStyle w:val="Bulletcolour"/>
              </w:rPr>
              <w:t>324.9 million</w:t>
            </w:r>
          </w:p>
        </w:tc>
      </w:tr>
      <w:tr w:rsidR="008E273C" w:rsidTr="00F43665">
        <w:trPr>
          <w:trHeight w:val="60"/>
        </w:trPr>
        <w:tc>
          <w:tcPr>
            <w:tcW w:w="1869" w:type="pct"/>
          </w:tcPr>
          <w:p w:rsidR="008E273C" w:rsidRDefault="008E273C" w:rsidP="00F43665">
            <w:pPr>
              <w:pStyle w:val="BodyText"/>
            </w:pPr>
            <w:r>
              <w:rPr>
                <w:rStyle w:val="Bulletcolour"/>
              </w:rPr>
              <w:t>Patient claiming</w:t>
            </w:r>
          </w:p>
        </w:tc>
        <w:tc>
          <w:tcPr>
            <w:tcW w:w="1044" w:type="pct"/>
          </w:tcPr>
          <w:p w:rsidR="008E273C" w:rsidRDefault="008E273C" w:rsidP="00F43665">
            <w:pPr>
              <w:pStyle w:val="BodyText"/>
            </w:pPr>
            <w:r>
              <w:rPr>
                <w:rStyle w:val="Bulletcolour"/>
              </w:rPr>
              <w:t>35.2 million</w:t>
            </w:r>
          </w:p>
        </w:tc>
        <w:tc>
          <w:tcPr>
            <w:tcW w:w="1044" w:type="pct"/>
          </w:tcPr>
          <w:p w:rsidR="008E273C" w:rsidRDefault="008E273C" w:rsidP="00F43665">
            <w:pPr>
              <w:pStyle w:val="BodyText"/>
            </w:pPr>
            <w:r>
              <w:rPr>
                <w:rStyle w:val="Bulletcolour"/>
              </w:rPr>
              <w:t>36.1 million</w:t>
            </w:r>
          </w:p>
        </w:tc>
        <w:tc>
          <w:tcPr>
            <w:tcW w:w="1044" w:type="pct"/>
          </w:tcPr>
          <w:p w:rsidR="008E273C" w:rsidRDefault="008E273C" w:rsidP="00F43665">
            <w:pPr>
              <w:pStyle w:val="BodyText"/>
            </w:pPr>
            <w:r>
              <w:rPr>
                <w:rStyle w:val="Bulletcolour"/>
              </w:rPr>
              <w:t>34.9 million</w:t>
            </w:r>
          </w:p>
        </w:tc>
      </w:tr>
      <w:tr w:rsidR="008E273C" w:rsidTr="00F43665">
        <w:trPr>
          <w:trHeight w:val="60"/>
        </w:trPr>
        <w:tc>
          <w:tcPr>
            <w:tcW w:w="1869" w:type="pct"/>
          </w:tcPr>
          <w:p w:rsidR="008E273C" w:rsidRPr="00F43665" w:rsidRDefault="008E273C" w:rsidP="00F43665">
            <w:pPr>
              <w:pStyle w:val="BodyText"/>
              <w:rPr>
                <w:b/>
              </w:rPr>
            </w:pPr>
            <w:r w:rsidRPr="00F43665">
              <w:rPr>
                <w:rStyle w:val="Bulletcolour"/>
                <w:b/>
              </w:rPr>
              <w:t xml:space="preserve">Medicare </w:t>
            </w:r>
            <w:proofErr w:type="spellStart"/>
            <w:r w:rsidRPr="00F43665">
              <w:rPr>
                <w:rStyle w:val="Bulletcolour"/>
                <w:b/>
              </w:rPr>
              <w:t>Easyclaim</w:t>
            </w:r>
            <w:proofErr w:type="spellEnd"/>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r>
      <w:tr w:rsidR="008E273C" w:rsidTr="00F43665">
        <w:trPr>
          <w:trHeight w:val="60"/>
        </w:trPr>
        <w:tc>
          <w:tcPr>
            <w:tcW w:w="1869" w:type="pct"/>
          </w:tcPr>
          <w:p w:rsidR="008E273C" w:rsidRDefault="008E273C" w:rsidP="00F43665">
            <w:pPr>
              <w:pStyle w:val="BodyText"/>
            </w:pPr>
            <w:r>
              <w:rPr>
                <w:rStyle w:val="Bulletcolour"/>
              </w:rPr>
              <w:t>Bulk billing</w:t>
            </w:r>
          </w:p>
        </w:tc>
        <w:tc>
          <w:tcPr>
            <w:tcW w:w="1044" w:type="pct"/>
          </w:tcPr>
          <w:p w:rsidR="008E273C" w:rsidRDefault="008E273C" w:rsidP="00F43665">
            <w:pPr>
              <w:pStyle w:val="BodyText"/>
            </w:pPr>
            <w:r>
              <w:rPr>
                <w:rStyle w:val="Bulletcolour"/>
              </w:rPr>
              <w:t>19.7 million</w:t>
            </w:r>
          </w:p>
        </w:tc>
        <w:tc>
          <w:tcPr>
            <w:tcW w:w="1044" w:type="pct"/>
          </w:tcPr>
          <w:p w:rsidR="008E273C" w:rsidRDefault="008E273C" w:rsidP="00F43665">
            <w:pPr>
              <w:pStyle w:val="BodyText"/>
            </w:pPr>
            <w:r>
              <w:rPr>
                <w:rStyle w:val="Bulletcolour"/>
              </w:rPr>
              <w:t>19.4 million</w:t>
            </w:r>
          </w:p>
        </w:tc>
        <w:tc>
          <w:tcPr>
            <w:tcW w:w="1044" w:type="pct"/>
          </w:tcPr>
          <w:p w:rsidR="008E273C" w:rsidRDefault="008E273C" w:rsidP="00F43665">
            <w:pPr>
              <w:pStyle w:val="BodyText"/>
            </w:pPr>
            <w:r>
              <w:rPr>
                <w:rStyle w:val="Bulletcolour"/>
              </w:rPr>
              <w:t>18.6 million</w:t>
            </w:r>
          </w:p>
        </w:tc>
      </w:tr>
      <w:tr w:rsidR="008E273C" w:rsidTr="00F43665">
        <w:trPr>
          <w:trHeight w:val="60"/>
        </w:trPr>
        <w:tc>
          <w:tcPr>
            <w:tcW w:w="1869" w:type="pct"/>
          </w:tcPr>
          <w:p w:rsidR="008E273C" w:rsidRDefault="008E273C" w:rsidP="00F43665">
            <w:pPr>
              <w:pStyle w:val="BodyText"/>
            </w:pPr>
            <w:r>
              <w:rPr>
                <w:rStyle w:val="Bulletcolour"/>
              </w:rPr>
              <w:t>Patient claiming</w:t>
            </w:r>
          </w:p>
        </w:tc>
        <w:tc>
          <w:tcPr>
            <w:tcW w:w="1044" w:type="pct"/>
          </w:tcPr>
          <w:p w:rsidR="008E273C" w:rsidRDefault="008E273C" w:rsidP="00F43665">
            <w:pPr>
              <w:pStyle w:val="BodyText"/>
            </w:pPr>
            <w:r>
              <w:rPr>
                <w:rStyle w:val="Bulletcolour"/>
              </w:rPr>
              <w:t>12.5 million</w:t>
            </w:r>
          </w:p>
        </w:tc>
        <w:tc>
          <w:tcPr>
            <w:tcW w:w="1044" w:type="pct"/>
          </w:tcPr>
          <w:p w:rsidR="008E273C" w:rsidRDefault="008E273C" w:rsidP="00F43665">
            <w:pPr>
              <w:pStyle w:val="BodyText"/>
            </w:pPr>
            <w:r>
              <w:rPr>
                <w:rStyle w:val="Bulletcolour"/>
              </w:rPr>
              <w:t>13.0 million</w:t>
            </w:r>
          </w:p>
        </w:tc>
        <w:tc>
          <w:tcPr>
            <w:tcW w:w="1044" w:type="pct"/>
          </w:tcPr>
          <w:p w:rsidR="008E273C" w:rsidRDefault="008E273C" w:rsidP="00F43665">
            <w:pPr>
              <w:pStyle w:val="BodyText"/>
            </w:pPr>
            <w:r>
              <w:rPr>
                <w:rStyle w:val="Bulletcolour"/>
              </w:rPr>
              <w:t>12.2 million</w:t>
            </w:r>
          </w:p>
        </w:tc>
      </w:tr>
      <w:tr w:rsidR="008E273C" w:rsidTr="00F43665">
        <w:trPr>
          <w:trHeight w:val="60"/>
        </w:trPr>
        <w:tc>
          <w:tcPr>
            <w:tcW w:w="1869" w:type="pct"/>
          </w:tcPr>
          <w:p w:rsidR="008E273C" w:rsidRPr="00F43665" w:rsidRDefault="008E273C" w:rsidP="00F43665">
            <w:pPr>
              <w:pStyle w:val="BodyText"/>
              <w:rPr>
                <w:b/>
              </w:rPr>
            </w:pPr>
            <w:r w:rsidRPr="00F43665">
              <w:rPr>
                <w:rStyle w:val="Bulletcolour"/>
                <w:b/>
              </w:rPr>
              <w:t>ECLIPSE</w:t>
            </w:r>
            <w:r w:rsidRPr="00F43665">
              <w:rPr>
                <w:rStyle w:val="Bulletcolour"/>
                <w:b/>
                <w:vertAlign w:val="superscript"/>
              </w:rPr>
              <w:t>(a)</w:t>
            </w: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r>
      <w:tr w:rsidR="008E273C" w:rsidTr="00F43665">
        <w:trPr>
          <w:trHeight w:val="60"/>
        </w:trPr>
        <w:tc>
          <w:tcPr>
            <w:tcW w:w="1869" w:type="pct"/>
          </w:tcPr>
          <w:p w:rsidR="008E273C" w:rsidRDefault="008E273C" w:rsidP="00F43665">
            <w:pPr>
              <w:pStyle w:val="BodyText"/>
            </w:pPr>
            <w:r>
              <w:rPr>
                <w:rStyle w:val="Bulletcolour"/>
              </w:rPr>
              <w:t>Simplified billing</w:t>
            </w:r>
          </w:p>
        </w:tc>
        <w:tc>
          <w:tcPr>
            <w:tcW w:w="1044" w:type="pct"/>
          </w:tcPr>
          <w:p w:rsidR="008E273C" w:rsidRDefault="008E273C" w:rsidP="00F43665">
            <w:pPr>
              <w:pStyle w:val="BodyText"/>
            </w:pPr>
            <w:r>
              <w:rPr>
                <w:rStyle w:val="Bulletcolour"/>
              </w:rPr>
              <w:t>29.8 million</w:t>
            </w:r>
          </w:p>
        </w:tc>
        <w:tc>
          <w:tcPr>
            <w:tcW w:w="1044" w:type="pct"/>
          </w:tcPr>
          <w:p w:rsidR="008E273C" w:rsidRDefault="008E273C" w:rsidP="00F43665">
            <w:pPr>
              <w:pStyle w:val="BodyText"/>
            </w:pPr>
            <w:r>
              <w:rPr>
                <w:rStyle w:val="Bulletcolour"/>
              </w:rPr>
              <w:t>31.6 million</w:t>
            </w:r>
          </w:p>
        </w:tc>
        <w:tc>
          <w:tcPr>
            <w:tcW w:w="1044" w:type="pct"/>
          </w:tcPr>
          <w:p w:rsidR="008E273C" w:rsidRDefault="008E273C" w:rsidP="00F43665">
            <w:pPr>
              <w:pStyle w:val="BodyText"/>
            </w:pPr>
            <w:r>
              <w:rPr>
                <w:rStyle w:val="Bulletcolour"/>
              </w:rPr>
              <w:t>32.2 million</w:t>
            </w:r>
          </w:p>
        </w:tc>
      </w:tr>
      <w:tr w:rsidR="008E273C" w:rsidTr="00F43665">
        <w:trPr>
          <w:trHeight w:val="60"/>
        </w:trPr>
        <w:tc>
          <w:tcPr>
            <w:tcW w:w="1869" w:type="pct"/>
          </w:tcPr>
          <w:p w:rsidR="008E273C" w:rsidRPr="00F43665" w:rsidRDefault="008E273C" w:rsidP="00F43665">
            <w:pPr>
              <w:pStyle w:val="BodyText"/>
              <w:rPr>
                <w:b/>
              </w:rPr>
            </w:pPr>
            <w:r w:rsidRPr="00F43665">
              <w:rPr>
                <w:rStyle w:val="Bulletcolour"/>
                <w:b/>
              </w:rPr>
              <w:t>Simple Mail Transfer Protocol</w:t>
            </w: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r>
      <w:tr w:rsidR="008E273C" w:rsidTr="00F43665">
        <w:trPr>
          <w:trHeight w:val="60"/>
        </w:trPr>
        <w:tc>
          <w:tcPr>
            <w:tcW w:w="1869" w:type="pct"/>
          </w:tcPr>
          <w:p w:rsidR="008E273C" w:rsidRDefault="008E273C" w:rsidP="00F43665">
            <w:pPr>
              <w:pStyle w:val="BodyText"/>
            </w:pPr>
            <w:r>
              <w:rPr>
                <w:rStyle w:val="Bulletcolour"/>
              </w:rPr>
              <w:lastRenderedPageBreak/>
              <w:t>Simplified billing</w:t>
            </w:r>
          </w:p>
        </w:tc>
        <w:tc>
          <w:tcPr>
            <w:tcW w:w="1044" w:type="pct"/>
          </w:tcPr>
          <w:p w:rsidR="008E273C" w:rsidRDefault="008E273C" w:rsidP="00F43665">
            <w:pPr>
              <w:pStyle w:val="BodyText"/>
            </w:pPr>
            <w:r>
              <w:rPr>
                <w:rStyle w:val="Bulletcolour"/>
              </w:rPr>
              <w:t>4.1 million</w:t>
            </w:r>
          </w:p>
        </w:tc>
        <w:tc>
          <w:tcPr>
            <w:tcW w:w="1044" w:type="pct"/>
          </w:tcPr>
          <w:p w:rsidR="008E273C" w:rsidRDefault="008E273C" w:rsidP="00F43665">
            <w:pPr>
              <w:pStyle w:val="BodyText"/>
            </w:pPr>
            <w:r>
              <w:rPr>
                <w:rStyle w:val="Bulletcolour"/>
              </w:rPr>
              <w:t>2.8 million</w:t>
            </w:r>
          </w:p>
        </w:tc>
        <w:tc>
          <w:tcPr>
            <w:tcW w:w="1044" w:type="pct"/>
          </w:tcPr>
          <w:p w:rsidR="008E273C" w:rsidRDefault="008E273C" w:rsidP="00F43665">
            <w:pPr>
              <w:pStyle w:val="BodyText"/>
            </w:pPr>
            <w:r>
              <w:rPr>
                <w:rStyle w:val="Bulletcolour"/>
              </w:rPr>
              <w:t>1.8 million</w:t>
            </w:r>
          </w:p>
        </w:tc>
      </w:tr>
      <w:tr w:rsidR="008E273C" w:rsidTr="00F43665">
        <w:trPr>
          <w:trHeight w:val="60"/>
        </w:trPr>
        <w:tc>
          <w:tcPr>
            <w:tcW w:w="1869" w:type="pct"/>
          </w:tcPr>
          <w:p w:rsidR="008E273C" w:rsidRPr="00F43665" w:rsidRDefault="008E273C" w:rsidP="00F43665">
            <w:pPr>
              <w:pStyle w:val="BodyText"/>
              <w:rPr>
                <w:b/>
              </w:rPr>
            </w:pPr>
            <w:r w:rsidRPr="00F43665">
              <w:rPr>
                <w:rStyle w:val="Bulletcolour"/>
                <w:b/>
              </w:rPr>
              <w:t>Medicare Online Account</w:t>
            </w:r>
            <w:r w:rsidRPr="00F43665">
              <w:rPr>
                <w:rStyle w:val="Bulletcolour"/>
                <w:b/>
                <w:vertAlign w:val="superscript"/>
              </w:rPr>
              <w:t>(b)</w:t>
            </w: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r>
      <w:tr w:rsidR="008E273C" w:rsidTr="00F43665">
        <w:trPr>
          <w:trHeight w:val="60"/>
        </w:trPr>
        <w:tc>
          <w:tcPr>
            <w:tcW w:w="1869" w:type="pct"/>
          </w:tcPr>
          <w:p w:rsidR="008E273C" w:rsidRDefault="008E273C" w:rsidP="00F43665">
            <w:pPr>
              <w:pStyle w:val="BodyText"/>
            </w:pPr>
            <w:r>
              <w:rPr>
                <w:rStyle w:val="Bulletcolour"/>
              </w:rPr>
              <w:t>Patient claiming</w:t>
            </w:r>
          </w:p>
        </w:tc>
        <w:tc>
          <w:tcPr>
            <w:tcW w:w="1044" w:type="pct"/>
          </w:tcPr>
          <w:p w:rsidR="008E273C" w:rsidRDefault="008E273C" w:rsidP="00F43665">
            <w:pPr>
              <w:pStyle w:val="BodyText"/>
            </w:pPr>
            <w:r>
              <w:rPr>
                <w:rStyle w:val="Bulletcolour"/>
              </w:rPr>
              <w:t>138,000</w:t>
            </w:r>
          </w:p>
        </w:tc>
        <w:tc>
          <w:tcPr>
            <w:tcW w:w="1044" w:type="pct"/>
          </w:tcPr>
          <w:p w:rsidR="008E273C" w:rsidRDefault="008E273C" w:rsidP="00F43665">
            <w:pPr>
              <w:pStyle w:val="BodyText"/>
            </w:pPr>
            <w:r>
              <w:rPr>
                <w:rStyle w:val="Bulletcolour"/>
              </w:rPr>
              <w:t>1.1 million</w:t>
            </w:r>
            <w:r>
              <w:rPr>
                <w:rStyle w:val="Bulletcolour"/>
                <w:vertAlign w:val="superscript"/>
              </w:rPr>
              <w:t>(b)</w:t>
            </w:r>
          </w:p>
        </w:tc>
        <w:tc>
          <w:tcPr>
            <w:tcW w:w="1044" w:type="pct"/>
          </w:tcPr>
          <w:p w:rsidR="008E273C" w:rsidRDefault="008E273C" w:rsidP="00F43665">
            <w:pPr>
              <w:pStyle w:val="BodyText"/>
            </w:pPr>
            <w:r>
              <w:rPr>
                <w:rStyle w:val="Bulletcolour"/>
              </w:rPr>
              <w:t>1.4 million</w:t>
            </w:r>
          </w:p>
        </w:tc>
      </w:tr>
      <w:tr w:rsidR="008E273C" w:rsidTr="00F43665">
        <w:trPr>
          <w:trHeight w:val="60"/>
        </w:trPr>
        <w:tc>
          <w:tcPr>
            <w:tcW w:w="1869" w:type="pct"/>
          </w:tcPr>
          <w:p w:rsidR="008E273C" w:rsidRPr="00F43665" w:rsidRDefault="008E273C" w:rsidP="00F43665">
            <w:pPr>
              <w:pStyle w:val="BodyText"/>
              <w:rPr>
                <w:b/>
              </w:rPr>
            </w:pPr>
            <w:r w:rsidRPr="00F43665">
              <w:rPr>
                <w:rStyle w:val="Bulletcolour"/>
                <w:b/>
              </w:rPr>
              <w:t>Express Plus Medicare mobile app</w:t>
            </w:r>
            <w:r w:rsidRPr="00F43665">
              <w:rPr>
                <w:rStyle w:val="Bulletcolour"/>
                <w:b/>
                <w:vertAlign w:val="superscript"/>
              </w:rPr>
              <w:t>(c)</w:t>
            </w: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r>
      <w:tr w:rsidR="008E273C" w:rsidTr="00F43665">
        <w:trPr>
          <w:trHeight w:val="60"/>
        </w:trPr>
        <w:tc>
          <w:tcPr>
            <w:tcW w:w="1869" w:type="pct"/>
          </w:tcPr>
          <w:p w:rsidR="008E273C" w:rsidRDefault="008E273C" w:rsidP="00F43665">
            <w:pPr>
              <w:pStyle w:val="BodyText"/>
            </w:pPr>
            <w:r>
              <w:rPr>
                <w:rStyle w:val="Bulletcolour"/>
              </w:rPr>
              <w:t>Patient claiming</w:t>
            </w:r>
          </w:p>
        </w:tc>
        <w:tc>
          <w:tcPr>
            <w:tcW w:w="1044" w:type="pct"/>
          </w:tcPr>
          <w:p w:rsidR="008E273C" w:rsidRDefault="008E273C" w:rsidP="00F43665">
            <w:pPr>
              <w:pStyle w:val="BodyText"/>
            </w:pPr>
            <w:r>
              <w:rPr>
                <w:rStyle w:val="Bulletcolour"/>
              </w:rPr>
              <w:t>NA</w:t>
            </w:r>
          </w:p>
        </w:tc>
        <w:tc>
          <w:tcPr>
            <w:tcW w:w="1044" w:type="pct"/>
          </w:tcPr>
          <w:p w:rsidR="008E273C" w:rsidRDefault="008E273C" w:rsidP="00F43665">
            <w:pPr>
              <w:pStyle w:val="BodyText"/>
            </w:pPr>
            <w:r>
              <w:rPr>
                <w:rStyle w:val="Bulletcolour"/>
              </w:rPr>
              <w:t>364 000</w:t>
            </w:r>
            <w:r>
              <w:rPr>
                <w:rStyle w:val="Bulletcolour"/>
                <w:vertAlign w:val="superscript"/>
              </w:rPr>
              <w:t>(c)</w:t>
            </w:r>
          </w:p>
        </w:tc>
        <w:tc>
          <w:tcPr>
            <w:tcW w:w="1044" w:type="pct"/>
          </w:tcPr>
          <w:p w:rsidR="008E273C" w:rsidRDefault="008E273C" w:rsidP="00F43665">
            <w:pPr>
              <w:pStyle w:val="BodyText"/>
            </w:pPr>
            <w:r>
              <w:rPr>
                <w:rStyle w:val="Bulletcolour"/>
              </w:rPr>
              <w:t>891,000</w:t>
            </w:r>
          </w:p>
        </w:tc>
      </w:tr>
      <w:tr w:rsidR="008E273C" w:rsidTr="00F43665">
        <w:trPr>
          <w:trHeight w:val="60"/>
        </w:trPr>
        <w:tc>
          <w:tcPr>
            <w:tcW w:w="1869" w:type="pct"/>
          </w:tcPr>
          <w:p w:rsidR="008E273C" w:rsidRPr="00F43665" w:rsidRDefault="008E273C" w:rsidP="00F43665">
            <w:pPr>
              <w:pStyle w:val="BodyText"/>
              <w:rPr>
                <w:b/>
              </w:rPr>
            </w:pPr>
            <w:r w:rsidRPr="00F43665">
              <w:rPr>
                <w:rStyle w:val="Bulletcolour"/>
                <w:b/>
              </w:rPr>
              <w:t>Health Professionals Online Service</w:t>
            </w: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c>
          <w:tcPr>
            <w:tcW w:w="1044" w:type="pct"/>
          </w:tcPr>
          <w:p w:rsidR="008E273C" w:rsidRPr="00F43665" w:rsidRDefault="008E273C" w:rsidP="00F43665">
            <w:pPr>
              <w:pStyle w:val="BodyText"/>
              <w:rPr>
                <w:b/>
              </w:rPr>
            </w:pPr>
          </w:p>
        </w:tc>
      </w:tr>
      <w:tr w:rsidR="008E273C" w:rsidTr="00F43665">
        <w:trPr>
          <w:trHeight w:val="60"/>
        </w:trPr>
        <w:tc>
          <w:tcPr>
            <w:tcW w:w="1869" w:type="pct"/>
          </w:tcPr>
          <w:p w:rsidR="008E273C" w:rsidRDefault="008E273C" w:rsidP="00F43665">
            <w:pPr>
              <w:pStyle w:val="BodyText"/>
            </w:pPr>
            <w:r>
              <w:rPr>
                <w:rStyle w:val="Bulletcolour"/>
              </w:rPr>
              <w:t>Bulk Billing</w:t>
            </w:r>
          </w:p>
        </w:tc>
        <w:tc>
          <w:tcPr>
            <w:tcW w:w="1044" w:type="pct"/>
          </w:tcPr>
          <w:p w:rsidR="008E273C" w:rsidRDefault="008E273C" w:rsidP="00F43665">
            <w:pPr>
              <w:pStyle w:val="BodyText"/>
            </w:pPr>
            <w:r>
              <w:rPr>
                <w:rStyle w:val="Bulletcolour"/>
              </w:rPr>
              <w:t>1,557,600</w:t>
            </w:r>
          </w:p>
        </w:tc>
        <w:tc>
          <w:tcPr>
            <w:tcW w:w="1044" w:type="pct"/>
          </w:tcPr>
          <w:p w:rsidR="008E273C" w:rsidRDefault="008E273C" w:rsidP="00F43665">
            <w:pPr>
              <w:pStyle w:val="BodyText"/>
            </w:pPr>
            <w:r>
              <w:rPr>
                <w:rStyle w:val="Bulletcolour"/>
              </w:rPr>
              <w:t>1,975,600</w:t>
            </w:r>
          </w:p>
        </w:tc>
        <w:tc>
          <w:tcPr>
            <w:tcW w:w="1044" w:type="pct"/>
          </w:tcPr>
          <w:p w:rsidR="008E273C" w:rsidRDefault="008E273C" w:rsidP="00F43665">
            <w:pPr>
              <w:pStyle w:val="BodyText"/>
            </w:pPr>
            <w:r>
              <w:rPr>
                <w:rStyle w:val="Bulletcolour"/>
              </w:rPr>
              <w:t>2.4 million</w:t>
            </w:r>
          </w:p>
        </w:tc>
      </w:tr>
      <w:tr w:rsidR="008E273C" w:rsidTr="00F43665">
        <w:trPr>
          <w:trHeight w:val="60"/>
        </w:trPr>
        <w:tc>
          <w:tcPr>
            <w:tcW w:w="1869" w:type="pct"/>
          </w:tcPr>
          <w:p w:rsidR="008E273C" w:rsidRDefault="008E273C" w:rsidP="00F43665">
            <w:pPr>
              <w:pStyle w:val="BodyText"/>
            </w:pPr>
            <w:r>
              <w:rPr>
                <w:rStyle w:val="Bulletcolour"/>
              </w:rPr>
              <w:t>Patient claiming</w:t>
            </w:r>
          </w:p>
        </w:tc>
        <w:tc>
          <w:tcPr>
            <w:tcW w:w="1044" w:type="pct"/>
          </w:tcPr>
          <w:p w:rsidR="008E273C" w:rsidRDefault="008E273C" w:rsidP="00F43665">
            <w:pPr>
              <w:pStyle w:val="BodyText"/>
            </w:pPr>
            <w:r>
              <w:rPr>
                <w:rStyle w:val="Bulletcolour"/>
              </w:rPr>
              <w:t>131,800</w:t>
            </w:r>
          </w:p>
        </w:tc>
        <w:tc>
          <w:tcPr>
            <w:tcW w:w="1044" w:type="pct"/>
          </w:tcPr>
          <w:p w:rsidR="008E273C" w:rsidRDefault="008E273C" w:rsidP="00F43665">
            <w:pPr>
              <w:pStyle w:val="BodyText"/>
            </w:pPr>
            <w:r>
              <w:rPr>
                <w:rStyle w:val="Bulletcolour"/>
              </w:rPr>
              <w:t>189,400</w:t>
            </w:r>
          </w:p>
        </w:tc>
        <w:tc>
          <w:tcPr>
            <w:tcW w:w="1044" w:type="pct"/>
          </w:tcPr>
          <w:p w:rsidR="008E273C" w:rsidRDefault="008E273C" w:rsidP="00F43665">
            <w:pPr>
              <w:pStyle w:val="BodyText"/>
            </w:pPr>
            <w:r>
              <w:rPr>
                <w:rStyle w:val="Bulletcolour"/>
              </w:rPr>
              <w:t>231,800</w:t>
            </w:r>
          </w:p>
        </w:tc>
      </w:tr>
      <w:tr w:rsidR="008E273C" w:rsidTr="00F43665">
        <w:trPr>
          <w:trHeight w:val="60"/>
        </w:trPr>
        <w:tc>
          <w:tcPr>
            <w:tcW w:w="1869" w:type="pct"/>
          </w:tcPr>
          <w:p w:rsidR="008E273C" w:rsidRPr="00F43665" w:rsidRDefault="008E273C" w:rsidP="00F43665">
            <w:pPr>
              <w:pStyle w:val="BodyText"/>
              <w:rPr>
                <w:b/>
              </w:rPr>
            </w:pPr>
            <w:r w:rsidRPr="00F43665">
              <w:rPr>
                <w:rStyle w:val="Bulletcolour"/>
                <w:b/>
              </w:rPr>
              <w:t>Total digital services</w:t>
            </w:r>
          </w:p>
        </w:tc>
        <w:tc>
          <w:tcPr>
            <w:tcW w:w="1044" w:type="pct"/>
          </w:tcPr>
          <w:p w:rsidR="008E273C" w:rsidRPr="00F43665" w:rsidRDefault="008E273C" w:rsidP="00F43665">
            <w:pPr>
              <w:pStyle w:val="BodyText"/>
              <w:rPr>
                <w:b/>
              </w:rPr>
            </w:pPr>
            <w:r w:rsidRPr="00F43665">
              <w:rPr>
                <w:rStyle w:val="Bulletcolour"/>
                <w:b/>
              </w:rPr>
              <w:t>411.0 million</w:t>
            </w:r>
          </w:p>
        </w:tc>
        <w:tc>
          <w:tcPr>
            <w:tcW w:w="1044" w:type="pct"/>
          </w:tcPr>
          <w:p w:rsidR="008E273C" w:rsidRPr="00F43665" w:rsidRDefault="008E273C" w:rsidP="00F43665">
            <w:pPr>
              <w:pStyle w:val="BodyText"/>
              <w:rPr>
                <w:b/>
              </w:rPr>
            </w:pPr>
            <w:r w:rsidRPr="00F43665">
              <w:rPr>
                <w:rStyle w:val="Bulletcolour"/>
                <w:b/>
              </w:rPr>
              <w:t>423.6 million</w:t>
            </w:r>
          </w:p>
        </w:tc>
        <w:tc>
          <w:tcPr>
            <w:tcW w:w="1044" w:type="pct"/>
          </w:tcPr>
          <w:p w:rsidR="008E273C" w:rsidRPr="00F43665" w:rsidRDefault="008E273C" w:rsidP="00F43665">
            <w:pPr>
              <w:pStyle w:val="BodyText"/>
              <w:rPr>
                <w:b/>
              </w:rPr>
            </w:pPr>
            <w:r w:rsidRPr="00F43665">
              <w:rPr>
                <w:rStyle w:val="Bulletcolour"/>
                <w:b/>
              </w:rPr>
              <w:t>429.4 million</w:t>
            </w:r>
          </w:p>
        </w:tc>
      </w:tr>
      <w:tr w:rsidR="008E273C" w:rsidTr="00F43665">
        <w:trPr>
          <w:trHeight w:val="60"/>
        </w:trPr>
        <w:tc>
          <w:tcPr>
            <w:tcW w:w="1869" w:type="pct"/>
          </w:tcPr>
          <w:p w:rsidR="008E273C" w:rsidRDefault="008E273C" w:rsidP="00F43665">
            <w:pPr>
              <w:pStyle w:val="BodyText"/>
            </w:pPr>
            <w:r>
              <w:rPr>
                <w:rStyle w:val="Bulletcolour"/>
              </w:rPr>
              <w:t>Percentage of overall claims lodged digitally</w:t>
            </w:r>
          </w:p>
        </w:tc>
        <w:tc>
          <w:tcPr>
            <w:tcW w:w="1044" w:type="pct"/>
          </w:tcPr>
          <w:p w:rsidR="008E273C" w:rsidRDefault="008E273C" w:rsidP="00F43665">
            <w:pPr>
              <w:pStyle w:val="BodyText"/>
            </w:pPr>
            <w:r>
              <w:rPr>
                <w:rStyle w:val="Bulletcolour"/>
              </w:rPr>
              <w:t>97.9</w:t>
            </w:r>
          </w:p>
        </w:tc>
        <w:tc>
          <w:tcPr>
            <w:tcW w:w="1044" w:type="pct"/>
          </w:tcPr>
          <w:p w:rsidR="008E273C" w:rsidRDefault="008E273C" w:rsidP="00F43665">
            <w:pPr>
              <w:pStyle w:val="BodyText"/>
            </w:pPr>
            <w:r>
              <w:rPr>
                <w:rStyle w:val="Bulletcolour"/>
              </w:rPr>
              <w:t>98.6</w:t>
            </w:r>
          </w:p>
        </w:tc>
        <w:tc>
          <w:tcPr>
            <w:tcW w:w="1044" w:type="pct"/>
          </w:tcPr>
          <w:p w:rsidR="008E273C" w:rsidRDefault="008E273C" w:rsidP="00F43665">
            <w:pPr>
              <w:pStyle w:val="BodyText"/>
            </w:pPr>
            <w:r>
              <w:rPr>
                <w:rStyle w:val="Bulletcolour"/>
              </w:rPr>
              <w:t>99.2</w:t>
            </w:r>
          </w:p>
        </w:tc>
      </w:tr>
    </w:tbl>
    <w:p w:rsidR="008E273C" w:rsidRDefault="008E273C" w:rsidP="00F43665">
      <w:pPr>
        <w:pStyle w:val="BodyText"/>
      </w:pPr>
      <w:r>
        <w:t>(a)</w:t>
      </w:r>
      <w:r w:rsidR="00F43665">
        <w:t xml:space="preserve"> </w:t>
      </w:r>
      <w:r>
        <w:t xml:space="preserve">ECLIPSE = Electronic Claim Lodgement Information Processing Service Environment. </w:t>
      </w:r>
    </w:p>
    <w:p w:rsidR="008E273C" w:rsidRDefault="008E273C" w:rsidP="00F43665">
      <w:pPr>
        <w:pStyle w:val="BodyText"/>
      </w:pPr>
      <w:r>
        <w:t>(b)</w:t>
      </w:r>
      <w:r w:rsidR="00F43665">
        <w:t xml:space="preserve"> </w:t>
      </w:r>
      <w:r>
        <w:t>Improvements made to Medicare Online Account in June 2018 led to strong growth in claims in</w:t>
      </w:r>
      <w:r>
        <w:rPr>
          <w:rStyle w:val="NoBreak"/>
        </w:rPr>
        <w:t xml:space="preserve"> 2019</w:t>
      </w:r>
      <w:r>
        <w:t>–20.</w:t>
      </w:r>
    </w:p>
    <w:p w:rsidR="008E273C" w:rsidRDefault="008E273C" w:rsidP="00F43665">
      <w:pPr>
        <w:pStyle w:val="BodyText"/>
      </w:pPr>
      <w:r>
        <w:t>(c)</w:t>
      </w:r>
      <w:r w:rsidR="00F43665">
        <w:t xml:space="preserve"> </w:t>
      </w:r>
      <w:r>
        <w:t xml:space="preserve">Improvements were made to the Express </w:t>
      </w:r>
      <w:proofErr w:type="gramStart"/>
      <w:r>
        <w:t>Plus</w:t>
      </w:r>
      <w:proofErr w:type="gramEnd"/>
      <w:r>
        <w:t xml:space="preserve"> Medicare mobile app in February 2019. </w:t>
      </w:r>
    </w:p>
    <w:p w:rsidR="008E273C" w:rsidRDefault="008E273C" w:rsidP="008E273C">
      <w:pPr>
        <w:pStyle w:val="Heading3"/>
      </w:pPr>
      <w:r>
        <w:t>Health professionals under Medicare</w:t>
      </w:r>
    </w:p>
    <w:p w:rsidR="008E273C" w:rsidRDefault="008E273C" w:rsidP="008E273C">
      <w:pPr>
        <w:pStyle w:val="BodyText"/>
      </w:pPr>
      <w:r>
        <w:t xml:space="preserve">Where an eligible health professional provides services covered by Medicare, they have a Medicare provider number for each practice location. </w:t>
      </w:r>
    </w:p>
    <w:p w:rsidR="008E273C" w:rsidRDefault="008E273C" w:rsidP="008E273C">
      <w:pPr>
        <w:pStyle w:val="BodyText"/>
      </w:pPr>
      <w:r>
        <w:t>The provider number allows the health professional to prescribe medications, refer or request health services for patients, and claim benefits under the Medicare Benefits Scheme (MBS) and on behalf of DVA.</w:t>
      </w:r>
    </w:p>
    <w:p w:rsidR="008E273C" w:rsidRDefault="008E273C" w:rsidP="008E273C">
      <w:pPr>
        <w:pStyle w:val="BodyText"/>
      </w:pPr>
      <w:r>
        <w:t>In 2019–20 the department issued 183,998 Medicare provider numbers.</w:t>
      </w:r>
    </w:p>
    <w:p w:rsidR="008E273C" w:rsidRDefault="008E273C" w:rsidP="008E273C">
      <w:pPr>
        <w:pStyle w:val="BodyText"/>
      </w:pPr>
      <w:r>
        <w:t>Practices that have diagnostic imaging services, including radiation oncology, must be registered with the agency and have a Location Specific Practice Number to claim Medicare benefits.</w:t>
      </w:r>
    </w:p>
    <w:p w:rsidR="008E273C" w:rsidRPr="008A31BD" w:rsidRDefault="008A31BD" w:rsidP="008A31BD">
      <w:pPr>
        <w:pStyle w:val="BodyText"/>
        <w:rPr>
          <w:b/>
        </w:rPr>
      </w:pPr>
      <w:r w:rsidRPr="008A31BD">
        <w:rPr>
          <w:b/>
        </w:rPr>
        <w:t>Table 8:</w:t>
      </w:r>
      <w:r w:rsidR="008E273C" w:rsidRPr="008A31BD">
        <w:rPr>
          <w:b/>
        </w:rPr>
        <w:t xml:space="preserve"> Health professionals under Medicare</w:t>
      </w:r>
    </w:p>
    <w:tbl>
      <w:tblPr>
        <w:tblStyle w:val="TableGrid"/>
        <w:tblW w:w="5000" w:type="pct"/>
        <w:tblLook w:val="0000" w:firstRow="0" w:lastRow="0" w:firstColumn="0" w:lastColumn="0" w:noHBand="0" w:noVBand="0"/>
        <w:tblCaption w:val="Table 8: Health professionals under Medicare"/>
        <w:tblDescription w:val="Table 8: Health professionals under Medicare"/>
      </w:tblPr>
      <w:tblGrid>
        <w:gridCol w:w="5626"/>
        <w:gridCol w:w="1824"/>
        <w:gridCol w:w="1824"/>
        <w:gridCol w:w="1822"/>
      </w:tblGrid>
      <w:tr w:rsidR="008E273C" w:rsidTr="008A31BD">
        <w:trPr>
          <w:trHeight w:val="60"/>
          <w:tblHeader/>
        </w:trPr>
        <w:tc>
          <w:tcPr>
            <w:tcW w:w="2535" w:type="pct"/>
          </w:tcPr>
          <w:p w:rsidR="008E273C" w:rsidRPr="008A31BD" w:rsidRDefault="008E273C" w:rsidP="008A31BD">
            <w:pPr>
              <w:pStyle w:val="BodyText"/>
              <w:rPr>
                <w:b/>
              </w:rPr>
            </w:pPr>
          </w:p>
        </w:tc>
        <w:tc>
          <w:tcPr>
            <w:tcW w:w="822" w:type="pct"/>
          </w:tcPr>
          <w:p w:rsidR="008E273C" w:rsidRPr="008A31BD" w:rsidRDefault="008E273C" w:rsidP="008A31BD">
            <w:pPr>
              <w:pStyle w:val="BodyText"/>
              <w:rPr>
                <w:b/>
              </w:rPr>
            </w:pPr>
            <w:r w:rsidRPr="008A31BD">
              <w:rPr>
                <w:rStyle w:val="Bulletcolour"/>
                <w:b/>
              </w:rPr>
              <w:t>2017–18</w:t>
            </w:r>
          </w:p>
        </w:tc>
        <w:tc>
          <w:tcPr>
            <w:tcW w:w="822" w:type="pct"/>
          </w:tcPr>
          <w:p w:rsidR="008E273C" w:rsidRPr="008A31BD" w:rsidRDefault="008E273C" w:rsidP="008A31BD">
            <w:pPr>
              <w:pStyle w:val="BodyText"/>
              <w:rPr>
                <w:b/>
              </w:rPr>
            </w:pPr>
            <w:r w:rsidRPr="008A31BD">
              <w:rPr>
                <w:rStyle w:val="Bulletcolour"/>
                <w:b/>
              </w:rPr>
              <w:t>2018–19</w:t>
            </w:r>
          </w:p>
        </w:tc>
        <w:tc>
          <w:tcPr>
            <w:tcW w:w="822" w:type="pct"/>
          </w:tcPr>
          <w:p w:rsidR="008E273C" w:rsidRPr="008A31BD" w:rsidRDefault="008E273C" w:rsidP="008A31BD">
            <w:pPr>
              <w:pStyle w:val="BodyText"/>
              <w:rPr>
                <w:b/>
              </w:rPr>
            </w:pPr>
            <w:r w:rsidRPr="008A31BD">
              <w:rPr>
                <w:rStyle w:val="Bulletcolour"/>
                <w:b/>
              </w:rPr>
              <w:t>2019–20</w:t>
            </w:r>
          </w:p>
        </w:tc>
      </w:tr>
      <w:tr w:rsidR="008E273C" w:rsidTr="008A31BD">
        <w:trPr>
          <w:trHeight w:val="60"/>
        </w:trPr>
        <w:tc>
          <w:tcPr>
            <w:tcW w:w="2535" w:type="pct"/>
          </w:tcPr>
          <w:p w:rsidR="008E273C" w:rsidRDefault="008E273C" w:rsidP="008A31BD">
            <w:pPr>
              <w:pStyle w:val="BodyText"/>
            </w:pPr>
            <w:r>
              <w:rPr>
                <w:rStyle w:val="Bulletcolour"/>
              </w:rPr>
              <w:t>Medicare provider numbers issued</w:t>
            </w:r>
            <w:r>
              <w:rPr>
                <w:rStyle w:val="Bulletcolour"/>
                <w:vertAlign w:val="superscript"/>
              </w:rPr>
              <w:t>(a)</w:t>
            </w:r>
          </w:p>
        </w:tc>
        <w:tc>
          <w:tcPr>
            <w:tcW w:w="822" w:type="pct"/>
          </w:tcPr>
          <w:p w:rsidR="008E273C" w:rsidRDefault="008E273C" w:rsidP="008A31BD">
            <w:pPr>
              <w:pStyle w:val="BodyText"/>
            </w:pPr>
            <w:r>
              <w:rPr>
                <w:rStyle w:val="Bulletcolour"/>
              </w:rPr>
              <w:t>185,368</w:t>
            </w:r>
          </w:p>
        </w:tc>
        <w:tc>
          <w:tcPr>
            <w:tcW w:w="822" w:type="pct"/>
          </w:tcPr>
          <w:p w:rsidR="008E273C" w:rsidRDefault="008E273C" w:rsidP="008A31BD">
            <w:pPr>
              <w:pStyle w:val="BodyText"/>
            </w:pPr>
            <w:r>
              <w:rPr>
                <w:rStyle w:val="Bulletcolour"/>
              </w:rPr>
              <w:t>183,998</w:t>
            </w:r>
          </w:p>
        </w:tc>
        <w:tc>
          <w:tcPr>
            <w:tcW w:w="822" w:type="pct"/>
          </w:tcPr>
          <w:p w:rsidR="008E273C" w:rsidRDefault="008E273C" w:rsidP="008A31BD">
            <w:pPr>
              <w:pStyle w:val="BodyText"/>
            </w:pPr>
            <w:r>
              <w:rPr>
                <w:rStyle w:val="Bulletcolour"/>
              </w:rPr>
              <w:t>193,363</w:t>
            </w:r>
          </w:p>
        </w:tc>
      </w:tr>
      <w:tr w:rsidR="008E273C" w:rsidTr="008A31BD">
        <w:trPr>
          <w:trHeight w:val="60"/>
        </w:trPr>
        <w:tc>
          <w:tcPr>
            <w:tcW w:w="2535" w:type="pct"/>
          </w:tcPr>
          <w:p w:rsidR="008E273C" w:rsidRDefault="008E273C" w:rsidP="008A31BD">
            <w:pPr>
              <w:pStyle w:val="BodyText"/>
            </w:pPr>
            <w:r>
              <w:rPr>
                <w:rStyle w:val="Bulletcolour"/>
              </w:rPr>
              <w:t>Diagnostic imaging practices registered</w:t>
            </w:r>
          </w:p>
        </w:tc>
        <w:tc>
          <w:tcPr>
            <w:tcW w:w="822" w:type="pct"/>
          </w:tcPr>
          <w:p w:rsidR="008E273C" w:rsidRDefault="008E273C" w:rsidP="008A31BD">
            <w:pPr>
              <w:pStyle w:val="BodyText"/>
            </w:pPr>
            <w:r>
              <w:rPr>
                <w:rStyle w:val="Bulletcolour"/>
              </w:rPr>
              <w:t>5,058</w:t>
            </w:r>
          </w:p>
        </w:tc>
        <w:tc>
          <w:tcPr>
            <w:tcW w:w="822" w:type="pct"/>
          </w:tcPr>
          <w:p w:rsidR="008E273C" w:rsidRDefault="008E273C" w:rsidP="008A31BD">
            <w:pPr>
              <w:pStyle w:val="BodyText"/>
            </w:pPr>
            <w:r>
              <w:rPr>
                <w:rStyle w:val="Bulletcolour"/>
              </w:rPr>
              <w:t>5,221</w:t>
            </w:r>
          </w:p>
        </w:tc>
        <w:tc>
          <w:tcPr>
            <w:tcW w:w="822" w:type="pct"/>
          </w:tcPr>
          <w:p w:rsidR="008E273C" w:rsidRDefault="008E273C" w:rsidP="008A31BD">
            <w:pPr>
              <w:pStyle w:val="BodyText"/>
            </w:pPr>
            <w:r>
              <w:rPr>
                <w:rStyle w:val="Bulletcolour"/>
              </w:rPr>
              <w:t>5,235</w:t>
            </w:r>
          </w:p>
        </w:tc>
      </w:tr>
      <w:tr w:rsidR="008E273C" w:rsidTr="008A31BD">
        <w:trPr>
          <w:trHeight w:val="60"/>
        </w:trPr>
        <w:tc>
          <w:tcPr>
            <w:tcW w:w="2535" w:type="pct"/>
          </w:tcPr>
          <w:p w:rsidR="008E273C" w:rsidRDefault="008E273C" w:rsidP="008A31BD">
            <w:pPr>
              <w:pStyle w:val="BodyText"/>
            </w:pPr>
            <w:r>
              <w:rPr>
                <w:rStyle w:val="Bulletcolour"/>
              </w:rPr>
              <w:t>Approved Pathology Authorities</w:t>
            </w:r>
          </w:p>
        </w:tc>
        <w:tc>
          <w:tcPr>
            <w:tcW w:w="822" w:type="pct"/>
          </w:tcPr>
          <w:p w:rsidR="008E273C" w:rsidRDefault="008E273C" w:rsidP="008A31BD">
            <w:pPr>
              <w:pStyle w:val="BodyText"/>
            </w:pPr>
            <w:r>
              <w:rPr>
                <w:rStyle w:val="Bulletcolour"/>
              </w:rPr>
              <w:t>107</w:t>
            </w:r>
          </w:p>
        </w:tc>
        <w:tc>
          <w:tcPr>
            <w:tcW w:w="822" w:type="pct"/>
          </w:tcPr>
          <w:p w:rsidR="008E273C" w:rsidRDefault="008E273C" w:rsidP="008A31BD">
            <w:pPr>
              <w:pStyle w:val="BodyText"/>
            </w:pPr>
            <w:r>
              <w:rPr>
                <w:rStyle w:val="Bulletcolour"/>
              </w:rPr>
              <w:t>98</w:t>
            </w:r>
          </w:p>
        </w:tc>
        <w:tc>
          <w:tcPr>
            <w:tcW w:w="822" w:type="pct"/>
          </w:tcPr>
          <w:p w:rsidR="008E273C" w:rsidRDefault="008E273C" w:rsidP="008A31BD">
            <w:pPr>
              <w:pStyle w:val="BodyText"/>
            </w:pPr>
            <w:r>
              <w:rPr>
                <w:rStyle w:val="Bulletcolour"/>
              </w:rPr>
              <w:t>106</w:t>
            </w:r>
          </w:p>
        </w:tc>
      </w:tr>
      <w:tr w:rsidR="008E273C" w:rsidTr="008A31BD">
        <w:trPr>
          <w:trHeight w:val="60"/>
        </w:trPr>
        <w:tc>
          <w:tcPr>
            <w:tcW w:w="2535" w:type="pct"/>
          </w:tcPr>
          <w:p w:rsidR="008E273C" w:rsidRDefault="008E273C" w:rsidP="008A31BD">
            <w:pPr>
              <w:pStyle w:val="BodyText"/>
            </w:pPr>
            <w:r>
              <w:rPr>
                <w:rStyle w:val="Bulletcolour"/>
              </w:rPr>
              <w:t>Approved Pathology Practitioners</w:t>
            </w:r>
          </w:p>
        </w:tc>
        <w:tc>
          <w:tcPr>
            <w:tcW w:w="822" w:type="pct"/>
          </w:tcPr>
          <w:p w:rsidR="008E273C" w:rsidRDefault="008E273C" w:rsidP="008A31BD">
            <w:pPr>
              <w:pStyle w:val="BodyText"/>
            </w:pPr>
            <w:r>
              <w:rPr>
                <w:rStyle w:val="Bulletcolour"/>
              </w:rPr>
              <w:t>495</w:t>
            </w:r>
          </w:p>
        </w:tc>
        <w:tc>
          <w:tcPr>
            <w:tcW w:w="822" w:type="pct"/>
          </w:tcPr>
          <w:p w:rsidR="008E273C" w:rsidRDefault="008E273C" w:rsidP="008A31BD">
            <w:pPr>
              <w:pStyle w:val="BodyText"/>
            </w:pPr>
            <w:r>
              <w:rPr>
                <w:rStyle w:val="Bulletcolour"/>
              </w:rPr>
              <w:t>490</w:t>
            </w:r>
          </w:p>
        </w:tc>
        <w:tc>
          <w:tcPr>
            <w:tcW w:w="822" w:type="pct"/>
          </w:tcPr>
          <w:p w:rsidR="008E273C" w:rsidRDefault="008E273C" w:rsidP="008A31BD">
            <w:pPr>
              <w:pStyle w:val="BodyText"/>
            </w:pPr>
            <w:r>
              <w:rPr>
                <w:rStyle w:val="Bulletcolour"/>
              </w:rPr>
              <w:t>483</w:t>
            </w:r>
          </w:p>
        </w:tc>
      </w:tr>
      <w:tr w:rsidR="008E273C" w:rsidTr="008A31BD">
        <w:trPr>
          <w:trHeight w:val="60"/>
        </w:trPr>
        <w:tc>
          <w:tcPr>
            <w:tcW w:w="2535" w:type="pct"/>
          </w:tcPr>
          <w:p w:rsidR="008E273C" w:rsidRDefault="008E273C" w:rsidP="008A31BD">
            <w:pPr>
              <w:pStyle w:val="BodyText"/>
            </w:pPr>
            <w:r>
              <w:rPr>
                <w:rStyle w:val="Bulletcolour"/>
              </w:rPr>
              <w:t>Accredited Pathology Laboratories</w:t>
            </w:r>
          </w:p>
        </w:tc>
        <w:tc>
          <w:tcPr>
            <w:tcW w:w="822" w:type="pct"/>
          </w:tcPr>
          <w:p w:rsidR="008E273C" w:rsidRDefault="008E273C" w:rsidP="008A31BD">
            <w:pPr>
              <w:pStyle w:val="BodyText"/>
            </w:pPr>
            <w:r>
              <w:rPr>
                <w:rStyle w:val="Bulletcolour"/>
              </w:rPr>
              <w:t>741</w:t>
            </w:r>
          </w:p>
        </w:tc>
        <w:tc>
          <w:tcPr>
            <w:tcW w:w="822" w:type="pct"/>
          </w:tcPr>
          <w:p w:rsidR="008E273C" w:rsidRDefault="008E273C" w:rsidP="008A31BD">
            <w:pPr>
              <w:pStyle w:val="BodyText"/>
            </w:pPr>
            <w:r>
              <w:rPr>
                <w:rStyle w:val="Bulletcolour"/>
              </w:rPr>
              <w:t>728</w:t>
            </w:r>
          </w:p>
        </w:tc>
        <w:tc>
          <w:tcPr>
            <w:tcW w:w="822" w:type="pct"/>
          </w:tcPr>
          <w:p w:rsidR="008E273C" w:rsidRDefault="008E273C" w:rsidP="008A31BD">
            <w:pPr>
              <w:pStyle w:val="BodyText"/>
            </w:pPr>
            <w:r>
              <w:rPr>
                <w:rStyle w:val="Bulletcolour"/>
              </w:rPr>
              <w:t>697</w:t>
            </w:r>
          </w:p>
        </w:tc>
      </w:tr>
      <w:tr w:rsidR="008E273C" w:rsidTr="008A31BD">
        <w:trPr>
          <w:trHeight w:val="376"/>
        </w:trPr>
        <w:tc>
          <w:tcPr>
            <w:tcW w:w="2535" w:type="pct"/>
          </w:tcPr>
          <w:p w:rsidR="008E273C" w:rsidRDefault="008E273C" w:rsidP="008A31BD">
            <w:pPr>
              <w:pStyle w:val="BodyText"/>
            </w:pPr>
            <w:r>
              <w:rPr>
                <w:rStyle w:val="Bulletcolour"/>
              </w:rPr>
              <w:t>Approved Collection Centres</w:t>
            </w:r>
          </w:p>
        </w:tc>
        <w:tc>
          <w:tcPr>
            <w:tcW w:w="822" w:type="pct"/>
          </w:tcPr>
          <w:p w:rsidR="008E273C" w:rsidRDefault="008E273C" w:rsidP="008A31BD">
            <w:pPr>
              <w:pStyle w:val="BodyText"/>
            </w:pPr>
            <w:r>
              <w:rPr>
                <w:rStyle w:val="Bulletcolour"/>
              </w:rPr>
              <w:t>3,581</w:t>
            </w:r>
          </w:p>
        </w:tc>
        <w:tc>
          <w:tcPr>
            <w:tcW w:w="822" w:type="pct"/>
          </w:tcPr>
          <w:p w:rsidR="008E273C" w:rsidRDefault="008E273C" w:rsidP="008A31BD">
            <w:pPr>
              <w:pStyle w:val="BodyText"/>
            </w:pPr>
            <w:r>
              <w:rPr>
                <w:rStyle w:val="Bulletcolour"/>
              </w:rPr>
              <w:t>3,722</w:t>
            </w:r>
          </w:p>
        </w:tc>
        <w:tc>
          <w:tcPr>
            <w:tcW w:w="822" w:type="pct"/>
          </w:tcPr>
          <w:p w:rsidR="008E273C" w:rsidRDefault="008E273C" w:rsidP="008A31BD">
            <w:pPr>
              <w:pStyle w:val="BodyText"/>
            </w:pPr>
            <w:r>
              <w:rPr>
                <w:rStyle w:val="Bulletcolour"/>
              </w:rPr>
              <w:t>3,790</w:t>
            </w:r>
          </w:p>
        </w:tc>
      </w:tr>
    </w:tbl>
    <w:p w:rsidR="008E273C" w:rsidRDefault="008E273C" w:rsidP="008A31BD">
      <w:pPr>
        <w:pStyle w:val="BodyText"/>
      </w:pPr>
      <w:r>
        <w:t>(a)</w:t>
      </w:r>
      <w:r w:rsidR="008A31BD">
        <w:t xml:space="preserve"> </w:t>
      </w:r>
      <w:r>
        <w:t xml:space="preserve">These numbers do not equate to individual health professionals, as health professionals are issued more than one provider number if providing services at multiple locations. </w:t>
      </w:r>
    </w:p>
    <w:p w:rsidR="008E273C" w:rsidRDefault="008E273C" w:rsidP="008E273C">
      <w:pPr>
        <w:pStyle w:val="Heading3"/>
      </w:pPr>
      <w:r>
        <w:t>Medicare compensation recovery</w:t>
      </w:r>
    </w:p>
    <w:p w:rsidR="008E273C" w:rsidRDefault="008E273C" w:rsidP="008E273C">
      <w:pPr>
        <w:pStyle w:val="BodyText"/>
      </w:pPr>
      <w:r>
        <w:t>Medicare compensation recovery aims to recover any Medicare benefits, nursing home benefits, residential care, or home care government subsidies paid to a claimant as a result of their compensable injury or illness. When a person receives a lump sum compensation payment of more than $5,000, they may have to pay the costs of these back to the Australian Government before they receive their compensation payment.</w:t>
      </w:r>
    </w:p>
    <w:p w:rsidR="008E273C" w:rsidRPr="008A31BD" w:rsidRDefault="008A31BD" w:rsidP="008A31BD">
      <w:pPr>
        <w:pStyle w:val="BodyText"/>
        <w:rPr>
          <w:b/>
        </w:rPr>
      </w:pPr>
      <w:r w:rsidRPr="008A31BD">
        <w:rPr>
          <w:b/>
        </w:rPr>
        <w:t>Table 9:</w:t>
      </w:r>
      <w:r w:rsidR="008E273C" w:rsidRPr="008A31BD">
        <w:rPr>
          <w:b/>
        </w:rPr>
        <w:t xml:space="preserve"> Compensation recovery</w:t>
      </w:r>
    </w:p>
    <w:tbl>
      <w:tblPr>
        <w:tblStyle w:val="TableGrid"/>
        <w:tblW w:w="5000" w:type="pct"/>
        <w:tblLook w:val="0000" w:firstRow="0" w:lastRow="0" w:firstColumn="0" w:lastColumn="0" w:noHBand="0" w:noVBand="0"/>
        <w:tblCaption w:val="Table 9: Compensation recovery"/>
        <w:tblDescription w:val="Table 9: Compensation recovery"/>
      </w:tblPr>
      <w:tblGrid>
        <w:gridCol w:w="1938"/>
        <w:gridCol w:w="2290"/>
        <w:gridCol w:w="2290"/>
        <w:gridCol w:w="2290"/>
        <w:gridCol w:w="2288"/>
      </w:tblGrid>
      <w:tr w:rsidR="008E273C" w:rsidTr="00A83997">
        <w:trPr>
          <w:trHeight w:val="60"/>
          <w:tblHeader/>
        </w:trPr>
        <w:tc>
          <w:tcPr>
            <w:tcW w:w="873" w:type="pct"/>
          </w:tcPr>
          <w:p w:rsidR="008E273C" w:rsidRPr="00A83997" w:rsidRDefault="008E273C" w:rsidP="00A83997">
            <w:pPr>
              <w:pStyle w:val="BodyText"/>
              <w:rPr>
                <w:b/>
              </w:rPr>
            </w:pPr>
          </w:p>
        </w:tc>
        <w:tc>
          <w:tcPr>
            <w:tcW w:w="1032" w:type="pct"/>
          </w:tcPr>
          <w:p w:rsidR="008E273C" w:rsidRPr="00A83997" w:rsidRDefault="008E273C" w:rsidP="00A83997">
            <w:pPr>
              <w:pStyle w:val="BodyText"/>
              <w:rPr>
                <w:b/>
              </w:rPr>
            </w:pPr>
            <w:r w:rsidRPr="00A83997">
              <w:rPr>
                <w:rStyle w:val="Bulletcolour"/>
                <w:b/>
              </w:rPr>
              <w:t>2017–18</w:t>
            </w:r>
          </w:p>
        </w:tc>
        <w:tc>
          <w:tcPr>
            <w:tcW w:w="1032" w:type="pct"/>
          </w:tcPr>
          <w:p w:rsidR="008E273C" w:rsidRPr="00A83997" w:rsidRDefault="008E273C" w:rsidP="00A83997">
            <w:pPr>
              <w:pStyle w:val="BodyText"/>
              <w:rPr>
                <w:b/>
              </w:rPr>
            </w:pPr>
            <w:r w:rsidRPr="00A83997">
              <w:rPr>
                <w:rStyle w:val="Bulletcolour"/>
                <w:b/>
              </w:rPr>
              <w:t>2018–19</w:t>
            </w:r>
          </w:p>
        </w:tc>
        <w:tc>
          <w:tcPr>
            <w:tcW w:w="1032" w:type="pct"/>
          </w:tcPr>
          <w:p w:rsidR="008E273C" w:rsidRPr="00A83997" w:rsidRDefault="008E273C" w:rsidP="00A83997">
            <w:pPr>
              <w:pStyle w:val="BodyText"/>
              <w:rPr>
                <w:b/>
              </w:rPr>
            </w:pPr>
            <w:r w:rsidRPr="00A83997">
              <w:rPr>
                <w:rStyle w:val="Bulletcolour"/>
                <w:b/>
              </w:rPr>
              <w:t>2019–20</w:t>
            </w:r>
          </w:p>
        </w:tc>
        <w:tc>
          <w:tcPr>
            <w:tcW w:w="1032" w:type="pct"/>
          </w:tcPr>
          <w:p w:rsidR="008E273C" w:rsidRPr="00A83997" w:rsidRDefault="008E273C" w:rsidP="00A83997">
            <w:pPr>
              <w:pStyle w:val="BodyText"/>
              <w:rPr>
                <w:b/>
              </w:rPr>
            </w:pPr>
            <w:r w:rsidRPr="00A83997">
              <w:rPr>
                <w:rStyle w:val="Bulletcolour"/>
                <w:b/>
              </w:rPr>
              <w:t xml:space="preserve">% Change </w:t>
            </w:r>
            <w:r w:rsidRPr="00A83997">
              <w:rPr>
                <w:rStyle w:val="Bulletcolour"/>
                <w:b/>
                <w:spacing w:val="-4"/>
              </w:rPr>
              <w:t>since 2018–19</w:t>
            </w:r>
          </w:p>
        </w:tc>
      </w:tr>
      <w:tr w:rsidR="008E273C" w:rsidTr="00A83997">
        <w:trPr>
          <w:trHeight w:val="60"/>
        </w:trPr>
        <w:tc>
          <w:tcPr>
            <w:tcW w:w="873" w:type="pct"/>
          </w:tcPr>
          <w:p w:rsidR="008E273C" w:rsidRDefault="008E273C" w:rsidP="00A83997">
            <w:pPr>
              <w:pStyle w:val="BodyText"/>
            </w:pPr>
            <w:r>
              <w:rPr>
                <w:rStyle w:val="Bulletcolour"/>
              </w:rPr>
              <w:t>Cases finalised</w:t>
            </w:r>
          </w:p>
        </w:tc>
        <w:tc>
          <w:tcPr>
            <w:tcW w:w="1032" w:type="pct"/>
          </w:tcPr>
          <w:p w:rsidR="008E273C" w:rsidRDefault="008E273C" w:rsidP="00A83997">
            <w:pPr>
              <w:pStyle w:val="BodyText"/>
            </w:pPr>
            <w:r>
              <w:rPr>
                <w:rStyle w:val="Bulletcolour"/>
              </w:rPr>
              <w:t>45,287</w:t>
            </w:r>
          </w:p>
        </w:tc>
        <w:tc>
          <w:tcPr>
            <w:tcW w:w="1032" w:type="pct"/>
          </w:tcPr>
          <w:p w:rsidR="008E273C" w:rsidRDefault="008E273C" w:rsidP="00A83997">
            <w:pPr>
              <w:pStyle w:val="BodyText"/>
            </w:pPr>
            <w:r>
              <w:rPr>
                <w:rStyle w:val="Bulletcolour"/>
              </w:rPr>
              <w:t>50,915</w:t>
            </w:r>
          </w:p>
        </w:tc>
        <w:tc>
          <w:tcPr>
            <w:tcW w:w="1032" w:type="pct"/>
          </w:tcPr>
          <w:p w:rsidR="008E273C" w:rsidRDefault="008E273C" w:rsidP="00A83997">
            <w:pPr>
              <w:pStyle w:val="BodyText"/>
            </w:pPr>
            <w:r>
              <w:rPr>
                <w:rStyle w:val="Bulletcolour"/>
              </w:rPr>
              <w:t>41,862</w:t>
            </w:r>
          </w:p>
        </w:tc>
        <w:tc>
          <w:tcPr>
            <w:tcW w:w="1032" w:type="pct"/>
          </w:tcPr>
          <w:p w:rsidR="008E273C" w:rsidRDefault="008E273C" w:rsidP="00A83997">
            <w:pPr>
              <w:pStyle w:val="BodyText"/>
            </w:pPr>
            <w:r>
              <w:rPr>
                <w:rStyle w:val="Bulletcolour"/>
              </w:rPr>
              <w:t>17.78%</w:t>
            </w:r>
          </w:p>
        </w:tc>
      </w:tr>
      <w:tr w:rsidR="008E273C" w:rsidTr="00A83997">
        <w:trPr>
          <w:trHeight w:val="60"/>
        </w:trPr>
        <w:tc>
          <w:tcPr>
            <w:tcW w:w="873" w:type="pct"/>
          </w:tcPr>
          <w:p w:rsidR="008E273C" w:rsidRDefault="008E273C" w:rsidP="00A83997">
            <w:pPr>
              <w:pStyle w:val="BodyText"/>
            </w:pPr>
            <w:r>
              <w:rPr>
                <w:rStyle w:val="Bulletcolour"/>
              </w:rPr>
              <w:t>Benefits recovered</w:t>
            </w:r>
          </w:p>
        </w:tc>
        <w:tc>
          <w:tcPr>
            <w:tcW w:w="1032" w:type="pct"/>
          </w:tcPr>
          <w:p w:rsidR="008E273C" w:rsidRDefault="008E273C" w:rsidP="00A83997">
            <w:pPr>
              <w:pStyle w:val="BodyText"/>
            </w:pPr>
            <w:r>
              <w:rPr>
                <w:rStyle w:val="Bulletcolour"/>
              </w:rPr>
              <w:t>$63.6 million</w:t>
            </w:r>
          </w:p>
        </w:tc>
        <w:tc>
          <w:tcPr>
            <w:tcW w:w="1032" w:type="pct"/>
          </w:tcPr>
          <w:p w:rsidR="008E273C" w:rsidRDefault="008E273C" w:rsidP="00A83997">
            <w:pPr>
              <w:pStyle w:val="BodyText"/>
            </w:pPr>
            <w:r>
              <w:rPr>
                <w:rStyle w:val="Bulletcolour"/>
              </w:rPr>
              <w:t>$62.6 million</w:t>
            </w:r>
          </w:p>
        </w:tc>
        <w:tc>
          <w:tcPr>
            <w:tcW w:w="1032" w:type="pct"/>
          </w:tcPr>
          <w:p w:rsidR="008E273C" w:rsidRDefault="008E273C" w:rsidP="00A83997">
            <w:pPr>
              <w:pStyle w:val="BodyText"/>
            </w:pPr>
            <w:r>
              <w:rPr>
                <w:rStyle w:val="Bulletcolour"/>
              </w:rPr>
              <w:t>$48.7 million</w:t>
            </w:r>
          </w:p>
        </w:tc>
        <w:tc>
          <w:tcPr>
            <w:tcW w:w="1032" w:type="pct"/>
          </w:tcPr>
          <w:p w:rsidR="008E273C" w:rsidRDefault="008E273C" w:rsidP="00A83997">
            <w:pPr>
              <w:pStyle w:val="BodyText"/>
            </w:pPr>
            <w:r>
              <w:rPr>
                <w:rStyle w:val="Bulletcolour"/>
              </w:rPr>
              <w:t>22.20%</w:t>
            </w:r>
          </w:p>
        </w:tc>
      </w:tr>
    </w:tbl>
    <w:p w:rsidR="008E273C" w:rsidRDefault="008E273C" w:rsidP="008E273C">
      <w:pPr>
        <w:pStyle w:val="Heading2"/>
      </w:pPr>
      <w:r>
        <w:t>Access to medicines</w:t>
      </w:r>
    </w:p>
    <w:p w:rsidR="008E273C" w:rsidRDefault="008E273C" w:rsidP="00E42522">
      <w:pPr>
        <w:pStyle w:val="BodyText"/>
      </w:pPr>
      <w:r>
        <w:t>The agency administers two schemes that subsidise access to medicines:</w:t>
      </w:r>
    </w:p>
    <w:p w:rsidR="008E273C" w:rsidRDefault="008E273C" w:rsidP="00E42522">
      <w:pPr>
        <w:pStyle w:val="ListBullet"/>
      </w:pPr>
      <w:r>
        <w:rPr>
          <w:rFonts w:ascii="Roboto-Bold" w:hAnsi="Roboto-Bold" w:cs="Roboto-Bold"/>
          <w:b/>
          <w:bCs/>
        </w:rPr>
        <w:t>The Pharmaceutical Benefits Scheme</w:t>
      </w:r>
      <w:r>
        <w:t xml:space="preserve"> (PBS)—provides access to a wide range of medicines at a reduced cost to Australian residents and eligible overseas visitors. </w:t>
      </w:r>
    </w:p>
    <w:p w:rsidR="008E273C" w:rsidRDefault="008E273C" w:rsidP="00E42522">
      <w:pPr>
        <w:pStyle w:val="ListBullet"/>
      </w:pPr>
      <w:r>
        <w:rPr>
          <w:rFonts w:ascii="Roboto-Bold" w:hAnsi="Roboto-Bold" w:cs="Roboto-Bold"/>
          <w:b/>
          <w:bCs/>
        </w:rPr>
        <w:t xml:space="preserve">The Repatriation Pharmaceutical Benefits Scheme </w:t>
      </w:r>
      <w:r>
        <w:t xml:space="preserve">(RPBS)—gives eligible veterans and their widows, widowers and dependants subsidised access to some additional medicines and dressings at concession rates, and if clinically justified, items not listed under either scheme. </w:t>
      </w:r>
    </w:p>
    <w:p w:rsidR="008E273C" w:rsidRPr="00A83997" w:rsidRDefault="00A83997" w:rsidP="00A83997">
      <w:pPr>
        <w:pStyle w:val="BodyText"/>
        <w:rPr>
          <w:b/>
        </w:rPr>
      </w:pPr>
      <w:r w:rsidRPr="00A83997">
        <w:rPr>
          <w:b/>
        </w:rPr>
        <w:t>Table 10:</w:t>
      </w:r>
      <w:r w:rsidR="008E273C" w:rsidRPr="00A83997">
        <w:rPr>
          <w:b/>
        </w:rPr>
        <w:t xml:space="preserve"> PBS and RPBS expenditure</w:t>
      </w:r>
    </w:p>
    <w:tbl>
      <w:tblPr>
        <w:tblStyle w:val="TableGrid"/>
        <w:tblW w:w="5000" w:type="pct"/>
        <w:tblLook w:val="0000" w:firstRow="0" w:lastRow="0" w:firstColumn="0" w:lastColumn="0" w:noHBand="0" w:noVBand="0"/>
        <w:tblCaption w:val="Table 10: PBS and RPBS expenditure"/>
        <w:tblDescription w:val="Table 10: PBS and RPBS expenditure"/>
      </w:tblPr>
      <w:tblGrid>
        <w:gridCol w:w="4351"/>
        <w:gridCol w:w="2249"/>
        <w:gridCol w:w="2248"/>
        <w:gridCol w:w="2248"/>
      </w:tblGrid>
      <w:tr w:rsidR="008E273C" w:rsidTr="00A83997">
        <w:trPr>
          <w:trHeight w:val="60"/>
          <w:tblHeader/>
        </w:trPr>
        <w:tc>
          <w:tcPr>
            <w:tcW w:w="1960" w:type="pct"/>
          </w:tcPr>
          <w:p w:rsidR="008E273C" w:rsidRPr="00A83997" w:rsidRDefault="008E273C" w:rsidP="00A83997">
            <w:pPr>
              <w:pStyle w:val="BodyText"/>
              <w:rPr>
                <w:b/>
              </w:rPr>
            </w:pPr>
          </w:p>
        </w:tc>
        <w:tc>
          <w:tcPr>
            <w:tcW w:w="1013" w:type="pct"/>
          </w:tcPr>
          <w:p w:rsidR="008E273C" w:rsidRPr="00A83997" w:rsidRDefault="008E273C" w:rsidP="00A83997">
            <w:pPr>
              <w:pStyle w:val="BodyText"/>
              <w:rPr>
                <w:b/>
              </w:rPr>
            </w:pPr>
            <w:r w:rsidRPr="00A83997">
              <w:rPr>
                <w:rStyle w:val="Bulletcolour"/>
                <w:b/>
              </w:rPr>
              <w:t>2017–18</w:t>
            </w:r>
          </w:p>
        </w:tc>
        <w:tc>
          <w:tcPr>
            <w:tcW w:w="1013" w:type="pct"/>
          </w:tcPr>
          <w:p w:rsidR="008E273C" w:rsidRPr="00A83997" w:rsidRDefault="008E273C" w:rsidP="00A83997">
            <w:pPr>
              <w:pStyle w:val="BodyText"/>
              <w:rPr>
                <w:b/>
              </w:rPr>
            </w:pPr>
            <w:r w:rsidRPr="00A83997">
              <w:rPr>
                <w:rStyle w:val="Bulletcolour"/>
                <w:b/>
              </w:rPr>
              <w:t>2018–19</w:t>
            </w:r>
          </w:p>
        </w:tc>
        <w:tc>
          <w:tcPr>
            <w:tcW w:w="1013" w:type="pct"/>
          </w:tcPr>
          <w:p w:rsidR="008E273C" w:rsidRPr="00A83997" w:rsidRDefault="008E273C" w:rsidP="00A83997">
            <w:pPr>
              <w:pStyle w:val="BodyText"/>
              <w:rPr>
                <w:b/>
              </w:rPr>
            </w:pPr>
            <w:r w:rsidRPr="00A83997">
              <w:rPr>
                <w:rStyle w:val="Bulletcolour"/>
                <w:b/>
              </w:rPr>
              <w:t>2019–20</w:t>
            </w:r>
          </w:p>
        </w:tc>
      </w:tr>
      <w:tr w:rsidR="008E273C" w:rsidTr="00A83997">
        <w:trPr>
          <w:trHeight w:val="60"/>
        </w:trPr>
        <w:tc>
          <w:tcPr>
            <w:tcW w:w="1960" w:type="pct"/>
          </w:tcPr>
          <w:p w:rsidR="008E273C" w:rsidRDefault="008E273C" w:rsidP="00A83997">
            <w:pPr>
              <w:pStyle w:val="BodyText"/>
            </w:pPr>
            <w:r>
              <w:rPr>
                <w:rStyle w:val="Bulletcolour"/>
              </w:rPr>
              <w:t>PBS benefits paid</w:t>
            </w:r>
            <w:r>
              <w:rPr>
                <w:rStyle w:val="Bulletcolour"/>
                <w:vertAlign w:val="superscript"/>
              </w:rPr>
              <w:t>(a)</w:t>
            </w:r>
          </w:p>
        </w:tc>
        <w:tc>
          <w:tcPr>
            <w:tcW w:w="1013" w:type="pct"/>
          </w:tcPr>
          <w:p w:rsidR="008E273C" w:rsidRDefault="008E273C" w:rsidP="00A83997">
            <w:pPr>
              <w:pStyle w:val="BodyText"/>
            </w:pPr>
            <w:r>
              <w:rPr>
                <w:rStyle w:val="Bulletcolour"/>
              </w:rPr>
              <w:t>$11.8 billion</w:t>
            </w:r>
          </w:p>
        </w:tc>
        <w:tc>
          <w:tcPr>
            <w:tcW w:w="1013" w:type="pct"/>
          </w:tcPr>
          <w:p w:rsidR="008E273C" w:rsidRDefault="008E273C" w:rsidP="00A83997">
            <w:pPr>
              <w:pStyle w:val="BodyText"/>
            </w:pPr>
            <w:r>
              <w:rPr>
                <w:rStyle w:val="Bulletcolour"/>
              </w:rPr>
              <w:t>$11.9 billion</w:t>
            </w:r>
          </w:p>
        </w:tc>
        <w:tc>
          <w:tcPr>
            <w:tcW w:w="1013" w:type="pct"/>
          </w:tcPr>
          <w:p w:rsidR="008E273C" w:rsidRDefault="008E273C" w:rsidP="00A83997">
            <w:pPr>
              <w:pStyle w:val="BodyText"/>
            </w:pPr>
            <w:r>
              <w:rPr>
                <w:rStyle w:val="Bulletcolour"/>
              </w:rPr>
              <w:t>$12.7 billion</w:t>
            </w:r>
          </w:p>
        </w:tc>
      </w:tr>
      <w:tr w:rsidR="008E273C" w:rsidTr="00A83997">
        <w:trPr>
          <w:trHeight w:val="60"/>
        </w:trPr>
        <w:tc>
          <w:tcPr>
            <w:tcW w:w="1960" w:type="pct"/>
          </w:tcPr>
          <w:p w:rsidR="008E273C" w:rsidRDefault="008E273C" w:rsidP="00A83997">
            <w:pPr>
              <w:pStyle w:val="BodyText"/>
            </w:pPr>
            <w:r>
              <w:rPr>
                <w:rStyle w:val="Bulletcolour"/>
              </w:rPr>
              <w:t>RPBS benefits paid</w:t>
            </w:r>
            <w:r>
              <w:rPr>
                <w:rStyle w:val="Bulletcolour"/>
                <w:vertAlign w:val="superscript"/>
              </w:rPr>
              <w:t>(a)(b)</w:t>
            </w:r>
          </w:p>
        </w:tc>
        <w:tc>
          <w:tcPr>
            <w:tcW w:w="1013" w:type="pct"/>
          </w:tcPr>
          <w:p w:rsidR="008E273C" w:rsidRDefault="008E273C" w:rsidP="00A83997">
            <w:pPr>
              <w:pStyle w:val="BodyText"/>
            </w:pPr>
            <w:r>
              <w:rPr>
                <w:rStyle w:val="Bulletcolour"/>
              </w:rPr>
              <w:t>$0.3 billion</w:t>
            </w:r>
          </w:p>
        </w:tc>
        <w:tc>
          <w:tcPr>
            <w:tcW w:w="1013" w:type="pct"/>
          </w:tcPr>
          <w:p w:rsidR="008E273C" w:rsidRDefault="008E273C" w:rsidP="00A83997">
            <w:pPr>
              <w:pStyle w:val="BodyText"/>
            </w:pPr>
            <w:r>
              <w:rPr>
                <w:rStyle w:val="Bulletcolour"/>
              </w:rPr>
              <w:t>$0.3 billion</w:t>
            </w:r>
          </w:p>
        </w:tc>
        <w:tc>
          <w:tcPr>
            <w:tcW w:w="1013" w:type="pct"/>
          </w:tcPr>
          <w:p w:rsidR="008E273C" w:rsidRDefault="008E273C" w:rsidP="00A83997">
            <w:pPr>
              <w:pStyle w:val="BodyText"/>
            </w:pPr>
            <w:r>
              <w:rPr>
                <w:rStyle w:val="Bulletcolour"/>
              </w:rPr>
              <w:t>$0.3 billion</w:t>
            </w:r>
          </w:p>
        </w:tc>
      </w:tr>
      <w:tr w:rsidR="008E273C" w:rsidTr="00A83997">
        <w:trPr>
          <w:trHeight w:val="60"/>
        </w:trPr>
        <w:tc>
          <w:tcPr>
            <w:tcW w:w="1960" w:type="pct"/>
          </w:tcPr>
          <w:p w:rsidR="008E273C" w:rsidRPr="00A83997" w:rsidRDefault="008E273C" w:rsidP="00A83997">
            <w:pPr>
              <w:pStyle w:val="BodyText"/>
              <w:rPr>
                <w:b/>
              </w:rPr>
            </w:pPr>
            <w:r w:rsidRPr="00A83997">
              <w:rPr>
                <w:rStyle w:val="Bulletcolour"/>
                <w:b/>
              </w:rPr>
              <w:t>Total benefits paid</w:t>
            </w:r>
          </w:p>
        </w:tc>
        <w:tc>
          <w:tcPr>
            <w:tcW w:w="1013" w:type="pct"/>
          </w:tcPr>
          <w:p w:rsidR="008E273C" w:rsidRPr="00A83997" w:rsidRDefault="008E273C" w:rsidP="00A83997">
            <w:pPr>
              <w:pStyle w:val="BodyText"/>
              <w:rPr>
                <w:b/>
              </w:rPr>
            </w:pPr>
            <w:r w:rsidRPr="00A83997">
              <w:rPr>
                <w:rStyle w:val="Bulletcolour"/>
                <w:b/>
              </w:rPr>
              <w:t>$12.1 billion</w:t>
            </w:r>
          </w:p>
        </w:tc>
        <w:tc>
          <w:tcPr>
            <w:tcW w:w="1013" w:type="pct"/>
          </w:tcPr>
          <w:p w:rsidR="008E273C" w:rsidRPr="00A83997" w:rsidRDefault="008E273C" w:rsidP="00A83997">
            <w:pPr>
              <w:pStyle w:val="BodyText"/>
              <w:rPr>
                <w:b/>
              </w:rPr>
            </w:pPr>
            <w:r w:rsidRPr="00A83997">
              <w:rPr>
                <w:rStyle w:val="Bulletcolour"/>
                <w:b/>
              </w:rPr>
              <w:t>$12.2 billion</w:t>
            </w:r>
          </w:p>
        </w:tc>
        <w:tc>
          <w:tcPr>
            <w:tcW w:w="1013" w:type="pct"/>
          </w:tcPr>
          <w:p w:rsidR="008E273C" w:rsidRPr="00A83997" w:rsidRDefault="008E273C" w:rsidP="00A83997">
            <w:pPr>
              <w:pStyle w:val="BodyText"/>
              <w:rPr>
                <w:b/>
              </w:rPr>
            </w:pPr>
            <w:r w:rsidRPr="00A83997">
              <w:rPr>
                <w:rStyle w:val="Bulletcolour"/>
                <w:b/>
              </w:rPr>
              <w:t>$13.0 billion</w:t>
            </w:r>
          </w:p>
        </w:tc>
      </w:tr>
      <w:tr w:rsidR="008E273C" w:rsidTr="00A83997">
        <w:trPr>
          <w:trHeight w:val="60"/>
        </w:trPr>
        <w:tc>
          <w:tcPr>
            <w:tcW w:w="1960" w:type="pct"/>
          </w:tcPr>
          <w:p w:rsidR="008E273C" w:rsidRDefault="008E273C" w:rsidP="00A83997">
            <w:pPr>
              <w:pStyle w:val="BodyText"/>
            </w:pPr>
            <w:r>
              <w:rPr>
                <w:rStyle w:val="Bulletcolour"/>
              </w:rPr>
              <w:t>PBS services processed</w:t>
            </w:r>
            <w:r>
              <w:rPr>
                <w:rStyle w:val="Bulletcolour"/>
                <w:vertAlign w:val="superscript"/>
              </w:rPr>
              <w:t>(c)</w:t>
            </w:r>
          </w:p>
        </w:tc>
        <w:tc>
          <w:tcPr>
            <w:tcW w:w="1013" w:type="pct"/>
          </w:tcPr>
          <w:p w:rsidR="008E273C" w:rsidRDefault="008E273C" w:rsidP="00A83997">
            <w:pPr>
              <w:pStyle w:val="BodyText"/>
            </w:pPr>
            <w:r>
              <w:rPr>
                <w:rStyle w:val="Bulletcolour"/>
              </w:rPr>
              <w:t>198.6 million</w:t>
            </w:r>
          </w:p>
        </w:tc>
        <w:tc>
          <w:tcPr>
            <w:tcW w:w="1013" w:type="pct"/>
          </w:tcPr>
          <w:p w:rsidR="008E273C" w:rsidRDefault="008E273C" w:rsidP="00A83997">
            <w:pPr>
              <w:pStyle w:val="BodyText"/>
            </w:pPr>
            <w:r>
              <w:rPr>
                <w:rStyle w:val="Bulletcolour"/>
              </w:rPr>
              <w:t>203.0 million</w:t>
            </w:r>
          </w:p>
        </w:tc>
        <w:tc>
          <w:tcPr>
            <w:tcW w:w="1013" w:type="pct"/>
          </w:tcPr>
          <w:p w:rsidR="008E273C" w:rsidRDefault="008E273C" w:rsidP="00A83997">
            <w:pPr>
              <w:pStyle w:val="BodyText"/>
            </w:pPr>
            <w:r>
              <w:rPr>
                <w:rStyle w:val="Bulletcolour"/>
              </w:rPr>
              <w:t>206.0 million</w:t>
            </w:r>
          </w:p>
        </w:tc>
      </w:tr>
      <w:tr w:rsidR="008E273C" w:rsidTr="00A83997">
        <w:trPr>
          <w:trHeight w:val="60"/>
        </w:trPr>
        <w:tc>
          <w:tcPr>
            <w:tcW w:w="1960" w:type="pct"/>
          </w:tcPr>
          <w:p w:rsidR="008E273C" w:rsidRDefault="008E273C" w:rsidP="00A83997">
            <w:pPr>
              <w:pStyle w:val="BodyText"/>
            </w:pPr>
            <w:r>
              <w:rPr>
                <w:rStyle w:val="Bulletcolour"/>
              </w:rPr>
              <w:t>RPBS services processed</w:t>
            </w:r>
            <w:r>
              <w:rPr>
                <w:rStyle w:val="Bulletcolour"/>
                <w:vertAlign w:val="superscript"/>
              </w:rPr>
              <w:t>(b)(c)</w:t>
            </w:r>
          </w:p>
        </w:tc>
        <w:tc>
          <w:tcPr>
            <w:tcW w:w="1013" w:type="pct"/>
          </w:tcPr>
          <w:p w:rsidR="008E273C" w:rsidRDefault="008E273C" w:rsidP="00A83997">
            <w:pPr>
              <w:pStyle w:val="BodyText"/>
            </w:pPr>
            <w:r>
              <w:rPr>
                <w:rStyle w:val="Bulletcolour"/>
              </w:rPr>
              <w:t>8.8 million</w:t>
            </w:r>
          </w:p>
        </w:tc>
        <w:tc>
          <w:tcPr>
            <w:tcW w:w="1013" w:type="pct"/>
          </w:tcPr>
          <w:p w:rsidR="008E273C" w:rsidRDefault="008E273C" w:rsidP="00A83997">
            <w:pPr>
              <w:pStyle w:val="BodyText"/>
            </w:pPr>
            <w:r>
              <w:rPr>
                <w:rStyle w:val="Bulletcolour"/>
              </w:rPr>
              <w:t>8.5 million</w:t>
            </w:r>
          </w:p>
        </w:tc>
        <w:tc>
          <w:tcPr>
            <w:tcW w:w="1013" w:type="pct"/>
          </w:tcPr>
          <w:p w:rsidR="008E273C" w:rsidRDefault="008E273C" w:rsidP="00A83997">
            <w:pPr>
              <w:pStyle w:val="BodyText"/>
            </w:pPr>
            <w:r>
              <w:rPr>
                <w:rStyle w:val="Bulletcolour"/>
              </w:rPr>
              <w:t>8.0 million</w:t>
            </w:r>
          </w:p>
        </w:tc>
      </w:tr>
      <w:tr w:rsidR="008E273C" w:rsidTr="00A83997">
        <w:trPr>
          <w:trHeight w:val="60"/>
        </w:trPr>
        <w:tc>
          <w:tcPr>
            <w:tcW w:w="1960" w:type="pct"/>
          </w:tcPr>
          <w:p w:rsidR="008E273C" w:rsidRPr="00A83997" w:rsidRDefault="008E273C" w:rsidP="00A83997">
            <w:pPr>
              <w:pStyle w:val="BodyText"/>
              <w:rPr>
                <w:b/>
              </w:rPr>
            </w:pPr>
            <w:r w:rsidRPr="00A83997">
              <w:rPr>
                <w:rStyle w:val="Bulletcolour"/>
                <w:b/>
              </w:rPr>
              <w:t>Total services processed</w:t>
            </w:r>
          </w:p>
        </w:tc>
        <w:tc>
          <w:tcPr>
            <w:tcW w:w="1013" w:type="pct"/>
          </w:tcPr>
          <w:p w:rsidR="008E273C" w:rsidRPr="00A83997" w:rsidRDefault="008E273C" w:rsidP="00A83997">
            <w:pPr>
              <w:pStyle w:val="BodyText"/>
              <w:rPr>
                <w:b/>
              </w:rPr>
            </w:pPr>
            <w:r w:rsidRPr="00A83997">
              <w:rPr>
                <w:rStyle w:val="Bulletcolour"/>
                <w:b/>
              </w:rPr>
              <w:t>207.4 million</w:t>
            </w:r>
          </w:p>
        </w:tc>
        <w:tc>
          <w:tcPr>
            <w:tcW w:w="1013" w:type="pct"/>
          </w:tcPr>
          <w:p w:rsidR="008E273C" w:rsidRPr="00A83997" w:rsidRDefault="008E273C" w:rsidP="00A83997">
            <w:pPr>
              <w:pStyle w:val="BodyText"/>
              <w:rPr>
                <w:b/>
              </w:rPr>
            </w:pPr>
            <w:r w:rsidRPr="00A83997">
              <w:rPr>
                <w:rStyle w:val="Bulletcolour"/>
                <w:b/>
              </w:rPr>
              <w:t>211.5</w:t>
            </w:r>
            <w:r w:rsidRPr="00A83997">
              <w:rPr>
                <w:rStyle w:val="Bulletcolour"/>
                <w:b/>
                <w:rtl/>
                <w:lang w:bidi="ar-YE"/>
              </w:rPr>
              <w:t> </w:t>
            </w:r>
            <w:r w:rsidRPr="00A83997">
              <w:rPr>
                <w:rStyle w:val="Bulletcolour"/>
                <w:b/>
              </w:rPr>
              <w:t>million</w:t>
            </w:r>
          </w:p>
        </w:tc>
        <w:tc>
          <w:tcPr>
            <w:tcW w:w="1013" w:type="pct"/>
          </w:tcPr>
          <w:p w:rsidR="008E273C" w:rsidRPr="00A83997" w:rsidRDefault="008E273C" w:rsidP="00A83997">
            <w:pPr>
              <w:pStyle w:val="BodyText"/>
              <w:rPr>
                <w:b/>
              </w:rPr>
            </w:pPr>
            <w:r w:rsidRPr="00A83997">
              <w:rPr>
                <w:rStyle w:val="Bulletcolour"/>
                <w:b/>
              </w:rPr>
              <w:t>214.0 million</w:t>
            </w:r>
          </w:p>
        </w:tc>
      </w:tr>
    </w:tbl>
    <w:p w:rsidR="008E273C" w:rsidRDefault="008E273C" w:rsidP="00A83997">
      <w:pPr>
        <w:pStyle w:val="BodyText"/>
      </w:pPr>
      <w:r>
        <w:t>(a) Excludes Electronic Prescription Fee payments and Premium Free Dispensing Incentive payments.</w:t>
      </w:r>
    </w:p>
    <w:p w:rsidR="008E273C" w:rsidRDefault="008E273C" w:rsidP="00A83997">
      <w:pPr>
        <w:pStyle w:val="BodyText"/>
      </w:pPr>
      <w:r>
        <w:t>(b) Payments/services processed on behalf of DVA.</w:t>
      </w:r>
    </w:p>
    <w:p w:rsidR="008E273C" w:rsidRDefault="008E273C" w:rsidP="00A83997">
      <w:pPr>
        <w:pStyle w:val="BodyText"/>
        <w:rPr>
          <w:sz w:val="20"/>
          <w:szCs w:val="20"/>
        </w:rPr>
      </w:pPr>
      <w:r>
        <w:t>(c) Excludes services for co-payment prescriptions; patient refund claims; Aboriginal Health Service claims; and claims that are yet to be closed by approved suppliers.</w:t>
      </w:r>
    </w:p>
    <w:p w:rsidR="008E273C" w:rsidRDefault="008E273C" w:rsidP="008E273C">
      <w:pPr>
        <w:pStyle w:val="Heading3"/>
      </w:pPr>
      <w:r>
        <w:t>Pharmaceutical Benefits Scheme concessions</w:t>
      </w:r>
    </w:p>
    <w:p w:rsidR="008E273C" w:rsidRDefault="008E273C" w:rsidP="00E42522">
      <w:pPr>
        <w:pStyle w:val="BodyText"/>
      </w:pPr>
      <w:r>
        <w:t>There are two levels of concessions for PBS listed medicines:</w:t>
      </w:r>
    </w:p>
    <w:p w:rsidR="008E273C" w:rsidRDefault="008E273C" w:rsidP="00E42522">
      <w:pPr>
        <w:pStyle w:val="ListBullet"/>
      </w:pPr>
      <w:r>
        <w:t xml:space="preserve">The maximum cost for a pharmaceutical benefit item at the </w:t>
      </w:r>
      <w:r>
        <w:rPr>
          <w:rFonts w:ascii="Roboto-Bold" w:hAnsi="Roboto-Bold" w:cs="Roboto-Bold"/>
          <w:b/>
          <w:bCs/>
        </w:rPr>
        <w:t>general rate</w:t>
      </w:r>
      <w:r>
        <w:t xml:space="preserve"> for 2020 is $41.00. All Australian residents and eligible overseas visitors can access PBS medicines at the general rate. </w:t>
      </w:r>
    </w:p>
    <w:p w:rsidR="008E273C" w:rsidRDefault="008E273C" w:rsidP="00E42522">
      <w:pPr>
        <w:pStyle w:val="ListBullet"/>
      </w:pPr>
      <w:r>
        <w:t xml:space="preserve">Patients and their families with a valid concession card from Services Australia or DVA are eligible for the </w:t>
      </w:r>
      <w:r>
        <w:rPr>
          <w:rFonts w:ascii="Roboto-Bold" w:hAnsi="Roboto-Bold" w:cs="Roboto-Bold"/>
          <w:b/>
          <w:bCs/>
        </w:rPr>
        <w:t>concession rate</w:t>
      </w:r>
      <w:r>
        <w:t xml:space="preserve"> of $6.60 maximum cost for a pharmaceutical benefit item. </w:t>
      </w:r>
    </w:p>
    <w:p w:rsidR="008E273C" w:rsidRDefault="008E273C" w:rsidP="008E273C">
      <w:pPr>
        <w:pStyle w:val="BodyText"/>
      </w:pPr>
      <w:r>
        <w:t>Patients may pay extra for more expensive brands of medicines.</w:t>
      </w:r>
    </w:p>
    <w:p w:rsidR="008E273C" w:rsidRDefault="008E273C" w:rsidP="008E273C">
      <w:pPr>
        <w:pStyle w:val="Heading3"/>
      </w:pPr>
      <w:r>
        <w:t xml:space="preserve">Pharmaceutical Benefits Scheme Safety-Net </w:t>
      </w:r>
    </w:p>
    <w:p w:rsidR="008E273C" w:rsidRDefault="008E273C" w:rsidP="008E273C">
      <w:pPr>
        <w:pStyle w:val="BodyText"/>
      </w:pPr>
      <w:r>
        <w:t xml:space="preserve">The PBS Safety Net helps patients with the cost of their medicines when they or their families require a large number of prescription medicines in a calendar year. </w:t>
      </w:r>
    </w:p>
    <w:p w:rsidR="008E273C" w:rsidRDefault="008E273C" w:rsidP="00E42522">
      <w:pPr>
        <w:pStyle w:val="BodyText"/>
      </w:pPr>
      <w:r>
        <w:t>The 2020 general threshold is $1,486.80, and for concession patients the threshold is $316.80. When people reach the relevant threshold, a pharmacist can issue them with a PBS Safety Net card. Their contribution f</w:t>
      </w:r>
      <w:r>
        <w:rPr>
          <w:rStyle w:val="NoBreak"/>
        </w:rPr>
        <w:t>or PBS me</w:t>
      </w:r>
      <w:r>
        <w:t xml:space="preserve">dicines for the rest of the calendar year is then: </w:t>
      </w:r>
    </w:p>
    <w:p w:rsidR="008E273C" w:rsidRDefault="008E273C" w:rsidP="00E42522">
      <w:pPr>
        <w:pStyle w:val="ListBullet"/>
      </w:pPr>
      <w:r>
        <w:t xml:space="preserve">$6.60 for general patients </w:t>
      </w:r>
    </w:p>
    <w:p w:rsidR="008E273C" w:rsidRDefault="008E273C" w:rsidP="00E42522">
      <w:pPr>
        <w:pStyle w:val="ListBullet"/>
      </w:pPr>
      <w:proofErr w:type="gramStart"/>
      <w:r>
        <w:t>nil</w:t>
      </w:r>
      <w:proofErr w:type="gramEnd"/>
      <w:r>
        <w:t xml:space="preserve"> for concession patients. </w:t>
      </w:r>
    </w:p>
    <w:p w:rsidR="008E273C" w:rsidRDefault="008E273C" w:rsidP="008E273C">
      <w:pPr>
        <w:pStyle w:val="BodyText"/>
      </w:pPr>
      <w:r>
        <w:t>The patient must still pay any applicable special patient contributions, brand premiums or therapeutic group premiums.</w:t>
      </w:r>
    </w:p>
    <w:p w:rsidR="008E273C" w:rsidRDefault="008E273C" w:rsidP="008E273C">
      <w:pPr>
        <w:pStyle w:val="Heading3"/>
      </w:pPr>
      <w:r>
        <w:lastRenderedPageBreak/>
        <w:t xml:space="preserve">Indigenous people’s access to the PBS </w:t>
      </w:r>
    </w:p>
    <w:p w:rsidR="008E273C" w:rsidRDefault="008E273C" w:rsidP="008E273C">
      <w:pPr>
        <w:pStyle w:val="BodyText"/>
        <w:rPr>
          <w:rStyle w:val="NoBreak"/>
          <w:spacing w:val="-4"/>
        </w:rPr>
      </w:pPr>
      <w:r>
        <w:t>Special PBS arrangements are administered to people in remote Indigenous communities through Aboriginal Health Services and some state and territ</w:t>
      </w:r>
      <w:r>
        <w:rPr>
          <w:rStyle w:val="NoBreak"/>
        </w:rPr>
        <w:t>ory-fun</w:t>
      </w:r>
      <w:r>
        <w:t xml:space="preserve">ded health services. Patients of approved remote area Aboriginal </w:t>
      </w:r>
      <w:r>
        <w:rPr>
          <w:spacing w:val="-4"/>
        </w:rPr>
        <w:t>Health Services can access PBS medicines directly from these services at n</w:t>
      </w:r>
      <w:r>
        <w:rPr>
          <w:rStyle w:val="NoBreak"/>
          <w:spacing w:val="-4"/>
        </w:rPr>
        <w:t xml:space="preserve">o cost. </w:t>
      </w:r>
    </w:p>
    <w:p w:rsidR="008E273C" w:rsidRDefault="008E273C" w:rsidP="008E273C">
      <w:pPr>
        <w:pStyle w:val="BodyText"/>
      </w:pPr>
      <w:r>
        <w:t xml:space="preserve">At 30 June 2020 there were 166 approved Aboriginal Health Services around the country. </w:t>
      </w:r>
    </w:p>
    <w:p w:rsidR="008E273C" w:rsidRDefault="008E273C" w:rsidP="008E273C">
      <w:pPr>
        <w:pStyle w:val="BodyText"/>
      </w:pPr>
      <w:r>
        <w:t>The agency also supports Aboriginal and Torres Strait Islander individuals living with chronic disease, or at risk of it, by assisting with the cost of PB</w:t>
      </w:r>
      <w:r>
        <w:rPr>
          <w:rStyle w:val="NoBreak"/>
        </w:rPr>
        <w:t>S med</w:t>
      </w:r>
      <w:r>
        <w:t>icines through the Closing the Gap PBS Co-Payment measure.</w:t>
      </w:r>
    </w:p>
    <w:p w:rsidR="008E273C" w:rsidRDefault="008E273C" w:rsidP="008E273C">
      <w:pPr>
        <w:pStyle w:val="Heading3"/>
      </w:pPr>
      <w:r>
        <w:t xml:space="preserve">Travelling with PBS medicines </w:t>
      </w:r>
    </w:p>
    <w:p w:rsidR="008E273C" w:rsidRDefault="008E273C" w:rsidP="008E273C">
      <w:pPr>
        <w:pStyle w:val="BodyText"/>
      </w:pPr>
      <w:r>
        <w:t xml:space="preserve">It is illegal to take or send PBS subsidised medicines out of Australia unless they are for the personal use of the person to whom the medicine was prescribed. </w:t>
      </w:r>
    </w:p>
    <w:p w:rsidR="008E273C" w:rsidRDefault="008E273C" w:rsidP="008E273C">
      <w:pPr>
        <w:pStyle w:val="BodyText"/>
      </w:pPr>
      <w:r>
        <w:t>The Pharmaceutical Benefits Scheme—</w:t>
      </w:r>
      <w:proofErr w:type="gramStart"/>
      <w:r>
        <w:t>Taking</w:t>
      </w:r>
      <w:proofErr w:type="gramEnd"/>
      <w:r>
        <w:t xml:space="preserve"> or Sending Medicine Overseas inquiry line and the agency’s website provide information and advice to people about their responsibilities and rights when travelling overseas with PBS medicines. </w:t>
      </w:r>
    </w:p>
    <w:p w:rsidR="008E273C" w:rsidRDefault="008E273C" w:rsidP="008E273C">
      <w:pPr>
        <w:pStyle w:val="BodyText"/>
      </w:pPr>
      <w:r>
        <w:t>In 2019–20 the enquiry line received almost 1,500 calls (compared to more than 2,000 in 2018-19) and the ‘How to manage your PBS medicines overseas’ web page was visited 32,773 times (compared to 37,498 in 2018-19).</w:t>
      </w:r>
    </w:p>
    <w:p w:rsidR="008E273C" w:rsidRDefault="008E273C" w:rsidP="008E273C">
      <w:pPr>
        <w:pStyle w:val="Heading3"/>
      </w:pPr>
      <w:r>
        <w:t xml:space="preserve">Online claiming and payments for the PBS </w:t>
      </w:r>
    </w:p>
    <w:p w:rsidR="008E273C" w:rsidRDefault="008E273C" w:rsidP="008E273C">
      <w:pPr>
        <w:pStyle w:val="BodyText"/>
      </w:pPr>
      <w:r>
        <w:t xml:space="preserve">Online claiming for the PBS allows approved suppliers to lodge prescription claims with Services Australia each time a PBS or RPBS medicine is supplied. Payments are made to </w:t>
      </w:r>
      <w:proofErr w:type="gramStart"/>
      <w:r>
        <w:t>approved</w:t>
      </w:r>
      <w:proofErr w:type="gramEnd"/>
      <w:r>
        <w:t xml:space="preserve"> suppliers within 2–9 days of the claimed submission. At 30 June 2020, 99.9 per cent of approved suppliers of PBS and RPBS medicines used online claiming.</w:t>
      </w:r>
    </w:p>
    <w:p w:rsidR="008E273C" w:rsidRDefault="008E273C" w:rsidP="008E273C">
      <w:pPr>
        <w:pStyle w:val="Heading3"/>
      </w:pPr>
      <w:r>
        <w:t xml:space="preserve">Authority-Required medicines  </w:t>
      </w:r>
    </w:p>
    <w:p w:rsidR="008E273C" w:rsidRDefault="008E273C" w:rsidP="008E273C">
      <w:pPr>
        <w:pStyle w:val="BodyText"/>
      </w:pPr>
      <w:r>
        <w:t xml:space="preserve">The Schedule of Pharmaceutical Benefits lists subsidised medicines. Some of these medicines need prior authority approval from the agency before they can be prescribed to patients as PBS benefits. These medicines are subsidised for the treatment of specific conditions. </w:t>
      </w:r>
    </w:p>
    <w:p w:rsidR="008E273C" w:rsidRDefault="008E273C" w:rsidP="008E273C">
      <w:pPr>
        <w:pStyle w:val="BodyText"/>
      </w:pPr>
      <w:r>
        <w:t>In 2019–20 6.95 million authority approval requests were received, including 0.35 million RPBS authority requests processed by DVA.</w:t>
      </w:r>
    </w:p>
    <w:p w:rsidR="008E273C" w:rsidRDefault="008E273C" w:rsidP="008E273C">
      <w:pPr>
        <w:pStyle w:val="Heading2"/>
      </w:pPr>
      <w:r>
        <w:t>Aged care programs</w:t>
      </w:r>
    </w:p>
    <w:p w:rsidR="008E273C" w:rsidRDefault="008E273C" w:rsidP="008E273C">
      <w:pPr>
        <w:pStyle w:val="BodyText"/>
      </w:pPr>
      <w:r>
        <w:t>Services Australia delivers subsidies and supplements to approved aged care providers on behalf of the Department of Health and DVA. The agency’s role is to provide timely and accurate payments efficiently and effectively through modern and flexible aged care payment systems.</w:t>
      </w:r>
    </w:p>
    <w:p w:rsidR="008E273C" w:rsidRDefault="008E273C" w:rsidP="008E273C">
      <w:pPr>
        <w:pStyle w:val="BodyText"/>
      </w:pPr>
      <w:r>
        <w:t>In addition, a range of stimulus measures have been delivered in response to the COVID-19 pandemic to support the aged care sector to prepare for, and respond to, pressures on workforce supply. These new measures include temporary increases to a number of subsidies and supplements and a new o</w:t>
      </w:r>
      <w:r>
        <w:rPr>
          <w:rStyle w:val="NoBreak"/>
        </w:rPr>
        <w:t>ne-of</w:t>
      </w:r>
      <w:r>
        <w:t xml:space="preserve">f COVID-19 Support Supplement which was implemented in late May 2020 with payments flowing to </w:t>
      </w:r>
      <w:r>
        <w:lastRenderedPageBreak/>
        <w:t>providers from early June 2020. A new emergency leave type has also been added for older Australians in resid</w:t>
      </w:r>
      <w:r>
        <w:rPr>
          <w:rStyle w:val="NoBreak"/>
        </w:rPr>
        <w:t>ential car</w:t>
      </w:r>
      <w:r>
        <w:t xml:space="preserve">e. </w:t>
      </w:r>
    </w:p>
    <w:p w:rsidR="008E273C" w:rsidRDefault="008E273C" w:rsidP="008E273C">
      <w:pPr>
        <w:pStyle w:val="BodyText"/>
      </w:pPr>
      <w:r>
        <w:t xml:space="preserve">For information about support for aged care during the COVID-19 pandemic, see </w:t>
      </w:r>
      <w:r>
        <w:rPr>
          <w:rFonts w:ascii="Roboto-Italic" w:hAnsi="Roboto-Italic" w:cs="Roboto-Italic"/>
          <w:i/>
          <w:iCs/>
        </w:rPr>
        <w:t>COVID-19 pandemic</w:t>
      </w:r>
      <w:r>
        <w:t xml:space="preserve"> on page xv.</w:t>
      </w:r>
    </w:p>
    <w:p w:rsidR="008E273C" w:rsidRPr="00A83997" w:rsidRDefault="00A83997" w:rsidP="00A83997">
      <w:pPr>
        <w:pStyle w:val="BodyText"/>
        <w:rPr>
          <w:b/>
        </w:rPr>
      </w:pPr>
      <w:r w:rsidRPr="00A83997">
        <w:rPr>
          <w:b/>
        </w:rPr>
        <w:t>Table 11:</w:t>
      </w:r>
      <w:r w:rsidR="008E273C" w:rsidRPr="00A83997">
        <w:rPr>
          <w:b/>
        </w:rPr>
        <w:t xml:space="preserve"> Aged care overview </w:t>
      </w:r>
    </w:p>
    <w:tbl>
      <w:tblPr>
        <w:tblStyle w:val="TableGrid"/>
        <w:tblW w:w="5000" w:type="pct"/>
        <w:tblLook w:val="0000" w:firstRow="0" w:lastRow="0" w:firstColumn="0" w:lastColumn="0" w:noHBand="0" w:noVBand="0"/>
        <w:tblCaption w:val="Table 11: Aged care overview "/>
        <w:tblDescription w:val="Table 11: Aged care overview "/>
      </w:tblPr>
      <w:tblGrid>
        <w:gridCol w:w="4082"/>
        <w:gridCol w:w="2245"/>
        <w:gridCol w:w="2246"/>
        <w:gridCol w:w="2523"/>
      </w:tblGrid>
      <w:tr w:rsidR="008E273C" w:rsidTr="00A83997">
        <w:trPr>
          <w:trHeight w:val="60"/>
          <w:tblHeader/>
        </w:trPr>
        <w:tc>
          <w:tcPr>
            <w:tcW w:w="1839" w:type="pct"/>
          </w:tcPr>
          <w:p w:rsidR="008E273C" w:rsidRPr="00A83997" w:rsidRDefault="008E273C" w:rsidP="00A83997">
            <w:pPr>
              <w:pStyle w:val="BodyText"/>
              <w:rPr>
                <w:b/>
              </w:rPr>
            </w:pPr>
          </w:p>
        </w:tc>
        <w:tc>
          <w:tcPr>
            <w:tcW w:w="1011" w:type="pct"/>
          </w:tcPr>
          <w:p w:rsidR="008E273C" w:rsidRPr="00A83997" w:rsidRDefault="008E273C" w:rsidP="00A83997">
            <w:pPr>
              <w:pStyle w:val="BodyText"/>
              <w:rPr>
                <w:b/>
              </w:rPr>
            </w:pPr>
            <w:r w:rsidRPr="00A83997">
              <w:rPr>
                <w:rStyle w:val="Bulletcolour"/>
                <w:b/>
              </w:rPr>
              <w:t>2017–18</w:t>
            </w:r>
          </w:p>
        </w:tc>
        <w:tc>
          <w:tcPr>
            <w:tcW w:w="1012" w:type="pct"/>
          </w:tcPr>
          <w:p w:rsidR="008E273C" w:rsidRPr="00A83997" w:rsidRDefault="008E273C" w:rsidP="00A83997">
            <w:pPr>
              <w:pStyle w:val="BodyText"/>
              <w:rPr>
                <w:b/>
              </w:rPr>
            </w:pPr>
            <w:r w:rsidRPr="00A83997">
              <w:rPr>
                <w:rStyle w:val="Bulletcolour"/>
                <w:b/>
              </w:rPr>
              <w:t>2018–19</w:t>
            </w:r>
          </w:p>
        </w:tc>
        <w:tc>
          <w:tcPr>
            <w:tcW w:w="1137" w:type="pct"/>
          </w:tcPr>
          <w:p w:rsidR="008E273C" w:rsidRPr="00A83997" w:rsidRDefault="008E273C" w:rsidP="00A83997">
            <w:pPr>
              <w:pStyle w:val="BodyText"/>
              <w:rPr>
                <w:b/>
              </w:rPr>
            </w:pPr>
            <w:r w:rsidRPr="00A83997">
              <w:rPr>
                <w:rStyle w:val="Bulletcolour"/>
                <w:b/>
              </w:rPr>
              <w:t>2019–20</w:t>
            </w:r>
          </w:p>
        </w:tc>
      </w:tr>
      <w:tr w:rsidR="008E273C" w:rsidTr="00A83997">
        <w:trPr>
          <w:trHeight w:val="60"/>
        </w:trPr>
        <w:tc>
          <w:tcPr>
            <w:tcW w:w="1839" w:type="pct"/>
          </w:tcPr>
          <w:p w:rsidR="008E273C" w:rsidRDefault="008E273C" w:rsidP="00A83997">
            <w:pPr>
              <w:pStyle w:val="BodyText"/>
            </w:pPr>
            <w:r>
              <w:rPr>
                <w:rStyle w:val="Bulletcolour"/>
              </w:rPr>
              <w:t>Residential Care claims processed</w:t>
            </w:r>
          </w:p>
        </w:tc>
        <w:tc>
          <w:tcPr>
            <w:tcW w:w="1011" w:type="pct"/>
          </w:tcPr>
          <w:p w:rsidR="008E273C" w:rsidRDefault="008E273C" w:rsidP="00A83997">
            <w:pPr>
              <w:pStyle w:val="BodyText"/>
            </w:pPr>
            <w:r>
              <w:rPr>
                <w:rStyle w:val="Bulletcolour"/>
              </w:rPr>
              <w:t>32,526</w:t>
            </w:r>
          </w:p>
        </w:tc>
        <w:tc>
          <w:tcPr>
            <w:tcW w:w="1012" w:type="pct"/>
          </w:tcPr>
          <w:p w:rsidR="008E273C" w:rsidRDefault="008E273C" w:rsidP="00A83997">
            <w:pPr>
              <w:pStyle w:val="BodyText"/>
            </w:pPr>
            <w:r>
              <w:rPr>
                <w:rStyle w:val="Bulletcolour"/>
              </w:rPr>
              <w:t>32,522</w:t>
            </w:r>
          </w:p>
        </w:tc>
        <w:tc>
          <w:tcPr>
            <w:tcW w:w="1137" w:type="pct"/>
          </w:tcPr>
          <w:p w:rsidR="008E273C" w:rsidRDefault="008E273C" w:rsidP="00A83997">
            <w:pPr>
              <w:pStyle w:val="BodyText"/>
            </w:pPr>
            <w:r>
              <w:rPr>
                <w:rStyle w:val="Bulletcolour"/>
              </w:rPr>
              <w:t>33,198</w:t>
            </w:r>
          </w:p>
        </w:tc>
      </w:tr>
      <w:tr w:rsidR="008E273C" w:rsidTr="00A83997">
        <w:trPr>
          <w:trHeight w:val="60"/>
        </w:trPr>
        <w:tc>
          <w:tcPr>
            <w:tcW w:w="1839" w:type="pct"/>
          </w:tcPr>
          <w:p w:rsidR="008E273C" w:rsidRDefault="008E273C" w:rsidP="00A83997">
            <w:pPr>
              <w:pStyle w:val="BodyText"/>
            </w:pPr>
            <w:r>
              <w:rPr>
                <w:rStyle w:val="Bulletcolour"/>
              </w:rPr>
              <w:t>Home Care Package claims processed</w:t>
            </w:r>
          </w:p>
        </w:tc>
        <w:tc>
          <w:tcPr>
            <w:tcW w:w="1011" w:type="pct"/>
          </w:tcPr>
          <w:p w:rsidR="008E273C" w:rsidRDefault="008E273C" w:rsidP="00A83997">
            <w:pPr>
              <w:pStyle w:val="BodyText"/>
            </w:pPr>
            <w:r>
              <w:rPr>
                <w:rStyle w:val="Bulletcolour"/>
              </w:rPr>
              <w:t>28,746</w:t>
            </w:r>
          </w:p>
        </w:tc>
        <w:tc>
          <w:tcPr>
            <w:tcW w:w="1012" w:type="pct"/>
          </w:tcPr>
          <w:p w:rsidR="008E273C" w:rsidRDefault="008E273C" w:rsidP="00A83997">
            <w:pPr>
              <w:pStyle w:val="BodyText"/>
            </w:pPr>
            <w:r>
              <w:rPr>
                <w:rStyle w:val="Bulletcolour"/>
              </w:rPr>
              <w:t>29,344</w:t>
            </w:r>
          </w:p>
        </w:tc>
        <w:tc>
          <w:tcPr>
            <w:tcW w:w="1137" w:type="pct"/>
          </w:tcPr>
          <w:p w:rsidR="008E273C" w:rsidRDefault="008E273C" w:rsidP="00A83997">
            <w:pPr>
              <w:pStyle w:val="BodyText"/>
            </w:pPr>
            <w:r>
              <w:rPr>
                <w:rStyle w:val="Bulletcolour"/>
              </w:rPr>
              <w:t>27,738</w:t>
            </w:r>
          </w:p>
        </w:tc>
      </w:tr>
      <w:tr w:rsidR="008E273C" w:rsidTr="00A83997">
        <w:trPr>
          <w:trHeight w:val="60"/>
        </w:trPr>
        <w:tc>
          <w:tcPr>
            <w:tcW w:w="1839" w:type="pct"/>
          </w:tcPr>
          <w:p w:rsidR="008E273C" w:rsidRDefault="008E273C" w:rsidP="00A83997">
            <w:pPr>
              <w:pStyle w:val="BodyText"/>
            </w:pPr>
            <w:r>
              <w:rPr>
                <w:rStyle w:val="Bulletcolour"/>
              </w:rPr>
              <w:t>Transition Care claims processed</w:t>
            </w:r>
          </w:p>
        </w:tc>
        <w:tc>
          <w:tcPr>
            <w:tcW w:w="1011" w:type="pct"/>
          </w:tcPr>
          <w:p w:rsidR="008E273C" w:rsidRDefault="008E273C" w:rsidP="00A83997">
            <w:pPr>
              <w:pStyle w:val="BodyText"/>
            </w:pPr>
            <w:r>
              <w:rPr>
                <w:rStyle w:val="Bulletcolour"/>
              </w:rPr>
              <w:t>982</w:t>
            </w:r>
          </w:p>
        </w:tc>
        <w:tc>
          <w:tcPr>
            <w:tcW w:w="1012" w:type="pct"/>
          </w:tcPr>
          <w:p w:rsidR="008E273C" w:rsidRDefault="008E273C" w:rsidP="00A83997">
            <w:pPr>
              <w:pStyle w:val="BodyText"/>
            </w:pPr>
            <w:r>
              <w:rPr>
                <w:rStyle w:val="Bulletcolour"/>
              </w:rPr>
              <w:t>987</w:t>
            </w:r>
          </w:p>
        </w:tc>
        <w:tc>
          <w:tcPr>
            <w:tcW w:w="1137" w:type="pct"/>
          </w:tcPr>
          <w:p w:rsidR="008E273C" w:rsidRDefault="008E273C" w:rsidP="00A83997">
            <w:pPr>
              <w:pStyle w:val="BodyText"/>
            </w:pPr>
            <w:r>
              <w:rPr>
                <w:rStyle w:val="Bulletcolour"/>
              </w:rPr>
              <w:t>970</w:t>
            </w:r>
          </w:p>
        </w:tc>
      </w:tr>
      <w:tr w:rsidR="008E273C" w:rsidTr="00A83997">
        <w:trPr>
          <w:trHeight w:val="60"/>
        </w:trPr>
        <w:tc>
          <w:tcPr>
            <w:tcW w:w="1839" w:type="pct"/>
          </w:tcPr>
          <w:p w:rsidR="008E273C" w:rsidRDefault="008E273C" w:rsidP="00A83997">
            <w:pPr>
              <w:pStyle w:val="BodyText"/>
            </w:pPr>
            <w:r>
              <w:rPr>
                <w:rStyle w:val="Bulletcolour"/>
              </w:rPr>
              <w:t>Short-term Restorative Care claims processed</w:t>
            </w:r>
          </w:p>
        </w:tc>
        <w:tc>
          <w:tcPr>
            <w:tcW w:w="1011" w:type="pct"/>
          </w:tcPr>
          <w:p w:rsidR="008E273C" w:rsidRDefault="008E273C" w:rsidP="00A83997">
            <w:pPr>
              <w:pStyle w:val="BodyText"/>
            </w:pPr>
            <w:r>
              <w:rPr>
                <w:rStyle w:val="Bulletcolour"/>
              </w:rPr>
              <w:t>713</w:t>
            </w:r>
          </w:p>
        </w:tc>
        <w:tc>
          <w:tcPr>
            <w:tcW w:w="1012" w:type="pct"/>
          </w:tcPr>
          <w:p w:rsidR="008E273C" w:rsidRDefault="008E273C" w:rsidP="00A83997">
            <w:pPr>
              <w:pStyle w:val="BodyText"/>
            </w:pPr>
            <w:r>
              <w:rPr>
                <w:rStyle w:val="Bulletcolour"/>
              </w:rPr>
              <w:t>654</w:t>
            </w:r>
          </w:p>
        </w:tc>
        <w:tc>
          <w:tcPr>
            <w:tcW w:w="1137" w:type="pct"/>
          </w:tcPr>
          <w:p w:rsidR="008E273C" w:rsidRDefault="008E273C" w:rsidP="00A83997">
            <w:pPr>
              <w:pStyle w:val="BodyText"/>
            </w:pPr>
            <w:r>
              <w:rPr>
                <w:rStyle w:val="Bulletcolour"/>
              </w:rPr>
              <w:t>1,049</w:t>
            </w:r>
          </w:p>
        </w:tc>
      </w:tr>
      <w:tr w:rsidR="008E273C" w:rsidTr="00A83997">
        <w:trPr>
          <w:trHeight w:val="60"/>
        </w:trPr>
        <w:tc>
          <w:tcPr>
            <w:tcW w:w="1839" w:type="pct"/>
          </w:tcPr>
          <w:p w:rsidR="008E273C" w:rsidRDefault="008E273C" w:rsidP="00AC4959">
            <w:pPr>
              <w:pStyle w:val="BodyText"/>
            </w:pPr>
            <w:r>
              <w:rPr>
                <w:rStyle w:val="Bold"/>
              </w:rPr>
              <w:t>Total claims processed</w:t>
            </w:r>
          </w:p>
        </w:tc>
        <w:tc>
          <w:tcPr>
            <w:tcW w:w="1011" w:type="pct"/>
          </w:tcPr>
          <w:p w:rsidR="008E273C" w:rsidRDefault="008E273C" w:rsidP="00AC4959">
            <w:pPr>
              <w:pStyle w:val="BodyText"/>
            </w:pPr>
            <w:r>
              <w:rPr>
                <w:rStyle w:val="Bold"/>
              </w:rPr>
              <w:t>62,967</w:t>
            </w:r>
          </w:p>
        </w:tc>
        <w:tc>
          <w:tcPr>
            <w:tcW w:w="1012" w:type="pct"/>
          </w:tcPr>
          <w:p w:rsidR="008E273C" w:rsidRDefault="008E273C" w:rsidP="00AC4959">
            <w:pPr>
              <w:pStyle w:val="BodyText"/>
            </w:pPr>
            <w:r>
              <w:rPr>
                <w:rStyle w:val="Bold"/>
              </w:rPr>
              <w:t>63,507</w:t>
            </w:r>
          </w:p>
        </w:tc>
        <w:tc>
          <w:tcPr>
            <w:tcW w:w="1137" w:type="pct"/>
          </w:tcPr>
          <w:p w:rsidR="008E273C" w:rsidRDefault="008E273C" w:rsidP="00AC4959">
            <w:pPr>
              <w:pStyle w:val="BodyText"/>
            </w:pPr>
            <w:r>
              <w:rPr>
                <w:rStyle w:val="Bold"/>
              </w:rPr>
              <w:t>62,955</w:t>
            </w:r>
          </w:p>
        </w:tc>
      </w:tr>
      <w:tr w:rsidR="008E273C" w:rsidTr="00A83997">
        <w:trPr>
          <w:trHeight w:val="60"/>
        </w:trPr>
        <w:tc>
          <w:tcPr>
            <w:tcW w:w="1839" w:type="pct"/>
          </w:tcPr>
          <w:p w:rsidR="008E273C" w:rsidRDefault="008E273C" w:rsidP="00A83997">
            <w:pPr>
              <w:pStyle w:val="BodyText"/>
            </w:pPr>
            <w:r>
              <w:rPr>
                <w:rStyle w:val="Bulletcolour"/>
              </w:rPr>
              <w:t>Total amount paid</w:t>
            </w:r>
            <w:r>
              <w:rPr>
                <w:rStyle w:val="Bulletcolour"/>
                <w:vertAlign w:val="superscript"/>
              </w:rPr>
              <w:t>(a)</w:t>
            </w:r>
          </w:p>
        </w:tc>
        <w:tc>
          <w:tcPr>
            <w:tcW w:w="1011" w:type="pct"/>
          </w:tcPr>
          <w:p w:rsidR="008E273C" w:rsidRDefault="008E273C" w:rsidP="00A83997">
            <w:pPr>
              <w:pStyle w:val="BodyText"/>
            </w:pPr>
            <w:r>
              <w:rPr>
                <w:rStyle w:val="Bulletcolour"/>
              </w:rPr>
              <w:t>$14.5 billion</w:t>
            </w:r>
          </w:p>
        </w:tc>
        <w:tc>
          <w:tcPr>
            <w:tcW w:w="1012" w:type="pct"/>
          </w:tcPr>
          <w:p w:rsidR="008E273C" w:rsidRDefault="008E273C" w:rsidP="00A83997">
            <w:pPr>
              <w:pStyle w:val="BodyText"/>
            </w:pPr>
            <w:r>
              <w:rPr>
                <w:rStyle w:val="Bulletcolour"/>
              </w:rPr>
              <w:t>$15.8 billion</w:t>
            </w:r>
          </w:p>
        </w:tc>
        <w:tc>
          <w:tcPr>
            <w:tcW w:w="1137" w:type="pct"/>
          </w:tcPr>
          <w:p w:rsidR="008E273C" w:rsidRDefault="008E273C" w:rsidP="00A83997">
            <w:pPr>
              <w:pStyle w:val="BodyText"/>
            </w:pPr>
            <w:r>
              <w:rPr>
                <w:rStyle w:val="Bulletcolour"/>
              </w:rPr>
              <w:t>$17.1 billion</w:t>
            </w:r>
            <w:r>
              <w:rPr>
                <w:rStyle w:val="Bulletcolour"/>
                <w:vertAlign w:val="superscript"/>
              </w:rPr>
              <w:t>(c)</w:t>
            </w:r>
            <w:r>
              <w:rPr>
                <w:rStyle w:val="Bulletcolour"/>
              </w:rPr>
              <w:t xml:space="preserve"> </w:t>
            </w:r>
          </w:p>
        </w:tc>
      </w:tr>
      <w:tr w:rsidR="008E273C" w:rsidTr="00A83997">
        <w:trPr>
          <w:trHeight w:val="60"/>
        </w:trPr>
        <w:tc>
          <w:tcPr>
            <w:tcW w:w="1839" w:type="pct"/>
          </w:tcPr>
          <w:p w:rsidR="008E273C" w:rsidRDefault="008E273C" w:rsidP="00AC4959">
            <w:pPr>
              <w:pStyle w:val="BodyText"/>
            </w:pPr>
            <w:r>
              <w:rPr>
                <w:rStyle w:val="Bold"/>
              </w:rPr>
              <w:t>Total number of services</w:t>
            </w:r>
          </w:p>
        </w:tc>
        <w:tc>
          <w:tcPr>
            <w:tcW w:w="1011" w:type="pct"/>
          </w:tcPr>
          <w:p w:rsidR="008E273C" w:rsidRDefault="008E273C" w:rsidP="00A83997">
            <w:pPr>
              <w:pStyle w:val="BodyText"/>
            </w:pPr>
          </w:p>
        </w:tc>
        <w:tc>
          <w:tcPr>
            <w:tcW w:w="1012" w:type="pct"/>
          </w:tcPr>
          <w:p w:rsidR="008E273C" w:rsidRDefault="008E273C" w:rsidP="00A83997">
            <w:pPr>
              <w:pStyle w:val="BodyText"/>
            </w:pPr>
          </w:p>
        </w:tc>
        <w:tc>
          <w:tcPr>
            <w:tcW w:w="1137" w:type="pct"/>
          </w:tcPr>
          <w:p w:rsidR="008E273C" w:rsidRDefault="008E273C" w:rsidP="00A83997">
            <w:pPr>
              <w:pStyle w:val="BodyText"/>
            </w:pPr>
          </w:p>
        </w:tc>
      </w:tr>
      <w:tr w:rsidR="008E273C" w:rsidTr="00A83997">
        <w:trPr>
          <w:trHeight w:val="60"/>
        </w:trPr>
        <w:tc>
          <w:tcPr>
            <w:tcW w:w="1839" w:type="pct"/>
          </w:tcPr>
          <w:p w:rsidR="008E273C" w:rsidRDefault="008E273C" w:rsidP="00A83997">
            <w:pPr>
              <w:pStyle w:val="BodyText"/>
            </w:pPr>
            <w:r>
              <w:rPr>
                <w:rStyle w:val="Bulletcolour"/>
              </w:rPr>
              <w:t>Residential Care services</w:t>
            </w:r>
          </w:p>
        </w:tc>
        <w:tc>
          <w:tcPr>
            <w:tcW w:w="1011" w:type="pct"/>
          </w:tcPr>
          <w:p w:rsidR="008E273C" w:rsidRDefault="008E273C" w:rsidP="00A83997">
            <w:pPr>
              <w:pStyle w:val="BodyText"/>
            </w:pPr>
            <w:r>
              <w:rPr>
                <w:rStyle w:val="Bulletcolour"/>
              </w:rPr>
              <w:t>2,719</w:t>
            </w:r>
          </w:p>
        </w:tc>
        <w:tc>
          <w:tcPr>
            <w:tcW w:w="1012" w:type="pct"/>
          </w:tcPr>
          <w:p w:rsidR="008E273C" w:rsidRDefault="008E273C" w:rsidP="00A83997">
            <w:pPr>
              <w:pStyle w:val="BodyText"/>
            </w:pPr>
            <w:r>
              <w:rPr>
                <w:rStyle w:val="Bulletcolour"/>
              </w:rPr>
              <w:t>2,742</w:t>
            </w:r>
          </w:p>
        </w:tc>
        <w:tc>
          <w:tcPr>
            <w:tcW w:w="1137" w:type="pct"/>
          </w:tcPr>
          <w:p w:rsidR="008E273C" w:rsidRDefault="008E273C" w:rsidP="00A83997">
            <w:pPr>
              <w:pStyle w:val="BodyText"/>
            </w:pPr>
            <w:r>
              <w:rPr>
                <w:rStyle w:val="Bulletcolour"/>
              </w:rPr>
              <w:t>2,749</w:t>
            </w:r>
          </w:p>
        </w:tc>
      </w:tr>
      <w:tr w:rsidR="008E273C" w:rsidTr="00A83997">
        <w:trPr>
          <w:trHeight w:val="60"/>
        </w:trPr>
        <w:tc>
          <w:tcPr>
            <w:tcW w:w="1839" w:type="pct"/>
          </w:tcPr>
          <w:p w:rsidR="008E273C" w:rsidRDefault="008E273C" w:rsidP="00A83997">
            <w:pPr>
              <w:pStyle w:val="BodyText"/>
            </w:pPr>
            <w:r>
              <w:rPr>
                <w:rStyle w:val="Bulletcolour"/>
              </w:rPr>
              <w:t>Home Care services</w:t>
            </w:r>
          </w:p>
        </w:tc>
        <w:tc>
          <w:tcPr>
            <w:tcW w:w="1011" w:type="pct"/>
          </w:tcPr>
          <w:p w:rsidR="008E273C" w:rsidRDefault="008E273C" w:rsidP="00A83997">
            <w:pPr>
              <w:pStyle w:val="BodyText"/>
            </w:pPr>
            <w:r>
              <w:rPr>
                <w:rStyle w:val="Bulletcolour"/>
              </w:rPr>
              <w:t>2,466</w:t>
            </w:r>
          </w:p>
        </w:tc>
        <w:tc>
          <w:tcPr>
            <w:tcW w:w="1012" w:type="pct"/>
          </w:tcPr>
          <w:p w:rsidR="008E273C" w:rsidRDefault="008E273C" w:rsidP="00A83997">
            <w:pPr>
              <w:pStyle w:val="BodyText"/>
            </w:pPr>
            <w:r>
              <w:rPr>
                <w:rStyle w:val="Bulletcolour"/>
              </w:rPr>
              <w:t>2,882</w:t>
            </w:r>
          </w:p>
        </w:tc>
        <w:tc>
          <w:tcPr>
            <w:tcW w:w="1137" w:type="pct"/>
          </w:tcPr>
          <w:p w:rsidR="008E273C" w:rsidRDefault="008E273C" w:rsidP="00A83997">
            <w:pPr>
              <w:pStyle w:val="BodyText"/>
            </w:pPr>
            <w:r>
              <w:rPr>
                <w:rStyle w:val="Bulletcolour"/>
              </w:rPr>
              <w:t>2,674</w:t>
            </w:r>
          </w:p>
        </w:tc>
      </w:tr>
      <w:tr w:rsidR="008E273C" w:rsidTr="00A83997">
        <w:trPr>
          <w:trHeight w:val="60"/>
        </w:trPr>
        <w:tc>
          <w:tcPr>
            <w:tcW w:w="1839" w:type="pct"/>
          </w:tcPr>
          <w:p w:rsidR="008E273C" w:rsidRDefault="008E273C" w:rsidP="00A83997">
            <w:pPr>
              <w:pStyle w:val="BodyText"/>
            </w:pPr>
            <w:r>
              <w:rPr>
                <w:rStyle w:val="Bulletcolour"/>
              </w:rPr>
              <w:t>Transition Care services</w:t>
            </w:r>
          </w:p>
        </w:tc>
        <w:tc>
          <w:tcPr>
            <w:tcW w:w="1011" w:type="pct"/>
          </w:tcPr>
          <w:p w:rsidR="008E273C" w:rsidRDefault="008E273C" w:rsidP="00A83997">
            <w:pPr>
              <w:pStyle w:val="BodyText"/>
            </w:pPr>
            <w:r>
              <w:rPr>
                <w:rStyle w:val="Bulletcolour"/>
              </w:rPr>
              <w:t>84</w:t>
            </w:r>
          </w:p>
        </w:tc>
        <w:tc>
          <w:tcPr>
            <w:tcW w:w="1012" w:type="pct"/>
          </w:tcPr>
          <w:p w:rsidR="008E273C" w:rsidRDefault="008E273C" w:rsidP="00A83997">
            <w:pPr>
              <w:pStyle w:val="BodyText"/>
            </w:pPr>
            <w:r>
              <w:rPr>
                <w:rStyle w:val="Bulletcolour"/>
              </w:rPr>
              <w:t>81</w:t>
            </w:r>
          </w:p>
        </w:tc>
        <w:tc>
          <w:tcPr>
            <w:tcW w:w="1137" w:type="pct"/>
          </w:tcPr>
          <w:p w:rsidR="008E273C" w:rsidRDefault="008E273C" w:rsidP="00A83997">
            <w:pPr>
              <w:pStyle w:val="BodyText"/>
            </w:pPr>
            <w:r>
              <w:rPr>
                <w:rStyle w:val="Bulletcolour"/>
              </w:rPr>
              <w:t>106</w:t>
            </w:r>
          </w:p>
        </w:tc>
      </w:tr>
      <w:tr w:rsidR="008E273C" w:rsidTr="00A83997">
        <w:trPr>
          <w:trHeight w:val="85"/>
        </w:trPr>
        <w:tc>
          <w:tcPr>
            <w:tcW w:w="1839" w:type="pct"/>
          </w:tcPr>
          <w:p w:rsidR="008E273C" w:rsidRDefault="008E273C" w:rsidP="00A83997">
            <w:pPr>
              <w:pStyle w:val="BodyText"/>
            </w:pPr>
            <w:r>
              <w:rPr>
                <w:rStyle w:val="Bulletcolour"/>
              </w:rPr>
              <w:t>Short-term Restorative Care services</w:t>
            </w:r>
          </w:p>
        </w:tc>
        <w:tc>
          <w:tcPr>
            <w:tcW w:w="1011" w:type="pct"/>
          </w:tcPr>
          <w:p w:rsidR="008E273C" w:rsidRDefault="008E273C" w:rsidP="00A83997">
            <w:pPr>
              <w:pStyle w:val="BodyText"/>
            </w:pPr>
            <w:r>
              <w:rPr>
                <w:rStyle w:val="Bulletcolour"/>
              </w:rPr>
              <w:t>53</w:t>
            </w:r>
          </w:p>
        </w:tc>
        <w:tc>
          <w:tcPr>
            <w:tcW w:w="1012" w:type="pct"/>
          </w:tcPr>
          <w:p w:rsidR="008E273C" w:rsidRDefault="008E273C" w:rsidP="00A83997">
            <w:pPr>
              <w:pStyle w:val="BodyText"/>
            </w:pPr>
            <w:r>
              <w:rPr>
                <w:rStyle w:val="Bulletcolour"/>
              </w:rPr>
              <w:t>57</w:t>
            </w:r>
          </w:p>
        </w:tc>
        <w:tc>
          <w:tcPr>
            <w:tcW w:w="1137" w:type="pct"/>
          </w:tcPr>
          <w:p w:rsidR="008E273C" w:rsidRDefault="008E273C" w:rsidP="00A83997">
            <w:pPr>
              <w:pStyle w:val="BodyText"/>
            </w:pPr>
            <w:r>
              <w:rPr>
                <w:rStyle w:val="Bulletcolour"/>
              </w:rPr>
              <w:t>96</w:t>
            </w:r>
          </w:p>
        </w:tc>
      </w:tr>
      <w:tr w:rsidR="008E273C" w:rsidTr="00A83997">
        <w:trPr>
          <w:trHeight w:val="85"/>
        </w:trPr>
        <w:tc>
          <w:tcPr>
            <w:tcW w:w="1839" w:type="pct"/>
          </w:tcPr>
          <w:p w:rsidR="008E273C" w:rsidRDefault="008E273C" w:rsidP="00A83997">
            <w:pPr>
              <w:pStyle w:val="BodyText"/>
            </w:pPr>
            <w:r>
              <w:rPr>
                <w:rStyle w:val="Bulletcolour"/>
              </w:rPr>
              <w:t>Total number of providers</w:t>
            </w:r>
          </w:p>
        </w:tc>
        <w:tc>
          <w:tcPr>
            <w:tcW w:w="1011" w:type="pct"/>
          </w:tcPr>
          <w:p w:rsidR="008E273C" w:rsidRDefault="008E273C" w:rsidP="00A83997">
            <w:pPr>
              <w:pStyle w:val="BodyText"/>
            </w:pPr>
            <w:r>
              <w:rPr>
                <w:rStyle w:val="Bulletcolour"/>
              </w:rPr>
              <w:t>1,393</w:t>
            </w:r>
          </w:p>
        </w:tc>
        <w:tc>
          <w:tcPr>
            <w:tcW w:w="1012" w:type="pct"/>
          </w:tcPr>
          <w:p w:rsidR="008E273C" w:rsidRDefault="008E273C" w:rsidP="00A83997">
            <w:pPr>
              <w:pStyle w:val="BodyText"/>
            </w:pPr>
            <w:r>
              <w:rPr>
                <w:rStyle w:val="Bulletcolour"/>
              </w:rPr>
              <w:t>1,511</w:t>
            </w:r>
            <w:r>
              <w:rPr>
                <w:rStyle w:val="Bulletcolour"/>
                <w:vertAlign w:val="superscript"/>
              </w:rPr>
              <w:t>(b)</w:t>
            </w:r>
          </w:p>
        </w:tc>
        <w:tc>
          <w:tcPr>
            <w:tcW w:w="1137" w:type="pct"/>
          </w:tcPr>
          <w:p w:rsidR="008E273C" w:rsidRDefault="008E273C" w:rsidP="00A83997">
            <w:pPr>
              <w:pStyle w:val="BodyText"/>
            </w:pPr>
            <w:r>
              <w:rPr>
                <w:rStyle w:val="Bulletcolour"/>
              </w:rPr>
              <w:t>1,516</w:t>
            </w:r>
          </w:p>
        </w:tc>
      </w:tr>
    </w:tbl>
    <w:p w:rsidR="008E273C" w:rsidRDefault="008E273C" w:rsidP="00A83997">
      <w:pPr>
        <w:pStyle w:val="BodyText"/>
      </w:pPr>
      <w:r>
        <w:t>(a)</w:t>
      </w:r>
      <w:r w:rsidR="00A83997">
        <w:t xml:space="preserve"> </w:t>
      </w:r>
      <w:r>
        <w:t>Includes $1.0 billion in 2017–18, $0.9 billion in 2018–19 and $0.8 billion in 2019–20 paid on behalf of DVA.</w:t>
      </w:r>
    </w:p>
    <w:p w:rsidR="008E273C" w:rsidRDefault="008E273C" w:rsidP="00A83997">
      <w:pPr>
        <w:pStyle w:val="BodyText"/>
      </w:pPr>
      <w:r>
        <w:t>(b)</w:t>
      </w:r>
      <w:r w:rsidR="00A83997">
        <w:t xml:space="preserve"> </w:t>
      </w:r>
      <w:r>
        <w:t>In 2018</w:t>
      </w:r>
      <w:r w:rsidR="00A83997">
        <w:t>–</w:t>
      </w:r>
      <w:r>
        <w:t xml:space="preserve">19 the total number of providers reported was 1,793. This has been revised to count providers once where they support services across multiple programs. </w:t>
      </w:r>
    </w:p>
    <w:p w:rsidR="008E273C" w:rsidRDefault="008E273C" w:rsidP="00A83997">
      <w:pPr>
        <w:pStyle w:val="BodyText"/>
      </w:pPr>
      <w:r>
        <w:t>(c)</w:t>
      </w:r>
      <w:r w:rsidR="00A83997">
        <w:t xml:space="preserve"> </w:t>
      </w:r>
      <w:r>
        <w:t>Includes COVID-19 pandemic stimulus payments outlined on page xv.</w:t>
      </w:r>
    </w:p>
    <w:p w:rsidR="008E273C" w:rsidRDefault="008E273C" w:rsidP="008E273C">
      <w:pPr>
        <w:pStyle w:val="Heading3"/>
      </w:pPr>
      <w:r>
        <w:lastRenderedPageBreak/>
        <w:t>Improving services to the aged care sector</w:t>
      </w:r>
    </w:p>
    <w:p w:rsidR="008E273C" w:rsidRDefault="008E273C" w:rsidP="008E273C">
      <w:pPr>
        <w:pStyle w:val="BodyText"/>
      </w:pPr>
      <w:r>
        <w:t>In 2019–20 the agency introduced a new Aged Care Provider Portal to deliver more stable, convenient and efficient processing for aged care providers.</w:t>
      </w:r>
    </w:p>
    <w:p w:rsidR="008E273C" w:rsidRDefault="008E273C" w:rsidP="008E273C">
      <w:pPr>
        <w:pStyle w:val="BodyText"/>
      </w:pPr>
      <w:r>
        <w:t>On 31 October 2019 we rolled out the new portal to all Home Care and Residential Care users. By June 2020, over 21,000 care recipient events were submitted using the new portal.</w:t>
      </w:r>
    </w:p>
    <w:p w:rsidR="008E273C" w:rsidRDefault="008E273C" w:rsidP="008E273C">
      <w:pPr>
        <w:pStyle w:val="BodyText"/>
      </w:pPr>
      <w:r>
        <w:t>On 11 June 2020 the agency also began a rollout to Transition Care and Short-Term Restorative Care users, which meant they could submit their claims online for the first time.</w:t>
      </w:r>
    </w:p>
    <w:p w:rsidR="008E273C" w:rsidRDefault="008E273C" w:rsidP="008E273C">
      <w:pPr>
        <w:pStyle w:val="Heading2"/>
      </w:pPr>
      <w:r>
        <w:t>Health payments and services</w:t>
      </w:r>
    </w:p>
    <w:p w:rsidR="008E273C" w:rsidRDefault="008E273C" w:rsidP="008E273C">
      <w:pPr>
        <w:pStyle w:val="Heading3"/>
      </w:pPr>
      <w:r>
        <w:t>Health services for the Department of Veterans’ Affairs</w:t>
      </w:r>
    </w:p>
    <w:p w:rsidR="008E273C" w:rsidRDefault="008E273C" w:rsidP="008E273C">
      <w:pPr>
        <w:pStyle w:val="BodyText"/>
      </w:pPr>
      <w:r>
        <w:t>Services Australia assesses claims and processes payments for the treatment of eligible DVA clients for medical, specialist, diagnostic imaging, pathology, allied health and dental services, and for private hospital admissions and prostheses.</w:t>
      </w:r>
    </w:p>
    <w:p w:rsidR="008E273C" w:rsidRDefault="008E273C" w:rsidP="008E273C">
      <w:pPr>
        <w:pStyle w:val="BodyText"/>
      </w:pPr>
      <w:r>
        <w:t>The agency produces DVA’s Gold Cards, White Cards and Orange Cards for eligible veterans.</w:t>
      </w:r>
    </w:p>
    <w:p w:rsidR="008E273C" w:rsidRDefault="008E273C" w:rsidP="008E273C">
      <w:pPr>
        <w:pStyle w:val="BodyText"/>
      </w:pPr>
      <w:r>
        <w:t xml:space="preserve">During the year there was a steady take up of the DVA </w:t>
      </w:r>
      <w:proofErr w:type="spellStart"/>
      <w:r>
        <w:t>Webclaim</w:t>
      </w:r>
      <w:proofErr w:type="spellEnd"/>
      <w:r>
        <w:t xml:space="preserve"> channel, with over 20,000 provider locations claiming in 2019–20. DVA </w:t>
      </w:r>
      <w:proofErr w:type="spellStart"/>
      <w:r>
        <w:t>Webclaim’s</w:t>
      </w:r>
      <w:proofErr w:type="spellEnd"/>
      <w:r>
        <w:t xml:space="preserve"> major clients are small</w:t>
      </w:r>
      <w:r>
        <w:noBreakHyphen/>
        <w:t xml:space="preserve">volume treating locations and allied health professionals. More than 13 per cent of total services received for DVA were transmitted through DVA </w:t>
      </w:r>
      <w:proofErr w:type="spellStart"/>
      <w:r>
        <w:t>Webclaim</w:t>
      </w:r>
      <w:proofErr w:type="spellEnd"/>
      <w:r>
        <w:t xml:space="preserve">, and manual claiming is down to less than 5 per cent of total service claims received, compared with 6.1 per cent in 2018–19. </w:t>
      </w:r>
    </w:p>
    <w:p w:rsidR="008E273C" w:rsidRDefault="008E273C" w:rsidP="00E42522">
      <w:pPr>
        <w:pStyle w:val="BodyText"/>
      </w:pPr>
      <w:r>
        <w:t xml:space="preserve">We continued to highlight the benefits of electronic claiming to providers by promoting the </w:t>
      </w:r>
      <w:proofErr w:type="spellStart"/>
      <w:r>
        <w:t>Webclaim</w:t>
      </w:r>
      <w:proofErr w:type="spellEnd"/>
      <w:r>
        <w:t>. As a result, in 2019–20:</w:t>
      </w:r>
    </w:p>
    <w:p w:rsidR="008E273C" w:rsidRDefault="008E273C" w:rsidP="00E42522">
      <w:pPr>
        <w:pStyle w:val="ListBullet"/>
      </w:pPr>
      <w:r>
        <w:t xml:space="preserve">electronic claiming increased to 93.9 per cent </w:t>
      </w:r>
    </w:p>
    <w:p w:rsidR="008E273C" w:rsidRDefault="008E273C" w:rsidP="00E42522">
      <w:pPr>
        <w:pStyle w:val="ListBullet"/>
      </w:pPr>
      <w:r>
        <w:t>electronic claiming for allied health services increased to 87.5 per cent</w:t>
      </w:r>
    </w:p>
    <w:p w:rsidR="008E273C" w:rsidRDefault="008E273C" w:rsidP="00E42522">
      <w:pPr>
        <w:pStyle w:val="ListBullet"/>
      </w:pPr>
      <w:r>
        <w:t xml:space="preserve">electronic claiming for medical services increased to 96.9 per cent </w:t>
      </w:r>
    </w:p>
    <w:p w:rsidR="008E273C" w:rsidRDefault="008E273C" w:rsidP="00E42522">
      <w:pPr>
        <w:pStyle w:val="ListBullet"/>
      </w:pPr>
      <w:r>
        <w:t>electronic claiming for hospitals increased to 89.8 per cent</w:t>
      </w:r>
    </w:p>
    <w:p w:rsidR="008E273C" w:rsidRDefault="008E273C" w:rsidP="00E42522">
      <w:pPr>
        <w:pStyle w:val="ListBullet"/>
      </w:pPr>
      <w:proofErr w:type="gramStart"/>
      <w:r>
        <w:t>manual</w:t>
      </w:r>
      <w:proofErr w:type="gramEnd"/>
      <w:r>
        <w:t xml:space="preserve"> claiming for DVA decreased to 6 per cent.</w:t>
      </w:r>
    </w:p>
    <w:p w:rsidR="008E273C" w:rsidRPr="009654DA" w:rsidRDefault="009654DA" w:rsidP="009654DA">
      <w:pPr>
        <w:pStyle w:val="BodyText"/>
        <w:rPr>
          <w:rFonts w:ascii="Roboto-Regular" w:hAnsi="Roboto-Regular" w:cs="Roboto-Regular"/>
          <w:b/>
          <w:bCs/>
          <w:sz w:val="22"/>
          <w:szCs w:val="22"/>
          <w:lang w:val="en-US"/>
        </w:rPr>
      </w:pPr>
      <w:r w:rsidRPr="009654DA">
        <w:rPr>
          <w:b/>
        </w:rPr>
        <w:t>Table 12:</w:t>
      </w:r>
      <w:r w:rsidR="008E273C" w:rsidRPr="009654DA">
        <w:rPr>
          <w:b/>
        </w:rPr>
        <w:t xml:space="preserve"> Department of Veterans’ Affairs processing</w:t>
      </w:r>
    </w:p>
    <w:tbl>
      <w:tblPr>
        <w:tblStyle w:val="TableGrid"/>
        <w:tblW w:w="5000" w:type="pct"/>
        <w:tblLook w:val="0000" w:firstRow="0" w:lastRow="0" w:firstColumn="0" w:lastColumn="0" w:noHBand="0" w:noVBand="0"/>
        <w:tblCaption w:val="Table 12: Department of Veterans’ Affairs processing"/>
        <w:tblDescription w:val="Table 12: Department of Veterans’ Affairs processing"/>
      </w:tblPr>
      <w:tblGrid>
        <w:gridCol w:w="4351"/>
        <w:gridCol w:w="2249"/>
        <w:gridCol w:w="2248"/>
        <w:gridCol w:w="2248"/>
      </w:tblGrid>
      <w:tr w:rsidR="008E273C" w:rsidTr="009654DA">
        <w:trPr>
          <w:trHeight w:val="60"/>
          <w:tblHeader/>
        </w:trPr>
        <w:tc>
          <w:tcPr>
            <w:tcW w:w="1960" w:type="pct"/>
          </w:tcPr>
          <w:p w:rsidR="008E273C" w:rsidRPr="009654DA" w:rsidRDefault="008E273C" w:rsidP="009654DA">
            <w:pPr>
              <w:pStyle w:val="BodyText"/>
              <w:rPr>
                <w:b/>
              </w:rPr>
            </w:pPr>
            <w:r w:rsidRPr="009654DA">
              <w:rPr>
                <w:rStyle w:val="Bulletcolour"/>
                <w:b/>
              </w:rPr>
              <w:t> </w:t>
            </w:r>
          </w:p>
        </w:tc>
        <w:tc>
          <w:tcPr>
            <w:tcW w:w="1013" w:type="pct"/>
          </w:tcPr>
          <w:p w:rsidR="008E273C" w:rsidRPr="009654DA" w:rsidRDefault="008E273C" w:rsidP="009654DA">
            <w:pPr>
              <w:pStyle w:val="BodyText"/>
              <w:rPr>
                <w:b/>
              </w:rPr>
            </w:pPr>
            <w:r w:rsidRPr="009654DA">
              <w:rPr>
                <w:rStyle w:val="Bulletcolour"/>
                <w:b/>
              </w:rPr>
              <w:t>2017–18</w:t>
            </w:r>
          </w:p>
        </w:tc>
        <w:tc>
          <w:tcPr>
            <w:tcW w:w="1013" w:type="pct"/>
          </w:tcPr>
          <w:p w:rsidR="008E273C" w:rsidRPr="009654DA" w:rsidRDefault="008E273C" w:rsidP="009654DA">
            <w:pPr>
              <w:pStyle w:val="BodyText"/>
              <w:rPr>
                <w:b/>
              </w:rPr>
            </w:pPr>
            <w:r w:rsidRPr="009654DA">
              <w:rPr>
                <w:rStyle w:val="Bulletcolour"/>
                <w:b/>
              </w:rPr>
              <w:t>2018–19</w:t>
            </w:r>
          </w:p>
        </w:tc>
        <w:tc>
          <w:tcPr>
            <w:tcW w:w="1013" w:type="pct"/>
          </w:tcPr>
          <w:p w:rsidR="008E273C" w:rsidRPr="009654DA" w:rsidRDefault="008E273C" w:rsidP="009654DA">
            <w:pPr>
              <w:pStyle w:val="BodyText"/>
              <w:rPr>
                <w:b/>
              </w:rPr>
            </w:pPr>
            <w:r w:rsidRPr="009654DA">
              <w:rPr>
                <w:rStyle w:val="Bulletcolour"/>
                <w:b/>
              </w:rPr>
              <w:t xml:space="preserve">2019–20 </w:t>
            </w:r>
          </w:p>
        </w:tc>
      </w:tr>
      <w:tr w:rsidR="008E273C" w:rsidTr="009654DA">
        <w:trPr>
          <w:trHeight w:val="60"/>
        </w:trPr>
        <w:tc>
          <w:tcPr>
            <w:tcW w:w="1960" w:type="pct"/>
          </w:tcPr>
          <w:p w:rsidR="008E273C" w:rsidRDefault="008E273C" w:rsidP="009654DA">
            <w:pPr>
              <w:pStyle w:val="BodyText"/>
            </w:pPr>
            <w:r>
              <w:rPr>
                <w:rStyle w:val="Bulletcolour"/>
              </w:rPr>
              <w:t>Cards produced</w:t>
            </w:r>
          </w:p>
        </w:tc>
        <w:tc>
          <w:tcPr>
            <w:tcW w:w="1013" w:type="pct"/>
          </w:tcPr>
          <w:p w:rsidR="008E273C" w:rsidRDefault="008E273C" w:rsidP="009654DA">
            <w:pPr>
              <w:pStyle w:val="BodyText"/>
            </w:pPr>
            <w:r>
              <w:rPr>
                <w:rStyle w:val="Bulletcolour"/>
              </w:rPr>
              <w:t>22,717</w:t>
            </w:r>
          </w:p>
        </w:tc>
        <w:tc>
          <w:tcPr>
            <w:tcW w:w="1013" w:type="pct"/>
          </w:tcPr>
          <w:p w:rsidR="008E273C" w:rsidRDefault="008E273C" w:rsidP="009654DA">
            <w:pPr>
              <w:pStyle w:val="BodyText"/>
            </w:pPr>
            <w:r>
              <w:rPr>
                <w:rStyle w:val="Bulletcolour"/>
              </w:rPr>
              <w:t>42,752</w:t>
            </w:r>
          </w:p>
        </w:tc>
        <w:tc>
          <w:tcPr>
            <w:tcW w:w="1013" w:type="pct"/>
          </w:tcPr>
          <w:p w:rsidR="008E273C" w:rsidRDefault="008E273C" w:rsidP="009654DA">
            <w:pPr>
              <w:pStyle w:val="BodyText"/>
            </w:pPr>
            <w:r>
              <w:rPr>
                <w:rStyle w:val="Bulletcolour"/>
              </w:rPr>
              <w:t>177,577</w:t>
            </w:r>
            <w:r>
              <w:rPr>
                <w:rStyle w:val="Bulletcolour"/>
                <w:vertAlign w:val="superscript"/>
              </w:rPr>
              <w:t>(a)</w:t>
            </w:r>
          </w:p>
        </w:tc>
      </w:tr>
      <w:tr w:rsidR="008E273C" w:rsidTr="009654DA">
        <w:trPr>
          <w:trHeight w:val="60"/>
        </w:trPr>
        <w:tc>
          <w:tcPr>
            <w:tcW w:w="1960" w:type="pct"/>
          </w:tcPr>
          <w:p w:rsidR="008E273C" w:rsidRDefault="008E273C" w:rsidP="009654DA">
            <w:pPr>
              <w:pStyle w:val="BodyText"/>
            </w:pPr>
            <w:r>
              <w:rPr>
                <w:rStyle w:val="Bulletcolour"/>
              </w:rPr>
              <w:t>Services processed</w:t>
            </w:r>
          </w:p>
        </w:tc>
        <w:tc>
          <w:tcPr>
            <w:tcW w:w="1013" w:type="pct"/>
          </w:tcPr>
          <w:p w:rsidR="008E273C" w:rsidRDefault="008E273C" w:rsidP="009654DA">
            <w:pPr>
              <w:pStyle w:val="BodyText"/>
            </w:pPr>
            <w:r>
              <w:rPr>
                <w:rStyle w:val="Bulletcolour"/>
              </w:rPr>
              <w:t>17.3 million</w:t>
            </w:r>
          </w:p>
        </w:tc>
        <w:tc>
          <w:tcPr>
            <w:tcW w:w="1013" w:type="pct"/>
          </w:tcPr>
          <w:p w:rsidR="008E273C" w:rsidRDefault="008E273C" w:rsidP="009654DA">
            <w:pPr>
              <w:pStyle w:val="BodyText"/>
            </w:pPr>
            <w:r>
              <w:rPr>
                <w:rStyle w:val="Bulletcolour"/>
              </w:rPr>
              <w:t>16.8 million</w:t>
            </w:r>
          </w:p>
        </w:tc>
        <w:tc>
          <w:tcPr>
            <w:tcW w:w="1013" w:type="pct"/>
          </w:tcPr>
          <w:p w:rsidR="008E273C" w:rsidRDefault="008E273C" w:rsidP="009654DA">
            <w:pPr>
              <w:pStyle w:val="BodyText"/>
            </w:pPr>
            <w:r>
              <w:rPr>
                <w:rStyle w:val="Bulletcolour"/>
              </w:rPr>
              <w:t>16.1 million</w:t>
            </w:r>
          </w:p>
        </w:tc>
      </w:tr>
      <w:tr w:rsidR="008E273C" w:rsidTr="009654DA">
        <w:trPr>
          <w:trHeight w:val="376"/>
        </w:trPr>
        <w:tc>
          <w:tcPr>
            <w:tcW w:w="1960" w:type="pct"/>
          </w:tcPr>
          <w:p w:rsidR="008E273C" w:rsidRPr="009654DA" w:rsidRDefault="008E273C" w:rsidP="009654DA">
            <w:pPr>
              <w:pStyle w:val="BodyText"/>
              <w:rPr>
                <w:b/>
              </w:rPr>
            </w:pPr>
            <w:r w:rsidRPr="009654DA">
              <w:rPr>
                <w:rStyle w:val="Bulletcolour"/>
                <w:b/>
              </w:rPr>
              <w:t>Total benefits paid</w:t>
            </w:r>
          </w:p>
        </w:tc>
        <w:tc>
          <w:tcPr>
            <w:tcW w:w="1013" w:type="pct"/>
          </w:tcPr>
          <w:p w:rsidR="008E273C" w:rsidRPr="009654DA" w:rsidRDefault="008E273C" w:rsidP="009654DA">
            <w:pPr>
              <w:pStyle w:val="BodyText"/>
              <w:rPr>
                <w:b/>
              </w:rPr>
            </w:pPr>
            <w:r w:rsidRPr="009654DA">
              <w:rPr>
                <w:rStyle w:val="Bulletcolour"/>
                <w:b/>
              </w:rPr>
              <w:t>$2.0 billion</w:t>
            </w:r>
          </w:p>
        </w:tc>
        <w:tc>
          <w:tcPr>
            <w:tcW w:w="1013" w:type="pct"/>
          </w:tcPr>
          <w:p w:rsidR="008E273C" w:rsidRPr="009654DA" w:rsidRDefault="008E273C" w:rsidP="009654DA">
            <w:pPr>
              <w:pStyle w:val="BodyText"/>
              <w:rPr>
                <w:b/>
              </w:rPr>
            </w:pPr>
            <w:r w:rsidRPr="009654DA">
              <w:rPr>
                <w:rStyle w:val="Bulletcolour"/>
                <w:b/>
              </w:rPr>
              <w:t>$2.0 billion</w:t>
            </w:r>
          </w:p>
        </w:tc>
        <w:tc>
          <w:tcPr>
            <w:tcW w:w="1013" w:type="pct"/>
          </w:tcPr>
          <w:p w:rsidR="008E273C" w:rsidRPr="009654DA" w:rsidRDefault="008E273C" w:rsidP="009654DA">
            <w:pPr>
              <w:pStyle w:val="BodyText"/>
              <w:rPr>
                <w:b/>
              </w:rPr>
            </w:pPr>
            <w:r w:rsidRPr="009654DA">
              <w:rPr>
                <w:rStyle w:val="Bulletcolour"/>
                <w:b/>
              </w:rPr>
              <w:t>$1.9 billion</w:t>
            </w:r>
          </w:p>
        </w:tc>
      </w:tr>
    </w:tbl>
    <w:p w:rsidR="008E273C" w:rsidRDefault="008E273C" w:rsidP="009654DA">
      <w:pPr>
        <w:pStyle w:val="BodyText"/>
      </w:pPr>
      <w:r>
        <w:t>(a)</w:t>
      </w:r>
      <w:r w:rsidR="009654DA">
        <w:t xml:space="preserve"> </w:t>
      </w:r>
      <w:r>
        <w:t>Services Australia is required to periodically undertake a bulk card re-issue at the Department of Veterans’ Affair’s request (approximately every six years). This occurred during 2019–20.</w:t>
      </w:r>
    </w:p>
    <w:p w:rsidR="008E273C" w:rsidRDefault="008E273C" w:rsidP="008E273C">
      <w:pPr>
        <w:pStyle w:val="BodyText"/>
        <w:spacing w:before="113"/>
        <w:rPr>
          <w:rFonts w:ascii="Roboto-Bold" w:hAnsi="Roboto-Bold" w:cs="Roboto-Bold"/>
          <w:b/>
          <w:bCs/>
        </w:rPr>
      </w:pPr>
      <w:r>
        <w:lastRenderedPageBreak/>
        <w:t xml:space="preserve">For information about health payments to and services for veterans see the Department of Veterans’ Affairs website, including their 2019–20 annual report, at </w:t>
      </w:r>
      <w:r w:rsidRPr="00BD07FC">
        <w:rPr>
          <w:b/>
        </w:rPr>
        <w:t>dva.gov.au</w:t>
      </w:r>
      <w:r w:rsidRPr="00AC4959">
        <w:t>.</w:t>
      </w:r>
    </w:p>
    <w:p w:rsidR="008E273C" w:rsidRDefault="008E273C" w:rsidP="008E273C">
      <w:pPr>
        <w:pStyle w:val="Heading3"/>
      </w:pPr>
      <w:r>
        <w:t>Private Health Insurance Rebate</w:t>
      </w:r>
    </w:p>
    <w:p w:rsidR="008E273C" w:rsidRDefault="008E273C" w:rsidP="008E273C">
      <w:pPr>
        <w:pStyle w:val="BodyText"/>
      </w:pPr>
      <w:r>
        <w:t>The Private Health Insurance Rebate reimburses or discounts the cost of private health insurance cover. It is available to all people who are eligible for Medicare and have a complying health insurance policy.</w:t>
      </w:r>
    </w:p>
    <w:p w:rsidR="008E273C" w:rsidRDefault="008E273C" w:rsidP="00E42522">
      <w:pPr>
        <w:pStyle w:val="BodyText"/>
      </w:pPr>
      <w:r>
        <w:t>The rebate is income tested. It can be claimed in one of two ways:</w:t>
      </w:r>
    </w:p>
    <w:p w:rsidR="008E273C" w:rsidRDefault="008E273C" w:rsidP="00E42522">
      <w:pPr>
        <w:pStyle w:val="ListBullet"/>
      </w:pPr>
      <w:r>
        <w:t>as an upfront reduction in the cost of premiums—the Premium Reduction Scheme (administered by Services Australia)</w:t>
      </w:r>
    </w:p>
    <w:p w:rsidR="008E273C" w:rsidRDefault="008E273C" w:rsidP="00E42522">
      <w:pPr>
        <w:pStyle w:val="ListBullet"/>
      </w:pPr>
      <w:proofErr w:type="gramStart"/>
      <w:r>
        <w:t>as</w:t>
      </w:r>
      <w:proofErr w:type="gramEnd"/>
      <w:r>
        <w:t xml:space="preserve"> a tax offset in annual income tax returns (administered by the Australian Taxation Office).</w:t>
      </w:r>
    </w:p>
    <w:p w:rsidR="008E273C" w:rsidRPr="00755F9C" w:rsidRDefault="009654DA" w:rsidP="00755F9C">
      <w:pPr>
        <w:pStyle w:val="BodyText"/>
        <w:rPr>
          <w:b/>
        </w:rPr>
      </w:pPr>
      <w:r w:rsidRPr="00755F9C">
        <w:rPr>
          <w:b/>
        </w:rPr>
        <w:t>Table 13:</w:t>
      </w:r>
      <w:r w:rsidR="008E273C" w:rsidRPr="00755F9C">
        <w:rPr>
          <w:b/>
        </w:rPr>
        <w:t xml:space="preserve"> Private Health Insurance Rebate</w:t>
      </w:r>
    </w:p>
    <w:tbl>
      <w:tblPr>
        <w:tblStyle w:val="TableGrid"/>
        <w:tblW w:w="5000" w:type="pct"/>
        <w:tblLook w:val="0000" w:firstRow="0" w:lastRow="0" w:firstColumn="0" w:lastColumn="0" w:noHBand="0" w:noVBand="0"/>
        <w:tblCaption w:val="Table 13: Private Health Insurance Rebate"/>
        <w:tblDescription w:val="Table 13: Private Health Insurance Rebate"/>
      </w:tblPr>
      <w:tblGrid>
        <w:gridCol w:w="4351"/>
        <w:gridCol w:w="2249"/>
        <w:gridCol w:w="2248"/>
        <w:gridCol w:w="2248"/>
      </w:tblGrid>
      <w:tr w:rsidR="008E273C" w:rsidRPr="00755F9C" w:rsidTr="00755F9C">
        <w:trPr>
          <w:trHeight w:val="60"/>
          <w:tblHeader/>
        </w:trPr>
        <w:tc>
          <w:tcPr>
            <w:tcW w:w="1960" w:type="pct"/>
          </w:tcPr>
          <w:p w:rsidR="008E273C" w:rsidRPr="00755F9C" w:rsidRDefault="008E273C" w:rsidP="00755F9C">
            <w:pPr>
              <w:pStyle w:val="BodyText"/>
              <w:rPr>
                <w:b/>
              </w:rPr>
            </w:pPr>
            <w:r w:rsidRPr="00755F9C">
              <w:rPr>
                <w:rStyle w:val="Bulletcolour"/>
                <w:b/>
                <w:color w:val="auto"/>
              </w:rPr>
              <w:t> </w:t>
            </w:r>
          </w:p>
        </w:tc>
        <w:tc>
          <w:tcPr>
            <w:tcW w:w="1013" w:type="pct"/>
          </w:tcPr>
          <w:p w:rsidR="008E273C" w:rsidRPr="00755F9C" w:rsidRDefault="008E273C" w:rsidP="00755F9C">
            <w:pPr>
              <w:pStyle w:val="BodyText"/>
              <w:rPr>
                <w:b/>
              </w:rPr>
            </w:pPr>
            <w:r w:rsidRPr="00755F9C">
              <w:rPr>
                <w:rStyle w:val="Bulletcolour"/>
                <w:b/>
                <w:color w:val="auto"/>
              </w:rPr>
              <w:t>2017–18</w:t>
            </w:r>
          </w:p>
        </w:tc>
        <w:tc>
          <w:tcPr>
            <w:tcW w:w="1013" w:type="pct"/>
          </w:tcPr>
          <w:p w:rsidR="008E273C" w:rsidRPr="00755F9C" w:rsidRDefault="008E273C" w:rsidP="00755F9C">
            <w:pPr>
              <w:pStyle w:val="BodyText"/>
              <w:rPr>
                <w:b/>
              </w:rPr>
            </w:pPr>
            <w:r w:rsidRPr="00755F9C">
              <w:rPr>
                <w:rStyle w:val="Bulletcolour"/>
                <w:b/>
                <w:color w:val="auto"/>
              </w:rPr>
              <w:t>2018–19</w:t>
            </w:r>
          </w:p>
        </w:tc>
        <w:tc>
          <w:tcPr>
            <w:tcW w:w="1013" w:type="pct"/>
          </w:tcPr>
          <w:p w:rsidR="008E273C" w:rsidRPr="00755F9C" w:rsidRDefault="008E273C" w:rsidP="00755F9C">
            <w:pPr>
              <w:pStyle w:val="BodyText"/>
              <w:rPr>
                <w:b/>
              </w:rPr>
            </w:pPr>
            <w:r w:rsidRPr="00755F9C">
              <w:rPr>
                <w:rStyle w:val="Bulletcolour"/>
                <w:b/>
                <w:color w:val="auto"/>
              </w:rPr>
              <w:t xml:space="preserve">2019–20 </w:t>
            </w:r>
          </w:p>
        </w:tc>
      </w:tr>
      <w:tr w:rsidR="008E273C" w:rsidRPr="00755F9C" w:rsidTr="00755F9C">
        <w:trPr>
          <w:trHeight w:val="60"/>
        </w:trPr>
        <w:tc>
          <w:tcPr>
            <w:tcW w:w="1960" w:type="pct"/>
          </w:tcPr>
          <w:p w:rsidR="008E273C" w:rsidRPr="00755F9C" w:rsidRDefault="008E273C" w:rsidP="00755F9C">
            <w:pPr>
              <w:pStyle w:val="BodyText"/>
            </w:pPr>
            <w:r w:rsidRPr="00755F9C">
              <w:rPr>
                <w:rStyle w:val="Bulletcolour"/>
                <w:color w:val="auto"/>
              </w:rPr>
              <w:t>Memberships registered</w:t>
            </w:r>
          </w:p>
        </w:tc>
        <w:tc>
          <w:tcPr>
            <w:tcW w:w="1013" w:type="pct"/>
          </w:tcPr>
          <w:p w:rsidR="008E273C" w:rsidRPr="00755F9C" w:rsidRDefault="008E273C" w:rsidP="00755F9C">
            <w:pPr>
              <w:pStyle w:val="BodyText"/>
            </w:pPr>
            <w:r w:rsidRPr="00755F9C">
              <w:rPr>
                <w:rStyle w:val="Bulletcolour"/>
                <w:color w:val="auto"/>
              </w:rPr>
              <w:t>6.7 million</w:t>
            </w:r>
          </w:p>
        </w:tc>
        <w:tc>
          <w:tcPr>
            <w:tcW w:w="1013" w:type="pct"/>
          </w:tcPr>
          <w:p w:rsidR="008E273C" w:rsidRPr="00755F9C" w:rsidRDefault="008E273C" w:rsidP="00755F9C">
            <w:pPr>
              <w:pStyle w:val="BodyText"/>
            </w:pPr>
            <w:r w:rsidRPr="00755F9C">
              <w:rPr>
                <w:rStyle w:val="Bulletcolour"/>
                <w:color w:val="auto"/>
              </w:rPr>
              <w:t>6.8 million</w:t>
            </w:r>
          </w:p>
        </w:tc>
        <w:tc>
          <w:tcPr>
            <w:tcW w:w="1013" w:type="pct"/>
          </w:tcPr>
          <w:p w:rsidR="008E273C" w:rsidRPr="00755F9C" w:rsidRDefault="008E273C" w:rsidP="00755F9C">
            <w:pPr>
              <w:pStyle w:val="BodyText"/>
            </w:pPr>
            <w:r w:rsidRPr="00755F9C">
              <w:rPr>
                <w:rStyle w:val="Bulletcolour"/>
                <w:color w:val="auto"/>
              </w:rPr>
              <w:t>6.9 million</w:t>
            </w:r>
          </w:p>
        </w:tc>
      </w:tr>
      <w:tr w:rsidR="008E273C" w:rsidRPr="00755F9C" w:rsidTr="00755F9C">
        <w:trPr>
          <w:trHeight w:val="60"/>
        </w:trPr>
        <w:tc>
          <w:tcPr>
            <w:tcW w:w="1960" w:type="pct"/>
          </w:tcPr>
          <w:p w:rsidR="008E273C" w:rsidRPr="00755F9C" w:rsidRDefault="008E273C" w:rsidP="00755F9C">
            <w:pPr>
              <w:pStyle w:val="BodyText"/>
            </w:pPr>
            <w:r w:rsidRPr="00755F9C">
              <w:rPr>
                <w:rStyle w:val="Bulletcolour"/>
                <w:color w:val="auto"/>
              </w:rPr>
              <w:t>Total paid to private health funds</w:t>
            </w:r>
          </w:p>
        </w:tc>
        <w:tc>
          <w:tcPr>
            <w:tcW w:w="1013" w:type="pct"/>
          </w:tcPr>
          <w:p w:rsidR="008E273C" w:rsidRPr="00755F9C" w:rsidRDefault="008E273C" w:rsidP="00755F9C">
            <w:pPr>
              <w:pStyle w:val="BodyText"/>
            </w:pPr>
            <w:r w:rsidRPr="00755F9C">
              <w:rPr>
                <w:rStyle w:val="Bulletcolour"/>
                <w:color w:val="auto"/>
              </w:rPr>
              <w:t>$6.0 billion</w:t>
            </w:r>
          </w:p>
        </w:tc>
        <w:tc>
          <w:tcPr>
            <w:tcW w:w="1013" w:type="pct"/>
          </w:tcPr>
          <w:p w:rsidR="008E273C" w:rsidRPr="00755F9C" w:rsidRDefault="008E273C" w:rsidP="00755F9C">
            <w:pPr>
              <w:pStyle w:val="BodyText"/>
            </w:pPr>
            <w:r w:rsidRPr="00755F9C">
              <w:rPr>
                <w:rStyle w:val="Bulletcolour"/>
                <w:color w:val="auto"/>
              </w:rPr>
              <w:t>$6.1 billion</w:t>
            </w:r>
          </w:p>
        </w:tc>
        <w:tc>
          <w:tcPr>
            <w:tcW w:w="1013" w:type="pct"/>
          </w:tcPr>
          <w:p w:rsidR="008E273C" w:rsidRPr="00755F9C" w:rsidRDefault="008E273C" w:rsidP="00755F9C">
            <w:pPr>
              <w:pStyle w:val="BodyText"/>
            </w:pPr>
            <w:r w:rsidRPr="00755F9C">
              <w:rPr>
                <w:rStyle w:val="Bulletcolour"/>
                <w:color w:val="auto"/>
              </w:rPr>
              <w:t>$6.1 billion</w:t>
            </w:r>
          </w:p>
        </w:tc>
      </w:tr>
    </w:tbl>
    <w:p w:rsidR="008E273C" w:rsidRDefault="008E273C" w:rsidP="008E273C">
      <w:pPr>
        <w:pStyle w:val="Heading3"/>
      </w:pPr>
      <w:r>
        <w:t>Hearing Services Program</w:t>
      </w:r>
    </w:p>
    <w:p w:rsidR="008E273C" w:rsidRDefault="008E273C" w:rsidP="008E273C">
      <w:pPr>
        <w:pStyle w:val="BodyText"/>
      </w:pPr>
      <w:r>
        <w:t>The Hearing Services Program aims to reduce the incidence and consequences of avoidable hearing loss in the Australian community by providing high quality hearing services and devices to those who are eligible for assistance. </w:t>
      </w:r>
    </w:p>
    <w:p w:rsidR="008E273C" w:rsidRDefault="008E273C" w:rsidP="008E273C">
      <w:pPr>
        <w:pStyle w:val="BodyText"/>
      </w:pPr>
      <w:r>
        <w:t xml:space="preserve">From 23 November 2019 the administration of this program transitioned to the Department of Health. See </w:t>
      </w:r>
      <w:r>
        <w:rPr>
          <w:rFonts w:ascii="Roboto-Bold" w:hAnsi="Roboto-Bold" w:cs="Roboto-Bold"/>
          <w:b/>
          <w:bCs/>
        </w:rPr>
        <w:t xml:space="preserve">health.gov.au </w:t>
      </w:r>
      <w:r>
        <w:t>for more information on the Hearing Services Program.</w:t>
      </w:r>
    </w:p>
    <w:p w:rsidR="008E273C" w:rsidRPr="00755F9C" w:rsidRDefault="00755F9C" w:rsidP="00755F9C">
      <w:pPr>
        <w:pStyle w:val="BodyText"/>
        <w:rPr>
          <w:b/>
        </w:rPr>
      </w:pPr>
      <w:r w:rsidRPr="00755F9C">
        <w:rPr>
          <w:b/>
        </w:rPr>
        <w:t>Table 14:</w:t>
      </w:r>
      <w:r w:rsidR="008E273C" w:rsidRPr="00755F9C">
        <w:rPr>
          <w:b/>
        </w:rPr>
        <w:t xml:space="preserve"> Hearing Services Program services and payments</w:t>
      </w:r>
    </w:p>
    <w:tbl>
      <w:tblPr>
        <w:tblStyle w:val="TableGrid"/>
        <w:tblW w:w="5000" w:type="pct"/>
        <w:tblLook w:val="0000" w:firstRow="0" w:lastRow="0" w:firstColumn="0" w:lastColumn="0" w:noHBand="0" w:noVBand="0"/>
        <w:tblCaption w:val="Table 14: Hearing Services Program services and payments"/>
        <w:tblDescription w:val="Table 14: Hearing Services Program services and payments"/>
      </w:tblPr>
      <w:tblGrid>
        <w:gridCol w:w="3346"/>
        <w:gridCol w:w="2468"/>
        <w:gridCol w:w="2643"/>
        <w:gridCol w:w="2639"/>
      </w:tblGrid>
      <w:tr w:rsidR="008E273C" w:rsidTr="00755F9C">
        <w:trPr>
          <w:trHeight w:val="60"/>
          <w:tblHeader/>
        </w:trPr>
        <w:tc>
          <w:tcPr>
            <w:tcW w:w="1508" w:type="pct"/>
          </w:tcPr>
          <w:p w:rsidR="008E273C" w:rsidRPr="00755F9C" w:rsidRDefault="008E273C" w:rsidP="00755F9C">
            <w:pPr>
              <w:pStyle w:val="BodyText"/>
              <w:rPr>
                <w:b/>
              </w:rPr>
            </w:pPr>
          </w:p>
        </w:tc>
        <w:tc>
          <w:tcPr>
            <w:tcW w:w="1112" w:type="pct"/>
          </w:tcPr>
          <w:p w:rsidR="008E273C" w:rsidRPr="00755F9C" w:rsidRDefault="008E273C" w:rsidP="00755F9C">
            <w:pPr>
              <w:pStyle w:val="BodyText"/>
              <w:rPr>
                <w:b/>
              </w:rPr>
            </w:pPr>
            <w:r w:rsidRPr="00755F9C">
              <w:rPr>
                <w:rStyle w:val="Bulletcolour"/>
                <w:b/>
              </w:rPr>
              <w:t>2017–18</w:t>
            </w:r>
          </w:p>
        </w:tc>
        <w:tc>
          <w:tcPr>
            <w:tcW w:w="1191" w:type="pct"/>
          </w:tcPr>
          <w:p w:rsidR="008E273C" w:rsidRPr="00755F9C" w:rsidRDefault="008E273C" w:rsidP="00755F9C">
            <w:pPr>
              <w:pStyle w:val="BodyText"/>
              <w:rPr>
                <w:b/>
              </w:rPr>
            </w:pPr>
            <w:r w:rsidRPr="00755F9C">
              <w:rPr>
                <w:rStyle w:val="Bulletcolour"/>
                <w:b/>
              </w:rPr>
              <w:t>2018–19</w:t>
            </w:r>
          </w:p>
        </w:tc>
        <w:tc>
          <w:tcPr>
            <w:tcW w:w="1190" w:type="pct"/>
          </w:tcPr>
          <w:p w:rsidR="008E273C" w:rsidRPr="00755F9C" w:rsidRDefault="008E273C" w:rsidP="00755F9C">
            <w:pPr>
              <w:pStyle w:val="BodyText"/>
              <w:rPr>
                <w:b/>
              </w:rPr>
            </w:pPr>
            <w:r w:rsidRPr="00755F9C">
              <w:rPr>
                <w:rStyle w:val="Bulletcolour"/>
                <w:b/>
              </w:rPr>
              <w:t>2019–20</w:t>
            </w:r>
          </w:p>
        </w:tc>
      </w:tr>
      <w:tr w:rsidR="008E273C" w:rsidTr="00755F9C">
        <w:trPr>
          <w:trHeight w:val="60"/>
        </w:trPr>
        <w:tc>
          <w:tcPr>
            <w:tcW w:w="1508" w:type="pct"/>
          </w:tcPr>
          <w:p w:rsidR="008E273C" w:rsidRDefault="008E273C" w:rsidP="00755F9C">
            <w:pPr>
              <w:pStyle w:val="BodyText"/>
            </w:pPr>
            <w:r>
              <w:rPr>
                <w:rStyle w:val="Bulletcolour"/>
              </w:rPr>
              <w:t>Services processed</w:t>
            </w:r>
            <w:r>
              <w:rPr>
                <w:rStyle w:val="Bulletcolour"/>
                <w:vertAlign w:val="superscript"/>
              </w:rPr>
              <w:t>(a)</w:t>
            </w:r>
          </w:p>
        </w:tc>
        <w:tc>
          <w:tcPr>
            <w:tcW w:w="1112" w:type="pct"/>
          </w:tcPr>
          <w:p w:rsidR="008E273C" w:rsidRDefault="008E273C" w:rsidP="00755F9C">
            <w:pPr>
              <w:pStyle w:val="BodyText"/>
            </w:pPr>
            <w:r>
              <w:rPr>
                <w:rStyle w:val="Bulletcolour"/>
              </w:rPr>
              <w:t>1,461,036</w:t>
            </w:r>
          </w:p>
        </w:tc>
        <w:tc>
          <w:tcPr>
            <w:tcW w:w="1191" w:type="pct"/>
          </w:tcPr>
          <w:p w:rsidR="008E273C" w:rsidRDefault="008E273C" w:rsidP="00755F9C">
            <w:pPr>
              <w:pStyle w:val="BodyText"/>
            </w:pPr>
            <w:r>
              <w:rPr>
                <w:rStyle w:val="Bulletcolour"/>
              </w:rPr>
              <w:t>1,437,039</w:t>
            </w:r>
          </w:p>
        </w:tc>
        <w:tc>
          <w:tcPr>
            <w:tcW w:w="1190" w:type="pct"/>
          </w:tcPr>
          <w:p w:rsidR="008E273C" w:rsidRDefault="008E273C" w:rsidP="00755F9C">
            <w:pPr>
              <w:pStyle w:val="BodyText"/>
            </w:pPr>
            <w:r>
              <w:rPr>
                <w:rStyle w:val="Bulletcolour"/>
              </w:rPr>
              <w:t>601,525</w:t>
            </w:r>
            <w:r>
              <w:rPr>
                <w:rStyle w:val="Bulletcolour"/>
                <w:vertAlign w:val="superscript"/>
              </w:rPr>
              <w:t>(b)</w:t>
            </w:r>
          </w:p>
        </w:tc>
      </w:tr>
      <w:tr w:rsidR="008E273C" w:rsidTr="00755F9C">
        <w:trPr>
          <w:trHeight w:val="60"/>
        </w:trPr>
        <w:tc>
          <w:tcPr>
            <w:tcW w:w="1508" w:type="pct"/>
          </w:tcPr>
          <w:p w:rsidR="008E273C" w:rsidRDefault="008E273C" w:rsidP="00755F9C">
            <w:pPr>
              <w:pStyle w:val="BodyText"/>
            </w:pPr>
            <w:r>
              <w:rPr>
                <w:rStyle w:val="Bulletcolour"/>
              </w:rPr>
              <w:t>Total amount paid</w:t>
            </w:r>
            <w:r>
              <w:rPr>
                <w:rStyle w:val="Bulletcolour"/>
                <w:vertAlign w:val="superscript"/>
              </w:rPr>
              <w:t>(c)</w:t>
            </w:r>
          </w:p>
        </w:tc>
        <w:tc>
          <w:tcPr>
            <w:tcW w:w="1112" w:type="pct"/>
          </w:tcPr>
          <w:p w:rsidR="008E273C" w:rsidRDefault="008E273C" w:rsidP="00755F9C">
            <w:pPr>
              <w:pStyle w:val="BodyText"/>
            </w:pPr>
            <w:r>
              <w:rPr>
                <w:rStyle w:val="Bulletcolour"/>
              </w:rPr>
              <w:t>$431.1 million</w:t>
            </w:r>
          </w:p>
        </w:tc>
        <w:tc>
          <w:tcPr>
            <w:tcW w:w="1191" w:type="pct"/>
          </w:tcPr>
          <w:p w:rsidR="008E273C" w:rsidRDefault="008E273C" w:rsidP="00755F9C">
            <w:pPr>
              <w:pStyle w:val="BodyText"/>
            </w:pPr>
            <w:r>
              <w:rPr>
                <w:rStyle w:val="Bulletcolour"/>
              </w:rPr>
              <w:t>$432.9 million</w:t>
            </w:r>
          </w:p>
        </w:tc>
        <w:tc>
          <w:tcPr>
            <w:tcW w:w="1190" w:type="pct"/>
          </w:tcPr>
          <w:p w:rsidR="008E273C" w:rsidRDefault="008E273C" w:rsidP="00755F9C">
            <w:pPr>
              <w:pStyle w:val="BodyText"/>
            </w:pPr>
            <w:r>
              <w:rPr>
                <w:rStyle w:val="Bulletcolour"/>
              </w:rPr>
              <w:t>$450.1 million</w:t>
            </w:r>
            <w:r>
              <w:rPr>
                <w:rStyle w:val="Bulletcolour"/>
                <w:vertAlign w:val="superscript"/>
              </w:rPr>
              <w:t>(d)</w:t>
            </w:r>
          </w:p>
        </w:tc>
      </w:tr>
    </w:tbl>
    <w:p w:rsidR="008E273C" w:rsidRDefault="008E273C" w:rsidP="00755F9C">
      <w:pPr>
        <w:pStyle w:val="BodyText"/>
      </w:pPr>
      <w:r>
        <w:t>(a)</w:t>
      </w:r>
      <w:r w:rsidR="00755F9C">
        <w:t xml:space="preserve"> </w:t>
      </w:r>
      <w:r>
        <w:t>Services provided to individuals.</w:t>
      </w:r>
    </w:p>
    <w:p w:rsidR="008E273C" w:rsidRDefault="008E273C" w:rsidP="00755F9C">
      <w:pPr>
        <w:pStyle w:val="BodyText"/>
      </w:pPr>
      <w:r>
        <w:t>(b)</w:t>
      </w:r>
      <w:r w:rsidR="00755F9C">
        <w:t xml:space="preserve"> </w:t>
      </w:r>
      <w:r>
        <w:t>Services provided to individuals, up to and including 15 November 2019.</w:t>
      </w:r>
    </w:p>
    <w:p w:rsidR="008E273C" w:rsidRDefault="008E273C" w:rsidP="00755F9C">
      <w:pPr>
        <w:pStyle w:val="BodyText"/>
      </w:pPr>
      <w:r>
        <w:t>(c)</w:t>
      </w:r>
      <w:r w:rsidR="00755F9C">
        <w:t xml:space="preserve"> </w:t>
      </w:r>
      <w:r>
        <w:t>Payments made to hearing service contractors.</w:t>
      </w:r>
    </w:p>
    <w:p w:rsidR="008E273C" w:rsidRDefault="008E273C" w:rsidP="00755F9C">
      <w:pPr>
        <w:pStyle w:val="BodyText"/>
      </w:pPr>
      <w:r>
        <w:t>(d)</w:t>
      </w:r>
      <w:r w:rsidR="00755F9C">
        <w:t xml:space="preserve"> </w:t>
      </w:r>
      <w:r>
        <w:t>Payments reflect full 2019–20 financial year.</w:t>
      </w:r>
    </w:p>
    <w:p w:rsidR="008E273C" w:rsidRDefault="008E273C" w:rsidP="008E273C">
      <w:pPr>
        <w:pStyle w:val="Heading3"/>
      </w:pPr>
      <w:r>
        <w:lastRenderedPageBreak/>
        <w:t>Health Care Homes</w:t>
      </w:r>
    </w:p>
    <w:p w:rsidR="008E273C" w:rsidRDefault="008E273C" w:rsidP="008E273C">
      <w:pPr>
        <w:pStyle w:val="BodyText"/>
      </w:pPr>
      <w:r>
        <w:t>The Health Care Homes program is designed to improve health care for patients with chronic and complex conditions by providing them with a medical practice ‘home base’ for ongoing coordination, management and support of their treatment.</w:t>
      </w:r>
    </w:p>
    <w:p w:rsidR="008E273C" w:rsidRDefault="008E273C" w:rsidP="008E273C">
      <w:pPr>
        <w:pStyle w:val="BodyText"/>
      </w:pPr>
      <w:r>
        <w:t xml:space="preserve">There are three tiers of payments, which are linked to the level of patient complexity and need. </w:t>
      </w:r>
      <w:proofErr w:type="gramStart"/>
      <w:r>
        <w:t>Health Care Homes</w:t>
      </w:r>
      <w:proofErr w:type="gramEnd"/>
      <w:r>
        <w:t xml:space="preserve"> practices receive a monthly bundled payment based on the tier levels of their registered patients. Payments are retrospective, allowing for regular patient review, and if necessary, adjustment of the patient’s Health Care Homes tier level.</w:t>
      </w:r>
    </w:p>
    <w:p w:rsidR="008E273C" w:rsidRDefault="008E273C" w:rsidP="008E273C">
      <w:pPr>
        <w:pStyle w:val="BodyText"/>
      </w:pPr>
      <w:r>
        <w:t>In 2019–20 $12.9 million was paid to 134 practices.</w:t>
      </w:r>
    </w:p>
    <w:p w:rsidR="008E273C" w:rsidRDefault="008E273C" w:rsidP="008E273C">
      <w:pPr>
        <w:pStyle w:val="Heading3"/>
      </w:pPr>
      <w:r>
        <w:t>External Breast Prostheses Reimbursement Program</w:t>
      </w:r>
    </w:p>
    <w:p w:rsidR="008E273C" w:rsidRDefault="008E273C" w:rsidP="008E273C">
      <w:pPr>
        <w:pStyle w:val="BodyText"/>
      </w:pPr>
      <w:r>
        <w:t>The External Breast Prostheses Reimbursement Program reimburses up to $400 for each new or replacement external breast prosthesis for women who have had breast surgery as a result of breast cancer. Claimants must be eligible for Medicare and must not have claimed under the program in the previous tw</w:t>
      </w:r>
      <w:r>
        <w:rPr>
          <w:rStyle w:val="NoBreak"/>
        </w:rPr>
        <w:t>o ye</w:t>
      </w:r>
      <w:r>
        <w:t>ars unless there is a medical reason.</w:t>
      </w:r>
    </w:p>
    <w:p w:rsidR="008E273C" w:rsidRPr="00660806" w:rsidRDefault="00660806" w:rsidP="00660806">
      <w:pPr>
        <w:pStyle w:val="BodyText"/>
        <w:rPr>
          <w:b/>
        </w:rPr>
      </w:pPr>
      <w:r w:rsidRPr="00660806">
        <w:rPr>
          <w:b/>
        </w:rPr>
        <w:t>Table 15:</w:t>
      </w:r>
      <w:r w:rsidR="008E273C" w:rsidRPr="00660806">
        <w:rPr>
          <w:b/>
        </w:rPr>
        <w:t xml:space="preserve"> External Breast Prostheses Reimbursements</w:t>
      </w:r>
    </w:p>
    <w:tbl>
      <w:tblPr>
        <w:tblStyle w:val="TableGrid"/>
        <w:tblW w:w="5000" w:type="pct"/>
        <w:tblLook w:val="0000" w:firstRow="0" w:lastRow="0" w:firstColumn="0" w:lastColumn="0" w:noHBand="0" w:noVBand="0"/>
        <w:tblCaption w:val="Table 15: External Breast Prostheses Reimbursements"/>
        <w:tblDescription w:val="Table 15: External Breast Prostheses Reimbursements"/>
      </w:tblPr>
      <w:tblGrid>
        <w:gridCol w:w="4351"/>
        <w:gridCol w:w="2249"/>
        <w:gridCol w:w="2248"/>
        <w:gridCol w:w="2248"/>
      </w:tblGrid>
      <w:tr w:rsidR="008E273C" w:rsidTr="00660806">
        <w:trPr>
          <w:trHeight w:val="60"/>
          <w:tblHeader/>
        </w:trPr>
        <w:tc>
          <w:tcPr>
            <w:tcW w:w="1960" w:type="pct"/>
          </w:tcPr>
          <w:p w:rsidR="008E273C" w:rsidRPr="00660806" w:rsidRDefault="008E273C" w:rsidP="00660806">
            <w:pPr>
              <w:pStyle w:val="BodyText"/>
              <w:rPr>
                <w:b/>
              </w:rPr>
            </w:pPr>
          </w:p>
        </w:tc>
        <w:tc>
          <w:tcPr>
            <w:tcW w:w="1013" w:type="pct"/>
          </w:tcPr>
          <w:p w:rsidR="008E273C" w:rsidRPr="00660806" w:rsidRDefault="008E273C" w:rsidP="00660806">
            <w:pPr>
              <w:pStyle w:val="BodyText"/>
              <w:rPr>
                <w:b/>
              </w:rPr>
            </w:pPr>
            <w:r w:rsidRPr="00660806">
              <w:rPr>
                <w:rStyle w:val="Bulletcolour"/>
                <w:b/>
              </w:rPr>
              <w:t>2017–18</w:t>
            </w:r>
          </w:p>
        </w:tc>
        <w:tc>
          <w:tcPr>
            <w:tcW w:w="1013" w:type="pct"/>
          </w:tcPr>
          <w:p w:rsidR="008E273C" w:rsidRPr="00660806" w:rsidRDefault="008E273C" w:rsidP="00660806">
            <w:pPr>
              <w:pStyle w:val="BodyText"/>
              <w:rPr>
                <w:b/>
              </w:rPr>
            </w:pPr>
            <w:r w:rsidRPr="00660806">
              <w:rPr>
                <w:rStyle w:val="Bulletcolour"/>
                <w:b/>
              </w:rPr>
              <w:t>2018–19</w:t>
            </w:r>
          </w:p>
        </w:tc>
        <w:tc>
          <w:tcPr>
            <w:tcW w:w="1013" w:type="pct"/>
          </w:tcPr>
          <w:p w:rsidR="008E273C" w:rsidRPr="00660806" w:rsidRDefault="008E273C" w:rsidP="00660806">
            <w:pPr>
              <w:pStyle w:val="BodyText"/>
              <w:rPr>
                <w:b/>
              </w:rPr>
            </w:pPr>
            <w:r w:rsidRPr="00660806">
              <w:rPr>
                <w:rStyle w:val="Bulletcolour"/>
                <w:b/>
              </w:rPr>
              <w:t>2019–20</w:t>
            </w:r>
          </w:p>
        </w:tc>
      </w:tr>
      <w:tr w:rsidR="008E273C" w:rsidTr="00660806">
        <w:trPr>
          <w:trHeight w:val="60"/>
        </w:trPr>
        <w:tc>
          <w:tcPr>
            <w:tcW w:w="1960" w:type="pct"/>
          </w:tcPr>
          <w:p w:rsidR="008E273C" w:rsidRDefault="008E273C" w:rsidP="00660806">
            <w:pPr>
              <w:pStyle w:val="BodyText"/>
            </w:pPr>
            <w:r>
              <w:rPr>
                <w:rStyle w:val="Bulletcolour"/>
              </w:rPr>
              <w:t>Number of claims processed</w:t>
            </w:r>
          </w:p>
        </w:tc>
        <w:tc>
          <w:tcPr>
            <w:tcW w:w="1013" w:type="pct"/>
          </w:tcPr>
          <w:p w:rsidR="008E273C" w:rsidRDefault="008E273C" w:rsidP="00660806">
            <w:pPr>
              <w:pStyle w:val="BodyText"/>
            </w:pPr>
            <w:r>
              <w:rPr>
                <w:rStyle w:val="Bulletcolour"/>
              </w:rPr>
              <w:t>14,747</w:t>
            </w:r>
          </w:p>
        </w:tc>
        <w:tc>
          <w:tcPr>
            <w:tcW w:w="1013" w:type="pct"/>
          </w:tcPr>
          <w:p w:rsidR="008E273C" w:rsidRDefault="008E273C" w:rsidP="00660806">
            <w:pPr>
              <w:pStyle w:val="BodyText"/>
            </w:pPr>
            <w:r>
              <w:rPr>
                <w:rStyle w:val="Bulletcolour"/>
              </w:rPr>
              <w:t>14,451</w:t>
            </w:r>
          </w:p>
        </w:tc>
        <w:tc>
          <w:tcPr>
            <w:tcW w:w="1013" w:type="pct"/>
          </w:tcPr>
          <w:p w:rsidR="008E273C" w:rsidRDefault="008E273C" w:rsidP="00660806">
            <w:pPr>
              <w:pStyle w:val="BodyText"/>
            </w:pPr>
            <w:r>
              <w:rPr>
                <w:rStyle w:val="Bulletcolour"/>
              </w:rPr>
              <w:t>12,754</w:t>
            </w:r>
          </w:p>
        </w:tc>
      </w:tr>
      <w:tr w:rsidR="008E273C" w:rsidTr="00660806">
        <w:trPr>
          <w:trHeight w:val="60"/>
        </w:trPr>
        <w:tc>
          <w:tcPr>
            <w:tcW w:w="1960" w:type="pct"/>
          </w:tcPr>
          <w:p w:rsidR="008E273C" w:rsidRDefault="008E273C" w:rsidP="00660806">
            <w:pPr>
              <w:pStyle w:val="BodyText"/>
            </w:pPr>
            <w:r>
              <w:rPr>
                <w:rStyle w:val="Bulletcolour"/>
              </w:rPr>
              <w:t>Amount paid</w:t>
            </w:r>
          </w:p>
        </w:tc>
        <w:tc>
          <w:tcPr>
            <w:tcW w:w="1013" w:type="pct"/>
          </w:tcPr>
          <w:p w:rsidR="008E273C" w:rsidRDefault="008E273C" w:rsidP="00660806">
            <w:pPr>
              <w:pStyle w:val="BodyText"/>
            </w:pPr>
            <w:r>
              <w:rPr>
                <w:rStyle w:val="Bulletcolour"/>
              </w:rPr>
              <w:t>$6.2 million</w:t>
            </w:r>
          </w:p>
        </w:tc>
        <w:tc>
          <w:tcPr>
            <w:tcW w:w="1013" w:type="pct"/>
          </w:tcPr>
          <w:p w:rsidR="008E273C" w:rsidRDefault="008E273C" w:rsidP="00660806">
            <w:pPr>
              <w:pStyle w:val="BodyText"/>
            </w:pPr>
            <w:r>
              <w:rPr>
                <w:rStyle w:val="Bulletcolour"/>
              </w:rPr>
              <w:t>$6.3 million</w:t>
            </w:r>
          </w:p>
        </w:tc>
        <w:tc>
          <w:tcPr>
            <w:tcW w:w="1013" w:type="pct"/>
          </w:tcPr>
          <w:p w:rsidR="008E273C" w:rsidRDefault="008E273C" w:rsidP="00660806">
            <w:pPr>
              <w:pStyle w:val="BodyText"/>
            </w:pPr>
            <w:r>
              <w:rPr>
                <w:rStyle w:val="Bulletcolour"/>
              </w:rPr>
              <w:t>$5.4 million</w:t>
            </w:r>
          </w:p>
        </w:tc>
      </w:tr>
    </w:tbl>
    <w:p w:rsidR="008E273C" w:rsidRDefault="008E273C" w:rsidP="008E273C">
      <w:pPr>
        <w:pStyle w:val="Heading3"/>
      </w:pPr>
      <w:r>
        <w:t>Continence Aids Payment Scheme</w:t>
      </w:r>
    </w:p>
    <w:p w:rsidR="008E273C" w:rsidRDefault="008E273C" w:rsidP="008E273C">
      <w:pPr>
        <w:pStyle w:val="BodyText"/>
      </w:pPr>
      <w:r>
        <w:t>The Continence Aids Payment Scheme gives eligible people with severe and permanent incontinence yearly or twice-yearly payments to help buy continence aids products.</w:t>
      </w:r>
    </w:p>
    <w:p w:rsidR="008E273C" w:rsidRPr="00660806" w:rsidRDefault="00660806" w:rsidP="00660806">
      <w:pPr>
        <w:pStyle w:val="BodyText"/>
        <w:rPr>
          <w:b/>
        </w:rPr>
      </w:pPr>
      <w:r w:rsidRPr="00660806">
        <w:rPr>
          <w:b/>
        </w:rPr>
        <w:t>Table 16:</w:t>
      </w:r>
      <w:r w:rsidR="008E273C" w:rsidRPr="00660806">
        <w:rPr>
          <w:b/>
        </w:rPr>
        <w:t xml:space="preserve"> Continence Aids Payments</w:t>
      </w:r>
    </w:p>
    <w:tbl>
      <w:tblPr>
        <w:tblStyle w:val="TableGrid"/>
        <w:tblW w:w="5000" w:type="pct"/>
        <w:tblLook w:val="0000" w:firstRow="0" w:lastRow="0" w:firstColumn="0" w:lastColumn="0" w:noHBand="0" w:noVBand="0"/>
        <w:tblCaption w:val="Table 16: Continence Aids Payments"/>
        <w:tblDescription w:val="Table 16: Continence Aids Payments"/>
      </w:tblPr>
      <w:tblGrid>
        <w:gridCol w:w="4351"/>
        <w:gridCol w:w="2249"/>
        <w:gridCol w:w="2248"/>
        <w:gridCol w:w="2248"/>
      </w:tblGrid>
      <w:tr w:rsidR="008E273C" w:rsidTr="00660806">
        <w:trPr>
          <w:trHeight w:val="60"/>
          <w:tblHeader/>
        </w:trPr>
        <w:tc>
          <w:tcPr>
            <w:tcW w:w="1960" w:type="pct"/>
          </w:tcPr>
          <w:p w:rsidR="008E273C" w:rsidRPr="00660806" w:rsidRDefault="008E273C" w:rsidP="00660806">
            <w:pPr>
              <w:pStyle w:val="BodyText"/>
              <w:rPr>
                <w:b/>
              </w:rPr>
            </w:pPr>
          </w:p>
        </w:tc>
        <w:tc>
          <w:tcPr>
            <w:tcW w:w="1013" w:type="pct"/>
          </w:tcPr>
          <w:p w:rsidR="008E273C" w:rsidRPr="00660806" w:rsidRDefault="008E273C" w:rsidP="00660806">
            <w:pPr>
              <w:pStyle w:val="BodyText"/>
              <w:rPr>
                <w:b/>
              </w:rPr>
            </w:pPr>
            <w:r w:rsidRPr="00660806">
              <w:rPr>
                <w:rStyle w:val="Bulletcolour"/>
                <w:b/>
              </w:rPr>
              <w:t>2017–18</w:t>
            </w:r>
          </w:p>
        </w:tc>
        <w:tc>
          <w:tcPr>
            <w:tcW w:w="1013" w:type="pct"/>
          </w:tcPr>
          <w:p w:rsidR="008E273C" w:rsidRPr="00660806" w:rsidRDefault="008E273C" w:rsidP="00660806">
            <w:pPr>
              <w:pStyle w:val="BodyText"/>
              <w:rPr>
                <w:b/>
              </w:rPr>
            </w:pPr>
            <w:r w:rsidRPr="00660806">
              <w:rPr>
                <w:rStyle w:val="Bulletcolour"/>
                <w:b/>
              </w:rPr>
              <w:t>2018–19</w:t>
            </w:r>
          </w:p>
        </w:tc>
        <w:tc>
          <w:tcPr>
            <w:tcW w:w="1013" w:type="pct"/>
          </w:tcPr>
          <w:p w:rsidR="008E273C" w:rsidRPr="00660806" w:rsidRDefault="008E273C" w:rsidP="00660806">
            <w:pPr>
              <w:pStyle w:val="BodyText"/>
              <w:rPr>
                <w:b/>
              </w:rPr>
            </w:pPr>
            <w:r w:rsidRPr="00660806">
              <w:rPr>
                <w:rStyle w:val="Bulletcolour"/>
                <w:b/>
              </w:rPr>
              <w:t>2019–20</w:t>
            </w:r>
          </w:p>
        </w:tc>
      </w:tr>
      <w:tr w:rsidR="008E273C" w:rsidTr="00660806">
        <w:trPr>
          <w:trHeight w:val="60"/>
        </w:trPr>
        <w:tc>
          <w:tcPr>
            <w:tcW w:w="1960" w:type="pct"/>
          </w:tcPr>
          <w:p w:rsidR="008E273C" w:rsidRDefault="008E273C" w:rsidP="00660806">
            <w:pPr>
              <w:pStyle w:val="BodyText"/>
            </w:pPr>
            <w:r>
              <w:rPr>
                <w:rStyle w:val="Bulletcolour"/>
              </w:rPr>
              <w:t>Number of applications processed</w:t>
            </w:r>
          </w:p>
        </w:tc>
        <w:tc>
          <w:tcPr>
            <w:tcW w:w="1013" w:type="pct"/>
          </w:tcPr>
          <w:p w:rsidR="008E273C" w:rsidRDefault="008E273C" w:rsidP="00660806">
            <w:pPr>
              <w:pStyle w:val="BodyText"/>
            </w:pPr>
            <w:r>
              <w:rPr>
                <w:rStyle w:val="Bulletcolour"/>
              </w:rPr>
              <w:t>29,972</w:t>
            </w:r>
          </w:p>
        </w:tc>
        <w:tc>
          <w:tcPr>
            <w:tcW w:w="1013" w:type="pct"/>
          </w:tcPr>
          <w:p w:rsidR="008E273C" w:rsidRDefault="008E273C" w:rsidP="00660806">
            <w:pPr>
              <w:pStyle w:val="BodyText"/>
            </w:pPr>
            <w:r>
              <w:rPr>
                <w:rStyle w:val="Bulletcolour"/>
              </w:rPr>
              <w:t>29,691</w:t>
            </w:r>
          </w:p>
        </w:tc>
        <w:tc>
          <w:tcPr>
            <w:tcW w:w="1013" w:type="pct"/>
          </w:tcPr>
          <w:p w:rsidR="008E273C" w:rsidRDefault="008E273C" w:rsidP="00660806">
            <w:pPr>
              <w:pStyle w:val="BodyText"/>
            </w:pPr>
            <w:r>
              <w:rPr>
                <w:rStyle w:val="Bulletcolour"/>
              </w:rPr>
              <w:t>31,078</w:t>
            </w:r>
          </w:p>
        </w:tc>
      </w:tr>
      <w:tr w:rsidR="008E273C" w:rsidTr="00660806">
        <w:trPr>
          <w:trHeight w:val="60"/>
        </w:trPr>
        <w:tc>
          <w:tcPr>
            <w:tcW w:w="1960" w:type="pct"/>
          </w:tcPr>
          <w:p w:rsidR="008E273C" w:rsidRDefault="008E273C" w:rsidP="00660806">
            <w:pPr>
              <w:pStyle w:val="BodyText"/>
            </w:pPr>
            <w:r>
              <w:rPr>
                <w:rStyle w:val="Bulletcolour"/>
              </w:rPr>
              <w:t>Amount paid</w:t>
            </w:r>
          </w:p>
        </w:tc>
        <w:tc>
          <w:tcPr>
            <w:tcW w:w="1013" w:type="pct"/>
          </w:tcPr>
          <w:p w:rsidR="008E273C" w:rsidRDefault="008E273C" w:rsidP="00660806">
            <w:pPr>
              <w:pStyle w:val="BodyText"/>
            </w:pPr>
            <w:r>
              <w:rPr>
                <w:rStyle w:val="Bulletcolour"/>
              </w:rPr>
              <w:t>$90.2 million</w:t>
            </w:r>
          </w:p>
        </w:tc>
        <w:tc>
          <w:tcPr>
            <w:tcW w:w="1013" w:type="pct"/>
          </w:tcPr>
          <w:p w:rsidR="008E273C" w:rsidRDefault="008E273C" w:rsidP="00660806">
            <w:pPr>
              <w:pStyle w:val="BodyText"/>
            </w:pPr>
            <w:r>
              <w:rPr>
                <w:rStyle w:val="Bulletcolour"/>
              </w:rPr>
              <w:t>$89.4 million</w:t>
            </w:r>
          </w:p>
        </w:tc>
        <w:tc>
          <w:tcPr>
            <w:tcW w:w="1013" w:type="pct"/>
          </w:tcPr>
          <w:p w:rsidR="008E273C" w:rsidRDefault="008E273C" w:rsidP="00660806">
            <w:pPr>
              <w:pStyle w:val="BodyText"/>
            </w:pPr>
            <w:r>
              <w:rPr>
                <w:rStyle w:val="Bulletcolour"/>
              </w:rPr>
              <w:t>$88.0 million</w:t>
            </w:r>
          </w:p>
        </w:tc>
      </w:tr>
    </w:tbl>
    <w:p w:rsidR="008E273C" w:rsidRDefault="008E273C" w:rsidP="008E273C">
      <w:pPr>
        <w:pStyle w:val="Heading3"/>
      </w:pPr>
      <w:r>
        <w:t>Practice Incentives Program</w:t>
      </w:r>
    </w:p>
    <w:p w:rsidR="008E273C" w:rsidRDefault="008E273C" w:rsidP="008E273C">
      <w:pPr>
        <w:pStyle w:val="BodyText"/>
      </w:pPr>
      <w:r>
        <w:t>The Practice Incentives Program (PIP) encourages general practices to continue providing quality care, enhance capacity, and improve access and health outcomes for patients. Payments made through the PIP are paid to eligible medical practices and individual providers.</w:t>
      </w:r>
    </w:p>
    <w:p w:rsidR="008E273C" w:rsidRPr="00171B3E" w:rsidRDefault="00171B3E" w:rsidP="00171B3E">
      <w:pPr>
        <w:pStyle w:val="BodyText"/>
        <w:rPr>
          <w:b/>
          <w:w w:val="105"/>
        </w:rPr>
      </w:pPr>
      <w:r w:rsidRPr="00171B3E">
        <w:rPr>
          <w:b/>
          <w:w w:val="105"/>
        </w:rPr>
        <w:t>Table 17:</w:t>
      </w:r>
      <w:r w:rsidR="008E273C" w:rsidRPr="00171B3E">
        <w:rPr>
          <w:b/>
          <w:w w:val="105"/>
        </w:rPr>
        <w:t xml:space="preserve"> Practice Incentives Program</w:t>
      </w:r>
    </w:p>
    <w:tbl>
      <w:tblPr>
        <w:tblStyle w:val="TableGrid"/>
        <w:tblW w:w="5000" w:type="pct"/>
        <w:tblLook w:val="0000" w:firstRow="0" w:lastRow="0" w:firstColumn="0" w:lastColumn="0" w:noHBand="0" w:noVBand="0"/>
        <w:tblCaption w:val="Table 17: Practice Incentives Program"/>
        <w:tblDescription w:val="Table 17: Practice Incentives Program"/>
      </w:tblPr>
      <w:tblGrid>
        <w:gridCol w:w="3963"/>
        <w:gridCol w:w="2379"/>
        <w:gridCol w:w="2379"/>
        <w:gridCol w:w="2375"/>
      </w:tblGrid>
      <w:tr w:rsidR="008E273C" w:rsidTr="00171B3E">
        <w:trPr>
          <w:trHeight w:val="316"/>
          <w:tblHeader/>
        </w:trPr>
        <w:tc>
          <w:tcPr>
            <w:tcW w:w="1786" w:type="pct"/>
          </w:tcPr>
          <w:p w:rsidR="008E273C" w:rsidRPr="00171B3E" w:rsidRDefault="008E273C" w:rsidP="00171B3E">
            <w:pPr>
              <w:pStyle w:val="BodyText"/>
              <w:rPr>
                <w:b/>
              </w:rPr>
            </w:pPr>
          </w:p>
        </w:tc>
        <w:tc>
          <w:tcPr>
            <w:tcW w:w="1072" w:type="pct"/>
          </w:tcPr>
          <w:p w:rsidR="008E273C" w:rsidRPr="00171B3E" w:rsidRDefault="008E273C" w:rsidP="00171B3E">
            <w:pPr>
              <w:pStyle w:val="BodyText"/>
              <w:rPr>
                <w:b/>
              </w:rPr>
            </w:pPr>
            <w:r w:rsidRPr="00171B3E">
              <w:rPr>
                <w:rStyle w:val="Bulletcolour"/>
                <w:b/>
              </w:rPr>
              <w:t>2017–18</w:t>
            </w:r>
          </w:p>
        </w:tc>
        <w:tc>
          <w:tcPr>
            <w:tcW w:w="1072" w:type="pct"/>
          </w:tcPr>
          <w:p w:rsidR="008E273C" w:rsidRPr="00171B3E" w:rsidRDefault="008E273C" w:rsidP="00171B3E">
            <w:pPr>
              <w:pStyle w:val="BodyText"/>
              <w:rPr>
                <w:b/>
              </w:rPr>
            </w:pPr>
            <w:r w:rsidRPr="00171B3E">
              <w:rPr>
                <w:rStyle w:val="Bulletcolour"/>
                <w:b/>
              </w:rPr>
              <w:t>2018–19</w:t>
            </w:r>
          </w:p>
        </w:tc>
        <w:tc>
          <w:tcPr>
            <w:tcW w:w="1071" w:type="pct"/>
          </w:tcPr>
          <w:p w:rsidR="008E273C" w:rsidRPr="00171B3E" w:rsidRDefault="008E273C" w:rsidP="00171B3E">
            <w:pPr>
              <w:pStyle w:val="BodyText"/>
              <w:rPr>
                <w:b/>
              </w:rPr>
            </w:pPr>
            <w:r w:rsidRPr="00171B3E">
              <w:rPr>
                <w:rStyle w:val="Bulletcolour"/>
                <w:b/>
                <w:w w:val="110"/>
              </w:rPr>
              <w:t>2019–20</w:t>
            </w:r>
          </w:p>
        </w:tc>
      </w:tr>
      <w:tr w:rsidR="008E273C" w:rsidTr="00171B3E">
        <w:trPr>
          <w:trHeight w:val="260"/>
        </w:trPr>
        <w:tc>
          <w:tcPr>
            <w:tcW w:w="1786" w:type="pct"/>
          </w:tcPr>
          <w:p w:rsidR="008E273C" w:rsidRDefault="008E273C" w:rsidP="00171B3E">
            <w:pPr>
              <w:pStyle w:val="BodyText"/>
            </w:pPr>
            <w:r>
              <w:rPr>
                <w:rStyle w:val="Bulletcolour"/>
              </w:rPr>
              <w:t>Number of practices participating</w:t>
            </w:r>
          </w:p>
        </w:tc>
        <w:tc>
          <w:tcPr>
            <w:tcW w:w="1072" w:type="pct"/>
          </w:tcPr>
          <w:p w:rsidR="008E273C" w:rsidRDefault="008E273C" w:rsidP="00171B3E">
            <w:pPr>
              <w:pStyle w:val="BodyText"/>
            </w:pPr>
            <w:r>
              <w:rPr>
                <w:rStyle w:val="Bulletcolour"/>
              </w:rPr>
              <w:t>5,985</w:t>
            </w:r>
          </w:p>
        </w:tc>
        <w:tc>
          <w:tcPr>
            <w:tcW w:w="1072" w:type="pct"/>
          </w:tcPr>
          <w:p w:rsidR="008E273C" w:rsidRDefault="008E273C" w:rsidP="00171B3E">
            <w:pPr>
              <w:pStyle w:val="BodyText"/>
            </w:pPr>
            <w:r>
              <w:rPr>
                <w:rStyle w:val="Bulletcolour"/>
              </w:rPr>
              <w:t>6,133</w:t>
            </w:r>
          </w:p>
        </w:tc>
        <w:tc>
          <w:tcPr>
            <w:tcW w:w="1071" w:type="pct"/>
          </w:tcPr>
          <w:p w:rsidR="008E273C" w:rsidRDefault="008E273C" w:rsidP="00171B3E">
            <w:pPr>
              <w:pStyle w:val="BodyText"/>
            </w:pPr>
            <w:r>
              <w:rPr>
                <w:rStyle w:val="Bulletcolour"/>
              </w:rPr>
              <w:t>6,206</w:t>
            </w:r>
          </w:p>
        </w:tc>
      </w:tr>
      <w:tr w:rsidR="008E273C" w:rsidTr="00171B3E">
        <w:trPr>
          <w:trHeight w:val="260"/>
        </w:trPr>
        <w:tc>
          <w:tcPr>
            <w:tcW w:w="1786" w:type="pct"/>
          </w:tcPr>
          <w:p w:rsidR="008E273C" w:rsidRDefault="008E273C" w:rsidP="00171B3E">
            <w:pPr>
              <w:pStyle w:val="BodyText"/>
            </w:pPr>
            <w:r>
              <w:rPr>
                <w:rStyle w:val="Bulletcolour"/>
              </w:rPr>
              <w:t>Amount paid to practices</w:t>
            </w:r>
          </w:p>
        </w:tc>
        <w:tc>
          <w:tcPr>
            <w:tcW w:w="1072" w:type="pct"/>
          </w:tcPr>
          <w:p w:rsidR="008E273C" w:rsidRDefault="008E273C" w:rsidP="00171B3E">
            <w:pPr>
              <w:pStyle w:val="BodyText"/>
            </w:pPr>
            <w:r>
              <w:rPr>
                <w:rStyle w:val="Bulletcolour"/>
              </w:rPr>
              <w:t>$342.9 million</w:t>
            </w:r>
          </w:p>
        </w:tc>
        <w:tc>
          <w:tcPr>
            <w:tcW w:w="1072" w:type="pct"/>
          </w:tcPr>
          <w:p w:rsidR="008E273C" w:rsidRDefault="008E273C" w:rsidP="00171B3E">
            <w:pPr>
              <w:pStyle w:val="BodyText"/>
            </w:pPr>
            <w:r>
              <w:rPr>
                <w:rStyle w:val="Bulletcolour"/>
              </w:rPr>
              <w:t>$339.8 million</w:t>
            </w:r>
          </w:p>
        </w:tc>
        <w:tc>
          <w:tcPr>
            <w:tcW w:w="1071" w:type="pct"/>
          </w:tcPr>
          <w:p w:rsidR="008E273C" w:rsidRDefault="008E273C" w:rsidP="00171B3E">
            <w:pPr>
              <w:pStyle w:val="BodyText"/>
            </w:pPr>
            <w:r>
              <w:rPr>
                <w:rStyle w:val="Bulletcolour"/>
              </w:rPr>
              <w:t xml:space="preserve">$454.1 million </w:t>
            </w:r>
          </w:p>
        </w:tc>
      </w:tr>
    </w:tbl>
    <w:p w:rsidR="008E273C" w:rsidRDefault="008E273C" w:rsidP="008E273C">
      <w:pPr>
        <w:pStyle w:val="Heading3"/>
      </w:pPr>
      <w:r>
        <w:t>Workforce Incentive Program—Practice Stream</w:t>
      </w:r>
    </w:p>
    <w:p w:rsidR="008E273C" w:rsidRDefault="008E273C" w:rsidP="008E273C">
      <w:pPr>
        <w:pStyle w:val="BodyText"/>
      </w:pPr>
      <w:r>
        <w:t>From 1 February 2020 the Workforce Incentive Program—Practice Stream replaced the Practice Nurse Incentive Program. The program targets financial incentives to support general practices to engage nurses, Aboriginal and Torres Strait Islander Health Workers and Health Practitioners, and allied health professionals in multidisciplinary and team-based primary health care across Australia.</w:t>
      </w:r>
    </w:p>
    <w:p w:rsidR="008E273C" w:rsidRPr="00171B3E" w:rsidRDefault="00171B3E" w:rsidP="00171B3E">
      <w:pPr>
        <w:pStyle w:val="BodyText"/>
        <w:rPr>
          <w:b/>
        </w:rPr>
      </w:pPr>
      <w:r w:rsidRPr="00171B3E">
        <w:rPr>
          <w:b/>
        </w:rPr>
        <w:t>Table 18:</w:t>
      </w:r>
      <w:r w:rsidR="008E273C" w:rsidRPr="00171B3E">
        <w:rPr>
          <w:b/>
        </w:rPr>
        <w:t xml:space="preserve"> Workforce Incentive Program—Practice Stream</w:t>
      </w:r>
    </w:p>
    <w:tbl>
      <w:tblPr>
        <w:tblStyle w:val="TableGrid"/>
        <w:tblW w:w="5000" w:type="pct"/>
        <w:tblLook w:val="0000" w:firstRow="0" w:lastRow="0" w:firstColumn="0" w:lastColumn="0" w:noHBand="0" w:noVBand="0"/>
        <w:tblCaption w:val="Table 18: Workforce Incentive Program—Practice Stream"/>
        <w:tblDescription w:val="Table 18: Workforce Incentive Program—Practice Stream"/>
      </w:tblPr>
      <w:tblGrid>
        <w:gridCol w:w="3963"/>
        <w:gridCol w:w="2379"/>
        <w:gridCol w:w="2379"/>
        <w:gridCol w:w="2375"/>
      </w:tblGrid>
      <w:tr w:rsidR="008E273C" w:rsidTr="00171B3E">
        <w:trPr>
          <w:trHeight w:val="316"/>
          <w:tblHeader/>
        </w:trPr>
        <w:tc>
          <w:tcPr>
            <w:tcW w:w="1786" w:type="pct"/>
          </w:tcPr>
          <w:p w:rsidR="008E273C" w:rsidRPr="00171B3E" w:rsidRDefault="008E273C" w:rsidP="00171B3E">
            <w:pPr>
              <w:pStyle w:val="BodyText"/>
              <w:rPr>
                <w:b/>
              </w:rPr>
            </w:pPr>
          </w:p>
        </w:tc>
        <w:tc>
          <w:tcPr>
            <w:tcW w:w="1072" w:type="pct"/>
          </w:tcPr>
          <w:p w:rsidR="008E273C" w:rsidRPr="00171B3E" w:rsidRDefault="008E273C" w:rsidP="00171B3E">
            <w:pPr>
              <w:pStyle w:val="BodyText"/>
              <w:rPr>
                <w:b/>
              </w:rPr>
            </w:pPr>
            <w:r w:rsidRPr="00171B3E">
              <w:rPr>
                <w:rStyle w:val="Bulletcolour"/>
                <w:b/>
              </w:rPr>
              <w:t>2017–18</w:t>
            </w:r>
          </w:p>
        </w:tc>
        <w:tc>
          <w:tcPr>
            <w:tcW w:w="1072" w:type="pct"/>
          </w:tcPr>
          <w:p w:rsidR="008E273C" w:rsidRPr="00171B3E" w:rsidRDefault="008E273C" w:rsidP="00171B3E">
            <w:pPr>
              <w:pStyle w:val="BodyText"/>
              <w:rPr>
                <w:b/>
              </w:rPr>
            </w:pPr>
            <w:r w:rsidRPr="00171B3E">
              <w:rPr>
                <w:rStyle w:val="Bulletcolour"/>
                <w:b/>
              </w:rPr>
              <w:t>2018–19</w:t>
            </w:r>
          </w:p>
        </w:tc>
        <w:tc>
          <w:tcPr>
            <w:tcW w:w="1071" w:type="pct"/>
          </w:tcPr>
          <w:p w:rsidR="008E273C" w:rsidRPr="00171B3E" w:rsidRDefault="008E273C" w:rsidP="00171B3E">
            <w:pPr>
              <w:pStyle w:val="BodyText"/>
              <w:rPr>
                <w:b/>
              </w:rPr>
            </w:pPr>
            <w:r w:rsidRPr="00171B3E">
              <w:rPr>
                <w:rStyle w:val="Bulletcolour"/>
                <w:b/>
                <w:w w:val="110"/>
              </w:rPr>
              <w:t>2019–20</w:t>
            </w:r>
          </w:p>
        </w:tc>
      </w:tr>
      <w:tr w:rsidR="008E273C" w:rsidTr="00171B3E">
        <w:trPr>
          <w:trHeight w:val="260"/>
        </w:trPr>
        <w:tc>
          <w:tcPr>
            <w:tcW w:w="1786" w:type="pct"/>
          </w:tcPr>
          <w:p w:rsidR="008E273C" w:rsidRDefault="008E273C" w:rsidP="00171B3E">
            <w:pPr>
              <w:pStyle w:val="BodyText"/>
            </w:pPr>
            <w:r>
              <w:rPr>
                <w:rStyle w:val="Bulletcolour"/>
              </w:rPr>
              <w:t>Number of practices participating</w:t>
            </w:r>
          </w:p>
        </w:tc>
        <w:tc>
          <w:tcPr>
            <w:tcW w:w="1072" w:type="pct"/>
          </w:tcPr>
          <w:p w:rsidR="008E273C" w:rsidRDefault="008E273C" w:rsidP="00171B3E">
            <w:pPr>
              <w:pStyle w:val="BodyText"/>
            </w:pPr>
            <w:r>
              <w:rPr>
                <w:rStyle w:val="Bulletcolour"/>
              </w:rPr>
              <w:t>5,166</w:t>
            </w:r>
          </w:p>
        </w:tc>
        <w:tc>
          <w:tcPr>
            <w:tcW w:w="1072" w:type="pct"/>
          </w:tcPr>
          <w:p w:rsidR="008E273C" w:rsidRDefault="008E273C" w:rsidP="00171B3E">
            <w:pPr>
              <w:pStyle w:val="BodyText"/>
            </w:pPr>
            <w:r>
              <w:rPr>
                <w:rStyle w:val="Bulletcolour"/>
              </w:rPr>
              <w:t>5,393</w:t>
            </w:r>
          </w:p>
        </w:tc>
        <w:tc>
          <w:tcPr>
            <w:tcW w:w="1071" w:type="pct"/>
          </w:tcPr>
          <w:p w:rsidR="008E273C" w:rsidRDefault="008E273C" w:rsidP="00171B3E">
            <w:pPr>
              <w:pStyle w:val="BodyText"/>
            </w:pPr>
            <w:r>
              <w:rPr>
                <w:rStyle w:val="Bulletcolour"/>
              </w:rPr>
              <w:t>5,542</w:t>
            </w:r>
          </w:p>
        </w:tc>
      </w:tr>
      <w:tr w:rsidR="008E273C" w:rsidTr="00171B3E">
        <w:trPr>
          <w:trHeight w:val="260"/>
        </w:trPr>
        <w:tc>
          <w:tcPr>
            <w:tcW w:w="1786" w:type="pct"/>
          </w:tcPr>
          <w:p w:rsidR="008E273C" w:rsidRDefault="008E273C" w:rsidP="00171B3E">
            <w:pPr>
              <w:pStyle w:val="BodyText"/>
            </w:pPr>
            <w:r>
              <w:rPr>
                <w:rStyle w:val="Bulletcolour"/>
              </w:rPr>
              <w:t>Amount paid to practices</w:t>
            </w:r>
            <w:r>
              <w:rPr>
                <w:rStyle w:val="Bulletcolour"/>
                <w:position w:val="6"/>
                <w:vertAlign w:val="superscript"/>
              </w:rPr>
              <w:t>(a)</w:t>
            </w:r>
          </w:p>
        </w:tc>
        <w:tc>
          <w:tcPr>
            <w:tcW w:w="1072" w:type="pct"/>
          </w:tcPr>
          <w:p w:rsidR="008E273C" w:rsidRDefault="008E273C" w:rsidP="00171B3E">
            <w:pPr>
              <w:pStyle w:val="BodyText"/>
            </w:pPr>
            <w:r>
              <w:rPr>
                <w:rStyle w:val="Bulletcolour"/>
              </w:rPr>
              <w:t>$364.3 million</w:t>
            </w:r>
          </w:p>
        </w:tc>
        <w:tc>
          <w:tcPr>
            <w:tcW w:w="1072" w:type="pct"/>
          </w:tcPr>
          <w:p w:rsidR="008E273C" w:rsidRDefault="008E273C" w:rsidP="00171B3E">
            <w:pPr>
              <w:pStyle w:val="BodyText"/>
            </w:pPr>
            <w:r>
              <w:rPr>
                <w:rStyle w:val="Bulletcolour"/>
              </w:rPr>
              <w:t>$375.9 million</w:t>
            </w:r>
          </w:p>
        </w:tc>
        <w:tc>
          <w:tcPr>
            <w:tcW w:w="1071" w:type="pct"/>
          </w:tcPr>
          <w:p w:rsidR="008E273C" w:rsidRDefault="008E273C" w:rsidP="00171B3E">
            <w:pPr>
              <w:pStyle w:val="BodyText"/>
            </w:pPr>
            <w:r>
              <w:rPr>
                <w:rStyle w:val="Bulletcolour"/>
              </w:rPr>
              <w:t>$387.6 million</w:t>
            </w:r>
          </w:p>
        </w:tc>
      </w:tr>
    </w:tbl>
    <w:p w:rsidR="008E273C" w:rsidRDefault="008E273C" w:rsidP="00171B3E">
      <w:pPr>
        <w:pStyle w:val="BodyText"/>
      </w:pPr>
      <w:r>
        <w:t>(a) Amount paid to practices includes the DVA loading paid to eligible practices.</w:t>
      </w:r>
    </w:p>
    <w:p w:rsidR="008E273C" w:rsidRDefault="008E273C" w:rsidP="008E273C">
      <w:pPr>
        <w:pStyle w:val="Heading3"/>
      </w:pPr>
      <w:r>
        <w:t>Support for health practitioners in rural areas</w:t>
      </w:r>
    </w:p>
    <w:p w:rsidR="008E273C" w:rsidRDefault="008E273C" w:rsidP="00E42522">
      <w:pPr>
        <w:pStyle w:val="BodyText"/>
      </w:pPr>
      <w:r>
        <w:t>The agency administers two rural health programs that offer incentives and support for medical practitioners who are providing services in rural areas:</w:t>
      </w:r>
    </w:p>
    <w:p w:rsidR="008E273C" w:rsidRDefault="008E273C" w:rsidP="00E42522">
      <w:pPr>
        <w:pStyle w:val="ListBullet"/>
      </w:pPr>
      <w:r>
        <w:t xml:space="preserve">the </w:t>
      </w:r>
      <w:r>
        <w:rPr>
          <w:rFonts w:ascii="Roboto-Bold" w:hAnsi="Roboto-Bold" w:cs="Roboto-Bold"/>
          <w:b/>
          <w:bCs/>
        </w:rPr>
        <w:t>Workforce Incentive Program—Doctor Stream</w:t>
      </w:r>
      <w:r>
        <w:t xml:space="preserve"> which encourages medical practitioners to practise in rural and remote communities and to promote careers in rural medicine (see Table 19)</w:t>
      </w:r>
    </w:p>
    <w:p w:rsidR="008E273C" w:rsidRDefault="008E273C" w:rsidP="00E42522">
      <w:pPr>
        <w:pStyle w:val="ListBullet"/>
        <w:rPr>
          <w:rFonts w:ascii="Roboto-Bold" w:hAnsi="Roboto-Bold" w:cs="Roboto-Bold"/>
          <w:b/>
          <w:bCs/>
        </w:rPr>
      </w:pPr>
      <w:proofErr w:type="gramStart"/>
      <w:r>
        <w:t>the</w:t>
      </w:r>
      <w:proofErr w:type="gramEnd"/>
      <w:r>
        <w:t xml:space="preserve"> </w:t>
      </w:r>
      <w:r>
        <w:rPr>
          <w:rFonts w:ascii="Roboto-Bold" w:hAnsi="Roboto-Bold" w:cs="Roboto-Bold"/>
          <w:b/>
          <w:bCs/>
        </w:rPr>
        <w:t>Rural Procedural Grants Program</w:t>
      </w:r>
      <w:r>
        <w:t xml:space="preserve"> which assists GPs to deliver procedural or emergency medicine services in rural and remote areas, t</w:t>
      </w:r>
      <w:r>
        <w:rPr>
          <w:rStyle w:val="NoBreak"/>
        </w:rPr>
        <w:t>o a</w:t>
      </w:r>
      <w:r>
        <w:t>ttend training courses to maintain and improve their skills. T</w:t>
      </w:r>
      <w:r>
        <w:rPr>
          <w:rStyle w:val="NoBreak"/>
        </w:rPr>
        <w:t>his pays up t</w:t>
      </w:r>
      <w:r>
        <w:t xml:space="preserve">o $20,000 per GP per year (see Table 20). </w:t>
      </w:r>
    </w:p>
    <w:p w:rsidR="008E273C" w:rsidRPr="00171B3E" w:rsidRDefault="00171B3E" w:rsidP="00171B3E">
      <w:pPr>
        <w:pStyle w:val="BodyText"/>
        <w:rPr>
          <w:b/>
        </w:rPr>
      </w:pPr>
      <w:r w:rsidRPr="00171B3E">
        <w:rPr>
          <w:b/>
        </w:rPr>
        <w:t>Table 19:</w:t>
      </w:r>
      <w:r w:rsidR="008E273C" w:rsidRPr="00171B3E">
        <w:rPr>
          <w:b/>
        </w:rPr>
        <w:t xml:space="preserve"> Workforce Incentive Program—Doctor Stream</w:t>
      </w:r>
    </w:p>
    <w:tbl>
      <w:tblPr>
        <w:tblStyle w:val="TableGrid"/>
        <w:tblW w:w="5000" w:type="pct"/>
        <w:tblLook w:val="0000" w:firstRow="0" w:lastRow="0" w:firstColumn="0" w:lastColumn="0" w:noHBand="0" w:noVBand="0"/>
        <w:tblCaption w:val="Table 19: Workforce Incentive Program—Doctor Stream"/>
        <w:tblDescription w:val="Table 19: Workforce Incentive Program—Doctor Stream"/>
      </w:tblPr>
      <w:tblGrid>
        <w:gridCol w:w="3963"/>
        <w:gridCol w:w="2379"/>
        <w:gridCol w:w="2379"/>
        <w:gridCol w:w="2375"/>
      </w:tblGrid>
      <w:tr w:rsidR="008E273C" w:rsidTr="00171B3E">
        <w:trPr>
          <w:trHeight w:val="60"/>
          <w:tblHeader/>
        </w:trPr>
        <w:tc>
          <w:tcPr>
            <w:tcW w:w="1786" w:type="pct"/>
          </w:tcPr>
          <w:p w:rsidR="008E273C" w:rsidRPr="00171B3E" w:rsidRDefault="008E273C" w:rsidP="00171B3E">
            <w:pPr>
              <w:pStyle w:val="BodyText"/>
              <w:rPr>
                <w:b/>
              </w:rPr>
            </w:pPr>
          </w:p>
        </w:tc>
        <w:tc>
          <w:tcPr>
            <w:tcW w:w="1072" w:type="pct"/>
          </w:tcPr>
          <w:p w:rsidR="008E273C" w:rsidRPr="00171B3E" w:rsidRDefault="008E273C" w:rsidP="00171B3E">
            <w:pPr>
              <w:pStyle w:val="BodyText"/>
              <w:rPr>
                <w:b/>
              </w:rPr>
            </w:pPr>
            <w:r w:rsidRPr="00171B3E">
              <w:rPr>
                <w:rStyle w:val="Bulletcolour"/>
                <w:b/>
              </w:rPr>
              <w:t>2017–18</w:t>
            </w:r>
          </w:p>
        </w:tc>
        <w:tc>
          <w:tcPr>
            <w:tcW w:w="1072" w:type="pct"/>
          </w:tcPr>
          <w:p w:rsidR="008E273C" w:rsidRPr="00171B3E" w:rsidRDefault="008E273C" w:rsidP="00171B3E">
            <w:pPr>
              <w:pStyle w:val="BodyText"/>
              <w:rPr>
                <w:b/>
              </w:rPr>
            </w:pPr>
            <w:r w:rsidRPr="00171B3E">
              <w:rPr>
                <w:rStyle w:val="Bulletcolour"/>
                <w:b/>
              </w:rPr>
              <w:t>2018–19</w:t>
            </w:r>
          </w:p>
        </w:tc>
        <w:tc>
          <w:tcPr>
            <w:tcW w:w="1071" w:type="pct"/>
          </w:tcPr>
          <w:p w:rsidR="008E273C" w:rsidRPr="00171B3E" w:rsidRDefault="008E273C" w:rsidP="00171B3E">
            <w:pPr>
              <w:pStyle w:val="BodyText"/>
              <w:rPr>
                <w:b/>
              </w:rPr>
            </w:pPr>
            <w:r w:rsidRPr="00171B3E">
              <w:rPr>
                <w:rStyle w:val="Bulletcolour"/>
                <w:b/>
              </w:rPr>
              <w:t>2019–20</w:t>
            </w:r>
          </w:p>
        </w:tc>
      </w:tr>
      <w:tr w:rsidR="008E273C" w:rsidTr="00171B3E">
        <w:trPr>
          <w:trHeight w:val="60"/>
        </w:trPr>
        <w:tc>
          <w:tcPr>
            <w:tcW w:w="1786" w:type="pct"/>
          </w:tcPr>
          <w:p w:rsidR="008E273C" w:rsidRDefault="008E273C" w:rsidP="00171B3E">
            <w:pPr>
              <w:pStyle w:val="BodyText"/>
            </w:pPr>
            <w:r>
              <w:rPr>
                <w:rStyle w:val="Bulletcolour"/>
              </w:rPr>
              <w:t>Medical practitioners paid (GPs and specialists)</w:t>
            </w:r>
          </w:p>
        </w:tc>
        <w:tc>
          <w:tcPr>
            <w:tcW w:w="1072" w:type="pct"/>
          </w:tcPr>
          <w:p w:rsidR="008E273C" w:rsidRDefault="008E273C" w:rsidP="00171B3E">
            <w:pPr>
              <w:pStyle w:val="BodyText"/>
            </w:pPr>
            <w:r>
              <w:rPr>
                <w:rStyle w:val="Bulletcolour"/>
              </w:rPr>
              <w:t>8,229</w:t>
            </w:r>
          </w:p>
        </w:tc>
        <w:tc>
          <w:tcPr>
            <w:tcW w:w="1072" w:type="pct"/>
          </w:tcPr>
          <w:p w:rsidR="008E273C" w:rsidRDefault="008E273C" w:rsidP="00171B3E">
            <w:pPr>
              <w:pStyle w:val="BodyText"/>
            </w:pPr>
            <w:r>
              <w:rPr>
                <w:rStyle w:val="Bulletcolour"/>
              </w:rPr>
              <w:t>8,292</w:t>
            </w:r>
          </w:p>
        </w:tc>
        <w:tc>
          <w:tcPr>
            <w:tcW w:w="1071" w:type="pct"/>
          </w:tcPr>
          <w:p w:rsidR="008E273C" w:rsidRDefault="008E273C" w:rsidP="00171B3E">
            <w:pPr>
              <w:pStyle w:val="BodyText"/>
            </w:pPr>
            <w:r>
              <w:rPr>
                <w:rStyle w:val="Bulletcolour"/>
              </w:rPr>
              <w:t>8,292</w:t>
            </w:r>
          </w:p>
        </w:tc>
      </w:tr>
      <w:tr w:rsidR="008E273C" w:rsidTr="00171B3E">
        <w:trPr>
          <w:trHeight w:val="60"/>
        </w:trPr>
        <w:tc>
          <w:tcPr>
            <w:tcW w:w="1786" w:type="pct"/>
          </w:tcPr>
          <w:p w:rsidR="008E273C" w:rsidRDefault="008E273C" w:rsidP="00171B3E">
            <w:pPr>
              <w:pStyle w:val="BodyText"/>
            </w:pPr>
            <w:r>
              <w:rPr>
                <w:rStyle w:val="Bulletcolour"/>
              </w:rPr>
              <w:t>Payments made</w:t>
            </w:r>
          </w:p>
        </w:tc>
        <w:tc>
          <w:tcPr>
            <w:tcW w:w="1072" w:type="pct"/>
          </w:tcPr>
          <w:p w:rsidR="008E273C" w:rsidRDefault="008E273C" w:rsidP="00171B3E">
            <w:pPr>
              <w:pStyle w:val="BodyText"/>
            </w:pPr>
            <w:r>
              <w:rPr>
                <w:rStyle w:val="Bulletcolour"/>
              </w:rPr>
              <w:t>8,273</w:t>
            </w:r>
          </w:p>
        </w:tc>
        <w:tc>
          <w:tcPr>
            <w:tcW w:w="1072" w:type="pct"/>
          </w:tcPr>
          <w:p w:rsidR="008E273C" w:rsidRDefault="008E273C" w:rsidP="00171B3E">
            <w:pPr>
              <w:pStyle w:val="BodyText"/>
            </w:pPr>
            <w:r>
              <w:rPr>
                <w:rStyle w:val="Bulletcolour"/>
              </w:rPr>
              <w:t>8,405</w:t>
            </w:r>
          </w:p>
        </w:tc>
        <w:tc>
          <w:tcPr>
            <w:tcW w:w="1071" w:type="pct"/>
          </w:tcPr>
          <w:p w:rsidR="008E273C" w:rsidRDefault="008E273C" w:rsidP="00171B3E">
            <w:pPr>
              <w:pStyle w:val="BodyText"/>
            </w:pPr>
            <w:r>
              <w:rPr>
                <w:rStyle w:val="Bulletcolour"/>
              </w:rPr>
              <w:t>8,467</w:t>
            </w:r>
          </w:p>
        </w:tc>
      </w:tr>
      <w:tr w:rsidR="008E273C" w:rsidTr="00171B3E">
        <w:trPr>
          <w:trHeight w:val="60"/>
        </w:trPr>
        <w:tc>
          <w:tcPr>
            <w:tcW w:w="1786" w:type="pct"/>
          </w:tcPr>
          <w:p w:rsidR="008E273C" w:rsidRDefault="008E273C" w:rsidP="00171B3E">
            <w:pPr>
              <w:pStyle w:val="BodyText"/>
            </w:pPr>
            <w:r>
              <w:rPr>
                <w:rStyle w:val="Bulletcolour"/>
              </w:rPr>
              <w:t>Amount paid</w:t>
            </w:r>
          </w:p>
        </w:tc>
        <w:tc>
          <w:tcPr>
            <w:tcW w:w="1072" w:type="pct"/>
          </w:tcPr>
          <w:p w:rsidR="008E273C" w:rsidRDefault="008E273C" w:rsidP="00171B3E">
            <w:pPr>
              <w:pStyle w:val="BodyText"/>
            </w:pPr>
            <w:r>
              <w:rPr>
                <w:rStyle w:val="Bulletcolour"/>
              </w:rPr>
              <w:t>$117.3 million</w:t>
            </w:r>
          </w:p>
        </w:tc>
        <w:tc>
          <w:tcPr>
            <w:tcW w:w="1072" w:type="pct"/>
          </w:tcPr>
          <w:p w:rsidR="008E273C" w:rsidRDefault="008E273C" w:rsidP="00171B3E">
            <w:pPr>
              <w:pStyle w:val="BodyText"/>
            </w:pPr>
            <w:r>
              <w:rPr>
                <w:rStyle w:val="Bulletcolour"/>
              </w:rPr>
              <w:t>$117.7 million</w:t>
            </w:r>
          </w:p>
        </w:tc>
        <w:tc>
          <w:tcPr>
            <w:tcW w:w="1071" w:type="pct"/>
          </w:tcPr>
          <w:p w:rsidR="008E273C" w:rsidRDefault="008E273C" w:rsidP="00171B3E">
            <w:pPr>
              <w:pStyle w:val="BodyText"/>
            </w:pPr>
            <w:r>
              <w:rPr>
                <w:rStyle w:val="Bulletcolour"/>
              </w:rPr>
              <w:t>$116.7 million</w:t>
            </w:r>
          </w:p>
        </w:tc>
      </w:tr>
    </w:tbl>
    <w:p w:rsidR="008E273C" w:rsidRPr="00171B3E" w:rsidRDefault="00171B3E" w:rsidP="00171B3E">
      <w:pPr>
        <w:pStyle w:val="BodyText"/>
        <w:rPr>
          <w:b/>
          <w:vertAlign w:val="superscript"/>
        </w:rPr>
      </w:pPr>
      <w:r w:rsidRPr="00171B3E">
        <w:rPr>
          <w:b/>
        </w:rPr>
        <w:t>Table 20:</w:t>
      </w:r>
      <w:r w:rsidR="008E273C" w:rsidRPr="00171B3E">
        <w:rPr>
          <w:b/>
        </w:rPr>
        <w:t xml:space="preserve"> Rural Procedural Grants </w:t>
      </w:r>
      <w:proofErr w:type="gramStart"/>
      <w:r w:rsidR="008E273C" w:rsidRPr="00171B3E">
        <w:rPr>
          <w:b/>
        </w:rPr>
        <w:t>Program</w:t>
      </w:r>
      <w:r w:rsidR="008E273C" w:rsidRPr="00171B3E">
        <w:rPr>
          <w:b/>
          <w:vertAlign w:val="superscript"/>
        </w:rPr>
        <w:t>(</w:t>
      </w:r>
      <w:proofErr w:type="gramEnd"/>
      <w:r w:rsidR="008E273C" w:rsidRPr="00171B3E">
        <w:rPr>
          <w:b/>
          <w:vertAlign w:val="superscript"/>
        </w:rPr>
        <w:t>a)</w:t>
      </w:r>
    </w:p>
    <w:tbl>
      <w:tblPr>
        <w:tblStyle w:val="TableGrid"/>
        <w:tblW w:w="5000" w:type="pct"/>
        <w:tblLook w:val="0000" w:firstRow="0" w:lastRow="0" w:firstColumn="0" w:lastColumn="0" w:noHBand="0" w:noVBand="0"/>
        <w:tblCaption w:val="Table 20: Rural Procedural Grants Program(a)"/>
        <w:tblDescription w:val="Table 20: Rural Procedural Grants Program(a)"/>
      </w:tblPr>
      <w:tblGrid>
        <w:gridCol w:w="3963"/>
        <w:gridCol w:w="2379"/>
        <w:gridCol w:w="2379"/>
        <w:gridCol w:w="2375"/>
      </w:tblGrid>
      <w:tr w:rsidR="008E273C" w:rsidTr="00171B3E">
        <w:trPr>
          <w:trHeight w:val="60"/>
          <w:tblHeader/>
        </w:trPr>
        <w:tc>
          <w:tcPr>
            <w:tcW w:w="1786" w:type="pct"/>
          </w:tcPr>
          <w:p w:rsidR="008E273C" w:rsidRPr="00171B3E" w:rsidRDefault="008E273C" w:rsidP="00171B3E">
            <w:pPr>
              <w:pStyle w:val="BodyText"/>
              <w:rPr>
                <w:b/>
              </w:rPr>
            </w:pPr>
          </w:p>
        </w:tc>
        <w:tc>
          <w:tcPr>
            <w:tcW w:w="1072" w:type="pct"/>
          </w:tcPr>
          <w:p w:rsidR="008E273C" w:rsidRPr="00171B3E" w:rsidRDefault="008E273C" w:rsidP="00171B3E">
            <w:pPr>
              <w:pStyle w:val="BodyText"/>
              <w:rPr>
                <w:b/>
              </w:rPr>
            </w:pPr>
            <w:r w:rsidRPr="00171B3E">
              <w:rPr>
                <w:rStyle w:val="Bulletcolour"/>
                <w:b/>
              </w:rPr>
              <w:t>2017–18</w:t>
            </w:r>
          </w:p>
        </w:tc>
        <w:tc>
          <w:tcPr>
            <w:tcW w:w="1072" w:type="pct"/>
          </w:tcPr>
          <w:p w:rsidR="008E273C" w:rsidRPr="00171B3E" w:rsidRDefault="008E273C" w:rsidP="00171B3E">
            <w:pPr>
              <w:pStyle w:val="BodyText"/>
              <w:rPr>
                <w:b/>
              </w:rPr>
            </w:pPr>
            <w:r w:rsidRPr="00171B3E">
              <w:rPr>
                <w:rStyle w:val="Bulletcolour"/>
                <w:b/>
              </w:rPr>
              <w:t>2018–19</w:t>
            </w:r>
          </w:p>
        </w:tc>
        <w:tc>
          <w:tcPr>
            <w:tcW w:w="1071" w:type="pct"/>
          </w:tcPr>
          <w:p w:rsidR="008E273C" w:rsidRPr="00171B3E" w:rsidRDefault="008E273C" w:rsidP="00171B3E">
            <w:pPr>
              <w:pStyle w:val="BodyText"/>
              <w:rPr>
                <w:b/>
              </w:rPr>
            </w:pPr>
            <w:r w:rsidRPr="00171B3E">
              <w:rPr>
                <w:rStyle w:val="Bulletcolour"/>
                <w:b/>
              </w:rPr>
              <w:t>2019–20</w:t>
            </w:r>
          </w:p>
        </w:tc>
      </w:tr>
      <w:tr w:rsidR="008E273C" w:rsidTr="00171B3E">
        <w:trPr>
          <w:trHeight w:val="60"/>
        </w:trPr>
        <w:tc>
          <w:tcPr>
            <w:tcW w:w="1786" w:type="pct"/>
          </w:tcPr>
          <w:p w:rsidR="008E273C" w:rsidRDefault="008E273C" w:rsidP="00171B3E">
            <w:pPr>
              <w:pStyle w:val="BodyText"/>
            </w:pPr>
            <w:r>
              <w:rPr>
                <w:rStyle w:val="Bulletcolour"/>
              </w:rPr>
              <w:t>GPs paid</w:t>
            </w:r>
          </w:p>
        </w:tc>
        <w:tc>
          <w:tcPr>
            <w:tcW w:w="1072" w:type="pct"/>
          </w:tcPr>
          <w:p w:rsidR="008E273C" w:rsidRDefault="008E273C" w:rsidP="00171B3E">
            <w:pPr>
              <w:pStyle w:val="BodyText"/>
            </w:pPr>
            <w:r>
              <w:rPr>
                <w:rStyle w:val="Bulletcolour"/>
              </w:rPr>
              <w:t>1,737</w:t>
            </w:r>
          </w:p>
        </w:tc>
        <w:tc>
          <w:tcPr>
            <w:tcW w:w="1072" w:type="pct"/>
          </w:tcPr>
          <w:p w:rsidR="008E273C" w:rsidRDefault="008E273C" w:rsidP="00171B3E">
            <w:pPr>
              <w:pStyle w:val="BodyText"/>
            </w:pPr>
            <w:r>
              <w:rPr>
                <w:rStyle w:val="Bulletcolour"/>
              </w:rPr>
              <w:t>1,757</w:t>
            </w:r>
          </w:p>
        </w:tc>
        <w:tc>
          <w:tcPr>
            <w:tcW w:w="1071" w:type="pct"/>
          </w:tcPr>
          <w:p w:rsidR="008E273C" w:rsidRDefault="008E273C" w:rsidP="00171B3E">
            <w:pPr>
              <w:pStyle w:val="BodyText"/>
            </w:pPr>
            <w:r>
              <w:rPr>
                <w:rStyle w:val="Bulletcolour"/>
              </w:rPr>
              <w:t xml:space="preserve">1,824   </w:t>
            </w:r>
          </w:p>
        </w:tc>
      </w:tr>
      <w:tr w:rsidR="008E273C" w:rsidTr="00171B3E">
        <w:trPr>
          <w:trHeight w:val="60"/>
        </w:trPr>
        <w:tc>
          <w:tcPr>
            <w:tcW w:w="1786" w:type="pct"/>
          </w:tcPr>
          <w:p w:rsidR="008E273C" w:rsidRDefault="008E273C" w:rsidP="00171B3E">
            <w:pPr>
              <w:pStyle w:val="BodyText"/>
            </w:pPr>
            <w:r>
              <w:rPr>
                <w:rStyle w:val="Bulletcolour"/>
              </w:rPr>
              <w:t>Amount paid</w:t>
            </w:r>
          </w:p>
        </w:tc>
        <w:tc>
          <w:tcPr>
            <w:tcW w:w="1072" w:type="pct"/>
          </w:tcPr>
          <w:p w:rsidR="008E273C" w:rsidRDefault="008E273C" w:rsidP="00171B3E">
            <w:pPr>
              <w:pStyle w:val="BodyText"/>
            </w:pPr>
            <w:r>
              <w:rPr>
                <w:rStyle w:val="Bulletcolour"/>
              </w:rPr>
              <w:t>$17.2 million</w:t>
            </w:r>
          </w:p>
        </w:tc>
        <w:tc>
          <w:tcPr>
            <w:tcW w:w="1072" w:type="pct"/>
          </w:tcPr>
          <w:p w:rsidR="008E273C" w:rsidRDefault="008E273C" w:rsidP="00171B3E">
            <w:pPr>
              <w:pStyle w:val="BodyText"/>
            </w:pPr>
            <w:r>
              <w:rPr>
                <w:rStyle w:val="Bulletcolour"/>
              </w:rPr>
              <w:t>$17.9 million</w:t>
            </w:r>
          </w:p>
        </w:tc>
        <w:tc>
          <w:tcPr>
            <w:tcW w:w="1071" w:type="pct"/>
          </w:tcPr>
          <w:p w:rsidR="008E273C" w:rsidRDefault="008E273C" w:rsidP="00171B3E">
            <w:pPr>
              <w:pStyle w:val="BodyText"/>
            </w:pPr>
            <w:r>
              <w:rPr>
                <w:rStyle w:val="Bulletcolour"/>
              </w:rPr>
              <w:t>$14.2 million</w:t>
            </w:r>
          </w:p>
        </w:tc>
      </w:tr>
    </w:tbl>
    <w:p w:rsidR="008E273C" w:rsidRDefault="008E273C" w:rsidP="00171B3E">
      <w:pPr>
        <w:pStyle w:val="BodyText"/>
      </w:pPr>
      <w:r>
        <w:t>(a)</w:t>
      </w:r>
      <w:r w:rsidR="00171B3E">
        <w:t xml:space="preserve"> </w:t>
      </w:r>
      <w:r>
        <w:t xml:space="preserve">From 1 July 2020, the Australian College of Rural and Remote Medicine and the Royal Australian College of General Practitioners will administer this program. </w:t>
      </w:r>
    </w:p>
    <w:p w:rsidR="008E273C" w:rsidRDefault="008E273C" w:rsidP="008E273C">
      <w:pPr>
        <w:pStyle w:val="Heading3"/>
      </w:pPr>
      <w:r>
        <w:t xml:space="preserve">Child Dental Benefits Schedule </w:t>
      </w:r>
    </w:p>
    <w:p w:rsidR="008E273C" w:rsidRDefault="008E273C" w:rsidP="008E273C">
      <w:pPr>
        <w:pStyle w:val="BodyText"/>
      </w:pPr>
      <w:r>
        <w:t>The Child Dental Benefits Schedule provides families, teenagers and approved care organisations with financial support for basic dental services for eligible children. Dental services include examinations, X</w:t>
      </w:r>
      <w:r>
        <w:noBreakHyphen/>
        <w:t>rays, cleaning, fissure sealing, fillings, root canals and extractions.</w:t>
      </w:r>
    </w:p>
    <w:p w:rsidR="008E273C" w:rsidRDefault="008E273C" w:rsidP="008E273C">
      <w:pPr>
        <w:pStyle w:val="BodyText"/>
      </w:pPr>
      <w:r>
        <w:t>Benefits for basic dental services are capped at $1,000 per child over two consecutive calendar years. In 2019–20 Services Australia processed 4.6 million services and paid $283.5 million in benefits under the Child Dental Benefits Schedule. This compares with 5.4 million services and $324.9 million in benefits paid in 2018-19.</w:t>
      </w:r>
    </w:p>
    <w:p w:rsidR="008E273C" w:rsidRDefault="008E273C" w:rsidP="008E273C">
      <w:pPr>
        <w:pStyle w:val="Heading3"/>
      </w:pPr>
      <w:r>
        <w:t xml:space="preserve">National Bowel Cancer Screening Program </w:t>
      </w:r>
    </w:p>
    <w:p w:rsidR="008E273C" w:rsidRDefault="008E273C" w:rsidP="008E273C">
      <w:pPr>
        <w:pStyle w:val="BodyText"/>
      </w:pPr>
      <w:r>
        <w:t>The National Bowel Cancer Screening Program aims to reduce illness and death from bowel cancer through early detection or prevention of the disease.</w:t>
      </w:r>
    </w:p>
    <w:p w:rsidR="008E273C" w:rsidRDefault="008E273C" w:rsidP="008E273C">
      <w:pPr>
        <w:pStyle w:val="BodyText"/>
      </w:pPr>
      <w:r>
        <w:t>Services Australia ceased its administration of the National Bowel Cancer Screening Register on 14 November 2019. This Register transitioned to the National Cancer Screening Register, which is administered by Telstra Health on behalf of the Department of Health.</w:t>
      </w:r>
    </w:p>
    <w:p w:rsidR="008E273C" w:rsidRPr="005B69B7" w:rsidRDefault="005B69B7" w:rsidP="005B69B7">
      <w:pPr>
        <w:pStyle w:val="BodyText"/>
        <w:rPr>
          <w:b/>
        </w:rPr>
      </w:pPr>
      <w:r w:rsidRPr="005B69B7">
        <w:rPr>
          <w:b/>
        </w:rPr>
        <w:t>Table 21:</w:t>
      </w:r>
      <w:r w:rsidR="008E273C" w:rsidRPr="005B69B7">
        <w:rPr>
          <w:b/>
        </w:rPr>
        <w:t xml:space="preserve"> National Bowel Cancer Screening Program</w:t>
      </w:r>
    </w:p>
    <w:tbl>
      <w:tblPr>
        <w:tblStyle w:val="TableGrid"/>
        <w:tblW w:w="5000" w:type="pct"/>
        <w:tblLook w:val="0000" w:firstRow="0" w:lastRow="0" w:firstColumn="0" w:lastColumn="0" w:noHBand="0" w:noVBand="0"/>
        <w:tblCaption w:val="Table 21: National Bowel Cancer Screening Program"/>
        <w:tblDescription w:val="Table 21: National Bowel Cancer Screening Program"/>
      </w:tblPr>
      <w:tblGrid>
        <w:gridCol w:w="4613"/>
        <w:gridCol w:w="2162"/>
        <w:gridCol w:w="2162"/>
        <w:gridCol w:w="2159"/>
      </w:tblGrid>
      <w:tr w:rsidR="008E273C" w:rsidTr="005B69B7">
        <w:trPr>
          <w:trHeight w:val="60"/>
          <w:tblHeader/>
        </w:trPr>
        <w:tc>
          <w:tcPr>
            <w:tcW w:w="2079" w:type="pct"/>
          </w:tcPr>
          <w:p w:rsidR="008E273C" w:rsidRPr="005B69B7" w:rsidRDefault="008E273C" w:rsidP="005B69B7">
            <w:pPr>
              <w:pStyle w:val="BodyText"/>
              <w:rPr>
                <w:b/>
              </w:rPr>
            </w:pPr>
          </w:p>
        </w:tc>
        <w:tc>
          <w:tcPr>
            <w:tcW w:w="974" w:type="pct"/>
          </w:tcPr>
          <w:p w:rsidR="008E273C" w:rsidRPr="005B69B7" w:rsidRDefault="008E273C" w:rsidP="005B69B7">
            <w:pPr>
              <w:pStyle w:val="BodyText"/>
              <w:rPr>
                <w:b/>
              </w:rPr>
            </w:pPr>
            <w:r w:rsidRPr="005B69B7">
              <w:rPr>
                <w:rStyle w:val="Bulletcolour"/>
                <w:b/>
              </w:rPr>
              <w:t>2017–18</w:t>
            </w:r>
          </w:p>
        </w:tc>
        <w:tc>
          <w:tcPr>
            <w:tcW w:w="974" w:type="pct"/>
          </w:tcPr>
          <w:p w:rsidR="008E273C" w:rsidRPr="005B69B7" w:rsidRDefault="008E273C" w:rsidP="005B69B7">
            <w:pPr>
              <w:pStyle w:val="BodyText"/>
              <w:rPr>
                <w:b/>
              </w:rPr>
            </w:pPr>
            <w:r w:rsidRPr="005B69B7">
              <w:rPr>
                <w:rStyle w:val="Bulletcolour"/>
                <w:b/>
              </w:rPr>
              <w:t>2018–19</w:t>
            </w:r>
          </w:p>
        </w:tc>
        <w:tc>
          <w:tcPr>
            <w:tcW w:w="974" w:type="pct"/>
          </w:tcPr>
          <w:p w:rsidR="008E273C" w:rsidRPr="005B69B7" w:rsidRDefault="008E273C" w:rsidP="005B69B7">
            <w:pPr>
              <w:pStyle w:val="BodyText"/>
              <w:rPr>
                <w:b/>
              </w:rPr>
            </w:pPr>
            <w:r w:rsidRPr="005B69B7">
              <w:rPr>
                <w:rStyle w:val="Bulletcolour"/>
                <w:b/>
              </w:rPr>
              <w:t>2019–20</w:t>
            </w:r>
          </w:p>
        </w:tc>
      </w:tr>
      <w:tr w:rsidR="008E273C" w:rsidTr="005B69B7">
        <w:trPr>
          <w:trHeight w:val="376"/>
        </w:trPr>
        <w:tc>
          <w:tcPr>
            <w:tcW w:w="2079" w:type="pct"/>
          </w:tcPr>
          <w:p w:rsidR="008E273C" w:rsidRDefault="008E273C" w:rsidP="005B69B7">
            <w:pPr>
              <w:pStyle w:val="BodyText"/>
            </w:pPr>
            <w:r>
              <w:rPr>
                <w:rStyle w:val="Bulletcolour"/>
              </w:rPr>
              <w:t>Invitations distributed</w:t>
            </w:r>
          </w:p>
        </w:tc>
        <w:tc>
          <w:tcPr>
            <w:tcW w:w="974" w:type="pct"/>
          </w:tcPr>
          <w:p w:rsidR="008E273C" w:rsidRDefault="008E273C" w:rsidP="005B69B7">
            <w:pPr>
              <w:pStyle w:val="BodyText"/>
            </w:pPr>
            <w:r>
              <w:rPr>
                <w:rStyle w:val="Bulletcolour"/>
              </w:rPr>
              <w:t>2,700,703</w:t>
            </w:r>
          </w:p>
        </w:tc>
        <w:tc>
          <w:tcPr>
            <w:tcW w:w="974" w:type="pct"/>
          </w:tcPr>
          <w:p w:rsidR="008E273C" w:rsidRDefault="008E273C" w:rsidP="005B69B7">
            <w:pPr>
              <w:pStyle w:val="BodyText"/>
            </w:pPr>
            <w:r>
              <w:rPr>
                <w:rStyle w:val="Bulletcolour"/>
              </w:rPr>
              <w:t>3,036,959</w:t>
            </w:r>
          </w:p>
        </w:tc>
        <w:tc>
          <w:tcPr>
            <w:tcW w:w="974" w:type="pct"/>
          </w:tcPr>
          <w:p w:rsidR="008E273C" w:rsidRDefault="008E273C" w:rsidP="005B69B7">
            <w:pPr>
              <w:pStyle w:val="BodyText"/>
            </w:pPr>
            <w:r>
              <w:rPr>
                <w:rStyle w:val="Bulletcolour"/>
              </w:rPr>
              <w:t>1,181,797</w:t>
            </w:r>
          </w:p>
        </w:tc>
      </w:tr>
      <w:tr w:rsidR="008E273C" w:rsidTr="005B69B7">
        <w:trPr>
          <w:trHeight w:val="60"/>
        </w:trPr>
        <w:tc>
          <w:tcPr>
            <w:tcW w:w="2079" w:type="pct"/>
          </w:tcPr>
          <w:p w:rsidR="008E273C" w:rsidRDefault="008E273C" w:rsidP="005B69B7">
            <w:pPr>
              <w:pStyle w:val="BodyText"/>
            </w:pPr>
            <w:r>
              <w:rPr>
                <w:rStyle w:val="Bulletcolour"/>
              </w:rPr>
              <w:t>Information line calls received</w:t>
            </w:r>
          </w:p>
        </w:tc>
        <w:tc>
          <w:tcPr>
            <w:tcW w:w="974" w:type="pct"/>
          </w:tcPr>
          <w:p w:rsidR="008E273C" w:rsidRDefault="008E273C" w:rsidP="005B69B7">
            <w:pPr>
              <w:pStyle w:val="BodyText"/>
            </w:pPr>
            <w:r>
              <w:rPr>
                <w:rStyle w:val="Bulletcolour"/>
              </w:rPr>
              <w:t>262,582</w:t>
            </w:r>
          </w:p>
        </w:tc>
        <w:tc>
          <w:tcPr>
            <w:tcW w:w="974" w:type="pct"/>
          </w:tcPr>
          <w:p w:rsidR="008E273C" w:rsidRDefault="008E273C" w:rsidP="005B69B7">
            <w:pPr>
              <w:pStyle w:val="BodyText"/>
            </w:pPr>
            <w:r>
              <w:rPr>
                <w:rStyle w:val="Bulletcolour"/>
              </w:rPr>
              <w:t>290,265</w:t>
            </w:r>
          </w:p>
        </w:tc>
        <w:tc>
          <w:tcPr>
            <w:tcW w:w="974" w:type="pct"/>
          </w:tcPr>
          <w:p w:rsidR="008E273C" w:rsidRDefault="008E273C" w:rsidP="005B69B7">
            <w:pPr>
              <w:pStyle w:val="BodyText"/>
            </w:pPr>
            <w:r>
              <w:rPr>
                <w:rStyle w:val="Bulletcolour"/>
              </w:rPr>
              <w:t>134,232</w:t>
            </w:r>
          </w:p>
        </w:tc>
      </w:tr>
    </w:tbl>
    <w:p w:rsidR="008E273C" w:rsidRDefault="008E273C" w:rsidP="008E273C">
      <w:pPr>
        <w:pStyle w:val="Heading3"/>
      </w:pPr>
      <w:r>
        <w:t>Australian Immunisation Register</w:t>
      </w:r>
    </w:p>
    <w:p w:rsidR="008E273C" w:rsidRDefault="008E273C" w:rsidP="00E42522">
      <w:pPr>
        <w:pStyle w:val="BodyText"/>
      </w:pPr>
      <w:r>
        <w:t>The Australian Immunisation Register is a national register that records all vaccines given to people of all ages in Australia. The register has over 2</w:t>
      </w:r>
      <w:r>
        <w:rPr>
          <w:rStyle w:val="NoBreak"/>
        </w:rPr>
        <w:t>7 m</w:t>
      </w:r>
      <w:r>
        <w:t>illion registrations. In 2019–20 the register was expanded to record:</w:t>
      </w:r>
    </w:p>
    <w:p w:rsidR="008E273C" w:rsidRDefault="008E273C" w:rsidP="00E42522">
      <w:pPr>
        <w:pStyle w:val="ListBullet"/>
      </w:pPr>
      <w:r>
        <w:t xml:space="preserve">historical vaccines held by state/territory health department systems </w:t>
      </w:r>
    </w:p>
    <w:p w:rsidR="008E273C" w:rsidRDefault="008E273C" w:rsidP="00E42522">
      <w:pPr>
        <w:pStyle w:val="ListBullet"/>
      </w:pPr>
      <w:proofErr w:type="gramStart"/>
      <w:r>
        <w:t>vaccines</w:t>
      </w:r>
      <w:proofErr w:type="gramEnd"/>
      <w:r>
        <w:t xml:space="preserve"> given in state/territory school immunisation programs.</w:t>
      </w:r>
    </w:p>
    <w:p w:rsidR="008E273C" w:rsidRPr="00D4092F" w:rsidRDefault="00D4092F" w:rsidP="00D4092F">
      <w:pPr>
        <w:pStyle w:val="BodyText"/>
        <w:rPr>
          <w:b/>
        </w:rPr>
      </w:pPr>
      <w:r w:rsidRPr="00D4092F">
        <w:rPr>
          <w:b/>
        </w:rPr>
        <w:t>Table 22:</w:t>
      </w:r>
      <w:r w:rsidR="008E273C" w:rsidRPr="00D4092F">
        <w:rPr>
          <w:b/>
        </w:rPr>
        <w:t xml:space="preserve"> Australian Immunisation Register</w:t>
      </w:r>
    </w:p>
    <w:tbl>
      <w:tblPr>
        <w:tblStyle w:val="TableGrid"/>
        <w:tblW w:w="5000" w:type="pct"/>
        <w:tblLook w:val="0000" w:firstRow="0" w:lastRow="0" w:firstColumn="0" w:lastColumn="0" w:noHBand="0" w:noVBand="0"/>
        <w:tblCaption w:val="Table 22: Australian Immunisation Register"/>
        <w:tblDescription w:val="Table 22: Australian Immunisation Register"/>
      </w:tblPr>
      <w:tblGrid>
        <w:gridCol w:w="4351"/>
        <w:gridCol w:w="2249"/>
        <w:gridCol w:w="2248"/>
        <w:gridCol w:w="2248"/>
      </w:tblGrid>
      <w:tr w:rsidR="008E273C" w:rsidTr="00D4092F">
        <w:trPr>
          <w:trHeight w:val="60"/>
          <w:tblHeader/>
        </w:trPr>
        <w:tc>
          <w:tcPr>
            <w:tcW w:w="1960" w:type="pct"/>
          </w:tcPr>
          <w:p w:rsidR="008E273C" w:rsidRPr="00D4092F" w:rsidRDefault="008E273C" w:rsidP="00D4092F">
            <w:pPr>
              <w:pStyle w:val="BodyText"/>
              <w:rPr>
                <w:b/>
              </w:rPr>
            </w:pPr>
          </w:p>
        </w:tc>
        <w:tc>
          <w:tcPr>
            <w:tcW w:w="1013" w:type="pct"/>
          </w:tcPr>
          <w:p w:rsidR="008E273C" w:rsidRPr="00D4092F" w:rsidRDefault="008E273C" w:rsidP="00D4092F">
            <w:pPr>
              <w:pStyle w:val="BodyText"/>
              <w:rPr>
                <w:b/>
              </w:rPr>
            </w:pPr>
            <w:r w:rsidRPr="00D4092F">
              <w:rPr>
                <w:rStyle w:val="Bulletcolour"/>
                <w:b/>
              </w:rPr>
              <w:t>2017–18</w:t>
            </w:r>
          </w:p>
        </w:tc>
        <w:tc>
          <w:tcPr>
            <w:tcW w:w="1013" w:type="pct"/>
          </w:tcPr>
          <w:p w:rsidR="008E273C" w:rsidRPr="00D4092F" w:rsidRDefault="008E273C" w:rsidP="00D4092F">
            <w:pPr>
              <w:pStyle w:val="BodyText"/>
              <w:rPr>
                <w:b/>
              </w:rPr>
            </w:pPr>
            <w:r w:rsidRPr="00D4092F">
              <w:rPr>
                <w:rStyle w:val="Bulletcolour"/>
                <w:b/>
              </w:rPr>
              <w:t>2018–19</w:t>
            </w:r>
          </w:p>
        </w:tc>
        <w:tc>
          <w:tcPr>
            <w:tcW w:w="1013" w:type="pct"/>
          </w:tcPr>
          <w:p w:rsidR="008E273C" w:rsidRPr="00D4092F" w:rsidRDefault="008E273C" w:rsidP="00D4092F">
            <w:pPr>
              <w:pStyle w:val="BodyText"/>
              <w:rPr>
                <w:b/>
              </w:rPr>
            </w:pPr>
            <w:r w:rsidRPr="00D4092F">
              <w:rPr>
                <w:rStyle w:val="Bulletcolour"/>
                <w:b/>
              </w:rPr>
              <w:t>2019–20</w:t>
            </w:r>
          </w:p>
        </w:tc>
      </w:tr>
      <w:tr w:rsidR="008E273C" w:rsidTr="00D4092F">
        <w:trPr>
          <w:trHeight w:val="60"/>
        </w:trPr>
        <w:tc>
          <w:tcPr>
            <w:tcW w:w="1960" w:type="pct"/>
          </w:tcPr>
          <w:p w:rsidR="008E273C" w:rsidRDefault="008E273C" w:rsidP="00D4092F">
            <w:pPr>
              <w:pStyle w:val="BodyText"/>
            </w:pPr>
            <w:r>
              <w:rPr>
                <w:rStyle w:val="Bulletcolour"/>
              </w:rPr>
              <w:t>Vaccine episodes</w:t>
            </w:r>
            <w:r>
              <w:rPr>
                <w:rStyle w:val="Bulletcolour"/>
                <w:vertAlign w:val="superscript"/>
              </w:rPr>
              <w:t>(a)</w:t>
            </w:r>
          </w:p>
        </w:tc>
        <w:tc>
          <w:tcPr>
            <w:tcW w:w="1013" w:type="pct"/>
          </w:tcPr>
          <w:p w:rsidR="008E273C" w:rsidRDefault="008E273C" w:rsidP="00D4092F">
            <w:pPr>
              <w:pStyle w:val="BodyText"/>
            </w:pPr>
            <w:r>
              <w:rPr>
                <w:rStyle w:val="Bulletcolour"/>
              </w:rPr>
              <w:t>14.8 million</w:t>
            </w:r>
          </w:p>
        </w:tc>
        <w:tc>
          <w:tcPr>
            <w:tcW w:w="1013" w:type="pct"/>
          </w:tcPr>
          <w:p w:rsidR="008E273C" w:rsidRDefault="008E273C" w:rsidP="00D4092F">
            <w:pPr>
              <w:pStyle w:val="BodyText"/>
            </w:pPr>
            <w:r>
              <w:rPr>
                <w:rStyle w:val="Bulletcolour"/>
              </w:rPr>
              <w:t>26.6 million</w:t>
            </w:r>
          </w:p>
        </w:tc>
        <w:tc>
          <w:tcPr>
            <w:tcW w:w="1013" w:type="pct"/>
          </w:tcPr>
          <w:p w:rsidR="008E273C" w:rsidRDefault="008E273C" w:rsidP="00D4092F">
            <w:pPr>
              <w:pStyle w:val="BodyText"/>
            </w:pPr>
            <w:r>
              <w:rPr>
                <w:rStyle w:val="Bulletcolour"/>
              </w:rPr>
              <w:t>30.6 million</w:t>
            </w:r>
          </w:p>
        </w:tc>
      </w:tr>
      <w:tr w:rsidR="008E273C" w:rsidTr="00D4092F">
        <w:trPr>
          <w:trHeight w:val="60"/>
        </w:trPr>
        <w:tc>
          <w:tcPr>
            <w:tcW w:w="1960" w:type="pct"/>
          </w:tcPr>
          <w:p w:rsidR="008E273C" w:rsidRDefault="008E273C" w:rsidP="00D4092F">
            <w:pPr>
              <w:pStyle w:val="BodyText"/>
            </w:pPr>
            <w:r>
              <w:rPr>
                <w:rStyle w:val="Bulletcolour"/>
              </w:rPr>
              <w:t>Amount paid to vaccination providers</w:t>
            </w:r>
            <w:r>
              <w:rPr>
                <w:rStyle w:val="Bulletcolour"/>
                <w:vertAlign w:val="superscript"/>
              </w:rPr>
              <w:t>(b)</w:t>
            </w:r>
          </w:p>
        </w:tc>
        <w:tc>
          <w:tcPr>
            <w:tcW w:w="1013" w:type="pct"/>
          </w:tcPr>
          <w:p w:rsidR="008E273C" w:rsidRDefault="008E273C" w:rsidP="00D4092F">
            <w:pPr>
              <w:pStyle w:val="BodyText"/>
            </w:pPr>
            <w:r>
              <w:rPr>
                <w:rStyle w:val="Bulletcolour"/>
              </w:rPr>
              <w:t>$9.9 million</w:t>
            </w:r>
          </w:p>
        </w:tc>
        <w:tc>
          <w:tcPr>
            <w:tcW w:w="1013" w:type="pct"/>
          </w:tcPr>
          <w:p w:rsidR="008E273C" w:rsidRDefault="008E273C" w:rsidP="00D4092F">
            <w:pPr>
              <w:pStyle w:val="BodyText"/>
            </w:pPr>
            <w:r>
              <w:rPr>
                <w:rStyle w:val="Bulletcolour"/>
              </w:rPr>
              <w:t>$9.5 million</w:t>
            </w:r>
          </w:p>
        </w:tc>
        <w:tc>
          <w:tcPr>
            <w:tcW w:w="1013" w:type="pct"/>
          </w:tcPr>
          <w:p w:rsidR="008E273C" w:rsidRDefault="008E273C" w:rsidP="00D4092F">
            <w:pPr>
              <w:pStyle w:val="BodyText"/>
            </w:pPr>
            <w:r>
              <w:rPr>
                <w:rStyle w:val="Bulletcolour"/>
              </w:rPr>
              <w:t>$9.3 million</w:t>
            </w:r>
          </w:p>
        </w:tc>
      </w:tr>
    </w:tbl>
    <w:p w:rsidR="008E273C" w:rsidRDefault="008E273C" w:rsidP="00D4092F">
      <w:pPr>
        <w:pStyle w:val="BodyText"/>
      </w:pPr>
      <w:r>
        <w:t>(a)</w:t>
      </w:r>
      <w:r w:rsidR="00D4092F">
        <w:t xml:space="preserve"> </w:t>
      </w:r>
      <w:r>
        <w:t>Vaccine episodes: the number of vaccines administered by vaccination providers and recorded on the Australian Immunisation Register. A vaccine can consist of multiple antigens. For example, the measles, mumps, rubella vaccine has three antigens</w:t>
      </w:r>
    </w:p>
    <w:p w:rsidR="008E273C" w:rsidRDefault="008E273C" w:rsidP="00D4092F">
      <w:pPr>
        <w:pStyle w:val="BodyText"/>
      </w:pPr>
      <w:r>
        <w:t>(b)</w:t>
      </w:r>
      <w:r w:rsidR="00D4092F">
        <w:t xml:space="preserve"> </w:t>
      </w:r>
      <w:r>
        <w:t>Payments are made to eligible vaccination providers on completion of the childhood National Immunisation Program schedule for a child aged under seven years, or for vaccinating a child aged under seven years who is more than two months overdue for their childhood National Immunisation Program schedule vaccines.</w:t>
      </w:r>
    </w:p>
    <w:p w:rsidR="008E273C" w:rsidRDefault="008E273C" w:rsidP="008E273C">
      <w:pPr>
        <w:pStyle w:val="Heading3"/>
      </w:pPr>
      <w:r>
        <w:t>Australian Organ Donor Register</w:t>
      </w:r>
    </w:p>
    <w:p w:rsidR="008E273C" w:rsidRDefault="008E273C" w:rsidP="008E273C">
      <w:pPr>
        <w:pStyle w:val="BodyText"/>
      </w:pPr>
      <w:r>
        <w:t>The Australian Organ Donor Register is a national register that records people’s decisions about becoming organ and/or tissue donors for transplantation after death.</w:t>
      </w:r>
    </w:p>
    <w:p w:rsidR="008E273C" w:rsidRDefault="008E273C" w:rsidP="008E273C">
      <w:pPr>
        <w:pStyle w:val="BodyText"/>
      </w:pPr>
      <w:r>
        <w:t xml:space="preserve">The register enables authorised medical personnel to verify a person’s decision about donating their organs and/or tissue for transplantation. People can register their donation decision online using their Medicare online account through </w:t>
      </w:r>
      <w:proofErr w:type="spellStart"/>
      <w:r>
        <w:t>myGov</w:t>
      </w:r>
      <w:proofErr w:type="spellEnd"/>
      <w:r>
        <w:t xml:space="preserve"> or the Express </w:t>
      </w:r>
      <w:proofErr w:type="gramStart"/>
      <w:r>
        <w:t>Plus</w:t>
      </w:r>
      <w:proofErr w:type="gramEnd"/>
      <w:r>
        <w:t xml:space="preserve"> Medicare mobile app.</w:t>
      </w:r>
    </w:p>
    <w:p w:rsidR="008E273C" w:rsidRDefault="008E273C" w:rsidP="00E42522">
      <w:pPr>
        <w:pStyle w:val="BodyText"/>
      </w:pPr>
      <w:r>
        <w:t>There are two types of organ donor registrations:</w:t>
      </w:r>
    </w:p>
    <w:p w:rsidR="008E273C" w:rsidRDefault="008E273C" w:rsidP="00E42522">
      <w:pPr>
        <w:pStyle w:val="ListBullet"/>
      </w:pPr>
      <w:r>
        <w:t xml:space="preserve">consent registration—when a person aged 18 years or older provides a signed registration form or submits a registration using their Medicare online account through </w:t>
      </w:r>
      <w:proofErr w:type="spellStart"/>
      <w:r>
        <w:t>myGov</w:t>
      </w:r>
      <w:proofErr w:type="spellEnd"/>
      <w:r>
        <w:t xml:space="preserve"> or the Express Plus Medicare mobile app</w:t>
      </w:r>
    </w:p>
    <w:p w:rsidR="008E273C" w:rsidRDefault="008E273C" w:rsidP="00E42522">
      <w:pPr>
        <w:pStyle w:val="ListBullet"/>
      </w:pPr>
      <w:proofErr w:type="gramStart"/>
      <w:r>
        <w:t>intent</w:t>
      </w:r>
      <w:proofErr w:type="gramEnd"/>
      <w:r>
        <w:t xml:space="preserve"> registration—when a person registers their decision to donate through a channel that does not require a signature or electronic authentication—for example, by phone or email.</w:t>
      </w:r>
    </w:p>
    <w:p w:rsidR="008E273C" w:rsidRDefault="008E273C" w:rsidP="008E273C">
      <w:pPr>
        <w:pStyle w:val="BodyText"/>
      </w:pPr>
      <w:r>
        <w:t>Whether registration is by consent or intent, approval will always be sought from the person’s family before proceeding with the donation process.</w:t>
      </w:r>
    </w:p>
    <w:p w:rsidR="008E273C" w:rsidRDefault="008E273C" w:rsidP="008E273C">
      <w:pPr>
        <w:pStyle w:val="BodyText"/>
      </w:pPr>
      <w:r>
        <w:t>Table 23 shows the cumulative totals of the numbers of registrations since the inception of the register.</w:t>
      </w:r>
    </w:p>
    <w:p w:rsidR="008E273C" w:rsidRPr="00D4092F" w:rsidRDefault="00D4092F" w:rsidP="00D4092F">
      <w:pPr>
        <w:pStyle w:val="BodyText"/>
        <w:rPr>
          <w:b/>
        </w:rPr>
      </w:pPr>
      <w:r w:rsidRPr="00D4092F">
        <w:rPr>
          <w:b/>
        </w:rPr>
        <w:t>Table 23:</w:t>
      </w:r>
      <w:r w:rsidR="008E273C" w:rsidRPr="00D4092F">
        <w:rPr>
          <w:b/>
        </w:rPr>
        <w:t xml:space="preserve"> Organ donor registrations</w:t>
      </w:r>
    </w:p>
    <w:tbl>
      <w:tblPr>
        <w:tblStyle w:val="TableGrid"/>
        <w:tblW w:w="5000" w:type="pct"/>
        <w:tblLook w:val="0000" w:firstRow="0" w:lastRow="0" w:firstColumn="0" w:lastColumn="0" w:noHBand="0" w:noVBand="0"/>
        <w:tblCaption w:val="Table 23: Organ donor registrations"/>
        <w:tblDescription w:val="Table 23: Organ donor registrations"/>
      </w:tblPr>
      <w:tblGrid>
        <w:gridCol w:w="4351"/>
        <w:gridCol w:w="2249"/>
        <w:gridCol w:w="2248"/>
        <w:gridCol w:w="2248"/>
      </w:tblGrid>
      <w:tr w:rsidR="008E273C" w:rsidTr="00D4092F">
        <w:trPr>
          <w:trHeight w:val="60"/>
          <w:tblHeader/>
        </w:trPr>
        <w:tc>
          <w:tcPr>
            <w:tcW w:w="1960" w:type="pct"/>
          </w:tcPr>
          <w:p w:rsidR="008E273C" w:rsidRPr="00D4092F" w:rsidRDefault="008E273C" w:rsidP="00D4092F">
            <w:pPr>
              <w:pStyle w:val="BodyText"/>
              <w:rPr>
                <w:b/>
              </w:rPr>
            </w:pPr>
          </w:p>
        </w:tc>
        <w:tc>
          <w:tcPr>
            <w:tcW w:w="1013" w:type="pct"/>
          </w:tcPr>
          <w:p w:rsidR="008E273C" w:rsidRPr="00D4092F" w:rsidRDefault="008E273C" w:rsidP="00D4092F">
            <w:pPr>
              <w:pStyle w:val="BodyText"/>
              <w:rPr>
                <w:b/>
              </w:rPr>
            </w:pPr>
            <w:r w:rsidRPr="00D4092F">
              <w:rPr>
                <w:rStyle w:val="Bulletcolour"/>
                <w:b/>
              </w:rPr>
              <w:t>2017–18</w:t>
            </w:r>
          </w:p>
        </w:tc>
        <w:tc>
          <w:tcPr>
            <w:tcW w:w="1013" w:type="pct"/>
          </w:tcPr>
          <w:p w:rsidR="008E273C" w:rsidRPr="00D4092F" w:rsidRDefault="008E273C" w:rsidP="00D4092F">
            <w:pPr>
              <w:pStyle w:val="BodyText"/>
              <w:rPr>
                <w:b/>
              </w:rPr>
            </w:pPr>
            <w:r w:rsidRPr="00D4092F">
              <w:rPr>
                <w:rStyle w:val="Bulletcolour"/>
                <w:b/>
              </w:rPr>
              <w:t>2018–19</w:t>
            </w:r>
          </w:p>
        </w:tc>
        <w:tc>
          <w:tcPr>
            <w:tcW w:w="1013" w:type="pct"/>
          </w:tcPr>
          <w:p w:rsidR="008E273C" w:rsidRPr="00D4092F" w:rsidRDefault="008E273C" w:rsidP="00D4092F">
            <w:pPr>
              <w:pStyle w:val="BodyText"/>
              <w:rPr>
                <w:b/>
              </w:rPr>
            </w:pPr>
            <w:r w:rsidRPr="00D4092F">
              <w:rPr>
                <w:rStyle w:val="Bulletcolour"/>
                <w:b/>
              </w:rPr>
              <w:t>2019–20</w:t>
            </w:r>
          </w:p>
        </w:tc>
      </w:tr>
      <w:tr w:rsidR="008E273C" w:rsidTr="00D4092F">
        <w:trPr>
          <w:trHeight w:val="60"/>
        </w:trPr>
        <w:tc>
          <w:tcPr>
            <w:tcW w:w="1960" w:type="pct"/>
          </w:tcPr>
          <w:p w:rsidR="008E273C" w:rsidRDefault="008E273C" w:rsidP="00D4092F">
            <w:pPr>
              <w:pStyle w:val="BodyText"/>
            </w:pPr>
            <w:r>
              <w:rPr>
                <w:rStyle w:val="Bulletcolour"/>
              </w:rPr>
              <w:t>Consent registrations</w:t>
            </w:r>
            <w:r>
              <w:rPr>
                <w:rStyle w:val="Bulletcolour"/>
                <w:vertAlign w:val="superscript"/>
              </w:rPr>
              <w:t>(a)</w:t>
            </w:r>
          </w:p>
        </w:tc>
        <w:tc>
          <w:tcPr>
            <w:tcW w:w="1013" w:type="pct"/>
          </w:tcPr>
          <w:p w:rsidR="008E273C" w:rsidRDefault="008E273C" w:rsidP="00D4092F">
            <w:pPr>
              <w:pStyle w:val="BodyText"/>
            </w:pPr>
            <w:r>
              <w:rPr>
                <w:rStyle w:val="Bulletcolour"/>
              </w:rPr>
              <w:t>2,300,828</w:t>
            </w:r>
          </w:p>
        </w:tc>
        <w:tc>
          <w:tcPr>
            <w:tcW w:w="1013" w:type="pct"/>
          </w:tcPr>
          <w:p w:rsidR="008E273C" w:rsidRDefault="008E273C" w:rsidP="00D4092F">
            <w:pPr>
              <w:pStyle w:val="BodyText"/>
            </w:pPr>
            <w:r>
              <w:rPr>
                <w:rStyle w:val="Bulletcolour"/>
              </w:rPr>
              <w:t>2,471,683</w:t>
            </w:r>
          </w:p>
        </w:tc>
        <w:tc>
          <w:tcPr>
            <w:tcW w:w="1013" w:type="pct"/>
          </w:tcPr>
          <w:p w:rsidR="008E273C" w:rsidRDefault="008E273C" w:rsidP="00D4092F">
            <w:pPr>
              <w:pStyle w:val="BodyText"/>
            </w:pPr>
            <w:r>
              <w:rPr>
                <w:rStyle w:val="Bulletcolour"/>
              </w:rPr>
              <w:t>2,632,151</w:t>
            </w:r>
          </w:p>
        </w:tc>
      </w:tr>
      <w:tr w:rsidR="008E273C" w:rsidTr="00D4092F">
        <w:trPr>
          <w:trHeight w:val="60"/>
        </w:trPr>
        <w:tc>
          <w:tcPr>
            <w:tcW w:w="1960" w:type="pct"/>
          </w:tcPr>
          <w:p w:rsidR="008E273C" w:rsidRDefault="008E273C" w:rsidP="00D4092F">
            <w:pPr>
              <w:pStyle w:val="BodyText"/>
            </w:pPr>
            <w:r>
              <w:rPr>
                <w:rStyle w:val="Bulletcolour"/>
              </w:rPr>
              <w:t>Intent registrations</w:t>
            </w:r>
            <w:r>
              <w:rPr>
                <w:rStyle w:val="Bulletcolour"/>
                <w:vertAlign w:val="superscript"/>
              </w:rPr>
              <w:t>(b)</w:t>
            </w:r>
            <w:r>
              <w:rPr>
                <w:rStyle w:val="Bulletcolour"/>
              </w:rPr>
              <w:t xml:space="preserve"> at 30 June</w:t>
            </w:r>
          </w:p>
        </w:tc>
        <w:tc>
          <w:tcPr>
            <w:tcW w:w="1013" w:type="pct"/>
          </w:tcPr>
          <w:p w:rsidR="008E273C" w:rsidRDefault="008E273C" w:rsidP="00D4092F">
            <w:pPr>
              <w:pStyle w:val="BodyText"/>
            </w:pPr>
            <w:r>
              <w:rPr>
                <w:rStyle w:val="Bulletcolour"/>
              </w:rPr>
              <w:t>4,264,541</w:t>
            </w:r>
          </w:p>
        </w:tc>
        <w:tc>
          <w:tcPr>
            <w:tcW w:w="1013" w:type="pct"/>
          </w:tcPr>
          <w:p w:rsidR="008E273C" w:rsidRDefault="008E273C" w:rsidP="00D4092F">
            <w:pPr>
              <w:pStyle w:val="BodyText"/>
            </w:pPr>
            <w:r>
              <w:rPr>
                <w:rStyle w:val="Bulletcolour"/>
              </w:rPr>
              <w:t>4,294,301</w:t>
            </w:r>
          </w:p>
        </w:tc>
        <w:tc>
          <w:tcPr>
            <w:tcW w:w="1013" w:type="pct"/>
          </w:tcPr>
          <w:p w:rsidR="008E273C" w:rsidRDefault="008E273C" w:rsidP="00D4092F">
            <w:pPr>
              <w:pStyle w:val="BodyText"/>
            </w:pPr>
            <w:r>
              <w:rPr>
                <w:rStyle w:val="Bulletcolour"/>
              </w:rPr>
              <w:t>4,321,011</w:t>
            </w:r>
          </w:p>
        </w:tc>
      </w:tr>
      <w:tr w:rsidR="008E273C" w:rsidTr="00D4092F">
        <w:trPr>
          <w:trHeight w:val="60"/>
        </w:trPr>
        <w:tc>
          <w:tcPr>
            <w:tcW w:w="1960" w:type="pct"/>
          </w:tcPr>
          <w:p w:rsidR="008E273C" w:rsidRPr="001505B8" w:rsidRDefault="008E273C" w:rsidP="00D4092F">
            <w:pPr>
              <w:pStyle w:val="BodyText"/>
              <w:rPr>
                <w:b/>
              </w:rPr>
            </w:pPr>
            <w:r w:rsidRPr="001505B8">
              <w:rPr>
                <w:rStyle w:val="Bulletcolour"/>
                <w:b/>
              </w:rPr>
              <w:t>Total registrations</w:t>
            </w:r>
          </w:p>
        </w:tc>
        <w:tc>
          <w:tcPr>
            <w:tcW w:w="1013" w:type="pct"/>
          </w:tcPr>
          <w:p w:rsidR="008E273C" w:rsidRPr="001505B8" w:rsidRDefault="008E273C" w:rsidP="00D4092F">
            <w:pPr>
              <w:pStyle w:val="BodyText"/>
              <w:rPr>
                <w:b/>
              </w:rPr>
            </w:pPr>
            <w:r w:rsidRPr="001505B8">
              <w:rPr>
                <w:rStyle w:val="Bulletcolour"/>
                <w:b/>
              </w:rPr>
              <w:t>6,565,369</w:t>
            </w:r>
          </w:p>
        </w:tc>
        <w:tc>
          <w:tcPr>
            <w:tcW w:w="1013" w:type="pct"/>
          </w:tcPr>
          <w:p w:rsidR="008E273C" w:rsidRPr="001505B8" w:rsidRDefault="008E273C" w:rsidP="00D4092F">
            <w:pPr>
              <w:pStyle w:val="BodyText"/>
              <w:rPr>
                <w:b/>
              </w:rPr>
            </w:pPr>
            <w:r w:rsidRPr="001505B8">
              <w:rPr>
                <w:rStyle w:val="Bulletcolour"/>
                <w:b/>
              </w:rPr>
              <w:t>6,765,984</w:t>
            </w:r>
          </w:p>
        </w:tc>
        <w:tc>
          <w:tcPr>
            <w:tcW w:w="1013" w:type="pct"/>
          </w:tcPr>
          <w:p w:rsidR="008E273C" w:rsidRPr="001505B8" w:rsidRDefault="008E273C" w:rsidP="00D4092F">
            <w:pPr>
              <w:pStyle w:val="BodyText"/>
              <w:rPr>
                <w:b/>
              </w:rPr>
            </w:pPr>
            <w:r w:rsidRPr="001505B8">
              <w:rPr>
                <w:rStyle w:val="Bulletcolour"/>
                <w:b/>
              </w:rPr>
              <w:t>6,953,162</w:t>
            </w:r>
          </w:p>
        </w:tc>
      </w:tr>
      <w:tr w:rsidR="008E273C" w:rsidTr="00D4092F">
        <w:trPr>
          <w:trHeight w:val="60"/>
        </w:trPr>
        <w:tc>
          <w:tcPr>
            <w:tcW w:w="1960" w:type="pct"/>
          </w:tcPr>
          <w:p w:rsidR="008E273C" w:rsidRDefault="008E273C" w:rsidP="00D4092F">
            <w:pPr>
              <w:pStyle w:val="BodyText"/>
            </w:pPr>
            <w:r>
              <w:rPr>
                <w:rStyle w:val="Bulletcolour"/>
              </w:rPr>
              <w:t xml:space="preserve">Enquiry line calls received </w:t>
            </w:r>
          </w:p>
        </w:tc>
        <w:tc>
          <w:tcPr>
            <w:tcW w:w="1013" w:type="pct"/>
          </w:tcPr>
          <w:p w:rsidR="008E273C" w:rsidRDefault="008E273C" w:rsidP="00D4092F">
            <w:pPr>
              <w:pStyle w:val="BodyText"/>
            </w:pPr>
            <w:r>
              <w:rPr>
                <w:rStyle w:val="Bulletcolour"/>
              </w:rPr>
              <w:t>13,788</w:t>
            </w:r>
          </w:p>
        </w:tc>
        <w:tc>
          <w:tcPr>
            <w:tcW w:w="1013" w:type="pct"/>
          </w:tcPr>
          <w:p w:rsidR="008E273C" w:rsidRDefault="008E273C" w:rsidP="00D4092F">
            <w:pPr>
              <w:pStyle w:val="BodyText"/>
            </w:pPr>
            <w:r>
              <w:rPr>
                <w:rStyle w:val="Bulletcolour"/>
              </w:rPr>
              <w:t>14,750</w:t>
            </w:r>
          </w:p>
        </w:tc>
        <w:tc>
          <w:tcPr>
            <w:tcW w:w="1013" w:type="pct"/>
          </w:tcPr>
          <w:p w:rsidR="008E273C" w:rsidRDefault="008E273C" w:rsidP="00D4092F">
            <w:pPr>
              <w:pStyle w:val="BodyText"/>
            </w:pPr>
            <w:r>
              <w:rPr>
                <w:rStyle w:val="Bulletcolour"/>
              </w:rPr>
              <w:t>12,216</w:t>
            </w:r>
          </w:p>
        </w:tc>
      </w:tr>
    </w:tbl>
    <w:p w:rsidR="008E273C" w:rsidRDefault="008E273C" w:rsidP="00D4092F">
      <w:pPr>
        <w:pStyle w:val="BodyText"/>
      </w:pPr>
      <w:r>
        <w:lastRenderedPageBreak/>
        <w:t>(a)</w:t>
      </w:r>
      <w:r w:rsidR="00D4092F">
        <w:t xml:space="preserve"> </w:t>
      </w:r>
      <w:r>
        <w:t xml:space="preserve">Consent via a signed registration form using </w:t>
      </w:r>
      <w:proofErr w:type="spellStart"/>
      <w:r>
        <w:t>myGov</w:t>
      </w:r>
      <w:proofErr w:type="spellEnd"/>
      <w:r>
        <w:t xml:space="preserve"> or the Express </w:t>
      </w:r>
      <w:proofErr w:type="gramStart"/>
      <w:r>
        <w:t>Plus</w:t>
      </w:r>
      <w:proofErr w:type="gramEnd"/>
      <w:r>
        <w:t xml:space="preserve"> Medicare Mobile app.</w:t>
      </w:r>
    </w:p>
    <w:p w:rsidR="008E273C" w:rsidRDefault="008E273C" w:rsidP="00D4092F">
      <w:pPr>
        <w:pStyle w:val="BodyText"/>
      </w:pPr>
      <w:r>
        <w:t>(b)</w:t>
      </w:r>
      <w:r w:rsidR="00D4092F">
        <w:t xml:space="preserve"> </w:t>
      </w:r>
      <w:r>
        <w:t>Consent that does not require a signature or electronic authentication via phone or email.</w:t>
      </w:r>
    </w:p>
    <w:p w:rsidR="008E273C" w:rsidRDefault="008E273C" w:rsidP="008E273C">
      <w:pPr>
        <w:pStyle w:val="Heading3"/>
      </w:pPr>
      <w:r>
        <w:t>National Health Funding Administrator Payments System</w:t>
      </w:r>
    </w:p>
    <w:p w:rsidR="008E273C" w:rsidRDefault="008E273C" w:rsidP="008E273C">
      <w:pPr>
        <w:pStyle w:val="BodyText"/>
      </w:pPr>
      <w:r>
        <w:t>The National Health Funding Administrator Payments System facilitates payments from the Australian Government to states and territories for public hospital services through the National Health Funding Pool, as required under the National Health Reform Agreement. On 1 October 2019, responsibility for making payments transferred from the agency to the National Health Funding Administrator.</w:t>
      </w:r>
    </w:p>
    <w:p w:rsidR="008E273C" w:rsidRDefault="008E273C" w:rsidP="008E273C">
      <w:pPr>
        <w:pStyle w:val="BodyText"/>
      </w:pPr>
      <w:r>
        <w:t>Services Australia made payments of $11.8 billion from 1 July 2019 to 30 September 2019.</w:t>
      </w:r>
    </w:p>
    <w:p w:rsidR="008E273C" w:rsidRDefault="008E273C" w:rsidP="008E273C">
      <w:pPr>
        <w:pStyle w:val="Heading2"/>
      </w:pPr>
      <w:r>
        <w:t>Medical indemnity</w:t>
      </w:r>
    </w:p>
    <w:p w:rsidR="008E273C" w:rsidRDefault="008E273C" w:rsidP="008E273C">
      <w:pPr>
        <w:pStyle w:val="BodyText"/>
      </w:pPr>
      <w:r>
        <w:t>The Government’s medical indemnity framework is designed to strengthen the longer-term viability and success of the medical insurance industry by indemnifying medical practitioners in certain circumstances.</w:t>
      </w:r>
    </w:p>
    <w:p w:rsidR="008E273C" w:rsidRDefault="008E273C" w:rsidP="008E273C">
      <w:pPr>
        <w:pStyle w:val="Heading3"/>
      </w:pPr>
      <w:r>
        <w:t>High Cost Claims Indemnity Scheme</w:t>
      </w:r>
    </w:p>
    <w:p w:rsidR="008E273C" w:rsidRDefault="008E273C" w:rsidP="008E273C">
      <w:pPr>
        <w:pStyle w:val="BodyText"/>
      </w:pPr>
      <w:r>
        <w:t>Under the High Cost Claims Indemnity Scheme, the Government funds 50 per cent of the cost of medical indemnity insurance payouts that are greater than the threshold amount, up to the limit of the medical practitioner’s insurance cover.</w:t>
      </w:r>
    </w:p>
    <w:p w:rsidR="008E273C" w:rsidRPr="00D4092F" w:rsidRDefault="00D4092F" w:rsidP="00D4092F">
      <w:pPr>
        <w:pStyle w:val="BodyText"/>
        <w:rPr>
          <w:b/>
        </w:rPr>
      </w:pPr>
      <w:r w:rsidRPr="00D4092F">
        <w:rPr>
          <w:b/>
        </w:rPr>
        <w:t>Table 24:</w:t>
      </w:r>
      <w:r w:rsidR="008E273C" w:rsidRPr="00D4092F">
        <w:rPr>
          <w:b/>
        </w:rPr>
        <w:t xml:space="preserve"> High Cost Claims Indemnity Scheme</w:t>
      </w:r>
    </w:p>
    <w:tbl>
      <w:tblPr>
        <w:tblStyle w:val="TableGrid"/>
        <w:tblW w:w="5000" w:type="pct"/>
        <w:tblLook w:val="0000" w:firstRow="0" w:lastRow="0" w:firstColumn="0" w:lastColumn="0" w:noHBand="0" w:noVBand="0"/>
        <w:tblCaption w:val="Table 24: High Cost Claims Indemnity Scheme"/>
        <w:tblDescription w:val="Table 24: High Cost Claims Indemnity Scheme"/>
      </w:tblPr>
      <w:tblGrid>
        <w:gridCol w:w="3374"/>
        <w:gridCol w:w="2574"/>
        <w:gridCol w:w="2574"/>
        <w:gridCol w:w="2574"/>
      </w:tblGrid>
      <w:tr w:rsidR="008E273C" w:rsidTr="00D4092F">
        <w:trPr>
          <w:trHeight w:val="60"/>
          <w:tblHeader/>
        </w:trPr>
        <w:tc>
          <w:tcPr>
            <w:tcW w:w="1520" w:type="pct"/>
          </w:tcPr>
          <w:p w:rsidR="008E273C" w:rsidRPr="00D4092F" w:rsidRDefault="008E273C" w:rsidP="00D4092F">
            <w:pPr>
              <w:pStyle w:val="BodyText"/>
              <w:rPr>
                <w:b/>
              </w:rPr>
            </w:pPr>
            <w:r w:rsidRPr="00D4092F">
              <w:rPr>
                <w:rStyle w:val="Bulletcolour"/>
                <w:b/>
              </w:rPr>
              <w:t> </w:t>
            </w:r>
          </w:p>
        </w:tc>
        <w:tc>
          <w:tcPr>
            <w:tcW w:w="1160" w:type="pct"/>
          </w:tcPr>
          <w:p w:rsidR="008E273C" w:rsidRPr="00D4092F" w:rsidRDefault="008E273C" w:rsidP="00D4092F">
            <w:pPr>
              <w:pStyle w:val="BodyText"/>
              <w:rPr>
                <w:b/>
              </w:rPr>
            </w:pPr>
            <w:r w:rsidRPr="00D4092F">
              <w:rPr>
                <w:rStyle w:val="Bulletcolour"/>
                <w:b/>
              </w:rPr>
              <w:t>2017–18</w:t>
            </w:r>
          </w:p>
        </w:tc>
        <w:tc>
          <w:tcPr>
            <w:tcW w:w="1160" w:type="pct"/>
          </w:tcPr>
          <w:p w:rsidR="008E273C" w:rsidRPr="00D4092F" w:rsidRDefault="008E273C" w:rsidP="00D4092F">
            <w:pPr>
              <w:pStyle w:val="BodyText"/>
              <w:rPr>
                <w:b/>
              </w:rPr>
            </w:pPr>
            <w:r w:rsidRPr="00D4092F">
              <w:rPr>
                <w:rStyle w:val="Bulletcolour"/>
                <w:b/>
              </w:rPr>
              <w:t>2018–19</w:t>
            </w:r>
          </w:p>
        </w:tc>
        <w:tc>
          <w:tcPr>
            <w:tcW w:w="1160" w:type="pct"/>
          </w:tcPr>
          <w:p w:rsidR="008E273C" w:rsidRPr="00D4092F" w:rsidRDefault="008E273C" w:rsidP="00D4092F">
            <w:pPr>
              <w:pStyle w:val="BodyText"/>
              <w:rPr>
                <w:b/>
              </w:rPr>
            </w:pPr>
            <w:r w:rsidRPr="00D4092F">
              <w:rPr>
                <w:rStyle w:val="Bulletcolour"/>
                <w:b/>
              </w:rPr>
              <w:t>2019–20</w:t>
            </w:r>
          </w:p>
        </w:tc>
      </w:tr>
      <w:tr w:rsidR="008E273C" w:rsidTr="00D4092F">
        <w:trPr>
          <w:trHeight w:val="60"/>
        </w:trPr>
        <w:tc>
          <w:tcPr>
            <w:tcW w:w="1520" w:type="pct"/>
          </w:tcPr>
          <w:p w:rsidR="008E273C" w:rsidRDefault="008E273C" w:rsidP="00D4092F">
            <w:pPr>
              <w:pStyle w:val="BodyText"/>
            </w:pPr>
            <w:r>
              <w:rPr>
                <w:rStyle w:val="Bulletcolour"/>
              </w:rPr>
              <w:t>Claims received</w:t>
            </w:r>
          </w:p>
        </w:tc>
        <w:tc>
          <w:tcPr>
            <w:tcW w:w="1160" w:type="pct"/>
          </w:tcPr>
          <w:p w:rsidR="008E273C" w:rsidRDefault="008E273C" w:rsidP="00D4092F">
            <w:pPr>
              <w:pStyle w:val="BodyText"/>
            </w:pPr>
            <w:r>
              <w:rPr>
                <w:rStyle w:val="Bulletcolour"/>
              </w:rPr>
              <w:t>433</w:t>
            </w:r>
          </w:p>
        </w:tc>
        <w:tc>
          <w:tcPr>
            <w:tcW w:w="1160" w:type="pct"/>
          </w:tcPr>
          <w:p w:rsidR="008E273C" w:rsidRDefault="008E273C" w:rsidP="00D4092F">
            <w:pPr>
              <w:pStyle w:val="BodyText"/>
            </w:pPr>
            <w:r>
              <w:rPr>
                <w:rStyle w:val="Bulletcolour"/>
              </w:rPr>
              <w:t>444</w:t>
            </w:r>
          </w:p>
        </w:tc>
        <w:tc>
          <w:tcPr>
            <w:tcW w:w="1160" w:type="pct"/>
          </w:tcPr>
          <w:p w:rsidR="008E273C" w:rsidRDefault="008E273C" w:rsidP="00D4092F">
            <w:pPr>
              <w:pStyle w:val="BodyText"/>
            </w:pPr>
            <w:r>
              <w:rPr>
                <w:rStyle w:val="Bulletcolour"/>
              </w:rPr>
              <w:t>410</w:t>
            </w:r>
          </w:p>
        </w:tc>
      </w:tr>
      <w:tr w:rsidR="008E273C" w:rsidTr="00D4092F">
        <w:trPr>
          <w:trHeight w:val="60"/>
        </w:trPr>
        <w:tc>
          <w:tcPr>
            <w:tcW w:w="1520" w:type="pct"/>
          </w:tcPr>
          <w:p w:rsidR="008E273C" w:rsidRDefault="008E273C" w:rsidP="00D4092F">
            <w:pPr>
              <w:pStyle w:val="BodyText"/>
            </w:pPr>
            <w:r>
              <w:rPr>
                <w:rStyle w:val="Bulletcolour"/>
              </w:rPr>
              <w:t>Benefits paid</w:t>
            </w:r>
          </w:p>
        </w:tc>
        <w:tc>
          <w:tcPr>
            <w:tcW w:w="1160" w:type="pct"/>
          </w:tcPr>
          <w:p w:rsidR="008E273C" w:rsidRDefault="008E273C" w:rsidP="00D4092F">
            <w:pPr>
              <w:pStyle w:val="BodyText"/>
            </w:pPr>
            <w:r>
              <w:rPr>
                <w:rStyle w:val="Bulletcolour"/>
              </w:rPr>
              <w:t>$58.6 million</w:t>
            </w:r>
          </w:p>
        </w:tc>
        <w:tc>
          <w:tcPr>
            <w:tcW w:w="1160" w:type="pct"/>
          </w:tcPr>
          <w:p w:rsidR="008E273C" w:rsidRDefault="008E273C" w:rsidP="00D4092F">
            <w:pPr>
              <w:pStyle w:val="BodyText"/>
            </w:pPr>
            <w:r>
              <w:rPr>
                <w:rStyle w:val="Bulletcolour"/>
              </w:rPr>
              <w:t>$70.4 million</w:t>
            </w:r>
          </w:p>
        </w:tc>
        <w:tc>
          <w:tcPr>
            <w:tcW w:w="1160" w:type="pct"/>
          </w:tcPr>
          <w:p w:rsidR="008E273C" w:rsidRDefault="008E273C" w:rsidP="00D4092F">
            <w:pPr>
              <w:pStyle w:val="BodyText"/>
            </w:pPr>
            <w:r>
              <w:rPr>
                <w:rStyle w:val="Bulletcolour"/>
              </w:rPr>
              <w:t>$68.1 million</w:t>
            </w:r>
          </w:p>
        </w:tc>
      </w:tr>
    </w:tbl>
    <w:p w:rsidR="008E273C" w:rsidRDefault="008E273C" w:rsidP="008E273C">
      <w:pPr>
        <w:pStyle w:val="Heading3"/>
      </w:pPr>
      <w:r>
        <w:t>Premium Support Scheme</w:t>
      </w:r>
    </w:p>
    <w:p w:rsidR="008E273C" w:rsidRDefault="008E273C" w:rsidP="008E273C">
      <w:pPr>
        <w:pStyle w:val="BodyText"/>
      </w:pPr>
      <w:r>
        <w:t>Under the Premium Support Scheme, eligible medical practitioners receive a subsidised reduction in their insurance premiums. Insurers are then reimbursed the subsidised amount.</w:t>
      </w:r>
    </w:p>
    <w:p w:rsidR="008E273C" w:rsidRPr="00D4092F" w:rsidRDefault="00D4092F" w:rsidP="00D4092F">
      <w:pPr>
        <w:pStyle w:val="BodyText"/>
        <w:rPr>
          <w:b/>
        </w:rPr>
      </w:pPr>
      <w:r w:rsidRPr="00D4092F">
        <w:rPr>
          <w:b/>
        </w:rPr>
        <w:t>Table 25:</w:t>
      </w:r>
      <w:r w:rsidR="008E273C" w:rsidRPr="00D4092F">
        <w:rPr>
          <w:b/>
        </w:rPr>
        <w:t xml:space="preserve"> Premium Support Scheme</w:t>
      </w:r>
    </w:p>
    <w:tbl>
      <w:tblPr>
        <w:tblStyle w:val="TableGrid"/>
        <w:tblW w:w="5000" w:type="pct"/>
        <w:tblLook w:val="0000" w:firstRow="0" w:lastRow="0" w:firstColumn="0" w:lastColumn="0" w:noHBand="0" w:noVBand="0"/>
        <w:tblCaption w:val="Table 25: Premium Support Scheme"/>
        <w:tblDescription w:val="Table 25: Premium Support Scheme"/>
      </w:tblPr>
      <w:tblGrid>
        <w:gridCol w:w="3374"/>
        <w:gridCol w:w="2574"/>
        <w:gridCol w:w="2574"/>
        <w:gridCol w:w="2574"/>
      </w:tblGrid>
      <w:tr w:rsidR="008E273C" w:rsidTr="00D4092F">
        <w:trPr>
          <w:trHeight w:val="60"/>
          <w:tblHeader/>
        </w:trPr>
        <w:tc>
          <w:tcPr>
            <w:tcW w:w="1520" w:type="pct"/>
          </w:tcPr>
          <w:p w:rsidR="008E273C" w:rsidRPr="00D4092F" w:rsidRDefault="008E273C" w:rsidP="00D4092F">
            <w:pPr>
              <w:pStyle w:val="BodyText"/>
              <w:rPr>
                <w:b/>
              </w:rPr>
            </w:pPr>
            <w:r w:rsidRPr="00D4092F">
              <w:rPr>
                <w:rStyle w:val="Bulletcolour"/>
                <w:b/>
              </w:rPr>
              <w:t> </w:t>
            </w:r>
          </w:p>
        </w:tc>
        <w:tc>
          <w:tcPr>
            <w:tcW w:w="1160" w:type="pct"/>
          </w:tcPr>
          <w:p w:rsidR="008E273C" w:rsidRPr="00D4092F" w:rsidRDefault="008E273C" w:rsidP="00D4092F">
            <w:pPr>
              <w:pStyle w:val="BodyText"/>
              <w:rPr>
                <w:b/>
              </w:rPr>
            </w:pPr>
            <w:r w:rsidRPr="00D4092F">
              <w:rPr>
                <w:rStyle w:val="Bulletcolour"/>
                <w:b/>
              </w:rPr>
              <w:t>2017–18</w:t>
            </w:r>
          </w:p>
        </w:tc>
        <w:tc>
          <w:tcPr>
            <w:tcW w:w="1160" w:type="pct"/>
          </w:tcPr>
          <w:p w:rsidR="008E273C" w:rsidRPr="00D4092F" w:rsidRDefault="008E273C" w:rsidP="00D4092F">
            <w:pPr>
              <w:pStyle w:val="BodyText"/>
              <w:rPr>
                <w:b/>
              </w:rPr>
            </w:pPr>
            <w:r w:rsidRPr="00D4092F">
              <w:rPr>
                <w:rStyle w:val="Bulletcolour"/>
                <w:b/>
              </w:rPr>
              <w:t>2018–19</w:t>
            </w:r>
          </w:p>
        </w:tc>
        <w:tc>
          <w:tcPr>
            <w:tcW w:w="1160" w:type="pct"/>
          </w:tcPr>
          <w:p w:rsidR="008E273C" w:rsidRPr="00D4092F" w:rsidRDefault="008E273C" w:rsidP="00D4092F">
            <w:pPr>
              <w:pStyle w:val="BodyText"/>
              <w:rPr>
                <w:b/>
              </w:rPr>
            </w:pPr>
            <w:r w:rsidRPr="00D4092F">
              <w:rPr>
                <w:rStyle w:val="Bulletcolour"/>
                <w:b/>
              </w:rPr>
              <w:t>2019–20</w:t>
            </w:r>
          </w:p>
        </w:tc>
      </w:tr>
      <w:tr w:rsidR="008E273C" w:rsidTr="00D4092F">
        <w:trPr>
          <w:trHeight w:val="60"/>
        </w:trPr>
        <w:tc>
          <w:tcPr>
            <w:tcW w:w="1520" w:type="pct"/>
          </w:tcPr>
          <w:p w:rsidR="008E273C" w:rsidRDefault="008E273C" w:rsidP="00D4092F">
            <w:pPr>
              <w:pStyle w:val="BodyText"/>
            </w:pPr>
            <w:r>
              <w:rPr>
                <w:rStyle w:val="Bulletcolour"/>
              </w:rPr>
              <w:t>Eligible practitioners</w:t>
            </w:r>
          </w:p>
        </w:tc>
        <w:tc>
          <w:tcPr>
            <w:tcW w:w="1160" w:type="pct"/>
          </w:tcPr>
          <w:p w:rsidR="008E273C" w:rsidRDefault="008E273C" w:rsidP="00D4092F">
            <w:pPr>
              <w:pStyle w:val="BodyText"/>
            </w:pPr>
            <w:r>
              <w:rPr>
                <w:rStyle w:val="Bulletcolour"/>
              </w:rPr>
              <w:t>985</w:t>
            </w:r>
          </w:p>
        </w:tc>
        <w:tc>
          <w:tcPr>
            <w:tcW w:w="1160" w:type="pct"/>
          </w:tcPr>
          <w:p w:rsidR="008E273C" w:rsidRDefault="008E273C" w:rsidP="00D4092F">
            <w:pPr>
              <w:pStyle w:val="BodyText"/>
            </w:pPr>
            <w:r>
              <w:rPr>
                <w:rStyle w:val="Bulletcolour"/>
              </w:rPr>
              <w:t>1,004</w:t>
            </w:r>
          </w:p>
        </w:tc>
        <w:tc>
          <w:tcPr>
            <w:tcW w:w="1160" w:type="pct"/>
          </w:tcPr>
          <w:p w:rsidR="008E273C" w:rsidRDefault="008E273C" w:rsidP="00D4092F">
            <w:pPr>
              <w:pStyle w:val="BodyText"/>
            </w:pPr>
            <w:r>
              <w:rPr>
                <w:rStyle w:val="Bulletcolour"/>
              </w:rPr>
              <w:t>1,060</w:t>
            </w:r>
          </w:p>
        </w:tc>
      </w:tr>
      <w:tr w:rsidR="008E273C" w:rsidTr="00D4092F">
        <w:trPr>
          <w:trHeight w:val="60"/>
        </w:trPr>
        <w:tc>
          <w:tcPr>
            <w:tcW w:w="1520" w:type="pct"/>
          </w:tcPr>
          <w:p w:rsidR="008E273C" w:rsidRDefault="008E273C" w:rsidP="00D4092F">
            <w:pPr>
              <w:pStyle w:val="BodyText"/>
            </w:pPr>
            <w:r>
              <w:rPr>
                <w:rStyle w:val="Bulletcolour"/>
              </w:rPr>
              <w:t>Amount paid</w:t>
            </w:r>
          </w:p>
        </w:tc>
        <w:tc>
          <w:tcPr>
            <w:tcW w:w="1160" w:type="pct"/>
          </w:tcPr>
          <w:p w:rsidR="008E273C" w:rsidRDefault="008E273C" w:rsidP="00D4092F">
            <w:pPr>
              <w:pStyle w:val="BodyText"/>
            </w:pPr>
            <w:r>
              <w:rPr>
                <w:rStyle w:val="Bulletcolour"/>
              </w:rPr>
              <w:t>$8.2 million</w:t>
            </w:r>
          </w:p>
        </w:tc>
        <w:tc>
          <w:tcPr>
            <w:tcW w:w="1160" w:type="pct"/>
          </w:tcPr>
          <w:p w:rsidR="008E273C" w:rsidRDefault="008E273C" w:rsidP="00D4092F">
            <w:pPr>
              <w:pStyle w:val="BodyText"/>
            </w:pPr>
            <w:r>
              <w:rPr>
                <w:rStyle w:val="Bulletcolour"/>
              </w:rPr>
              <w:t>$7.2 million</w:t>
            </w:r>
          </w:p>
        </w:tc>
        <w:tc>
          <w:tcPr>
            <w:tcW w:w="1160" w:type="pct"/>
          </w:tcPr>
          <w:p w:rsidR="008E273C" w:rsidRDefault="008E273C" w:rsidP="00D4092F">
            <w:pPr>
              <w:pStyle w:val="BodyText"/>
            </w:pPr>
            <w:r>
              <w:rPr>
                <w:rStyle w:val="Bulletcolour"/>
              </w:rPr>
              <w:t>$9.7 million</w:t>
            </w:r>
          </w:p>
        </w:tc>
      </w:tr>
      <w:tr w:rsidR="008E273C" w:rsidTr="00D4092F">
        <w:trPr>
          <w:trHeight w:val="60"/>
        </w:trPr>
        <w:tc>
          <w:tcPr>
            <w:tcW w:w="1520" w:type="pct"/>
          </w:tcPr>
          <w:p w:rsidR="008E273C" w:rsidRDefault="008E273C" w:rsidP="00D4092F">
            <w:pPr>
              <w:pStyle w:val="BodyText"/>
            </w:pPr>
            <w:r>
              <w:rPr>
                <w:rStyle w:val="Bulletcolour"/>
              </w:rPr>
              <w:t>Administration fees</w:t>
            </w:r>
          </w:p>
        </w:tc>
        <w:tc>
          <w:tcPr>
            <w:tcW w:w="1160" w:type="pct"/>
          </w:tcPr>
          <w:p w:rsidR="008E273C" w:rsidRDefault="008E273C" w:rsidP="00D4092F">
            <w:pPr>
              <w:pStyle w:val="BodyText"/>
            </w:pPr>
            <w:r>
              <w:rPr>
                <w:rStyle w:val="Bulletcolour"/>
              </w:rPr>
              <w:t>$1.4 million</w:t>
            </w:r>
          </w:p>
        </w:tc>
        <w:tc>
          <w:tcPr>
            <w:tcW w:w="1160" w:type="pct"/>
          </w:tcPr>
          <w:p w:rsidR="008E273C" w:rsidRDefault="008E273C" w:rsidP="00D4092F">
            <w:pPr>
              <w:pStyle w:val="BodyText"/>
            </w:pPr>
            <w:r>
              <w:rPr>
                <w:rStyle w:val="Bulletcolour"/>
              </w:rPr>
              <w:t>$1.4 million</w:t>
            </w:r>
          </w:p>
        </w:tc>
        <w:tc>
          <w:tcPr>
            <w:tcW w:w="1160" w:type="pct"/>
          </w:tcPr>
          <w:p w:rsidR="008E273C" w:rsidRDefault="008E273C" w:rsidP="00D4092F">
            <w:pPr>
              <w:pStyle w:val="BodyText"/>
            </w:pPr>
            <w:r>
              <w:rPr>
                <w:rStyle w:val="Bulletcolour"/>
              </w:rPr>
              <w:t>$1.4 million</w:t>
            </w:r>
          </w:p>
        </w:tc>
      </w:tr>
    </w:tbl>
    <w:p w:rsidR="008E273C" w:rsidRDefault="008E273C" w:rsidP="008E273C">
      <w:pPr>
        <w:pStyle w:val="Heading3"/>
      </w:pPr>
      <w:r>
        <w:lastRenderedPageBreak/>
        <w:t>Run-off Cover Indemnity Scheme for Medical Practitioners</w:t>
      </w:r>
    </w:p>
    <w:p w:rsidR="008E273C" w:rsidRDefault="008E273C" w:rsidP="008E273C">
      <w:pPr>
        <w:pStyle w:val="BodyText"/>
      </w:pPr>
      <w:r>
        <w:t xml:space="preserve">Under the Run-off Cover Indemnity Scheme, the Government covers the cost of claims for eligible medical practitioners who have left the private medical workforce. To pay for the scheme, the Government uses funds received through the Run-off Cover Support Payment which is a tax paid by medical indemnity insurers each year. </w:t>
      </w:r>
    </w:p>
    <w:p w:rsidR="008E273C" w:rsidRPr="00D4092F" w:rsidRDefault="00D4092F" w:rsidP="00D4092F">
      <w:pPr>
        <w:pStyle w:val="BodyText"/>
        <w:rPr>
          <w:b/>
        </w:rPr>
      </w:pPr>
      <w:r w:rsidRPr="00D4092F">
        <w:rPr>
          <w:b/>
        </w:rPr>
        <w:t>Table 26:</w:t>
      </w:r>
      <w:r w:rsidR="008E273C" w:rsidRPr="00D4092F">
        <w:rPr>
          <w:b/>
        </w:rPr>
        <w:t xml:space="preserve"> Run-off Cover Indemnity Scheme for medical practitioners</w:t>
      </w:r>
    </w:p>
    <w:tbl>
      <w:tblPr>
        <w:tblStyle w:val="TableGrid"/>
        <w:tblW w:w="5000" w:type="pct"/>
        <w:tblLook w:val="0000" w:firstRow="0" w:lastRow="0" w:firstColumn="0" w:lastColumn="0" w:noHBand="0" w:noVBand="0"/>
        <w:tblCaption w:val="Table 26: Run-off Cover Indemnity Scheme for medical practitioners"/>
        <w:tblDescription w:val="Table 26: Run-off Cover Indemnity Scheme for medical practitioners"/>
      </w:tblPr>
      <w:tblGrid>
        <w:gridCol w:w="3374"/>
        <w:gridCol w:w="2574"/>
        <w:gridCol w:w="2574"/>
        <w:gridCol w:w="2574"/>
      </w:tblGrid>
      <w:tr w:rsidR="008E273C" w:rsidTr="00D4092F">
        <w:trPr>
          <w:trHeight w:val="320"/>
          <w:tblHeader/>
        </w:trPr>
        <w:tc>
          <w:tcPr>
            <w:tcW w:w="1520" w:type="pct"/>
          </w:tcPr>
          <w:p w:rsidR="008E273C" w:rsidRPr="00D4092F" w:rsidRDefault="008E273C" w:rsidP="00D4092F">
            <w:pPr>
              <w:pStyle w:val="BodyText"/>
              <w:rPr>
                <w:b/>
              </w:rPr>
            </w:pPr>
            <w:r w:rsidRPr="00D4092F">
              <w:rPr>
                <w:rStyle w:val="Bulletcolour"/>
                <w:b/>
              </w:rPr>
              <w:t> </w:t>
            </w:r>
          </w:p>
        </w:tc>
        <w:tc>
          <w:tcPr>
            <w:tcW w:w="1160" w:type="pct"/>
          </w:tcPr>
          <w:p w:rsidR="008E273C" w:rsidRPr="00D4092F" w:rsidRDefault="008E273C" w:rsidP="00D4092F">
            <w:pPr>
              <w:pStyle w:val="BodyText"/>
              <w:rPr>
                <w:b/>
              </w:rPr>
            </w:pPr>
            <w:r w:rsidRPr="00D4092F">
              <w:rPr>
                <w:rStyle w:val="Bulletcolour"/>
                <w:b/>
              </w:rPr>
              <w:t>2017–18</w:t>
            </w:r>
          </w:p>
        </w:tc>
        <w:tc>
          <w:tcPr>
            <w:tcW w:w="1160" w:type="pct"/>
          </w:tcPr>
          <w:p w:rsidR="008E273C" w:rsidRPr="00D4092F" w:rsidRDefault="008E273C" w:rsidP="00D4092F">
            <w:pPr>
              <w:pStyle w:val="BodyText"/>
              <w:rPr>
                <w:b/>
              </w:rPr>
            </w:pPr>
            <w:r w:rsidRPr="00D4092F">
              <w:rPr>
                <w:rStyle w:val="Bulletcolour"/>
                <w:b/>
              </w:rPr>
              <w:t>2018–19</w:t>
            </w:r>
          </w:p>
        </w:tc>
        <w:tc>
          <w:tcPr>
            <w:tcW w:w="1160" w:type="pct"/>
          </w:tcPr>
          <w:p w:rsidR="008E273C" w:rsidRPr="00D4092F" w:rsidRDefault="008E273C" w:rsidP="00D4092F">
            <w:pPr>
              <w:pStyle w:val="BodyText"/>
              <w:rPr>
                <w:b/>
              </w:rPr>
            </w:pPr>
            <w:r w:rsidRPr="00D4092F">
              <w:rPr>
                <w:rStyle w:val="Bulletcolour"/>
                <w:b/>
              </w:rPr>
              <w:t>2019–20</w:t>
            </w:r>
          </w:p>
        </w:tc>
      </w:tr>
      <w:tr w:rsidR="008E273C" w:rsidTr="00D4092F">
        <w:trPr>
          <w:trHeight w:val="60"/>
        </w:trPr>
        <w:tc>
          <w:tcPr>
            <w:tcW w:w="1520" w:type="pct"/>
          </w:tcPr>
          <w:p w:rsidR="008E273C" w:rsidRDefault="008E273C" w:rsidP="00D4092F">
            <w:pPr>
              <w:pStyle w:val="BodyText"/>
            </w:pPr>
            <w:r>
              <w:rPr>
                <w:rStyle w:val="Bulletcolour"/>
              </w:rPr>
              <w:t>Claims received</w:t>
            </w:r>
          </w:p>
        </w:tc>
        <w:tc>
          <w:tcPr>
            <w:tcW w:w="1160" w:type="pct"/>
          </w:tcPr>
          <w:p w:rsidR="008E273C" w:rsidRDefault="008E273C" w:rsidP="00D4092F">
            <w:pPr>
              <w:pStyle w:val="BodyText"/>
            </w:pPr>
            <w:r>
              <w:rPr>
                <w:rStyle w:val="Bulletcolour"/>
              </w:rPr>
              <w:t>79</w:t>
            </w:r>
          </w:p>
        </w:tc>
        <w:tc>
          <w:tcPr>
            <w:tcW w:w="1160" w:type="pct"/>
          </w:tcPr>
          <w:p w:rsidR="008E273C" w:rsidRDefault="008E273C" w:rsidP="00D4092F">
            <w:pPr>
              <w:pStyle w:val="BodyText"/>
            </w:pPr>
            <w:r>
              <w:rPr>
                <w:rStyle w:val="Bulletcolour"/>
              </w:rPr>
              <w:t>118</w:t>
            </w:r>
          </w:p>
        </w:tc>
        <w:tc>
          <w:tcPr>
            <w:tcW w:w="1160" w:type="pct"/>
          </w:tcPr>
          <w:p w:rsidR="008E273C" w:rsidRDefault="008E273C" w:rsidP="00D4092F">
            <w:pPr>
              <w:pStyle w:val="BodyText"/>
            </w:pPr>
            <w:r>
              <w:rPr>
                <w:rStyle w:val="Bulletcolour"/>
              </w:rPr>
              <w:t>137</w:t>
            </w:r>
          </w:p>
        </w:tc>
      </w:tr>
      <w:tr w:rsidR="008E273C" w:rsidTr="00D4092F">
        <w:trPr>
          <w:trHeight w:val="60"/>
        </w:trPr>
        <w:tc>
          <w:tcPr>
            <w:tcW w:w="1520" w:type="pct"/>
          </w:tcPr>
          <w:p w:rsidR="008E273C" w:rsidRDefault="008E273C" w:rsidP="00D4092F">
            <w:pPr>
              <w:pStyle w:val="BodyText"/>
            </w:pPr>
            <w:r>
              <w:rPr>
                <w:rStyle w:val="Bulletcolour"/>
              </w:rPr>
              <w:t>Benefits paid</w:t>
            </w:r>
          </w:p>
        </w:tc>
        <w:tc>
          <w:tcPr>
            <w:tcW w:w="1160" w:type="pct"/>
          </w:tcPr>
          <w:p w:rsidR="008E273C" w:rsidRDefault="008E273C" w:rsidP="00D4092F">
            <w:pPr>
              <w:pStyle w:val="BodyText"/>
            </w:pPr>
            <w:r>
              <w:rPr>
                <w:rStyle w:val="Bulletcolour"/>
              </w:rPr>
              <w:t>$4.9 million</w:t>
            </w:r>
          </w:p>
        </w:tc>
        <w:tc>
          <w:tcPr>
            <w:tcW w:w="1160" w:type="pct"/>
          </w:tcPr>
          <w:p w:rsidR="008E273C" w:rsidRDefault="008E273C" w:rsidP="00D4092F">
            <w:pPr>
              <w:pStyle w:val="BodyText"/>
            </w:pPr>
            <w:r>
              <w:rPr>
                <w:rStyle w:val="Bulletcolour"/>
              </w:rPr>
              <w:t>$6.7 million</w:t>
            </w:r>
          </w:p>
        </w:tc>
        <w:tc>
          <w:tcPr>
            <w:tcW w:w="1160" w:type="pct"/>
          </w:tcPr>
          <w:p w:rsidR="008E273C" w:rsidRDefault="008E273C" w:rsidP="00D4092F">
            <w:pPr>
              <w:pStyle w:val="BodyText"/>
            </w:pPr>
            <w:r>
              <w:rPr>
                <w:rStyle w:val="Bulletcolour"/>
              </w:rPr>
              <w:t>$12.1 million</w:t>
            </w:r>
          </w:p>
        </w:tc>
      </w:tr>
    </w:tbl>
    <w:p w:rsidR="008E273C" w:rsidRDefault="008E273C" w:rsidP="008E273C">
      <w:pPr>
        <w:pStyle w:val="Heading3"/>
      </w:pPr>
      <w:r>
        <w:t xml:space="preserve">Incurred </w:t>
      </w:r>
      <w:proofErr w:type="gramStart"/>
      <w:r>
        <w:t>But</w:t>
      </w:r>
      <w:proofErr w:type="gramEnd"/>
      <w:r>
        <w:t xml:space="preserve"> Not Reported Indemnity Scheme</w:t>
      </w:r>
    </w:p>
    <w:p w:rsidR="008E273C" w:rsidRDefault="008E273C" w:rsidP="008E273C">
      <w:pPr>
        <w:pStyle w:val="BodyText"/>
      </w:pPr>
      <w:r>
        <w:t xml:space="preserve">Under the Incurred </w:t>
      </w:r>
      <w:proofErr w:type="gramStart"/>
      <w:r>
        <w:t>But</w:t>
      </w:r>
      <w:proofErr w:type="gramEnd"/>
      <w:r>
        <w:t xml:space="preserve"> Not Reported Indemnity Scheme, the Government covers the costs of claims from medical defence organisations that do not have adequate reserves to cover their liabilities. United Medical Protection is the only medical defence organisation actively participating in the scheme.</w:t>
      </w:r>
    </w:p>
    <w:p w:rsidR="008E273C" w:rsidRPr="00D4092F" w:rsidRDefault="00D4092F" w:rsidP="00D4092F">
      <w:pPr>
        <w:pStyle w:val="BodyText"/>
        <w:rPr>
          <w:b/>
        </w:rPr>
      </w:pPr>
      <w:r w:rsidRPr="00D4092F">
        <w:rPr>
          <w:b/>
        </w:rPr>
        <w:t>Table 27:</w:t>
      </w:r>
      <w:r w:rsidR="008E273C" w:rsidRPr="00D4092F">
        <w:rPr>
          <w:b/>
        </w:rPr>
        <w:t xml:space="preserve"> Incurred </w:t>
      </w:r>
      <w:proofErr w:type="gramStart"/>
      <w:r w:rsidR="008E273C" w:rsidRPr="00D4092F">
        <w:rPr>
          <w:b/>
        </w:rPr>
        <w:t>But</w:t>
      </w:r>
      <w:proofErr w:type="gramEnd"/>
      <w:r w:rsidR="008E273C" w:rsidRPr="00D4092F">
        <w:rPr>
          <w:b/>
        </w:rPr>
        <w:t xml:space="preserve"> Not Reported Indemnity Scheme</w:t>
      </w:r>
    </w:p>
    <w:tbl>
      <w:tblPr>
        <w:tblStyle w:val="TableGrid"/>
        <w:tblW w:w="5000" w:type="pct"/>
        <w:tblLook w:val="0000" w:firstRow="0" w:lastRow="0" w:firstColumn="0" w:lastColumn="0" w:noHBand="0" w:noVBand="0"/>
        <w:tblCaption w:val="Table 27: Incurred But Not Reported Indemnity Scheme"/>
        <w:tblDescription w:val="Table 27: Incurred But Not Reported Indemnity Scheme"/>
      </w:tblPr>
      <w:tblGrid>
        <w:gridCol w:w="3374"/>
        <w:gridCol w:w="2574"/>
        <w:gridCol w:w="2574"/>
        <w:gridCol w:w="2574"/>
      </w:tblGrid>
      <w:tr w:rsidR="008E273C" w:rsidTr="00A537F5">
        <w:trPr>
          <w:trHeight w:val="60"/>
          <w:tblHeader/>
        </w:trPr>
        <w:tc>
          <w:tcPr>
            <w:tcW w:w="1520" w:type="pct"/>
          </w:tcPr>
          <w:p w:rsidR="008E273C" w:rsidRPr="00D4092F" w:rsidRDefault="008E273C" w:rsidP="00D4092F">
            <w:pPr>
              <w:pStyle w:val="BodyText"/>
              <w:rPr>
                <w:b/>
              </w:rPr>
            </w:pPr>
            <w:r w:rsidRPr="00D4092F">
              <w:rPr>
                <w:rStyle w:val="Bulletcolour"/>
                <w:b/>
              </w:rPr>
              <w:t> </w:t>
            </w:r>
          </w:p>
        </w:tc>
        <w:tc>
          <w:tcPr>
            <w:tcW w:w="1160" w:type="pct"/>
          </w:tcPr>
          <w:p w:rsidR="008E273C" w:rsidRPr="00D4092F" w:rsidRDefault="008E273C" w:rsidP="00D4092F">
            <w:pPr>
              <w:pStyle w:val="BodyText"/>
              <w:rPr>
                <w:b/>
              </w:rPr>
            </w:pPr>
            <w:r w:rsidRPr="00D4092F">
              <w:rPr>
                <w:rStyle w:val="Bulletcolour"/>
                <w:b/>
              </w:rPr>
              <w:t>2017–18</w:t>
            </w:r>
          </w:p>
        </w:tc>
        <w:tc>
          <w:tcPr>
            <w:tcW w:w="1160" w:type="pct"/>
          </w:tcPr>
          <w:p w:rsidR="008E273C" w:rsidRPr="00D4092F" w:rsidRDefault="008E273C" w:rsidP="00D4092F">
            <w:pPr>
              <w:pStyle w:val="BodyText"/>
              <w:rPr>
                <w:b/>
              </w:rPr>
            </w:pPr>
            <w:r w:rsidRPr="00D4092F">
              <w:rPr>
                <w:rStyle w:val="Bulletcolour"/>
                <w:b/>
              </w:rPr>
              <w:t>2018–19</w:t>
            </w:r>
          </w:p>
        </w:tc>
        <w:tc>
          <w:tcPr>
            <w:tcW w:w="1160" w:type="pct"/>
          </w:tcPr>
          <w:p w:rsidR="008E273C" w:rsidRPr="00D4092F" w:rsidRDefault="008E273C" w:rsidP="00D4092F">
            <w:pPr>
              <w:pStyle w:val="BodyText"/>
              <w:rPr>
                <w:b/>
              </w:rPr>
            </w:pPr>
            <w:r w:rsidRPr="00D4092F">
              <w:rPr>
                <w:rStyle w:val="Bulletcolour"/>
                <w:b/>
              </w:rPr>
              <w:t>2019–20</w:t>
            </w:r>
          </w:p>
        </w:tc>
      </w:tr>
      <w:tr w:rsidR="008E273C" w:rsidTr="00D4092F">
        <w:trPr>
          <w:trHeight w:val="60"/>
        </w:trPr>
        <w:tc>
          <w:tcPr>
            <w:tcW w:w="1520" w:type="pct"/>
          </w:tcPr>
          <w:p w:rsidR="008E273C" w:rsidRDefault="008E273C" w:rsidP="00D4092F">
            <w:pPr>
              <w:pStyle w:val="BodyText"/>
            </w:pPr>
            <w:r>
              <w:rPr>
                <w:rStyle w:val="Bulletcolour"/>
              </w:rPr>
              <w:t>Claims received</w:t>
            </w:r>
          </w:p>
        </w:tc>
        <w:tc>
          <w:tcPr>
            <w:tcW w:w="1160" w:type="pct"/>
          </w:tcPr>
          <w:p w:rsidR="008E273C" w:rsidRDefault="008E273C" w:rsidP="00D4092F">
            <w:pPr>
              <w:pStyle w:val="BodyText"/>
            </w:pPr>
            <w:r>
              <w:rPr>
                <w:rStyle w:val="Bulletcolour"/>
              </w:rPr>
              <w:t>15</w:t>
            </w:r>
          </w:p>
        </w:tc>
        <w:tc>
          <w:tcPr>
            <w:tcW w:w="1160" w:type="pct"/>
          </w:tcPr>
          <w:p w:rsidR="008E273C" w:rsidRDefault="008E273C" w:rsidP="00D4092F">
            <w:pPr>
              <w:pStyle w:val="BodyText"/>
            </w:pPr>
            <w:r>
              <w:rPr>
                <w:rStyle w:val="Bulletcolour"/>
              </w:rPr>
              <w:t>24</w:t>
            </w:r>
          </w:p>
        </w:tc>
        <w:tc>
          <w:tcPr>
            <w:tcW w:w="1160" w:type="pct"/>
          </w:tcPr>
          <w:p w:rsidR="008E273C" w:rsidRDefault="008E273C" w:rsidP="00D4092F">
            <w:pPr>
              <w:pStyle w:val="BodyText"/>
            </w:pPr>
            <w:r>
              <w:rPr>
                <w:rStyle w:val="Bulletcolour"/>
              </w:rPr>
              <w:t>13</w:t>
            </w:r>
          </w:p>
        </w:tc>
      </w:tr>
      <w:tr w:rsidR="008E273C" w:rsidTr="00D4092F">
        <w:trPr>
          <w:trHeight w:val="60"/>
        </w:trPr>
        <w:tc>
          <w:tcPr>
            <w:tcW w:w="1520" w:type="pct"/>
          </w:tcPr>
          <w:p w:rsidR="008E273C" w:rsidRDefault="008E273C" w:rsidP="00D4092F">
            <w:pPr>
              <w:pStyle w:val="BodyText"/>
            </w:pPr>
            <w:r>
              <w:rPr>
                <w:rStyle w:val="Bulletcolour"/>
              </w:rPr>
              <w:t>Benefits paid</w:t>
            </w:r>
          </w:p>
        </w:tc>
        <w:tc>
          <w:tcPr>
            <w:tcW w:w="1160" w:type="pct"/>
          </w:tcPr>
          <w:p w:rsidR="008E273C" w:rsidRDefault="008E273C" w:rsidP="00D4092F">
            <w:pPr>
              <w:pStyle w:val="BodyText"/>
            </w:pPr>
            <w:r>
              <w:rPr>
                <w:rStyle w:val="Bulletcolour"/>
              </w:rPr>
              <w:t>$0.7 million</w:t>
            </w:r>
          </w:p>
        </w:tc>
        <w:tc>
          <w:tcPr>
            <w:tcW w:w="1160" w:type="pct"/>
          </w:tcPr>
          <w:p w:rsidR="008E273C" w:rsidRDefault="008E273C" w:rsidP="00D4092F">
            <w:pPr>
              <w:pStyle w:val="BodyText"/>
            </w:pPr>
            <w:r>
              <w:rPr>
                <w:rStyle w:val="Bulletcolour"/>
              </w:rPr>
              <w:t>$6.2 million</w:t>
            </w:r>
          </w:p>
        </w:tc>
        <w:tc>
          <w:tcPr>
            <w:tcW w:w="1160" w:type="pct"/>
          </w:tcPr>
          <w:p w:rsidR="008E273C" w:rsidRDefault="008E273C" w:rsidP="00D4092F">
            <w:pPr>
              <w:pStyle w:val="BodyText"/>
            </w:pPr>
            <w:r>
              <w:rPr>
                <w:rStyle w:val="Bulletcolour"/>
              </w:rPr>
              <w:t>$0.8 million</w:t>
            </w:r>
          </w:p>
        </w:tc>
      </w:tr>
    </w:tbl>
    <w:p w:rsidR="008E273C" w:rsidRDefault="008E273C" w:rsidP="008E273C">
      <w:pPr>
        <w:pStyle w:val="Heading3"/>
      </w:pPr>
      <w:r>
        <w:t>Midwife Professional Indemnity Scheme</w:t>
      </w:r>
    </w:p>
    <w:p w:rsidR="008E273C" w:rsidRDefault="008E273C" w:rsidP="008E273C">
      <w:pPr>
        <w:pStyle w:val="BodyText"/>
      </w:pPr>
      <w:r>
        <w:t xml:space="preserve">Under the Midwife Professional Indemnity Scheme, the Government makes a financial contribution to administration costs to help eligible insurers who provide indemnity to eligible midwives.  </w:t>
      </w:r>
    </w:p>
    <w:p w:rsidR="008E273C" w:rsidRDefault="008E273C" w:rsidP="008E273C">
      <w:pPr>
        <w:pStyle w:val="BodyText"/>
      </w:pPr>
      <w:r>
        <w:t>In 2019–20 no claims were made under this scheme.</w:t>
      </w:r>
    </w:p>
    <w:p w:rsidR="008E273C" w:rsidRDefault="008E273C" w:rsidP="008E273C">
      <w:pPr>
        <w:pStyle w:val="Heading3"/>
      </w:pPr>
      <w:r>
        <w:t>Digital health</w:t>
      </w:r>
    </w:p>
    <w:p w:rsidR="008E273C" w:rsidRDefault="008E273C" w:rsidP="00E42522">
      <w:pPr>
        <w:pStyle w:val="BodyText"/>
      </w:pPr>
      <w:r>
        <w:t>In 2019–20 Services Australia continued to work with the Australian Digital Health Agency to deliver the following digital health services:</w:t>
      </w:r>
    </w:p>
    <w:p w:rsidR="008E273C" w:rsidRDefault="008E273C" w:rsidP="00E42522">
      <w:pPr>
        <w:pStyle w:val="ListBullet"/>
      </w:pPr>
      <w:r>
        <w:t xml:space="preserve">the Healthcare Identifiers Service </w:t>
      </w:r>
    </w:p>
    <w:p w:rsidR="008E273C" w:rsidRDefault="008E273C" w:rsidP="00E42522">
      <w:pPr>
        <w:pStyle w:val="ListBullet"/>
      </w:pPr>
      <w:r>
        <w:t>components of the My Health Record system</w:t>
      </w:r>
    </w:p>
    <w:p w:rsidR="008E273C" w:rsidRDefault="008E273C" w:rsidP="00E42522">
      <w:pPr>
        <w:pStyle w:val="ListBullet"/>
      </w:pPr>
      <w:proofErr w:type="gramStart"/>
      <w:r>
        <w:t>the</w:t>
      </w:r>
      <w:proofErr w:type="gramEnd"/>
      <w:r>
        <w:t xml:space="preserve"> National Authentication Service for Health. </w:t>
      </w:r>
    </w:p>
    <w:p w:rsidR="008E273C" w:rsidRDefault="008E273C" w:rsidP="008E273C">
      <w:pPr>
        <w:pStyle w:val="Heading2"/>
      </w:pPr>
      <w:r>
        <w:lastRenderedPageBreak/>
        <w:t>Support for health professionals</w:t>
      </w:r>
    </w:p>
    <w:p w:rsidR="008E273C" w:rsidRDefault="008E273C" w:rsidP="008E273C">
      <w:pPr>
        <w:pStyle w:val="BodyText"/>
      </w:pPr>
      <w:r>
        <w:t>The agency provides high</w:t>
      </w:r>
      <w:r>
        <w:noBreakHyphen/>
        <w:t>quality, accessible information through education resources and services to assist health professionals to understand and access Medicare and other health</w:t>
      </w:r>
      <w:r>
        <w:noBreakHyphen/>
        <w:t>related programs. In 2019–20 products including eLearning programs, education guides and software simulations were enhanced to meet the agency’s accessibility guidelines.</w:t>
      </w:r>
    </w:p>
    <w:p w:rsidR="008E273C" w:rsidRDefault="008E273C" w:rsidP="008E273C">
      <w:pPr>
        <w:pStyle w:val="BodyText"/>
      </w:pPr>
      <w:r>
        <w:t xml:space="preserve">In 2019–20 there were 275,038 page views of the agency’s education guides and over 326,619 views of eLearning resources. This compares with </w:t>
      </w:r>
      <w:r>
        <w:rPr>
          <w:rStyle w:val="NoBreak"/>
        </w:rPr>
        <w:t>217,068 pag</w:t>
      </w:r>
      <w:r>
        <w:t>e views of education guides and 597,644 views of eLearning resources in 2018–19.</w:t>
      </w:r>
    </w:p>
    <w:p w:rsidR="008E273C" w:rsidRDefault="008E273C" w:rsidP="008E273C">
      <w:pPr>
        <w:pStyle w:val="Heading1"/>
      </w:pPr>
      <w:r>
        <w:t>1.5 Child support</w:t>
      </w:r>
    </w:p>
    <w:p w:rsidR="008E273C" w:rsidRDefault="008E273C" w:rsidP="005D794B">
      <w:pPr>
        <w:pStyle w:val="BodyText"/>
      </w:pPr>
      <w:r>
        <w:t xml:space="preserve">Services Australia delivers the Child Support Program, which aims to ensure that children receive an appropriate level of financial support from parents who are separating or separated. </w:t>
      </w:r>
    </w:p>
    <w:p w:rsidR="008E273C" w:rsidRDefault="008E273C" w:rsidP="008E273C">
      <w:pPr>
        <w:pStyle w:val="BodyText"/>
      </w:pPr>
      <w:r>
        <w:t xml:space="preserve">The agency provides child support registration, assessment, collection and disbursement services to parents and non-parent carers such as grandparents, legal guardians or other family members. </w:t>
      </w:r>
    </w:p>
    <w:p w:rsidR="008E273C" w:rsidRDefault="008E273C" w:rsidP="008E273C">
      <w:pPr>
        <w:pStyle w:val="BodyText"/>
      </w:pPr>
      <w:r>
        <w:t>The person entitled to receive child support can either elect to have child support payments transferred to them privately by the paying parent (Private Collect) or ask us to collect on their behalf (Child Support Collect). The agency has compliance and enforcement programs to maximise the collection and transfer of payments.</w:t>
      </w:r>
    </w:p>
    <w:p w:rsidR="008E273C" w:rsidRDefault="008E273C" w:rsidP="008E273C">
      <w:pPr>
        <w:pStyle w:val="BodyText"/>
      </w:pPr>
      <w:r>
        <w:t xml:space="preserve">Services Australia also assesses parents’ applications to have their child support payments reviewed based on changed circumstances. </w:t>
      </w:r>
    </w:p>
    <w:p w:rsidR="008E273C" w:rsidRDefault="008E273C" w:rsidP="008E273C">
      <w:pPr>
        <w:pStyle w:val="BodyText"/>
      </w:pPr>
      <w:r>
        <w:t xml:space="preserve">In 2019–20 the agency implemented several improvements to the Child Support Program, including a significant investment in new staff capability. </w:t>
      </w:r>
    </w:p>
    <w:p w:rsidR="008E273C" w:rsidRDefault="008E273C" w:rsidP="00E42522">
      <w:pPr>
        <w:pStyle w:val="BodyText"/>
      </w:pPr>
      <w:r>
        <w:t>A number of ICT enhancements were also made by the agency, including:</w:t>
      </w:r>
    </w:p>
    <w:p w:rsidR="008E273C" w:rsidRDefault="008E273C" w:rsidP="00E42522">
      <w:pPr>
        <w:pStyle w:val="ListBullet"/>
      </w:pPr>
      <w:r>
        <w:t xml:space="preserve">improvements to the Express Plus Child Support mobile app and Child Support online </w:t>
      </w:r>
    </w:p>
    <w:p w:rsidR="008E273C" w:rsidRDefault="008E273C" w:rsidP="00E42522">
      <w:pPr>
        <w:pStyle w:val="ListBullet"/>
      </w:pPr>
      <w:proofErr w:type="gramStart"/>
      <w:r>
        <w:t>introduction</w:t>
      </w:r>
      <w:proofErr w:type="gramEnd"/>
      <w:r>
        <w:t xml:space="preserve"> of desktop SMS capability, to advise child support customers to expect a call from us.</w:t>
      </w:r>
    </w:p>
    <w:p w:rsidR="008E273C" w:rsidRDefault="008E273C" w:rsidP="008E273C">
      <w:pPr>
        <w:pStyle w:val="Heading2"/>
      </w:pPr>
      <w:r>
        <w:t>Child support transfers</w:t>
      </w:r>
    </w:p>
    <w:p w:rsidR="008E273C" w:rsidRDefault="008E273C" w:rsidP="008E273C">
      <w:pPr>
        <w:pStyle w:val="BodyText"/>
      </w:pPr>
      <w:r>
        <w:t xml:space="preserve">In 2019–20 the agency worked with separated parents to facilitate the transfer of $3.774 billion to support approximately 1.2 million children. </w:t>
      </w:r>
    </w:p>
    <w:p w:rsidR="008E273C" w:rsidRPr="008879DA" w:rsidRDefault="008879DA" w:rsidP="008879DA">
      <w:pPr>
        <w:pStyle w:val="BodyText"/>
        <w:rPr>
          <w:b/>
        </w:rPr>
      </w:pPr>
      <w:r w:rsidRPr="008879DA">
        <w:rPr>
          <w:b/>
        </w:rPr>
        <w:t>Table 28:</w:t>
      </w:r>
      <w:r w:rsidR="008E273C" w:rsidRPr="008879DA">
        <w:rPr>
          <w:b/>
        </w:rPr>
        <w:t xml:space="preserve"> Child support transferred between parents</w:t>
      </w:r>
    </w:p>
    <w:tbl>
      <w:tblPr>
        <w:tblStyle w:val="TableGrid"/>
        <w:tblW w:w="5000" w:type="pct"/>
        <w:tblLook w:val="0000" w:firstRow="0" w:lastRow="0" w:firstColumn="0" w:lastColumn="0" w:noHBand="0" w:noVBand="0"/>
        <w:tblCaption w:val="Table 28: Child support transferred between parents"/>
        <w:tblDescription w:val="Table 28: Child support transferred between parents"/>
      </w:tblPr>
      <w:tblGrid>
        <w:gridCol w:w="3374"/>
        <w:gridCol w:w="2574"/>
        <w:gridCol w:w="2574"/>
        <w:gridCol w:w="2574"/>
      </w:tblGrid>
      <w:tr w:rsidR="008E273C" w:rsidTr="008879DA">
        <w:trPr>
          <w:trHeight w:val="60"/>
          <w:tblHeader/>
        </w:trPr>
        <w:tc>
          <w:tcPr>
            <w:tcW w:w="1520" w:type="pct"/>
          </w:tcPr>
          <w:p w:rsidR="008E273C" w:rsidRPr="008879DA" w:rsidRDefault="008E273C" w:rsidP="008879DA">
            <w:pPr>
              <w:pStyle w:val="BodyText"/>
              <w:rPr>
                <w:b/>
              </w:rPr>
            </w:pPr>
          </w:p>
        </w:tc>
        <w:tc>
          <w:tcPr>
            <w:tcW w:w="1160" w:type="pct"/>
          </w:tcPr>
          <w:p w:rsidR="008E273C" w:rsidRPr="008879DA" w:rsidRDefault="008E273C" w:rsidP="008879DA">
            <w:pPr>
              <w:pStyle w:val="BodyText"/>
              <w:rPr>
                <w:b/>
              </w:rPr>
            </w:pPr>
            <w:r w:rsidRPr="008879DA">
              <w:rPr>
                <w:rStyle w:val="Bulletcolour"/>
                <w:b/>
              </w:rPr>
              <w:t>2017–18</w:t>
            </w:r>
          </w:p>
        </w:tc>
        <w:tc>
          <w:tcPr>
            <w:tcW w:w="1160" w:type="pct"/>
          </w:tcPr>
          <w:p w:rsidR="008E273C" w:rsidRPr="008879DA" w:rsidRDefault="008E273C" w:rsidP="008879DA">
            <w:pPr>
              <w:pStyle w:val="BodyText"/>
              <w:rPr>
                <w:b/>
              </w:rPr>
            </w:pPr>
            <w:r w:rsidRPr="008879DA">
              <w:rPr>
                <w:rStyle w:val="Bulletcolour"/>
                <w:b/>
              </w:rPr>
              <w:t>2018–19</w:t>
            </w:r>
          </w:p>
        </w:tc>
        <w:tc>
          <w:tcPr>
            <w:tcW w:w="1160" w:type="pct"/>
          </w:tcPr>
          <w:p w:rsidR="008E273C" w:rsidRPr="008879DA" w:rsidRDefault="008E273C" w:rsidP="008879DA">
            <w:pPr>
              <w:pStyle w:val="BodyText"/>
              <w:rPr>
                <w:b/>
              </w:rPr>
            </w:pPr>
            <w:r w:rsidRPr="008879DA">
              <w:rPr>
                <w:rStyle w:val="Bulletcolour"/>
                <w:b/>
              </w:rPr>
              <w:t>2019–20</w:t>
            </w:r>
          </w:p>
        </w:tc>
      </w:tr>
      <w:tr w:rsidR="008E273C" w:rsidTr="008879DA">
        <w:trPr>
          <w:trHeight w:val="60"/>
        </w:trPr>
        <w:tc>
          <w:tcPr>
            <w:tcW w:w="1520" w:type="pct"/>
          </w:tcPr>
          <w:p w:rsidR="008E273C" w:rsidRDefault="008E273C" w:rsidP="008879DA">
            <w:pPr>
              <w:pStyle w:val="BodyText"/>
            </w:pPr>
            <w:r>
              <w:rPr>
                <w:rStyle w:val="Bulletcolour"/>
              </w:rPr>
              <w:t>Child Support Collect</w:t>
            </w:r>
          </w:p>
        </w:tc>
        <w:tc>
          <w:tcPr>
            <w:tcW w:w="1160" w:type="pct"/>
          </w:tcPr>
          <w:p w:rsidR="008E273C" w:rsidRDefault="008E273C" w:rsidP="008879DA">
            <w:pPr>
              <w:pStyle w:val="BodyText"/>
            </w:pPr>
            <w:r>
              <w:rPr>
                <w:rStyle w:val="Bulletcolour"/>
              </w:rPr>
              <w:t>$1.556 billion</w:t>
            </w:r>
          </w:p>
        </w:tc>
        <w:tc>
          <w:tcPr>
            <w:tcW w:w="1160" w:type="pct"/>
          </w:tcPr>
          <w:p w:rsidR="008E273C" w:rsidRDefault="008E273C" w:rsidP="008879DA">
            <w:pPr>
              <w:pStyle w:val="BodyText"/>
            </w:pPr>
            <w:r>
              <w:rPr>
                <w:rStyle w:val="Bulletcolour"/>
              </w:rPr>
              <w:t>$1.646 billion</w:t>
            </w:r>
          </w:p>
        </w:tc>
        <w:tc>
          <w:tcPr>
            <w:tcW w:w="1160" w:type="pct"/>
          </w:tcPr>
          <w:p w:rsidR="008E273C" w:rsidRDefault="008E273C" w:rsidP="008879DA">
            <w:pPr>
              <w:pStyle w:val="BodyText"/>
            </w:pPr>
            <w:r>
              <w:rPr>
                <w:rStyle w:val="Bulletcolour"/>
              </w:rPr>
              <w:t>$1.698 billion</w:t>
            </w:r>
          </w:p>
        </w:tc>
      </w:tr>
      <w:tr w:rsidR="008E273C" w:rsidTr="008879DA">
        <w:trPr>
          <w:trHeight w:val="60"/>
        </w:trPr>
        <w:tc>
          <w:tcPr>
            <w:tcW w:w="1520" w:type="pct"/>
          </w:tcPr>
          <w:p w:rsidR="008E273C" w:rsidRDefault="008E273C" w:rsidP="008879DA">
            <w:pPr>
              <w:pStyle w:val="BodyText"/>
            </w:pPr>
            <w:r>
              <w:rPr>
                <w:rStyle w:val="Bulletcolour"/>
              </w:rPr>
              <w:t>Private Collect</w:t>
            </w:r>
            <w:r>
              <w:rPr>
                <w:rStyle w:val="Bulletcolour"/>
                <w:vertAlign w:val="superscript"/>
              </w:rPr>
              <w:t>(a)</w:t>
            </w:r>
          </w:p>
        </w:tc>
        <w:tc>
          <w:tcPr>
            <w:tcW w:w="1160" w:type="pct"/>
          </w:tcPr>
          <w:p w:rsidR="008E273C" w:rsidRDefault="008E273C" w:rsidP="008879DA">
            <w:pPr>
              <w:pStyle w:val="BodyText"/>
            </w:pPr>
            <w:r>
              <w:rPr>
                <w:rStyle w:val="Bulletcolour"/>
              </w:rPr>
              <w:t>$1.996 billion</w:t>
            </w:r>
          </w:p>
        </w:tc>
        <w:tc>
          <w:tcPr>
            <w:tcW w:w="1160" w:type="pct"/>
          </w:tcPr>
          <w:p w:rsidR="008E273C" w:rsidRDefault="008E273C" w:rsidP="008879DA">
            <w:pPr>
              <w:pStyle w:val="BodyText"/>
            </w:pPr>
            <w:r>
              <w:rPr>
                <w:rStyle w:val="Bulletcolour"/>
              </w:rPr>
              <w:t>$2.037 billion</w:t>
            </w:r>
          </w:p>
        </w:tc>
        <w:tc>
          <w:tcPr>
            <w:tcW w:w="1160" w:type="pct"/>
          </w:tcPr>
          <w:p w:rsidR="008E273C" w:rsidRDefault="008E273C" w:rsidP="008879DA">
            <w:pPr>
              <w:pStyle w:val="BodyText"/>
            </w:pPr>
            <w:r>
              <w:rPr>
                <w:rStyle w:val="Bulletcolour"/>
              </w:rPr>
              <w:t>$2.076 billion</w:t>
            </w:r>
          </w:p>
        </w:tc>
      </w:tr>
      <w:tr w:rsidR="008E273C" w:rsidTr="008879DA">
        <w:trPr>
          <w:trHeight w:val="60"/>
        </w:trPr>
        <w:tc>
          <w:tcPr>
            <w:tcW w:w="1520" w:type="pct"/>
          </w:tcPr>
          <w:p w:rsidR="008E273C" w:rsidRPr="001505B8" w:rsidRDefault="008E273C" w:rsidP="008879DA">
            <w:pPr>
              <w:pStyle w:val="BodyText"/>
              <w:rPr>
                <w:b/>
              </w:rPr>
            </w:pPr>
            <w:r w:rsidRPr="001505B8">
              <w:rPr>
                <w:rStyle w:val="Bulletcolour"/>
                <w:b/>
              </w:rPr>
              <w:t>Total</w:t>
            </w:r>
          </w:p>
        </w:tc>
        <w:tc>
          <w:tcPr>
            <w:tcW w:w="1160" w:type="pct"/>
          </w:tcPr>
          <w:p w:rsidR="008E273C" w:rsidRPr="001505B8" w:rsidRDefault="008E273C" w:rsidP="008879DA">
            <w:pPr>
              <w:pStyle w:val="BodyText"/>
              <w:rPr>
                <w:b/>
              </w:rPr>
            </w:pPr>
            <w:r w:rsidRPr="001505B8">
              <w:rPr>
                <w:rStyle w:val="Bulletcolour"/>
                <w:b/>
              </w:rPr>
              <w:t>$3.552 billion</w:t>
            </w:r>
          </w:p>
        </w:tc>
        <w:tc>
          <w:tcPr>
            <w:tcW w:w="1160" w:type="pct"/>
          </w:tcPr>
          <w:p w:rsidR="008E273C" w:rsidRPr="001505B8" w:rsidRDefault="008E273C" w:rsidP="008879DA">
            <w:pPr>
              <w:pStyle w:val="BodyText"/>
              <w:rPr>
                <w:b/>
              </w:rPr>
            </w:pPr>
            <w:r w:rsidRPr="001505B8">
              <w:rPr>
                <w:rStyle w:val="Bulletcolour"/>
                <w:b/>
              </w:rPr>
              <w:t>$3.683 billion</w:t>
            </w:r>
          </w:p>
        </w:tc>
        <w:tc>
          <w:tcPr>
            <w:tcW w:w="1160" w:type="pct"/>
          </w:tcPr>
          <w:p w:rsidR="008E273C" w:rsidRPr="001505B8" w:rsidRDefault="008E273C" w:rsidP="008879DA">
            <w:pPr>
              <w:pStyle w:val="BodyText"/>
              <w:rPr>
                <w:b/>
              </w:rPr>
            </w:pPr>
            <w:r w:rsidRPr="001505B8">
              <w:rPr>
                <w:rStyle w:val="Bulletcolour"/>
                <w:b/>
              </w:rPr>
              <w:t>$3.774 billion</w:t>
            </w:r>
          </w:p>
        </w:tc>
      </w:tr>
    </w:tbl>
    <w:p w:rsidR="008E273C" w:rsidRDefault="008E273C" w:rsidP="008879DA">
      <w:pPr>
        <w:pStyle w:val="BodyText"/>
      </w:pPr>
      <w:r>
        <w:lastRenderedPageBreak/>
        <w:t>(a)</w:t>
      </w:r>
      <w:r w:rsidR="008879DA">
        <w:t xml:space="preserve"> </w:t>
      </w:r>
      <w:r>
        <w:t xml:space="preserve">The amount of Private </w:t>
      </w:r>
      <w:proofErr w:type="gramStart"/>
      <w:r>
        <w:t>Collect</w:t>
      </w:r>
      <w:proofErr w:type="gramEnd"/>
      <w:r>
        <w:t xml:space="preserve"> transferred assumes 100 per cent of Private Collect is collected.</w:t>
      </w:r>
    </w:p>
    <w:p w:rsidR="008E273C" w:rsidRDefault="008E273C" w:rsidP="008E273C">
      <w:pPr>
        <w:pStyle w:val="BodyText"/>
      </w:pPr>
      <w:r>
        <w:rPr>
          <w:rFonts w:ascii="Roboto-Bold" w:hAnsi="Roboto-Bold" w:cs="Roboto-Bold"/>
          <w:b/>
          <w:bCs/>
        </w:rPr>
        <w:t>Note:</w:t>
      </w:r>
      <w:r>
        <w:t xml:space="preserve"> The amount of child support collected and transferred represents cash payments collected and transferred by the agency and other allowable payments (such as direct payment of school fees) that are credited as payments but are not collected and transferred by the agency. It does not include Private Collect transfers, where the agency assesses the amount payable but does not arrange for collection.</w:t>
      </w:r>
    </w:p>
    <w:p w:rsidR="008E273C" w:rsidRDefault="008E273C" w:rsidP="008E273C">
      <w:pPr>
        <w:pStyle w:val="Heading3"/>
      </w:pPr>
      <w:r>
        <w:t xml:space="preserve">Private Collect </w:t>
      </w:r>
    </w:p>
    <w:p w:rsidR="008E273C" w:rsidRDefault="008E273C" w:rsidP="008E273C">
      <w:pPr>
        <w:pStyle w:val="BodyText"/>
      </w:pPr>
      <w:r>
        <w:t>Where appropriate, the agency encourages separated parents to manage their child support responsibilities independently through Private Collect arrangements. In Private Collect cases, the paying parent pays child support directly to the other parent or non-parent carer. In 2019–20 51.3 per cent of cases were Private Collect.</w:t>
      </w:r>
    </w:p>
    <w:p w:rsidR="008E273C" w:rsidRDefault="008E273C" w:rsidP="008E273C">
      <w:pPr>
        <w:pStyle w:val="Heading3"/>
      </w:pPr>
      <w:r>
        <w:t>Child Support Collect</w:t>
      </w:r>
    </w:p>
    <w:p w:rsidR="008E273C" w:rsidRDefault="008E273C" w:rsidP="008E273C">
      <w:pPr>
        <w:pStyle w:val="BodyText"/>
      </w:pPr>
      <w:r>
        <w:t>If parents cannot make and receive child support payments directly between themselves, they can ask the agency to collect and transfer payments on their behalf. In 2019–20 the agency collected and transferred approximately $1.7 billion in child support payments.</w:t>
      </w:r>
    </w:p>
    <w:p w:rsidR="008E273C" w:rsidRDefault="008E273C" w:rsidP="008E273C">
      <w:pPr>
        <w:pStyle w:val="Heading3"/>
      </w:pPr>
      <w:r>
        <w:t>Change of assessment in special circumstances</w:t>
      </w:r>
    </w:p>
    <w:p w:rsidR="008E273C" w:rsidRDefault="008E273C" w:rsidP="008E273C">
      <w:pPr>
        <w:pStyle w:val="BodyText"/>
      </w:pPr>
      <w:r>
        <w:t xml:space="preserve">The child support formula accommodates the majority of parents’ circumstances and provides flexibility for most changes that affect the assessment. A parent can apply to have their child support assessment reviewed if there are certain special circumstances that the formula cannot accommodate and that significantly affect either parent’s capacity to financially support the child or maintain themselves or a dependant. </w:t>
      </w:r>
    </w:p>
    <w:p w:rsidR="008E273C" w:rsidRDefault="008E273C" w:rsidP="008E273C">
      <w:pPr>
        <w:pStyle w:val="BodyText"/>
      </w:pPr>
      <w:r>
        <w:t>In 2019–20 the agency received over 15,000 change of assessment in special circumstances applications—45.74 per cent of finalised applications resulted in a change to the rate of child support to better reflect the special circumstances of parents and their children. In 59.50 per cent of cases, the application related to a parent’s income, property, financial resources or earning capacity.</w:t>
      </w:r>
    </w:p>
    <w:p w:rsidR="008E273C" w:rsidRDefault="008E273C" w:rsidP="008E273C">
      <w:pPr>
        <w:pStyle w:val="Heading3"/>
      </w:pPr>
      <w:r>
        <w:t>Compliance and enforcement</w:t>
      </w:r>
    </w:p>
    <w:p w:rsidR="008E273C" w:rsidRDefault="008E273C" w:rsidP="008E273C">
      <w:pPr>
        <w:pStyle w:val="BodyText"/>
      </w:pPr>
      <w:r>
        <w:t xml:space="preserve">Services Australia focuses on reducing child support debt through its compliance and enforcement programs. This includes setting up payment arrangements to repay child support debt in the shortest possible time based on a parent’s capacity to pay. Table 29 shows the percentage of active paying parents who do not have a child support debt. It also shows the percentage of active paying parents with a child support debt who have a payment arrangement in place to repay the debt. </w:t>
      </w:r>
    </w:p>
    <w:p w:rsidR="008E273C" w:rsidRDefault="008E273C" w:rsidP="008E273C">
      <w:pPr>
        <w:pStyle w:val="BodyText"/>
      </w:pPr>
      <w:r>
        <w:t xml:space="preserve">An active paying parent is someone who is responsible for paying child support in at least one active child support case—that is, a case where there is a current or future liability. </w:t>
      </w:r>
    </w:p>
    <w:p w:rsidR="008E273C" w:rsidRDefault="008E273C" w:rsidP="008E273C">
      <w:pPr>
        <w:pStyle w:val="BodyText"/>
      </w:pPr>
      <w:r>
        <w:t>Table 29</w:t>
      </w:r>
      <w:r>
        <w:rPr>
          <w:w w:val="105"/>
        </w:rPr>
        <w:t xml:space="preserve"> </w:t>
      </w:r>
      <w:r>
        <w:t>does not include parents whose cases have ended (meaning there is no current or future child support liability) but who still have a chi</w:t>
      </w:r>
      <w:r>
        <w:rPr>
          <w:rStyle w:val="NoBreak"/>
        </w:rPr>
        <w:t>ld supp</w:t>
      </w:r>
      <w:r>
        <w:t xml:space="preserve">ort debt. </w:t>
      </w:r>
    </w:p>
    <w:p w:rsidR="008E273C" w:rsidRPr="004655D8" w:rsidRDefault="004655D8" w:rsidP="004655D8">
      <w:pPr>
        <w:pStyle w:val="BodyText"/>
        <w:rPr>
          <w:b/>
        </w:rPr>
      </w:pPr>
      <w:r w:rsidRPr="004655D8">
        <w:rPr>
          <w:b/>
        </w:rPr>
        <w:t>Table 29:</w:t>
      </w:r>
      <w:r w:rsidR="008E273C" w:rsidRPr="004655D8">
        <w:rPr>
          <w:b/>
        </w:rPr>
        <w:t xml:space="preserve"> Active paying parents without debt and with debt under a payment arrangement</w:t>
      </w:r>
    </w:p>
    <w:tbl>
      <w:tblPr>
        <w:tblStyle w:val="TableGrid"/>
        <w:tblW w:w="5000" w:type="pct"/>
        <w:tblLook w:val="0000" w:firstRow="0" w:lastRow="0" w:firstColumn="0" w:lastColumn="0" w:noHBand="0" w:noVBand="0"/>
        <w:tblCaption w:val="Table 29: Active paying parents without debt and with debt under a payment arrangement"/>
        <w:tblDescription w:val="Table 29: Active paying parents without debt and with debt under a payment arrangement"/>
      </w:tblPr>
      <w:tblGrid>
        <w:gridCol w:w="4756"/>
        <w:gridCol w:w="2115"/>
        <w:gridCol w:w="2115"/>
        <w:gridCol w:w="2110"/>
      </w:tblGrid>
      <w:tr w:rsidR="008E273C" w:rsidTr="004655D8">
        <w:trPr>
          <w:trHeight w:val="60"/>
          <w:tblHeader/>
        </w:trPr>
        <w:tc>
          <w:tcPr>
            <w:tcW w:w="2143" w:type="pct"/>
          </w:tcPr>
          <w:p w:rsidR="008E273C" w:rsidRPr="004655D8" w:rsidRDefault="008E273C" w:rsidP="004655D8">
            <w:pPr>
              <w:pStyle w:val="BodyText"/>
              <w:rPr>
                <w:b/>
              </w:rPr>
            </w:pPr>
          </w:p>
        </w:tc>
        <w:tc>
          <w:tcPr>
            <w:tcW w:w="953" w:type="pct"/>
          </w:tcPr>
          <w:p w:rsidR="004655D8" w:rsidRDefault="008E273C" w:rsidP="004655D8">
            <w:pPr>
              <w:pStyle w:val="BodyText"/>
              <w:rPr>
                <w:rStyle w:val="Bulletcolour"/>
                <w:b/>
              </w:rPr>
            </w:pPr>
            <w:r w:rsidRPr="004655D8">
              <w:rPr>
                <w:rStyle w:val="Bulletcolour"/>
                <w:b/>
              </w:rPr>
              <w:t xml:space="preserve">2017–18 </w:t>
            </w:r>
          </w:p>
          <w:p w:rsidR="008E273C" w:rsidRPr="004655D8" w:rsidRDefault="008E273C" w:rsidP="004655D8">
            <w:pPr>
              <w:pStyle w:val="BodyText"/>
              <w:rPr>
                <w:b/>
              </w:rPr>
            </w:pPr>
            <w:r w:rsidRPr="004655D8">
              <w:rPr>
                <w:rStyle w:val="Bulletcolour"/>
                <w:b/>
              </w:rPr>
              <w:t>%</w:t>
            </w:r>
          </w:p>
        </w:tc>
        <w:tc>
          <w:tcPr>
            <w:tcW w:w="953" w:type="pct"/>
          </w:tcPr>
          <w:p w:rsidR="004655D8" w:rsidRDefault="008E273C" w:rsidP="004655D8">
            <w:pPr>
              <w:pStyle w:val="BodyText"/>
              <w:rPr>
                <w:rStyle w:val="Bulletcolour"/>
                <w:b/>
              </w:rPr>
            </w:pPr>
            <w:r w:rsidRPr="004655D8">
              <w:rPr>
                <w:rStyle w:val="Bulletcolour"/>
                <w:b/>
              </w:rPr>
              <w:t xml:space="preserve">2018–19 </w:t>
            </w:r>
          </w:p>
          <w:p w:rsidR="008E273C" w:rsidRPr="004655D8" w:rsidRDefault="008E273C" w:rsidP="004655D8">
            <w:pPr>
              <w:pStyle w:val="BodyText"/>
              <w:rPr>
                <w:b/>
              </w:rPr>
            </w:pPr>
            <w:r w:rsidRPr="004655D8">
              <w:rPr>
                <w:rStyle w:val="Bulletcolour"/>
                <w:b/>
              </w:rPr>
              <w:t>%</w:t>
            </w:r>
          </w:p>
        </w:tc>
        <w:tc>
          <w:tcPr>
            <w:tcW w:w="952" w:type="pct"/>
          </w:tcPr>
          <w:p w:rsidR="004655D8" w:rsidRDefault="008E273C" w:rsidP="004655D8">
            <w:pPr>
              <w:pStyle w:val="BodyText"/>
              <w:rPr>
                <w:rStyle w:val="Bulletcolour"/>
                <w:b/>
              </w:rPr>
            </w:pPr>
            <w:r w:rsidRPr="004655D8">
              <w:rPr>
                <w:rStyle w:val="Bulletcolour"/>
                <w:b/>
              </w:rPr>
              <w:t xml:space="preserve">2019–20 </w:t>
            </w:r>
          </w:p>
          <w:p w:rsidR="008E273C" w:rsidRPr="004655D8" w:rsidRDefault="008E273C" w:rsidP="004655D8">
            <w:pPr>
              <w:pStyle w:val="BodyText"/>
              <w:rPr>
                <w:b/>
              </w:rPr>
            </w:pPr>
            <w:r w:rsidRPr="004655D8">
              <w:rPr>
                <w:rStyle w:val="Bulletcolour"/>
                <w:b/>
              </w:rPr>
              <w:t>%</w:t>
            </w:r>
          </w:p>
        </w:tc>
      </w:tr>
      <w:tr w:rsidR="008E273C" w:rsidTr="004655D8">
        <w:trPr>
          <w:trHeight w:val="60"/>
        </w:trPr>
        <w:tc>
          <w:tcPr>
            <w:tcW w:w="2143" w:type="pct"/>
          </w:tcPr>
          <w:p w:rsidR="008E273C" w:rsidRDefault="008E273C" w:rsidP="004655D8">
            <w:pPr>
              <w:pStyle w:val="BodyText"/>
            </w:pPr>
            <w:r>
              <w:rPr>
                <w:rStyle w:val="Bulletcolour"/>
              </w:rPr>
              <w:t>Active paying parents without debt</w:t>
            </w:r>
          </w:p>
        </w:tc>
        <w:tc>
          <w:tcPr>
            <w:tcW w:w="953" w:type="pct"/>
          </w:tcPr>
          <w:p w:rsidR="008E273C" w:rsidRDefault="008E273C" w:rsidP="004655D8">
            <w:pPr>
              <w:pStyle w:val="BodyText"/>
            </w:pPr>
            <w:r>
              <w:rPr>
                <w:rStyle w:val="Bulletcolour"/>
              </w:rPr>
              <w:t>75.1</w:t>
            </w:r>
          </w:p>
        </w:tc>
        <w:tc>
          <w:tcPr>
            <w:tcW w:w="953" w:type="pct"/>
          </w:tcPr>
          <w:p w:rsidR="008E273C" w:rsidRDefault="008E273C" w:rsidP="004655D8">
            <w:pPr>
              <w:pStyle w:val="BodyText"/>
            </w:pPr>
            <w:r>
              <w:rPr>
                <w:rStyle w:val="Bulletcolour"/>
              </w:rPr>
              <w:t>74.7</w:t>
            </w:r>
          </w:p>
        </w:tc>
        <w:tc>
          <w:tcPr>
            <w:tcW w:w="952" w:type="pct"/>
          </w:tcPr>
          <w:p w:rsidR="008E273C" w:rsidRDefault="008E273C" w:rsidP="004655D8">
            <w:pPr>
              <w:pStyle w:val="BodyText"/>
            </w:pPr>
            <w:r>
              <w:rPr>
                <w:rStyle w:val="Bulletcolour"/>
              </w:rPr>
              <w:t>73.7</w:t>
            </w:r>
          </w:p>
        </w:tc>
      </w:tr>
      <w:tr w:rsidR="008E273C" w:rsidTr="004655D8">
        <w:trPr>
          <w:trHeight w:val="60"/>
        </w:trPr>
        <w:tc>
          <w:tcPr>
            <w:tcW w:w="2143" w:type="pct"/>
          </w:tcPr>
          <w:p w:rsidR="008E273C" w:rsidRDefault="008E273C" w:rsidP="004655D8">
            <w:pPr>
              <w:pStyle w:val="BodyText"/>
            </w:pPr>
            <w:r>
              <w:rPr>
                <w:rStyle w:val="Bulletcolour"/>
              </w:rPr>
              <w:t>Active paying parents with a child support debt which is under a payment arrangement</w:t>
            </w:r>
          </w:p>
        </w:tc>
        <w:tc>
          <w:tcPr>
            <w:tcW w:w="953" w:type="pct"/>
          </w:tcPr>
          <w:p w:rsidR="008E273C" w:rsidRDefault="008E273C" w:rsidP="004655D8">
            <w:pPr>
              <w:pStyle w:val="BodyText"/>
            </w:pPr>
            <w:r>
              <w:rPr>
                <w:rStyle w:val="Bulletcolour"/>
              </w:rPr>
              <w:t>48.6</w:t>
            </w:r>
          </w:p>
        </w:tc>
        <w:tc>
          <w:tcPr>
            <w:tcW w:w="953" w:type="pct"/>
          </w:tcPr>
          <w:p w:rsidR="008E273C" w:rsidRDefault="008E273C" w:rsidP="004655D8">
            <w:pPr>
              <w:pStyle w:val="BodyText"/>
            </w:pPr>
            <w:r>
              <w:rPr>
                <w:rStyle w:val="Bulletcolour"/>
              </w:rPr>
              <w:t>50.1</w:t>
            </w:r>
          </w:p>
        </w:tc>
        <w:tc>
          <w:tcPr>
            <w:tcW w:w="952" w:type="pct"/>
          </w:tcPr>
          <w:p w:rsidR="008E273C" w:rsidRDefault="008E273C" w:rsidP="004655D8">
            <w:pPr>
              <w:pStyle w:val="BodyText"/>
            </w:pPr>
            <w:r>
              <w:rPr>
                <w:rStyle w:val="Bulletcolour"/>
              </w:rPr>
              <w:t>62.5</w:t>
            </w:r>
          </w:p>
        </w:tc>
      </w:tr>
    </w:tbl>
    <w:p w:rsidR="008E273C" w:rsidRDefault="008E273C" w:rsidP="008E273C">
      <w:pPr>
        <w:pStyle w:val="BodyText"/>
      </w:pPr>
      <w:r>
        <w:t xml:space="preserve">In 2019–20 the agency refined its child support compliance programs by using various activities to ensure that assessments for child support are accurate. For example, the agency requests the Australian Taxation Office (ATO) to take lodgement enforcement action for mutual customers who have not submitted tax returns and have therefore prevented accurate assessment of their child support liability. Any available tax refund can also be used to reduce outstanding child support. </w:t>
      </w:r>
    </w:p>
    <w:p w:rsidR="008E273C" w:rsidRDefault="008E273C" w:rsidP="008E273C">
      <w:pPr>
        <w:pStyle w:val="BodyText"/>
      </w:pPr>
      <w:r>
        <w:t>Whenever possible, child support is collected via employer withholding and income support payments to ensure timely and sustainable payments are made. (</w:t>
      </w:r>
      <w:proofErr w:type="gramStart"/>
      <w:r>
        <w:t>see</w:t>
      </w:r>
      <w:proofErr w:type="gramEnd"/>
      <w:r>
        <w:t xml:space="preserve"> </w:t>
      </w:r>
      <w:r>
        <w:rPr>
          <w:rStyle w:val="Italic"/>
        </w:rPr>
        <w:t>Table 31: Employer withholding from wages and salaries</w:t>
      </w:r>
      <w:r>
        <w:t xml:space="preserve"> on page 40). When voluntary compliance is not possible, we pursue collection. This could include seeking a Departure Prohibition Order (DPO) or pursuing collection from a paying parent through the courts.</w:t>
      </w:r>
    </w:p>
    <w:p w:rsidR="008E273C" w:rsidRDefault="008E273C" w:rsidP="008E273C">
      <w:pPr>
        <w:pStyle w:val="BodyText"/>
      </w:pPr>
      <w:r>
        <w:t xml:space="preserve">As part of the agency’s compliance and enforcement work, it issued 741 DPOs, resulting in $25 million being collected. DPOs stop child support debtors from leaving Australia without either paying, or arranging to pay, their child support. </w:t>
      </w:r>
    </w:p>
    <w:p w:rsidR="008E273C" w:rsidRDefault="008E273C" w:rsidP="008E273C">
      <w:pPr>
        <w:pStyle w:val="BodyText"/>
      </w:pPr>
      <w:r>
        <w:t>In 2019–20 Services Australia issued 13,996 ‘nudge’ letters to customers who had missed payments, which resulted in $18.1 million being paid in full and a further $12.2 million where paying parents entered into an arrangement to repay their child support debt. The wording of these letters is based on our behavioural analytics research, which helps Services Australia motivate positive customer responses.</w:t>
      </w:r>
    </w:p>
    <w:p w:rsidR="008E273C" w:rsidRPr="004655D8" w:rsidRDefault="004655D8" w:rsidP="004655D8">
      <w:pPr>
        <w:pStyle w:val="BodyText"/>
        <w:rPr>
          <w:b/>
        </w:rPr>
      </w:pPr>
      <w:r w:rsidRPr="004655D8">
        <w:rPr>
          <w:b/>
        </w:rPr>
        <w:t>Table 30:</w:t>
      </w:r>
      <w:r w:rsidR="008E273C" w:rsidRPr="004655D8">
        <w:rPr>
          <w:b/>
        </w:rPr>
        <w:t xml:space="preserve"> Child support compliance and enforcement actions</w:t>
      </w:r>
    </w:p>
    <w:tbl>
      <w:tblPr>
        <w:tblStyle w:val="TableGrid"/>
        <w:tblW w:w="5000" w:type="pct"/>
        <w:tblLook w:val="0000" w:firstRow="0" w:lastRow="0" w:firstColumn="0" w:lastColumn="0" w:noHBand="0" w:noVBand="0"/>
        <w:tblCaption w:val="Table 30: Child support compliance and enforcement actions"/>
        <w:tblDescription w:val="Table 30: Child support compliance and enforcement actions"/>
      </w:tblPr>
      <w:tblGrid>
        <w:gridCol w:w="2378"/>
        <w:gridCol w:w="1451"/>
        <w:gridCol w:w="1454"/>
        <w:gridCol w:w="1454"/>
        <w:gridCol w:w="1451"/>
        <w:gridCol w:w="1454"/>
        <w:gridCol w:w="1454"/>
      </w:tblGrid>
      <w:tr w:rsidR="008E273C" w:rsidRPr="004655D8" w:rsidTr="004655D8">
        <w:trPr>
          <w:trHeight w:val="60"/>
          <w:tblHeader/>
        </w:trPr>
        <w:tc>
          <w:tcPr>
            <w:tcW w:w="1072" w:type="pct"/>
          </w:tcPr>
          <w:p w:rsidR="008E273C" w:rsidRPr="004655D8" w:rsidRDefault="008E273C" w:rsidP="004655D8">
            <w:pPr>
              <w:pStyle w:val="BodyText"/>
            </w:pPr>
          </w:p>
        </w:tc>
        <w:tc>
          <w:tcPr>
            <w:tcW w:w="1964" w:type="pct"/>
            <w:gridSpan w:val="3"/>
          </w:tcPr>
          <w:p w:rsidR="008E273C" w:rsidRPr="004655D8" w:rsidRDefault="008E273C" w:rsidP="004655D8">
            <w:pPr>
              <w:pStyle w:val="BodyText"/>
              <w:rPr>
                <w:b/>
              </w:rPr>
            </w:pPr>
            <w:r w:rsidRPr="004655D8">
              <w:rPr>
                <w:rStyle w:val="Bulletcolour"/>
                <w:b/>
                <w:color w:val="auto"/>
              </w:rPr>
              <w:t xml:space="preserve">Number of actions </w:t>
            </w:r>
          </w:p>
        </w:tc>
        <w:tc>
          <w:tcPr>
            <w:tcW w:w="1964" w:type="pct"/>
            <w:gridSpan w:val="3"/>
          </w:tcPr>
          <w:p w:rsidR="008E273C" w:rsidRPr="004655D8" w:rsidRDefault="008E273C" w:rsidP="004655D8">
            <w:pPr>
              <w:pStyle w:val="BodyText"/>
              <w:rPr>
                <w:b/>
              </w:rPr>
            </w:pPr>
            <w:r w:rsidRPr="004655D8">
              <w:rPr>
                <w:rStyle w:val="Bulletcolour"/>
                <w:b/>
                <w:color w:val="auto"/>
              </w:rPr>
              <w:t xml:space="preserve">Child support collected/corrected $ million </w:t>
            </w:r>
          </w:p>
        </w:tc>
      </w:tr>
      <w:tr w:rsidR="008E273C" w:rsidRPr="004655D8" w:rsidTr="004655D8">
        <w:trPr>
          <w:trHeight w:val="60"/>
          <w:tblHeader/>
        </w:trPr>
        <w:tc>
          <w:tcPr>
            <w:tcW w:w="1072" w:type="pct"/>
          </w:tcPr>
          <w:p w:rsidR="008E273C" w:rsidRPr="004655D8" w:rsidRDefault="008E273C" w:rsidP="004655D8">
            <w:pPr>
              <w:pStyle w:val="BodyText"/>
            </w:pPr>
          </w:p>
        </w:tc>
        <w:tc>
          <w:tcPr>
            <w:tcW w:w="654" w:type="pct"/>
          </w:tcPr>
          <w:p w:rsidR="008E273C" w:rsidRPr="004655D8" w:rsidRDefault="008E273C" w:rsidP="004655D8">
            <w:pPr>
              <w:pStyle w:val="BodyText"/>
              <w:rPr>
                <w:b/>
              </w:rPr>
            </w:pPr>
            <w:r w:rsidRPr="004655D8">
              <w:rPr>
                <w:rStyle w:val="Bulletcolour"/>
                <w:b/>
                <w:color w:val="auto"/>
              </w:rPr>
              <w:t>2017–18</w:t>
            </w:r>
          </w:p>
        </w:tc>
        <w:tc>
          <w:tcPr>
            <w:tcW w:w="655" w:type="pct"/>
          </w:tcPr>
          <w:p w:rsidR="008E273C" w:rsidRPr="004655D8" w:rsidRDefault="008E273C" w:rsidP="004655D8">
            <w:pPr>
              <w:pStyle w:val="BodyText"/>
              <w:rPr>
                <w:b/>
              </w:rPr>
            </w:pPr>
            <w:r w:rsidRPr="004655D8">
              <w:rPr>
                <w:rStyle w:val="Bulletcolour"/>
                <w:b/>
                <w:color w:val="auto"/>
              </w:rPr>
              <w:t>2018–19</w:t>
            </w:r>
          </w:p>
        </w:tc>
        <w:tc>
          <w:tcPr>
            <w:tcW w:w="654" w:type="pct"/>
          </w:tcPr>
          <w:p w:rsidR="008E273C" w:rsidRPr="004655D8" w:rsidRDefault="008E273C" w:rsidP="004655D8">
            <w:pPr>
              <w:pStyle w:val="BodyText"/>
              <w:rPr>
                <w:b/>
              </w:rPr>
            </w:pPr>
            <w:r w:rsidRPr="004655D8">
              <w:rPr>
                <w:rStyle w:val="Bulletcolour"/>
                <w:b/>
                <w:color w:val="auto"/>
              </w:rPr>
              <w:t>2019–20</w:t>
            </w:r>
          </w:p>
        </w:tc>
        <w:tc>
          <w:tcPr>
            <w:tcW w:w="654" w:type="pct"/>
          </w:tcPr>
          <w:p w:rsidR="008E273C" w:rsidRPr="004655D8" w:rsidRDefault="008E273C" w:rsidP="004655D8">
            <w:pPr>
              <w:pStyle w:val="BodyText"/>
              <w:rPr>
                <w:b/>
              </w:rPr>
            </w:pPr>
            <w:r w:rsidRPr="004655D8">
              <w:rPr>
                <w:rStyle w:val="Bulletcolour"/>
                <w:b/>
                <w:color w:val="auto"/>
              </w:rPr>
              <w:t>2017–18</w:t>
            </w:r>
          </w:p>
        </w:tc>
        <w:tc>
          <w:tcPr>
            <w:tcW w:w="655" w:type="pct"/>
          </w:tcPr>
          <w:p w:rsidR="008E273C" w:rsidRPr="004655D8" w:rsidRDefault="008E273C" w:rsidP="004655D8">
            <w:pPr>
              <w:pStyle w:val="BodyText"/>
              <w:rPr>
                <w:b/>
              </w:rPr>
            </w:pPr>
            <w:r w:rsidRPr="004655D8">
              <w:rPr>
                <w:rStyle w:val="Bulletcolour"/>
                <w:b/>
                <w:color w:val="auto"/>
              </w:rPr>
              <w:t>2018–19</w:t>
            </w:r>
          </w:p>
        </w:tc>
        <w:tc>
          <w:tcPr>
            <w:tcW w:w="654" w:type="pct"/>
          </w:tcPr>
          <w:p w:rsidR="008E273C" w:rsidRPr="004655D8" w:rsidRDefault="008E273C" w:rsidP="004655D8">
            <w:pPr>
              <w:pStyle w:val="BodyText"/>
              <w:rPr>
                <w:b/>
              </w:rPr>
            </w:pPr>
            <w:r w:rsidRPr="004655D8">
              <w:rPr>
                <w:rStyle w:val="Bulletcolour"/>
                <w:b/>
                <w:color w:val="auto"/>
              </w:rPr>
              <w:t>2019–20</w:t>
            </w:r>
          </w:p>
        </w:tc>
      </w:tr>
      <w:tr w:rsidR="008E273C" w:rsidRPr="004655D8" w:rsidTr="004655D8">
        <w:trPr>
          <w:trHeight w:val="60"/>
        </w:trPr>
        <w:tc>
          <w:tcPr>
            <w:tcW w:w="1072" w:type="pct"/>
          </w:tcPr>
          <w:p w:rsidR="008E273C" w:rsidRPr="004655D8" w:rsidRDefault="008E273C" w:rsidP="004655D8">
            <w:pPr>
              <w:pStyle w:val="BodyText"/>
            </w:pPr>
            <w:r w:rsidRPr="004655D8">
              <w:rPr>
                <w:rStyle w:val="Bulletcolour"/>
                <w:color w:val="auto"/>
              </w:rPr>
              <w:t>Lodgement of finalisations</w:t>
            </w:r>
            <w:r w:rsidRPr="004655D8">
              <w:rPr>
                <w:rStyle w:val="Bulletcolour"/>
                <w:color w:val="auto"/>
                <w:vertAlign w:val="superscript"/>
              </w:rPr>
              <w:t>(a)</w:t>
            </w:r>
          </w:p>
        </w:tc>
        <w:tc>
          <w:tcPr>
            <w:tcW w:w="654" w:type="pct"/>
          </w:tcPr>
          <w:p w:rsidR="008E273C" w:rsidRPr="004655D8" w:rsidRDefault="008E273C" w:rsidP="004655D8">
            <w:pPr>
              <w:pStyle w:val="BodyText"/>
            </w:pPr>
            <w:r w:rsidRPr="004655D8">
              <w:rPr>
                <w:rStyle w:val="Bulletcolour"/>
                <w:color w:val="auto"/>
              </w:rPr>
              <w:t>158,099</w:t>
            </w:r>
          </w:p>
        </w:tc>
        <w:tc>
          <w:tcPr>
            <w:tcW w:w="655" w:type="pct"/>
          </w:tcPr>
          <w:p w:rsidR="008E273C" w:rsidRPr="004655D8" w:rsidRDefault="008E273C" w:rsidP="004655D8">
            <w:pPr>
              <w:pStyle w:val="BodyText"/>
            </w:pPr>
            <w:r w:rsidRPr="004655D8">
              <w:rPr>
                <w:rStyle w:val="Bulletcolour"/>
                <w:color w:val="auto"/>
              </w:rPr>
              <w:t>60,323</w:t>
            </w:r>
          </w:p>
        </w:tc>
        <w:tc>
          <w:tcPr>
            <w:tcW w:w="654" w:type="pct"/>
          </w:tcPr>
          <w:p w:rsidR="008E273C" w:rsidRPr="004655D8" w:rsidRDefault="008E273C" w:rsidP="004655D8">
            <w:pPr>
              <w:pStyle w:val="BodyText"/>
            </w:pPr>
            <w:r w:rsidRPr="004655D8">
              <w:rPr>
                <w:rStyle w:val="Bulletcolour"/>
                <w:color w:val="auto"/>
              </w:rPr>
              <w:t>122,658</w:t>
            </w:r>
          </w:p>
        </w:tc>
        <w:tc>
          <w:tcPr>
            <w:tcW w:w="654" w:type="pct"/>
          </w:tcPr>
          <w:p w:rsidR="008E273C" w:rsidRPr="004655D8" w:rsidRDefault="008E273C" w:rsidP="004655D8">
            <w:pPr>
              <w:pStyle w:val="BodyText"/>
            </w:pPr>
            <w:r w:rsidRPr="004655D8">
              <w:rPr>
                <w:rStyle w:val="Bulletcolour"/>
                <w:color w:val="auto"/>
              </w:rPr>
              <w:t>NA</w:t>
            </w:r>
          </w:p>
        </w:tc>
        <w:tc>
          <w:tcPr>
            <w:tcW w:w="655" w:type="pct"/>
          </w:tcPr>
          <w:p w:rsidR="008E273C" w:rsidRPr="004655D8" w:rsidRDefault="008E273C" w:rsidP="004655D8">
            <w:pPr>
              <w:pStyle w:val="BodyText"/>
            </w:pPr>
            <w:r w:rsidRPr="004655D8">
              <w:rPr>
                <w:rStyle w:val="Bulletcolour"/>
                <w:color w:val="auto"/>
              </w:rPr>
              <w:t>NA</w:t>
            </w:r>
          </w:p>
        </w:tc>
        <w:tc>
          <w:tcPr>
            <w:tcW w:w="654" w:type="pct"/>
          </w:tcPr>
          <w:p w:rsidR="008E273C" w:rsidRPr="004655D8" w:rsidRDefault="008E273C" w:rsidP="004655D8">
            <w:pPr>
              <w:pStyle w:val="BodyText"/>
            </w:pPr>
            <w:r w:rsidRPr="004655D8">
              <w:rPr>
                <w:rStyle w:val="Bulletcolour"/>
                <w:color w:val="auto"/>
              </w:rPr>
              <w:t>NA</w:t>
            </w:r>
          </w:p>
        </w:tc>
      </w:tr>
      <w:tr w:rsidR="008E273C" w:rsidRPr="004655D8" w:rsidTr="004655D8">
        <w:trPr>
          <w:trHeight w:val="60"/>
        </w:trPr>
        <w:tc>
          <w:tcPr>
            <w:tcW w:w="1072" w:type="pct"/>
          </w:tcPr>
          <w:p w:rsidR="008E273C" w:rsidRPr="004655D8" w:rsidRDefault="008E273C" w:rsidP="004655D8">
            <w:pPr>
              <w:pStyle w:val="BodyText"/>
            </w:pPr>
            <w:r w:rsidRPr="004655D8">
              <w:rPr>
                <w:rStyle w:val="Bulletcolour"/>
                <w:color w:val="auto"/>
              </w:rPr>
              <w:t>Tax refund intercept payment</w:t>
            </w:r>
            <w:r w:rsidRPr="004655D8">
              <w:rPr>
                <w:rStyle w:val="Bulletcolour"/>
                <w:color w:val="auto"/>
                <w:vertAlign w:val="superscript"/>
              </w:rPr>
              <w:t>(b)</w:t>
            </w:r>
          </w:p>
        </w:tc>
        <w:tc>
          <w:tcPr>
            <w:tcW w:w="654" w:type="pct"/>
          </w:tcPr>
          <w:p w:rsidR="008E273C" w:rsidRPr="004655D8" w:rsidRDefault="008E273C" w:rsidP="004655D8">
            <w:pPr>
              <w:pStyle w:val="BodyText"/>
            </w:pPr>
            <w:r w:rsidRPr="004655D8">
              <w:rPr>
                <w:rStyle w:val="Bulletcolour"/>
                <w:color w:val="auto"/>
              </w:rPr>
              <w:t>108,549</w:t>
            </w:r>
          </w:p>
        </w:tc>
        <w:tc>
          <w:tcPr>
            <w:tcW w:w="655" w:type="pct"/>
          </w:tcPr>
          <w:p w:rsidR="008E273C" w:rsidRPr="004655D8" w:rsidRDefault="008E273C" w:rsidP="004655D8">
            <w:pPr>
              <w:pStyle w:val="BodyText"/>
            </w:pPr>
            <w:r w:rsidRPr="004655D8">
              <w:rPr>
                <w:rStyle w:val="Bulletcolour"/>
                <w:color w:val="auto"/>
              </w:rPr>
              <w:t>106,147</w:t>
            </w:r>
          </w:p>
        </w:tc>
        <w:tc>
          <w:tcPr>
            <w:tcW w:w="654" w:type="pct"/>
          </w:tcPr>
          <w:p w:rsidR="008E273C" w:rsidRPr="004655D8" w:rsidRDefault="008E273C" w:rsidP="004655D8">
            <w:pPr>
              <w:pStyle w:val="BodyText"/>
            </w:pPr>
            <w:r w:rsidRPr="004655D8">
              <w:rPr>
                <w:rStyle w:val="Bulletcolour"/>
                <w:color w:val="auto"/>
              </w:rPr>
              <w:t>124,123</w:t>
            </w:r>
          </w:p>
        </w:tc>
        <w:tc>
          <w:tcPr>
            <w:tcW w:w="654" w:type="pct"/>
          </w:tcPr>
          <w:p w:rsidR="008E273C" w:rsidRPr="004655D8" w:rsidRDefault="008E273C" w:rsidP="004655D8">
            <w:pPr>
              <w:pStyle w:val="BodyText"/>
            </w:pPr>
            <w:r w:rsidRPr="004655D8">
              <w:rPr>
                <w:rStyle w:val="Bulletcolour"/>
                <w:color w:val="auto"/>
              </w:rPr>
              <w:t>127.4</w:t>
            </w:r>
          </w:p>
        </w:tc>
        <w:tc>
          <w:tcPr>
            <w:tcW w:w="655" w:type="pct"/>
          </w:tcPr>
          <w:p w:rsidR="008E273C" w:rsidRPr="004655D8" w:rsidRDefault="008E273C" w:rsidP="004655D8">
            <w:pPr>
              <w:pStyle w:val="BodyText"/>
            </w:pPr>
            <w:r w:rsidRPr="004655D8">
              <w:rPr>
                <w:rStyle w:val="Bulletcolour"/>
                <w:color w:val="auto"/>
              </w:rPr>
              <w:t>123.7</w:t>
            </w:r>
          </w:p>
        </w:tc>
        <w:tc>
          <w:tcPr>
            <w:tcW w:w="654" w:type="pct"/>
          </w:tcPr>
          <w:p w:rsidR="008E273C" w:rsidRPr="004655D8" w:rsidRDefault="008E273C" w:rsidP="004655D8">
            <w:pPr>
              <w:pStyle w:val="BodyText"/>
            </w:pPr>
            <w:r w:rsidRPr="004655D8">
              <w:rPr>
                <w:rStyle w:val="Bulletcolour"/>
                <w:color w:val="auto"/>
              </w:rPr>
              <w:t>161.2</w:t>
            </w:r>
          </w:p>
        </w:tc>
      </w:tr>
      <w:tr w:rsidR="008E273C" w:rsidRPr="004655D8" w:rsidTr="004655D8">
        <w:trPr>
          <w:trHeight w:val="60"/>
        </w:trPr>
        <w:tc>
          <w:tcPr>
            <w:tcW w:w="1072" w:type="pct"/>
          </w:tcPr>
          <w:p w:rsidR="008E273C" w:rsidRPr="004655D8" w:rsidRDefault="008E273C" w:rsidP="004655D8">
            <w:pPr>
              <w:pStyle w:val="BodyText"/>
            </w:pPr>
            <w:r w:rsidRPr="004655D8">
              <w:rPr>
                <w:rStyle w:val="Bulletcolour"/>
                <w:color w:val="auto"/>
              </w:rPr>
              <w:t>Departure Prohibition Orders</w:t>
            </w:r>
            <w:r w:rsidRPr="004655D8">
              <w:rPr>
                <w:rStyle w:val="Bulletcolour"/>
                <w:color w:val="auto"/>
                <w:vertAlign w:val="superscript"/>
              </w:rPr>
              <w:t>(c)</w:t>
            </w:r>
          </w:p>
        </w:tc>
        <w:tc>
          <w:tcPr>
            <w:tcW w:w="654" w:type="pct"/>
          </w:tcPr>
          <w:p w:rsidR="008E273C" w:rsidRPr="004655D8" w:rsidRDefault="008E273C" w:rsidP="004655D8">
            <w:pPr>
              <w:pStyle w:val="BodyText"/>
            </w:pPr>
            <w:r w:rsidRPr="004655D8">
              <w:rPr>
                <w:rStyle w:val="Bulletcolour"/>
                <w:color w:val="auto"/>
              </w:rPr>
              <w:t>1,572</w:t>
            </w:r>
          </w:p>
        </w:tc>
        <w:tc>
          <w:tcPr>
            <w:tcW w:w="655" w:type="pct"/>
          </w:tcPr>
          <w:p w:rsidR="008E273C" w:rsidRPr="004655D8" w:rsidRDefault="008E273C" w:rsidP="004655D8">
            <w:pPr>
              <w:pStyle w:val="BodyText"/>
            </w:pPr>
            <w:r w:rsidRPr="004655D8">
              <w:rPr>
                <w:rStyle w:val="Bulletcolour"/>
                <w:color w:val="auto"/>
              </w:rPr>
              <w:t>1,921</w:t>
            </w:r>
          </w:p>
        </w:tc>
        <w:tc>
          <w:tcPr>
            <w:tcW w:w="654" w:type="pct"/>
          </w:tcPr>
          <w:p w:rsidR="008E273C" w:rsidRPr="004655D8" w:rsidRDefault="008E273C" w:rsidP="004655D8">
            <w:pPr>
              <w:pStyle w:val="BodyText"/>
            </w:pPr>
            <w:r w:rsidRPr="004655D8">
              <w:rPr>
                <w:rStyle w:val="Bulletcolour"/>
                <w:color w:val="auto"/>
              </w:rPr>
              <w:t>741</w:t>
            </w:r>
          </w:p>
        </w:tc>
        <w:tc>
          <w:tcPr>
            <w:tcW w:w="654" w:type="pct"/>
          </w:tcPr>
          <w:p w:rsidR="008E273C" w:rsidRPr="004655D8" w:rsidRDefault="008E273C" w:rsidP="004655D8">
            <w:pPr>
              <w:pStyle w:val="BodyText"/>
            </w:pPr>
            <w:r w:rsidRPr="004655D8">
              <w:rPr>
                <w:rStyle w:val="Bulletcolour"/>
                <w:color w:val="auto"/>
              </w:rPr>
              <w:t>12.5</w:t>
            </w:r>
          </w:p>
        </w:tc>
        <w:tc>
          <w:tcPr>
            <w:tcW w:w="655" w:type="pct"/>
          </w:tcPr>
          <w:p w:rsidR="008E273C" w:rsidRPr="004655D8" w:rsidRDefault="008E273C" w:rsidP="004655D8">
            <w:pPr>
              <w:pStyle w:val="BodyText"/>
            </w:pPr>
            <w:r w:rsidRPr="004655D8">
              <w:rPr>
                <w:rStyle w:val="Bulletcolour"/>
                <w:color w:val="auto"/>
              </w:rPr>
              <w:t>28.0</w:t>
            </w:r>
          </w:p>
        </w:tc>
        <w:tc>
          <w:tcPr>
            <w:tcW w:w="654" w:type="pct"/>
          </w:tcPr>
          <w:p w:rsidR="008E273C" w:rsidRPr="004655D8" w:rsidRDefault="008E273C" w:rsidP="004655D8">
            <w:pPr>
              <w:pStyle w:val="BodyText"/>
            </w:pPr>
            <w:r w:rsidRPr="004655D8">
              <w:rPr>
                <w:rStyle w:val="Bulletcolour"/>
                <w:color w:val="auto"/>
              </w:rPr>
              <w:t>25.0</w:t>
            </w:r>
          </w:p>
        </w:tc>
      </w:tr>
      <w:tr w:rsidR="008E273C" w:rsidRPr="004655D8" w:rsidTr="004655D8">
        <w:trPr>
          <w:trHeight w:val="376"/>
        </w:trPr>
        <w:tc>
          <w:tcPr>
            <w:tcW w:w="1072" w:type="pct"/>
          </w:tcPr>
          <w:p w:rsidR="008E273C" w:rsidRPr="004655D8" w:rsidRDefault="008E273C" w:rsidP="004655D8">
            <w:pPr>
              <w:pStyle w:val="BodyText"/>
            </w:pPr>
            <w:r w:rsidRPr="004655D8">
              <w:rPr>
                <w:rStyle w:val="Bulletcolour"/>
                <w:color w:val="auto"/>
              </w:rPr>
              <w:t>Litigation</w:t>
            </w:r>
            <w:r w:rsidRPr="004655D8">
              <w:rPr>
                <w:rStyle w:val="Bulletcolour"/>
                <w:color w:val="auto"/>
                <w:vertAlign w:val="superscript"/>
              </w:rPr>
              <w:t>(d)</w:t>
            </w:r>
            <w:r w:rsidRPr="004655D8">
              <w:rPr>
                <w:rStyle w:val="Bulletcolour"/>
                <w:color w:val="auto"/>
              </w:rPr>
              <w:t xml:space="preserve"> </w:t>
            </w:r>
          </w:p>
        </w:tc>
        <w:tc>
          <w:tcPr>
            <w:tcW w:w="654" w:type="pct"/>
          </w:tcPr>
          <w:p w:rsidR="008E273C" w:rsidRPr="004655D8" w:rsidRDefault="008E273C" w:rsidP="004655D8">
            <w:pPr>
              <w:pStyle w:val="BodyText"/>
            </w:pPr>
            <w:r w:rsidRPr="004655D8">
              <w:rPr>
                <w:rStyle w:val="Bulletcolour"/>
                <w:color w:val="auto"/>
              </w:rPr>
              <w:t>113</w:t>
            </w:r>
          </w:p>
        </w:tc>
        <w:tc>
          <w:tcPr>
            <w:tcW w:w="655" w:type="pct"/>
          </w:tcPr>
          <w:p w:rsidR="008E273C" w:rsidRPr="004655D8" w:rsidRDefault="008E273C" w:rsidP="004655D8">
            <w:pPr>
              <w:pStyle w:val="BodyText"/>
            </w:pPr>
            <w:r w:rsidRPr="004655D8">
              <w:rPr>
                <w:rStyle w:val="Bulletcolour"/>
                <w:color w:val="auto"/>
              </w:rPr>
              <w:t>75</w:t>
            </w:r>
          </w:p>
        </w:tc>
        <w:tc>
          <w:tcPr>
            <w:tcW w:w="654" w:type="pct"/>
          </w:tcPr>
          <w:p w:rsidR="008E273C" w:rsidRPr="004655D8" w:rsidRDefault="008E273C" w:rsidP="004655D8">
            <w:pPr>
              <w:pStyle w:val="BodyText"/>
            </w:pPr>
            <w:r w:rsidRPr="004655D8">
              <w:rPr>
                <w:rStyle w:val="Bulletcolour"/>
                <w:color w:val="auto"/>
              </w:rPr>
              <w:t>53</w:t>
            </w:r>
          </w:p>
        </w:tc>
        <w:tc>
          <w:tcPr>
            <w:tcW w:w="654" w:type="pct"/>
          </w:tcPr>
          <w:p w:rsidR="008E273C" w:rsidRPr="004655D8" w:rsidRDefault="008E273C" w:rsidP="004655D8">
            <w:pPr>
              <w:pStyle w:val="BodyText"/>
            </w:pPr>
            <w:r w:rsidRPr="004655D8">
              <w:rPr>
                <w:rStyle w:val="Bulletcolour"/>
                <w:color w:val="auto"/>
              </w:rPr>
              <w:t>7.5</w:t>
            </w:r>
          </w:p>
        </w:tc>
        <w:tc>
          <w:tcPr>
            <w:tcW w:w="655" w:type="pct"/>
          </w:tcPr>
          <w:p w:rsidR="008E273C" w:rsidRPr="004655D8" w:rsidRDefault="008E273C" w:rsidP="004655D8">
            <w:pPr>
              <w:pStyle w:val="BodyText"/>
            </w:pPr>
            <w:r w:rsidRPr="004655D8">
              <w:rPr>
                <w:rStyle w:val="Bulletcolour"/>
                <w:color w:val="auto"/>
              </w:rPr>
              <w:t>15.0</w:t>
            </w:r>
          </w:p>
        </w:tc>
        <w:tc>
          <w:tcPr>
            <w:tcW w:w="654" w:type="pct"/>
          </w:tcPr>
          <w:p w:rsidR="008E273C" w:rsidRPr="004655D8" w:rsidRDefault="008E273C" w:rsidP="004655D8">
            <w:pPr>
              <w:pStyle w:val="BodyText"/>
            </w:pPr>
            <w:r w:rsidRPr="004655D8">
              <w:rPr>
                <w:rStyle w:val="Bulletcolour"/>
                <w:color w:val="auto"/>
              </w:rPr>
              <w:t>12.0</w:t>
            </w:r>
          </w:p>
        </w:tc>
      </w:tr>
    </w:tbl>
    <w:p w:rsidR="008E273C" w:rsidRDefault="008E273C" w:rsidP="004655D8">
      <w:pPr>
        <w:pStyle w:val="BodyText"/>
      </w:pPr>
      <w:r>
        <w:lastRenderedPageBreak/>
        <w:t>(a)</w:t>
      </w:r>
      <w:r w:rsidR="004655D8">
        <w:t xml:space="preserve"> </w:t>
      </w:r>
      <w:r>
        <w:t>To ensure assessments for child support are accurate, the Australian Taxation Office (ATO) takes lodgement enforcement action for mutual customers. A finalisation is defined as a tax return lodgement; an ATO determination that a return is not necessary; a further return is not necessary; or an ATO determined income. Th</w:t>
      </w:r>
      <w:r>
        <w:rPr>
          <w:rStyle w:val="NoBreak"/>
          <w:spacing w:val="-2"/>
        </w:rPr>
        <w:t>is defi</w:t>
      </w:r>
      <w:r>
        <w:t xml:space="preserve">nition has been updated to include all actions undertaken by the ATO, therefore this table will differ from previous published annual reports. </w:t>
      </w:r>
    </w:p>
    <w:p w:rsidR="008E273C" w:rsidRDefault="008E273C" w:rsidP="004655D8">
      <w:pPr>
        <w:pStyle w:val="BodyText"/>
      </w:pPr>
      <w:r>
        <w:t>(b)</w:t>
      </w:r>
      <w:r w:rsidR="004655D8">
        <w:t xml:space="preserve"> </w:t>
      </w:r>
      <w:r>
        <w:t>Tax refund intercepts resulting from actions taken to enforce ATO taxable incomes (lodg</w:t>
      </w:r>
      <w:r>
        <w:rPr>
          <w:rStyle w:val="NoBreak"/>
        </w:rPr>
        <w:t>ement enforc</w:t>
      </w:r>
      <w:r>
        <w:t xml:space="preserve">ement) are included in this figure. </w:t>
      </w:r>
    </w:p>
    <w:p w:rsidR="008E273C" w:rsidRDefault="008E273C" w:rsidP="004655D8">
      <w:pPr>
        <w:pStyle w:val="BodyText"/>
      </w:pPr>
      <w:r>
        <w:t>(c)</w:t>
      </w:r>
      <w:r w:rsidR="004655D8">
        <w:t xml:space="preserve"> </w:t>
      </w:r>
      <w:r>
        <w:t xml:space="preserve">DPOs preventing overseas travel are issued to people who have not made satisfactory arrangements to clear substantial debts. </w:t>
      </w:r>
    </w:p>
    <w:p w:rsidR="008E273C" w:rsidRDefault="008E273C" w:rsidP="004655D8">
      <w:pPr>
        <w:pStyle w:val="BodyText"/>
      </w:pPr>
      <w:r>
        <w:t>(d)</w:t>
      </w:r>
      <w:r w:rsidR="004655D8">
        <w:t xml:space="preserve"> </w:t>
      </w:r>
      <w:r>
        <w:t>When other enforcement options have been unsuccessful and an assets or income stream is identified, the agency takes litigation action against parents who repeatedly avoid paying their child support.</w:t>
      </w:r>
    </w:p>
    <w:p w:rsidR="008E273C" w:rsidRPr="004655D8" w:rsidRDefault="004655D8" w:rsidP="004655D8">
      <w:pPr>
        <w:pStyle w:val="BodyText"/>
        <w:rPr>
          <w:b/>
        </w:rPr>
      </w:pPr>
      <w:r w:rsidRPr="004655D8">
        <w:rPr>
          <w:b/>
        </w:rPr>
        <w:t>Table 31:</w:t>
      </w:r>
      <w:r w:rsidR="008E273C" w:rsidRPr="004655D8">
        <w:rPr>
          <w:b/>
        </w:rPr>
        <w:t xml:space="preserve"> Employer withholding from wages and salaries</w:t>
      </w:r>
    </w:p>
    <w:tbl>
      <w:tblPr>
        <w:tblStyle w:val="TableGrid"/>
        <w:tblW w:w="5000" w:type="pct"/>
        <w:tblLook w:val="0000" w:firstRow="0" w:lastRow="0" w:firstColumn="0" w:lastColumn="0" w:noHBand="0" w:noVBand="0"/>
        <w:tblCaption w:val="Table 31: Employer withholding from wages and salaries"/>
        <w:tblDescription w:val="Table 31: Employer withholding from wages and salaries"/>
      </w:tblPr>
      <w:tblGrid>
        <w:gridCol w:w="4756"/>
        <w:gridCol w:w="2115"/>
        <w:gridCol w:w="2115"/>
        <w:gridCol w:w="2110"/>
      </w:tblGrid>
      <w:tr w:rsidR="008E273C" w:rsidTr="004655D8">
        <w:trPr>
          <w:trHeight w:val="60"/>
          <w:tblHeader/>
        </w:trPr>
        <w:tc>
          <w:tcPr>
            <w:tcW w:w="2143" w:type="pct"/>
          </w:tcPr>
          <w:p w:rsidR="008E273C" w:rsidRPr="004655D8" w:rsidRDefault="008E273C" w:rsidP="004655D8">
            <w:pPr>
              <w:pStyle w:val="BodyText"/>
              <w:rPr>
                <w:b/>
              </w:rPr>
            </w:pPr>
          </w:p>
        </w:tc>
        <w:tc>
          <w:tcPr>
            <w:tcW w:w="953" w:type="pct"/>
          </w:tcPr>
          <w:p w:rsidR="008E273C" w:rsidRPr="004655D8" w:rsidRDefault="008E273C" w:rsidP="004655D8">
            <w:pPr>
              <w:pStyle w:val="BodyText"/>
              <w:rPr>
                <w:b/>
              </w:rPr>
            </w:pPr>
            <w:r w:rsidRPr="004655D8">
              <w:rPr>
                <w:rStyle w:val="Bulletcolour"/>
                <w:b/>
              </w:rPr>
              <w:t>2017–18</w:t>
            </w:r>
          </w:p>
        </w:tc>
        <w:tc>
          <w:tcPr>
            <w:tcW w:w="953" w:type="pct"/>
          </w:tcPr>
          <w:p w:rsidR="008E273C" w:rsidRPr="004655D8" w:rsidRDefault="008E273C" w:rsidP="004655D8">
            <w:pPr>
              <w:pStyle w:val="BodyText"/>
              <w:rPr>
                <w:b/>
              </w:rPr>
            </w:pPr>
            <w:r w:rsidRPr="004655D8">
              <w:rPr>
                <w:rStyle w:val="Bulletcolour"/>
                <w:b/>
              </w:rPr>
              <w:t>2018–19</w:t>
            </w:r>
          </w:p>
        </w:tc>
        <w:tc>
          <w:tcPr>
            <w:tcW w:w="952" w:type="pct"/>
          </w:tcPr>
          <w:p w:rsidR="008E273C" w:rsidRPr="004655D8" w:rsidRDefault="008E273C" w:rsidP="004655D8">
            <w:pPr>
              <w:pStyle w:val="BodyText"/>
              <w:rPr>
                <w:b/>
              </w:rPr>
            </w:pPr>
            <w:r w:rsidRPr="004655D8">
              <w:rPr>
                <w:rStyle w:val="Bulletcolour"/>
                <w:b/>
              </w:rPr>
              <w:t>2019–20</w:t>
            </w:r>
          </w:p>
        </w:tc>
      </w:tr>
      <w:tr w:rsidR="008E273C" w:rsidTr="004655D8">
        <w:trPr>
          <w:trHeight w:val="60"/>
        </w:trPr>
        <w:tc>
          <w:tcPr>
            <w:tcW w:w="2143" w:type="pct"/>
          </w:tcPr>
          <w:p w:rsidR="008E273C" w:rsidRDefault="008E273C" w:rsidP="004655D8">
            <w:pPr>
              <w:pStyle w:val="BodyText"/>
            </w:pPr>
            <w:r>
              <w:rPr>
                <w:rStyle w:val="Bulletcolour"/>
              </w:rPr>
              <w:t>Active paying parents with employer withholding payments set up</w:t>
            </w:r>
            <w:r>
              <w:rPr>
                <w:rStyle w:val="Bulletcolour"/>
                <w:vertAlign w:val="superscript"/>
              </w:rPr>
              <w:t>(a)</w:t>
            </w:r>
          </w:p>
        </w:tc>
        <w:tc>
          <w:tcPr>
            <w:tcW w:w="953" w:type="pct"/>
          </w:tcPr>
          <w:p w:rsidR="008E273C" w:rsidRDefault="008E273C" w:rsidP="004655D8">
            <w:pPr>
              <w:pStyle w:val="BodyText"/>
            </w:pPr>
            <w:r>
              <w:rPr>
                <w:rStyle w:val="Bulletcolour"/>
              </w:rPr>
              <w:t>69,110</w:t>
            </w:r>
          </w:p>
        </w:tc>
        <w:tc>
          <w:tcPr>
            <w:tcW w:w="953" w:type="pct"/>
          </w:tcPr>
          <w:p w:rsidR="008E273C" w:rsidRDefault="008E273C" w:rsidP="004655D8">
            <w:pPr>
              <w:pStyle w:val="BodyText"/>
            </w:pPr>
            <w:r>
              <w:rPr>
                <w:rStyle w:val="Bulletcolour"/>
              </w:rPr>
              <w:t>73,378</w:t>
            </w:r>
          </w:p>
        </w:tc>
        <w:tc>
          <w:tcPr>
            <w:tcW w:w="952" w:type="pct"/>
          </w:tcPr>
          <w:p w:rsidR="008E273C" w:rsidRDefault="008E273C" w:rsidP="004655D8">
            <w:pPr>
              <w:pStyle w:val="BodyText"/>
            </w:pPr>
            <w:r>
              <w:rPr>
                <w:rStyle w:val="Bulletcolour"/>
              </w:rPr>
              <w:t>73,663</w:t>
            </w:r>
          </w:p>
        </w:tc>
      </w:tr>
    </w:tbl>
    <w:p w:rsidR="008E273C" w:rsidRDefault="008E273C" w:rsidP="004655D8">
      <w:pPr>
        <w:pStyle w:val="BodyText"/>
      </w:pPr>
      <w:r>
        <w:t>(a)</w:t>
      </w:r>
      <w:r w:rsidR="004655D8">
        <w:t xml:space="preserve"> </w:t>
      </w:r>
      <w:r>
        <w:t xml:space="preserve">The agency may initiate employer withholding for both current liability and child support debt. </w:t>
      </w:r>
    </w:p>
    <w:p w:rsidR="008E273C" w:rsidRPr="0075125F" w:rsidRDefault="0075125F" w:rsidP="0075125F">
      <w:pPr>
        <w:pStyle w:val="BodyText"/>
        <w:rPr>
          <w:b/>
        </w:rPr>
      </w:pPr>
      <w:r w:rsidRPr="0075125F">
        <w:rPr>
          <w:b/>
        </w:rPr>
        <w:t>Table 32:</w:t>
      </w:r>
      <w:r w:rsidR="008E273C" w:rsidRPr="0075125F">
        <w:rPr>
          <w:b/>
        </w:rPr>
        <w:t xml:space="preserve"> Deductions from Centrelink and Department of Veterans’ Affairs payments</w:t>
      </w:r>
    </w:p>
    <w:tbl>
      <w:tblPr>
        <w:tblStyle w:val="TableGrid"/>
        <w:tblW w:w="5000" w:type="pct"/>
        <w:tblLook w:val="0000" w:firstRow="0" w:lastRow="0" w:firstColumn="0" w:lastColumn="0" w:noHBand="0" w:noVBand="0"/>
        <w:tblCaption w:val="Table 32: Deductions from Centrelink and Department of Veterans’ Affairs payments"/>
        <w:tblDescription w:val="Table 32: Deductions from Centrelink and Department of Veterans’ Affairs payments"/>
      </w:tblPr>
      <w:tblGrid>
        <w:gridCol w:w="3684"/>
        <w:gridCol w:w="2470"/>
        <w:gridCol w:w="2472"/>
        <w:gridCol w:w="2470"/>
      </w:tblGrid>
      <w:tr w:rsidR="008E273C" w:rsidTr="0075125F">
        <w:trPr>
          <w:trHeight w:val="60"/>
          <w:tblHeader/>
        </w:trPr>
        <w:tc>
          <w:tcPr>
            <w:tcW w:w="1660" w:type="pct"/>
          </w:tcPr>
          <w:p w:rsidR="008E273C" w:rsidRPr="0075125F" w:rsidRDefault="008E273C" w:rsidP="0075125F">
            <w:pPr>
              <w:pStyle w:val="BodyText"/>
              <w:rPr>
                <w:b/>
              </w:rPr>
            </w:pPr>
          </w:p>
        </w:tc>
        <w:tc>
          <w:tcPr>
            <w:tcW w:w="1113" w:type="pct"/>
          </w:tcPr>
          <w:p w:rsidR="008E273C" w:rsidRPr="0075125F" w:rsidRDefault="008E273C" w:rsidP="0075125F">
            <w:pPr>
              <w:pStyle w:val="BodyText"/>
              <w:rPr>
                <w:b/>
              </w:rPr>
            </w:pPr>
            <w:r w:rsidRPr="0075125F">
              <w:rPr>
                <w:rStyle w:val="Bulletcolour"/>
                <w:b/>
              </w:rPr>
              <w:t>2017–18</w:t>
            </w:r>
          </w:p>
        </w:tc>
        <w:tc>
          <w:tcPr>
            <w:tcW w:w="1114" w:type="pct"/>
          </w:tcPr>
          <w:p w:rsidR="008E273C" w:rsidRPr="0075125F" w:rsidRDefault="008E273C" w:rsidP="0075125F">
            <w:pPr>
              <w:pStyle w:val="BodyText"/>
              <w:rPr>
                <w:b/>
              </w:rPr>
            </w:pPr>
            <w:r w:rsidRPr="0075125F">
              <w:rPr>
                <w:rStyle w:val="Bulletcolour"/>
                <w:b/>
              </w:rPr>
              <w:t>2018–19</w:t>
            </w:r>
          </w:p>
        </w:tc>
        <w:tc>
          <w:tcPr>
            <w:tcW w:w="1113" w:type="pct"/>
          </w:tcPr>
          <w:p w:rsidR="008E273C" w:rsidRPr="0075125F" w:rsidRDefault="008E273C" w:rsidP="0075125F">
            <w:pPr>
              <w:pStyle w:val="BodyText"/>
              <w:rPr>
                <w:b/>
              </w:rPr>
            </w:pPr>
            <w:r w:rsidRPr="0075125F">
              <w:rPr>
                <w:rStyle w:val="Bulletcolour"/>
                <w:b/>
              </w:rPr>
              <w:t>2019–20</w:t>
            </w:r>
          </w:p>
        </w:tc>
      </w:tr>
      <w:tr w:rsidR="008E273C" w:rsidTr="0075125F">
        <w:trPr>
          <w:trHeight w:val="60"/>
        </w:trPr>
        <w:tc>
          <w:tcPr>
            <w:tcW w:w="1660" w:type="pct"/>
          </w:tcPr>
          <w:p w:rsidR="008E273C" w:rsidRDefault="008E273C" w:rsidP="0075125F">
            <w:pPr>
              <w:pStyle w:val="BodyText"/>
            </w:pPr>
            <w:r>
              <w:rPr>
                <w:rStyle w:val="Bulletcolour"/>
              </w:rPr>
              <w:t>Amounts collected from Centrelink and DVA payments</w:t>
            </w:r>
            <w:r>
              <w:rPr>
                <w:rStyle w:val="Bulletcolour"/>
                <w:vertAlign w:val="superscript"/>
              </w:rPr>
              <w:t>(a)(b)</w:t>
            </w:r>
          </w:p>
        </w:tc>
        <w:tc>
          <w:tcPr>
            <w:tcW w:w="1113" w:type="pct"/>
          </w:tcPr>
          <w:p w:rsidR="008E273C" w:rsidRDefault="008E273C" w:rsidP="0075125F">
            <w:pPr>
              <w:pStyle w:val="BodyText"/>
            </w:pPr>
            <w:r>
              <w:rPr>
                <w:rStyle w:val="Bulletcolour"/>
              </w:rPr>
              <w:t>$66.8 million</w:t>
            </w:r>
          </w:p>
        </w:tc>
        <w:tc>
          <w:tcPr>
            <w:tcW w:w="1114" w:type="pct"/>
          </w:tcPr>
          <w:p w:rsidR="008E273C" w:rsidRDefault="008E273C" w:rsidP="0075125F">
            <w:pPr>
              <w:pStyle w:val="BodyText"/>
            </w:pPr>
            <w:r>
              <w:rPr>
                <w:rStyle w:val="Bulletcolour"/>
              </w:rPr>
              <w:t>$69.1 million</w:t>
            </w:r>
          </w:p>
        </w:tc>
        <w:tc>
          <w:tcPr>
            <w:tcW w:w="1113" w:type="pct"/>
          </w:tcPr>
          <w:p w:rsidR="008E273C" w:rsidRDefault="008E273C" w:rsidP="0075125F">
            <w:pPr>
              <w:pStyle w:val="BodyText"/>
            </w:pPr>
            <w:r>
              <w:rPr>
                <w:rStyle w:val="Bulletcolour"/>
              </w:rPr>
              <w:t>$76.6 million</w:t>
            </w:r>
          </w:p>
        </w:tc>
      </w:tr>
    </w:tbl>
    <w:p w:rsidR="008E273C" w:rsidRDefault="008E273C" w:rsidP="0075125F">
      <w:pPr>
        <w:pStyle w:val="BodyText"/>
      </w:pPr>
      <w:r>
        <w:t xml:space="preserve">(a) Represents the total amount of deductions from both Centrelink and DVA payments. </w:t>
      </w:r>
    </w:p>
    <w:p w:rsidR="008E273C" w:rsidRDefault="008E273C" w:rsidP="0075125F">
      <w:pPr>
        <w:pStyle w:val="BodyText"/>
      </w:pPr>
      <w:r>
        <w:t>(b) These deductions may be made for both current liability and child support debt.</w:t>
      </w:r>
    </w:p>
    <w:p w:rsidR="008E273C" w:rsidRDefault="008E273C" w:rsidP="008E273C">
      <w:pPr>
        <w:pStyle w:val="Heading1"/>
      </w:pPr>
      <w:r>
        <w:t>1.6 Help for vulnerable people</w:t>
      </w:r>
    </w:p>
    <w:p w:rsidR="008E273C" w:rsidRDefault="008E273C" w:rsidP="008E273C">
      <w:pPr>
        <w:pStyle w:val="Heading2"/>
      </w:pPr>
      <w:r>
        <w:t xml:space="preserve">People affected by family and domestic violence </w:t>
      </w:r>
    </w:p>
    <w:p w:rsidR="008E273C" w:rsidRDefault="008E273C" w:rsidP="008E273C">
      <w:pPr>
        <w:pStyle w:val="BodyText"/>
      </w:pPr>
      <w:r>
        <w:t>Services Australia is strongly committed to supporting people affected by family and domestic violence by providing information and support through payments and referrals to support services, such as social work services.</w:t>
      </w:r>
    </w:p>
    <w:p w:rsidR="008E273C" w:rsidRDefault="008E273C" w:rsidP="00E42522">
      <w:pPr>
        <w:pStyle w:val="BodyText"/>
      </w:pPr>
      <w:r>
        <w:t>Customers are supported through the agency’s Risk Identification and Refe</w:t>
      </w:r>
      <w:r>
        <w:rPr>
          <w:rStyle w:val="NoBreak"/>
        </w:rPr>
        <w:t>rral Mo</w:t>
      </w:r>
      <w:r>
        <w:t>del, which helps staff to identify customers affected by family and domestic violence and offer them support. In 2019–20:</w:t>
      </w:r>
    </w:p>
    <w:p w:rsidR="008E273C" w:rsidRDefault="008E273C" w:rsidP="00E42522">
      <w:pPr>
        <w:pStyle w:val="ListBullet"/>
      </w:pPr>
      <w:r>
        <w:t>20,172 Crisis Payments were granted to support customers affected by family and domestic violence</w:t>
      </w:r>
    </w:p>
    <w:p w:rsidR="008E273C" w:rsidRDefault="008E273C" w:rsidP="00E42522">
      <w:pPr>
        <w:pStyle w:val="ListBullet"/>
      </w:pPr>
      <w:r>
        <w:lastRenderedPageBreak/>
        <w:t>our family and domestic violence web pages were viewed 387,693 times</w:t>
      </w:r>
    </w:p>
    <w:p w:rsidR="008E273C" w:rsidRDefault="008E273C" w:rsidP="00E42522">
      <w:pPr>
        <w:pStyle w:val="ListBullet"/>
      </w:pPr>
      <w:proofErr w:type="gramStart"/>
      <w:r>
        <w:t>staff</w:t>
      </w:r>
      <w:proofErr w:type="gramEnd"/>
      <w:r>
        <w:t xml:space="preserve"> completed approximately 15,400 training sessions to help assist customers and/or agency staff affected by family and domestic violence.</w:t>
      </w:r>
    </w:p>
    <w:p w:rsidR="008E273C" w:rsidRDefault="008E273C" w:rsidP="008E273C">
      <w:pPr>
        <w:pStyle w:val="Heading2"/>
      </w:pPr>
      <w:r>
        <w:t>Indigenous people</w:t>
      </w:r>
    </w:p>
    <w:p w:rsidR="008E273C" w:rsidRDefault="008E273C" w:rsidP="008E273C">
      <w:pPr>
        <w:pStyle w:val="BodyText"/>
      </w:pPr>
      <w:r>
        <w:t>Aboriginal and Torres Strait Islander peoples can often face particular challenges in accessing services, especially if they live in remote areas.</w:t>
      </w:r>
    </w:p>
    <w:p w:rsidR="008E273C" w:rsidRDefault="008E273C" w:rsidP="008E273C">
      <w:pPr>
        <w:pStyle w:val="Heading3"/>
      </w:pPr>
      <w:r>
        <w:t>Indigenous Servicing Strategy</w:t>
      </w:r>
    </w:p>
    <w:p w:rsidR="008E273C" w:rsidRDefault="008E273C" w:rsidP="008E273C">
      <w:pPr>
        <w:pStyle w:val="BodyText"/>
      </w:pPr>
      <w:r>
        <w:t xml:space="preserve">The </w:t>
      </w:r>
      <w:r>
        <w:rPr>
          <w:rFonts w:ascii="Roboto-Italic" w:hAnsi="Roboto-Italic" w:cs="Roboto-Italic"/>
          <w:i/>
          <w:iCs/>
        </w:rPr>
        <w:t>Indigenous Servicing Strategy 2018–22</w:t>
      </w:r>
      <w:r>
        <w:t xml:space="preserve"> outlines the agency’s commitment to improving outcomes for Aboriginal and Torres Strait Islander peoples by continuing its focus on effective service delivery. It provides clear direction to all agency staff who design and deliver services for Aboriginal and Torres Strait Islander Australians.</w:t>
      </w:r>
    </w:p>
    <w:p w:rsidR="008E273C" w:rsidRDefault="008E273C" w:rsidP="008E273C">
      <w:pPr>
        <w:pStyle w:val="BodyText"/>
        <w:rPr>
          <w:rFonts w:ascii="Roboto-Italic" w:hAnsi="Roboto-Italic" w:cs="Roboto-Italic"/>
          <w:i/>
          <w:iCs/>
        </w:rPr>
      </w:pPr>
      <w:r>
        <w:t xml:space="preserve">The strategy aligns with and supports the agency’s </w:t>
      </w:r>
      <w:r>
        <w:rPr>
          <w:rFonts w:ascii="Roboto-Italic" w:hAnsi="Roboto-Italic" w:cs="Roboto-Italic"/>
          <w:i/>
          <w:iCs/>
        </w:rPr>
        <w:t>Reconciliation Action Plan 2018–22</w:t>
      </w:r>
      <w:r>
        <w:t xml:space="preserve"> (see </w:t>
      </w:r>
      <w:r>
        <w:rPr>
          <w:rFonts w:ascii="Roboto-Italic" w:hAnsi="Roboto-Italic" w:cs="Roboto-Italic"/>
          <w:i/>
          <w:iCs/>
        </w:rPr>
        <w:t xml:space="preserve">Reconciliation </w:t>
      </w:r>
      <w:r>
        <w:t xml:space="preserve">on page 187 and </w:t>
      </w:r>
      <w:r>
        <w:rPr>
          <w:rFonts w:ascii="Roboto-Italic" w:hAnsi="Roboto-Italic" w:cs="Roboto-Italic"/>
          <w:i/>
          <w:iCs/>
        </w:rPr>
        <w:t>Supporting Aboriginal and Tor</w:t>
      </w:r>
      <w:r>
        <w:rPr>
          <w:rStyle w:val="NoBreak"/>
          <w:rFonts w:ascii="Roboto-Italic" w:hAnsi="Roboto-Italic" w:cs="Roboto-Italic"/>
          <w:i/>
          <w:iCs/>
        </w:rPr>
        <w:t>res S</w:t>
      </w:r>
      <w:r>
        <w:rPr>
          <w:rFonts w:ascii="Roboto-Italic" w:hAnsi="Roboto-Italic" w:cs="Roboto-Italic"/>
          <w:i/>
          <w:iCs/>
        </w:rPr>
        <w:t xml:space="preserve">trait Islander staff </w:t>
      </w:r>
      <w:r>
        <w:t>on page 186</w:t>
      </w:r>
      <w:r>
        <w:rPr>
          <w:rFonts w:ascii="Roboto-Italic" w:hAnsi="Roboto-Italic" w:cs="Roboto-Italic"/>
          <w:i/>
          <w:iCs/>
        </w:rPr>
        <w:t xml:space="preserve">). </w:t>
      </w:r>
    </w:p>
    <w:p w:rsidR="008E273C" w:rsidRDefault="008E273C" w:rsidP="008E273C">
      <w:pPr>
        <w:pStyle w:val="BodyText"/>
        <w:rPr>
          <w:rFonts w:ascii="Roboto-Bold" w:hAnsi="Roboto-Bold" w:cs="Roboto-Bold"/>
          <w:b/>
          <w:bCs/>
        </w:rPr>
      </w:pPr>
      <w:r>
        <w:t xml:space="preserve">For more information about the plan and the strategy see our website at </w:t>
      </w:r>
      <w:r>
        <w:rPr>
          <w:rFonts w:ascii="Roboto-Bold" w:hAnsi="Roboto-Bold" w:cs="Roboto-Bold"/>
          <w:b/>
          <w:bCs/>
        </w:rPr>
        <w:t>servicesaustralia.gov.au</w:t>
      </w:r>
    </w:p>
    <w:p w:rsidR="008E273C" w:rsidRDefault="008E273C" w:rsidP="008E273C">
      <w:pPr>
        <w:pStyle w:val="Heading3"/>
      </w:pPr>
      <w:r>
        <w:t>Indigenous Service Officers</w:t>
      </w:r>
    </w:p>
    <w:p w:rsidR="008E273C" w:rsidRDefault="008E273C" w:rsidP="008E273C">
      <w:pPr>
        <w:pStyle w:val="BodyText"/>
      </w:pPr>
      <w:r>
        <w:t xml:space="preserve">Indigenous Service Officers (ISOs) support Aboriginal and Torres Strait Islander individuals, families and communities to connect with the agency’s payments, services and programs. </w:t>
      </w:r>
    </w:p>
    <w:p w:rsidR="008E273C" w:rsidRDefault="008E273C" w:rsidP="008E273C">
      <w:pPr>
        <w:pStyle w:val="BodyText"/>
      </w:pPr>
      <w:r>
        <w:t>ISOs help Services Australia to offer more targeted, supported assistance to Indigenous customers. ISOs work through their established stakeholder and community relationships to help address operational and strategic service delivery issues and identify customer and community service gaps and trends.</w:t>
      </w:r>
    </w:p>
    <w:p w:rsidR="008E273C" w:rsidRDefault="008E273C" w:rsidP="008E273C">
      <w:pPr>
        <w:pStyle w:val="BodyText"/>
      </w:pPr>
      <w:r>
        <w:t>At 30 June 2020 there were 61 ISOs, compared with 63 at 30 June 2019.</w:t>
      </w:r>
    </w:p>
    <w:p w:rsidR="008E273C" w:rsidRDefault="008E273C" w:rsidP="008E273C">
      <w:pPr>
        <w:pStyle w:val="Heading3"/>
      </w:pPr>
      <w:r>
        <w:t>National Indigenous Coalition</w:t>
      </w:r>
    </w:p>
    <w:p w:rsidR="008E273C" w:rsidRDefault="008E273C" w:rsidP="008E273C">
      <w:pPr>
        <w:pStyle w:val="BodyText"/>
      </w:pPr>
      <w:r>
        <w:t>The National Indigenous Coalition (NIC) is the agency’s peak strategic and advisory forum on the effective delivery of payments and services for Aborig</w:t>
      </w:r>
      <w:r>
        <w:rPr>
          <w:rStyle w:val="NoBreak"/>
        </w:rPr>
        <w:t>inal a</w:t>
      </w:r>
      <w:r>
        <w:t xml:space="preserve">nd Torres Strait Islander peoples. The NIC gives the agency’s Indigenous servicing network opportunities to engage with business areas on issues affecting Aboriginal and Torres Strait Islander customers, communities and employees. </w:t>
      </w:r>
    </w:p>
    <w:p w:rsidR="008E273C" w:rsidRDefault="008E273C" w:rsidP="008E273C">
      <w:pPr>
        <w:pStyle w:val="BodyText"/>
      </w:pPr>
      <w:r>
        <w:t>In November 2019 the agency held a NIC face-to-face conference. Another planned for May 2020 was cancelled due to the COVID-19 pandemic, but was replaced with a teleconference. Another three teleconferences were also held during the year.</w:t>
      </w:r>
    </w:p>
    <w:p w:rsidR="008E273C" w:rsidRDefault="008E273C" w:rsidP="008E273C">
      <w:pPr>
        <w:pStyle w:val="Heading2"/>
      </w:pPr>
      <w:r>
        <w:t xml:space="preserve">Regional, rural and remote servicing </w:t>
      </w:r>
    </w:p>
    <w:p w:rsidR="008E273C" w:rsidRDefault="008E273C" w:rsidP="008E273C">
      <w:pPr>
        <w:pStyle w:val="BodyText"/>
      </w:pPr>
      <w:r>
        <w:t xml:space="preserve">Services Australia provides direct access to remote services through a mix of Agents, Access Points, Remote Service Centres and visits by Remote Servicing Teams. </w:t>
      </w:r>
    </w:p>
    <w:p w:rsidR="008E273C" w:rsidRDefault="008E273C" w:rsidP="008E273C">
      <w:pPr>
        <w:pStyle w:val="Heading3"/>
      </w:pPr>
      <w:r>
        <w:lastRenderedPageBreak/>
        <w:t xml:space="preserve">Mobile Service Centres </w:t>
      </w:r>
    </w:p>
    <w:p w:rsidR="008E273C" w:rsidRDefault="008E273C" w:rsidP="00E42522">
      <w:pPr>
        <w:pStyle w:val="BodyText"/>
      </w:pPr>
      <w:r>
        <w:t>The agency has two Mobile Service Centres: Golden Wattle and Des</w:t>
      </w:r>
      <w:r>
        <w:rPr>
          <w:rStyle w:val="NoBreak"/>
        </w:rPr>
        <w:t>ert R</w:t>
      </w:r>
      <w:r>
        <w:t>ose. Our Mobile Service Centres travel to rural and regional communities to ensure that those communities have access to the same range of services that are available at any other Service Centre in Australia. In 2019–20 the Mo</w:t>
      </w:r>
      <w:r>
        <w:rPr>
          <w:rStyle w:val="NoBreak"/>
        </w:rPr>
        <w:t>bile Service Centr</w:t>
      </w:r>
      <w:r>
        <w:t xml:space="preserve">es: </w:t>
      </w:r>
    </w:p>
    <w:p w:rsidR="008E273C" w:rsidRDefault="008E273C" w:rsidP="00E42522">
      <w:pPr>
        <w:pStyle w:val="ListBullet"/>
      </w:pPr>
      <w:r>
        <w:t xml:space="preserve">visited 289 towns—176 of which were greater than 50 kilometres from a Service Centre </w:t>
      </w:r>
    </w:p>
    <w:p w:rsidR="008E273C" w:rsidRDefault="008E273C" w:rsidP="00E42522">
      <w:pPr>
        <w:pStyle w:val="ListBullet"/>
      </w:pPr>
      <w:r>
        <w:t>helped 9,179 people</w:t>
      </w:r>
    </w:p>
    <w:p w:rsidR="008E273C" w:rsidRDefault="008E273C" w:rsidP="00E42522">
      <w:pPr>
        <w:pStyle w:val="ListBullet"/>
      </w:pPr>
      <w:proofErr w:type="gramStart"/>
      <w:r>
        <w:t>spent</w:t>
      </w:r>
      <w:proofErr w:type="gramEnd"/>
      <w:r>
        <w:t xml:space="preserve"> 75 days in 83 bushfire affected communities of Queensland, Northern New South Wales and Victoria helping over 4,064 people. </w:t>
      </w:r>
    </w:p>
    <w:p w:rsidR="008E273C" w:rsidRDefault="008E273C" w:rsidP="008E273C">
      <w:pPr>
        <w:pStyle w:val="Heading3"/>
        <w:rPr>
          <w:rFonts w:ascii="Roboto-BoldItalic" w:hAnsi="Roboto-BoldItalic" w:cs="Roboto-BoldItalic"/>
          <w:b w:val="0"/>
          <w:bCs w:val="0"/>
          <w:i/>
          <w:iCs/>
        </w:rPr>
      </w:pPr>
      <w:r>
        <w:t>Agents and Access Points</w:t>
      </w:r>
      <w:r>
        <w:rPr>
          <w:rFonts w:ascii="Roboto-BoldItalic" w:hAnsi="Roboto-BoldItalic" w:cs="Roboto-BoldItalic"/>
          <w:b w:val="0"/>
          <w:bCs w:val="0"/>
          <w:i/>
          <w:iCs/>
        </w:rPr>
        <w:t xml:space="preserve"> </w:t>
      </w:r>
    </w:p>
    <w:p w:rsidR="008E273C" w:rsidRDefault="008E273C" w:rsidP="008E273C">
      <w:pPr>
        <w:pStyle w:val="BodyText"/>
      </w:pPr>
      <w:r>
        <w:t xml:space="preserve">Agents and Access Points help people in rural, regional and remote communities to access our services. </w:t>
      </w:r>
    </w:p>
    <w:p w:rsidR="008E273C" w:rsidRDefault="008E273C" w:rsidP="008E273C">
      <w:pPr>
        <w:pStyle w:val="BodyText"/>
      </w:pPr>
      <w:r>
        <w:t xml:space="preserve">Access Points provide free self-service facilities for customers to conduct their business. Customers can access internet-enabled computers and printers, upload documents to their customer record, call us on the self-service phone, and access free Wi-Fi to use their own devices.  </w:t>
      </w:r>
    </w:p>
    <w:p w:rsidR="008E273C" w:rsidRDefault="008E273C" w:rsidP="008E273C">
      <w:pPr>
        <w:pStyle w:val="BodyText"/>
      </w:pPr>
      <w:r>
        <w:t xml:space="preserve">Agents also provide a face-to-face information service, identity document certification, and assist customers to use self-service. </w:t>
      </w:r>
    </w:p>
    <w:p w:rsidR="008E273C" w:rsidRDefault="008E273C" w:rsidP="008E273C">
      <w:pPr>
        <w:pStyle w:val="BodyText"/>
      </w:pPr>
      <w:r>
        <w:t>At 30 June 2020 Services Australia had 350 Agents and 235 Access Points throughout regional, rural and remote Australia.</w:t>
      </w:r>
    </w:p>
    <w:p w:rsidR="008E273C" w:rsidRDefault="008E273C" w:rsidP="008E273C">
      <w:pPr>
        <w:pStyle w:val="Heading3"/>
      </w:pPr>
      <w:r>
        <w:t>Remote servicing teams</w:t>
      </w:r>
    </w:p>
    <w:p w:rsidR="008E273C" w:rsidRDefault="008E273C" w:rsidP="008E273C">
      <w:pPr>
        <w:pStyle w:val="BodyText"/>
      </w:pPr>
      <w:r>
        <w:t xml:space="preserve">Remote servicing teams visit remote communities to provide support and access to agency payments and services. Wherever possible we recruit local Aboriginal and Torres Strait Islander staff to work in these teams. Staff from remote communities are more likely to speak local Aboriginal or Torres Strait Islander languages and understand local customs, traditions and relationships. </w:t>
      </w:r>
    </w:p>
    <w:p w:rsidR="008E273C" w:rsidRDefault="008E273C" w:rsidP="008E273C">
      <w:pPr>
        <w:pStyle w:val="Heading3"/>
      </w:pPr>
      <w:r>
        <w:t>Remote Service Centres</w:t>
      </w:r>
    </w:p>
    <w:p w:rsidR="008E273C" w:rsidRDefault="008E273C" w:rsidP="008E273C">
      <w:pPr>
        <w:pStyle w:val="BodyText"/>
      </w:pPr>
      <w:r>
        <w:t xml:space="preserve">Remote Service Centres are located in 18 communities in the Northern Territory (10), Queensland (3) and Western Australia (5). </w:t>
      </w:r>
    </w:p>
    <w:p w:rsidR="008E273C" w:rsidRDefault="008E273C" w:rsidP="008E273C">
      <w:pPr>
        <w:pStyle w:val="BodyText"/>
      </w:pPr>
      <w:r>
        <w:t xml:space="preserve">As with Remote servicing teams, if possible Remote Service Centre staff are recruited from the local community. This helps ensure customers have access to high quality, culturally appropriate services in their own language. </w:t>
      </w:r>
    </w:p>
    <w:p w:rsidR="008E273C" w:rsidRDefault="008E273C" w:rsidP="008E273C">
      <w:pPr>
        <w:pStyle w:val="BodyText"/>
      </w:pPr>
      <w:r>
        <w:t>Remote Service Centres contribute positively to communities through direct employment as well as using local service and support providers, including property and maintenance services. </w:t>
      </w:r>
    </w:p>
    <w:p w:rsidR="008E273C" w:rsidRDefault="008E273C" w:rsidP="008E273C">
      <w:pPr>
        <w:pStyle w:val="Heading2"/>
      </w:pPr>
      <w:r>
        <w:t>Multicultural services</w:t>
      </w:r>
    </w:p>
    <w:p w:rsidR="008E273C" w:rsidRDefault="008E273C" w:rsidP="008E273C">
      <w:pPr>
        <w:pStyle w:val="BodyText"/>
      </w:pPr>
      <w:r>
        <w:t>Services Australia is committed to ensuring our services respond effectively to the needs of culturally and linguistically diverse (CALD) customers.</w:t>
      </w:r>
    </w:p>
    <w:p w:rsidR="008E273C" w:rsidRDefault="008E273C" w:rsidP="008E273C">
      <w:pPr>
        <w:pStyle w:val="Heading3"/>
      </w:pPr>
      <w:r>
        <w:lastRenderedPageBreak/>
        <w:t>Multicultural Servicing Strategy 2019–22</w:t>
      </w:r>
    </w:p>
    <w:p w:rsidR="008E273C" w:rsidRDefault="008E273C" w:rsidP="008E273C">
      <w:pPr>
        <w:pStyle w:val="BodyText"/>
      </w:pPr>
      <w:r>
        <w:t xml:space="preserve">The </w:t>
      </w:r>
      <w:r>
        <w:rPr>
          <w:rFonts w:ascii="Roboto-Italic" w:hAnsi="Roboto-Italic" w:cs="Roboto-Italic"/>
          <w:i/>
          <w:iCs/>
        </w:rPr>
        <w:t>Multicultural Servicing Strategy 2019–22</w:t>
      </w:r>
      <w:r>
        <w:t xml:space="preserve"> supports the agency’s commitment to the Australian Government’s Multicultural Access and Eq</w:t>
      </w:r>
      <w:r>
        <w:rPr>
          <w:rStyle w:val="NoBreak"/>
        </w:rPr>
        <w:t>uity Poli</w:t>
      </w:r>
      <w:r>
        <w:t xml:space="preserve">cy and our CALD staff, customers and communities. The strategy outlines 48 actions across 42 business areas to improve access and outcomes for CALD customers. </w:t>
      </w:r>
    </w:p>
    <w:p w:rsidR="008E273C" w:rsidRDefault="008E273C" w:rsidP="00E42522">
      <w:pPr>
        <w:pStyle w:val="BodyText"/>
      </w:pPr>
      <w:r>
        <w:t>Highlights from the previous strategy (2016–19) included:</w:t>
      </w:r>
    </w:p>
    <w:p w:rsidR="008E273C" w:rsidRDefault="008E273C" w:rsidP="00E42522">
      <w:pPr>
        <w:pStyle w:val="ListBullet"/>
      </w:pPr>
      <w:r>
        <w:t>over 22,000 staff completing multicultural awareness training</w:t>
      </w:r>
    </w:p>
    <w:p w:rsidR="008E273C" w:rsidRDefault="008E273C" w:rsidP="00E42522">
      <w:pPr>
        <w:pStyle w:val="ListBullet"/>
      </w:pPr>
      <w:proofErr w:type="gramStart"/>
      <w:r>
        <w:t>in</w:t>
      </w:r>
      <w:proofErr w:type="gramEnd"/>
      <w:r>
        <w:t xml:space="preserve"> 2018–19 Multicultural Service Officers conducting over 30,600 activities reaching over 204,000 participants.</w:t>
      </w:r>
    </w:p>
    <w:p w:rsidR="008E273C" w:rsidRDefault="008E273C" w:rsidP="008E273C">
      <w:pPr>
        <w:pStyle w:val="BodyText"/>
      </w:pPr>
      <w:r>
        <w:t>Under the new strategy, in 2019–20 we started to develop a set of mandatory multicultural service design standards across all initiatives, projects and programs. We also commenced assessing the digital literacy of CALD customers to ensure all digital products meet their needs and are in the languages most relevant to them. We continued to ensure business planning processes included specific multicultural servicing strategies, such as cultural awareness training, language services and identifying issues affecting CALD customers.</w:t>
      </w:r>
    </w:p>
    <w:p w:rsidR="008E273C" w:rsidRDefault="008E273C" w:rsidP="008E273C">
      <w:pPr>
        <w:pStyle w:val="Heading3"/>
      </w:pPr>
      <w:r>
        <w:t>Multicultural Service Officers</w:t>
      </w:r>
    </w:p>
    <w:p w:rsidR="008E273C" w:rsidRDefault="008E273C" w:rsidP="008E273C">
      <w:pPr>
        <w:pStyle w:val="BodyText"/>
      </w:pPr>
      <w:r>
        <w:t xml:space="preserve">Multicultural Service Officers (MSOs) play an integral role in connecting migrants and refugees to our information, payments and services. </w:t>
      </w:r>
    </w:p>
    <w:p w:rsidR="008E273C" w:rsidRDefault="008E273C" w:rsidP="008E273C">
      <w:pPr>
        <w:pStyle w:val="BodyText"/>
      </w:pPr>
      <w:r>
        <w:t>There are approximately 70 MSOs around the country, providing services at urban and regional sites. In 2019 the MSO program marked its 30-year anniversary.</w:t>
      </w:r>
    </w:p>
    <w:p w:rsidR="008E273C" w:rsidRDefault="008E273C" w:rsidP="008E273C">
      <w:pPr>
        <w:pStyle w:val="BodyText"/>
        <w:spacing w:after="57"/>
      </w:pPr>
      <w:r>
        <w:t>In 2019–20 the focus of the MSO program was to:</w:t>
      </w:r>
    </w:p>
    <w:p w:rsidR="008E273C" w:rsidRDefault="008E273C" w:rsidP="00E42522">
      <w:pPr>
        <w:pStyle w:val="ListBullet"/>
      </w:pPr>
      <w:r>
        <w:t>target information to the community about our digital channels, debt prevention, financial literacy and family and domestic violence</w:t>
      </w:r>
    </w:p>
    <w:p w:rsidR="008E273C" w:rsidRDefault="008E273C" w:rsidP="00E42522">
      <w:pPr>
        <w:pStyle w:val="ListBullet"/>
      </w:pPr>
      <w:r>
        <w:t>build staff cultural capability and promote and support use of the interpreter and translation service</w:t>
      </w:r>
    </w:p>
    <w:p w:rsidR="008E273C" w:rsidRDefault="008E273C" w:rsidP="00E42522">
      <w:pPr>
        <w:pStyle w:val="ListBullet"/>
      </w:pPr>
      <w:proofErr w:type="gramStart"/>
      <w:r>
        <w:t>work</w:t>
      </w:r>
      <w:proofErr w:type="gramEnd"/>
      <w:r>
        <w:t xml:space="preserve"> with staff, refugees and the community to ensure new arrivals have the information they need to engage with Services Australia during settlement.</w:t>
      </w:r>
    </w:p>
    <w:p w:rsidR="008E273C" w:rsidRDefault="008E273C" w:rsidP="008E273C">
      <w:pPr>
        <w:pStyle w:val="Heading3"/>
      </w:pPr>
      <w:r>
        <w:t>Multicultural community engagement</w:t>
      </w:r>
    </w:p>
    <w:p w:rsidR="008E273C" w:rsidRDefault="008E273C" w:rsidP="008E273C">
      <w:pPr>
        <w:pStyle w:val="BodyText"/>
      </w:pPr>
      <w:r>
        <w:t>As part of our commitment to the Multicultural Access and Equity Policy, and CALD community engagement, the agency convenes representative groups.</w:t>
      </w:r>
    </w:p>
    <w:p w:rsidR="008E273C" w:rsidRDefault="008E273C" w:rsidP="008E273C">
      <w:pPr>
        <w:pStyle w:val="BodyText"/>
      </w:pPr>
      <w:r>
        <w:rPr>
          <w:rFonts w:ascii="Roboto-Bold" w:hAnsi="Roboto-Bold" w:cs="Roboto-Bold"/>
          <w:b/>
          <w:bCs/>
        </w:rPr>
        <w:t>The National Multicultural Advisory Group</w:t>
      </w:r>
      <w:r>
        <w:t>—</w:t>
      </w:r>
      <w:proofErr w:type="gramStart"/>
      <w:r>
        <w:t>This</w:t>
      </w:r>
      <w:proofErr w:type="gramEnd"/>
      <w:r>
        <w:t xml:space="preserve"> group has representatives from peak multicultural organisations representing constituents that make up the majority of multicultural organisations nationally who deliver services to our mutual customers. </w:t>
      </w:r>
    </w:p>
    <w:p w:rsidR="008E273C" w:rsidRDefault="008E273C" w:rsidP="008E273C">
      <w:pPr>
        <w:pStyle w:val="BodyText"/>
        <w:spacing w:after="57"/>
      </w:pPr>
      <w:r>
        <w:t xml:space="preserve">The group’s role is to advise Services Australia on all aspects of service to CALD customers, including: </w:t>
      </w:r>
    </w:p>
    <w:p w:rsidR="008E273C" w:rsidRDefault="008E273C" w:rsidP="00E42522">
      <w:pPr>
        <w:pStyle w:val="ListBullet"/>
      </w:pPr>
      <w:r>
        <w:t>the quality and effectiveness of our services</w:t>
      </w:r>
    </w:p>
    <w:p w:rsidR="008E273C" w:rsidRDefault="008E273C" w:rsidP="00E42522">
      <w:pPr>
        <w:pStyle w:val="ListBullet"/>
      </w:pPr>
      <w:r>
        <w:t xml:space="preserve">the impact of new and existing policies and/or legislation on customer service </w:t>
      </w:r>
    </w:p>
    <w:p w:rsidR="008E273C" w:rsidRDefault="008E273C" w:rsidP="00E42522">
      <w:pPr>
        <w:pStyle w:val="ListBullet"/>
      </w:pPr>
      <w:r>
        <w:t xml:space="preserve">future service delivery developments </w:t>
      </w:r>
    </w:p>
    <w:p w:rsidR="008E273C" w:rsidRDefault="008E273C" w:rsidP="00E42522">
      <w:pPr>
        <w:pStyle w:val="ListBullet"/>
      </w:pPr>
      <w:proofErr w:type="gramStart"/>
      <w:r>
        <w:lastRenderedPageBreak/>
        <w:t>opportunities</w:t>
      </w:r>
      <w:proofErr w:type="gramEnd"/>
      <w:r>
        <w:t xml:space="preserve"> to build stronger communities in partnership with the agency. </w:t>
      </w:r>
    </w:p>
    <w:p w:rsidR="008E273C" w:rsidRDefault="008E273C" w:rsidP="008E273C">
      <w:pPr>
        <w:pStyle w:val="BodyText"/>
      </w:pPr>
      <w:r>
        <w:rPr>
          <w:rFonts w:ascii="Roboto-Bold" w:hAnsi="Roboto-Bold" w:cs="Roboto-Bold"/>
          <w:b/>
          <w:bCs/>
        </w:rPr>
        <w:t>The Multicultural Community Engagement Group</w:t>
      </w:r>
      <w:r>
        <w:t>—</w:t>
      </w:r>
      <w:proofErr w:type="gramStart"/>
      <w:r>
        <w:t>This</w:t>
      </w:r>
      <w:proofErr w:type="gramEnd"/>
      <w:r>
        <w:t xml:space="preserve"> group is a forum of government agencies with an operational focus on multicultural community engagement. </w:t>
      </w:r>
    </w:p>
    <w:p w:rsidR="008E273C" w:rsidRDefault="008E273C" w:rsidP="008E273C">
      <w:pPr>
        <w:pStyle w:val="BodyText"/>
        <w:spacing w:after="57"/>
      </w:pPr>
      <w:r>
        <w:t>In 2019–20 the group focussed its forums on agency responses to:</w:t>
      </w:r>
    </w:p>
    <w:p w:rsidR="008E273C" w:rsidRDefault="008E273C" w:rsidP="00E42522">
      <w:pPr>
        <w:pStyle w:val="ListBullet"/>
      </w:pPr>
      <w:r>
        <w:t xml:space="preserve">local and national issues in multicultural communities </w:t>
      </w:r>
    </w:p>
    <w:p w:rsidR="008E273C" w:rsidRDefault="008E273C" w:rsidP="00E42522">
      <w:pPr>
        <w:pStyle w:val="ListBullet"/>
      </w:pPr>
      <w:r>
        <w:t xml:space="preserve">multicultural access and equity </w:t>
      </w:r>
    </w:p>
    <w:p w:rsidR="008E273C" w:rsidRDefault="008E273C" w:rsidP="00E42522">
      <w:pPr>
        <w:pStyle w:val="ListBullet"/>
      </w:pPr>
      <w:r>
        <w:t>community engagement frameworks</w:t>
      </w:r>
    </w:p>
    <w:p w:rsidR="008E273C" w:rsidRDefault="008E273C" w:rsidP="00E42522">
      <w:pPr>
        <w:pStyle w:val="ListBullet"/>
      </w:pPr>
      <w:r>
        <w:t xml:space="preserve">language services and translated information </w:t>
      </w:r>
    </w:p>
    <w:p w:rsidR="008E273C" w:rsidRDefault="008E273C" w:rsidP="00E42522">
      <w:pPr>
        <w:pStyle w:val="ListBullet"/>
      </w:pPr>
      <w:r>
        <w:t>COVID-19 pandemic.</w:t>
      </w:r>
    </w:p>
    <w:p w:rsidR="008E273C" w:rsidRDefault="008E273C" w:rsidP="008E273C">
      <w:pPr>
        <w:pStyle w:val="BodyText"/>
      </w:pPr>
      <w:r>
        <w:rPr>
          <w:rFonts w:ascii="Roboto-Bold" w:hAnsi="Roboto-Bold" w:cs="Roboto-Bold"/>
          <w:b/>
          <w:bCs/>
        </w:rPr>
        <w:t>Multicultural Advisory Forums</w:t>
      </w:r>
      <w:r>
        <w:t>—</w:t>
      </w:r>
      <w:proofErr w:type="gramStart"/>
      <w:r>
        <w:t>These</w:t>
      </w:r>
      <w:proofErr w:type="gramEnd"/>
      <w:r>
        <w:t xml:space="preserve"> forums are held in areas with high multicultural populations across all states and territories. At the forums Services Australia updates participants on major changes. They also help the agency to work more collaboratively within government, with communities, and third-party organisations at a state, territory and local level to identify and address service delivery issues affecting people from CALD backgrounds. </w:t>
      </w:r>
    </w:p>
    <w:p w:rsidR="008E273C" w:rsidRDefault="008E273C" w:rsidP="008E273C">
      <w:pPr>
        <w:pStyle w:val="BodyText"/>
      </w:pPr>
      <w:r>
        <w:t>In 2019–20 the agency used the forums as a platform to discuss CALD community issues such as elder abuse and family and domestic violence, and challenges being experienced by refugees, people with disability, jobseekers and carers.</w:t>
      </w:r>
    </w:p>
    <w:p w:rsidR="008E273C" w:rsidRDefault="008E273C" w:rsidP="008E273C">
      <w:pPr>
        <w:pStyle w:val="Heading3"/>
      </w:pPr>
      <w:r>
        <w:t xml:space="preserve">Innovative multicultural services </w:t>
      </w:r>
    </w:p>
    <w:p w:rsidR="008E273C" w:rsidRDefault="008E273C" w:rsidP="008E273C">
      <w:pPr>
        <w:pStyle w:val="BodyText"/>
      </w:pPr>
      <w:r>
        <w:t>The agency ensures that resources for CALD customers are developed to enable simpler and quicker access to our services. In December 2019 staff from across Services Australia came together to explore opportunities at a desi</w:t>
      </w:r>
      <w:r>
        <w:rPr>
          <w:rStyle w:val="NoBreak"/>
        </w:rPr>
        <w:t>gn hu</w:t>
      </w:r>
      <w:r>
        <w:t xml:space="preserve">b workshop. </w:t>
      </w:r>
    </w:p>
    <w:p w:rsidR="008E273C" w:rsidRDefault="008E273C" w:rsidP="00E42522">
      <w:pPr>
        <w:pStyle w:val="BodyText"/>
      </w:pPr>
      <w:r>
        <w:t>Following the workshop:</w:t>
      </w:r>
    </w:p>
    <w:p w:rsidR="008E273C" w:rsidRDefault="008E273C" w:rsidP="00E42522">
      <w:pPr>
        <w:pStyle w:val="ListBullet"/>
      </w:pPr>
      <w:r>
        <w:t xml:space="preserve">a </w:t>
      </w:r>
      <w:proofErr w:type="spellStart"/>
      <w:r>
        <w:t>myGov</w:t>
      </w:r>
      <w:proofErr w:type="spellEnd"/>
      <w:r>
        <w:t xml:space="preserve"> presentation was updated to include audio in two Indigenous languages—</w:t>
      </w:r>
      <w:proofErr w:type="spellStart"/>
      <w:r>
        <w:t>Djambarrpuyngu</w:t>
      </w:r>
      <w:proofErr w:type="spellEnd"/>
      <w:r>
        <w:t xml:space="preserve"> and Pitjantjatjara </w:t>
      </w:r>
    </w:p>
    <w:p w:rsidR="008E273C" w:rsidRDefault="008E273C" w:rsidP="00E42522">
      <w:pPr>
        <w:pStyle w:val="ListBullet"/>
      </w:pPr>
      <w:proofErr w:type="gramStart"/>
      <w:r>
        <w:t>changes</w:t>
      </w:r>
      <w:proofErr w:type="gramEnd"/>
      <w:r>
        <w:t xml:space="preserve"> were developed for the Express Plus Centrelink mobile app to enable users to report their employment income in four languages other than English—in Arabic, Chinese Simplified, Persian (Farsi) and Vietnamese. </w:t>
      </w:r>
    </w:p>
    <w:p w:rsidR="008E273C" w:rsidRDefault="008E273C" w:rsidP="008E273C">
      <w:pPr>
        <w:pStyle w:val="Heading3"/>
      </w:pPr>
      <w:r>
        <w:t>Language services</w:t>
      </w:r>
    </w:p>
    <w:p w:rsidR="008E273C" w:rsidRDefault="008E273C" w:rsidP="008E273C">
      <w:pPr>
        <w:pStyle w:val="BodyText"/>
      </w:pPr>
      <w:r>
        <w:t>Services Australia provides customers with limited or no English free interpreter and translation services in over 200 languages, including AUSLAN to help them conduct their business with us. Interpreters can help with phone and f</w:t>
      </w:r>
      <w:r>
        <w:rPr>
          <w:rStyle w:val="NoBreak"/>
        </w:rPr>
        <w:t>ace-to-fa</w:t>
      </w:r>
      <w:r>
        <w:t>ce customer contacts.</w:t>
      </w:r>
    </w:p>
    <w:p w:rsidR="008E273C" w:rsidRDefault="008E273C" w:rsidP="008E273C">
      <w:pPr>
        <w:pStyle w:val="BodyText"/>
      </w:pPr>
      <w:r>
        <w:t xml:space="preserve">In 2019–20 there were over 700,000 interpreter interactions, and more than 6,400 document translations were completed. More than 2,000 contracted interpreters and translators deliver these services on behalf of the agency. </w:t>
      </w:r>
    </w:p>
    <w:p w:rsidR="008E273C" w:rsidRDefault="008E273C" w:rsidP="008E273C">
      <w:pPr>
        <w:pStyle w:val="Heading3"/>
      </w:pPr>
      <w:r>
        <w:lastRenderedPageBreak/>
        <w:t>Indigenous Interpreting Services</w:t>
      </w:r>
    </w:p>
    <w:p w:rsidR="008E273C" w:rsidRDefault="008E273C" w:rsidP="008E273C">
      <w:pPr>
        <w:pStyle w:val="BodyText"/>
      </w:pPr>
      <w:r>
        <w:t>Services Australia offers free access to interpreters for multilingual Aboriginal and Torres Strait Islander customers.</w:t>
      </w:r>
    </w:p>
    <w:p w:rsidR="008E273C" w:rsidRDefault="008E273C" w:rsidP="008E273C">
      <w:pPr>
        <w:pStyle w:val="BodyText"/>
      </w:pPr>
      <w:r>
        <w:t>In 2019–20 over 1,800 calls were made to the Aboriginal Interpreter Service on-demand interpreter services, and over 950 hours of face-to-face Indigen</w:t>
      </w:r>
      <w:r>
        <w:rPr>
          <w:rStyle w:val="NoBreak"/>
        </w:rPr>
        <w:t>ous interpre</w:t>
      </w:r>
      <w:r>
        <w:t>ting services were held in service centres.</w:t>
      </w:r>
    </w:p>
    <w:p w:rsidR="008E273C" w:rsidRDefault="008E273C" w:rsidP="008E273C">
      <w:pPr>
        <w:pStyle w:val="BodyText"/>
      </w:pPr>
      <w:r>
        <w:t xml:space="preserve">Indigenous interpreters are provided by multiple language service providers including the Northern Territory Aboriginal Interpreter Service, Aboriginal Interpreting Western Australia and ABC Multilingual Pty Ltd. </w:t>
      </w:r>
    </w:p>
    <w:p w:rsidR="008E273C" w:rsidRDefault="008E273C" w:rsidP="008E273C">
      <w:pPr>
        <w:pStyle w:val="Heading3"/>
      </w:pPr>
      <w:r>
        <w:t>Status Resolution Support Services Payment</w:t>
      </w:r>
    </w:p>
    <w:p w:rsidR="008E273C" w:rsidRDefault="008E273C" w:rsidP="008E273C">
      <w:pPr>
        <w:pStyle w:val="BodyText"/>
      </w:pPr>
      <w:r>
        <w:t>The Status Resolution Support Services Payment provides short-term, nee</w:t>
      </w:r>
      <w:r>
        <w:rPr>
          <w:rStyle w:val="NoBreak"/>
        </w:rPr>
        <w:t>ds-bas</w:t>
      </w:r>
      <w:r>
        <w:t xml:space="preserve">ed support to asylum seekers who are unable to support themselves while resolving their immigration status. At 30 June 2020, approximately </w:t>
      </w:r>
      <w:r>
        <w:rPr>
          <w:rStyle w:val="NoBreak"/>
          <w:w w:val="105"/>
        </w:rPr>
        <w:t>2,300</w:t>
      </w:r>
      <w:r>
        <w:rPr>
          <w:rStyle w:val="NoBreak"/>
        </w:rPr>
        <w:t xml:space="preserve"> custo</w:t>
      </w:r>
      <w:r>
        <w:t xml:space="preserve">mers were receiving the payment. </w:t>
      </w:r>
    </w:p>
    <w:p w:rsidR="008E273C" w:rsidRDefault="008E273C" w:rsidP="008E273C">
      <w:pPr>
        <w:pStyle w:val="Heading2"/>
      </w:pPr>
      <w:r>
        <w:t>Social work services</w:t>
      </w:r>
    </w:p>
    <w:p w:rsidR="008E273C" w:rsidRDefault="008E273C" w:rsidP="008E273C">
      <w:pPr>
        <w:pStyle w:val="BodyText"/>
      </w:pPr>
      <w:r>
        <w:t>Services Australia social workers are located in Service Centre and Smart Centre locations across the service delivery network. At 30 June 2020 there were 664 social workers employed in 218 locations. Social workers provide professional support, counselling and interventions to vulnerable Australians in crisis or affected by natural disasters and emergencies. They also deliver training and work with staff and the community to support individuals with multiple and complex needs. In 2019–20 social workers responded to 23</w:t>
      </w:r>
      <w:r>
        <w:rPr>
          <w:rStyle w:val="NoBreak"/>
        </w:rPr>
        <w:t>4,361 ref</w:t>
      </w:r>
      <w:r>
        <w:t xml:space="preserve">errals for support. </w:t>
      </w:r>
    </w:p>
    <w:p w:rsidR="008E273C" w:rsidRDefault="008E273C" w:rsidP="00E42522">
      <w:pPr>
        <w:pStyle w:val="BodyText"/>
      </w:pPr>
      <w:r>
        <w:t>During the year, social workers delivered targeted services for priority customer groups, particularly:</w:t>
      </w:r>
    </w:p>
    <w:p w:rsidR="008E273C" w:rsidRDefault="008E273C" w:rsidP="00E42522">
      <w:pPr>
        <w:pStyle w:val="ListBullet"/>
      </w:pPr>
      <w:proofErr w:type="gramStart"/>
      <w:r>
        <w:t>people</w:t>
      </w:r>
      <w:proofErr w:type="gramEnd"/>
      <w:r>
        <w:t xml:space="preserve"> at risk of suicide and self-harm. Social workers responded to 6,7</w:t>
      </w:r>
      <w:r>
        <w:rPr>
          <w:rStyle w:val="NoBreak"/>
        </w:rPr>
        <w:t>06 ref</w:t>
      </w:r>
      <w:r>
        <w:t>errals for people at risk</w:t>
      </w:r>
    </w:p>
    <w:p w:rsidR="008E273C" w:rsidRDefault="008E273C" w:rsidP="00E42522">
      <w:pPr>
        <w:pStyle w:val="ListBullet"/>
      </w:pPr>
      <w:proofErr w:type="gramStart"/>
      <w:r>
        <w:t>young</w:t>
      </w:r>
      <w:proofErr w:type="gramEnd"/>
      <w:r>
        <w:t xml:space="preserve"> people without adequate support. Social workers engaged with 2,</w:t>
      </w:r>
      <w:r>
        <w:rPr>
          <w:rStyle w:val="NoBreak"/>
        </w:rPr>
        <w:t>900 vulne</w:t>
      </w:r>
      <w:r>
        <w:t>rable and unsupported young people in targeted intervention</w:t>
      </w:r>
    </w:p>
    <w:p w:rsidR="008E273C" w:rsidRDefault="008E273C" w:rsidP="00E42522">
      <w:pPr>
        <w:pStyle w:val="ListBullet"/>
      </w:pPr>
      <w:proofErr w:type="gramStart"/>
      <w:r>
        <w:t>support</w:t>
      </w:r>
      <w:proofErr w:type="gramEnd"/>
      <w:r>
        <w:t xml:space="preserve"> for people affected by family and domestic violence. Social workers responded to 75,640 referrals to assist people affected by family and domestic violence.</w:t>
      </w:r>
    </w:p>
    <w:p w:rsidR="008E273C" w:rsidRDefault="008E273C" w:rsidP="008E273C">
      <w:pPr>
        <w:pStyle w:val="BodyText"/>
      </w:pPr>
      <w:r>
        <w:t xml:space="preserve">In 2019–20 agency social workers assisted people affected by both the Australian bushfires and the COVID-19 response. Social workers provided alternative services and strategies to support vulnerable and at-risk customers, while maintaining business as usual agency work requirements. </w:t>
      </w:r>
    </w:p>
    <w:p w:rsidR="008E273C" w:rsidRDefault="008E273C" w:rsidP="008E273C">
      <w:pPr>
        <w:pStyle w:val="BodyText"/>
      </w:pPr>
      <w:r>
        <w:t xml:space="preserve">During the Australian bushfires, social workers were deployed with Mobile Service Teams, Mobile Service Centres and to state-based recovery centres and supported affected individuals and families. </w:t>
      </w:r>
    </w:p>
    <w:p w:rsidR="008E273C" w:rsidRDefault="008E273C" w:rsidP="008E273C">
      <w:pPr>
        <w:pStyle w:val="BodyText"/>
      </w:pPr>
      <w:r>
        <w:t>In response to the COVID-19 pandemic, social workers facilitated abridged induction training to 4,745 new and redeployed Australian Public Service staff to ensure vulnerable customers were identified and referred for assistance.</w:t>
      </w:r>
    </w:p>
    <w:p w:rsidR="008E273C" w:rsidRDefault="008E273C" w:rsidP="008E273C">
      <w:pPr>
        <w:pStyle w:val="BodyText"/>
      </w:pPr>
      <w:r>
        <w:t xml:space="preserve">See also </w:t>
      </w:r>
      <w:r>
        <w:rPr>
          <w:rFonts w:ascii="Roboto-Italic" w:hAnsi="Roboto-Italic" w:cs="Roboto-Italic"/>
          <w:i/>
          <w:iCs/>
        </w:rPr>
        <w:t>Responses to emergencies</w:t>
      </w:r>
      <w:r>
        <w:t xml:space="preserve"> on page 49 and </w:t>
      </w:r>
      <w:r>
        <w:rPr>
          <w:rFonts w:ascii="Roboto-Italic" w:hAnsi="Roboto-Italic" w:cs="Roboto-Italic"/>
          <w:i/>
          <w:iCs/>
        </w:rPr>
        <w:t xml:space="preserve">COVID-19 pandemic </w:t>
      </w:r>
      <w:r>
        <w:t>on p</w:t>
      </w:r>
      <w:r>
        <w:rPr>
          <w:rStyle w:val="NoBreak"/>
        </w:rPr>
        <w:t>age xv</w:t>
      </w:r>
      <w:r>
        <w:t>.</w:t>
      </w:r>
    </w:p>
    <w:p w:rsidR="008E273C" w:rsidRDefault="008E273C" w:rsidP="008E273C">
      <w:pPr>
        <w:pStyle w:val="Heading3"/>
      </w:pPr>
      <w:r>
        <w:lastRenderedPageBreak/>
        <w:t xml:space="preserve">Community Engagement Officers </w:t>
      </w:r>
    </w:p>
    <w:p w:rsidR="008E273C" w:rsidRDefault="008E273C" w:rsidP="008E273C">
      <w:pPr>
        <w:pStyle w:val="BodyText"/>
      </w:pPr>
      <w:r>
        <w:t xml:space="preserve">Community Engagement Officers (CEOs) work collaboratively with other Services Australia specialists (such as Multicultural and Indigenous Service Officers) to support vulnerable customers with complex issues. CEOs typically meet these customers in their own environment where they feel most comfortable. In 2019–20 the agency had 80 CEOs who had relationships with over 2,000 community and third-party organisations. </w:t>
      </w:r>
    </w:p>
    <w:p w:rsidR="008E273C" w:rsidRDefault="008E273C" w:rsidP="008E273C">
      <w:pPr>
        <w:pStyle w:val="BodyText"/>
        <w:spacing w:after="57"/>
      </w:pPr>
      <w:r>
        <w:t>They:</w:t>
      </w:r>
    </w:p>
    <w:p w:rsidR="008E273C" w:rsidRDefault="008E273C" w:rsidP="00E42522">
      <w:pPr>
        <w:pStyle w:val="ListBullet"/>
      </w:pPr>
      <w:r>
        <w:t>work collaboratively with community and third-party organisations to support people who are experiencing vulnerability and complex issues, to make them aware of the range of agency services available</w:t>
      </w:r>
    </w:p>
    <w:p w:rsidR="008E273C" w:rsidRDefault="008E273C" w:rsidP="00E42522">
      <w:pPr>
        <w:pStyle w:val="ListBullet"/>
      </w:pPr>
      <w:r>
        <w:t>support customers to increase their capacity for greater self-sufficiency by promoting and demonstrating the agency’s digital services</w:t>
      </w:r>
    </w:p>
    <w:p w:rsidR="008E273C" w:rsidRDefault="008E273C" w:rsidP="00E42522">
      <w:pPr>
        <w:pStyle w:val="ListBullet"/>
      </w:pPr>
      <w:proofErr w:type="gramStart"/>
      <w:r>
        <w:t>deliver</w:t>
      </w:r>
      <w:proofErr w:type="gramEnd"/>
      <w:r>
        <w:t xml:space="preserve"> agency services in locations such as mental health facilities, family and domestic violence services, general crisis/support services, drug and alcohol services, specialist accommodation services and youth services.</w:t>
      </w:r>
    </w:p>
    <w:p w:rsidR="008E273C" w:rsidRDefault="008E273C" w:rsidP="008E273C">
      <w:pPr>
        <w:pStyle w:val="Heading2"/>
      </w:pPr>
      <w:r>
        <w:t>Citizenship testing</w:t>
      </w:r>
    </w:p>
    <w:p w:rsidR="008E273C" w:rsidRDefault="008E273C" w:rsidP="008E273C">
      <w:pPr>
        <w:pStyle w:val="BodyText"/>
      </w:pPr>
      <w:r>
        <w:t>The agency delivers citizenship tests on behalf of the Department of Home Affairs in 33 Service centres in regional areas. In 2019–20 there were 9,96</w:t>
      </w:r>
      <w:r>
        <w:rPr>
          <w:rStyle w:val="NoBreak"/>
        </w:rPr>
        <w:t>3 citiz</w:t>
      </w:r>
      <w:r>
        <w:t xml:space="preserve">enship tests conducted in regional Service centres. This is less than the number of tests we conducted in 2018–19 due to the temporary cessation of testing from March 2020 in response to the COVID-19 pandemic. </w:t>
      </w:r>
    </w:p>
    <w:p w:rsidR="008E273C" w:rsidRDefault="008E273C" w:rsidP="008E273C">
      <w:pPr>
        <w:pStyle w:val="Heading2"/>
      </w:pPr>
      <w:r>
        <w:t>Support for refugees and humanitarian entrants</w:t>
      </w:r>
    </w:p>
    <w:p w:rsidR="008E273C" w:rsidRDefault="008E273C" w:rsidP="008E273C">
      <w:pPr>
        <w:pStyle w:val="BodyText"/>
      </w:pPr>
      <w:r>
        <w:t xml:space="preserve">Services Australia assists refugees and humanitarian entrants in Australia by offering streamlined services, including payments, information and referrals, Medicare enrolment, language services, information seminars, and support for finding work. </w:t>
      </w:r>
    </w:p>
    <w:p w:rsidR="008E273C" w:rsidRDefault="008E273C" w:rsidP="008E273C">
      <w:pPr>
        <w:pStyle w:val="BodyText"/>
        <w:rPr>
          <w:rStyle w:val="NoBreak"/>
          <w:spacing w:val="-3"/>
        </w:rPr>
      </w:pPr>
      <w:r>
        <w:rPr>
          <w:spacing w:val="-3"/>
        </w:rPr>
        <w:t xml:space="preserve">The agency works closely with the Department of Home Affairs and Humanitarian </w:t>
      </w:r>
      <w:r>
        <w:t>Settlement Program providers, as well as community groups, to ensure that refugees receive appropriate services and support on arrival.</w:t>
      </w:r>
      <w:r>
        <w:rPr>
          <w:rStyle w:val="NoBreak"/>
        </w:rPr>
        <w:t xml:space="preserve"> A network</w:t>
      </w:r>
      <w:r>
        <w:t xml:space="preserve"> of specialist teams and subject matter experts deliver the services at locations with high settlement populations, including in regi</w:t>
      </w:r>
      <w:r>
        <w:rPr>
          <w:rStyle w:val="NoBreak"/>
        </w:rPr>
        <w:t>onal areas.</w:t>
      </w:r>
    </w:p>
    <w:p w:rsidR="008E273C" w:rsidRDefault="008E273C" w:rsidP="008E273C">
      <w:pPr>
        <w:pStyle w:val="Heading1"/>
      </w:pPr>
      <w:r>
        <w:t>1.7 Responses to emergencies</w:t>
      </w:r>
    </w:p>
    <w:p w:rsidR="008E273C" w:rsidRDefault="008E273C" w:rsidP="00E42522">
      <w:pPr>
        <w:pStyle w:val="BodyText"/>
      </w:pPr>
      <w:r>
        <w:t>Services Australia administers the following emergency payments on behalf of the Department of Home Affairs:</w:t>
      </w:r>
    </w:p>
    <w:p w:rsidR="008E273C" w:rsidRDefault="008E273C" w:rsidP="00E42522">
      <w:pPr>
        <w:pStyle w:val="ListBullet"/>
      </w:pPr>
      <w:r>
        <w:t xml:space="preserve">Australian Government Disaster Recovery Payment (AGDRP) </w:t>
      </w:r>
    </w:p>
    <w:p w:rsidR="008E273C" w:rsidRDefault="008E273C" w:rsidP="00E42522">
      <w:pPr>
        <w:pStyle w:val="ListBullet"/>
      </w:pPr>
      <w:r>
        <w:t xml:space="preserve">Disaster Recovery Allowance (DRA) </w:t>
      </w:r>
    </w:p>
    <w:p w:rsidR="008E273C" w:rsidRDefault="008E273C" w:rsidP="00E42522">
      <w:pPr>
        <w:pStyle w:val="ListBullet"/>
      </w:pPr>
      <w:r>
        <w:t>ex gratia payments that are the equivalent of AGDRP and DRA to Ne</w:t>
      </w:r>
      <w:r>
        <w:rPr>
          <w:rStyle w:val="NoBreak"/>
        </w:rPr>
        <w:t>w Zeala</w:t>
      </w:r>
      <w:r>
        <w:t xml:space="preserve">nd residents </w:t>
      </w:r>
    </w:p>
    <w:p w:rsidR="008E273C" w:rsidRDefault="008E273C" w:rsidP="00E42522">
      <w:pPr>
        <w:pStyle w:val="ListBullet"/>
      </w:pPr>
      <w:r>
        <w:t xml:space="preserve">Additional Payment for Children (specific to 2019–20 bushfires only) </w:t>
      </w:r>
    </w:p>
    <w:p w:rsidR="008E273C" w:rsidRDefault="008E273C" w:rsidP="00E42522">
      <w:pPr>
        <w:pStyle w:val="ListBullet"/>
      </w:pPr>
      <w:r>
        <w:t xml:space="preserve">Australian Victim of Terrorism Overseas Payment (AVTOP). </w:t>
      </w:r>
    </w:p>
    <w:p w:rsidR="008E273C" w:rsidRDefault="008E273C" w:rsidP="008E273C">
      <w:pPr>
        <w:pStyle w:val="BodyText"/>
      </w:pPr>
      <w:r>
        <w:lastRenderedPageBreak/>
        <w:t>The agency also administers the MH17 Family Support Package on behalf of the Department of Foreign Affairs and Trade.</w:t>
      </w:r>
    </w:p>
    <w:p w:rsidR="008E273C" w:rsidRDefault="008E273C" w:rsidP="008E273C">
      <w:pPr>
        <w:pStyle w:val="BodyText"/>
      </w:pPr>
      <w:r>
        <w:t>Payments are delivered so that customers are supported during emergencies. The agency can also exempt or change participation and reporting requirements for people on emergency payments.</w:t>
      </w:r>
    </w:p>
    <w:p w:rsidR="008E273C" w:rsidRDefault="008E273C" w:rsidP="00E42522">
      <w:pPr>
        <w:pStyle w:val="BodyText"/>
      </w:pPr>
      <w:r>
        <w:t>The agency delivers the following services during an emergency:</w:t>
      </w:r>
    </w:p>
    <w:p w:rsidR="008E273C" w:rsidRDefault="008E273C" w:rsidP="00E42522">
      <w:pPr>
        <w:pStyle w:val="ListBullet"/>
      </w:pPr>
      <w:r>
        <w:t xml:space="preserve">social work services </w:t>
      </w:r>
    </w:p>
    <w:p w:rsidR="008E273C" w:rsidRDefault="008E273C" w:rsidP="00E42522">
      <w:pPr>
        <w:pStyle w:val="ListBullet"/>
      </w:pPr>
      <w:r>
        <w:t>assisting individuals to test their eligibility for payments or services</w:t>
      </w:r>
    </w:p>
    <w:p w:rsidR="008E273C" w:rsidRDefault="008E273C" w:rsidP="00E42522">
      <w:pPr>
        <w:pStyle w:val="ListBullet"/>
      </w:pPr>
      <w:r>
        <w:t xml:space="preserve">assessing and paying Medicare benefits </w:t>
      </w:r>
    </w:p>
    <w:p w:rsidR="008E273C" w:rsidRDefault="008E273C" w:rsidP="00E42522">
      <w:pPr>
        <w:pStyle w:val="ListBullet"/>
      </w:pPr>
      <w:r>
        <w:t xml:space="preserve">supporting Medicare providers </w:t>
      </w:r>
    </w:p>
    <w:p w:rsidR="008E273C" w:rsidRDefault="008E273C" w:rsidP="00E42522">
      <w:pPr>
        <w:pStyle w:val="ListBullet"/>
      </w:pPr>
      <w:r>
        <w:t xml:space="preserve">tailoring collection and assessment services to affected Child Support customers </w:t>
      </w:r>
    </w:p>
    <w:p w:rsidR="008E273C" w:rsidRDefault="008E273C" w:rsidP="00E42522">
      <w:pPr>
        <w:pStyle w:val="ListBullet"/>
      </w:pPr>
      <w:proofErr w:type="gramStart"/>
      <w:r>
        <w:t>offering</w:t>
      </w:r>
      <w:proofErr w:type="gramEnd"/>
      <w:r>
        <w:t xml:space="preserve"> a range of payment methods to support customers in crisis, including through the New Payments Platform that delivers payments in real time for customers who bank with organisations participating in the program.</w:t>
      </w:r>
    </w:p>
    <w:p w:rsidR="008E273C" w:rsidRDefault="008E273C" w:rsidP="00E42522">
      <w:pPr>
        <w:pStyle w:val="BodyText"/>
      </w:pPr>
      <w:r>
        <w:t xml:space="preserve">To support the Government’s emergency responses, Services Australia also participates in state, territory and local recovery committees. If requested by relevant state or territory governments, we can deliver services from established relief or recovery centres. In response to an emergency, we can deploy: </w:t>
      </w:r>
    </w:p>
    <w:p w:rsidR="008E273C" w:rsidRDefault="008E273C" w:rsidP="00E42522">
      <w:pPr>
        <w:pStyle w:val="ListBullet"/>
      </w:pPr>
      <w:r>
        <w:t xml:space="preserve">Emergency Reserve staff (see page 50) and other staff to recovery centres </w:t>
      </w:r>
    </w:p>
    <w:p w:rsidR="008E273C" w:rsidRDefault="008E273C" w:rsidP="00E42522">
      <w:pPr>
        <w:pStyle w:val="ListBullet"/>
      </w:pPr>
      <w:r>
        <w:t xml:space="preserve">staff to take emergency calls and process claims for emergency payments </w:t>
      </w:r>
    </w:p>
    <w:p w:rsidR="008E273C" w:rsidRDefault="008E273C" w:rsidP="00E42522">
      <w:pPr>
        <w:pStyle w:val="ListBullet"/>
      </w:pPr>
      <w:r>
        <w:t>social workers to Australian and overseas locations to help Australians in emergency affected areas or when they return from offshore disasters</w:t>
      </w:r>
    </w:p>
    <w:p w:rsidR="008E273C" w:rsidRDefault="008E273C" w:rsidP="00E42522">
      <w:pPr>
        <w:pStyle w:val="ListBullet"/>
      </w:pPr>
      <w:r>
        <w:t xml:space="preserve">mobile computing support </w:t>
      </w:r>
    </w:p>
    <w:p w:rsidR="008E273C" w:rsidRDefault="008E273C" w:rsidP="00E42522">
      <w:pPr>
        <w:pStyle w:val="ListBullet"/>
      </w:pPr>
      <w:r>
        <w:t>Australian Government Mobile Service Centres and Mobile Servicing Teams to affected areas.</w:t>
      </w:r>
    </w:p>
    <w:p w:rsidR="008E273C" w:rsidRDefault="008E273C" w:rsidP="008E273C">
      <w:pPr>
        <w:pStyle w:val="Heading2"/>
      </w:pPr>
      <w:r>
        <w:t>Emergency reserve</w:t>
      </w:r>
    </w:p>
    <w:p w:rsidR="008E273C" w:rsidRDefault="008E273C" w:rsidP="00E42522">
      <w:pPr>
        <w:pStyle w:val="BodyText"/>
      </w:pPr>
      <w:r>
        <w:t xml:space="preserve">Called the Emergency Reserve, Services Australia maintains a register of staff willing to assist in recovery efforts. We can call on Emergency Reserve staff at short notice to help us respond quickly to emergencies. There are 4,517 staff registered for the Emergency Reserve. Staff have a range of skills that are used in various roles, including: </w:t>
      </w:r>
    </w:p>
    <w:p w:rsidR="008E273C" w:rsidRDefault="008E273C" w:rsidP="00E42522">
      <w:pPr>
        <w:pStyle w:val="ListBullet"/>
      </w:pPr>
      <w:r>
        <w:t>assisting people affected by emergencies at field locations</w:t>
      </w:r>
    </w:p>
    <w:p w:rsidR="008E273C" w:rsidRDefault="008E273C" w:rsidP="00E42522">
      <w:pPr>
        <w:pStyle w:val="ListBullet"/>
      </w:pPr>
      <w:r>
        <w:t xml:space="preserve">supporting affected Service Centres </w:t>
      </w:r>
    </w:p>
    <w:p w:rsidR="008E273C" w:rsidRDefault="008E273C" w:rsidP="00E42522">
      <w:pPr>
        <w:pStyle w:val="ListBullet"/>
      </w:pPr>
      <w:proofErr w:type="gramStart"/>
      <w:r>
        <w:t>backfilling</w:t>
      </w:r>
      <w:proofErr w:type="gramEnd"/>
      <w:r>
        <w:t xml:space="preserve"> business as usual roles to fill gaps where staff were deployed to provide emergency support. </w:t>
      </w:r>
    </w:p>
    <w:p w:rsidR="008E273C" w:rsidRDefault="008E273C" w:rsidP="008E273C">
      <w:pPr>
        <w:pStyle w:val="BodyText"/>
        <w:spacing w:after="113"/>
      </w:pPr>
      <w:r>
        <w:t xml:space="preserve">In 2019–20 over </w:t>
      </w:r>
      <w:r>
        <w:rPr>
          <w:w w:val="105"/>
        </w:rPr>
        <w:t>362</w:t>
      </w:r>
      <w:r>
        <w:t xml:space="preserve"> Emergency Reserve staff were deployed to assist during emergency events.</w:t>
      </w:r>
    </w:p>
    <w:p w:rsidR="008E273C" w:rsidRDefault="008E273C" w:rsidP="008E273C">
      <w:pPr>
        <w:pStyle w:val="Heading2"/>
      </w:pPr>
      <w:r>
        <w:lastRenderedPageBreak/>
        <w:t>Major emergency events in 2019–20</w:t>
      </w:r>
    </w:p>
    <w:p w:rsidR="008E273C" w:rsidRDefault="008E273C" w:rsidP="00E42522">
      <w:pPr>
        <w:pStyle w:val="BodyText"/>
      </w:pPr>
      <w:r>
        <w:t>In 2019–20 Services Australia managed emergency events across several states and territories. Australian Government disaster assistance payments were activated for eight emergencies, including a 2018–19 event that was retrospectively activated:</w:t>
      </w:r>
    </w:p>
    <w:p w:rsidR="008E273C" w:rsidRDefault="008E273C" w:rsidP="00E42522">
      <w:pPr>
        <w:pStyle w:val="ListBullet"/>
      </w:pPr>
      <w:r>
        <w:t>Australian Capital Territory bushfires, December 2019</w:t>
      </w:r>
    </w:p>
    <w:p w:rsidR="008E273C" w:rsidRDefault="008E273C" w:rsidP="00E42522">
      <w:pPr>
        <w:pStyle w:val="ListBullet"/>
      </w:pPr>
      <w:r>
        <w:t>Tasmanian bushfires, December 2019</w:t>
      </w:r>
    </w:p>
    <w:p w:rsidR="008E273C" w:rsidRDefault="008E273C" w:rsidP="00E42522">
      <w:pPr>
        <w:pStyle w:val="ListBullet"/>
      </w:pPr>
      <w:r>
        <w:t xml:space="preserve">Victorian bushfires, December 2019 </w:t>
      </w:r>
    </w:p>
    <w:p w:rsidR="008E273C" w:rsidRDefault="008E273C" w:rsidP="00E42522">
      <w:pPr>
        <w:pStyle w:val="ListBullet"/>
      </w:pPr>
      <w:r>
        <w:t>Eastern Queensland bushfires, November 2019</w:t>
      </w:r>
    </w:p>
    <w:p w:rsidR="008E273C" w:rsidRDefault="008E273C" w:rsidP="00E42522">
      <w:pPr>
        <w:pStyle w:val="ListBullet"/>
      </w:pPr>
      <w:r>
        <w:t>South Australian bushfires, November 2019</w:t>
      </w:r>
    </w:p>
    <w:p w:rsidR="008E273C" w:rsidRDefault="008E273C" w:rsidP="00E42522">
      <w:pPr>
        <w:pStyle w:val="ListBullet"/>
      </w:pPr>
      <w:r>
        <w:t>New South Wales bushfires, September 2019</w:t>
      </w:r>
    </w:p>
    <w:p w:rsidR="008E273C" w:rsidRDefault="008E273C" w:rsidP="00E42522">
      <w:pPr>
        <w:pStyle w:val="ListBullet"/>
      </w:pPr>
      <w:r>
        <w:t>Queensland bushfires, September 2019</w:t>
      </w:r>
    </w:p>
    <w:p w:rsidR="008E273C" w:rsidRDefault="008E273C" w:rsidP="00E42522">
      <w:pPr>
        <w:pStyle w:val="ListBullet"/>
      </w:pPr>
      <w:r>
        <w:t>Victorian bushfires, February 2019 (retrospective activation).</w:t>
      </w:r>
    </w:p>
    <w:p w:rsidR="008E273C" w:rsidRDefault="008E273C" w:rsidP="008E273C">
      <w:pPr>
        <w:pStyle w:val="BodyText"/>
      </w:pPr>
      <w:r>
        <w:t>The 2019–20 bushfire events were unprecedented with activation of emergency payments covering six of the eight states and territories and incorporating 10</w:t>
      </w:r>
      <w:r>
        <w:rPr>
          <w:rStyle w:val="NoBreak"/>
        </w:rPr>
        <w:t>9 declared</w:t>
      </w:r>
      <w:r>
        <w:t xml:space="preserve"> Local Government Areas and the introduction of 36 new Medi</w:t>
      </w:r>
      <w:r>
        <w:rPr>
          <w:rStyle w:val="NoBreak"/>
        </w:rPr>
        <w:t>care it</w:t>
      </w:r>
      <w:r>
        <w:t>ems to support bushfire victims.</w:t>
      </w:r>
    </w:p>
    <w:p w:rsidR="008E273C" w:rsidRDefault="008E273C" w:rsidP="008E273C">
      <w:pPr>
        <w:pStyle w:val="BodyText"/>
      </w:pPr>
      <w:r>
        <w:t>The agency’s response to emergencies included providing the Australian Government Disaster Recovery Payment (AGDRP) on behalf of the Department of Home Affairs.</w:t>
      </w:r>
    </w:p>
    <w:p w:rsidR="008E273C" w:rsidRDefault="008E273C" w:rsidP="00E42522">
      <w:pPr>
        <w:pStyle w:val="BodyText"/>
      </w:pPr>
      <w:r>
        <w:t xml:space="preserve">At 30 June 2020 the agency had: </w:t>
      </w:r>
    </w:p>
    <w:p w:rsidR="008E273C" w:rsidRDefault="008E273C" w:rsidP="00E42522">
      <w:pPr>
        <w:pStyle w:val="ListBullet"/>
      </w:pPr>
      <w:r>
        <w:t xml:space="preserve">completed more than 230,000 claims </w:t>
      </w:r>
    </w:p>
    <w:p w:rsidR="008E273C" w:rsidRDefault="008E273C" w:rsidP="00E42522">
      <w:pPr>
        <w:pStyle w:val="ListBullet"/>
      </w:pPr>
      <w:r>
        <w:t xml:space="preserve">paid more than 203,000 claims </w:t>
      </w:r>
    </w:p>
    <w:p w:rsidR="008E273C" w:rsidRDefault="008E273C" w:rsidP="00E42522">
      <w:pPr>
        <w:pStyle w:val="ListBullet"/>
      </w:pPr>
      <w:proofErr w:type="gramStart"/>
      <w:r>
        <w:t>paid</w:t>
      </w:r>
      <w:proofErr w:type="gramEnd"/>
      <w:r>
        <w:t xml:space="preserve"> over $250 million dollars.</w:t>
      </w:r>
    </w:p>
    <w:tbl>
      <w:tblPr>
        <w:tblStyle w:val="TableGrid"/>
        <w:tblW w:w="5000" w:type="pct"/>
        <w:tblLook w:val="0000" w:firstRow="0" w:lastRow="0" w:firstColumn="0" w:lastColumn="0" w:noHBand="0" w:noVBand="0"/>
        <w:tblCaption w:val="Helping communities during horror bushfires case study"/>
        <w:tblDescription w:val="Helping communities during horror bushfires case study"/>
      </w:tblPr>
      <w:tblGrid>
        <w:gridCol w:w="11096"/>
      </w:tblGrid>
      <w:tr w:rsidR="008E273C" w:rsidTr="0075125F">
        <w:trPr>
          <w:trHeight w:val="4979"/>
          <w:tblHeader/>
        </w:trPr>
        <w:tc>
          <w:tcPr>
            <w:tcW w:w="5000" w:type="pct"/>
          </w:tcPr>
          <w:p w:rsidR="008E273C" w:rsidRPr="0075125F" w:rsidRDefault="008E273C" w:rsidP="0075125F">
            <w:pPr>
              <w:pStyle w:val="BodyText"/>
              <w:rPr>
                <w:b/>
              </w:rPr>
            </w:pPr>
            <w:r w:rsidRPr="0075125F">
              <w:rPr>
                <w:b/>
              </w:rPr>
              <w:lastRenderedPageBreak/>
              <w:t>Helping communities during horror bushfires</w:t>
            </w:r>
          </w:p>
          <w:p w:rsidR="008E273C" w:rsidRDefault="008E273C" w:rsidP="005D794B">
            <w:pPr>
              <w:pStyle w:val="BodyText"/>
            </w:pPr>
            <w:r>
              <w:t>The Black Summer bushfire season was one of Australia’s worst. T</w:t>
            </w:r>
            <w:r>
              <w:rPr>
                <w:rStyle w:val="NoBreak"/>
              </w:rPr>
              <w:t>he fires bur</w:t>
            </w:r>
            <w:r>
              <w:t>nt 46 million acres—destroying around 10,000 buildings and killing 3</w:t>
            </w:r>
            <w:r>
              <w:rPr>
                <w:rStyle w:val="NoBreak"/>
              </w:rPr>
              <w:t>4 peo</w:t>
            </w:r>
            <w:r>
              <w:t>ple. Smoke blanketed many areas of the country, and even spread across the Pacific Ocean to New Zealand and South America.</w:t>
            </w:r>
          </w:p>
          <w:p w:rsidR="008E273C" w:rsidRDefault="008E273C" w:rsidP="005D794B">
            <w:pPr>
              <w:pStyle w:val="BodyText"/>
            </w:pPr>
            <w:r>
              <w:t xml:space="preserve">Thousands of communities were affected, and the personal, mental and financial impacts of the fires will remain for years to come. Many of the agency’s Service Centres were located in areas damaged by the fires. </w:t>
            </w:r>
          </w:p>
          <w:p w:rsidR="008E273C" w:rsidRDefault="008E273C" w:rsidP="005D794B">
            <w:pPr>
              <w:pStyle w:val="BodyText"/>
            </w:pPr>
            <w:r>
              <w:t>The agency sent out its Mobile Service Centres and deployed Mobile Servicing Teams to assist people in affected areas. They visited over 90 locations, helping people with social work services and referrals to counselling and other community services.</w:t>
            </w:r>
          </w:p>
          <w:p w:rsidR="008E273C" w:rsidRDefault="008E273C" w:rsidP="005D794B">
            <w:pPr>
              <w:pStyle w:val="BodyText"/>
            </w:pPr>
            <w:r>
              <w:t xml:space="preserve">Between September 2019 and February 2020, Services Australia answered 160,000 calls and distributed millions in payments to people affected by the fires. Thanks to our use of the New Payment Platform, many of these payments were in people’s bank accounts within minutes. </w:t>
            </w:r>
          </w:p>
          <w:p w:rsidR="008E273C" w:rsidRDefault="008E273C" w:rsidP="005D794B">
            <w:pPr>
              <w:pStyle w:val="BodyText"/>
            </w:pPr>
            <w:r>
              <w:t>In all, over $280 million in bushfire assistance was delivered to Australians for the Black Summer bushfires.</w:t>
            </w:r>
          </w:p>
        </w:tc>
      </w:tr>
    </w:tbl>
    <w:p w:rsidR="008E273C" w:rsidRDefault="008E273C" w:rsidP="00E42522">
      <w:pPr>
        <w:pStyle w:val="BodyText"/>
      </w:pPr>
      <w:r>
        <w:rPr>
          <w:rFonts w:ascii="Roboto-Bold" w:hAnsi="Roboto-Bold" w:cs="Roboto-Bold"/>
          <w:b/>
          <w:bCs/>
        </w:rPr>
        <w:t>Ex-gratia Disaster Recovery Payment (DRP)</w:t>
      </w:r>
      <w:r>
        <w:t xml:space="preserve"> for New Zealand Non-Protected Special Category Visa Holders was activated for individuals affected by the events listed on page 50. At 30 June 2020, the agency had:</w:t>
      </w:r>
    </w:p>
    <w:p w:rsidR="008E273C" w:rsidRDefault="008E273C" w:rsidP="00E42522">
      <w:pPr>
        <w:pStyle w:val="ListBullet"/>
      </w:pPr>
      <w:r>
        <w:t xml:space="preserve">completed more than 530 claims </w:t>
      </w:r>
    </w:p>
    <w:p w:rsidR="008E273C" w:rsidRDefault="008E273C" w:rsidP="00E42522">
      <w:pPr>
        <w:pStyle w:val="ListBullet"/>
      </w:pPr>
      <w:r>
        <w:t xml:space="preserve">paid more than 440 claims </w:t>
      </w:r>
    </w:p>
    <w:p w:rsidR="008E273C" w:rsidRDefault="008E273C" w:rsidP="00E42522">
      <w:pPr>
        <w:pStyle w:val="ListBullet"/>
      </w:pPr>
      <w:proofErr w:type="gramStart"/>
      <w:r>
        <w:t>paid</w:t>
      </w:r>
      <w:proofErr w:type="gramEnd"/>
      <w:r>
        <w:t xml:space="preserve"> over $537,000. </w:t>
      </w:r>
    </w:p>
    <w:p w:rsidR="008E273C" w:rsidRDefault="008E273C" w:rsidP="008E273C">
      <w:pPr>
        <w:pStyle w:val="BodyText"/>
      </w:pPr>
      <w:r>
        <w:t xml:space="preserve">In 2019–20 the agency also delivered the ex-gratia </w:t>
      </w:r>
      <w:r>
        <w:rPr>
          <w:rFonts w:ascii="Roboto-Bold" w:hAnsi="Roboto-Bold" w:cs="Roboto-Bold"/>
          <w:b/>
          <w:bCs/>
        </w:rPr>
        <w:t>Additional Payment for Children.</w:t>
      </w:r>
      <w:r>
        <w:t xml:space="preserve"> Introduced in 2019 for the 2019–20 bushfire events, this $40</w:t>
      </w:r>
      <w:r>
        <w:rPr>
          <w:rStyle w:val="NoBreak"/>
        </w:rPr>
        <w:t>0 paym</w:t>
      </w:r>
      <w:r>
        <w:t xml:space="preserve">ent per child was to support eligible AGDRP or ex-gratia DRP principal carer recipients with the costs associated with children returning to school. </w:t>
      </w:r>
    </w:p>
    <w:p w:rsidR="008E273C" w:rsidRDefault="008E273C" w:rsidP="008E273C">
      <w:pPr>
        <w:pStyle w:val="BodyText"/>
      </w:pPr>
      <w:r>
        <w:t xml:space="preserve">In 2019–20 the agency’s response to emergencies included payment of </w:t>
      </w:r>
      <w:r>
        <w:rPr>
          <w:rFonts w:ascii="Roboto-Bold" w:hAnsi="Roboto-Bold" w:cs="Roboto-Bold"/>
          <w:b/>
          <w:bCs/>
        </w:rPr>
        <w:t xml:space="preserve">Disaster Recovery Allowance </w:t>
      </w:r>
      <w:r>
        <w:t>(DRA) on behalf of the Department of H</w:t>
      </w:r>
      <w:r>
        <w:rPr>
          <w:rStyle w:val="NoBreak"/>
        </w:rPr>
        <w:t>ome Aff</w:t>
      </w:r>
      <w:r>
        <w:t xml:space="preserve">airs. Activated for the events listed on page 50, this payment supports eligible individuals, who experience a loss of income as a direct result of </w:t>
      </w:r>
      <w:r>
        <w:rPr>
          <w:rStyle w:val="NoBreak"/>
        </w:rPr>
        <w:t xml:space="preserve">a disaster. </w:t>
      </w:r>
    </w:p>
    <w:p w:rsidR="008E273C" w:rsidRDefault="008E273C" w:rsidP="00E42522">
      <w:pPr>
        <w:pStyle w:val="BodyText"/>
      </w:pPr>
      <w:r>
        <w:t xml:space="preserve">At 30 June 2020 the agency had: </w:t>
      </w:r>
    </w:p>
    <w:p w:rsidR="008E273C" w:rsidRDefault="008E273C" w:rsidP="00E42522">
      <w:pPr>
        <w:pStyle w:val="ListBullet"/>
      </w:pPr>
      <w:r>
        <w:t xml:space="preserve">completed nearly 5,000 claims </w:t>
      </w:r>
    </w:p>
    <w:p w:rsidR="008E273C" w:rsidRDefault="008E273C" w:rsidP="00E42522">
      <w:pPr>
        <w:pStyle w:val="ListBullet"/>
      </w:pPr>
      <w:r>
        <w:t xml:space="preserve">paid more than 3,000 claims </w:t>
      </w:r>
    </w:p>
    <w:p w:rsidR="008E273C" w:rsidRDefault="008E273C" w:rsidP="00E42522">
      <w:pPr>
        <w:pStyle w:val="ListBullet"/>
      </w:pPr>
      <w:proofErr w:type="gramStart"/>
      <w:r>
        <w:t>paid</w:t>
      </w:r>
      <w:proofErr w:type="gramEnd"/>
      <w:r>
        <w:t xml:space="preserve"> nearly $16 million.</w:t>
      </w:r>
    </w:p>
    <w:p w:rsidR="008E273C" w:rsidRDefault="008E273C" w:rsidP="008E273C">
      <w:pPr>
        <w:pStyle w:val="BodyText"/>
      </w:pPr>
      <w:r>
        <w:rPr>
          <w:rFonts w:ascii="Roboto-Bold" w:hAnsi="Roboto-Bold" w:cs="Roboto-Bold"/>
          <w:b/>
          <w:bCs/>
        </w:rPr>
        <w:t xml:space="preserve">Ex-gratia DRA </w:t>
      </w:r>
      <w:r>
        <w:t>for New Zealand Non-Protected Special Category Visa Holders was activated for individuals affected by the events listed on page 50.</w:t>
      </w:r>
    </w:p>
    <w:p w:rsidR="008E273C" w:rsidRDefault="008E273C" w:rsidP="00E42522">
      <w:pPr>
        <w:pStyle w:val="BodyText"/>
      </w:pPr>
      <w:r>
        <w:t xml:space="preserve">At 30 June 2020 the agency had: </w:t>
      </w:r>
    </w:p>
    <w:p w:rsidR="008E273C" w:rsidRDefault="008E273C" w:rsidP="00E42522">
      <w:pPr>
        <w:pStyle w:val="ListBullet"/>
      </w:pPr>
      <w:r>
        <w:t xml:space="preserve">completed over 50 claims </w:t>
      </w:r>
    </w:p>
    <w:p w:rsidR="008E273C" w:rsidRDefault="008E273C" w:rsidP="00E42522">
      <w:pPr>
        <w:pStyle w:val="ListBullet"/>
      </w:pPr>
      <w:r>
        <w:t xml:space="preserve">paid over 30 claims </w:t>
      </w:r>
    </w:p>
    <w:p w:rsidR="008E273C" w:rsidRDefault="008E273C" w:rsidP="00E42522">
      <w:pPr>
        <w:pStyle w:val="ListBullet"/>
      </w:pPr>
      <w:proofErr w:type="gramStart"/>
      <w:r>
        <w:lastRenderedPageBreak/>
        <w:t>paid</w:t>
      </w:r>
      <w:proofErr w:type="gramEnd"/>
      <w:r>
        <w:t xml:space="preserve"> over $130,600.</w:t>
      </w:r>
    </w:p>
    <w:p w:rsidR="008E273C" w:rsidRDefault="008E273C" w:rsidP="008E273C">
      <w:pPr>
        <w:pStyle w:val="Heading3"/>
      </w:pPr>
      <w:r>
        <w:t>MH17 Family Support Package (Ex-Gratia)</w:t>
      </w:r>
    </w:p>
    <w:p w:rsidR="008E273C" w:rsidRDefault="008E273C" w:rsidP="008E273C">
      <w:pPr>
        <w:pStyle w:val="BodyText"/>
      </w:pPr>
      <w:r>
        <w:t xml:space="preserve">During 2019–20 the agency also delivered the MH17 Family Support Package on behalf of the Department of Foreign Affairs and Trade, which supports families of Australian MH17 victims to attend legal proceedings in the Netherlands. </w:t>
      </w:r>
    </w:p>
    <w:p w:rsidR="008E273C" w:rsidRDefault="008E273C" w:rsidP="00E42522">
      <w:pPr>
        <w:pStyle w:val="BodyText"/>
      </w:pPr>
      <w:r>
        <w:t xml:space="preserve">At 30 June 2020 the agency had: </w:t>
      </w:r>
    </w:p>
    <w:p w:rsidR="008E273C" w:rsidRDefault="008E273C" w:rsidP="00E42522">
      <w:pPr>
        <w:pStyle w:val="ListBullet"/>
      </w:pPr>
      <w:r>
        <w:t xml:space="preserve">completed and paid 37 claims </w:t>
      </w:r>
    </w:p>
    <w:p w:rsidR="008E273C" w:rsidRDefault="008E273C" w:rsidP="00E42522">
      <w:pPr>
        <w:pStyle w:val="ListBullet"/>
      </w:pPr>
      <w:proofErr w:type="gramStart"/>
      <w:r>
        <w:t>paid</w:t>
      </w:r>
      <w:proofErr w:type="gramEnd"/>
      <w:r>
        <w:t xml:space="preserve"> over $123,000.</w:t>
      </w:r>
    </w:p>
    <w:p w:rsidR="008E273C" w:rsidRDefault="008E273C" w:rsidP="008E273C">
      <w:pPr>
        <w:pStyle w:val="Heading3"/>
      </w:pPr>
      <w:r>
        <w:t>Australian Victim of Terrorism Overseas Payment</w:t>
      </w:r>
    </w:p>
    <w:p w:rsidR="008E273C" w:rsidRDefault="008E273C" w:rsidP="008E273C">
      <w:pPr>
        <w:pStyle w:val="BodyText"/>
      </w:pPr>
      <w:r>
        <w:t xml:space="preserve">This assistance is a one-off payment on behalf of the Department of Home Affairs to Australians who were harmed (primary victims) or close family members of a person who died (secondary victims) as a direct result of a declared overseas terrorist act. The Australian Victim of Terrorism Overseas hotline answered 158 calls. </w:t>
      </w:r>
    </w:p>
    <w:p w:rsidR="008E273C" w:rsidRDefault="008E273C" w:rsidP="008E273C">
      <w:pPr>
        <w:pStyle w:val="BodyText"/>
      </w:pPr>
      <w:r>
        <w:t>In 2019–20 20 claims were paid, totalling over $1.3 million.</w:t>
      </w:r>
    </w:p>
    <w:p w:rsidR="008E273C" w:rsidRDefault="008E273C" w:rsidP="008E273C">
      <w:pPr>
        <w:pStyle w:val="Heading3"/>
      </w:pPr>
      <w:r>
        <w:t xml:space="preserve">Disaster Health Care Assistance Scheme </w:t>
      </w:r>
    </w:p>
    <w:p w:rsidR="008E273C" w:rsidRDefault="008E273C" w:rsidP="00E42522">
      <w:pPr>
        <w:pStyle w:val="BodyText"/>
      </w:pPr>
      <w:r>
        <w:t>The Disaster Health Care Assistance Scheme helps with reasonable healt</w:t>
      </w:r>
      <w:r>
        <w:rPr>
          <w:rStyle w:val="NoBreak"/>
        </w:rPr>
        <w:t>h-relate</w:t>
      </w:r>
      <w:r>
        <w:t>d out-of-pocket costs for individuals who have suffered an injury as a direct result of specific international acts of terrorism and natural disaster events. Under the scheme, we administer assistance to Australians affected by:</w:t>
      </w:r>
    </w:p>
    <w:p w:rsidR="008E273C" w:rsidRDefault="008E273C" w:rsidP="00E42522">
      <w:pPr>
        <w:pStyle w:val="ListBullet"/>
      </w:pPr>
      <w:proofErr w:type="spellStart"/>
      <w:r>
        <w:t>Balimed</w:t>
      </w:r>
      <w:proofErr w:type="spellEnd"/>
      <w:r>
        <w:t xml:space="preserve">—bombing in Bali, Indonesia, on 12 October 2002 </w:t>
      </w:r>
    </w:p>
    <w:p w:rsidR="008E273C" w:rsidRDefault="008E273C" w:rsidP="00E42522">
      <w:pPr>
        <w:pStyle w:val="ListBullet"/>
      </w:pPr>
      <w:r>
        <w:t xml:space="preserve">Tsunami—Indian Ocean tsunami on 26 December 2004 </w:t>
      </w:r>
    </w:p>
    <w:p w:rsidR="008E273C" w:rsidRDefault="008E273C" w:rsidP="00E42522">
      <w:pPr>
        <w:pStyle w:val="ListBullet"/>
      </w:pPr>
      <w:r>
        <w:t xml:space="preserve">London—bombing in London, United Kingdom, on 7 July 2005 </w:t>
      </w:r>
    </w:p>
    <w:p w:rsidR="008E273C" w:rsidRDefault="008E273C" w:rsidP="00E42522">
      <w:pPr>
        <w:pStyle w:val="ListBullet"/>
      </w:pPr>
      <w:r>
        <w:t xml:space="preserve">Bali 2005—bombing in Bali, Indonesia, on 1 October 2005 </w:t>
      </w:r>
    </w:p>
    <w:p w:rsidR="008E273C" w:rsidRDefault="008E273C" w:rsidP="00E42522">
      <w:pPr>
        <w:pStyle w:val="ListBullet"/>
      </w:pPr>
      <w:r>
        <w:t xml:space="preserve">Dahab Egypt—bombing in Dahab, Egypt, on 24 April 2006. </w:t>
      </w:r>
    </w:p>
    <w:p w:rsidR="008E273C" w:rsidRDefault="008E273C" w:rsidP="008E273C">
      <w:pPr>
        <w:pStyle w:val="Heading2"/>
      </w:pPr>
      <w:r>
        <w:t>Claiming and emergency information</w:t>
      </w:r>
    </w:p>
    <w:p w:rsidR="008E273C" w:rsidRDefault="008E273C" w:rsidP="008E273C">
      <w:pPr>
        <w:pStyle w:val="Heading3"/>
        <w:rPr>
          <w:color w:val="000000"/>
        </w:rPr>
      </w:pPr>
      <w:r>
        <w:t>Emergency claim lodgement channels</w:t>
      </w:r>
    </w:p>
    <w:p w:rsidR="008E273C" w:rsidRPr="0075125F" w:rsidRDefault="0075125F" w:rsidP="0075125F">
      <w:pPr>
        <w:pStyle w:val="BodyText"/>
        <w:rPr>
          <w:b/>
        </w:rPr>
      </w:pPr>
      <w:r w:rsidRPr="0075125F">
        <w:rPr>
          <w:b/>
        </w:rPr>
        <w:t>Table 33:</w:t>
      </w:r>
      <w:r w:rsidR="008E273C" w:rsidRPr="0075125F">
        <w:rPr>
          <w:b/>
        </w:rPr>
        <w:t xml:space="preserve"> Disaster recovery claims completed, per cent by claiming channel</w:t>
      </w:r>
    </w:p>
    <w:tbl>
      <w:tblPr>
        <w:tblStyle w:val="TableGrid"/>
        <w:tblW w:w="5000" w:type="pct"/>
        <w:tblLook w:val="0000" w:firstRow="0" w:lastRow="0" w:firstColumn="0" w:lastColumn="0" w:noHBand="0" w:noVBand="0"/>
        <w:tblCaption w:val="Table 33: Disaster recovery claims completed, per cent by claiming channel"/>
        <w:tblDescription w:val="Table 33: Disaster recovery claims completed, per cent by claiming channel"/>
      </w:tblPr>
      <w:tblGrid>
        <w:gridCol w:w="3259"/>
        <w:gridCol w:w="1960"/>
        <w:gridCol w:w="1960"/>
        <w:gridCol w:w="1960"/>
        <w:gridCol w:w="1957"/>
      </w:tblGrid>
      <w:tr w:rsidR="008E273C" w:rsidTr="0075125F">
        <w:trPr>
          <w:trHeight w:val="60"/>
          <w:tblHeader/>
        </w:trPr>
        <w:tc>
          <w:tcPr>
            <w:tcW w:w="1469" w:type="pct"/>
          </w:tcPr>
          <w:p w:rsidR="008E273C" w:rsidRPr="0075125F" w:rsidRDefault="008E273C" w:rsidP="0075125F">
            <w:pPr>
              <w:pStyle w:val="BodyText"/>
              <w:rPr>
                <w:b/>
              </w:rPr>
            </w:pPr>
            <w:r w:rsidRPr="0075125F">
              <w:rPr>
                <w:rStyle w:val="Bulletcolour"/>
                <w:b/>
              </w:rPr>
              <w:t>Claiming channel</w:t>
            </w:r>
          </w:p>
        </w:tc>
        <w:tc>
          <w:tcPr>
            <w:tcW w:w="883" w:type="pct"/>
          </w:tcPr>
          <w:p w:rsidR="008E273C" w:rsidRPr="0075125F" w:rsidRDefault="008E273C" w:rsidP="0075125F">
            <w:pPr>
              <w:pStyle w:val="BodyText"/>
              <w:rPr>
                <w:rStyle w:val="Bulletcolour"/>
                <w:b/>
              </w:rPr>
            </w:pPr>
            <w:r w:rsidRPr="0075125F">
              <w:rPr>
                <w:rStyle w:val="Bulletcolour"/>
                <w:b/>
              </w:rPr>
              <w:t xml:space="preserve">2016–17 </w:t>
            </w:r>
          </w:p>
          <w:p w:rsidR="008E273C" w:rsidRPr="0075125F" w:rsidRDefault="008E273C" w:rsidP="0075125F">
            <w:pPr>
              <w:pStyle w:val="BodyText"/>
              <w:rPr>
                <w:b/>
              </w:rPr>
            </w:pPr>
            <w:r w:rsidRPr="0075125F">
              <w:rPr>
                <w:rStyle w:val="Bulletcolour"/>
                <w:b/>
              </w:rPr>
              <w:t>%</w:t>
            </w:r>
          </w:p>
        </w:tc>
        <w:tc>
          <w:tcPr>
            <w:tcW w:w="883" w:type="pct"/>
          </w:tcPr>
          <w:p w:rsidR="008E273C" w:rsidRPr="0075125F" w:rsidRDefault="008E273C" w:rsidP="0075125F">
            <w:pPr>
              <w:pStyle w:val="BodyText"/>
              <w:rPr>
                <w:rStyle w:val="Bulletcolour"/>
                <w:b/>
              </w:rPr>
            </w:pPr>
            <w:r w:rsidRPr="0075125F">
              <w:rPr>
                <w:rStyle w:val="Bulletcolour"/>
                <w:b/>
              </w:rPr>
              <w:t xml:space="preserve">2017–18 </w:t>
            </w:r>
          </w:p>
          <w:p w:rsidR="008E273C" w:rsidRPr="0075125F" w:rsidRDefault="008E273C" w:rsidP="0075125F">
            <w:pPr>
              <w:pStyle w:val="BodyText"/>
              <w:rPr>
                <w:b/>
              </w:rPr>
            </w:pPr>
            <w:r w:rsidRPr="0075125F">
              <w:rPr>
                <w:rStyle w:val="Bulletcolour"/>
                <w:b/>
              </w:rPr>
              <w:t>%</w:t>
            </w:r>
          </w:p>
        </w:tc>
        <w:tc>
          <w:tcPr>
            <w:tcW w:w="883" w:type="pct"/>
          </w:tcPr>
          <w:p w:rsidR="008E273C" w:rsidRPr="0075125F" w:rsidRDefault="008E273C" w:rsidP="0075125F">
            <w:pPr>
              <w:pStyle w:val="BodyText"/>
              <w:rPr>
                <w:rStyle w:val="Bulletcolour"/>
                <w:b/>
              </w:rPr>
            </w:pPr>
            <w:r w:rsidRPr="0075125F">
              <w:rPr>
                <w:rStyle w:val="Bulletcolour"/>
                <w:b/>
              </w:rPr>
              <w:t xml:space="preserve">2018–19 </w:t>
            </w:r>
          </w:p>
          <w:p w:rsidR="008E273C" w:rsidRPr="0075125F" w:rsidRDefault="008E273C" w:rsidP="0075125F">
            <w:pPr>
              <w:pStyle w:val="BodyText"/>
              <w:rPr>
                <w:b/>
              </w:rPr>
            </w:pPr>
            <w:r w:rsidRPr="0075125F">
              <w:rPr>
                <w:rStyle w:val="Bulletcolour"/>
                <w:b/>
              </w:rPr>
              <w:t>%</w:t>
            </w:r>
          </w:p>
        </w:tc>
        <w:tc>
          <w:tcPr>
            <w:tcW w:w="883" w:type="pct"/>
          </w:tcPr>
          <w:p w:rsidR="008E273C" w:rsidRPr="0075125F" w:rsidRDefault="008E273C" w:rsidP="0075125F">
            <w:pPr>
              <w:pStyle w:val="BodyText"/>
              <w:rPr>
                <w:rStyle w:val="Bulletcolour"/>
                <w:b/>
              </w:rPr>
            </w:pPr>
            <w:r w:rsidRPr="0075125F">
              <w:rPr>
                <w:rStyle w:val="Bulletcolour"/>
                <w:b/>
              </w:rPr>
              <w:t xml:space="preserve">2019–20 </w:t>
            </w:r>
          </w:p>
          <w:p w:rsidR="008E273C" w:rsidRPr="0075125F" w:rsidRDefault="008E273C" w:rsidP="0075125F">
            <w:pPr>
              <w:pStyle w:val="BodyText"/>
              <w:rPr>
                <w:b/>
              </w:rPr>
            </w:pPr>
            <w:r w:rsidRPr="0075125F">
              <w:rPr>
                <w:rStyle w:val="Bulletcolour"/>
                <w:b/>
              </w:rPr>
              <w:t>%</w:t>
            </w:r>
          </w:p>
        </w:tc>
      </w:tr>
      <w:tr w:rsidR="008E273C" w:rsidTr="0075125F">
        <w:trPr>
          <w:trHeight w:val="60"/>
        </w:trPr>
        <w:tc>
          <w:tcPr>
            <w:tcW w:w="1469" w:type="pct"/>
          </w:tcPr>
          <w:p w:rsidR="008E273C" w:rsidRDefault="008E273C" w:rsidP="0075125F">
            <w:pPr>
              <w:pStyle w:val="BodyText"/>
            </w:pPr>
            <w:r>
              <w:rPr>
                <w:rStyle w:val="Bulletcolour"/>
              </w:rPr>
              <w:t>Phone</w:t>
            </w:r>
          </w:p>
        </w:tc>
        <w:tc>
          <w:tcPr>
            <w:tcW w:w="883" w:type="pct"/>
          </w:tcPr>
          <w:p w:rsidR="008E273C" w:rsidRDefault="008E273C" w:rsidP="0075125F">
            <w:pPr>
              <w:pStyle w:val="BodyText"/>
            </w:pPr>
            <w:r>
              <w:rPr>
                <w:rStyle w:val="Bulletcolour"/>
              </w:rPr>
              <w:t>91</w:t>
            </w:r>
          </w:p>
        </w:tc>
        <w:tc>
          <w:tcPr>
            <w:tcW w:w="883" w:type="pct"/>
          </w:tcPr>
          <w:p w:rsidR="008E273C" w:rsidRDefault="008E273C" w:rsidP="0075125F">
            <w:pPr>
              <w:pStyle w:val="BodyText"/>
            </w:pPr>
            <w:r>
              <w:rPr>
                <w:rStyle w:val="Bulletcolour"/>
              </w:rPr>
              <w:t>74</w:t>
            </w:r>
          </w:p>
        </w:tc>
        <w:tc>
          <w:tcPr>
            <w:tcW w:w="883" w:type="pct"/>
          </w:tcPr>
          <w:p w:rsidR="008E273C" w:rsidRDefault="008E273C" w:rsidP="0075125F">
            <w:pPr>
              <w:pStyle w:val="BodyText"/>
            </w:pPr>
            <w:r>
              <w:rPr>
                <w:rStyle w:val="Bulletcolour"/>
              </w:rPr>
              <w:t>98</w:t>
            </w:r>
          </w:p>
        </w:tc>
        <w:tc>
          <w:tcPr>
            <w:tcW w:w="883" w:type="pct"/>
          </w:tcPr>
          <w:p w:rsidR="008E273C" w:rsidRDefault="008E273C" w:rsidP="0075125F">
            <w:pPr>
              <w:pStyle w:val="BodyText"/>
            </w:pPr>
            <w:r>
              <w:rPr>
                <w:rStyle w:val="Bulletcolour"/>
              </w:rPr>
              <w:t>98</w:t>
            </w:r>
          </w:p>
        </w:tc>
      </w:tr>
      <w:tr w:rsidR="008E273C" w:rsidTr="0075125F">
        <w:trPr>
          <w:trHeight w:val="60"/>
        </w:trPr>
        <w:tc>
          <w:tcPr>
            <w:tcW w:w="1469" w:type="pct"/>
          </w:tcPr>
          <w:p w:rsidR="008E273C" w:rsidRDefault="008E273C" w:rsidP="0075125F">
            <w:pPr>
              <w:pStyle w:val="BodyText"/>
            </w:pPr>
            <w:r>
              <w:rPr>
                <w:rStyle w:val="Bulletcolour"/>
              </w:rPr>
              <w:lastRenderedPageBreak/>
              <w:t>Paper and in person</w:t>
            </w:r>
          </w:p>
        </w:tc>
        <w:tc>
          <w:tcPr>
            <w:tcW w:w="883" w:type="pct"/>
          </w:tcPr>
          <w:p w:rsidR="008E273C" w:rsidRDefault="008E273C" w:rsidP="0075125F">
            <w:pPr>
              <w:pStyle w:val="BodyText"/>
            </w:pPr>
            <w:r>
              <w:rPr>
                <w:rStyle w:val="Bulletcolour"/>
              </w:rPr>
              <w:t>9</w:t>
            </w:r>
          </w:p>
        </w:tc>
        <w:tc>
          <w:tcPr>
            <w:tcW w:w="883" w:type="pct"/>
          </w:tcPr>
          <w:p w:rsidR="008E273C" w:rsidRDefault="008E273C" w:rsidP="0075125F">
            <w:pPr>
              <w:pStyle w:val="BodyText"/>
            </w:pPr>
            <w:r>
              <w:rPr>
                <w:rStyle w:val="Bulletcolour"/>
              </w:rPr>
              <w:t>26</w:t>
            </w:r>
          </w:p>
        </w:tc>
        <w:tc>
          <w:tcPr>
            <w:tcW w:w="883" w:type="pct"/>
          </w:tcPr>
          <w:p w:rsidR="008E273C" w:rsidRDefault="008E273C" w:rsidP="0075125F">
            <w:pPr>
              <w:pStyle w:val="BodyText"/>
            </w:pPr>
            <w:r>
              <w:rPr>
                <w:rStyle w:val="Bulletcolour"/>
              </w:rPr>
              <w:t>2</w:t>
            </w:r>
          </w:p>
        </w:tc>
        <w:tc>
          <w:tcPr>
            <w:tcW w:w="883" w:type="pct"/>
          </w:tcPr>
          <w:p w:rsidR="008E273C" w:rsidRDefault="008E273C" w:rsidP="0075125F">
            <w:pPr>
              <w:pStyle w:val="BodyText"/>
            </w:pPr>
            <w:r>
              <w:rPr>
                <w:rStyle w:val="Bulletcolour"/>
              </w:rPr>
              <w:t xml:space="preserve">2 </w:t>
            </w:r>
          </w:p>
        </w:tc>
      </w:tr>
    </w:tbl>
    <w:p w:rsidR="008E273C" w:rsidRDefault="008E273C" w:rsidP="008E273C">
      <w:pPr>
        <w:pStyle w:val="Heading3"/>
      </w:pPr>
      <w:r>
        <w:t xml:space="preserve">Australian Government Emergency Information Line </w:t>
      </w:r>
    </w:p>
    <w:p w:rsidR="008E273C" w:rsidRPr="0075125F" w:rsidRDefault="0075125F" w:rsidP="0075125F">
      <w:pPr>
        <w:pStyle w:val="BodyText"/>
        <w:rPr>
          <w:b/>
        </w:rPr>
      </w:pPr>
      <w:r w:rsidRPr="0075125F">
        <w:rPr>
          <w:b/>
        </w:rPr>
        <w:t>Table 34:</w:t>
      </w:r>
      <w:r w:rsidR="008E273C" w:rsidRPr="0075125F">
        <w:rPr>
          <w:b/>
        </w:rPr>
        <w:t xml:space="preserve"> Calls to the Australian Government Emergency Information Line</w:t>
      </w:r>
    </w:p>
    <w:tbl>
      <w:tblPr>
        <w:tblStyle w:val="TableGrid"/>
        <w:tblW w:w="5000" w:type="pct"/>
        <w:tblLook w:val="0000" w:firstRow="0" w:lastRow="0" w:firstColumn="0" w:lastColumn="0" w:noHBand="0" w:noVBand="0"/>
        <w:tblCaption w:val="Table 34: Calls to the Australian Government Emergency Information Line"/>
        <w:tblDescription w:val="Table 34: Calls to the Australian Government Emergency Information Line"/>
      </w:tblPr>
      <w:tblGrid>
        <w:gridCol w:w="3259"/>
        <w:gridCol w:w="1960"/>
        <w:gridCol w:w="1960"/>
        <w:gridCol w:w="1960"/>
        <w:gridCol w:w="1957"/>
      </w:tblGrid>
      <w:tr w:rsidR="008E273C" w:rsidTr="0075125F">
        <w:trPr>
          <w:trHeight w:val="60"/>
          <w:tblHeader/>
        </w:trPr>
        <w:tc>
          <w:tcPr>
            <w:tcW w:w="1469" w:type="pct"/>
          </w:tcPr>
          <w:p w:rsidR="008E273C" w:rsidRPr="0075125F" w:rsidRDefault="008E273C" w:rsidP="0075125F">
            <w:pPr>
              <w:pStyle w:val="BodyText"/>
              <w:rPr>
                <w:b/>
              </w:rPr>
            </w:pPr>
          </w:p>
        </w:tc>
        <w:tc>
          <w:tcPr>
            <w:tcW w:w="883" w:type="pct"/>
          </w:tcPr>
          <w:p w:rsidR="008E273C" w:rsidRPr="0075125F" w:rsidRDefault="008E273C" w:rsidP="0075125F">
            <w:pPr>
              <w:pStyle w:val="BodyText"/>
              <w:rPr>
                <w:b/>
                <w:color w:val="000000"/>
              </w:rPr>
            </w:pPr>
            <w:r w:rsidRPr="0075125F">
              <w:rPr>
                <w:rStyle w:val="Bulletcolour"/>
                <w:b/>
              </w:rPr>
              <w:t>2016–17</w:t>
            </w:r>
          </w:p>
        </w:tc>
        <w:tc>
          <w:tcPr>
            <w:tcW w:w="883" w:type="pct"/>
          </w:tcPr>
          <w:p w:rsidR="008E273C" w:rsidRPr="0075125F" w:rsidRDefault="008E273C" w:rsidP="0075125F">
            <w:pPr>
              <w:pStyle w:val="BodyText"/>
              <w:rPr>
                <w:b/>
                <w:color w:val="000000"/>
              </w:rPr>
            </w:pPr>
            <w:r w:rsidRPr="0075125F">
              <w:rPr>
                <w:rStyle w:val="Bulletcolour"/>
                <w:b/>
              </w:rPr>
              <w:t>2017–18</w:t>
            </w:r>
          </w:p>
        </w:tc>
        <w:tc>
          <w:tcPr>
            <w:tcW w:w="883" w:type="pct"/>
          </w:tcPr>
          <w:p w:rsidR="008E273C" w:rsidRPr="0075125F" w:rsidRDefault="008E273C" w:rsidP="0075125F">
            <w:pPr>
              <w:pStyle w:val="BodyText"/>
              <w:rPr>
                <w:b/>
                <w:color w:val="000000"/>
              </w:rPr>
            </w:pPr>
            <w:r w:rsidRPr="0075125F">
              <w:rPr>
                <w:rStyle w:val="Bulletcolour"/>
                <w:b/>
              </w:rPr>
              <w:t>2018–19</w:t>
            </w:r>
          </w:p>
        </w:tc>
        <w:tc>
          <w:tcPr>
            <w:tcW w:w="883" w:type="pct"/>
          </w:tcPr>
          <w:p w:rsidR="008E273C" w:rsidRPr="0075125F" w:rsidRDefault="008E273C" w:rsidP="0075125F">
            <w:pPr>
              <w:pStyle w:val="BodyText"/>
              <w:rPr>
                <w:b/>
                <w:color w:val="000000"/>
              </w:rPr>
            </w:pPr>
            <w:r w:rsidRPr="0075125F">
              <w:rPr>
                <w:rStyle w:val="Bulletcolour"/>
                <w:b/>
              </w:rPr>
              <w:t>2019–20</w:t>
            </w:r>
          </w:p>
        </w:tc>
      </w:tr>
      <w:tr w:rsidR="008E273C" w:rsidTr="0075125F">
        <w:trPr>
          <w:trHeight w:val="60"/>
        </w:trPr>
        <w:tc>
          <w:tcPr>
            <w:tcW w:w="1469" w:type="pct"/>
          </w:tcPr>
          <w:p w:rsidR="008E273C" w:rsidRDefault="008E273C" w:rsidP="0075125F">
            <w:pPr>
              <w:pStyle w:val="BodyText"/>
            </w:pPr>
            <w:r>
              <w:rPr>
                <w:rStyle w:val="Bulletcolour"/>
              </w:rPr>
              <w:t xml:space="preserve">Calls answered </w:t>
            </w:r>
          </w:p>
        </w:tc>
        <w:tc>
          <w:tcPr>
            <w:tcW w:w="883" w:type="pct"/>
          </w:tcPr>
          <w:p w:rsidR="008E273C" w:rsidRDefault="008E273C" w:rsidP="0075125F">
            <w:pPr>
              <w:pStyle w:val="BodyText"/>
            </w:pPr>
            <w:r>
              <w:rPr>
                <w:rStyle w:val="Bulletcolour"/>
              </w:rPr>
              <w:t>59,570</w:t>
            </w:r>
            <w:r>
              <w:rPr>
                <w:rStyle w:val="Bulletcolour"/>
                <w:vertAlign w:val="superscript"/>
              </w:rPr>
              <w:t>(a)</w:t>
            </w:r>
          </w:p>
        </w:tc>
        <w:tc>
          <w:tcPr>
            <w:tcW w:w="883" w:type="pct"/>
          </w:tcPr>
          <w:p w:rsidR="008E273C" w:rsidRDefault="008E273C" w:rsidP="0075125F">
            <w:pPr>
              <w:pStyle w:val="BodyText"/>
            </w:pPr>
            <w:r>
              <w:rPr>
                <w:rStyle w:val="Bulletcolour"/>
              </w:rPr>
              <w:t>1,920</w:t>
            </w:r>
            <w:r>
              <w:rPr>
                <w:rStyle w:val="Bulletcolour"/>
                <w:vertAlign w:val="superscript"/>
              </w:rPr>
              <w:t>(a)</w:t>
            </w:r>
          </w:p>
        </w:tc>
        <w:tc>
          <w:tcPr>
            <w:tcW w:w="883" w:type="pct"/>
          </w:tcPr>
          <w:p w:rsidR="008E273C" w:rsidRDefault="008E273C" w:rsidP="0075125F">
            <w:pPr>
              <w:pStyle w:val="BodyText"/>
            </w:pPr>
            <w:r>
              <w:rPr>
                <w:rStyle w:val="Bulletcolour"/>
              </w:rPr>
              <w:t>144,110</w:t>
            </w:r>
            <w:r>
              <w:rPr>
                <w:rStyle w:val="Bulletcolour"/>
                <w:vertAlign w:val="superscript"/>
              </w:rPr>
              <w:t>(b)</w:t>
            </w:r>
          </w:p>
        </w:tc>
        <w:tc>
          <w:tcPr>
            <w:tcW w:w="883" w:type="pct"/>
          </w:tcPr>
          <w:p w:rsidR="008E273C" w:rsidRDefault="008E273C" w:rsidP="0075125F">
            <w:pPr>
              <w:pStyle w:val="BodyText"/>
            </w:pPr>
            <w:r>
              <w:rPr>
                <w:rStyle w:val="Bulletcolour"/>
              </w:rPr>
              <w:t>350,410</w:t>
            </w:r>
          </w:p>
        </w:tc>
      </w:tr>
    </w:tbl>
    <w:p w:rsidR="008E273C" w:rsidRDefault="008E273C" w:rsidP="0075125F">
      <w:pPr>
        <w:pStyle w:val="BodyText"/>
      </w:pPr>
      <w:r>
        <w:t>(a)</w:t>
      </w:r>
      <w:r w:rsidR="0075125F">
        <w:t xml:space="preserve"> </w:t>
      </w:r>
      <w:r>
        <w:t>Tropical Cyclone Debbie.</w:t>
      </w:r>
    </w:p>
    <w:p w:rsidR="008E273C" w:rsidRDefault="008E273C" w:rsidP="0075125F">
      <w:pPr>
        <w:pStyle w:val="BodyText"/>
      </w:pPr>
      <w:r>
        <w:t>(b)</w:t>
      </w:r>
      <w:r w:rsidR="0075125F">
        <w:t xml:space="preserve"> </w:t>
      </w:r>
      <w:r>
        <w:t xml:space="preserve">Tasmanian bushfires, Far North Queensland floods, Northern NSW bushfires </w:t>
      </w:r>
    </w:p>
    <w:p w:rsidR="008E273C" w:rsidRDefault="008E273C" w:rsidP="008E273C">
      <w:pPr>
        <w:pStyle w:val="Heading3"/>
      </w:pPr>
      <w:r>
        <w:t>National Emergency Call Centre Surge Capability</w:t>
      </w:r>
    </w:p>
    <w:p w:rsidR="008E273C" w:rsidRDefault="008E273C" w:rsidP="008E273C">
      <w:pPr>
        <w:pStyle w:val="BodyText"/>
      </w:pPr>
      <w:r>
        <w:t>Services Australia provides support through the National Emergency Call Centre Surge Capability, which allows state and territory government agencies to overflow calls to their emergency (non-000) lines to the agency. I</w:t>
      </w:r>
      <w:r>
        <w:rPr>
          <w:rStyle w:val="NoBreak"/>
        </w:rPr>
        <w:t>n 2019–20 th</w:t>
      </w:r>
      <w:r>
        <w:t>e agency was not asked to activate this capability.</w:t>
      </w:r>
    </w:p>
    <w:p w:rsidR="008E273C" w:rsidRDefault="008E273C" w:rsidP="008E273C">
      <w:pPr>
        <w:pStyle w:val="Heading3"/>
      </w:pPr>
      <w:r>
        <w:t xml:space="preserve">National Security Hotline </w:t>
      </w:r>
    </w:p>
    <w:p w:rsidR="008E273C" w:rsidRDefault="008E273C" w:rsidP="008E273C">
      <w:pPr>
        <w:pStyle w:val="BodyText"/>
      </w:pPr>
      <w:r>
        <w:t>The National Security Hotline is the single point of contact for people to report possible signs of terrorism or to request information. Services Australia provides surge assistance for the National Security Hotline on request from the Department of Home Affairs. In 2019–20 the agency was not asked to assist with the hotline.</w:t>
      </w:r>
    </w:p>
    <w:p w:rsidR="008E273C" w:rsidRDefault="008E273C" w:rsidP="008E273C">
      <w:pPr>
        <w:pStyle w:val="Heading1"/>
      </w:pPr>
      <w:r>
        <w:t>1.8 Money management</w:t>
      </w:r>
    </w:p>
    <w:p w:rsidR="008E273C" w:rsidRDefault="008E273C" w:rsidP="005D794B">
      <w:pPr>
        <w:pStyle w:val="BodyText"/>
      </w:pPr>
      <w:r>
        <w:t xml:space="preserve">Services Australia provides services to help customers in challenging circumstances to manage their money. </w:t>
      </w:r>
    </w:p>
    <w:p w:rsidR="008E273C" w:rsidRDefault="008E273C" w:rsidP="008E273C">
      <w:pPr>
        <w:pStyle w:val="Heading2"/>
      </w:pPr>
      <w:r>
        <w:t xml:space="preserve">Financial Information Service </w:t>
      </w:r>
    </w:p>
    <w:p w:rsidR="008E273C" w:rsidRDefault="008E273C" w:rsidP="008E273C">
      <w:pPr>
        <w:pStyle w:val="BodyText"/>
      </w:pPr>
      <w:r>
        <w:t>The Financial Information Service (FIS) offers free, independent and confidential information, tools and resources to help customers make informed decisions about their current and future financial needs. FIS can assist financially vulnerable people to improve their financial capability, and fosters s</w:t>
      </w:r>
      <w:r>
        <w:rPr>
          <w:rStyle w:val="NoBreak"/>
        </w:rPr>
        <w:t>elf-sufficie</w:t>
      </w:r>
      <w:r>
        <w:t xml:space="preserve">ncy by looking at financial options beyond the payments offered by Services Australia.  </w:t>
      </w:r>
    </w:p>
    <w:p w:rsidR="008E273C" w:rsidRDefault="008E273C" w:rsidP="00E42522">
      <w:pPr>
        <w:pStyle w:val="BodyText"/>
      </w:pPr>
      <w:r>
        <w:t>FIS is available by phone, by appointment and through seminars. A</w:t>
      </w:r>
      <w:r>
        <w:rPr>
          <w:rStyle w:val="NoBreak"/>
        </w:rPr>
        <w:t>ll FIS face-to-fac</w:t>
      </w:r>
      <w:r>
        <w:t>e services stopped in March 2020 due to the C</w:t>
      </w:r>
      <w:r>
        <w:rPr>
          <w:rStyle w:val="NoBreak"/>
        </w:rPr>
        <w:t>OVID-19 pande</w:t>
      </w:r>
      <w:r>
        <w:t>mic. Outreach, seminar and interview figures are from Ju</w:t>
      </w:r>
      <w:r>
        <w:rPr>
          <w:rStyle w:val="NoBreak"/>
        </w:rPr>
        <w:t>ly 201</w:t>
      </w:r>
      <w:r>
        <w:t>9 to Mar</w:t>
      </w:r>
      <w:r>
        <w:rPr>
          <w:rStyle w:val="NoBreak"/>
        </w:rPr>
        <w:t>ch 202</w:t>
      </w:r>
      <w:r>
        <w:t>0. Phone call figures are for the full financial year. I</w:t>
      </w:r>
      <w:r>
        <w:rPr>
          <w:rStyle w:val="NoBreak"/>
        </w:rPr>
        <w:t>n 201</w:t>
      </w:r>
      <w:r>
        <w:t>9–20 F</w:t>
      </w:r>
      <w:r>
        <w:rPr>
          <w:rStyle w:val="NoBreak"/>
        </w:rPr>
        <w:t>IS offic</w:t>
      </w:r>
      <w:r>
        <w:t xml:space="preserve">ers: </w:t>
      </w:r>
    </w:p>
    <w:p w:rsidR="008E273C" w:rsidRDefault="008E273C" w:rsidP="00E42522">
      <w:pPr>
        <w:pStyle w:val="ListBullet"/>
      </w:pPr>
      <w:r>
        <w:t>answered more than 56,000 phone calls</w:t>
      </w:r>
    </w:p>
    <w:p w:rsidR="008E273C" w:rsidRDefault="008E273C" w:rsidP="00E42522">
      <w:pPr>
        <w:pStyle w:val="ListBullet"/>
      </w:pPr>
      <w:r>
        <w:lastRenderedPageBreak/>
        <w:t>conducted more than 40,200 interviews</w:t>
      </w:r>
    </w:p>
    <w:p w:rsidR="008E273C" w:rsidRDefault="008E273C" w:rsidP="00E42522">
      <w:pPr>
        <w:pStyle w:val="ListBullet"/>
      </w:pPr>
      <w:r>
        <w:t>delivered 3,881 hours of outreach services</w:t>
      </w:r>
    </w:p>
    <w:p w:rsidR="008E273C" w:rsidRDefault="008E273C" w:rsidP="00E42522">
      <w:pPr>
        <w:pStyle w:val="ListBullet"/>
      </w:pPr>
      <w:proofErr w:type="gramStart"/>
      <w:r>
        <w:t>held</w:t>
      </w:r>
      <w:proofErr w:type="gramEnd"/>
      <w:r>
        <w:t xml:space="preserve"> 1,387 seminars for more than 29,600 participants.</w:t>
      </w:r>
    </w:p>
    <w:p w:rsidR="008E273C" w:rsidRDefault="008E273C" w:rsidP="008E273C">
      <w:pPr>
        <w:pStyle w:val="Heading2"/>
      </w:pPr>
      <w:r>
        <w:t xml:space="preserve">Centrepay </w:t>
      </w:r>
    </w:p>
    <w:p w:rsidR="008E273C" w:rsidRDefault="008E273C" w:rsidP="00E42522">
      <w:pPr>
        <w:pStyle w:val="BodyText"/>
      </w:pPr>
      <w:r>
        <w:t>Centrepay is a free voluntary bill-paying service for Centrelink customers. I</w:t>
      </w:r>
      <w:r>
        <w:rPr>
          <w:rStyle w:val="NoBreak"/>
        </w:rPr>
        <w:t>t hel</w:t>
      </w:r>
      <w:r>
        <w:t>ps them manage their expenses by giving the option of making regular deductions directly from their income support payment to an approved business. Businesses approved to use Centrepay are charged a fee to recover operating costs. At 30 June 2020:</w:t>
      </w:r>
    </w:p>
    <w:p w:rsidR="008E273C" w:rsidRDefault="008E273C" w:rsidP="00E42522">
      <w:pPr>
        <w:pStyle w:val="ListBullet"/>
      </w:pPr>
      <w:r>
        <w:t>649,124 customers were using Centrepay</w:t>
      </w:r>
    </w:p>
    <w:p w:rsidR="008E273C" w:rsidRDefault="008E273C" w:rsidP="00E42522">
      <w:pPr>
        <w:pStyle w:val="ListBullet"/>
      </w:pPr>
      <w:r>
        <w:t>11,441 businesses received a Centrepay deduction.</w:t>
      </w:r>
    </w:p>
    <w:p w:rsidR="008E273C" w:rsidRDefault="008E273C" w:rsidP="008E273C">
      <w:pPr>
        <w:pStyle w:val="BodyText"/>
      </w:pPr>
      <w:r>
        <w:t>In 2019–20 26.1 million deductions were made to the value of $2.76 billion.</w:t>
      </w:r>
    </w:p>
    <w:p w:rsidR="008E273C" w:rsidRDefault="008E273C" w:rsidP="008E273C">
      <w:pPr>
        <w:pStyle w:val="Heading2"/>
      </w:pPr>
      <w:r>
        <w:t xml:space="preserve">Centrelink Confirmation </w:t>
      </w:r>
      <w:proofErr w:type="spellStart"/>
      <w:r>
        <w:t>eServices</w:t>
      </w:r>
      <w:proofErr w:type="spellEnd"/>
    </w:p>
    <w:p w:rsidR="008E273C" w:rsidRDefault="008E273C" w:rsidP="008E273C">
      <w:pPr>
        <w:pStyle w:val="BodyText"/>
      </w:pPr>
      <w:r>
        <w:t>Sometimes businesses and organisations—for example, utility providers, local councils, housing providers, financial planners and superannuation funds—need information from the agency to determine a person’s eligibility to receive a concession, rebate or service they provide.</w:t>
      </w:r>
    </w:p>
    <w:p w:rsidR="008E273C" w:rsidRDefault="008E273C" w:rsidP="00E42522">
      <w:pPr>
        <w:pStyle w:val="BodyText"/>
      </w:pPr>
      <w:r>
        <w:t xml:space="preserve">The agency’s online Centrelink Confirmation </w:t>
      </w:r>
      <w:proofErr w:type="spellStart"/>
      <w:r>
        <w:t>eServices</w:t>
      </w:r>
      <w:proofErr w:type="spellEnd"/>
      <w:r>
        <w:t xml:space="preserve"> allow approved businesses and organisations to confirm that a person is entitled to a concession, or rebate, obtain income and assets and payment information, and help to determine eligibility for the early release of superannuation due to financial hardship. With the person’s consent, businesses and organisations can electronically:</w:t>
      </w:r>
    </w:p>
    <w:p w:rsidR="008E273C" w:rsidRDefault="008E273C" w:rsidP="00E42522">
      <w:pPr>
        <w:pStyle w:val="ListBullet"/>
      </w:pPr>
      <w:r>
        <w:t>confirm that a customer is eligible to receive a concession, rebate or service (Customer Confirmation)</w:t>
      </w:r>
    </w:p>
    <w:p w:rsidR="008E273C" w:rsidRDefault="008E273C" w:rsidP="00E42522">
      <w:pPr>
        <w:pStyle w:val="ListBullet"/>
      </w:pPr>
      <w:r>
        <w:t>confirm the customer’s income, assets and payment details (Income Confirmation)</w:t>
      </w:r>
    </w:p>
    <w:p w:rsidR="008E273C" w:rsidRDefault="008E273C" w:rsidP="00E42522">
      <w:pPr>
        <w:pStyle w:val="ListBullet"/>
      </w:pPr>
      <w:proofErr w:type="gramStart"/>
      <w:r>
        <w:t>confirm</w:t>
      </w:r>
      <w:proofErr w:type="gramEnd"/>
      <w:r>
        <w:t xml:space="preserve"> whether superannuation can be released early due to financial hardship (Superannuation Confirmation).</w:t>
      </w:r>
    </w:p>
    <w:p w:rsidR="008E273C" w:rsidRDefault="008E273C" w:rsidP="008E273C">
      <w:pPr>
        <w:pStyle w:val="Heading2"/>
      </w:pPr>
      <w:r>
        <w:t xml:space="preserve">Rent Deduction Scheme </w:t>
      </w:r>
    </w:p>
    <w:p w:rsidR="008E273C" w:rsidRDefault="008E273C" w:rsidP="008E273C">
      <w:pPr>
        <w:pStyle w:val="BodyText"/>
      </w:pPr>
      <w:r>
        <w:t xml:space="preserve">The Rent Deduction Scheme gives customers the option of having their public housing payments deducted from their income support payment and sent directly to their state or territory housing authority. </w:t>
      </w:r>
    </w:p>
    <w:p w:rsidR="008E273C" w:rsidRDefault="008E273C" w:rsidP="008E273C">
      <w:pPr>
        <w:pStyle w:val="BodyText"/>
      </w:pPr>
      <w:r>
        <w:t>At 30 June 2020, 331,060 customers were using the scheme. In 2019–20 9.23 million rent deductions were made using the scheme.</w:t>
      </w:r>
    </w:p>
    <w:p w:rsidR="008E273C" w:rsidRDefault="008E273C" w:rsidP="008E273C">
      <w:pPr>
        <w:pStyle w:val="Heading2"/>
      </w:pPr>
      <w:r>
        <w:t xml:space="preserve">Tax Deduction Service </w:t>
      </w:r>
    </w:p>
    <w:p w:rsidR="008E273C" w:rsidRDefault="008E273C" w:rsidP="008E273C">
      <w:pPr>
        <w:pStyle w:val="BodyText"/>
      </w:pPr>
      <w:r>
        <w:t>The Tax Deduction Service allows customers who receive taxable Centrelink income support payments to choose to have tax withheld from their payments. The service is an easy and free way for customers to meet their tax obligations.</w:t>
      </w:r>
    </w:p>
    <w:p w:rsidR="008E273C" w:rsidRDefault="008E273C" w:rsidP="008E273C">
      <w:pPr>
        <w:pStyle w:val="BodyText"/>
      </w:pPr>
      <w:r>
        <w:lastRenderedPageBreak/>
        <w:t>At 30 June 2020, 387,214 customers deducted tax from their income support payments to the value of $65 million.</w:t>
      </w:r>
    </w:p>
    <w:p w:rsidR="008E273C" w:rsidRDefault="008E273C" w:rsidP="008E273C">
      <w:pPr>
        <w:pStyle w:val="Heading2"/>
      </w:pPr>
      <w:r>
        <w:t xml:space="preserve">Income Management </w:t>
      </w:r>
    </w:p>
    <w:p w:rsidR="008E273C" w:rsidRDefault="008E273C" w:rsidP="008E273C">
      <w:pPr>
        <w:pStyle w:val="BodyText"/>
      </w:pPr>
      <w:r>
        <w:t xml:space="preserve">Income Management helps groups of people in specific locations who receive income support to manage their money to meet essential household expenses. </w:t>
      </w:r>
    </w:p>
    <w:p w:rsidR="008E273C" w:rsidRDefault="008E273C" w:rsidP="008E273C">
      <w:pPr>
        <w:pStyle w:val="BodyText"/>
      </w:pPr>
      <w:r>
        <w:t xml:space="preserve">Under Income Management, a percentage of a person’s income support, and 100 per cent of lump-sum payments, are allocated to pay for priority items such as food, housing, clothing, utilities, education and medical care. The remaining percentage of the person’s payment is paid to them in the usual way to be used at their discretion. Money that is income managed cannot be spent on alcohol, tobacco, </w:t>
      </w:r>
      <w:proofErr w:type="gramStart"/>
      <w:r>
        <w:t>pornography</w:t>
      </w:r>
      <w:proofErr w:type="gramEnd"/>
      <w:r>
        <w:t xml:space="preserve"> or gambling. </w:t>
      </w:r>
    </w:p>
    <w:p w:rsidR="008E273C" w:rsidRDefault="008E273C" w:rsidP="008E273C">
      <w:pPr>
        <w:pStyle w:val="Heading3"/>
      </w:pPr>
      <w:r>
        <w:t>Accessing Income-Managed Money</w:t>
      </w:r>
    </w:p>
    <w:p w:rsidR="008E273C" w:rsidRDefault="008E273C" w:rsidP="008E273C">
      <w:pPr>
        <w:pStyle w:val="BodyText"/>
      </w:pPr>
      <w:r>
        <w:t xml:space="preserve">Services Australia works with people on Income Management to identify how their income support can be used to pay organisations for items they and their families need. </w:t>
      </w:r>
    </w:p>
    <w:p w:rsidR="008E273C" w:rsidRDefault="008E273C" w:rsidP="008E273C">
      <w:pPr>
        <w:pStyle w:val="BodyText"/>
      </w:pPr>
      <w:r>
        <w:t xml:space="preserve">Organisations can be paid in a variety of ways, including with a customer </w:t>
      </w:r>
      <w:proofErr w:type="spellStart"/>
      <w:r>
        <w:t>BasicsCard</w:t>
      </w:r>
      <w:proofErr w:type="spellEnd"/>
      <w:r>
        <w:t>, the customer making direct deposit via BPAY, the agency arranging a direct deposit, and, in some urgent cases, making a credit card payment over the phone.</w:t>
      </w:r>
    </w:p>
    <w:p w:rsidR="008E273C" w:rsidRDefault="008E273C" w:rsidP="008E273C">
      <w:pPr>
        <w:pStyle w:val="BodyText"/>
      </w:pPr>
      <w:r>
        <w:t xml:space="preserve">Customers can also access their Income Management money account through the Express </w:t>
      </w:r>
      <w:proofErr w:type="gramStart"/>
      <w:r>
        <w:t>Plus</w:t>
      </w:r>
      <w:proofErr w:type="gramEnd"/>
      <w:r>
        <w:t xml:space="preserve"> Centrelink mobile app and online services to complete transactions, such as transferring funds between their Income Management and </w:t>
      </w:r>
      <w:proofErr w:type="spellStart"/>
      <w:r>
        <w:t>BasicsCard</w:t>
      </w:r>
      <w:proofErr w:type="spellEnd"/>
      <w:r>
        <w:t xml:space="preserve"> account and checking their </w:t>
      </w:r>
      <w:proofErr w:type="spellStart"/>
      <w:r>
        <w:t>BasicsCard</w:t>
      </w:r>
      <w:proofErr w:type="spellEnd"/>
      <w:r>
        <w:t xml:space="preserve"> balance.</w:t>
      </w:r>
    </w:p>
    <w:p w:rsidR="008E273C" w:rsidRDefault="008E273C" w:rsidP="008E273C">
      <w:pPr>
        <w:pStyle w:val="BodyText"/>
      </w:pPr>
      <w:r>
        <w:t xml:space="preserve">At 30 June 2020, 17,276 stores and businesses accepted the </w:t>
      </w:r>
      <w:proofErr w:type="spellStart"/>
      <w:r>
        <w:t>BasicsCard</w:t>
      </w:r>
      <w:proofErr w:type="spellEnd"/>
      <w:r>
        <w:t>. Th</w:t>
      </w:r>
      <w:r>
        <w:rPr>
          <w:rStyle w:val="NoBreak"/>
        </w:rPr>
        <w:t>e agenc</w:t>
      </w:r>
      <w:r>
        <w:t>y investigates public complaints and conducts random sample reviews to ensure stores and businesses are complying with the terms an</w:t>
      </w:r>
      <w:r>
        <w:rPr>
          <w:rStyle w:val="NoBreak"/>
        </w:rPr>
        <w:t>d cond</w:t>
      </w:r>
      <w:r>
        <w:t xml:space="preserve">itions. </w:t>
      </w:r>
    </w:p>
    <w:p w:rsidR="008E273C" w:rsidRDefault="008E273C" w:rsidP="00E42522">
      <w:pPr>
        <w:pStyle w:val="BodyText"/>
      </w:pPr>
      <w:r>
        <w:t>In 2019–20:</w:t>
      </w:r>
    </w:p>
    <w:p w:rsidR="008E273C" w:rsidRDefault="008E273C" w:rsidP="00E42522">
      <w:pPr>
        <w:pStyle w:val="ListBullet"/>
      </w:pPr>
      <w:r>
        <w:t xml:space="preserve">98 per cent of income-managed customers used the </w:t>
      </w:r>
      <w:proofErr w:type="spellStart"/>
      <w:r>
        <w:t>BasicsCard</w:t>
      </w:r>
      <w:proofErr w:type="spellEnd"/>
    </w:p>
    <w:p w:rsidR="008E273C" w:rsidRDefault="008E273C" w:rsidP="00E42522">
      <w:pPr>
        <w:pStyle w:val="ListBullet"/>
      </w:pPr>
      <w:r>
        <w:t xml:space="preserve">$255.8 million was spent using the </w:t>
      </w:r>
      <w:proofErr w:type="spellStart"/>
      <w:r>
        <w:t>BasicsCard</w:t>
      </w:r>
      <w:proofErr w:type="spellEnd"/>
      <w:r>
        <w:t>.</w:t>
      </w:r>
    </w:p>
    <w:p w:rsidR="008E273C" w:rsidRDefault="008E273C" w:rsidP="008E273C">
      <w:pPr>
        <w:pStyle w:val="Heading3"/>
      </w:pPr>
      <w:r>
        <w:t xml:space="preserve">Data on Income Management </w:t>
      </w:r>
    </w:p>
    <w:p w:rsidR="008E273C" w:rsidRPr="0075125F" w:rsidRDefault="0075125F" w:rsidP="0075125F">
      <w:pPr>
        <w:pStyle w:val="BodyText"/>
        <w:rPr>
          <w:rFonts w:ascii="Roboto-Regular" w:hAnsi="Roboto-Regular" w:cs="Roboto-Regular"/>
          <w:b/>
          <w:bCs/>
          <w:sz w:val="22"/>
          <w:szCs w:val="22"/>
          <w:lang w:val="en-US"/>
        </w:rPr>
      </w:pPr>
      <w:r w:rsidRPr="0075125F">
        <w:rPr>
          <w:b/>
        </w:rPr>
        <w:t>Table 35:</w:t>
      </w:r>
      <w:r w:rsidR="008E273C" w:rsidRPr="0075125F">
        <w:rPr>
          <w:b/>
        </w:rPr>
        <w:t xml:space="preserve"> Numbers of Income Management </w:t>
      </w:r>
      <w:proofErr w:type="gramStart"/>
      <w:r w:rsidR="008E273C" w:rsidRPr="0075125F">
        <w:rPr>
          <w:b/>
        </w:rPr>
        <w:t>customers</w:t>
      </w:r>
      <w:r w:rsidR="008E273C" w:rsidRPr="0075125F">
        <w:rPr>
          <w:b/>
          <w:vertAlign w:val="superscript"/>
        </w:rPr>
        <w:t>(</w:t>
      </w:r>
      <w:proofErr w:type="gramEnd"/>
      <w:r w:rsidR="008E273C" w:rsidRPr="0075125F">
        <w:rPr>
          <w:b/>
          <w:vertAlign w:val="superscript"/>
        </w:rPr>
        <w:t>a)</w:t>
      </w:r>
    </w:p>
    <w:tbl>
      <w:tblPr>
        <w:tblStyle w:val="TableGrid"/>
        <w:tblW w:w="5000" w:type="pct"/>
        <w:tblLook w:val="0000" w:firstRow="0" w:lastRow="0" w:firstColumn="0" w:lastColumn="0" w:noHBand="0" w:noVBand="0"/>
        <w:tblCaption w:val="Table 35: Numbers of Income Management customers(a)"/>
        <w:tblDescription w:val="Table 35: Numbers of Income Management customers(a)"/>
      </w:tblPr>
      <w:tblGrid>
        <w:gridCol w:w="6155"/>
        <w:gridCol w:w="1647"/>
        <w:gridCol w:w="1647"/>
        <w:gridCol w:w="1647"/>
      </w:tblGrid>
      <w:tr w:rsidR="008E273C" w:rsidTr="0075125F">
        <w:trPr>
          <w:trHeight w:val="60"/>
          <w:tblHeader/>
        </w:trPr>
        <w:tc>
          <w:tcPr>
            <w:tcW w:w="2774" w:type="pct"/>
          </w:tcPr>
          <w:p w:rsidR="008E273C" w:rsidRPr="0075125F" w:rsidRDefault="008E273C" w:rsidP="0075125F">
            <w:pPr>
              <w:pStyle w:val="BodyText"/>
              <w:rPr>
                <w:b/>
              </w:rPr>
            </w:pPr>
            <w:r w:rsidRPr="0075125F">
              <w:rPr>
                <w:rStyle w:val="Bulletcolour"/>
                <w:b/>
              </w:rPr>
              <w:t>Measure</w:t>
            </w:r>
          </w:p>
        </w:tc>
        <w:tc>
          <w:tcPr>
            <w:tcW w:w="742" w:type="pct"/>
          </w:tcPr>
          <w:p w:rsidR="008E273C" w:rsidRPr="0075125F" w:rsidRDefault="008E273C" w:rsidP="0075125F">
            <w:pPr>
              <w:pStyle w:val="BodyText"/>
              <w:rPr>
                <w:b/>
              </w:rPr>
            </w:pPr>
            <w:r w:rsidRPr="0075125F">
              <w:rPr>
                <w:rStyle w:val="Bulletcolour"/>
                <w:b/>
              </w:rPr>
              <w:t>2017–18</w:t>
            </w:r>
          </w:p>
        </w:tc>
        <w:tc>
          <w:tcPr>
            <w:tcW w:w="742" w:type="pct"/>
          </w:tcPr>
          <w:p w:rsidR="008E273C" w:rsidRPr="0075125F" w:rsidRDefault="008E273C" w:rsidP="0075125F">
            <w:pPr>
              <w:pStyle w:val="BodyText"/>
              <w:rPr>
                <w:b/>
              </w:rPr>
            </w:pPr>
            <w:r w:rsidRPr="0075125F">
              <w:rPr>
                <w:rStyle w:val="Bulletcolour"/>
                <w:b/>
              </w:rPr>
              <w:t>2018–19</w:t>
            </w:r>
          </w:p>
        </w:tc>
        <w:tc>
          <w:tcPr>
            <w:tcW w:w="742" w:type="pct"/>
          </w:tcPr>
          <w:p w:rsidR="008E273C" w:rsidRPr="0075125F" w:rsidRDefault="008E273C" w:rsidP="0075125F">
            <w:pPr>
              <w:pStyle w:val="BodyText"/>
              <w:rPr>
                <w:b/>
              </w:rPr>
            </w:pPr>
            <w:r w:rsidRPr="0075125F">
              <w:rPr>
                <w:rStyle w:val="Bulletcolour"/>
                <w:b/>
              </w:rPr>
              <w:t>2019–20</w:t>
            </w:r>
          </w:p>
        </w:tc>
      </w:tr>
      <w:tr w:rsidR="008E273C" w:rsidTr="0075125F">
        <w:trPr>
          <w:trHeight w:val="60"/>
        </w:trPr>
        <w:tc>
          <w:tcPr>
            <w:tcW w:w="2774" w:type="pct"/>
          </w:tcPr>
          <w:p w:rsidR="008E273C" w:rsidRDefault="008E273C" w:rsidP="0075125F">
            <w:pPr>
              <w:pStyle w:val="BodyText"/>
            </w:pPr>
            <w:r>
              <w:rPr>
                <w:rStyle w:val="Bulletcolour"/>
              </w:rPr>
              <w:t>Cape York Income Management</w:t>
            </w:r>
          </w:p>
        </w:tc>
        <w:tc>
          <w:tcPr>
            <w:tcW w:w="742" w:type="pct"/>
          </w:tcPr>
          <w:p w:rsidR="008E273C" w:rsidRDefault="008E273C" w:rsidP="0075125F">
            <w:pPr>
              <w:pStyle w:val="BodyText"/>
            </w:pPr>
            <w:r>
              <w:rPr>
                <w:rStyle w:val="Bulletcolour"/>
              </w:rPr>
              <w:t>136</w:t>
            </w:r>
          </w:p>
        </w:tc>
        <w:tc>
          <w:tcPr>
            <w:tcW w:w="742" w:type="pct"/>
          </w:tcPr>
          <w:p w:rsidR="008E273C" w:rsidRDefault="008E273C" w:rsidP="0075125F">
            <w:pPr>
              <w:pStyle w:val="BodyText"/>
            </w:pPr>
            <w:r>
              <w:rPr>
                <w:rStyle w:val="Bulletcolour"/>
              </w:rPr>
              <w:t>129</w:t>
            </w:r>
          </w:p>
        </w:tc>
        <w:tc>
          <w:tcPr>
            <w:tcW w:w="742" w:type="pct"/>
          </w:tcPr>
          <w:p w:rsidR="008E273C" w:rsidRDefault="008E273C" w:rsidP="0075125F">
            <w:pPr>
              <w:pStyle w:val="BodyText"/>
            </w:pPr>
            <w:r>
              <w:rPr>
                <w:rStyle w:val="Bulletcolour"/>
              </w:rPr>
              <w:t>140</w:t>
            </w:r>
          </w:p>
        </w:tc>
      </w:tr>
      <w:tr w:rsidR="008E273C" w:rsidTr="0075125F">
        <w:trPr>
          <w:trHeight w:val="60"/>
        </w:trPr>
        <w:tc>
          <w:tcPr>
            <w:tcW w:w="2774" w:type="pct"/>
          </w:tcPr>
          <w:p w:rsidR="008E273C" w:rsidRDefault="008E273C" w:rsidP="0075125F">
            <w:pPr>
              <w:pStyle w:val="BodyText"/>
            </w:pPr>
            <w:r>
              <w:rPr>
                <w:rStyle w:val="Bulletcolour"/>
              </w:rPr>
              <w:t>Child Protection Income Management</w:t>
            </w:r>
          </w:p>
        </w:tc>
        <w:tc>
          <w:tcPr>
            <w:tcW w:w="742" w:type="pct"/>
          </w:tcPr>
          <w:p w:rsidR="008E273C" w:rsidRDefault="008E273C" w:rsidP="0075125F">
            <w:pPr>
              <w:pStyle w:val="BodyText"/>
            </w:pPr>
            <w:r>
              <w:rPr>
                <w:rStyle w:val="Bulletcolour"/>
              </w:rPr>
              <w:t>185</w:t>
            </w:r>
          </w:p>
        </w:tc>
        <w:tc>
          <w:tcPr>
            <w:tcW w:w="742" w:type="pct"/>
          </w:tcPr>
          <w:p w:rsidR="008E273C" w:rsidRDefault="008E273C" w:rsidP="0075125F">
            <w:pPr>
              <w:pStyle w:val="BodyText"/>
            </w:pPr>
            <w:r>
              <w:rPr>
                <w:rStyle w:val="Bulletcolour"/>
              </w:rPr>
              <w:t>147</w:t>
            </w:r>
          </w:p>
        </w:tc>
        <w:tc>
          <w:tcPr>
            <w:tcW w:w="742" w:type="pct"/>
          </w:tcPr>
          <w:p w:rsidR="008E273C" w:rsidRDefault="008E273C" w:rsidP="0075125F">
            <w:pPr>
              <w:pStyle w:val="BodyText"/>
            </w:pPr>
            <w:r>
              <w:rPr>
                <w:rStyle w:val="Bulletcolour"/>
              </w:rPr>
              <w:t>122</w:t>
            </w:r>
          </w:p>
        </w:tc>
      </w:tr>
      <w:tr w:rsidR="008E273C" w:rsidTr="0075125F">
        <w:trPr>
          <w:trHeight w:val="60"/>
        </w:trPr>
        <w:tc>
          <w:tcPr>
            <w:tcW w:w="2774" w:type="pct"/>
          </w:tcPr>
          <w:p w:rsidR="008E273C" w:rsidRDefault="008E273C" w:rsidP="0075125F">
            <w:pPr>
              <w:pStyle w:val="BodyText"/>
            </w:pPr>
            <w:r>
              <w:rPr>
                <w:rStyle w:val="Bulletcolour"/>
              </w:rPr>
              <w:t>Disengaged Youth</w:t>
            </w:r>
          </w:p>
        </w:tc>
        <w:tc>
          <w:tcPr>
            <w:tcW w:w="742" w:type="pct"/>
          </w:tcPr>
          <w:p w:rsidR="008E273C" w:rsidRDefault="008E273C" w:rsidP="0075125F">
            <w:pPr>
              <w:pStyle w:val="BodyText"/>
            </w:pPr>
            <w:r>
              <w:rPr>
                <w:rStyle w:val="Bulletcolour"/>
              </w:rPr>
              <w:t>4,096</w:t>
            </w:r>
          </w:p>
        </w:tc>
        <w:tc>
          <w:tcPr>
            <w:tcW w:w="742" w:type="pct"/>
          </w:tcPr>
          <w:p w:rsidR="008E273C" w:rsidRDefault="008E273C" w:rsidP="0075125F">
            <w:pPr>
              <w:pStyle w:val="BodyText"/>
            </w:pPr>
            <w:r>
              <w:rPr>
                <w:rStyle w:val="Bulletcolour"/>
              </w:rPr>
              <w:t>4,020</w:t>
            </w:r>
          </w:p>
        </w:tc>
        <w:tc>
          <w:tcPr>
            <w:tcW w:w="742" w:type="pct"/>
          </w:tcPr>
          <w:p w:rsidR="008E273C" w:rsidRDefault="008E273C" w:rsidP="0075125F">
            <w:pPr>
              <w:pStyle w:val="BodyText"/>
            </w:pPr>
            <w:r>
              <w:rPr>
                <w:rStyle w:val="Bulletcolour"/>
              </w:rPr>
              <w:t>4,592</w:t>
            </w:r>
          </w:p>
        </w:tc>
      </w:tr>
      <w:tr w:rsidR="008E273C" w:rsidTr="0075125F">
        <w:trPr>
          <w:trHeight w:val="60"/>
        </w:trPr>
        <w:tc>
          <w:tcPr>
            <w:tcW w:w="2774" w:type="pct"/>
          </w:tcPr>
          <w:p w:rsidR="008E273C" w:rsidRDefault="008E273C" w:rsidP="0075125F">
            <w:pPr>
              <w:pStyle w:val="BodyText"/>
            </w:pPr>
            <w:r>
              <w:rPr>
                <w:rStyle w:val="Bulletcolour"/>
              </w:rPr>
              <w:t xml:space="preserve">Long Term Welfare Payment Recipient </w:t>
            </w:r>
          </w:p>
        </w:tc>
        <w:tc>
          <w:tcPr>
            <w:tcW w:w="742" w:type="pct"/>
          </w:tcPr>
          <w:p w:rsidR="008E273C" w:rsidRDefault="008E273C" w:rsidP="0075125F">
            <w:pPr>
              <w:pStyle w:val="BodyText"/>
            </w:pPr>
            <w:r>
              <w:rPr>
                <w:rStyle w:val="Bulletcolour"/>
              </w:rPr>
              <w:t>14,944</w:t>
            </w:r>
          </w:p>
        </w:tc>
        <w:tc>
          <w:tcPr>
            <w:tcW w:w="742" w:type="pct"/>
          </w:tcPr>
          <w:p w:rsidR="008E273C" w:rsidRDefault="008E273C" w:rsidP="0075125F">
            <w:pPr>
              <w:pStyle w:val="BodyText"/>
            </w:pPr>
            <w:r>
              <w:rPr>
                <w:rStyle w:val="Bulletcolour"/>
              </w:rPr>
              <w:t>15,592</w:t>
            </w:r>
          </w:p>
        </w:tc>
        <w:tc>
          <w:tcPr>
            <w:tcW w:w="742" w:type="pct"/>
          </w:tcPr>
          <w:p w:rsidR="008E273C" w:rsidRDefault="008E273C" w:rsidP="0075125F">
            <w:pPr>
              <w:pStyle w:val="BodyText"/>
            </w:pPr>
            <w:r>
              <w:rPr>
                <w:rStyle w:val="Bulletcolour"/>
              </w:rPr>
              <w:t>16,868</w:t>
            </w:r>
          </w:p>
        </w:tc>
      </w:tr>
      <w:tr w:rsidR="008E273C" w:rsidTr="0075125F">
        <w:trPr>
          <w:trHeight w:val="60"/>
        </w:trPr>
        <w:tc>
          <w:tcPr>
            <w:tcW w:w="2774" w:type="pct"/>
          </w:tcPr>
          <w:p w:rsidR="008E273C" w:rsidRDefault="008E273C" w:rsidP="0075125F">
            <w:pPr>
              <w:pStyle w:val="BodyText"/>
            </w:pPr>
            <w:r>
              <w:rPr>
                <w:rStyle w:val="Bulletcolour"/>
              </w:rPr>
              <w:lastRenderedPageBreak/>
              <w:t>Supporting People at Risk</w:t>
            </w:r>
          </w:p>
        </w:tc>
        <w:tc>
          <w:tcPr>
            <w:tcW w:w="742" w:type="pct"/>
          </w:tcPr>
          <w:p w:rsidR="008E273C" w:rsidRDefault="008E273C" w:rsidP="0075125F">
            <w:pPr>
              <w:pStyle w:val="BodyText"/>
            </w:pPr>
            <w:r>
              <w:rPr>
                <w:rStyle w:val="Bulletcolour"/>
              </w:rPr>
              <w:t>&lt;5</w:t>
            </w:r>
          </w:p>
        </w:tc>
        <w:tc>
          <w:tcPr>
            <w:tcW w:w="742" w:type="pct"/>
          </w:tcPr>
          <w:p w:rsidR="008E273C" w:rsidRDefault="008E273C" w:rsidP="0075125F">
            <w:pPr>
              <w:pStyle w:val="BodyText"/>
            </w:pPr>
            <w:r>
              <w:rPr>
                <w:rStyle w:val="Bulletcolour"/>
              </w:rPr>
              <w:t>64</w:t>
            </w:r>
          </w:p>
        </w:tc>
        <w:tc>
          <w:tcPr>
            <w:tcW w:w="742" w:type="pct"/>
          </w:tcPr>
          <w:p w:rsidR="008E273C" w:rsidRDefault="008E273C" w:rsidP="0075125F">
            <w:pPr>
              <w:pStyle w:val="BodyText"/>
            </w:pPr>
            <w:r>
              <w:rPr>
                <w:rStyle w:val="Bulletcolour"/>
              </w:rPr>
              <w:t>50</w:t>
            </w:r>
          </w:p>
        </w:tc>
      </w:tr>
      <w:tr w:rsidR="008E273C" w:rsidTr="0075125F">
        <w:trPr>
          <w:trHeight w:val="60"/>
        </w:trPr>
        <w:tc>
          <w:tcPr>
            <w:tcW w:w="2774" w:type="pct"/>
          </w:tcPr>
          <w:p w:rsidR="008E273C" w:rsidRDefault="008E273C" w:rsidP="0075125F">
            <w:pPr>
              <w:pStyle w:val="BodyText"/>
            </w:pPr>
            <w:r>
              <w:rPr>
                <w:rStyle w:val="Bulletcolour"/>
              </w:rPr>
              <w:t>Voluntary Income Management</w:t>
            </w:r>
          </w:p>
        </w:tc>
        <w:tc>
          <w:tcPr>
            <w:tcW w:w="742" w:type="pct"/>
          </w:tcPr>
          <w:p w:rsidR="008E273C" w:rsidRDefault="008E273C" w:rsidP="0075125F">
            <w:pPr>
              <w:pStyle w:val="BodyText"/>
            </w:pPr>
            <w:r>
              <w:rPr>
                <w:rStyle w:val="Bulletcolour"/>
              </w:rPr>
              <w:t>3,857</w:t>
            </w:r>
          </w:p>
        </w:tc>
        <w:tc>
          <w:tcPr>
            <w:tcW w:w="742" w:type="pct"/>
          </w:tcPr>
          <w:p w:rsidR="008E273C" w:rsidRDefault="008E273C" w:rsidP="0075125F">
            <w:pPr>
              <w:pStyle w:val="BodyText"/>
            </w:pPr>
            <w:r>
              <w:rPr>
                <w:rStyle w:val="Bulletcolour"/>
              </w:rPr>
              <w:t>3,510</w:t>
            </w:r>
          </w:p>
        </w:tc>
        <w:tc>
          <w:tcPr>
            <w:tcW w:w="742" w:type="pct"/>
          </w:tcPr>
          <w:p w:rsidR="008E273C" w:rsidRDefault="008E273C" w:rsidP="0075125F">
            <w:pPr>
              <w:pStyle w:val="BodyText"/>
            </w:pPr>
            <w:r>
              <w:rPr>
                <w:rStyle w:val="Bulletcolour"/>
              </w:rPr>
              <w:t>3,155</w:t>
            </w:r>
          </w:p>
        </w:tc>
      </w:tr>
      <w:tr w:rsidR="008E273C" w:rsidTr="0075125F">
        <w:trPr>
          <w:trHeight w:val="60"/>
        </w:trPr>
        <w:tc>
          <w:tcPr>
            <w:tcW w:w="2774" w:type="pct"/>
          </w:tcPr>
          <w:p w:rsidR="008E273C" w:rsidRDefault="008E273C" w:rsidP="0075125F">
            <w:pPr>
              <w:pStyle w:val="BodyText"/>
            </w:pPr>
            <w:r>
              <w:rPr>
                <w:rStyle w:val="Bulletcolour"/>
              </w:rPr>
              <w:t>Vulnerable Welfare Payment Recipient</w:t>
            </w:r>
          </w:p>
        </w:tc>
        <w:tc>
          <w:tcPr>
            <w:tcW w:w="742" w:type="pct"/>
          </w:tcPr>
          <w:p w:rsidR="008E273C" w:rsidRDefault="008E273C" w:rsidP="0075125F">
            <w:pPr>
              <w:pStyle w:val="BodyText"/>
            </w:pPr>
            <w:r>
              <w:rPr>
                <w:rStyle w:val="Bulletcolour"/>
              </w:rPr>
              <w:t>1,581</w:t>
            </w:r>
          </w:p>
        </w:tc>
        <w:tc>
          <w:tcPr>
            <w:tcW w:w="742" w:type="pct"/>
          </w:tcPr>
          <w:p w:rsidR="008E273C" w:rsidRDefault="008E273C" w:rsidP="0075125F">
            <w:pPr>
              <w:pStyle w:val="BodyText"/>
            </w:pPr>
            <w:r>
              <w:rPr>
                <w:rStyle w:val="Bulletcolour"/>
              </w:rPr>
              <w:t>1,481</w:t>
            </w:r>
          </w:p>
        </w:tc>
        <w:tc>
          <w:tcPr>
            <w:tcW w:w="742" w:type="pct"/>
          </w:tcPr>
          <w:p w:rsidR="008E273C" w:rsidRDefault="008E273C" w:rsidP="0075125F">
            <w:pPr>
              <w:pStyle w:val="BodyText"/>
            </w:pPr>
            <w:r>
              <w:rPr>
                <w:rStyle w:val="Bulletcolour"/>
              </w:rPr>
              <w:t>1,762</w:t>
            </w:r>
          </w:p>
        </w:tc>
      </w:tr>
    </w:tbl>
    <w:p w:rsidR="008E273C" w:rsidRDefault="008E273C" w:rsidP="0075125F">
      <w:pPr>
        <w:pStyle w:val="BodyText"/>
      </w:pPr>
      <w:r>
        <w:t>(a)</w:t>
      </w:r>
      <w:r w:rsidR="0075125F">
        <w:t xml:space="preserve"> </w:t>
      </w:r>
      <w:r>
        <w:t>The numbers are point-in-time at the dates specified and do not represent recipient movements between measures and on and off Income Management.</w:t>
      </w:r>
    </w:p>
    <w:p w:rsidR="008E273C" w:rsidRDefault="008E273C" w:rsidP="008E273C">
      <w:pPr>
        <w:pStyle w:val="Heading2"/>
      </w:pPr>
      <w:r>
        <w:t xml:space="preserve">Cashless Debit Card </w:t>
      </w:r>
    </w:p>
    <w:p w:rsidR="008E273C" w:rsidRDefault="008E273C" w:rsidP="008E273C">
      <w:pPr>
        <w:pStyle w:val="BodyText"/>
      </w:pPr>
      <w:r>
        <w:t xml:space="preserve">The Cashless Debit Card provides customers with greater financial stability while reducing the social harm resulting from alcohol, drugs and gambling. Where a customer is using a Cashless Debit Card, up to 80 per cent of regular fortnightly payments and 100 per cent of lump sum payments are paid to their card. </w:t>
      </w:r>
    </w:p>
    <w:p w:rsidR="008E273C" w:rsidRDefault="008E273C" w:rsidP="008E273C">
      <w:pPr>
        <w:pStyle w:val="BodyText"/>
      </w:pPr>
      <w:r>
        <w:t xml:space="preserve">The card can be used at most shops that accept EFTPOS or Visa. The card looks and operates like a normal bank card, except that it cannot be used to buy alcohol, gambling products, cash-like products or to withdraw cash. </w:t>
      </w:r>
    </w:p>
    <w:p w:rsidR="008E273C" w:rsidRDefault="008E273C" w:rsidP="00E42522">
      <w:pPr>
        <w:pStyle w:val="BodyText"/>
      </w:pPr>
      <w:r>
        <w:t xml:space="preserve">Currently the Cashless Debit Card operates in: </w:t>
      </w:r>
    </w:p>
    <w:p w:rsidR="008E273C" w:rsidRDefault="008E273C" w:rsidP="00E42522">
      <w:pPr>
        <w:pStyle w:val="ListBullet"/>
      </w:pPr>
      <w:r>
        <w:t>Ceduna and surrounding regions, South Australia</w:t>
      </w:r>
    </w:p>
    <w:p w:rsidR="008E273C" w:rsidRDefault="008E273C" w:rsidP="00E42522">
      <w:pPr>
        <w:pStyle w:val="ListBullet"/>
      </w:pPr>
      <w:r>
        <w:t>East Kimberley and the Goldfields regions, Western Australia</w:t>
      </w:r>
    </w:p>
    <w:p w:rsidR="008E273C" w:rsidRDefault="008E273C" w:rsidP="00E42522">
      <w:pPr>
        <w:pStyle w:val="ListBullet"/>
      </w:pPr>
      <w:r>
        <w:t xml:space="preserve">Bundaberg and Hervey Bay region, Queensland.  </w:t>
      </w:r>
    </w:p>
    <w:p w:rsidR="008E273C" w:rsidRDefault="008E273C" w:rsidP="008E273C">
      <w:pPr>
        <w:pStyle w:val="BodyText"/>
      </w:pPr>
      <w:r>
        <w:t>The card provider (</w:t>
      </w:r>
      <w:proofErr w:type="spellStart"/>
      <w:r>
        <w:t>Indue</w:t>
      </w:r>
      <w:proofErr w:type="spellEnd"/>
      <w:r>
        <w:t xml:space="preserve"> Ltd) issues cards and all associated banking services to customers.</w:t>
      </w:r>
    </w:p>
    <w:p w:rsidR="008E273C" w:rsidRDefault="008E273C" w:rsidP="008E273C">
      <w:pPr>
        <w:pStyle w:val="BodyText"/>
      </w:pPr>
      <w:r>
        <w:t>At 30 June 2020, 12,508 customers were using the Cashless Debit Card.</w:t>
      </w:r>
    </w:p>
    <w:p w:rsidR="008E273C" w:rsidRDefault="008E273C" w:rsidP="008E273C">
      <w:pPr>
        <w:pStyle w:val="Heading2"/>
      </w:pPr>
      <w:r>
        <w:t>Other services and support</w:t>
      </w:r>
    </w:p>
    <w:p w:rsidR="008E273C" w:rsidRDefault="008E273C" w:rsidP="008E273C">
      <w:pPr>
        <w:pStyle w:val="Heading3"/>
      </w:pPr>
      <w:r>
        <w:t xml:space="preserve">Farm Household Allowance </w:t>
      </w:r>
    </w:p>
    <w:p w:rsidR="008E273C" w:rsidRDefault="008E273C" w:rsidP="008E273C">
      <w:pPr>
        <w:pStyle w:val="BodyText"/>
      </w:pPr>
      <w:r>
        <w:t xml:space="preserve">Farm Household Allowance is a payment for farming families in financial hardship. Help is available to eligible farmers and their partners to improve their financial self-reliance. It is a time-limited payment that customers can receive for four in each 10-year period. In 2019–20 the agency finalised more than </w:t>
      </w:r>
      <w:r>
        <w:rPr>
          <w:rStyle w:val="NoBreak"/>
        </w:rPr>
        <w:t>6,500 clai</w:t>
      </w:r>
      <w:r>
        <w:t>ms. This compares with 11,230 claims in 2018–19 when the eligibility rules were expanded.</w:t>
      </w:r>
    </w:p>
    <w:tbl>
      <w:tblPr>
        <w:tblStyle w:val="TableGrid"/>
        <w:tblW w:w="5000" w:type="pct"/>
        <w:tblLook w:val="0000" w:firstRow="0" w:lastRow="0" w:firstColumn="0" w:lastColumn="0" w:noHBand="0" w:noVBand="0"/>
        <w:tblCaption w:val="Investing in Australia’s farming future case study"/>
        <w:tblDescription w:val="Investing in Australia’s farming future case study"/>
      </w:tblPr>
      <w:tblGrid>
        <w:gridCol w:w="11096"/>
      </w:tblGrid>
      <w:tr w:rsidR="008E273C" w:rsidTr="009F0717">
        <w:trPr>
          <w:trHeight w:val="5479"/>
          <w:tblHeader/>
        </w:trPr>
        <w:tc>
          <w:tcPr>
            <w:tcW w:w="5000" w:type="pct"/>
          </w:tcPr>
          <w:p w:rsidR="008E273C" w:rsidRPr="009F0717" w:rsidRDefault="008E273C" w:rsidP="009F0717">
            <w:pPr>
              <w:pStyle w:val="BodyText"/>
              <w:rPr>
                <w:b/>
              </w:rPr>
            </w:pPr>
            <w:r w:rsidRPr="009F0717">
              <w:rPr>
                <w:b/>
              </w:rPr>
              <w:lastRenderedPageBreak/>
              <w:t>Investing in Australia’s farming future</w:t>
            </w:r>
          </w:p>
          <w:p w:rsidR="008E273C" w:rsidRDefault="008E273C" w:rsidP="005D794B">
            <w:pPr>
              <w:pStyle w:val="BodyText"/>
              <w:rPr>
                <w:rStyle w:val="NoBreak"/>
              </w:rPr>
            </w:pPr>
            <w:r>
              <w:t>While Australia faced both Black Summer bushfires and COVID-19 in 2020, many of its rural communities also continued to battle ongoin</w:t>
            </w:r>
            <w:r>
              <w:rPr>
                <w:rStyle w:val="NoBreak"/>
              </w:rPr>
              <w:t xml:space="preserve">g drought. </w:t>
            </w:r>
          </w:p>
          <w:p w:rsidR="008E273C" w:rsidRDefault="008E273C" w:rsidP="005D794B">
            <w:pPr>
              <w:pStyle w:val="BodyText"/>
            </w:pPr>
            <w:r>
              <w:t xml:space="preserve">Farmers can access support through the Farm Household Allowance payment, where they’ll be supported by one of Services Australia’s specialist Farm Household Case Officers. </w:t>
            </w:r>
          </w:p>
          <w:p w:rsidR="008E273C" w:rsidRDefault="008E273C" w:rsidP="005D794B">
            <w:pPr>
              <w:pStyle w:val="BodyText"/>
            </w:pPr>
            <w:r>
              <w:t>Once a farmer’s claim for Farm Household Allowance has been approved, their dedicated case officer will help them develop a Financ</w:t>
            </w:r>
            <w:r>
              <w:rPr>
                <w:rStyle w:val="NoBreak"/>
              </w:rPr>
              <w:t>ial Improvemen</w:t>
            </w:r>
            <w:r>
              <w:t>t Plan. The case officer supports them by checki</w:t>
            </w:r>
            <w:r>
              <w:rPr>
                <w:rStyle w:val="NoBreak"/>
              </w:rPr>
              <w:t>ng ever</w:t>
            </w:r>
            <w:r>
              <w:t>y few months on how the plans are progressing.</w:t>
            </w:r>
          </w:p>
          <w:p w:rsidR="008E273C" w:rsidRDefault="008E273C" w:rsidP="005D794B">
            <w:pPr>
              <w:pStyle w:val="BodyText"/>
            </w:pPr>
            <w:r>
              <w:t xml:space="preserve">For many farmers, improving their finances can mean pursuing new opportunities within agriculture. Farm Household Case Officers have supported farmers back to financial independence by working with them on ventures such as turning cattle farms into tourism businesses, and using old fruit trees to expand into natural oils. </w:t>
            </w:r>
          </w:p>
          <w:p w:rsidR="008E273C" w:rsidRDefault="008E273C" w:rsidP="005D794B">
            <w:pPr>
              <w:pStyle w:val="BodyText"/>
            </w:pPr>
            <w:r>
              <w:t>In June 2020 the support available for farmers to pursue training or advice was increased from up to $4,000 for a four-year period to $10</w:t>
            </w:r>
            <w:r>
              <w:rPr>
                <w:rStyle w:val="NoBreak"/>
              </w:rPr>
              <w:t>,000 over</w:t>
            </w:r>
            <w:r>
              <w:t xml:space="preserve"> the lifespan of the Farm Household Allowance.</w:t>
            </w:r>
          </w:p>
          <w:p w:rsidR="008E273C" w:rsidRDefault="008E273C" w:rsidP="005D794B">
            <w:pPr>
              <w:pStyle w:val="BodyText"/>
            </w:pPr>
            <w:r>
              <w:t>Through accessing this support, farmers can attain the qualifications a</w:t>
            </w:r>
            <w:r>
              <w:rPr>
                <w:rStyle w:val="NoBreak"/>
              </w:rPr>
              <w:t>nd sk</w:t>
            </w:r>
            <w:r>
              <w:t xml:space="preserve">ills they need to boost and diversify their income. </w:t>
            </w:r>
          </w:p>
        </w:tc>
      </w:tr>
    </w:tbl>
    <w:p w:rsidR="008E273C" w:rsidRDefault="008E273C" w:rsidP="008E273C">
      <w:pPr>
        <w:pStyle w:val="Heading3"/>
      </w:pPr>
      <w:r>
        <w:t xml:space="preserve">Special Benefit </w:t>
      </w:r>
    </w:p>
    <w:p w:rsidR="008E273C" w:rsidRDefault="008E273C" w:rsidP="008E273C">
      <w:pPr>
        <w:pStyle w:val="BodyText"/>
      </w:pPr>
      <w:r>
        <w:t xml:space="preserve">Special Benefit payment helps people in severe financial hardship who are unable to support themselves and their dependants and are not eligible for another payment. </w:t>
      </w:r>
    </w:p>
    <w:p w:rsidR="008E273C" w:rsidRDefault="008E273C" w:rsidP="008E273C">
      <w:pPr>
        <w:pStyle w:val="Heading3"/>
      </w:pPr>
      <w:r>
        <w:t>Bereavement payments</w:t>
      </w:r>
    </w:p>
    <w:p w:rsidR="008E273C" w:rsidRDefault="008E273C" w:rsidP="008E273C">
      <w:pPr>
        <w:pStyle w:val="BodyText"/>
      </w:pPr>
      <w:r>
        <w:t xml:space="preserve">Bereavement payments help customers adjust to changed financial circumstances following the death of their partner, child or care receiver. The type of bereavement payment a customer receives and the amount they can receive will depend on their individual circumstances and when the agency is notified of the death of their partner, child or care receiver. Bereavement payments are usually paid as a lump sum. However, some payments, such as the Family Tax Benefit Bereavement Payment, can be paid fortnightly. </w:t>
      </w:r>
    </w:p>
    <w:p w:rsidR="008E273C" w:rsidRDefault="008E273C" w:rsidP="008E273C">
      <w:pPr>
        <w:pStyle w:val="BodyText"/>
      </w:pPr>
      <w:r>
        <w:t xml:space="preserve">On 20 March 2020 Bereavement Allowance was closed to new claimants. On the same date, Partner Bereavement Payment was introduced for </w:t>
      </w:r>
      <w:proofErr w:type="spellStart"/>
      <w:r>
        <w:t>JobSeeker</w:t>
      </w:r>
      <w:proofErr w:type="spellEnd"/>
      <w:r>
        <w:t xml:space="preserve"> Payment and Youth Allowance customers, including new claimants, whose partner had recently died.</w:t>
      </w:r>
    </w:p>
    <w:p w:rsidR="008E273C" w:rsidRDefault="008E273C" w:rsidP="008E273C">
      <w:pPr>
        <w:pStyle w:val="Heading3"/>
      </w:pPr>
      <w:r>
        <w:t>Payments while outside Australia</w:t>
      </w:r>
    </w:p>
    <w:p w:rsidR="008E273C" w:rsidRDefault="008E273C" w:rsidP="008E273C">
      <w:pPr>
        <w:pStyle w:val="BodyText"/>
      </w:pPr>
      <w:r>
        <w:t xml:space="preserve">Called ‘portability’, some customers may continue receiving social security payments when they are outside Australia. A datalink between the agency and the Department of Home Affairs identifies social security customers who depart from or return to Australia. This information is used to automatically review payments for people who have departed from Australia. </w:t>
      </w:r>
    </w:p>
    <w:p w:rsidR="008E273C" w:rsidRDefault="008E273C" w:rsidP="008E273C">
      <w:pPr>
        <w:pStyle w:val="Heading3"/>
      </w:pPr>
      <w:r>
        <w:lastRenderedPageBreak/>
        <w:t xml:space="preserve">Tasmanian Transport Schemes </w:t>
      </w:r>
    </w:p>
    <w:p w:rsidR="008E273C" w:rsidRDefault="008E273C" w:rsidP="00E42522">
      <w:pPr>
        <w:pStyle w:val="BodyText"/>
      </w:pPr>
      <w:r>
        <w:t xml:space="preserve">Services Australia administers two Tasmanian transport equalisation schemes: </w:t>
      </w:r>
    </w:p>
    <w:p w:rsidR="008E273C" w:rsidRDefault="008E273C" w:rsidP="00E42522">
      <w:pPr>
        <w:pStyle w:val="ListBullet"/>
      </w:pPr>
      <w:r>
        <w:t xml:space="preserve">the </w:t>
      </w:r>
      <w:r>
        <w:rPr>
          <w:rFonts w:ascii="Roboto-Bold" w:hAnsi="Roboto-Bold" w:cs="Roboto-Bold"/>
          <w:b/>
          <w:bCs/>
        </w:rPr>
        <w:t>Tasmanian Freight Equalisation Scheme</w:t>
      </w:r>
      <w:r>
        <w:t xml:space="preserve">—which helps to alleviate the sea freight cost disadvantage for shippers of eligible non-bulk goods that are moved by sea between mainland Australia and Tasmania </w:t>
      </w:r>
    </w:p>
    <w:p w:rsidR="008E273C" w:rsidRDefault="008E273C" w:rsidP="00E42522">
      <w:pPr>
        <w:pStyle w:val="ListBullet"/>
      </w:pPr>
      <w:proofErr w:type="gramStart"/>
      <w:r>
        <w:t>the</w:t>
      </w:r>
      <w:proofErr w:type="gramEnd"/>
      <w:r>
        <w:t xml:space="preserve"> </w:t>
      </w:r>
      <w:r>
        <w:rPr>
          <w:rFonts w:ascii="Roboto-Bold" w:hAnsi="Roboto-Bold" w:cs="Roboto-Bold"/>
          <w:b/>
          <w:bCs/>
        </w:rPr>
        <w:t>Bass Strait Passenger Vehicle Equalisation Scheme</w:t>
      </w:r>
      <w:r>
        <w:t xml:space="preserve">—which helps to alleviate the cost of sea travel across Bass Strait between Tasmania and mainland Australia. </w:t>
      </w:r>
    </w:p>
    <w:p w:rsidR="008E273C" w:rsidRDefault="008E273C" w:rsidP="008E273C">
      <w:pPr>
        <w:pStyle w:val="BodyText"/>
      </w:pPr>
      <w:r>
        <w:t>In 2019–20 the agency received 17,275 claims for assistance and processed $197.8 million in payments through the two schemes. This compares with 16,579 claims and $204.9 million in 2018–19.</w:t>
      </w:r>
    </w:p>
    <w:p w:rsidR="008E273C" w:rsidRDefault="008E273C" w:rsidP="008E273C">
      <w:pPr>
        <w:pStyle w:val="Heading3"/>
      </w:pPr>
      <w:r>
        <w:t>Services to incarcerated customers</w:t>
      </w:r>
    </w:p>
    <w:p w:rsidR="008E273C" w:rsidRDefault="008E273C" w:rsidP="008E273C">
      <w:pPr>
        <w:pStyle w:val="BodyText"/>
      </w:pPr>
      <w:r>
        <w:t xml:space="preserve">Services Australia provides services to incarcerated Centrelink, Medicare and child support customers in approximately 150 correctional facilities (including youth justice centres, prison work camps and mental health units) across Australia. </w:t>
      </w:r>
    </w:p>
    <w:p w:rsidR="008E273C" w:rsidRDefault="008E273C" w:rsidP="00E42522">
      <w:pPr>
        <w:pStyle w:val="BodyText"/>
      </w:pPr>
      <w:r>
        <w:t>The services offered are aligned with three stages:</w:t>
      </w:r>
    </w:p>
    <w:p w:rsidR="008E273C" w:rsidRDefault="008E273C" w:rsidP="00E42522">
      <w:pPr>
        <w:pStyle w:val="ListBullet"/>
      </w:pPr>
      <w:r>
        <w:t>on entry into custody—suspend or cancel payments to prevent debt and check that child support assessments are correct</w:t>
      </w:r>
    </w:p>
    <w:p w:rsidR="008E273C" w:rsidRDefault="008E273C" w:rsidP="00E42522">
      <w:pPr>
        <w:pStyle w:val="ListBullet"/>
      </w:pPr>
      <w:r>
        <w:t>during custody—help for customers who remain eligible for payments, assist with access to highly specialised drugs and conduct child support reassessments</w:t>
      </w:r>
    </w:p>
    <w:p w:rsidR="008E273C" w:rsidRDefault="008E273C" w:rsidP="00E42522">
      <w:pPr>
        <w:pStyle w:val="ListBullet"/>
      </w:pPr>
      <w:proofErr w:type="gramStart"/>
      <w:r>
        <w:t>on</w:t>
      </w:r>
      <w:proofErr w:type="gramEnd"/>
      <w:r>
        <w:t xml:space="preserve"> release from custody—reconnect customers to appropriate payments and services.</w:t>
      </w:r>
    </w:p>
    <w:p w:rsidR="008E273C" w:rsidRDefault="008E273C" w:rsidP="008E273C">
      <w:pPr>
        <w:pStyle w:val="BodyText"/>
        <w:rPr>
          <w:rFonts w:ascii="Roboto-Bold" w:hAnsi="Roboto-Bold" w:cs="Roboto-Bold"/>
          <w:b/>
          <w:bCs/>
        </w:rPr>
      </w:pPr>
      <w:r>
        <w:t xml:space="preserve">For more information on other services and support see our website at </w:t>
      </w:r>
      <w:r w:rsidRPr="00BD07FC">
        <w:rPr>
          <w:b/>
        </w:rPr>
        <w:t>servicesaustralia.gov.au</w:t>
      </w:r>
    </w:p>
    <w:p w:rsidR="008E273C" w:rsidRDefault="008E273C" w:rsidP="008E273C">
      <w:pPr>
        <w:pStyle w:val="Heading1"/>
      </w:pPr>
      <w:r>
        <w:t>1.9 Compliance and business integrity</w:t>
      </w:r>
    </w:p>
    <w:p w:rsidR="008E273C" w:rsidRDefault="008E273C" w:rsidP="005D794B">
      <w:pPr>
        <w:pStyle w:val="BodyText"/>
      </w:pPr>
      <w:r>
        <w:t>The agency’s compliance and business integrity capabilities seek to ensure that only eligible people receive payments and that they receive the right amount. When a customer receives money they are not entitled to, they are required to repay their debt.</w:t>
      </w:r>
    </w:p>
    <w:p w:rsidR="008E273C" w:rsidRDefault="008E273C" w:rsidP="008E273C">
      <w:pPr>
        <w:pStyle w:val="BodyText"/>
      </w:pPr>
      <w:r>
        <w:t xml:space="preserve">Services Australia focuses its compliance action on ensuring people receive correct payments, helping them to meet their obligations, protecting customer identities, and preventing the exploitation of welfare payments by criminals. </w:t>
      </w:r>
    </w:p>
    <w:p w:rsidR="008E273C" w:rsidRDefault="008E273C" w:rsidP="008E273C">
      <w:pPr>
        <w:pStyle w:val="BodyText"/>
      </w:pPr>
      <w:r>
        <w:t xml:space="preserve">In cases of fraud or other relevant crimes, the agency investigates those matters and may refer offenders to the Commonwealth Director of Public Prosecutions (CDPP) for prosecution. </w:t>
      </w:r>
    </w:p>
    <w:p w:rsidR="008E273C" w:rsidRDefault="008E273C" w:rsidP="00E42522">
      <w:pPr>
        <w:pStyle w:val="BodyText"/>
      </w:pPr>
      <w:r>
        <w:t>During the year Services Australia’s compliance work led to:</w:t>
      </w:r>
    </w:p>
    <w:p w:rsidR="008E273C" w:rsidRDefault="008E273C" w:rsidP="00E42522">
      <w:pPr>
        <w:pStyle w:val="ListBullet"/>
      </w:pPr>
      <w:r>
        <w:t>1,014 criminal investigations</w:t>
      </w:r>
    </w:p>
    <w:p w:rsidR="008E273C" w:rsidRDefault="008E273C" w:rsidP="00E42522">
      <w:pPr>
        <w:pStyle w:val="ListBullet"/>
      </w:pPr>
      <w:r>
        <w:t>564 administrative investigations</w:t>
      </w:r>
    </w:p>
    <w:p w:rsidR="008E273C" w:rsidRDefault="008E273C" w:rsidP="00E42522">
      <w:pPr>
        <w:pStyle w:val="ListBullet"/>
      </w:pPr>
      <w:r>
        <w:t>referring 454 cases to the CDPP</w:t>
      </w:r>
    </w:p>
    <w:p w:rsidR="008E273C" w:rsidRDefault="008E273C" w:rsidP="00E42522">
      <w:pPr>
        <w:pStyle w:val="ListBullet"/>
      </w:pPr>
      <w:r>
        <w:t>preventing the payment of fraudulent Medicare claims worth over $250,000</w:t>
      </w:r>
    </w:p>
    <w:p w:rsidR="008E273C" w:rsidRDefault="008E273C" w:rsidP="00E42522">
      <w:pPr>
        <w:pStyle w:val="ListBullet"/>
      </w:pPr>
      <w:r>
        <w:lastRenderedPageBreak/>
        <w:t xml:space="preserve">preventing fraud involving $400,000 worth of welfare payments </w:t>
      </w:r>
    </w:p>
    <w:p w:rsidR="008E273C" w:rsidRDefault="008E273C" w:rsidP="00E42522">
      <w:pPr>
        <w:pStyle w:val="ListBullet"/>
      </w:pPr>
      <w:proofErr w:type="gramStart"/>
      <w:r>
        <w:t>finalising</w:t>
      </w:r>
      <w:proofErr w:type="gramEnd"/>
      <w:r>
        <w:t xml:space="preserve"> the </w:t>
      </w:r>
      <w:r>
        <w:rPr>
          <w:rFonts w:ascii="Roboto-Italic" w:hAnsi="Roboto-Italic" w:cs="Roboto-Italic"/>
          <w:i/>
          <w:iCs/>
        </w:rPr>
        <w:t>2019 Matching of Centrelink and Medicare data protocol</w:t>
      </w:r>
      <w:r>
        <w:t>, designed to detect fraud earlier, in particular to prevent identity and payment fraud.</w:t>
      </w:r>
    </w:p>
    <w:p w:rsidR="008E273C" w:rsidRDefault="008E273C" w:rsidP="008E273C">
      <w:pPr>
        <w:pStyle w:val="Heading2"/>
      </w:pPr>
      <w:r>
        <w:t>Fraud assurance</w:t>
      </w:r>
    </w:p>
    <w:p w:rsidR="008E273C" w:rsidRDefault="008E273C" w:rsidP="00E42522">
      <w:pPr>
        <w:pStyle w:val="BodyText"/>
      </w:pPr>
      <w:r>
        <w:t xml:space="preserve">Services Australia has a long-standing record of success managing fraud and corruption risks. We have a comprehensive approach to managing these risks, articulated in the agency’s </w:t>
      </w:r>
      <w:r>
        <w:rPr>
          <w:rStyle w:val="Italic"/>
        </w:rPr>
        <w:t>Fraud and Corruption Control Plan</w:t>
      </w:r>
      <w:r>
        <w:t xml:space="preserve">. We have built our approach around four key pillars: </w:t>
      </w:r>
    </w:p>
    <w:p w:rsidR="008E273C" w:rsidRDefault="008E273C" w:rsidP="00E42522">
      <w:pPr>
        <w:pStyle w:val="ListBullet"/>
      </w:pPr>
      <w:r>
        <w:rPr>
          <w:rFonts w:ascii="Roboto-Italic" w:hAnsi="Roboto-Italic" w:cs="Roboto-Italic"/>
          <w:i/>
          <w:iCs/>
        </w:rPr>
        <w:t>predict</w:t>
      </w:r>
      <w:r>
        <w:t xml:space="preserve">—to prevent or minimise fraud or corruption occurring, we keep abreast of emerging threats through a range of intelligence sharing and data analytics </w:t>
      </w:r>
    </w:p>
    <w:p w:rsidR="008E273C" w:rsidRDefault="008E273C" w:rsidP="00E42522">
      <w:pPr>
        <w:pStyle w:val="ListBullet"/>
      </w:pPr>
      <w:r>
        <w:rPr>
          <w:rFonts w:ascii="Roboto-Italic" w:hAnsi="Roboto-Italic" w:cs="Roboto-Italic"/>
          <w:i/>
          <w:iCs/>
        </w:rPr>
        <w:t>prevent</w:t>
      </w:r>
      <w:r>
        <w:t>—we proactively assess the fraud and corruption environment, ensuring that staff understand their role in managing these risks, and embed fraud and corruption control in policy and process design</w:t>
      </w:r>
    </w:p>
    <w:p w:rsidR="008E273C" w:rsidRDefault="008E273C" w:rsidP="00E42522">
      <w:pPr>
        <w:pStyle w:val="ListBullet"/>
      </w:pPr>
      <w:r>
        <w:rPr>
          <w:rFonts w:ascii="Roboto-Italic" w:hAnsi="Roboto-Italic" w:cs="Roboto-Italic"/>
          <w:i/>
          <w:iCs/>
        </w:rPr>
        <w:t>control and assure</w:t>
      </w:r>
      <w:r>
        <w:t xml:space="preserve">—we ensure effective fraud and corruption risk management by implementing robust controls with continuous monitoring, evaluating and reporting </w:t>
      </w:r>
    </w:p>
    <w:p w:rsidR="008E273C" w:rsidRDefault="008E273C" w:rsidP="00E42522">
      <w:pPr>
        <w:pStyle w:val="ListBullet"/>
      </w:pPr>
      <w:proofErr w:type="gramStart"/>
      <w:r>
        <w:rPr>
          <w:rFonts w:ascii="Roboto-Italic" w:hAnsi="Roboto-Italic" w:cs="Roboto-Italic"/>
          <w:i/>
          <w:iCs/>
        </w:rPr>
        <w:t>detect</w:t>
      </w:r>
      <w:proofErr w:type="gramEnd"/>
      <w:r>
        <w:rPr>
          <w:rFonts w:ascii="Roboto-Italic" w:hAnsi="Roboto-Italic" w:cs="Roboto-Italic"/>
          <w:i/>
          <w:iCs/>
        </w:rPr>
        <w:t xml:space="preserve"> and disrupt</w:t>
      </w:r>
      <w:r>
        <w:t>—we run sophisticated detection and disruption strategies to help us identify and respond to fraud in a timely, appropriate and proportionate manner, with a focus on disrupting further criminal activity.</w:t>
      </w:r>
    </w:p>
    <w:p w:rsidR="008E273C" w:rsidRDefault="008E273C" w:rsidP="008E273C">
      <w:pPr>
        <w:pStyle w:val="Heading2"/>
      </w:pPr>
      <w:r>
        <w:t>Fraud detection and disruption</w:t>
      </w:r>
    </w:p>
    <w:p w:rsidR="008E273C" w:rsidRDefault="008E273C" w:rsidP="008E273C">
      <w:pPr>
        <w:pStyle w:val="BodyText"/>
      </w:pPr>
      <w:r>
        <w:t xml:space="preserve">The agency operates a sophisticated fraud detection program, with data analytics and profiling that includes near real-time detection of fraud, targeting identity and qualification fraud as the main risks. </w:t>
      </w:r>
    </w:p>
    <w:p w:rsidR="008E273C" w:rsidRDefault="008E273C" w:rsidP="008E273C">
      <w:pPr>
        <w:pStyle w:val="BodyText"/>
      </w:pPr>
      <w:r>
        <w:t xml:space="preserve">We run robust fraud disruption strategies that help us respond to instances of fraud in a timely, appropriate and proportionate manner, with a focus on disrupting further criminal activity.  </w:t>
      </w:r>
    </w:p>
    <w:p w:rsidR="008E273C" w:rsidRDefault="008E273C" w:rsidP="00E42522">
      <w:pPr>
        <w:pStyle w:val="BodyText"/>
      </w:pPr>
      <w:r>
        <w:t>Disruption activities include:</w:t>
      </w:r>
    </w:p>
    <w:p w:rsidR="008E273C" w:rsidRDefault="008E273C" w:rsidP="00E42522">
      <w:pPr>
        <w:pStyle w:val="ListBullet"/>
      </w:pPr>
      <w:r>
        <w:t>making it easy for staff to report suspicious activity, and communicating outcomes so that staff recognise the benefit of their actions</w:t>
      </w:r>
    </w:p>
    <w:p w:rsidR="008E273C" w:rsidRDefault="008E273C" w:rsidP="00E42522">
      <w:pPr>
        <w:pStyle w:val="ListBullet"/>
      </w:pPr>
      <w:r>
        <w:t>using a comprehensive internal and external tip-off program to identify criminal activity</w:t>
      </w:r>
    </w:p>
    <w:p w:rsidR="008E273C" w:rsidRDefault="008E273C" w:rsidP="00E42522">
      <w:pPr>
        <w:pStyle w:val="ListBullet"/>
      </w:pPr>
      <w:r>
        <w:t>when necessary, undertaking joint investigations with other law enforcement bodies and agencies, and referrals to the Australian Federal Police with a focus on disrupting serious, organised and complex fraud activities</w:t>
      </w:r>
    </w:p>
    <w:p w:rsidR="008E273C" w:rsidRDefault="008E273C" w:rsidP="00E42522">
      <w:pPr>
        <w:pStyle w:val="ListBullet"/>
      </w:pPr>
      <w:r>
        <w:t>pursuing disciplinary, administrative, and civil or criminal sanctions, where appropriate</w:t>
      </w:r>
    </w:p>
    <w:p w:rsidR="008E273C" w:rsidRDefault="008E273C" w:rsidP="00E42522">
      <w:pPr>
        <w:pStyle w:val="ListBullet"/>
      </w:pPr>
      <w:proofErr w:type="gramStart"/>
      <w:r>
        <w:t>working</w:t>
      </w:r>
      <w:proofErr w:type="gramEnd"/>
      <w:r>
        <w:t xml:space="preserve"> with partners to respond to scams that affect customers and their personal information.</w:t>
      </w:r>
    </w:p>
    <w:p w:rsidR="008E273C" w:rsidRDefault="008E273C" w:rsidP="008E273C">
      <w:pPr>
        <w:pStyle w:val="BodyText"/>
        <w:rPr>
          <w:rStyle w:val="NoBreak"/>
        </w:rPr>
      </w:pPr>
      <w:r>
        <w:t>Services Australia continues to build its capabilities to address fraud and corruption risks through a range of initiatives including establishment of the joint Services Australia – Australian Federal Police Taskforce Integrity in J</w:t>
      </w:r>
      <w:r>
        <w:rPr>
          <w:rStyle w:val="NoBreak"/>
        </w:rPr>
        <w:t>uly 2019</w:t>
      </w:r>
      <w:r>
        <w:t>. The taskforce seeks to strengthen our capacity to target serious welfare non-compliance and criminal activity. During the year we expanded our forensic capability with the opening of our Brisbane Forensics Laboratory. Th</w:t>
      </w:r>
      <w:r>
        <w:rPr>
          <w:rStyle w:val="NoBreak"/>
        </w:rPr>
        <w:t>is double</w:t>
      </w:r>
      <w:r>
        <w:t>d the agency’s capacity to quickly turn around forensic analysis of digi</w:t>
      </w:r>
      <w:r>
        <w:rPr>
          <w:rStyle w:val="NoBreak"/>
        </w:rPr>
        <w:t xml:space="preserve">tal evidence. </w:t>
      </w:r>
    </w:p>
    <w:p w:rsidR="008E273C" w:rsidRDefault="008E273C" w:rsidP="008E273C">
      <w:pPr>
        <w:pStyle w:val="BodyText"/>
      </w:pPr>
      <w:r>
        <w:lastRenderedPageBreak/>
        <w:t xml:space="preserve">We also built stronger relationships with partners including, for example, becoming a member of the </w:t>
      </w:r>
      <w:proofErr w:type="spellStart"/>
      <w:r>
        <w:t>Fintel</w:t>
      </w:r>
      <w:proofErr w:type="spellEnd"/>
      <w:r>
        <w:t xml:space="preserve"> Alliance, which brings together a range of organisations involved in the fight against money laundering, terrorism financing and other serious crime.</w:t>
      </w:r>
    </w:p>
    <w:p w:rsidR="008E273C" w:rsidRDefault="008E273C" w:rsidP="008E273C">
      <w:pPr>
        <w:pStyle w:val="BodyText"/>
      </w:pPr>
      <w:r>
        <w:t>We continued to contribute to whole-of-government efforts to combat fraud, with a particular focus in 2019–20 on people exploiting COVID-19 stimulus payments and bushfire emergency payments. We were a significant contributor to the COVID-19 Counter-Fraud Taskforce established to support Australian Government agencies to prevent fraud against the COVID-19 stimulus measures. The taskforce produced a range of tools, intelligence products and advice for agencies to help them counter fraud.</w:t>
      </w:r>
    </w:p>
    <w:p w:rsidR="008E273C" w:rsidRDefault="008E273C" w:rsidP="008E273C">
      <w:pPr>
        <w:pStyle w:val="Heading2"/>
      </w:pPr>
      <w:r>
        <w:t>Internal fraud</w:t>
      </w:r>
    </w:p>
    <w:p w:rsidR="008E273C" w:rsidRDefault="008E273C" w:rsidP="008E273C">
      <w:pPr>
        <w:pStyle w:val="BodyText"/>
      </w:pPr>
      <w:r>
        <w:t>The agency has a strong integrity framework that guides how we develop, promote and maintain a culture of integrity, and how we embed this culture in our business. We have a broad range of integrity-related policies, practices and staff training. On-boarding for new senior executives ensures they understand their responsibilities to both individually and collectively promote a positive integrity culture. We back up these measures with an institutional focus on accountability and capability. </w:t>
      </w:r>
    </w:p>
    <w:p w:rsidR="008E273C" w:rsidRDefault="008E273C" w:rsidP="008E273C">
      <w:pPr>
        <w:pStyle w:val="BodyText"/>
      </w:pPr>
      <w:r>
        <w:t>To illustrate our success, staff across the agency worked to build integrity into the design of programs to deliver the Government’s responses to the COVID-19 pandemic. Recent Australian Public Service staff surveys show improvement in staff awareness of integrity-related matters.</w:t>
      </w:r>
    </w:p>
    <w:p w:rsidR="008E273C" w:rsidRDefault="008E273C" w:rsidP="008E273C">
      <w:pPr>
        <w:pStyle w:val="BodyText"/>
      </w:pPr>
      <w:r>
        <w:t>Services Australia also deploys a range of specialist capabilities, including intelligence and investigations, to identify and disrupt internal threats such as fraud and corruption.</w:t>
      </w:r>
    </w:p>
    <w:p w:rsidR="008E273C" w:rsidRDefault="008E273C" w:rsidP="008E273C">
      <w:pPr>
        <w:pStyle w:val="Heading2"/>
      </w:pPr>
      <w:r>
        <w:t>Identity management</w:t>
      </w:r>
    </w:p>
    <w:p w:rsidR="008E273C" w:rsidRDefault="008E273C" w:rsidP="008E273C">
      <w:pPr>
        <w:pStyle w:val="BodyText"/>
      </w:pPr>
      <w:r>
        <w:t>To help ensure that people are who they say they are and to protect them from identity theft, Services Australia implements a range of strategies to check, confirm and protect the identity of customers who interact with the agency.</w:t>
      </w:r>
    </w:p>
    <w:p w:rsidR="008E273C" w:rsidRDefault="008E273C" w:rsidP="008E273C">
      <w:pPr>
        <w:pStyle w:val="BodyText"/>
      </w:pPr>
      <w:r>
        <w:t xml:space="preserve">During the 2019 bushfires, we trialled the Department of Home Affairs’ Face Verification Service, using facial biometrics in some service centres and Mobile Service Centres. We used the service to help customers prove their identity for Australian Government Disaster Recovery Payments without having to present documents such as an Australian passport or driver’s licence. We also work with the Digital Transformation Agency to support the development of the digital identity initiative. </w:t>
      </w:r>
    </w:p>
    <w:p w:rsidR="008E273C" w:rsidRDefault="008E273C" w:rsidP="008E273C">
      <w:pPr>
        <w:pStyle w:val="BodyText"/>
      </w:pPr>
      <w:r>
        <w:t xml:space="preserve">As part of the agency’s rapid response to COVID-19, we temporarily removed the requirement for customers to come into a service centre to do a facial identity check and instead verified identity through the telephony channel or the online identity verification and registration solution (Connected ID) released in </w:t>
      </w:r>
      <w:proofErr w:type="spellStart"/>
      <w:r>
        <w:t>myGov</w:t>
      </w:r>
      <w:proofErr w:type="spellEnd"/>
      <w:r>
        <w:t xml:space="preserve">, using the Department of Home Affairs document verification service. The interim identity arrangements were critical in making timely payments to individuals experiencing a loss of employment or income due to COVID-19. This reduced the need for customers to be out in the community and the risk of exposure for both our customers and service staff. (See also </w:t>
      </w:r>
      <w:r>
        <w:rPr>
          <w:rFonts w:ascii="Roboto-Italic" w:hAnsi="Roboto-Italic" w:cs="Roboto-Italic"/>
          <w:i/>
          <w:iCs/>
        </w:rPr>
        <w:t>COVID-19 pandemic</w:t>
      </w:r>
      <w:r>
        <w:t xml:space="preserve"> on page xv.)</w:t>
      </w:r>
    </w:p>
    <w:p w:rsidR="008E273C" w:rsidRDefault="008E273C" w:rsidP="008E273C">
      <w:pPr>
        <w:pStyle w:val="BodyText"/>
      </w:pPr>
      <w:r>
        <w:t xml:space="preserve">We continue to support customers who are potential victims of scams or identity theft through the Scams and Identity Theft Helpdesk. The helpdesk assesses the risk of compromise to a customer’s identity and, if necessary, secures their agency records and refers customers to other services such as </w:t>
      </w:r>
      <w:proofErr w:type="spellStart"/>
      <w:r>
        <w:t>IDCare</w:t>
      </w:r>
      <w:proofErr w:type="spellEnd"/>
      <w:r>
        <w:t xml:space="preserve">, Australia’s national identity support service. </w:t>
      </w:r>
    </w:p>
    <w:p w:rsidR="008E273C" w:rsidRDefault="008E273C" w:rsidP="00E42522">
      <w:pPr>
        <w:pStyle w:val="BodyText"/>
      </w:pPr>
      <w:r>
        <w:lastRenderedPageBreak/>
        <w:t xml:space="preserve">In 2019–20 the agency: </w:t>
      </w:r>
    </w:p>
    <w:p w:rsidR="008E273C" w:rsidRDefault="008E273C" w:rsidP="00E42522">
      <w:pPr>
        <w:pStyle w:val="ListBullet"/>
      </w:pPr>
      <w:r>
        <w:t>confirmed the identities of over 704,000 customers</w:t>
      </w:r>
    </w:p>
    <w:p w:rsidR="008E273C" w:rsidRDefault="008E273C" w:rsidP="00E42522">
      <w:pPr>
        <w:pStyle w:val="ListBullet"/>
      </w:pPr>
      <w:r>
        <w:t>successfully matched over 2.5 million identity documents from customers with the Department of Home Affairs document verification service</w:t>
      </w:r>
    </w:p>
    <w:p w:rsidR="008E273C" w:rsidRDefault="008E273C" w:rsidP="00E42522">
      <w:pPr>
        <w:pStyle w:val="ListBullet"/>
      </w:pPr>
      <w:r>
        <w:t>responded to over 11,000 calls and more than 2,000 emails to the Scams and Identity Theft Helpdesk</w:t>
      </w:r>
    </w:p>
    <w:p w:rsidR="008E273C" w:rsidRDefault="008E273C" w:rsidP="00E42522">
      <w:pPr>
        <w:pStyle w:val="ListBullet"/>
      </w:pPr>
      <w:proofErr w:type="gramStart"/>
      <w:r>
        <w:t>referred</w:t>
      </w:r>
      <w:proofErr w:type="gramEnd"/>
      <w:r>
        <w:t xml:space="preserve"> more than 2,000 customers to </w:t>
      </w:r>
      <w:proofErr w:type="spellStart"/>
      <w:r>
        <w:t>IDCare</w:t>
      </w:r>
      <w:proofErr w:type="spellEnd"/>
      <w:r>
        <w:t>.</w:t>
      </w:r>
    </w:p>
    <w:p w:rsidR="008E273C" w:rsidRDefault="008E273C" w:rsidP="008E273C">
      <w:pPr>
        <w:pStyle w:val="Heading2"/>
      </w:pPr>
      <w:r>
        <w:t>Helping people to meet their obligations</w:t>
      </w:r>
    </w:p>
    <w:p w:rsidR="008E273C" w:rsidRDefault="008E273C" w:rsidP="008E273C">
      <w:pPr>
        <w:pStyle w:val="BodyText"/>
      </w:pPr>
      <w:r>
        <w:t>To improve the accuracy of payments, Services Australia educates and assists people in meeting their obligations. The agency also provides support to customers who have mistakenly not met their obligations.</w:t>
      </w:r>
    </w:p>
    <w:p w:rsidR="008E273C" w:rsidRDefault="008E273C" w:rsidP="008E273C">
      <w:pPr>
        <w:pStyle w:val="BodyText"/>
      </w:pPr>
      <w:r>
        <w:t>The agency works with people at important life events, such as when they start new employment, move house or commence studies. We contact people by phone, in writing, or by sending an SMS message.</w:t>
      </w:r>
    </w:p>
    <w:p w:rsidR="008E273C" w:rsidRDefault="008E273C" w:rsidP="008E273C">
      <w:pPr>
        <w:pStyle w:val="BodyText"/>
      </w:pPr>
      <w:r>
        <w:t>For example, in 2019–20 approximately 160,000 interventions asking customers to confirm their rent and accommodation circumstances enabled those customers to receive the correct entitlements/rent assistance.</w:t>
      </w:r>
    </w:p>
    <w:p w:rsidR="008E273C" w:rsidRDefault="008E273C" w:rsidP="008E273C">
      <w:pPr>
        <w:pStyle w:val="Heading2"/>
      </w:pPr>
      <w:r>
        <w:t>Payment accuracy and correctness</w:t>
      </w:r>
    </w:p>
    <w:p w:rsidR="008E273C" w:rsidRDefault="008E273C" w:rsidP="008E273C">
      <w:pPr>
        <w:pStyle w:val="BodyText"/>
      </w:pPr>
      <w:r>
        <w:t>The agency aims to pay the right person the right amount through the right program at the right time.</w:t>
      </w:r>
    </w:p>
    <w:p w:rsidR="008E273C" w:rsidRDefault="008E273C" w:rsidP="008E273C">
      <w:pPr>
        <w:pStyle w:val="Heading3"/>
      </w:pPr>
      <w:r>
        <w:t>Random Sample Survey</w:t>
      </w:r>
    </w:p>
    <w:p w:rsidR="008E273C" w:rsidRDefault="008E273C" w:rsidP="008E273C">
      <w:pPr>
        <w:pStyle w:val="BodyText"/>
      </w:pPr>
      <w:r>
        <w:t>To help ensure accurate social welfare payments are made, we conduct random sample surveys. These are point-in-time assessments of a customer’s circumstances for major payment types. The surveys are used to identify both staff and customer errors. They also measure our ability to pay customers the exact payment they are entitled to, known as payment correctness; and allow the Department of Social Services to measure the integrity of outlays, known as payment accuracy.</w:t>
      </w:r>
    </w:p>
    <w:p w:rsidR="008E273C" w:rsidRDefault="008E273C" w:rsidP="008E273C">
      <w:pPr>
        <w:pStyle w:val="BodyText"/>
      </w:pPr>
      <w:r>
        <w:t xml:space="preserve">In 2019–20 the agency achieved 98.53 per cent payment correctness, against a target of 95 per cent. See also </w:t>
      </w:r>
      <w:r>
        <w:rPr>
          <w:rFonts w:ascii="Roboto-Italic" w:hAnsi="Roboto-Italic" w:cs="Roboto-Italic"/>
          <w:i/>
          <w:iCs/>
        </w:rPr>
        <w:t>Criterion 5 Achievement of payment quality standards: Centrelink: Delivery of correct customer payments</w:t>
      </w:r>
      <w:r>
        <w:t xml:space="preserve"> on page 79.</w:t>
      </w:r>
    </w:p>
    <w:p w:rsidR="008E273C" w:rsidRDefault="008E273C" w:rsidP="008E273C">
      <w:pPr>
        <w:pStyle w:val="Heading3"/>
      </w:pPr>
      <w:r>
        <w:t xml:space="preserve">Compliance Program </w:t>
      </w:r>
    </w:p>
    <w:p w:rsidR="008E273C" w:rsidRDefault="008E273C" w:rsidP="008E273C">
      <w:pPr>
        <w:pStyle w:val="BodyText"/>
      </w:pPr>
      <w:r>
        <w:t>The agency sources information from other government agencies and third parties to help ensure accurate social welfare payments are made and resolve discrepancies in information provided by our customers.</w:t>
      </w:r>
    </w:p>
    <w:p w:rsidR="008E273C" w:rsidRDefault="008E273C" w:rsidP="008E273C">
      <w:pPr>
        <w:pStyle w:val="BodyText"/>
      </w:pPr>
      <w:r>
        <w:t xml:space="preserve">In 2019–20 the agency completed 174,043 reviews targeting early intervention and prevented $52.7 million in outlays. </w:t>
      </w:r>
    </w:p>
    <w:p w:rsidR="008E273C" w:rsidRPr="009F0717" w:rsidRDefault="009F0717" w:rsidP="009F0717">
      <w:pPr>
        <w:pStyle w:val="BodyText"/>
        <w:rPr>
          <w:b/>
        </w:rPr>
      </w:pPr>
      <w:r w:rsidRPr="009F0717">
        <w:rPr>
          <w:b/>
        </w:rPr>
        <w:t>Table 36:</w:t>
      </w:r>
      <w:r w:rsidR="008E273C" w:rsidRPr="009F0717">
        <w:rPr>
          <w:b/>
        </w:rPr>
        <w:t xml:space="preserve"> Social welfare compliance activity</w:t>
      </w:r>
    </w:p>
    <w:tbl>
      <w:tblPr>
        <w:tblStyle w:val="TableGrid"/>
        <w:tblW w:w="5000" w:type="pct"/>
        <w:tblLook w:val="0000" w:firstRow="0" w:lastRow="0" w:firstColumn="0" w:lastColumn="0" w:noHBand="0" w:noVBand="0"/>
        <w:tblCaption w:val="Table 36: Social welfare compliance activity"/>
        <w:tblDescription w:val="Table 36: Social welfare compliance activity"/>
      </w:tblPr>
      <w:tblGrid>
        <w:gridCol w:w="3699"/>
        <w:gridCol w:w="2468"/>
        <w:gridCol w:w="2466"/>
        <w:gridCol w:w="2463"/>
      </w:tblGrid>
      <w:tr w:rsidR="008E273C" w:rsidTr="009F0717">
        <w:trPr>
          <w:trHeight w:val="60"/>
          <w:tblHeader/>
        </w:trPr>
        <w:tc>
          <w:tcPr>
            <w:tcW w:w="1667" w:type="pct"/>
          </w:tcPr>
          <w:p w:rsidR="008E273C" w:rsidRPr="009F0717" w:rsidRDefault="008E273C" w:rsidP="009F0717">
            <w:pPr>
              <w:pStyle w:val="BodyText"/>
              <w:rPr>
                <w:b/>
              </w:rPr>
            </w:pPr>
          </w:p>
        </w:tc>
        <w:tc>
          <w:tcPr>
            <w:tcW w:w="1112" w:type="pct"/>
          </w:tcPr>
          <w:p w:rsidR="008E273C" w:rsidRPr="009F0717" w:rsidRDefault="008E273C" w:rsidP="009F0717">
            <w:pPr>
              <w:pStyle w:val="BodyText"/>
              <w:rPr>
                <w:b/>
              </w:rPr>
            </w:pPr>
            <w:r w:rsidRPr="009F0717">
              <w:rPr>
                <w:rStyle w:val="Bulletcolour"/>
                <w:b/>
              </w:rPr>
              <w:t>2017–18</w:t>
            </w:r>
          </w:p>
        </w:tc>
        <w:tc>
          <w:tcPr>
            <w:tcW w:w="1111" w:type="pct"/>
          </w:tcPr>
          <w:p w:rsidR="008E273C" w:rsidRPr="009F0717" w:rsidRDefault="008E273C" w:rsidP="009F0717">
            <w:pPr>
              <w:pStyle w:val="BodyText"/>
              <w:rPr>
                <w:b/>
              </w:rPr>
            </w:pPr>
            <w:r w:rsidRPr="009F0717">
              <w:rPr>
                <w:rStyle w:val="Bulletcolour"/>
                <w:b/>
              </w:rPr>
              <w:t>2018–19</w:t>
            </w:r>
          </w:p>
        </w:tc>
        <w:tc>
          <w:tcPr>
            <w:tcW w:w="1111" w:type="pct"/>
          </w:tcPr>
          <w:p w:rsidR="008E273C" w:rsidRPr="009F0717" w:rsidRDefault="008E273C" w:rsidP="009F0717">
            <w:pPr>
              <w:pStyle w:val="BodyText"/>
              <w:rPr>
                <w:b/>
              </w:rPr>
            </w:pPr>
            <w:r w:rsidRPr="009F0717">
              <w:rPr>
                <w:rStyle w:val="Bulletcolour"/>
                <w:b/>
              </w:rPr>
              <w:t>2019–20</w:t>
            </w:r>
          </w:p>
        </w:tc>
      </w:tr>
      <w:tr w:rsidR="008E273C" w:rsidTr="009F0717">
        <w:trPr>
          <w:trHeight w:val="60"/>
        </w:trPr>
        <w:tc>
          <w:tcPr>
            <w:tcW w:w="1667" w:type="pct"/>
          </w:tcPr>
          <w:p w:rsidR="008E273C" w:rsidRDefault="008E273C" w:rsidP="009F0717">
            <w:pPr>
              <w:pStyle w:val="BodyText"/>
            </w:pPr>
            <w:r>
              <w:rPr>
                <w:rStyle w:val="Bulletcolour"/>
              </w:rPr>
              <w:t>Compliance interventions</w:t>
            </w:r>
          </w:p>
        </w:tc>
        <w:tc>
          <w:tcPr>
            <w:tcW w:w="1112" w:type="pct"/>
          </w:tcPr>
          <w:p w:rsidR="008E273C" w:rsidRDefault="008E273C" w:rsidP="009F0717">
            <w:pPr>
              <w:pStyle w:val="BodyText"/>
            </w:pPr>
            <w:r>
              <w:rPr>
                <w:rStyle w:val="Bulletcolour"/>
              </w:rPr>
              <w:t>1,263,926</w:t>
            </w:r>
          </w:p>
        </w:tc>
        <w:tc>
          <w:tcPr>
            <w:tcW w:w="1111" w:type="pct"/>
          </w:tcPr>
          <w:p w:rsidR="008E273C" w:rsidRDefault="008E273C" w:rsidP="009F0717">
            <w:pPr>
              <w:pStyle w:val="BodyText"/>
            </w:pPr>
            <w:r>
              <w:rPr>
                <w:rStyle w:val="Bulletcolour"/>
              </w:rPr>
              <w:t>1,693,110</w:t>
            </w:r>
          </w:p>
        </w:tc>
        <w:tc>
          <w:tcPr>
            <w:tcW w:w="1111" w:type="pct"/>
          </w:tcPr>
          <w:p w:rsidR="008E273C" w:rsidRDefault="008E273C" w:rsidP="009F0717">
            <w:pPr>
              <w:pStyle w:val="BodyText"/>
            </w:pPr>
            <w:r>
              <w:rPr>
                <w:rStyle w:val="Bulletcolour"/>
              </w:rPr>
              <w:t>898,574</w:t>
            </w:r>
          </w:p>
        </w:tc>
      </w:tr>
      <w:tr w:rsidR="008E273C" w:rsidTr="009F0717">
        <w:trPr>
          <w:trHeight w:val="60"/>
        </w:trPr>
        <w:tc>
          <w:tcPr>
            <w:tcW w:w="1667" w:type="pct"/>
          </w:tcPr>
          <w:p w:rsidR="008E273C" w:rsidRDefault="008E273C" w:rsidP="009F0717">
            <w:pPr>
              <w:pStyle w:val="BodyText"/>
            </w:pPr>
            <w:r>
              <w:rPr>
                <w:rStyle w:val="Bulletcolour"/>
              </w:rPr>
              <w:t>Reductions in fortnightly payments</w:t>
            </w:r>
          </w:p>
        </w:tc>
        <w:tc>
          <w:tcPr>
            <w:tcW w:w="1112" w:type="pct"/>
          </w:tcPr>
          <w:p w:rsidR="008E273C" w:rsidRDefault="008E273C" w:rsidP="009F0717">
            <w:pPr>
              <w:pStyle w:val="BodyText"/>
            </w:pPr>
            <w:r>
              <w:rPr>
                <w:rStyle w:val="Bulletcolour"/>
              </w:rPr>
              <w:t>49,230</w:t>
            </w:r>
          </w:p>
        </w:tc>
        <w:tc>
          <w:tcPr>
            <w:tcW w:w="1111" w:type="pct"/>
          </w:tcPr>
          <w:p w:rsidR="008E273C" w:rsidRDefault="008E273C" w:rsidP="009F0717">
            <w:pPr>
              <w:pStyle w:val="BodyText"/>
            </w:pPr>
            <w:r>
              <w:rPr>
                <w:rStyle w:val="Bulletcolour"/>
              </w:rPr>
              <w:t>101,859</w:t>
            </w:r>
          </w:p>
        </w:tc>
        <w:tc>
          <w:tcPr>
            <w:tcW w:w="1111" w:type="pct"/>
          </w:tcPr>
          <w:p w:rsidR="008E273C" w:rsidRDefault="008E273C" w:rsidP="009F0717">
            <w:pPr>
              <w:pStyle w:val="BodyText"/>
            </w:pPr>
            <w:r>
              <w:rPr>
                <w:rStyle w:val="Bulletcolour"/>
              </w:rPr>
              <w:t>71,841</w:t>
            </w:r>
          </w:p>
        </w:tc>
      </w:tr>
      <w:tr w:rsidR="008E273C" w:rsidTr="009F0717">
        <w:trPr>
          <w:trHeight w:val="60"/>
        </w:trPr>
        <w:tc>
          <w:tcPr>
            <w:tcW w:w="1667" w:type="pct"/>
          </w:tcPr>
          <w:p w:rsidR="008E273C" w:rsidRDefault="008E273C" w:rsidP="009F0717">
            <w:pPr>
              <w:pStyle w:val="BodyText"/>
            </w:pPr>
            <w:r>
              <w:rPr>
                <w:rStyle w:val="Bulletcolour"/>
              </w:rPr>
              <w:t>Value of fortnightly reductions</w:t>
            </w:r>
          </w:p>
        </w:tc>
        <w:tc>
          <w:tcPr>
            <w:tcW w:w="1112" w:type="pct"/>
          </w:tcPr>
          <w:p w:rsidR="008E273C" w:rsidRDefault="008E273C" w:rsidP="009F0717">
            <w:pPr>
              <w:pStyle w:val="BodyText"/>
            </w:pPr>
            <w:r>
              <w:rPr>
                <w:rStyle w:val="Bulletcolour"/>
              </w:rPr>
              <w:t>$20.5 million</w:t>
            </w:r>
          </w:p>
        </w:tc>
        <w:tc>
          <w:tcPr>
            <w:tcW w:w="1111" w:type="pct"/>
          </w:tcPr>
          <w:p w:rsidR="008E273C" w:rsidRDefault="008E273C" w:rsidP="009F0717">
            <w:pPr>
              <w:pStyle w:val="BodyText"/>
            </w:pPr>
            <w:r>
              <w:rPr>
                <w:rStyle w:val="Bulletcolour"/>
              </w:rPr>
              <w:t>$26.5 million</w:t>
            </w:r>
          </w:p>
        </w:tc>
        <w:tc>
          <w:tcPr>
            <w:tcW w:w="1111" w:type="pct"/>
          </w:tcPr>
          <w:p w:rsidR="008E273C" w:rsidRDefault="008E273C" w:rsidP="009F0717">
            <w:pPr>
              <w:pStyle w:val="BodyText"/>
            </w:pPr>
            <w:r>
              <w:rPr>
                <w:rStyle w:val="Bulletcolour"/>
              </w:rPr>
              <w:t>$25.2 million</w:t>
            </w:r>
          </w:p>
        </w:tc>
      </w:tr>
      <w:tr w:rsidR="008E273C" w:rsidTr="009F0717">
        <w:trPr>
          <w:trHeight w:val="60"/>
        </w:trPr>
        <w:tc>
          <w:tcPr>
            <w:tcW w:w="1667" w:type="pct"/>
          </w:tcPr>
          <w:p w:rsidR="008E273C" w:rsidRDefault="008E273C" w:rsidP="009F0717">
            <w:pPr>
              <w:pStyle w:val="BodyText"/>
            </w:pPr>
            <w:r>
              <w:rPr>
                <w:rStyle w:val="Bulletcolour"/>
              </w:rPr>
              <w:t xml:space="preserve">Prevented outlays </w:t>
            </w:r>
          </w:p>
        </w:tc>
        <w:tc>
          <w:tcPr>
            <w:tcW w:w="1112" w:type="pct"/>
          </w:tcPr>
          <w:p w:rsidR="008E273C" w:rsidRDefault="008E273C" w:rsidP="009F0717">
            <w:pPr>
              <w:pStyle w:val="BodyText"/>
            </w:pPr>
            <w:r>
              <w:rPr>
                <w:rStyle w:val="Bulletcolour"/>
              </w:rPr>
              <w:t>$36.4 million</w:t>
            </w:r>
          </w:p>
        </w:tc>
        <w:tc>
          <w:tcPr>
            <w:tcW w:w="1111" w:type="pct"/>
          </w:tcPr>
          <w:p w:rsidR="008E273C" w:rsidRDefault="008E273C" w:rsidP="009F0717">
            <w:pPr>
              <w:pStyle w:val="BodyText"/>
            </w:pPr>
            <w:r>
              <w:rPr>
                <w:rStyle w:val="Bulletcolour"/>
              </w:rPr>
              <w:t>$72.2 million</w:t>
            </w:r>
          </w:p>
        </w:tc>
        <w:tc>
          <w:tcPr>
            <w:tcW w:w="1111" w:type="pct"/>
          </w:tcPr>
          <w:p w:rsidR="008E273C" w:rsidRDefault="008E273C" w:rsidP="009F0717">
            <w:pPr>
              <w:pStyle w:val="BodyText"/>
            </w:pPr>
            <w:r>
              <w:rPr>
                <w:rStyle w:val="Bulletcolour"/>
              </w:rPr>
              <w:t>$52.7 million</w:t>
            </w:r>
          </w:p>
        </w:tc>
      </w:tr>
      <w:tr w:rsidR="008E273C" w:rsidTr="009F0717">
        <w:trPr>
          <w:trHeight w:val="60"/>
        </w:trPr>
        <w:tc>
          <w:tcPr>
            <w:tcW w:w="1667" w:type="pct"/>
          </w:tcPr>
          <w:p w:rsidR="008E273C" w:rsidRDefault="008E273C" w:rsidP="009F0717">
            <w:pPr>
              <w:pStyle w:val="BodyText"/>
            </w:pPr>
            <w:r>
              <w:rPr>
                <w:rStyle w:val="Bulletcolour"/>
              </w:rPr>
              <w:t>Debts raised</w:t>
            </w:r>
          </w:p>
        </w:tc>
        <w:tc>
          <w:tcPr>
            <w:tcW w:w="1112" w:type="pct"/>
          </w:tcPr>
          <w:p w:rsidR="008E273C" w:rsidRDefault="008E273C" w:rsidP="009F0717">
            <w:pPr>
              <w:pStyle w:val="BodyText"/>
            </w:pPr>
            <w:r>
              <w:rPr>
                <w:rStyle w:val="Bulletcolour"/>
              </w:rPr>
              <w:t>209,313</w:t>
            </w:r>
          </w:p>
        </w:tc>
        <w:tc>
          <w:tcPr>
            <w:tcW w:w="1111" w:type="pct"/>
          </w:tcPr>
          <w:p w:rsidR="008E273C" w:rsidRDefault="008E273C" w:rsidP="009F0717">
            <w:pPr>
              <w:pStyle w:val="BodyText"/>
            </w:pPr>
            <w:r>
              <w:rPr>
                <w:rStyle w:val="Bulletcolour"/>
              </w:rPr>
              <w:t>325,677</w:t>
            </w:r>
          </w:p>
        </w:tc>
        <w:tc>
          <w:tcPr>
            <w:tcW w:w="1111" w:type="pct"/>
          </w:tcPr>
          <w:p w:rsidR="008E273C" w:rsidRDefault="008E273C" w:rsidP="009F0717">
            <w:pPr>
              <w:pStyle w:val="BodyText"/>
            </w:pPr>
            <w:r>
              <w:rPr>
                <w:rStyle w:val="Bulletcolour"/>
              </w:rPr>
              <w:t>142,155</w:t>
            </w:r>
          </w:p>
        </w:tc>
      </w:tr>
      <w:tr w:rsidR="008E273C" w:rsidTr="009F0717">
        <w:trPr>
          <w:trHeight w:val="60"/>
        </w:trPr>
        <w:tc>
          <w:tcPr>
            <w:tcW w:w="1667" w:type="pct"/>
          </w:tcPr>
          <w:p w:rsidR="008E273C" w:rsidRPr="009F0717" w:rsidRDefault="008E273C" w:rsidP="009F0717">
            <w:pPr>
              <w:pStyle w:val="BodyText"/>
              <w:rPr>
                <w:b/>
              </w:rPr>
            </w:pPr>
            <w:r w:rsidRPr="009F0717">
              <w:rPr>
                <w:rStyle w:val="Bulletcolour"/>
                <w:b/>
              </w:rPr>
              <w:t>Total debt value</w:t>
            </w:r>
          </w:p>
        </w:tc>
        <w:tc>
          <w:tcPr>
            <w:tcW w:w="1112" w:type="pct"/>
          </w:tcPr>
          <w:p w:rsidR="008E273C" w:rsidRPr="009F0717" w:rsidRDefault="008E273C" w:rsidP="009F0717">
            <w:pPr>
              <w:pStyle w:val="BodyText"/>
              <w:rPr>
                <w:b/>
              </w:rPr>
            </w:pPr>
            <w:r w:rsidRPr="009F0717">
              <w:rPr>
                <w:rStyle w:val="Bulletcolour"/>
                <w:b/>
              </w:rPr>
              <w:t>$468.7 million</w:t>
            </w:r>
          </w:p>
        </w:tc>
        <w:tc>
          <w:tcPr>
            <w:tcW w:w="1111" w:type="pct"/>
          </w:tcPr>
          <w:p w:rsidR="008E273C" w:rsidRPr="009F0717" w:rsidRDefault="008E273C" w:rsidP="009F0717">
            <w:pPr>
              <w:pStyle w:val="BodyText"/>
              <w:rPr>
                <w:b/>
              </w:rPr>
            </w:pPr>
            <w:r w:rsidRPr="009F0717">
              <w:rPr>
                <w:rStyle w:val="Bulletcolour"/>
                <w:b/>
              </w:rPr>
              <w:t>$885.8 million</w:t>
            </w:r>
          </w:p>
        </w:tc>
        <w:tc>
          <w:tcPr>
            <w:tcW w:w="1111" w:type="pct"/>
          </w:tcPr>
          <w:p w:rsidR="008E273C" w:rsidRPr="009F0717" w:rsidRDefault="008E273C" w:rsidP="009F0717">
            <w:pPr>
              <w:pStyle w:val="BodyText"/>
              <w:rPr>
                <w:b/>
              </w:rPr>
            </w:pPr>
            <w:r w:rsidRPr="009F0717">
              <w:rPr>
                <w:rStyle w:val="Bulletcolour"/>
                <w:b/>
              </w:rPr>
              <w:t>$364.4 million</w:t>
            </w:r>
          </w:p>
        </w:tc>
      </w:tr>
    </w:tbl>
    <w:p w:rsidR="008E273C" w:rsidRDefault="008E273C" w:rsidP="008E273C">
      <w:pPr>
        <w:pStyle w:val="Heading2"/>
      </w:pPr>
      <w:r>
        <w:t xml:space="preserve">Debt management </w:t>
      </w:r>
    </w:p>
    <w:p w:rsidR="008E273C" w:rsidRDefault="008E273C" w:rsidP="008E273C">
      <w:pPr>
        <w:pStyle w:val="BodyText"/>
      </w:pPr>
      <w:r>
        <w:t>Services Australia works with people to minimise the chances of incurring a debt through measures that help them to understand their obligations. However, in circumstances where people have not been paid the right amount, and a debt is incurred, we work with customers taking into account their personal circumstances to recover overpayments.</w:t>
      </w:r>
    </w:p>
    <w:p w:rsidR="008E273C" w:rsidRDefault="008E273C" w:rsidP="008E273C">
      <w:pPr>
        <w:pStyle w:val="BodyText"/>
      </w:pPr>
      <w:r>
        <w:t xml:space="preserve">When a person is finding it difficult to repay a debt, the agency is flexible. For instance, the agency can pause recovery of a debt for a specified period for those experiencing financial hardship and those in vulnerable situations. The agency also provides support to customers through our network of social workers where more specialised assistance is needed.  </w:t>
      </w:r>
    </w:p>
    <w:p w:rsidR="008E273C" w:rsidRDefault="008E273C" w:rsidP="008E273C">
      <w:pPr>
        <w:pStyle w:val="BodyText"/>
      </w:pPr>
      <w:r>
        <w:t>It is standard practice for the agency to temporarily pause debt raising and recovery activities for customers living in areas impacted by natural disasters, such as those experienced by many of our customers during the 2019–20 bushfires. This includes pausing referrals to external collection agencies, as well as garnisheeing of tax refunds.</w:t>
      </w:r>
    </w:p>
    <w:p w:rsidR="008E273C" w:rsidRDefault="008E273C" w:rsidP="008E273C">
      <w:pPr>
        <w:pStyle w:val="BodyText"/>
        <w:rPr>
          <w:sz w:val="22"/>
          <w:szCs w:val="22"/>
          <w:lang w:val="en-US"/>
        </w:rPr>
      </w:pPr>
      <w:r>
        <w:t xml:space="preserve">On 3 April 2020 in response to the COVID-19 pandemic, the Australian Government announced a temporary six-month national debt pause to help Australians affected by the unprecedented crisis. The agency implemented this pause on a range of social welfare debt raising and recovery activities, with the exception of fraud and serious non-compliance work. </w:t>
      </w:r>
    </w:p>
    <w:p w:rsidR="008E273C" w:rsidRPr="00502B72" w:rsidRDefault="00502B72" w:rsidP="00502B72">
      <w:pPr>
        <w:pStyle w:val="BodyText"/>
        <w:rPr>
          <w:b/>
        </w:rPr>
      </w:pPr>
      <w:r w:rsidRPr="00502B72">
        <w:rPr>
          <w:b/>
        </w:rPr>
        <w:t>Table 37:</w:t>
      </w:r>
      <w:r w:rsidR="008E273C" w:rsidRPr="00502B72">
        <w:rPr>
          <w:b/>
        </w:rPr>
        <w:t xml:space="preserve"> Debts raised from customers who received social welfare payments</w:t>
      </w:r>
    </w:p>
    <w:tbl>
      <w:tblPr>
        <w:tblStyle w:val="TableGrid"/>
        <w:tblW w:w="5000" w:type="pct"/>
        <w:tblLook w:val="0000" w:firstRow="0" w:lastRow="0" w:firstColumn="0" w:lastColumn="0" w:noHBand="0" w:noVBand="0"/>
        <w:tblCaption w:val="Table 37: Debts raised from customers who received social welfare payments"/>
        <w:tblDescription w:val="Table 37: Debts raised from customers who received social welfare payments"/>
      </w:tblPr>
      <w:tblGrid>
        <w:gridCol w:w="3947"/>
        <w:gridCol w:w="2384"/>
        <w:gridCol w:w="2382"/>
        <w:gridCol w:w="2383"/>
      </w:tblGrid>
      <w:tr w:rsidR="008E273C" w:rsidTr="00502B72">
        <w:trPr>
          <w:trHeight w:val="362"/>
          <w:tblHeader/>
        </w:trPr>
        <w:tc>
          <w:tcPr>
            <w:tcW w:w="1778" w:type="pct"/>
          </w:tcPr>
          <w:p w:rsidR="008E273C" w:rsidRPr="00502B72" w:rsidRDefault="008E273C" w:rsidP="00502B72">
            <w:pPr>
              <w:pStyle w:val="BodyText"/>
              <w:rPr>
                <w:b/>
              </w:rPr>
            </w:pPr>
          </w:p>
        </w:tc>
        <w:tc>
          <w:tcPr>
            <w:tcW w:w="1074" w:type="pct"/>
          </w:tcPr>
          <w:p w:rsidR="008E273C" w:rsidRPr="00502B72" w:rsidRDefault="008E273C" w:rsidP="00502B72">
            <w:pPr>
              <w:pStyle w:val="BodyText"/>
              <w:rPr>
                <w:b/>
              </w:rPr>
            </w:pPr>
            <w:r w:rsidRPr="00502B72">
              <w:rPr>
                <w:rStyle w:val="Bulletcolour"/>
                <w:b/>
              </w:rPr>
              <w:t>2017–18</w:t>
            </w:r>
          </w:p>
        </w:tc>
        <w:tc>
          <w:tcPr>
            <w:tcW w:w="1073" w:type="pct"/>
          </w:tcPr>
          <w:p w:rsidR="008E273C" w:rsidRPr="00502B72" w:rsidRDefault="008E273C" w:rsidP="00502B72">
            <w:pPr>
              <w:pStyle w:val="BodyText"/>
              <w:rPr>
                <w:b/>
              </w:rPr>
            </w:pPr>
            <w:r w:rsidRPr="00502B72">
              <w:rPr>
                <w:rStyle w:val="Bulletcolour"/>
                <w:b/>
              </w:rPr>
              <w:t>2018–19</w:t>
            </w:r>
          </w:p>
        </w:tc>
        <w:tc>
          <w:tcPr>
            <w:tcW w:w="1074" w:type="pct"/>
          </w:tcPr>
          <w:p w:rsidR="008E273C" w:rsidRPr="00502B72" w:rsidRDefault="008E273C" w:rsidP="00502B72">
            <w:pPr>
              <w:pStyle w:val="BodyText"/>
              <w:rPr>
                <w:b/>
              </w:rPr>
            </w:pPr>
            <w:r w:rsidRPr="00502B72">
              <w:rPr>
                <w:rStyle w:val="Bulletcolour"/>
                <w:b/>
              </w:rPr>
              <w:t>2019–20</w:t>
            </w:r>
          </w:p>
        </w:tc>
      </w:tr>
      <w:tr w:rsidR="008E273C" w:rsidTr="00502B72">
        <w:trPr>
          <w:trHeight w:val="305"/>
        </w:trPr>
        <w:tc>
          <w:tcPr>
            <w:tcW w:w="1778" w:type="pct"/>
          </w:tcPr>
          <w:p w:rsidR="008E273C" w:rsidRDefault="008E273C" w:rsidP="00502B72">
            <w:pPr>
              <w:pStyle w:val="BodyText"/>
            </w:pPr>
            <w:r>
              <w:rPr>
                <w:rStyle w:val="Bulletcolour"/>
              </w:rPr>
              <w:t>Number of debts raised</w:t>
            </w:r>
          </w:p>
        </w:tc>
        <w:tc>
          <w:tcPr>
            <w:tcW w:w="1074" w:type="pct"/>
          </w:tcPr>
          <w:p w:rsidR="008E273C" w:rsidRDefault="008E273C" w:rsidP="00502B72">
            <w:pPr>
              <w:pStyle w:val="BodyText"/>
            </w:pPr>
            <w:r>
              <w:rPr>
                <w:rStyle w:val="Bulletcolour"/>
              </w:rPr>
              <w:t>2,493,474</w:t>
            </w:r>
          </w:p>
        </w:tc>
        <w:tc>
          <w:tcPr>
            <w:tcW w:w="1073" w:type="pct"/>
          </w:tcPr>
          <w:p w:rsidR="008E273C" w:rsidRDefault="008E273C" w:rsidP="00502B72">
            <w:pPr>
              <w:pStyle w:val="BodyText"/>
            </w:pPr>
            <w:r>
              <w:rPr>
                <w:rStyle w:val="Bulletcolour"/>
              </w:rPr>
              <w:t>2,270,117</w:t>
            </w:r>
          </w:p>
        </w:tc>
        <w:tc>
          <w:tcPr>
            <w:tcW w:w="1074" w:type="pct"/>
          </w:tcPr>
          <w:p w:rsidR="008E273C" w:rsidRDefault="008E273C" w:rsidP="00502B72">
            <w:pPr>
              <w:pStyle w:val="BodyText"/>
            </w:pPr>
            <w:r>
              <w:rPr>
                <w:rStyle w:val="Bulletcolour"/>
              </w:rPr>
              <w:t>1,758,484</w:t>
            </w:r>
          </w:p>
        </w:tc>
      </w:tr>
      <w:tr w:rsidR="008E273C" w:rsidTr="00502B72">
        <w:trPr>
          <w:trHeight w:val="305"/>
        </w:trPr>
        <w:tc>
          <w:tcPr>
            <w:tcW w:w="1778" w:type="pct"/>
          </w:tcPr>
          <w:p w:rsidR="008E273C" w:rsidRDefault="008E273C" w:rsidP="00502B72">
            <w:pPr>
              <w:pStyle w:val="BodyText"/>
            </w:pPr>
            <w:r>
              <w:rPr>
                <w:rStyle w:val="Bulletcolour"/>
              </w:rPr>
              <w:t>Amount raised</w:t>
            </w:r>
          </w:p>
        </w:tc>
        <w:tc>
          <w:tcPr>
            <w:tcW w:w="1074" w:type="pct"/>
          </w:tcPr>
          <w:p w:rsidR="008E273C" w:rsidRDefault="008E273C" w:rsidP="00502B72">
            <w:pPr>
              <w:pStyle w:val="BodyText"/>
            </w:pPr>
            <w:r>
              <w:rPr>
                <w:rStyle w:val="Bulletcolour"/>
              </w:rPr>
              <w:t>$3.2 billion</w:t>
            </w:r>
          </w:p>
        </w:tc>
        <w:tc>
          <w:tcPr>
            <w:tcW w:w="1073" w:type="pct"/>
          </w:tcPr>
          <w:p w:rsidR="008E273C" w:rsidRDefault="008E273C" w:rsidP="00502B72">
            <w:pPr>
              <w:pStyle w:val="BodyText"/>
            </w:pPr>
            <w:r>
              <w:rPr>
                <w:rStyle w:val="Bulletcolour"/>
              </w:rPr>
              <w:t>$3.4 billion</w:t>
            </w:r>
          </w:p>
        </w:tc>
        <w:tc>
          <w:tcPr>
            <w:tcW w:w="1074" w:type="pct"/>
          </w:tcPr>
          <w:p w:rsidR="008E273C" w:rsidRDefault="008E273C" w:rsidP="00502B72">
            <w:pPr>
              <w:pStyle w:val="BodyText"/>
            </w:pPr>
            <w:r>
              <w:rPr>
                <w:rStyle w:val="Bulletcolour"/>
              </w:rPr>
              <w:t>$2.4 billion</w:t>
            </w:r>
          </w:p>
        </w:tc>
      </w:tr>
    </w:tbl>
    <w:p w:rsidR="008E273C" w:rsidRPr="00502B72" w:rsidRDefault="00502B72" w:rsidP="00502B72">
      <w:pPr>
        <w:pStyle w:val="BodyText"/>
        <w:spacing w:after="120"/>
        <w:rPr>
          <w:b/>
        </w:rPr>
      </w:pPr>
      <w:r w:rsidRPr="00502B72">
        <w:rPr>
          <w:b/>
          <w:sz w:val="22"/>
          <w:szCs w:val="22"/>
        </w:rPr>
        <w:t>Table 38:</w:t>
      </w:r>
      <w:r w:rsidR="008E273C" w:rsidRPr="00502B72">
        <w:rPr>
          <w:b/>
        </w:rPr>
        <w:t xml:space="preserve"> Social welfare debt recovered</w:t>
      </w:r>
    </w:p>
    <w:tbl>
      <w:tblPr>
        <w:tblStyle w:val="TableGrid"/>
        <w:tblW w:w="5000" w:type="pct"/>
        <w:tblLook w:val="0000" w:firstRow="0" w:lastRow="0" w:firstColumn="0" w:lastColumn="0" w:noHBand="0" w:noVBand="0"/>
        <w:tblCaption w:val="Table 38: Social welfare debt recovered"/>
        <w:tblDescription w:val="Table 38: Social welfare debt recovered"/>
      </w:tblPr>
      <w:tblGrid>
        <w:gridCol w:w="3949"/>
        <w:gridCol w:w="2383"/>
        <w:gridCol w:w="2381"/>
        <w:gridCol w:w="2383"/>
      </w:tblGrid>
      <w:tr w:rsidR="008E273C" w:rsidTr="00502B72">
        <w:trPr>
          <w:trHeight w:val="362"/>
          <w:tblHeader/>
        </w:trPr>
        <w:tc>
          <w:tcPr>
            <w:tcW w:w="1779" w:type="pct"/>
          </w:tcPr>
          <w:p w:rsidR="008E273C" w:rsidRPr="00502B72" w:rsidRDefault="008E273C" w:rsidP="00502B72">
            <w:pPr>
              <w:pStyle w:val="BodyText"/>
              <w:rPr>
                <w:b/>
              </w:rPr>
            </w:pPr>
          </w:p>
        </w:tc>
        <w:tc>
          <w:tcPr>
            <w:tcW w:w="1074" w:type="pct"/>
          </w:tcPr>
          <w:p w:rsidR="008E273C" w:rsidRPr="00502B72" w:rsidRDefault="008E273C" w:rsidP="00502B72">
            <w:pPr>
              <w:pStyle w:val="BodyText"/>
              <w:rPr>
                <w:b/>
              </w:rPr>
            </w:pPr>
            <w:r w:rsidRPr="00502B72">
              <w:rPr>
                <w:rStyle w:val="Bulletcolour"/>
                <w:b/>
              </w:rPr>
              <w:t>2017–18</w:t>
            </w:r>
          </w:p>
        </w:tc>
        <w:tc>
          <w:tcPr>
            <w:tcW w:w="1073" w:type="pct"/>
          </w:tcPr>
          <w:p w:rsidR="008E273C" w:rsidRPr="00502B72" w:rsidRDefault="008E273C" w:rsidP="00502B72">
            <w:pPr>
              <w:pStyle w:val="BodyText"/>
              <w:rPr>
                <w:b/>
              </w:rPr>
            </w:pPr>
            <w:r w:rsidRPr="00502B72">
              <w:rPr>
                <w:rStyle w:val="Bulletcolour"/>
                <w:b/>
              </w:rPr>
              <w:t>2018–19</w:t>
            </w:r>
          </w:p>
        </w:tc>
        <w:tc>
          <w:tcPr>
            <w:tcW w:w="1074" w:type="pct"/>
          </w:tcPr>
          <w:p w:rsidR="008E273C" w:rsidRPr="00502B72" w:rsidRDefault="008E273C" w:rsidP="00502B72">
            <w:pPr>
              <w:pStyle w:val="BodyText"/>
              <w:rPr>
                <w:b/>
              </w:rPr>
            </w:pPr>
            <w:r w:rsidRPr="00502B72">
              <w:rPr>
                <w:rStyle w:val="Bulletcolour"/>
                <w:b/>
              </w:rPr>
              <w:t>2019–20</w:t>
            </w:r>
          </w:p>
        </w:tc>
      </w:tr>
      <w:tr w:rsidR="008E273C" w:rsidTr="00502B72">
        <w:trPr>
          <w:trHeight w:val="305"/>
        </w:trPr>
        <w:tc>
          <w:tcPr>
            <w:tcW w:w="1779" w:type="pct"/>
          </w:tcPr>
          <w:p w:rsidR="008E273C" w:rsidRDefault="008E273C" w:rsidP="00502B72">
            <w:pPr>
              <w:pStyle w:val="BodyText"/>
            </w:pPr>
            <w:r>
              <w:rPr>
                <w:rStyle w:val="Bulletcolour"/>
              </w:rPr>
              <w:t>Total debts recovered</w:t>
            </w:r>
          </w:p>
        </w:tc>
        <w:tc>
          <w:tcPr>
            <w:tcW w:w="1074" w:type="pct"/>
          </w:tcPr>
          <w:p w:rsidR="008E273C" w:rsidRDefault="008E273C" w:rsidP="00502B72">
            <w:pPr>
              <w:pStyle w:val="BodyText"/>
            </w:pPr>
            <w:r>
              <w:rPr>
                <w:rStyle w:val="Bulletcolour"/>
              </w:rPr>
              <w:t>$1.70 billion</w:t>
            </w:r>
          </w:p>
        </w:tc>
        <w:tc>
          <w:tcPr>
            <w:tcW w:w="1073" w:type="pct"/>
          </w:tcPr>
          <w:p w:rsidR="008E273C" w:rsidRDefault="008E273C" w:rsidP="00502B72">
            <w:pPr>
              <w:pStyle w:val="BodyText"/>
            </w:pPr>
            <w:r>
              <w:rPr>
                <w:rStyle w:val="Bulletcolour"/>
              </w:rPr>
              <w:t>$1.85 billion</w:t>
            </w:r>
          </w:p>
        </w:tc>
        <w:tc>
          <w:tcPr>
            <w:tcW w:w="1074" w:type="pct"/>
          </w:tcPr>
          <w:p w:rsidR="008E273C" w:rsidRDefault="008E273C" w:rsidP="00502B72">
            <w:pPr>
              <w:pStyle w:val="BodyText"/>
            </w:pPr>
            <w:r>
              <w:rPr>
                <w:rStyle w:val="Bulletcolour"/>
              </w:rPr>
              <w:t>$1.75 billion</w:t>
            </w:r>
          </w:p>
        </w:tc>
      </w:tr>
      <w:tr w:rsidR="008E273C" w:rsidTr="00502B72">
        <w:trPr>
          <w:trHeight w:val="521"/>
        </w:trPr>
        <w:tc>
          <w:tcPr>
            <w:tcW w:w="1779" w:type="pct"/>
          </w:tcPr>
          <w:p w:rsidR="008E273C" w:rsidRDefault="008E273C" w:rsidP="00502B72">
            <w:pPr>
              <w:pStyle w:val="BodyText"/>
            </w:pPr>
            <w:r>
              <w:rPr>
                <w:rStyle w:val="Bulletcolour"/>
              </w:rPr>
              <w:t>Amount recovered by contracted agents</w:t>
            </w:r>
            <w:r>
              <w:rPr>
                <w:rStyle w:val="Bulletcolour"/>
                <w:vertAlign w:val="superscript"/>
              </w:rPr>
              <w:t>(a)</w:t>
            </w:r>
          </w:p>
        </w:tc>
        <w:tc>
          <w:tcPr>
            <w:tcW w:w="1074" w:type="pct"/>
          </w:tcPr>
          <w:p w:rsidR="008E273C" w:rsidRDefault="008E273C" w:rsidP="00502B72">
            <w:pPr>
              <w:pStyle w:val="BodyText"/>
            </w:pPr>
            <w:r>
              <w:rPr>
                <w:rStyle w:val="Bulletcolour"/>
              </w:rPr>
              <w:t>$125.7 million</w:t>
            </w:r>
          </w:p>
        </w:tc>
        <w:tc>
          <w:tcPr>
            <w:tcW w:w="1073" w:type="pct"/>
          </w:tcPr>
          <w:p w:rsidR="008E273C" w:rsidRDefault="008E273C" w:rsidP="00502B72">
            <w:pPr>
              <w:pStyle w:val="BodyText"/>
            </w:pPr>
            <w:r>
              <w:rPr>
                <w:rStyle w:val="Bulletcolour"/>
              </w:rPr>
              <w:t>$147.8 million</w:t>
            </w:r>
          </w:p>
        </w:tc>
        <w:tc>
          <w:tcPr>
            <w:tcW w:w="1074" w:type="pct"/>
          </w:tcPr>
          <w:p w:rsidR="008E273C" w:rsidRDefault="008E273C" w:rsidP="00502B72">
            <w:pPr>
              <w:pStyle w:val="BodyText"/>
            </w:pPr>
            <w:r>
              <w:rPr>
                <w:rStyle w:val="Bulletcolour"/>
              </w:rPr>
              <w:t>$105.0 million</w:t>
            </w:r>
          </w:p>
        </w:tc>
      </w:tr>
      <w:tr w:rsidR="008E273C" w:rsidTr="00502B72">
        <w:trPr>
          <w:trHeight w:val="335"/>
        </w:trPr>
        <w:tc>
          <w:tcPr>
            <w:tcW w:w="1779" w:type="pct"/>
          </w:tcPr>
          <w:p w:rsidR="008E273C" w:rsidRDefault="008E273C" w:rsidP="00502B72">
            <w:pPr>
              <w:pStyle w:val="BodyText"/>
            </w:pPr>
            <w:r>
              <w:rPr>
                <w:rStyle w:val="Bulletcolour"/>
              </w:rPr>
              <w:t>% of total recovered by contracted agents</w:t>
            </w:r>
            <w:r>
              <w:rPr>
                <w:rStyle w:val="Bulletcolour"/>
                <w:vertAlign w:val="superscript"/>
              </w:rPr>
              <w:t>(a)</w:t>
            </w:r>
          </w:p>
        </w:tc>
        <w:tc>
          <w:tcPr>
            <w:tcW w:w="1074" w:type="pct"/>
          </w:tcPr>
          <w:p w:rsidR="008E273C" w:rsidRDefault="008E273C" w:rsidP="00502B72">
            <w:pPr>
              <w:pStyle w:val="BodyText"/>
            </w:pPr>
            <w:r>
              <w:rPr>
                <w:rStyle w:val="Bulletcolour"/>
              </w:rPr>
              <w:t>7 .4</w:t>
            </w:r>
          </w:p>
        </w:tc>
        <w:tc>
          <w:tcPr>
            <w:tcW w:w="1073" w:type="pct"/>
          </w:tcPr>
          <w:p w:rsidR="008E273C" w:rsidRDefault="008E273C" w:rsidP="00502B72">
            <w:pPr>
              <w:pStyle w:val="BodyText"/>
            </w:pPr>
            <w:r>
              <w:rPr>
                <w:rStyle w:val="Bulletcolour"/>
              </w:rPr>
              <w:t>8 .0</w:t>
            </w:r>
          </w:p>
        </w:tc>
        <w:tc>
          <w:tcPr>
            <w:tcW w:w="1074" w:type="pct"/>
          </w:tcPr>
          <w:p w:rsidR="008E273C" w:rsidRDefault="008E273C" w:rsidP="00502B72">
            <w:pPr>
              <w:pStyle w:val="BodyText"/>
            </w:pPr>
            <w:r>
              <w:rPr>
                <w:rStyle w:val="Bulletcolour"/>
              </w:rPr>
              <w:t>6.0</w:t>
            </w:r>
          </w:p>
        </w:tc>
      </w:tr>
    </w:tbl>
    <w:p w:rsidR="008E273C" w:rsidRDefault="008E273C" w:rsidP="00502B72">
      <w:pPr>
        <w:pStyle w:val="BodyText"/>
      </w:pPr>
      <w:r>
        <w:t>(a)</w:t>
      </w:r>
      <w:r w:rsidR="00502B72">
        <w:t xml:space="preserve"> </w:t>
      </w:r>
      <w:r>
        <w:t>“</w:t>
      </w:r>
      <w:proofErr w:type="gramStart"/>
      <w:r>
        <w:t>contracted</w:t>
      </w:r>
      <w:proofErr w:type="gramEnd"/>
      <w:r>
        <w:t xml:space="preserve"> agents” refers to external collection agents</w:t>
      </w:r>
    </w:p>
    <w:p w:rsidR="00FB1389" w:rsidRDefault="00FB1389" w:rsidP="008E273C">
      <w:pPr>
        <w:pStyle w:val="Heading1"/>
      </w:pPr>
      <w:r>
        <w:t>Part 2: Performance</w:t>
      </w:r>
    </w:p>
    <w:p w:rsidR="008E273C" w:rsidRDefault="008E273C" w:rsidP="008E273C">
      <w:pPr>
        <w:pStyle w:val="Heading1"/>
      </w:pPr>
      <w:r>
        <w:t>2.1 Annual Performance Statement 2019–20</w:t>
      </w:r>
    </w:p>
    <w:p w:rsidR="008E273C" w:rsidRDefault="008E273C" w:rsidP="008E273C">
      <w:pPr>
        <w:pStyle w:val="Heading2"/>
      </w:pPr>
      <w:r>
        <w:t>Statement of preparation</w:t>
      </w:r>
    </w:p>
    <w:p w:rsidR="008E273C" w:rsidRDefault="008E273C" w:rsidP="008E273C">
      <w:pPr>
        <w:pStyle w:val="BodyText"/>
      </w:pPr>
      <w:r>
        <w:t xml:space="preserve">As the accountable authority of Services Australia, I present the 2019–20 annual performance statement of Services Australia, as required under paragraph 39(1)(a) of the </w:t>
      </w:r>
      <w:r>
        <w:rPr>
          <w:rStyle w:val="Italic"/>
        </w:rPr>
        <w:t>Public Governance, Performance and Accountability Act 2013</w:t>
      </w:r>
      <w:r>
        <w:t xml:space="preserve"> (PGPA Act). </w:t>
      </w:r>
    </w:p>
    <w:p w:rsidR="008E273C" w:rsidRDefault="008E273C" w:rsidP="008E273C">
      <w:pPr>
        <w:pStyle w:val="BodyText"/>
        <w:spacing w:after="120"/>
      </w:pPr>
      <w:r>
        <w:t>In my opinion, the 2019–20 annual performance statement is based on properly maintained records, accurately presents the performance of Services Australia, and complies with subsection 39(2) of the PGPA Act.</w:t>
      </w:r>
    </w:p>
    <w:p w:rsidR="003A5874" w:rsidRDefault="008E273C" w:rsidP="008E273C">
      <w:pPr>
        <w:pStyle w:val="BodyText"/>
        <w:spacing w:after="120"/>
      </w:pPr>
      <w:r>
        <w:t>Rebecca Skinner</w:t>
      </w:r>
    </w:p>
    <w:p w:rsidR="003A5874" w:rsidRDefault="008E273C" w:rsidP="008E273C">
      <w:pPr>
        <w:pStyle w:val="BodyText"/>
        <w:spacing w:after="120"/>
      </w:pPr>
      <w:r>
        <w:t>Chief Executive Officer</w:t>
      </w:r>
    </w:p>
    <w:p w:rsidR="008E273C" w:rsidRDefault="008E273C" w:rsidP="008E273C">
      <w:pPr>
        <w:pStyle w:val="BodyText"/>
        <w:spacing w:after="120"/>
      </w:pPr>
      <w:r>
        <w:t>Services Australia</w:t>
      </w:r>
    </w:p>
    <w:p w:rsidR="008E273C" w:rsidRDefault="008E273C" w:rsidP="008E273C">
      <w:pPr>
        <w:pStyle w:val="Heading2"/>
      </w:pPr>
      <w:r>
        <w:t>Services Australia’s purpose, outcome and programs</w:t>
      </w:r>
    </w:p>
    <w:p w:rsidR="008E273C" w:rsidRDefault="008E273C" w:rsidP="008E273C">
      <w:pPr>
        <w:pStyle w:val="BodyText"/>
      </w:pPr>
      <w:r>
        <w:t xml:space="preserve">The purpose stated in the </w:t>
      </w:r>
      <w:r>
        <w:rPr>
          <w:rFonts w:ascii="Roboto-Italic" w:hAnsi="Roboto-Italic" w:cs="Roboto-Italic"/>
          <w:i/>
          <w:iCs/>
        </w:rPr>
        <w:t>Services Australia 2019–20 Corporate Plan</w:t>
      </w:r>
      <w:r>
        <w:t xml:space="preserve"> was:</w:t>
      </w:r>
    </w:p>
    <w:p w:rsidR="008E273C" w:rsidRDefault="008E273C" w:rsidP="008E273C">
      <w:pPr>
        <w:pStyle w:val="BodyText"/>
        <w:ind w:left="283"/>
      </w:pPr>
      <w:r>
        <w:t>‘Delivering high-quality government services and payments to Australia’</w:t>
      </w:r>
    </w:p>
    <w:p w:rsidR="008E273C" w:rsidRDefault="008E273C" w:rsidP="00E42522">
      <w:pPr>
        <w:pStyle w:val="BodyText"/>
      </w:pPr>
      <w:r>
        <w:t xml:space="preserve">Following Machinery of Government changes announced by the Prime Minister in December 2019, Services Australia </w:t>
      </w:r>
      <w:r>
        <w:rPr>
          <w:rFonts w:ascii="Roboto-Bold" w:hAnsi="Roboto-Bold" w:cs="Roboto-Bold"/>
          <w:b/>
          <w:bCs/>
        </w:rPr>
        <w:t>Outcome 1</w:t>
      </w:r>
      <w:r>
        <w:t xml:space="preserve"> was updated in the Department of Social Services </w:t>
      </w:r>
      <w:r>
        <w:rPr>
          <w:rFonts w:ascii="Roboto-Italic" w:hAnsi="Roboto-Italic" w:cs="Roboto-Italic"/>
          <w:i/>
          <w:iCs/>
        </w:rPr>
        <w:t>Portfolio Additional Estimates Statements 201</w:t>
      </w:r>
      <w:r>
        <w:rPr>
          <w:rStyle w:val="NoBreak"/>
          <w:rFonts w:ascii="Roboto-Italic" w:hAnsi="Roboto-Italic" w:cs="Roboto-Italic"/>
          <w:i/>
          <w:iCs/>
        </w:rPr>
        <w:t>9–2</w:t>
      </w:r>
      <w:r>
        <w:rPr>
          <w:rFonts w:ascii="Roboto-Italic" w:hAnsi="Roboto-Italic" w:cs="Roboto-Italic"/>
          <w:i/>
          <w:iCs/>
        </w:rPr>
        <w:t>0</w:t>
      </w:r>
      <w:r>
        <w:t xml:space="preserve"> to remove the reference to policy advice:</w:t>
      </w:r>
    </w:p>
    <w:p w:rsidR="008E273C" w:rsidRDefault="008E273C" w:rsidP="008E273C">
      <w:pPr>
        <w:pStyle w:val="BodyText"/>
        <w:ind w:left="283"/>
      </w:pPr>
      <w:r>
        <w:t>‘Support individuals, families and communities to achieve greater se</w:t>
      </w:r>
      <w:r>
        <w:rPr>
          <w:rStyle w:val="NoBreak"/>
        </w:rPr>
        <w:t>lf-suff</w:t>
      </w:r>
      <w:r>
        <w:t>iciency; through the delivery of advice and high quality accessible social, health and child support services and other payments; and support providers and businesses through convenient and efficient service delivery.’</w:t>
      </w:r>
    </w:p>
    <w:p w:rsidR="008E273C" w:rsidRDefault="008E273C" w:rsidP="00E42522">
      <w:pPr>
        <w:pStyle w:val="BodyText"/>
      </w:pPr>
      <w:r>
        <w:t>To support this purpose, the agency is responsible for delivering thr</w:t>
      </w:r>
      <w:r>
        <w:rPr>
          <w:rStyle w:val="NoBreak"/>
        </w:rPr>
        <w:t>ee progra</w:t>
      </w:r>
      <w:r>
        <w:t>ms:</w:t>
      </w:r>
    </w:p>
    <w:p w:rsidR="008E273C" w:rsidRDefault="008E273C" w:rsidP="00E42522">
      <w:pPr>
        <w:pStyle w:val="ListBullet"/>
      </w:pPr>
      <w:r>
        <w:t>Program 1.1 Services to the Community—Social Security and Welfare</w:t>
      </w:r>
    </w:p>
    <w:p w:rsidR="008E273C" w:rsidRDefault="008E273C" w:rsidP="00E42522">
      <w:pPr>
        <w:pStyle w:val="ListBullet"/>
      </w:pPr>
      <w:r>
        <w:lastRenderedPageBreak/>
        <w:t>Program 1.2 Services to the Community—Health</w:t>
      </w:r>
    </w:p>
    <w:p w:rsidR="008E273C" w:rsidRDefault="008E273C" w:rsidP="00E42522">
      <w:pPr>
        <w:pStyle w:val="ListBullet"/>
      </w:pPr>
      <w:r>
        <w:t>Program 1.3 Child Support</w:t>
      </w:r>
    </w:p>
    <w:p w:rsidR="008E273C" w:rsidRDefault="008E273C" w:rsidP="008E273C">
      <w:pPr>
        <w:pStyle w:val="Heading2"/>
      </w:pPr>
      <w:r>
        <w:t xml:space="preserve">Analysis of performance against purpose </w:t>
      </w:r>
    </w:p>
    <w:p w:rsidR="008E273C" w:rsidRDefault="008E273C" w:rsidP="008E273C">
      <w:pPr>
        <w:pStyle w:val="BodyText"/>
      </w:pPr>
      <w:r>
        <w:t xml:space="preserve">In 2019–20 the agency met 22 of 30 annual performance measure targets, in comparison, the agency met 20 of 27 in 2018–19. </w:t>
      </w:r>
    </w:p>
    <w:p w:rsidR="008E273C" w:rsidRDefault="008E273C" w:rsidP="008E273C">
      <w:pPr>
        <w:pStyle w:val="BodyText"/>
      </w:pPr>
      <w:r>
        <w:t>To support the agency’s focus on improving service delivery by listening to ‘what matters to customers’, the agency introduced new performance measures relating to customer trust to each of its three programs in the Services Australia 2019–20 Corporate Plan. No set targets were established for the three new performance measures, as the agency was using 2019–20 t</w:t>
      </w:r>
      <w:r>
        <w:rPr>
          <w:rStyle w:val="NoBreak"/>
        </w:rPr>
        <w:t>o baseli</w:t>
      </w:r>
      <w:r>
        <w:t>ne.</w:t>
      </w:r>
    </w:p>
    <w:p w:rsidR="008E273C" w:rsidRDefault="008E273C" w:rsidP="008E273C">
      <w:pPr>
        <w:pStyle w:val="BodyText"/>
      </w:pPr>
      <w:r>
        <w:t>During 2019–20 there was an unprecedented demand placed on the agency’s services due to the bushfires and COVID-19 pandemic. To help manage this demand, approximately 12,000 additional staff were redeployed or trained at the peak to support COVID-19 related activities. This included internal redeployment within Services Australia, mobilisation of employees from across the Australian Public Service and employment of additional staff both directly and through our service delivery partners. These new staff contributed on a range of fronts including processing Jobseeker Payment claims, handling simple Medicare enquiries and processing child support payments. C</w:t>
      </w:r>
      <w:r>
        <w:rPr>
          <w:rStyle w:val="NoBreak"/>
        </w:rPr>
        <w:t>OVID-19 al</w:t>
      </w:r>
      <w:r>
        <w:t xml:space="preserve">so significantly increased demand on our online channel and </w:t>
      </w:r>
      <w:proofErr w:type="spellStart"/>
      <w:r>
        <w:t>myGov</w:t>
      </w:r>
      <w:proofErr w:type="spellEnd"/>
      <w:r>
        <w:t xml:space="preserve">. </w:t>
      </w:r>
      <w:r>
        <w:rPr>
          <w:rStyle w:val="NoBreak"/>
        </w:rPr>
        <w:t>As a</w:t>
      </w:r>
      <w:r>
        <w:t xml:space="preserve"> result, the agency introduced a new online identity verification in </w:t>
      </w:r>
      <w:proofErr w:type="spellStart"/>
      <w:r>
        <w:t>myGov</w:t>
      </w:r>
      <w:proofErr w:type="spellEnd"/>
      <w:r>
        <w:t xml:space="preserve"> resulting in fewer customers having to call the agency or visit a Service Centre. For more information, see</w:t>
      </w:r>
      <w:r>
        <w:rPr>
          <w:rStyle w:val="Italic"/>
        </w:rPr>
        <w:t xml:space="preserve"> Identity management</w:t>
      </w:r>
      <w:r>
        <w:t xml:space="preserve"> page 65.</w:t>
      </w:r>
    </w:p>
    <w:p w:rsidR="008E273C" w:rsidRDefault="008E273C" w:rsidP="008E273C">
      <w:pPr>
        <w:pStyle w:val="BodyText"/>
      </w:pPr>
      <w:r>
        <w:t xml:space="preserve">The agency’s response to the COVID-19 pandemic had a significant impact on the majority of performance measure results. The volume of work for many performance measures significantly increased, while demand in some areas reduced. For more information see </w:t>
      </w:r>
      <w:r>
        <w:rPr>
          <w:rFonts w:ascii="Roboto-Italic" w:hAnsi="Roboto-Italic" w:cs="Roboto-Italic"/>
          <w:i/>
          <w:iCs/>
        </w:rPr>
        <w:t>Responses to emergencies</w:t>
      </w:r>
      <w:r>
        <w:t xml:space="preserve"> on page 49, </w:t>
      </w:r>
      <w:r>
        <w:rPr>
          <w:rFonts w:ascii="Roboto-Italic" w:hAnsi="Roboto-Italic" w:cs="Roboto-Italic"/>
          <w:i/>
          <w:iCs/>
        </w:rPr>
        <w:t>COVID-19 pandemic</w:t>
      </w:r>
      <w:r>
        <w:t xml:space="preserve"> on page xv, </w:t>
      </w:r>
      <w:r>
        <w:rPr>
          <w:rFonts w:ascii="Roboto-Italic" w:hAnsi="Roboto-Italic" w:cs="Roboto-Italic"/>
          <w:i/>
          <w:iCs/>
        </w:rPr>
        <w:t>Social work services</w:t>
      </w:r>
      <w:r>
        <w:t xml:space="preserve"> on page 47, and </w:t>
      </w:r>
      <w:proofErr w:type="gramStart"/>
      <w:r>
        <w:rPr>
          <w:rFonts w:ascii="Roboto-Italic" w:hAnsi="Roboto-Italic" w:cs="Roboto-Italic"/>
          <w:i/>
          <w:iCs/>
        </w:rPr>
        <w:t>Improving</w:t>
      </w:r>
      <w:proofErr w:type="gramEnd"/>
      <w:r>
        <w:rPr>
          <w:rFonts w:ascii="Roboto-Italic" w:hAnsi="Roboto-Italic" w:cs="Roboto-Italic"/>
          <w:i/>
          <w:iCs/>
        </w:rPr>
        <w:t xml:space="preserve"> customer experiences</w:t>
      </w:r>
      <w:r>
        <w:t xml:space="preserve"> on page 4. </w:t>
      </w:r>
    </w:p>
    <w:p w:rsidR="008E273C" w:rsidRDefault="008E273C" w:rsidP="008E273C">
      <w:pPr>
        <w:pStyle w:val="BodyText"/>
      </w:pPr>
      <w:r>
        <w:t>Despite the challenges the agency faced during the year, the delivery of critical payments and services to Australians remained the focus. T</w:t>
      </w:r>
      <w:r>
        <w:rPr>
          <w:rStyle w:val="NoBreak"/>
        </w:rPr>
        <w:t>he strong performa</w:t>
      </w:r>
      <w:r>
        <w:t xml:space="preserve">nce of the three programs demonstrates that the agency met its purpose of </w:t>
      </w:r>
      <w:r>
        <w:rPr>
          <w:rFonts w:ascii="Roboto-Italic" w:hAnsi="Roboto-Italic" w:cs="Roboto-Italic"/>
          <w:i/>
          <w:iCs/>
        </w:rPr>
        <w:t>delivering high-quality government services and payments to Australia</w:t>
      </w:r>
      <w:r>
        <w:t xml:space="preserve">. </w:t>
      </w:r>
    </w:p>
    <w:p w:rsidR="008E273C" w:rsidRDefault="008E273C" w:rsidP="008E273C">
      <w:pPr>
        <w:pStyle w:val="Heading2"/>
      </w:pPr>
      <w:r>
        <w:t>Performance measure summary of results</w:t>
      </w:r>
    </w:p>
    <w:p w:rsidR="008E273C" w:rsidRDefault="008E273C" w:rsidP="008E273C">
      <w:pPr>
        <w:pStyle w:val="BodyText"/>
      </w:pPr>
      <w:r>
        <w:t>The table below provides a comparison of the number of annual performance measures targets that were met in 2018–19 and 2019–20.</w:t>
      </w:r>
    </w:p>
    <w:tbl>
      <w:tblPr>
        <w:tblStyle w:val="TableGrid"/>
        <w:tblW w:w="5000" w:type="pct"/>
        <w:tblLook w:val="0000" w:firstRow="0" w:lastRow="0" w:firstColumn="0" w:lastColumn="0" w:noHBand="0" w:noVBand="0"/>
        <w:tblCaption w:val="Comparison of the number of annual performance measures targets that were met in 2018–19 and 2019–20"/>
        <w:tblDescription w:val="Comparison of the number of annual performance measures targets that were met in 2018–19 and 2019–20"/>
      </w:tblPr>
      <w:tblGrid>
        <w:gridCol w:w="3695"/>
        <w:gridCol w:w="4410"/>
        <w:gridCol w:w="2991"/>
      </w:tblGrid>
      <w:tr w:rsidR="008E273C" w:rsidTr="003A5874">
        <w:trPr>
          <w:trHeight w:val="60"/>
          <w:tblHeader/>
        </w:trPr>
        <w:tc>
          <w:tcPr>
            <w:tcW w:w="1665" w:type="pct"/>
          </w:tcPr>
          <w:p w:rsidR="008E273C" w:rsidRPr="003A5874" w:rsidRDefault="008E273C" w:rsidP="003A5874">
            <w:pPr>
              <w:pStyle w:val="BodyText"/>
              <w:rPr>
                <w:b/>
              </w:rPr>
            </w:pPr>
          </w:p>
        </w:tc>
        <w:tc>
          <w:tcPr>
            <w:tcW w:w="1987" w:type="pct"/>
          </w:tcPr>
          <w:p w:rsidR="008E273C" w:rsidRPr="003A5874" w:rsidRDefault="008E273C" w:rsidP="003A5874">
            <w:pPr>
              <w:pStyle w:val="BodyText"/>
              <w:rPr>
                <w:b/>
              </w:rPr>
            </w:pPr>
            <w:r w:rsidRPr="003A5874">
              <w:rPr>
                <w:b/>
              </w:rPr>
              <w:t>2018–19</w:t>
            </w:r>
          </w:p>
        </w:tc>
        <w:tc>
          <w:tcPr>
            <w:tcW w:w="1349" w:type="pct"/>
          </w:tcPr>
          <w:p w:rsidR="008E273C" w:rsidRPr="003A5874" w:rsidRDefault="008E273C" w:rsidP="003A5874">
            <w:pPr>
              <w:pStyle w:val="BodyText"/>
              <w:rPr>
                <w:b/>
              </w:rPr>
            </w:pPr>
            <w:r w:rsidRPr="003A5874">
              <w:rPr>
                <w:b/>
              </w:rPr>
              <w:t>2019–20</w:t>
            </w:r>
          </w:p>
        </w:tc>
      </w:tr>
      <w:tr w:rsidR="008E273C" w:rsidTr="003A5874">
        <w:trPr>
          <w:trHeight w:val="60"/>
        </w:trPr>
        <w:tc>
          <w:tcPr>
            <w:tcW w:w="1665" w:type="pct"/>
          </w:tcPr>
          <w:p w:rsidR="008E273C" w:rsidRDefault="008E273C" w:rsidP="003A5874">
            <w:pPr>
              <w:pStyle w:val="BodyText"/>
            </w:pPr>
            <w:r>
              <w:t>Met</w:t>
            </w:r>
          </w:p>
        </w:tc>
        <w:tc>
          <w:tcPr>
            <w:tcW w:w="1987" w:type="pct"/>
          </w:tcPr>
          <w:p w:rsidR="008E273C" w:rsidRDefault="008E273C" w:rsidP="003A5874">
            <w:pPr>
              <w:pStyle w:val="BodyText"/>
            </w:pPr>
            <w:r>
              <w:t>20</w:t>
            </w:r>
          </w:p>
        </w:tc>
        <w:tc>
          <w:tcPr>
            <w:tcW w:w="1349" w:type="pct"/>
          </w:tcPr>
          <w:p w:rsidR="008E273C" w:rsidRDefault="008E273C" w:rsidP="003A5874">
            <w:pPr>
              <w:pStyle w:val="BodyText"/>
            </w:pPr>
            <w:r>
              <w:t>22</w:t>
            </w:r>
          </w:p>
        </w:tc>
      </w:tr>
      <w:tr w:rsidR="008E273C" w:rsidTr="003A5874">
        <w:trPr>
          <w:trHeight w:val="60"/>
        </w:trPr>
        <w:tc>
          <w:tcPr>
            <w:tcW w:w="1665" w:type="pct"/>
          </w:tcPr>
          <w:p w:rsidR="008E273C" w:rsidRDefault="008E273C" w:rsidP="003A5874">
            <w:pPr>
              <w:pStyle w:val="BodyText"/>
            </w:pPr>
            <w:r>
              <w:t>Not met</w:t>
            </w:r>
          </w:p>
        </w:tc>
        <w:tc>
          <w:tcPr>
            <w:tcW w:w="1987" w:type="pct"/>
          </w:tcPr>
          <w:p w:rsidR="008E273C" w:rsidRDefault="008E273C" w:rsidP="003A5874">
            <w:pPr>
              <w:pStyle w:val="BodyText"/>
            </w:pPr>
            <w:r>
              <w:t>7</w:t>
            </w:r>
          </w:p>
        </w:tc>
        <w:tc>
          <w:tcPr>
            <w:tcW w:w="1349" w:type="pct"/>
          </w:tcPr>
          <w:p w:rsidR="008E273C" w:rsidRDefault="008E273C" w:rsidP="003A5874">
            <w:pPr>
              <w:pStyle w:val="BodyText"/>
            </w:pPr>
            <w:r>
              <w:t>5</w:t>
            </w:r>
          </w:p>
        </w:tc>
      </w:tr>
      <w:tr w:rsidR="008E273C" w:rsidTr="003A5874">
        <w:trPr>
          <w:trHeight w:val="60"/>
        </w:trPr>
        <w:tc>
          <w:tcPr>
            <w:tcW w:w="1665" w:type="pct"/>
          </w:tcPr>
          <w:p w:rsidR="008E273C" w:rsidRDefault="008E273C" w:rsidP="003A5874">
            <w:pPr>
              <w:pStyle w:val="BodyText"/>
            </w:pPr>
            <w:r>
              <w:t>No target</w:t>
            </w:r>
            <w:r>
              <w:rPr>
                <w:vertAlign w:val="superscript"/>
              </w:rPr>
              <w:t>(a)</w:t>
            </w:r>
          </w:p>
        </w:tc>
        <w:tc>
          <w:tcPr>
            <w:tcW w:w="1987" w:type="pct"/>
          </w:tcPr>
          <w:p w:rsidR="008E273C" w:rsidRDefault="008E273C" w:rsidP="003A5874">
            <w:pPr>
              <w:pStyle w:val="BodyText"/>
            </w:pPr>
            <w:r>
              <w:t>0</w:t>
            </w:r>
          </w:p>
        </w:tc>
        <w:tc>
          <w:tcPr>
            <w:tcW w:w="1349" w:type="pct"/>
          </w:tcPr>
          <w:p w:rsidR="008E273C" w:rsidRDefault="008E273C" w:rsidP="003A5874">
            <w:pPr>
              <w:pStyle w:val="BodyText"/>
            </w:pPr>
            <w:r>
              <w:t>3</w:t>
            </w:r>
          </w:p>
        </w:tc>
      </w:tr>
      <w:tr w:rsidR="008E273C" w:rsidTr="003A5874">
        <w:trPr>
          <w:trHeight w:val="60"/>
        </w:trPr>
        <w:tc>
          <w:tcPr>
            <w:tcW w:w="1665" w:type="pct"/>
          </w:tcPr>
          <w:p w:rsidR="008E273C" w:rsidRDefault="008E273C" w:rsidP="00AC4959">
            <w:pPr>
              <w:pStyle w:val="BodyText"/>
            </w:pPr>
            <w:r>
              <w:rPr>
                <w:rStyle w:val="Bold"/>
              </w:rPr>
              <w:t>Total</w:t>
            </w:r>
          </w:p>
        </w:tc>
        <w:tc>
          <w:tcPr>
            <w:tcW w:w="1987" w:type="pct"/>
          </w:tcPr>
          <w:p w:rsidR="008E273C" w:rsidRDefault="008E273C" w:rsidP="00AC4959">
            <w:pPr>
              <w:pStyle w:val="BodyText"/>
            </w:pPr>
            <w:r>
              <w:rPr>
                <w:rStyle w:val="Bold"/>
              </w:rPr>
              <w:t>27</w:t>
            </w:r>
          </w:p>
        </w:tc>
        <w:tc>
          <w:tcPr>
            <w:tcW w:w="1349" w:type="pct"/>
          </w:tcPr>
          <w:p w:rsidR="008E273C" w:rsidRDefault="008E273C" w:rsidP="00AC4959">
            <w:pPr>
              <w:pStyle w:val="BodyText"/>
            </w:pPr>
            <w:r>
              <w:rPr>
                <w:rStyle w:val="Bold"/>
              </w:rPr>
              <w:t>30</w:t>
            </w:r>
          </w:p>
        </w:tc>
      </w:tr>
    </w:tbl>
    <w:p w:rsidR="008E273C" w:rsidRDefault="008E273C" w:rsidP="003A5874">
      <w:pPr>
        <w:pStyle w:val="BodyText"/>
      </w:pPr>
      <w:r>
        <w:lastRenderedPageBreak/>
        <w:t>(a)</w:t>
      </w:r>
      <w:r w:rsidR="003A5874">
        <w:t xml:space="preserve"> </w:t>
      </w:r>
      <w:r>
        <w:t xml:space="preserve">Three customer trust measures introduced in 2019–20, with no set target to report against. </w:t>
      </w:r>
    </w:p>
    <w:p w:rsidR="008E273C" w:rsidRDefault="008E273C" w:rsidP="00E42522">
      <w:pPr>
        <w:pStyle w:val="BodyText"/>
      </w:pPr>
      <w:r>
        <w:t>The table below provides a comparison of year-to-year changes to performance measure results.</w:t>
      </w:r>
    </w:p>
    <w:tbl>
      <w:tblPr>
        <w:tblStyle w:val="TableGrid"/>
        <w:tblW w:w="5000" w:type="pct"/>
        <w:tblLook w:val="0000" w:firstRow="0" w:lastRow="0" w:firstColumn="0" w:lastColumn="0" w:noHBand="0" w:noVBand="0"/>
        <w:tblCaption w:val="Comparison of year-to-year changes to performance measure results"/>
        <w:tblDescription w:val="Comparison of year-to-year changes to performance measure results"/>
      </w:tblPr>
      <w:tblGrid>
        <w:gridCol w:w="3196"/>
        <w:gridCol w:w="4995"/>
        <w:gridCol w:w="2905"/>
      </w:tblGrid>
      <w:tr w:rsidR="008E273C" w:rsidTr="003A5874">
        <w:trPr>
          <w:trHeight w:val="60"/>
          <w:tblHeader/>
        </w:trPr>
        <w:tc>
          <w:tcPr>
            <w:tcW w:w="1440" w:type="pct"/>
          </w:tcPr>
          <w:p w:rsidR="008E273C" w:rsidRPr="003A5874" w:rsidRDefault="008E273C" w:rsidP="003A5874">
            <w:pPr>
              <w:pStyle w:val="BodyText"/>
              <w:rPr>
                <w:b/>
              </w:rPr>
            </w:pPr>
          </w:p>
        </w:tc>
        <w:tc>
          <w:tcPr>
            <w:tcW w:w="2251" w:type="pct"/>
          </w:tcPr>
          <w:p w:rsidR="008E273C" w:rsidRPr="003A5874" w:rsidRDefault="008E273C" w:rsidP="003A5874">
            <w:pPr>
              <w:pStyle w:val="BodyText"/>
              <w:rPr>
                <w:b/>
              </w:rPr>
            </w:pPr>
            <w:r w:rsidRPr="003A5874">
              <w:rPr>
                <w:b/>
              </w:rPr>
              <w:t>2018–19</w:t>
            </w:r>
          </w:p>
        </w:tc>
        <w:tc>
          <w:tcPr>
            <w:tcW w:w="1309" w:type="pct"/>
          </w:tcPr>
          <w:p w:rsidR="008E273C" w:rsidRPr="003A5874" w:rsidRDefault="008E273C" w:rsidP="003A5874">
            <w:pPr>
              <w:pStyle w:val="BodyText"/>
              <w:rPr>
                <w:b/>
              </w:rPr>
            </w:pPr>
            <w:r w:rsidRPr="003A5874">
              <w:rPr>
                <w:b/>
              </w:rPr>
              <w:t>2019–20</w:t>
            </w:r>
          </w:p>
        </w:tc>
      </w:tr>
      <w:tr w:rsidR="008E273C" w:rsidTr="003A5874">
        <w:trPr>
          <w:trHeight w:val="60"/>
        </w:trPr>
        <w:tc>
          <w:tcPr>
            <w:tcW w:w="1440" w:type="pct"/>
          </w:tcPr>
          <w:p w:rsidR="008E273C" w:rsidRDefault="008E273C" w:rsidP="003A5874">
            <w:pPr>
              <w:pStyle w:val="BodyText"/>
            </w:pPr>
            <w:r>
              <w:t>Improved</w:t>
            </w:r>
          </w:p>
        </w:tc>
        <w:tc>
          <w:tcPr>
            <w:tcW w:w="2251" w:type="pct"/>
          </w:tcPr>
          <w:p w:rsidR="008E273C" w:rsidRDefault="008E273C" w:rsidP="003A5874">
            <w:pPr>
              <w:pStyle w:val="BodyText"/>
            </w:pPr>
            <w:r>
              <w:t>12</w:t>
            </w:r>
          </w:p>
        </w:tc>
        <w:tc>
          <w:tcPr>
            <w:tcW w:w="1309" w:type="pct"/>
          </w:tcPr>
          <w:p w:rsidR="008E273C" w:rsidRDefault="008E273C" w:rsidP="003A5874">
            <w:pPr>
              <w:pStyle w:val="BodyText"/>
            </w:pPr>
            <w:r>
              <w:t>18</w:t>
            </w:r>
          </w:p>
        </w:tc>
      </w:tr>
      <w:tr w:rsidR="008E273C" w:rsidTr="003A5874">
        <w:trPr>
          <w:trHeight w:val="60"/>
        </w:trPr>
        <w:tc>
          <w:tcPr>
            <w:tcW w:w="1440" w:type="pct"/>
          </w:tcPr>
          <w:p w:rsidR="008E273C" w:rsidRDefault="008E273C" w:rsidP="003A5874">
            <w:pPr>
              <w:pStyle w:val="BodyText"/>
            </w:pPr>
            <w:r>
              <w:t>Similar/no change</w:t>
            </w:r>
          </w:p>
        </w:tc>
        <w:tc>
          <w:tcPr>
            <w:tcW w:w="2251" w:type="pct"/>
          </w:tcPr>
          <w:p w:rsidR="008E273C" w:rsidRDefault="008E273C" w:rsidP="003A5874">
            <w:pPr>
              <w:pStyle w:val="BodyText"/>
            </w:pPr>
            <w:r>
              <w:t>8</w:t>
            </w:r>
          </w:p>
        </w:tc>
        <w:tc>
          <w:tcPr>
            <w:tcW w:w="1309" w:type="pct"/>
          </w:tcPr>
          <w:p w:rsidR="008E273C" w:rsidRDefault="008E273C" w:rsidP="003A5874">
            <w:pPr>
              <w:pStyle w:val="BodyText"/>
            </w:pPr>
            <w:r>
              <w:t>2</w:t>
            </w:r>
          </w:p>
        </w:tc>
      </w:tr>
      <w:tr w:rsidR="008E273C" w:rsidTr="003A5874">
        <w:trPr>
          <w:trHeight w:val="60"/>
        </w:trPr>
        <w:tc>
          <w:tcPr>
            <w:tcW w:w="1440" w:type="pct"/>
          </w:tcPr>
          <w:p w:rsidR="008E273C" w:rsidRDefault="008E273C" w:rsidP="003A5874">
            <w:pPr>
              <w:pStyle w:val="BodyText"/>
            </w:pPr>
            <w:r>
              <w:t>Declined</w:t>
            </w:r>
          </w:p>
        </w:tc>
        <w:tc>
          <w:tcPr>
            <w:tcW w:w="2251" w:type="pct"/>
          </w:tcPr>
          <w:p w:rsidR="008E273C" w:rsidRDefault="008E273C" w:rsidP="003A5874">
            <w:pPr>
              <w:pStyle w:val="BodyText"/>
            </w:pPr>
            <w:r>
              <w:t>5</w:t>
            </w:r>
          </w:p>
        </w:tc>
        <w:tc>
          <w:tcPr>
            <w:tcW w:w="1309" w:type="pct"/>
          </w:tcPr>
          <w:p w:rsidR="008E273C" w:rsidRDefault="008E273C" w:rsidP="003A5874">
            <w:pPr>
              <w:pStyle w:val="BodyText"/>
            </w:pPr>
            <w:r>
              <w:t>7</w:t>
            </w:r>
          </w:p>
        </w:tc>
      </w:tr>
      <w:tr w:rsidR="008E273C" w:rsidTr="003A5874">
        <w:trPr>
          <w:trHeight w:val="60"/>
        </w:trPr>
        <w:tc>
          <w:tcPr>
            <w:tcW w:w="1440" w:type="pct"/>
          </w:tcPr>
          <w:p w:rsidR="008E273C" w:rsidRDefault="008E273C" w:rsidP="003A5874">
            <w:pPr>
              <w:pStyle w:val="BodyText"/>
            </w:pPr>
            <w:r>
              <w:t>No target</w:t>
            </w:r>
          </w:p>
        </w:tc>
        <w:tc>
          <w:tcPr>
            <w:tcW w:w="2251" w:type="pct"/>
          </w:tcPr>
          <w:p w:rsidR="008E273C" w:rsidRDefault="008E273C" w:rsidP="003A5874">
            <w:pPr>
              <w:pStyle w:val="BodyText"/>
            </w:pPr>
            <w:r>
              <w:t>0</w:t>
            </w:r>
          </w:p>
        </w:tc>
        <w:tc>
          <w:tcPr>
            <w:tcW w:w="1309" w:type="pct"/>
          </w:tcPr>
          <w:p w:rsidR="008E273C" w:rsidRDefault="008E273C" w:rsidP="003A5874">
            <w:pPr>
              <w:pStyle w:val="BodyText"/>
            </w:pPr>
            <w:r>
              <w:t>3</w:t>
            </w:r>
          </w:p>
        </w:tc>
      </w:tr>
      <w:tr w:rsidR="008E273C" w:rsidTr="003A5874">
        <w:trPr>
          <w:trHeight w:val="60"/>
        </w:trPr>
        <w:tc>
          <w:tcPr>
            <w:tcW w:w="1440" w:type="pct"/>
          </w:tcPr>
          <w:p w:rsidR="008E273C" w:rsidRDefault="008E273C" w:rsidP="00AC4959">
            <w:pPr>
              <w:pStyle w:val="BodyText"/>
            </w:pPr>
            <w:r>
              <w:rPr>
                <w:rStyle w:val="Bold"/>
              </w:rPr>
              <w:t>Total</w:t>
            </w:r>
          </w:p>
        </w:tc>
        <w:tc>
          <w:tcPr>
            <w:tcW w:w="2251" w:type="pct"/>
          </w:tcPr>
          <w:p w:rsidR="008E273C" w:rsidRDefault="008E273C" w:rsidP="00AC4959">
            <w:pPr>
              <w:pStyle w:val="BodyText"/>
            </w:pPr>
            <w:r>
              <w:rPr>
                <w:rStyle w:val="Bold"/>
              </w:rPr>
              <w:t>27</w:t>
            </w:r>
          </w:p>
        </w:tc>
        <w:tc>
          <w:tcPr>
            <w:tcW w:w="1309" w:type="pct"/>
          </w:tcPr>
          <w:p w:rsidR="008E273C" w:rsidRDefault="008E273C" w:rsidP="00AC4959">
            <w:pPr>
              <w:pStyle w:val="BodyText"/>
            </w:pPr>
            <w:r>
              <w:rPr>
                <w:rStyle w:val="Bold"/>
              </w:rPr>
              <w:t>30</w:t>
            </w:r>
          </w:p>
        </w:tc>
      </w:tr>
    </w:tbl>
    <w:p w:rsidR="008E273C" w:rsidRDefault="008E273C" w:rsidP="008E273C">
      <w:pPr>
        <w:pStyle w:val="Heading3"/>
      </w:pPr>
      <w:r>
        <w:t>Program 1.1 Services to the Community—Social Security and Welfare</w:t>
      </w:r>
    </w:p>
    <w:tbl>
      <w:tblPr>
        <w:tblStyle w:val="TableGrid"/>
        <w:tblW w:w="5000" w:type="pct"/>
        <w:tblLook w:val="0000" w:firstRow="0" w:lastRow="0" w:firstColumn="0" w:lastColumn="0" w:noHBand="0" w:noVBand="0"/>
        <w:tblCaption w:val="Program 1.1 Services to the Community—Social Security and Welfare"/>
        <w:tblDescription w:val="Program 1.1 Services to the Community—Social Security and Welfare"/>
      </w:tblPr>
      <w:tblGrid>
        <w:gridCol w:w="9784"/>
        <w:gridCol w:w="1312"/>
      </w:tblGrid>
      <w:tr w:rsidR="008E273C" w:rsidTr="006F14D2">
        <w:trPr>
          <w:trHeight w:val="60"/>
          <w:tblHeader/>
        </w:trPr>
        <w:tc>
          <w:tcPr>
            <w:tcW w:w="4409" w:type="pct"/>
          </w:tcPr>
          <w:p w:rsidR="008E273C" w:rsidRPr="006F14D2" w:rsidRDefault="008E273C" w:rsidP="006F14D2">
            <w:pPr>
              <w:pStyle w:val="BodyText"/>
              <w:rPr>
                <w:b/>
              </w:rPr>
            </w:pPr>
            <w:r w:rsidRPr="006F14D2">
              <w:rPr>
                <w:b/>
              </w:rPr>
              <w:t>Performance measure</w:t>
            </w:r>
          </w:p>
        </w:tc>
        <w:tc>
          <w:tcPr>
            <w:tcW w:w="591" w:type="pct"/>
          </w:tcPr>
          <w:p w:rsidR="008E273C" w:rsidRPr="006F14D2" w:rsidRDefault="008E273C" w:rsidP="006F14D2">
            <w:pPr>
              <w:pStyle w:val="BodyText"/>
              <w:rPr>
                <w:b/>
              </w:rPr>
            </w:pPr>
            <w:r w:rsidRPr="006F14D2">
              <w:rPr>
                <w:b/>
              </w:rPr>
              <w:t>Met</w:t>
            </w:r>
          </w:p>
        </w:tc>
      </w:tr>
      <w:tr w:rsidR="008E273C" w:rsidTr="006F14D2">
        <w:trPr>
          <w:trHeight w:val="60"/>
        </w:trPr>
        <w:tc>
          <w:tcPr>
            <w:tcW w:w="4409" w:type="pct"/>
          </w:tcPr>
          <w:p w:rsidR="008E273C" w:rsidRDefault="008E273C" w:rsidP="006F14D2">
            <w:pPr>
              <w:pStyle w:val="ListNumber"/>
            </w:pPr>
            <w:r>
              <w:t>Customer satisfaction: Achievement of customer satisfaction standards</w:t>
            </w:r>
          </w:p>
        </w:tc>
        <w:tc>
          <w:tcPr>
            <w:tcW w:w="591" w:type="pct"/>
          </w:tcPr>
          <w:p w:rsidR="008E273C" w:rsidRPr="00B27DB9" w:rsidRDefault="00B27DB9" w:rsidP="00B27DB9">
            <w:pPr>
              <w:pStyle w:val="BodyText"/>
              <w:rPr>
                <w:rFonts w:cs="Arial"/>
              </w:rPr>
            </w:pPr>
            <w:r w:rsidRPr="00B27DB9">
              <w:rPr>
                <w:rFonts w:cs="Arial"/>
                <w:rtl/>
              </w:rPr>
              <w:t>No</w:t>
            </w:r>
          </w:p>
        </w:tc>
      </w:tr>
      <w:tr w:rsidR="008E273C" w:rsidTr="006F14D2">
        <w:trPr>
          <w:trHeight w:val="60"/>
        </w:trPr>
        <w:tc>
          <w:tcPr>
            <w:tcW w:w="4409" w:type="pct"/>
          </w:tcPr>
          <w:p w:rsidR="008E273C" w:rsidRDefault="008E273C" w:rsidP="006F14D2">
            <w:pPr>
              <w:pStyle w:val="ListNumber"/>
            </w:pPr>
            <w:r>
              <w:t>Customer satisfaction: Trust: customers are confident in the integrity of the advice provided to them</w:t>
            </w:r>
          </w:p>
        </w:tc>
        <w:tc>
          <w:tcPr>
            <w:tcW w:w="591" w:type="pct"/>
          </w:tcPr>
          <w:p w:rsidR="008E273C" w:rsidRPr="00B27DB9" w:rsidRDefault="008E273C" w:rsidP="00B27DB9">
            <w:pPr>
              <w:pStyle w:val="BodyText"/>
              <w:rPr>
                <w:rFonts w:cs="Arial"/>
              </w:rPr>
            </w:pPr>
            <w:r w:rsidRPr="00B27DB9">
              <w:rPr>
                <w:rFonts w:cs="Arial"/>
              </w:rPr>
              <w:t>–</w:t>
            </w:r>
          </w:p>
        </w:tc>
      </w:tr>
      <w:tr w:rsidR="008E273C" w:rsidTr="006F14D2">
        <w:trPr>
          <w:trHeight w:val="60"/>
        </w:trPr>
        <w:tc>
          <w:tcPr>
            <w:tcW w:w="4409" w:type="pct"/>
          </w:tcPr>
          <w:p w:rsidR="008E273C" w:rsidRDefault="008E273C" w:rsidP="006F14D2">
            <w:pPr>
              <w:pStyle w:val="ListNumber"/>
            </w:pPr>
            <w:r>
              <w:t>Achievement of digital service level standards: Departmental interactions completed through digital channels</w:t>
            </w:r>
          </w:p>
        </w:tc>
        <w:tc>
          <w:tcPr>
            <w:tcW w:w="591" w:type="pct"/>
          </w:tcPr>
          <w:p w:rsidR="008E273C" w:rsidRPr="00B27DB9" w:rsidRDefault="00B27DB9" w:rsidP="00B27DB9">
            <w:pPr>
              <w:pStyle w:val="BodyText"/>
              <w:rPr>
                <w:rFonts w:cs="Arial"/>
              </w:rPr>
            </w:pPr>
            <w:r w:rsidRPr="00B27DB9">
              <w:rPr>
                <w:rFonts w:cs="Arial"/>
              </w:rPr>
              <w:t>Yes</w:t>
            </w:r>
          </w:p>
        </w:tc>
      </w:tr>
      <w:tr w:rsidR="008E273C" w:rsidTr="006F14D2">
        <w:trPr>
          <w:trHeight w:val="60"/>
        </w:trPr>
        <w:tc>
          <w:tcPr>
            <w:tcW w:w="4409" w:type="pct"/>
          </w:tcPr>
          <w:p w:rsidR="008E273C" w:rsidRDefault="008E273C" w:rsidP="006F14D2">
            <w:pPr>
              <w:pStyle w:val="ListNumber"/>
            </w:pPr>
            <w:r>
              <w:t>Achievement of digital service level standards: Availability of ICT services excluding scheduled maintenance periods that support 24/7 customer access</w:t>
            </w:r>
          </w:p>
        </w:tc>
        <w:tc>
          <w:tcPr>
            <w:tcW w:w="591" w:type="pct"/>
          </w:tcPr>
          <w:p w:rsidR="008E273C" w:rsidRPr="00B27DB9" w:rsidRDefault="00B27DB9" w:rsidP="00B27DB9">
            <w:pPr>
              <w:pStyle w:val="BodyText"/>
              <w:rPr>
                <w:rFonts w:cs="Arial"/>
              </w:rPr>
            </w:pPr>
            <w:r w:rsidRPr="00B27DB9">
              <w:rPr>
                <w:rFonts w:cs="Arial"/>
              </w:rPr>
              <w:t>Yes</w:t>
            </w:r>
          </w:p>
        </w:tc>
      </w:tr>
      <w:tr w:rsidR="008E273C" w:rsidTr="006F14D2">
        <w:trPr>
          <w:trHeight w:val="60"/>
        </w:trPr>
        <w:tc>
          <w:tcPr>
            <w:tcW w:w="4409" w:type="pct"/>
          </w:tcPr>
          <w:p w:rsidR="008E273C" w:rsidRDefault="008E273C" w:rsidP="006F14D2">
            <w:pPr>
              <w:pStyle w:val="ListNumber"/>
            </w:pPr>
            <w:r>
              <w:t>Achievement of payment quality standards: Centrelink: Delivery of correct customer payments</w:t>
            </w:r>
          </w:p>
        </w:tc>
        <w:tc>
          <w:tcPr>
            <w:tcW w:w="591" w:type="pct"/>
          </w:tcPr>
          <w:p w:rsidR="008E273C" w:rsidRPr="00B27DB9" w:rsidRDefault="00B27DB9" w:rsidP="00B27DB9">
            <w:pPr>
              <w:pStyle w:val="BodyText"/>
              <w:rPr>
                <w:rFonts w:cs="Arial"/>
              </w:rPr>
            </w:pPr>
            <w:r w:rsidRPr="00B27DB9">
              <w:rPr>
                <w:rFonts w:cs="Arial"/>
              </w:rPr>
              <w:t>Yes</w:t>
            </w:r>
          </w:p>
        </w:tc>
      </w:tr>
      <w:tr w:rsidR="008E273C" w:rsidTr="006F14D2">
        <w:trPr>
          <w:trHeight w:val="60"/>
        </w:trPr>
        <w:tc>
          <w:tcPr>
            <w:tcW w:w="4409" w:type="pct"/>
          </w:tcPr>
          <w:p w:rsidR="008E273C" w:rsidRDefault="008E273C" w:rsidP="006F14D2">
            <w:pPr>
              <w:pStyle w:val="ListNumber"/>
            </w:pPr>
            <w:r>
              <w:t>Achievement of face-to-face service level standards: Average wait time</w:t>
            </w:r>
          </w:p>
        </w:tc>
        <w:tc>
          <w:tcPr>
            <w:tcW w:w="591" w:type="pct"/>
          </w:tcPr>
          <w:p w:rsidR="008E273C" w:rsidRPr="00B27DB9" w:rsidRDefault="00B27DB9" w:rsidP="00B27DB9">
            <w:pPr>
              <w:pStyle w:val="BodyText"/>
              <w:rPr>
                <w:rFonts w:cs="Arial"/>
              </w:rPr>
            </w:pPr>
            <w:r w:rsidRPr="00B27DB9">
              <w:rPr>
                <w:rFonts w:cs="Arial"/>
              </w:rPr>
              <w:t>Yes</w:t>
            </w:r>
          </w:p>
        </w:tc>
      </w:tr>
      <w:tr w:rsidR="008E273C" w:rsidTr="006F14D2">
        <w:trPr>
          <w:trHeight w:val="60"/>
        </w:trPr>
        <w:tc>
          <w:tcPr>
            <w:tcW w:w="4409" w:type="pct"/>
          </w:tcPr>
          <w:p w:rsidR="008E273C" w:rsidRDefault="008E273C" w:rsidP="006F14D2">
            <w:pPr>
              <w:pStyle w:val="ListNumber"/>
            </w:pPr>
            <w:r>
              <w:t>Achievement of telephony service level standards: Average speed of answer</w:t>
            </w:r>
          </w:p>
        </w:tc>
        <w:tc>
          <w:tcPr>
            <w:tcW w:w="591" w:type="pct"/>
          </w:tcPr>
          <w:p w:rsidR="008E273C" w:rsidRPr="00B27DB9" w:rsidRDefault="00B27DB9" w:rsidP="00B27DB9">
            <w:pPr>
              <w:pStyle w:val="BodyText"/>
              <w:rPr>
                <w:rFonts w:cs="Arial"/>
              </w:rPr>
            </w:pPr>
            <w:r w:rsidRPr="00B27DB9">
              <w:rPr>
                <w:rFonts w:cs="Arial"/>
              </w:rPr>
              <w:t>Yes</w:t>
            </w:r>
          </w:p>
        </w:tc>
      </w:tr>
      <w:tr w:rsidR="008E273C" w:rsidTr="006F14D2">
        <w:trPr>
          <w:trHeight w:val="60"/>
        </w:trPr>
        <w:tc>
          <w:tcPr>
            <w:tcW w:w="4409" w:type="pct"/>
          </w:tcPr>
          <w:p w:rsidR="008E273C" w:rsidRDefault="008E273C" w:rsidP="006F14D2">
            <w:pPr>
              <w:pStyle w:val="ListNumber"/>
            </w:pPr>
            <w:r>
              <w:t>Achievement of processing service level standards: Claims processed within standard</w:t>
            </w:r>
          </w:p>
        </w:tc>
        <w:tc>
          <w:tcPr>
            <w:tcW w:w="591" w:type="pct"/>
          </w:tcPr>
          <w:p w:rsidR="008E273C" w:rsidRPr="00B27DB9" w:rsidRDefault="00B27DB9" w:rsidP="00B27DB9">
            <w:pPr>
              <w:pStyle w:val="BodyText"/>
              <w:rPr>
                <w:rFonts w:cs="Arial"/>
              </w:rPr>
            </w:pPr>
            <w:r w:rsidRPr="00B27DB9">
              <w:rPr>
                <w:rFonts w:cs="Arial"/>
                <w:rtl/>
              </w:rPr>
              <w:t>No</w:t>
            </w:r>
          </w:p>
        </w:tc>
      </w:tr>
      <w:tr w:rsidR="008E273C" w:rsidTr="006F14D2">
        <w:trPr>
          <w:trHeight w:val="60"/>
        </w:trPr>
        <w:tc>
          <w:tcPr>
            <w:tcW w:w="4409" w:type="pct"/>
          </w:tcPr>
          <w:p w:rsidR="008E273C" w:rsidRDefault="008E273C" w:rsidP="006F14D2">
            <w:pPr>
              <w:pStyle w:val="ListNumber"/>
            </w:pPr>
            <w:r>
              <w:t>Internal reviews: Percentage of decision reviews requested by Centrelink customers finalised within standard</w:t>
            </w:r>
          </w:p>
        </w:tc>
        <w:tc>
          <w:tcPr>
            <w:tcW w:w="591" w:type="pct"/>
          </w:tcPr>
          <w:p w:rsidR="008E273C" w:rsidRPr="00B27DB9" w:rsidRDefault="00B27DB9" w:rsidP="00B27DB9">
            <w:pPr>
              <w:pStyle w:val="BodyText"/>
              <w:rPr>
                <w:rFonts w:cs="Arial"/>
              </w:rPr>
            </w:pPr>
            <w:r w:rsidRPr="00B27DB9">
              <w:rPr>
                <w:rFonts w:cs="Arial"/>
              </w:rPr>
              <w:t>Yes</w:t>
            </w:r>
          </w:p>
        </w:tc>
      </w:tr>
      <w:tr w:rsidR="008E273C" w:rsidTr="006F14D2">
        <w:trPr>
          <w:trHeight w:val="337"/>
        </w:trPr>
        <w:tc>
          <w:tcPr>
            <w:tcW w:w="4409" w:type="pct"/>
          </w:tcPr>
          <w:p w:rsidR="008E273C" w:rsidRDefault="008E273C" w:rsidP="006F14D2">
            <w:pPr>
              <w:pStyle w:val="ListNumber"/>
            </w:pPr>
            <w:r>
              <w:tab/>
              <w:t>Achievement of payment integrity standards: Centrelink: Debt under recovery</w:t>
            </w:r>
          </w:p>
        </w:tc>
        <w:tc>
          <w:tcPr>
            <w:tcW w:w="591" w:type="pct"/>
          </w:tcPr>
          <w:p w:rsidR="008E273C" w:rsidRPr="00B27DB9" w:rsidRDefault="00B27DB9" w:rsidP="00B27DB9">
            <w:pPr>
              <w:pStyle w:val="BodyText"/>
              <w:rPr>
                <w:rFonts w:cs="Arial"/>
              </w:rPr>
            </w:pPr>
            <w:r w:rsidRPr="00B27DB9">
              <w:rPr>
                <w:rFonts w:cs="Arial"/>
              </w:rPr>
              <w:t>Yes</w:t>
            </w:r>
          </w:p>
        </w:tc>
      </w:tr>
    </w:tbl>
    <w:p w:rsidR="008E273C" w:rsidRDefault="008E273C" w:rsidP="008E273C">
      <w:pPr>
        <w:pStyle w:val="BodyText"/>
        <w:rPr>
          <w:sz w:val="22"/>
          <w:szCs w:val="22"/>
        </w:rPr>
      </w:pPr>
      <w:r>
        <w:rPr>
          <w:sz w:val="22"/>
          <w:szCs w:val="22"/>
        </w:rPr>
        <w:t xml:space="preserve">The agency met 7 of 10 Social Security and Welfare performance measures in 2019–20, noting, there was no set target for the Trust performance measure. </w:t>
      </w:r>
    </w:p>
    <w:p w:rsidR="008E273C" w:rsidRDefault="008E273C" w:rsidP="008E273C">
      <w:pPr>
        <w:pStyle w:val="BodyText"/>
        <w:rPr>
          <w:spacing w:val="-5"/>
        </w:rPr>
      </w:pPr>
      <w:r>
        <w:rPr>
          <w:spacing w:val="-2"/>
        </w:rPr>
        <w:lastRenderedPageBreak/>
        <w:t xml:space="preserve">The program achieved consistent results against its service level standards for its face-to-face, telephony and digital servicing channels—even though demand was unprecedented due to the COVID-19 pandemic. For example, in 2019–20 the </w:t>
      </w:r>
      <w:r>
        <w:t xml:space="preserve">agency successfully answered more than 17.3 million phone calls, 12.3 million visits to Service Centres and administered approximately $137.2 billion in </w:t>
      </w:r>
      <w:r>
        <w:rPr>
          <w:spacing w:val="-2"/>
        </w:rPr>
        <w:t xml:space="preserve">payments, and interactions completed digitally grew by 31 per cent. This compares with </w:t>
      </w:r>
      <w:r>
        <w:rPr>
          <w:spacing w:val="-4"/>
        </w:rPr>
        <w:t xml:space="preserve">around 16.2 million answered phone calls, 13.7 million visits to Service Centres and </w:t>
      </w:r>
      <w:r>
        <w:rPr>
          <w:spacing w:val="-5"/>
        </w:rPr>
        <w:t>$120.2 billion in payments, and an 11.4 per cent increase in digital interactions in 2018–19.</w:t>
      </w:r>
    </w:p>
    <w:p w:rsidR="008E273C" w:rsidRDefault="008E273C" w:rsidP="008E273C">
      <w:pPr>
        <w:pStyle w:val="BodyText"/>
      </w:pPr>
      <w:r>
        <w:t xml:space="preserve">Although the agency did not meet the 2019–20 target for customer satisfaction and achievement of processing service level standards—claims processed within standard—the agency can report that there was a 2.8 point increase over the 2018–19 results for customer satisfaction, and there was an </w:t>
      </w:r>
      <w:r>
        <w:rPr>
          <w:rStyle w:val="NoBreak"/>
        </w:rPr>
        <w:t>11.8 percentag</w:t>
      </w:r>
      <w:r>
        <w:t xml:space="preserve">e point increase for processing. </w:t>
      </w:r>
    </w:p>
    <w:p w:rsidR="008E273C" w:rsidRDefault="008E273C" w:rsidP="008E273C">
      <w:pPr>
        <w:pStyle w:val="BodyText"/>
      </w:pPr>
      <w:r>
        <w:t xml:space="preserve">Between 1 April and 30 June 2020, the agency received almost 2 million claims, the equivalent of what would normally be received in 7 months. The majority of claims were for people who had lost their jobs or were under financial stress. Almost 950,000 </w:t>
      </w:r>
      <w:proofErr w:type="spellStart"/>
      <w:r>
        <w:t>JobSeeker</w:t>
      </w:r>
      <w:proofErr w:type="spellEnd"/>
      <w:r>
        <w:t xml:space="preserve"> Payment claims were received (representing </w:t>
      </w:r>
      <w:r>
        <w:rPr>
          <w:rStyle w:val="NoBreak"/>
        </w:rPr>
        <w:t>47.5 per cent of</w:t>
      </w:r>
      <w:r>
        <w:t xml:space="preserve"> total claims). In the same period 2.36 million claims were finalised, the equivalent of 8 months’ work. </w:t>
      </w:r>
    </w:p>
    <w:p w:rsidR="008E273C" w:rsidRDefault="008E273C" w:rsidP="008E273C">
      <w:pPr>
        <w:pStyle w:val="BodyText"/>
      </w:pPr>
      <w:r>
        <w:t xml:space="preserve">Underpinning this work were reliable ICT systems available 99 per cent of the time, enabling greater uptake of digital services and providing customers with </w:t>
      </w:r>
      <w:r>
        <w:rPr>
          <w:rStyle w:val="NoBreak"/>
        </w:rPr>
        <w:t xml:space="preserve">24/7 access. </w:t>
      </w:r>
    </w:p>
    <w:p w:rsidR="008E273C" w:rsidRDefault="008E273C" w:rsidP="008E273C">
      <w:pPr>
        <w:pStyle w:val="BodyText"/>
      </w:pPr>
      <w:r>
        <w:t>Overall, the 2019–20 results for the Social Security and Welfare Program performance measures demonstrate that the agency has achieved its purpose of delivering high quality government services and payments to Australia.</w:t>
      </w:r>
    </w:p>
    <w:p w:rsidR="00AC4959" w:rsidRDefault="00AC4959" w:rsidP="008E273C">
      <w:pPr>
        <w:pStyle w:val="Heading5"/>
        <w:rPr>
          <w:rStyle w:val="Bolditalic"/>
        </w:rPr>
      </w:pPr>
      <w:r>
        <w:t>Criterion 1</w:t>
      </w:r>
      <w:r w:rsidR="008E273C">
        <w:t>—Customer satisfaction: Achievement of customer satisfaction standards</w:t>
      </w:r>
      <w:r w:rsidR="008E273C">
        <w:rPr>
          <w:rStyle w:val="Bolditalic"/>
        </w:rPr>
        <w:t xml:space="preserve"> </w:t>
      </w:r>
      <w:r w:rsidR="008E273C" w:rsidRPr="00AC4959">
        <w:rPr>
          <w:i/>
        </w:rPr>
        <w:t>(Portfolio Budget Statements (PBS))</w:t>
      </w:r>
    </w:p>
    <w:p w:rsidR="008E273C" w:rsidRPr="00AC4959" w:rsidRDefault="008E273C" w:rsidP="00AC4959">
      <w:pPr>
        <w:pStyle w:val="Heading5"/>
      </w:pPr>
      <w:r w:rsidRPr="00AC4959">
        <w:t>Customer satisfaction: Customer satisfaction with their service delivery experience</w:t>
      </w:r>
      <w:r w:rsidRPr="00AC4959">
        <w:rPr>
          <w:rStyle w:val="Bolditalic"/>
          <w:b/>
          <w:bCs/>
          <w:i w:val="0"/>
          <w:iCs/>
          <w:color w:val="auto"/>
        </w:rPr>
        <w:t xml:space="preserve"> </w:t>
      </w:r>
      <w:r w:rsidRPr="00AC4959">
        <w:rPr>
          <w:rStyle w:val="Bolditalic"/>
          <w:b/>
          <w:bCs/>
          <w:iCs/>
          <w:color w:val="auto"/>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1 Overview"/>
        <w:tblDescription w:val="Criterion 1 Overview"/>
      </w:tblPr>
      <w:tblGrid>
        <w:gridCol w:w="2220"/>
        <w:gridCol w:w="2535"/>
        <w:gridCol w:w="2220"/>
        <w:gridCol w:w="2037"/>
        <w:gridCol w:w="2084"/>
      </w:tblGrid>
      <w:tr w:rsidR="008E273C" w:rsidTr="00AC4959">
        <w:trPr>
          <w:trHeight w:val="376"/>
          <w:tblHeader/>
        </w:trPr>
        <w:tc>
          <w:tcPr>
            <w:tcW w:w="1000" w:type="pct"/>
          </w:tcPr>
          <w:p w:rsidR="008E273C" w:rsidRPr="00AC4959" w:rsidRDefault="008E273C" w:rsidP="00AC4959">
            <w:pPr>
              <w:pStyle w:val="BodyText"/>
              <w:rPr>
                <w:b/>
              </w:rPr>
            </w:pPr>
            <w:r w:rsidRPr="00AC4959">
              <w:rPr>
                <w:b/>
              </w:rPr>
              <w:t>Year</w:t>
            </w:r>
          </w:p>
        </w:tc>
        <w:tc>
          <w:tcPr>
            <w:tcW w:w="1142" w:type="pct"/>
          </w:tcPr>
          <w:p w:rsidR="008E273C" w:rsidRPr="00AC4959" w:rsidRDefault="008E273C" w:rsidP="00AC4959">
            <w:pPr>
              <w:pStyle w:val="BodyText"/>
              <w:rPr>
                <w:b/>
              </w:rPr>
            </w:pPr>
            <w:r w:rsidRPr="00AC4959">
              <w:rPr>
                <w:b/>
              </w:rPr>
              <w:t>Target</w:t>
            </w:r>
          </w:p>
        </w:tc>
        <w:tc>
          <w:tcPr>
            <w:tcW w:w="1000" w:type="pct"/>
          </w:tcPr>
          <w:p w:rsidR="008E273C" w:rsidRPr="00AC4959" w:rsidRDefault="008E273C" w:rsidP="00AC4959">
            <w:pPr>
              <w:pStyle w:val="BodyText"/>
              <w:rPr>
                <w:b/>
              </w:rPr>
            </w:pPr>
            <w:r w:rsidRPr="00AC4959">
              <w:rPr>
                <w:b/>
              </w:rPr>
              <w:t>Result</w:t>
            </w:r>
          </w:p>
        </w:tc>
        <w:tc>
          <w:tcPr>
            <w:tcW w:w="918" w:type="pct"/>
          </w:tcPr>
          <w:p w:rsidR="008E273C" w:rsidRPr="00AC4959" w:rsidRDefault="008E273C" w:rsidP="00AC4959">
            <w:pPr>
              <w:pStyle w:val="BodyText"/>
              <w:rPr>
                <w:b/>
              </w:rPr>
            </w:pPr>
            <w:r w:rsidRPr="00AC4959">
              <w:rPr>
                <w:b/>
              </w:rPr>
              <w:t>Achieved</w:t>
            </w:r>
          </w:p>
        </w:tc>
        <w:tc>
          <w:tcPr>
            <w:tcW w:w="939" w:type="pct"/>
          </w:tcPr>
          <w:p w:rsidR="008E273C" w:rsidRPr="00AC4959" w:rsidRDefault="008E273C" w:rsidP="00AC4959">
            <w:pPr>
              <w:pStyle w:val="BodyText"/>
              <w:rPr>
                <w:b/>
              </w:rPr>
            </w:pPr>
            <w:r w:rsidRPr="00AC4959">
              <w:rPr>
                <w:b/>
              </w:rPr>
              <w:t>Change</w:t>
            </w:r>
          </w:p>
        </w:tc>
      </w:tr>
      <w:tr w:rsidR="008E273C" w:rsidTr="00AC4959">
        <w:trPr>
          <w:trHeight w:val="376"/>
        </w:trPr>
        <w:tc>
          <w:tcPr>
            <w:tcW w:w="1000" w:type="pct"/>
          </w:tcPr>
          <w:p w:rsidR="008E273C" w:rsidRDefault="008E273C" w:rsidP="00AC4959">
            <w:pPr>
              <w:pStyle w:val="BodyText"/>
            </w:pPr>
            <w:r>
              <w:t>2019–20</w:t>
            </w:r>
          </w:p>
        </w:tc>
        <w:tc>
          <w:tcPr>
            <w:tcW w:w="1142" w:type="pct"/>
          </w:tcPr>
          <w:p w:rsidR="008E273C" w:rsidRDefault="008E273C" w:rsidP="00AC4959">
            <w:pPr>
              <w:pStyle w:val="BodyText"/>
            </w:pPr>
            <w:r>
              <w:t>≥85 out of 100</w:t>
            </w:r>
          </w:p>
        </w:tc>
        <w:tc>
          <w:tcPr>
            <w:tcW w:w="1000" w:type="pct"/>
          </w:tcPr>
          <w:p w:rsidR="008E273C" w:rsidRDefault="008E273C" w:rsidP="00AC4959">
            <w:pPr>
              <w:pStyle w:val="BodyText"/>
            </w:pPr>
            <w:r>
              <w:t>79.5</w:t>
            </w:r>
          </w:p>
        </w:tc>
        <w:tc>
          <w:tcPr>
            <w:tcW w:w="918" w:type="pct"/>
          </w:tcPr>
          <w:p w:rsidR="008E273C" w:rsidRDefault="008E273C" w:rsidP="00AC4959">
            <w:pPr>
              <w:pStyle w:val="BodyText"/>
            </w:pPr>
            <w:r>
              <w:t>×</w:t>
            </w:r>
          </w:p>
        </w:tc>
        <w:tc>
          <w:tcPr>
            <w:tcW w:w="939" w:type="pct"/>
          </w:tcPr>
          <w:p w:rsidR="008E273C" w:rsidRDefault="008E273C" w:rsidP="00AC4959">
            <w:pPr>
              <w:pStyle w:val="BodyText"/>
            </w:pPr>
            <w:r>
              <w:t>+2.8</w:t>
            </w:r>
          </w:p>
        </w:tc>
      </w:tr>
      <w:tr w:rsidR="008E273C" w:rsidTr="00AC4959">
        <w:trPr>
          <w:trHeight w:val="376"/>
        </w:trPr>
        <w:tc>
          <w:tcPr>
            <w:tcW w:w="1000" w:type="pct"/>
          </w:tcPr>
          <w:p w:rsidR="008E273C" w:rsidRDefault="008E273C" w:rsidP="00AC4959">
            <w:pPr>
              <w:pStyle w:val="BodyText"/>
            </w:pPr>
            <w:r>
              <w:t>2018–19</w:t>
            </w:r>
          </w:p>
        </w:tc>
        <w:tc>
          <w:tcPr>
            <w:tcW w:w="1142" w:type="pct"/>
          </w:tcPr>
          <w:p w:rsidR="008E273C" w:rsidRDefault="008E273C" w:rsidP="00AC4959">
            <w:pPr>
              <w:pStyle w:val="BodyText"/>
            </w:pPr>
            <w:r>
              <w:t>≥85 out of 100</w:t>
            </w:r>
          </w:p>
        </w:tc>
        <w:tc>
          <w:tcPr>
            <w:tcW w:w="1000" w:type="pct"/>
          </w:tcPr>
          <w:p w:rsidR="008E273C" w:rsidRDefault="008E273C" w:rsidP="00AC4959">
            <w:pPr>
              <w:pStyle w:val="BodyText"/>
            </w:pPr>
            <w:r>
              <w:t>76.7</w:t>
            </w:r>
          </w:p>
        </w:tc>
        <w:tc>
          <w:tcPr>
            <w:tcW w:w="918" w:type="pct"/>
          </w:tcPr>
          <w:p w:rsidR="008E273C" w:rsidRDefault="008E273C" w:rsidP="00AC4959">
            <w:pPr>
              <w:pStyle w:val="BodyText"/>
            </w:pPr>
            <w:r>
              <w:t>×</w:t>
            </w:r>
          </w:p>
        </w:tc>
        <w:tc>
          <w:tcPr>
            <w:tcW w:w="939" w:type="pct"/>
          </w:tcPr>
          <w:p w:rsidR="008E273C" w:rsidRDefault="008E273C" w:rsidP="00AC4959">
            <w:pPr>
              <w:pStyle w:val="BodyText"/>
            </w:pPr>
            <w:r>
              <w:t>NA</w:t>
            </w:r>
            <w:r>
              <w:rPr>
                <w:vertAlign w:val="superscript"/>
              </w:rPr>
              <w:t>(a)</w:t>
            </w:r>
          </w:p>
        </w:tc>
      </w:tr>
    </w:tbl>
    <w:p w:rsidR="008E273C" w:rsidRDefault="008E273C" w:rsidP="00AC4959">
      <w:pPr>
        <w:pStyle w:val="BodyText"/>
      </w:pPr>
      <w:r>
        <w:t>(a) Due to a change in how the measure is calculated, the results for 2018–19 are not directly</w:t>
      </w:r>
      <w:r w:rsidR="00AC4959">
        <w:t xml:space="preserve"> comparable with previous years</w:t>
      </w:r>
    </w:p>
    <w:p w:rsidR="008E273C" w:rsidRDefault="00AC4959" w:rsidP="00AC4959">
      <w:pPr>
        <w:pStyle w:val="BodyText"/>
        <w:rPr>
          <w:rStyle w:val="Bold"/>
        </w:rPr>
      </w:pPr>
      <w:r>
        <w:rPr>
          <w:rStyle w:val="Bold"/>
        </w:rPr>
        <w:t>Analysis</w:t>
      </w:r>
    </w:p>
    <w:p w:rsidR="008E273C" w:rsidRDefault="008E273C" w:rsidP="008E273C">
      <w:pPr>
        <w:pStyle w:val="BodyText"/>
      </w:pPr>
      <w:r>
        <w:t>Although the agency did not meet the 2019–20 target there was a 2.8 point increase over the 2018–19 result. The results for mobile applications improved by 5.9 points, telephony improved by 3.8 points, face-to-face improved by 3</w:t>
      </w:r>
      <w:r>
        <w:rPr>
          <w:rStyle w:val="NoBreak"/>
        </w:rPr>
        <w:t>.5 poin</w:t>
      </w:r>
      <w:r>
        <w:t xml:space="preserve">ts, and online declined by 1.9 points. The highest performing drivers were fair treatment (91.3) and personalised service (85.9). The lowest performing drivers were time to receive service (71.2) and effort (76.3). </w:t>
      </w:r>
    </w:p>
    <w:p w:rsidR="008E273C" w:rsidRDefault="008E273C" w:rsidP="008E273C">
      <w:pPr>
        <w:pStyle w:val="BodyText"/>
      </w:pPr>
      <w:r>
        <w:lastRenderedPageBreak/>
        <w:t>COVID-19 saw the agency respond almost immediately to support millions of Australians while navigating significant logistical challenges and as policy continued to evolve. During this time, the level of customer satisfaction improved substantially, with Centrelink results now higher than ever.</w:t>
      </w:r>
    </w:p>
    <w:p w:rsidR="008E273C" w:rsidRDefault="008E273C" w:rsidP="008E273C">
      <w:pPr>
        <w:pStyle w:val="BodyText"/>
      </w:pPr>
      <w:r>
        <w:t>Pre-COVID-19, customer’s satisfaction with Centrelink services was nearing 80 out of 100. An initial drop in agency performance due to unprecedented demand saw satisfaction briefly drop, and the mobile applications channel was unavailable from September to December 2019 due to cyber security concerns with the survey method of using hyperlinks to emails. However, the agency’s pandemic response saw improvements to service delivery and processes. Customers responded positively to the streamlined service model and customer demand management strategies put in place, which saw customer satisfaction increase each week.</w:t>
      </w:r>
    </w:p>
    <w:p w:rsidR="008E273C" w:rsidRDefault="008E273C" w:rsidP="008E273C">
      <w:pPr>
        <w:pStyle w:val="BodyText"/>
      </w:pPr>
      <w:r>
        <w:t>In addition to strong service delivery performance and a range of policy and process related initiatives, it was identified that improvements in the rate of request resolution was also a driving force behind the increased customer satisfaction in late 2019–20.</w:t>
      </w:r>
    </w:p>
    <w:p w:rsidR="008E273C" w:rsidRDefault="008E273C" w:rsidP="008E273C">
      <w:pPr>
        <w:pStyle w:val="BodyText"/>
      </w:pPr>
      <w:r>
        <w:t xml:space="preserve">The strategies implemented by the agency culminated in the highest customer satisfaction results ever recorded. For more information, see </w:t>
      </w:r>
      <w:proofErr w:type="gramStart"/>
      <w:r>
        <w:rPr>
          <w:rFonts w:ascii="Roboto-Italic" w:hAnsi="Roboto-Italic" w:cs="Roboto-Italic"/>
          <w:i/>
          <w:iCs/>
        </w:rPr>
        <w:t>Improving</w:t>
      </w:r>
      <w:proofErr w:type="gramEnd"/>
      <w:r>
        <w:rPr>
          <w:rFonts w:ascii="Roboto-Italic" w:hAnsi="Roboto-Italic" w:cs="Roboto-Italic"/>
          <w:i/>
          <w:iCs/>
        </w:rPr>
        <w:t xml:space="preserve"> customer experiences</w:t>
      </w:r>
      <w:r>
        <w:t xml:space="preserve"> on page 4.</w:t>
      </w:r>
    </w:p>
    <w:p w:rsidR="008E273C" w:rsidRDefault="008E273C" w:rsidP="00E42522">
      <w:pPr>
        <w:pStyle w:val="BodyText"/>
        <w:rPr>
          <w:rStyle w:val="NoBreak"/>
        </w:rPr>
      </w:pPr>
      <w:r>
        <w:t>The table below compares the satisfaction drivers across 2018–19 and 2</w:t>
      </w:r>
      <w:r>
        <w:rPr>
          <w:rStyle w:val="NoBreak"/>
        </w:rPr>
        <w:t>019–20:</w:t>
      </w:r>
    </w:p>
    <w:tbl>
      <w:tblPr>
        <w:tblStyle w:val="TableGrid"/>
        <w:tblW w:w="5000" w:type="pct"/>
        <w:tblLook w:val="0000" w:firstRow="0" w:lastRow="0" w:firstColumn="0" w:lastColumn="0" w:noHBand="0" w:noVBand="0"/>
        <w:tblCaption w:val="Satisfaction drivers across 2018–19 and 2019–20"/>
        <w:tblDescription w:val="Satisfaction drivers across 2018–19 and 2019–20"/>
      </w:tblPr>
      <w:tblGrid>
        <w:gridCol w:w="4610"/>
        <w:gridCol w:w="3244"/>
        <w:gridCol w:w="3242"/>
      </w:tblGrid>
      <w:tr w:rsidR="008E273C" w:rsidTr="00AC4959">
        <w:trPr>
          <w:trHeight w:val="376"/>
          <w:tblHeader/>
        </w:trPr>
        <w:tc>
          <w:tcPr>
            <w:tcW w:w="2077" w:type="pct"/>
          </w:tcPr>
          <w:p w:rsidR="008E273C" w:rsidRDefault="008E273C" w:rsidP="00AC4959">
            <w:pPr>
              <w:pStyle w:val="BodyText"/>
            </w:pPr>
            <w:r>
              <w:rPr>
                <w:rStyle w:val="Bold"/>
              </w:rPr>
              <w:t>Satisfaction drivers</w:t>
            </w:r>
          </w:p>
        </w:tc>
        <w:tc>
          <w:tcPr>
            <w:tcW w:w="1462" w:type="pct"/>
          </w:tcPr>
          <w:p w:rsidR="008E273C" w:rsidRDefault="008E273C" w:rsidP="00AC4959">
            <w:pPr>
              <w:pStyle w:val="BodyText"/>
            </w:pPr>
            <w:r>
              <w:rPr>
                <w:rStyle w:val="Bold"/>
              </w:rPr>
              <w:t>2018–19</w:t>
            </w:r>
          </w:p>
        </w:tc>
        <w:tc>
          <w:tcPr>
            <w:tcW w:w="1462" w:type="pct"/>
          </w:tcPr>
          <w:p w:rsidR="008E273C" w:rsidRDefault="008E273C" w:rsidP="00AC4959">
            <w:pPr>
              <w:pStyle w:val="BodyText"/>
            </w:pPr>
            <w:r>
              <w:rPr>
                <w:rStyle w:val="Bold"/>
              </w:rPr>
              <w:t>2019–20</w:t>
            </w:r>
          </w:p>
        </w:tc>
      </w:tr>
      <w:tr w:rsidR="008E273C" w:rsidTr="00AC4959">
        <w:trPr>
          <w:trHeight w:val="397"/>
        </w:trPr>
        <w:tc>
          <w:tcPr>
            <w:tcW w:w="2077" w:type="pct"/>
          </w:tcPr>
          <w:p w:rsidR="008E273C" w:rsidRDefault="008E273C" w:rsidP="00AC4959">
            <w:pPr>
              <w:pStyle w:val="BodyText"/>
            </w:pPr>
            <w:r>
              <w:t>Perceived quality</w:t>
            </w:r>
          </w:p>
        </w:tc>
        <w:tc>
          <w:tcPr>
            <w:tcW w:w="1462" w:type="pct"/>
          </w:tcPr>
          <w:p w:rsidR="008E273C" w:rsidRDefault="008E273C" w:rsidP="00AC4959">
            <w:pPr>
              <w:pStyle w:val="BodyText"/>
            </w:pPr>
            <w:r>
              <w:t>76.0</w:t>
            </w:r>
          </w:p>
        </w:tc>
        <w:tc>
          <w:tcPr>
            <w:tcW w:w="1462" w:type="pct"/>
          </w:tcPr>
          <w:p w:rsidR="008E273C" w:rsidRDefault="008E273C" w:rsidP="00AC4959">
            <w:pPr>
              <w:pStyle w:val="BodyText"/>
            </w:pPr>
            <w:r>
              <w:t>79.6</w:t>
            </w:r>
          </w:p>
        </w:tc>
      </w:tr>
      <w:tr w:rsidR="008E273C" w:rsidTr="00AC4959">
        <w:trPr>
          <w:trHeight w:val="376"/>
        </w:trPr>
        <w:tc>
          <w:tcPr>
            <w:tcW w:w="2077" w:type="pct"/>
          </w:tcPr>
          <w:p w:rsidR="008E273C" w:rsidRDefault="008E273C" w:rsidP="00AC4959">
            <w:pPr>
              <w:pStyle w:val="BodyText"/>
            </w:pPr>
            <w:r>
              <w:t>Personalised service</w:t>
            </w:r>
          </w:p>
        </w:tc>
        <w:tc>
          <w:tcPr>
            <w:tcW w:w="1462" w:type="pct"/>
          </w:tcPr>
          <w:p w:rsidR="008E273C" w:rsidRDefault="008E273C" w:rsidP="00AC4959">
            <w:pPr>
              <w:pStyle w:val="BodyText"/>
            </w:pPr>
            <w:r>
              <w:t>82.2</w:t>
            </w:r>
          </w:p>
        </w:tc>
        <w:tc>
          <w:tcPr>
            <w:tcW w:w="1462" w:type="pct"/>
          </w:tcPr>
          <w:p w:rsidR="008E273C" w:rsidRDefault="008E273C" w:rsidP="00AC4959">
            <w:pPr>
              <w:pStyle w:val="BodyText"/>
            </w:pPr>
            <w:r>
              <w:t>85.9</w:t>
            </w:r>
          </w:p>
        </w:tc>
      </w:tr>
      <w:tr w:rsidR="008E273C" w:rsidTr="00AC4959">
        <w:trPr>
          <w:trHeight w:val="376"/>
        </w:trPr>
        <w:tc>
          <w:tcPr>
            <w:tcW w:w="2077" w:type="pct"/>
          </w:tcPr>
          <w:p w:rsidR="008E273C" w:rsidRDefault="008E273C" w:rsidP="00AC4959">
            <w:pPr>
              <w:pStyle w:val="BodyText"/>
            </w:pPr>
            <w:r>
              <w:t>Communication</w:t>
            </w:r>
          </w:p>
        </w:tc>
        <w:tc>
          <w:tcPr>
            <w:tcW w:w="1462" w:type="pct"/>
          </w:tcPr>
          <w:p w:rsidR="008E273C" w:rsidRDefault="008E273C" w:rsidP="00AC4959">
            <w:pPr>
              <w:pStyle w:val="BodyText"/>
            </w:pPr>
            <w:r>
              <w:t>80.8</w:t>
            </w:r>
          </w:p>
        </w:tc>
        <w:tc>
          <w:tcPr>
            <w:tcW w:w="1462" w:type="pct"/>
          </w:tcPr>
          <w:p w:rsidR="008E273C" w:rsidRDefault="008E273C" w:rsidP="00AC4959">
            <w:pPr>
              <w:pStyle w:val="BodyText"/>
            </w:pPr>
            <w:r>
              <w:t>84.2</w:t>
            </w:r>
          </w:p>
        </w:tc>
      </w:tr>
      <w:tr w:rsidR="008E273C" w:rsidTr="00AC4959">
        <w:trPr>
          <w:trHeight w:val="376"/>
        </w:trPr>
        <w:tc>
          <w:tcPr>
            <w:tcW w:w="2077" w:type="pct"/>
          </w:tcPr>
          <w:p w:rsidR="008E273C" w:rsidRDefault="008E273C" w:rsidP="00AC4959">
            <w:pPr>
              <w:pStyle w:val="BodyText"/>
            </w:pPr>
            <w:r>
              <w:t>Time to receive service</w:t>
            </w:r>
          </w:p>
        </w:tc>
        <w:tc>
          <w:tcPr>
            <w:tcW w:w="1462" w:type="pct"/>
          </w:tcPr>
          <w:p w:rsidR="008E273C" w:rsidRDefault="008E273C" w:rsidP="00AC4959">
            <w:pPr>
              <w:pStyle w:val="BodyText"/>
            </w:pPr>
            <w:r>
              <w:t>68.5</w:t>
            </w:r>
          </w:p>
        </w:tc>
        <w:tc>
          <w:tcPr>
            <w:tcW w:w="1462" w:type="pct"/>
          </w:tcPr>
          <w:p w:rsidR="008E273C" w:rsidRDefault="008E273C" w:rsidP="00AC4959">
            <w:pPr>
              <w:pStyle w:val="BodyText"/>
            </w:pPr>
            <w:r>
              <w:t>71.2</w:t>
            </w:r>
          </w:p>
        </w:tc>
      </w:tr>
      <w:tr w:rsidR="008E273C" w:rsidTr="00AC4959">
        <w:trPr>
          <w:trHeight w:val="376"/>
        </w:trPr>
        <w:tc>
          <w:tcPr>
            <w:tcW w:w="2077" w:type="pct"/>
          </w:tcPr>
          <w:p w:rsidR="008E273C" w:rsidRDefault="008E273C" w:rsidP="00AC4959">
            <w:pPr>
              <w:pStyle w:val="BodyText"/>
            </w:pPr>
            <w:r>
              <w:t>Fair treatment</w:t>
            </w:r>
          </w:p>
        </w:tc>
        <w:tc>
          <w:tcPr>
            <w:tcW w:w="1462" w:type="pct"/>
          </w:tcPr>
          <w:p w:rsidR="008E273C" w:rsidRDefault="008E273C" w:rsidP="00AC4959">
            <w:pPr>
              <w:pStyle w:val="BodyText"/>
            </w:pPr>
            <w:r>
              <w:t>91.7</w:t>
            </w:r>
          </w:p>
        </w:tc>
        <w:tc>
          <w:tcPr>
            <w:tcW w:w="1462" w:type="pct"/>
          </w:tcPr>
          <w:p w:rsidR="008E273C" w:rsidRDefault="008E273C" w:rsidP="00AC4959">
            <w:pPr>
              <w:pStyle w:val="BodyText"/>
            </w:pPr>
            <w:r>
              <w:t>91.3</w:t>
            </w:r>
          </w:p>
        </w:tc>
      </w:tr>
      <w:tr w:rsidR="008E273C" w:rsidTr="00AC4959">
        <w:trPr>
          <w:trHeight w:val="376"/>
        </w:trPr>
        <w:tc>
          <w:tcPr>
            <w:tcW w:w="2077" w:type="pct"/>
          </w:tcPr>
          <w:p w:rsidR="008E273C" w:rsidRDefault="008E273C" w:rsidP="00AC4959">
            <w:pPr>
              <w:pStyle w:val="BodyText"/>
            </w:pPr>
            <w:r>
              <w:t>Effort</w:t>
            </w:r>
          </w:p>
        </w:tc>
        <w:tc>
          <w:tcPr>
            <w:tcW w:w="1462" w:type="pct"/>
          </w:tcPr>
          <w:p w:rsidR="008E273C" w:rsidRDefault="008E273C" w:rsidP="00AC4959">
            <w:pPr>
              <w:pStyle w:val="BodyText"/>
            </w:pPr>
            <w:r>
              <w:t>73.0</w:t>
            </w:r>
          </w:p>
        </w:tc>
        <w:tc>
          <w:tcPr>
            <w:tcW w:w="1462" w:type="pct"/>
          </w:tcPr>
          <w:p w:rsidR="008E273C" w:rsidRDefault="008E273C" w:rsidP="00AC4959">
            <w:pPr>
              <w:pStyle w:val="BodyText"/>
            </w:pPr>
            <w:r>
              <w:t>76.3</w:t>
            </w:r>
          </w:p>
        </w:tc>
      </w:tr>
    </w:tbl>
    <w:p w:rsidR="008E273C" w:rsidRDefault="00AC4959" w:rsidP="008E273C">
      <w:pPr>
        <w:pStyle w:val="BodyText"/>
        <w:rPr>
          <w:rStyle w:val="NoBreak"/>
        </w:rPr>
      </w:pPr>
      <w:r w:rsidRPr="00AC4959">
        <w:t>Method</w:t>
      </w:r>
      <w:r w:rsidRPr="00AC4959">
        <w:tab/>
      </w:r>
      <w:r>
        <w:t xml:space="preserve">Customer survey. </w:t>
      </w:r>
      <w:r w:rsidR="008E273C">
        <w:t>(The margin of error for this performance measure i</w:t>
      </w:r>
      <w:r w:rsidR="008E273C">
        <w:rPr>
          <w:rStyle w:val="NoBreak"/>
        </w:rPr>
        <w:t>s less than 5 per cent.)</w:t>
      </w:r>
    </w:p>
    <w:p w:rsidR="008E273C" w:rsidRDefault="00AC4959" w:rsidP="00E42522">
      <w:pPr>
        <w:pStyle w:val="BodyText"/>
      </w:pPr>
      <w:r w:rsidRPr="00AC4959">
        <w:t xml:space="preserve">Rationale </w:t>
      </w:r>
      <w:r w:rsidRPr="00AC4959">
        <w:tab/>
      </w:r>
      <w:r w:rsidR="008E273C">
        <w:t xml:space="preserve">This performance measure supports the </w:t>
      </w:r>
      <w:proofErr w:type="gramStart"/>
      <w:r w:rsidR="008E273C">
        <w:t>agency’s</w:t>
      </w:r>
      <w:proofErr w:type="gramEnd"/>
      <w:r w:rsidR="008E273C">
        <w:t>:</w:t>
      </w:r>
    </w:p>
    <w:p w:rsidR="008E273C" w:rsidRDefault="008E273C" w:rsidP="00AC4959">
      <w:pPr>
        <w:pStyle w:val="ListBullet"/>
        <w:tabs>
          <w:tab w:val="clear" w:pos="360"/>
          <w:tab w:val="clear" w:pos="1066"/>
          <w:tab w:val="num" w:pos="1437"/>
        </w:tabs>
        <w:ind w:left="1434"/>
      </w:pPr>
      <w:r>
        <w:t>‘service excellence’ and ‘service enablers’ strategic pillars</w:t>
      </w:r>
    </w:p>
    <w:p w:rsidR="008E273C" w:rsidRDefault="008E273C" w:rsidP="00AC4959">
      <w:pPr>
        <w:pStyle w:val="ListBullet"/>
        <w:tabs>
          <w:tab w:val="clear" w:pos="360"/>
          <w:tab w:val="clear" w:pos="1066"/>
          <w:tab w:val="num" w:pos="1437"/>
        </w:tabs>
        <w:ind w:left="1434"/>
      </w:pPr>
      <w:r>
        <w:tab/>
        <w:t>‘</w:t>
      </w:r>
      <w:proofErr w:type="gramStart"/>
      <w:r>
        <w:t>customer</w:t>
      </w:r>
      <w:proofErr w:type="gramEnd"/>
      <w:r>
        <w:t xml:space="preserve"> satisfaction’ key performance area.</w:t>
      </w:r>
    </w:p>
    <w:p w:rsidR="008E273C" w:rsidRDefault="00AC4959" w:rsidP="008E273C">
      <w:pPr>
        <w:pStyle w:val="BodyText"/>
      </w:pPr>
      <w:r w:rsidRPr="00AC4959">
        <w:t>Reference</w:t>
      </w:r>
      <w:r w:rsidRPr="00AC4959">
        <w:tab/>
      </w:r>
      <w:r w:rsidR="008E273C">
        <w:t>2019–20 PBS, page 30; 2019–20 Corporate Plan, page 14 (pdf), 9 (doc).</w:t>
      </w:r>
    </w:p>
    <w:p w:rsidR="008E273C" w:rsidRDefault="00AC4959" w:rsidP="008E273C">
      <w:pPr>
        <w:pStyle w:val="BodyText"/>
      </w:pPr>
      <w:r w:rsidRPr="00AC4959">
        <w:t>Data source</w:t>
      </w:r>
      <w:r w:rsidRPr="00AC4959">
        <w:tab/>
      </w:r>
      <w:r w:rsidR="008E273C">
        <w:t xml:space="preserve">Survey provider: Colmar </w:t>
      </w:r>
      <w:proofErr w:type="spellStart"/>
      <w:r w:rsidR="008E273C">
        <w:t>Brunton</w:t>
      </w:r>
      <w:proofErr w:type="spellEnd"/>
      <w:r w:rsidR="008E273C">
        <w:t>.</w:t>
      </w:r>
    </w:p>
    <w:p w:rsidR="008E273C" w:rsidRDefault="00AC4959" w:rsidP="008E273C">
      <w:pPr>
        <w:pStyle w:val="Heading5"/>
      </w:pPr>
      <w:r>
        <w:t>Criterion 2</w:t>
      </w:r>
      <w:r w:rsidR="008E273C">
        <w:t xml:space="preserve">—Customer satisfaction: Trust: customers are confident in the integrity of the advice provided to them (This performance measure was introduced in the Services Australia </w:t>
      </w:r>
      <w:r w:rsidR="008E273C">
        <w:rPr>
          <w:rFonts w:ascii="Roboto-MediumItalic" w:hAnsi="Roboto-MediumItalic" w:cs="Roboto-MediumItalic"/>
          <w:i/>
          <w:iCs w:val="0"/>
        </w:rPr>
        <w:t>2019–20 Corporate Plan</w:t>
      </w:r>
      <w:r w:rsidR="008E273C">
        <w:t>)</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2 Overview"/>
        <w:tblDescription w:val="Criterion 2 Overview"/>
      </w:tblPr>
      <w:tblGrid>
        <w:gridCol w:w="2220"/>
        <w:gridCol w:w="2219"/>
        <w:gridCol w:w="2219"/>
        <w:gridCol w:w="2219"/>
        <w:gridCol w:w="2219"/>
      </w:tblGrid>
      <w:tr w:rsidR="008E273C" w:rsidTr="00AC4959">
        <w:trPr>
          <w:trHeight w:val="376"/>
          <w:tblHeader/>
        </w:trPr>
        <w:tc>
          <w:tcPr>
            <w:tcW w:w="1000" w:type="pct"/>
          </w:tcPr>
          <w:p w:rsidR="008E273C" w:rsidRPr="00AC4959" w:rsidRDefault="008E273C" w:rsidP="00AC4959">
            <w:pPr>
              <w:pStyle w:val="BodyText"/>
              <w:rPr>
                <w:b/>
              </w:rPr>
            </w:pPr>
            <w:r w:rsidRPr="00AC4959">
              <w:rPr>
                <w:b/>
              </w:rPr>
              <w:lastRenderedPageBreak/>
              <w:t>Year</w:t>
            </w:r>
          </w:p>
        </w:tc>
        <w:tc>
          <w:tcPr>
            <w:tcW w:w="1000" w:type="pct"/>
          </w:tcPr>
          <w:p w:rsidR="008E273C" w:rsidRPr="00AC4959" w:rsidRDefault="008E273C" w:rsidP="00AC4959">
            <w:pPr>
              <w:pStyle w:val="BodyText"/>
              <w:rPr>
                <w:b/>
              </w:rPr>
            </w:pPr>
            <w:r w:rsidRPr="00AC4959">
              <w:rPr>
                <w:b/>
              </w:rPr>
              <w:t>Target</w:t>
            </w:r>
          </w:p>
        </w:tc>
        <w:tc>
          <w:tcPr>
            <w:tcW w:w="1000" w:type="pct"/>
          </w:tcPr>
          <w:p w:rsidR="008E273C" w:rsidRPr="00AC4959" w:rsidRDefault="008E273C" w:rsidP="00AC4959">
            <w:pPr>
              <w:pStyle w:val="BodyText"/>
              <w:rPr>
                <w:b/>
              </w:rPr>
            </w:pPr>
            <w:r w:rsidRPr="00AC4959">
              <w:rPr>
                <w:b/>
              </w:rPr>
              <w:t>Result</w:t>
            </w:r>
          </w:p>
        </w:tc>
        <w:tc>
          <w:tcPr>
            <w:tcW w:w="1000" w:type="pct"/>
          </w:tcPr>
          <w:p w:rsidR="008E273C" w:rsidRPr="00AC4959" w:rsidRDefault="008E273C" w:rsidP="00AC4959">
            <w:pPr>
              <w:pStyle w:val="BodyText"/>
              <w:rPr>
                <w:b/>
              </w:rPr>
            </w:pPr>
            <w:r w:rsidRPr="00AC4959">
              <w:rPr>
                <w:b/>
              </w:rPr>
              <w:t>Achieved</w:t>
            </w:r>
          </w:p>
        </w:tc>
        <w:tc>
          <w:tcPr>
            <w:tcW w:w="1000" w:type="pct"/>
          </w:tcPr>
          <w:p w:rsidR="008E273C" w:rsidRPr="00AC4959" w:rsidRDefault="008E273C" w:rsidP="00AC4959">
            <w:pPr>
              <w:pStyle w:val="BodyText"/>
              <w:rPr>
                <w:b/>
              </w:rPr>
            </w:pPr>
            <w:r w:rsidRPr="00AC4959">
              <w:rPr>
                <w:b/>
              </w:rPr>
              <w:t>Change</w:t>
            </w:r>
          </w:p>
        </w:tc>
      </w:tr>
      <w:tr w:rsidR="008E273C" w:rsidTr="00AC4959">
        <w:trPr>
          <w:trHeight w:val="376"/>
        </w:trPr>
        <w:tc>
          <w:tcPr>
            <w:tcW w:w="1000" w:type="pct"/>
          </w:tcPr>
          <w:p w:rsidR="008E273C" w:rsidRDefault="008E273C" w:rsidP="00AC4959">
            <w:pPr>
              <w:pStyle w:val="BodyText"/>
            </w:pPr>
            <w:r>
              <w:t>2019–20</w:t>
            </w:r>
          </w:p>
        </w:tc>
        <w:tc>
          <w:tcPr>
            <w:tcW w:w="1000" w:type="pct"/>
          </w:tcPr>
          <w:p w:rsidR="008E273C" w:rsidRDefault="008E273C" w:rsidP="00AC4959">
            <w:pPr>
              <w:pStyle w:val="BodyText"/>
            </w:pPr>
            <w:r>
              <w:t>Baseline</w:t>
            </w:r>
          </w:p>
        </w:tc>
        <w:tc>
          <w:tcPr>
            <w:tcW w:w="1000" w:type="pct"/>
          </w:tcPr>
          <w:p w:rsidR="008E273C" w:rsidRDefault="008E273C" w:rsidP="00AC4959">
            <w:pPr>
              <w:pStyle w:val="BodyText"/>
            </w:pPr>
            <w:r>
              <w:t>73.6</w:t>
            </w:r>
          </w:p>
        </w:tc>
        <w:tc>
          <w:tcPr>
            <w:tcW w:w="1000" w:type="pct"/>
          </w:tcPr>
          <w:p w:rsidR="008E273C" w:rsidRDefault="008E273C" w:rsidP="00AC4959">
            <w:pPr>
              <w:pStyle w:val="BodyText"/>
            </w:pPr>
            <w:r>
              <w:t>NA</w:t>
            </w:r>
          </w:p>
        </w:tc>
        <w:tc>
          <w:tcPr>
            <w:tcW w:w="1000" w:type="pct"/>
          </w:tcPr>
          <w:p w:rsidR="008E273C" w:rsidRDefault="008E273C" w:rsidP="00AC4959">
            <w:pPr>
              <w:pStyle w:val="BodyText"/>
            </w:pPr>
            <w:r>
              <w:t>NA</w:t>
            </w:r>
          </w:p>
        </w:tc>
      </w:tr>
    </w:tbl>
    <w:p w:rsidR="008E273C" w:rsidRDefault="00AC4959" w:rsidP="00AC4959">
      <w:pPr>
        <w:pStyle w:val="BodyText"/>
        <w:rPr>
          <w:rStyle w:val="Bold"/>
        </w:rPr>
      </w:pPr>
      <w:r>
        <w:rPr>
          <w:rStyle w:val="Bold"/>
        </w:rPr>
        <w:t>Analysis</w:t>
      </w:r>
    </w:p>
    <w:p w:rsidR="008E273C" w:rsidRDefault="008E273C" w:rsidP="008E273C">
      <w:pPr>
        <w:pStyle w:val="BodyText"/>
      </w:pPr>
      <w:r>
        <w:t>The agency baselined customer trust in 2019–20 by asking customers a question as part of its satisfaction and experience survey ‘Thinking about Centrelink overall. Using a scale of 1 to 5 where 1 is ‘don’t trust them at all’ and 5 is ‘trust them completely’, to what extent would you say you trust Centrelink?’</w:t>
      </w:r>
    </w:p>
    <w:p w:rsidR="008E273C" w:rsidRDefault="008E273C" w:rsidP="008E273C">
      <w:pPr>
        <w:pStyle w:val="BodyText"/>
      </w:pPr>
      <w:r>
        <w:t>Based on the current single trust question asked as part of the satisfaction and experience survey, customer trust results for Centrelink trended upwards throughout 2019–20, increasing from 72.5 in July 2019 to 76.9 in June 2020. Increased customer trust results between March and May align with the improvements observed with customer satisfaction results and reflects the agency’s timely response to COVID-19; however, no conclusions can be made regarding which business initiatives had a direct impact on trust.</w:t>
      </w:r>
    </w:p>
    <w:p w:rsidR="008E273C" w:rsidRDefault="008E273C" w:rsidP="008E273C">
      <w:pPr>
        <w:pStyle w:val="BodyText"/>
      </w:pPr>
      <w:r>
        <w:t xml:space="preserve">The agency has engaged its external social and market research provider Colmar </w:t>
      </w:r>
      <w:proofErr w:type="spellStart"/>
      <w:r>
        <w:t>Brunton</w:t>
      </w:r>
      <w:proofErr w:type="spellEnd"/>
      <w:r>
        <w:t xml:space="preserve"> to provide additional insights into the factors that influence an individual’s level of trust. This will assist the agency develop a more comprehensive trust measure throughout 2020–21 and help transform the relationship it holds with customers and effectively respond to issues associated with customer trust. It is noted that for 2019–20, there was a difference between the title of the customer trust performance measure and the data used to measure it. The agency will address this in developing a more comprehensive trust measure during 2020–21.</w:t>
      </w:r>
    </w:p>
    <w:p w:rsidR="008E273C" w:rsidRDefault="008E273C" w:rsidP="008E273C">
      <w:pPr>
        <w:pStyle w:val="BodyText"/>
      </w:pPr>
      <w:r>
        <w:t xml:space="preserve">For more information, see </w:t>
      </w:r>
      <w:proofErr w:type="gramStart"/>
      <w:r>
        <w:rPr>
          <w:rFonts w:ascii="Roboto-Italic" w:hAnsi="Roboto-Italic" w:cs="Roboto-Italic"/>
          <w:i/>
          <w:iCs/>
        </w:rPr>
        <w:t>Improving</w:t>
      </w:r>
      <w:proofErr w:type="gramEnd"/>
      <w:r>
        <w:rPr>
          <w:rFonts w:ascii="Roboto-Italic" w:hAnsi="Roboto-Italic" w:cs="Roboto-Italic"/>
          <w:i/>
          <w:iCs/>
        </w:rPr>
        <w:t xml:space="preserve"> customer experiences</w:t>
      </w:r>
      <w:r>
        <w:t xml:space="preserve"> on page 4.</w:t>
      </w:r>
    </w:p>
    <w:p w:rsidR="008E273C" w:rsidRDefault="00AC4959" w:rsidP="008E273C">
      <w:pPr>
        <w:pStyle w:val="BodyText"/>
      </w:pPr>
      <w:r w:rsidRPr="00AC4959">
        <w:t>Method</w:t>
      </w:r>
      <w:r w:rsidR="008E273C">
        <w:tab/>
        <w:t>Customer survey. (The margin of error for this performance measure i</w:t>
      </w:r>
      <w:r w:rsidR="008E273C">
        <w:rPr>
          <w:rStyle w:val="NoBreak"/>
        </w:rPr>
        <w:t>s less than 5 per cent.)</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AC4959">
      <w:pPr>
        <w:pStyle w:val="ListBullet"/>
        <w:tabs>
          <w:tab w:val="clear" w:pos="360"/>
          <w:tab w:val="clear" w:pos="1066"/>
          <w:tab w:val="num" w:pos="1437"/>
        </w:tabs>
        <w:ind w:left="1434"/>
      </w:pPr>
      <w:r>
        <w:t>‘service excellence’ and ‘service enablers’ strategic pillars</w:t>
      </w:r>
    </w:p>
    <w:p w:rsidR="008E273C" w:rsidRDefault="008E273C" w:rsidP="00AC4959">
      <w:pPr>
        <w:pStyle w:val="ListBullet"/>
        <w:tabs>
          <w:tab w:val="clear" w:pos="360"/>
          <w:tab w:val="clear" w:pos="1066"/>
          <w:tab w:val="num" w:pos="1437"/>
        </w:tabs>
        <w:ind w:left="1434"/>
      </w:pPr>
      <w:r>
        <w:tab/>
        <w:t>‘</w:t>
      </w:r>
      <w:proofErr w:type="gramStart"/>
      <w:r>
        <w:t>customer</w:t>
      </w:r>
      <w:proofErr w:type="gramEnd"/>
      <w:r>
        <w:t xml:space="preserve"> satisfaction’ key performance area.</w:t>
      </w:r>
    </w:p>
    <w:p w:rsidR="008E273C" w:rsidRDefault="00AC4959" w:rsidP="008E273C">
      <w:pPr>
        <w:pStyle w:val="BodyText"/>
      </w:pPr>
      <w:r w:rsidRPr="00AC4959">
        <w:t>Reference</w:t>
      </w:r>
      <w:r w:rsidRPr="00AC4959">
        <w:tab/>
      </w:r>
      <w:r w:rsidR="008E273C">
        <w:t>2019–20 Corporate Plan, page 14 (pdf), 9 (doc).</w:t>
      </w:r>
    </w:p>
    <w:p w:rsidR="008E273C" w:rsidRDefault="00AC4959" w:rsidP="00E42522">
      <w:pPr>
        <w:pStyle w:val="BodyText"/>
      </w:pPr>
      <w:r w:rsidRPr="00AC4959">
        <w:t>Data source</w:t>
      </w:r>
      <w:r w:rsidRPr="00AC4959">
        <w:tab/>
      </w:r>
      <w:r w:rsidR="008E273C">
        <w:t xml:space="preserve">Survey provider: Colmar </w:t>
      </w:r>
      <w:proofErr w:type="spellStart"/>
      <w:r w:rsidR="008E273C">
        <w:t>Brunton</w:t>
      </w:r>
      <w:proofErr w:type="spellEnd"/>
      <w:r w:rsidR="008E273C">
        <w:t>.</w:t>
      </w:r>
    </w:p>
    <w:p w:rsidR="00AC4959" w:rsidRPr="00AC4959" w:rsidRDefault="00AC4959" w:rsidP="008E273C">
      <w:pPr>
        <w:pStyle w:val="Heading5"/>
        <w:rPr>
          <w:rStyle w:val="Bolditalic"/>
        </w:rPr>
      </w:pPr>
      <w:r>
        <w:t>Criterion 3</w:t>
      </w:r>
      <w:r w:rsidR="008E273C">
        <w:t xml:space="preserve">—Achievement of digital service level standards: Departmental interactions completed through digital </w:t>
      </w:r>
      <w:r w:rsidR="008E273C" w:rsidRPr="00AC4959">
        <w:t xml:space="preserve">channels </w:t>
      </w:r>
      <w:r w:rsidR="008E273C" w:rsidRPr="00AC4959">
        <w:rPr>
          <w:i/>
        </w:rPr>
        <w:t>(PBS)</w:t>
      </w:r>
    </w:p>
    <w:p w:rsidR="008E273C" w:rsidRPr="00AC4959" w:rsidRDefault="008E273C" w:rsidP="008E273C">
      <w:pPr>
        <w:pStyle w:val="Heading5"/>
      </w:pPr>
      <w:r w:rsidRPr="00AC4959">
        <w:t xml:space="preserve">Customers interacting digitally: Interactions conducted through digital channels </w:t>
      </w:r>
      <w:r w:rsidRPr="00AC4959">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3 Overview"/>
        <w:tblDescription w:val="Criterion 3 Overview"/>
      </w:tblPr>
      <w:tblGrid>
        <w:gridCol w:w="2220"/>
        <w:gridCol w:w="3330"/>
        <w:gridCol w:w="2958"/>
        <w:gridCol w:w="2588"/>
      </w:tblGrid>
      <w:tr w:rsidR="008E273C" w:rsidTr="00AC4959">
        <w:trPr>
          <w:trHeight w:val="376"/>
          <w:tblHeader/>
        </w:trPr>
        <w:tc>
          <w:tcPr>
            <w:tcW w:w="1000" w:type="pct"/>
          </w:tcPr>
          <w:p w:rsidR="008E273C" w:rsidRPr="00AC4959" w:rsidRDefault="008E273C" w:rsidP="00AC4959">
            <w:pPr>
              <w:pStyle w:val="BodyText"/>
              <w:rPr>
                <w:b/>
              </w:rPr>
            </w:pPr>
            <w:r w:rsidRPr="00AC4959">
              <w:rPr>
                <w:b/>
              </w:rPr>
              <w:t>Year</w:t>
            </w:r>
          </w:p>
        </w:tc>
        <w:tc>
          <w:tcPr>
            <w:tcW w:w="1500" w:type="pct"/>
          </w:tcPr>
          <w:p w:rsidR="008E273C" w:rsidRPr="00AC4959" w:rsidRDefault="008E273C" w:rsidP="00AC4959">
            <w:pPr>
              <w:pStyle w:val="BodyText"/>
              <w:rPr>
                <w:b/>
              </w:rPr>
            </w:pPr>
            <w:r w:rsidRPr="00AC4959">
              <w:rPr>
                <w:b/>
              </w:rPr>
              <w:t>Target</w:t>
            </w:r>
          </w:p>
        </w:tc>
        <w:tc>
          <w:tcPr>
            <w:tcW w:w="1333" w:type="pct"/>
          </w:tcPr>
          <w:p w:rsidR="008E273C" w:rsidRPr="00AC4959" w:rsidRDefault="008E273C" w:rsidP="00AC4959">
            <w:pPr>
              <w:pStyle w:val="BodyText"/>
              <w:rPr>
                <w:b/>
              </w:rPr>
            </w:pPr>
            <w:r w:rsidRPr="00AC4959">
              <w:rPr>
                <w:b/>
              </w:rPr>
              <w:t>Result</w:t>
            </w:r>
          </w:p>
        </w:tc>
        <w:tc>
          <w:tcPr>
            <w:tcW w:w="1166" w:type="pct"/>
          </w:tcPr>
          <w:p w:rsidR="008E273C" w:rsidRPr="00AC4959" w:rsidRDefault="008E273C" w:rsidP="00AC4959">
            <w:pPr>
              <w:pStyle w:val="BodyText"/>
              <w:rPr>
                <w:b/>
              </w:rPr>
            </w:pPr>
            <w:r w:rsidRPr="00AC4959">
              <w:rPr>
                <w:b/>
              </w:rPr>
              <w:t>Achieved</w:t>
            </w:r>
          </w:p>
        </w:tc>
      </w:tr>
      <w:tr w:rsidR="008E273C" w:rsidTr="00AC4959">
        <w:trPr>
          <w:trHeight w:val="376"/>
        </w:trPr>
        <w:tc>
          <w:tcPr>
            <w:tcW w:w="1000" w:type="pct"/>
          </w:tcPr>
          <w:p w:rsidR="008E273C" w:rsidRDefault="008E273C" w:rsidP="00AC4959">
            <w:pPr>
              <w:pStyle w:val="BodyText"/>
            </w:pPr>
            <w:r>
              <w:t>2019–20</w:t>
            </w:r>
          </w:p>
        </w:tc>
        <w:tc>
          <w:tcPr>
            <w:tcW w:w="1500" w:type="pct"/>
          </w:tcPr>
          <w:p w:rsidR="008E273C" w:rsidRDefault="008E273C" w:rsidP="00AC4959">
            <w:pPr>
              <w:pStyle w:val="BodyText"/>
            </w:pPr>
            <w:r>
              <w:t>≥5% increase</w:t>
            </w:r>
          </w:p>
        </w:tc>
        <w:tc>
          <w:tcPr>
            <w:tcW w:w="1333" w:type="pct"/>
          </w:tcPr>
          <w:p w:rsidR="008E273C" w:rsidRDefault="008E273C" w:rsidP="00AC4959">
            <w:pPr>
              <w:pStyle w:val="BodyText"/>
            </w:pPr>
            <w:r>
              <w:t>31.0% increase</w:t>
            </w:r>
          </w:p>
        </w:tc>
        <w:tc>
          <w:tcPr>
            <w:tcW w:w="1166" w:type="pct"/>
          </w:tcPr>
          <w:p w:rsidR="008E273C" w:rsidRPr="00B27DB9" w:rsidRDefault="00B27DB9" w:rsidP="00B27DB9">
            <w:pPr>
              <w:pStyle w:val="BodyText"/>
            </w:pPr>
            <w:r w:rsidRPr="00B27DB9">
              <w:t>Yes</w:t>
            </w:r>
          </w:p>
        </w:tc>
      </w:tr>
      <w:tr w:rsidR="008E273C" w:rsidTr="00AC4959">
        <w:trPr>
          <w:trHeight w:val="376"/>
        </w:trPr>
        <w:tc>
          <w:tcPr>
            <w:tcW w:w="1000" w:type="pct"/>
          </w:tcPr>
          <w:p w:rsidR="008E273C" w:rsidRDefault="008E273C" w:rsidP="00AC4959">
            <w:pPr>
              <w:pStyle w:val="BodyText"/>
            </w:pPr>
            <w:r>
              <w:lastRenderedPageBreak/>
              <w:t>2018–19</w:t>
            </w:r>
          </w:p>
        </w:tc>
        <w:tc>
          <w:tcPr>
            <w:tcW w:w="1500" w:type="pct"/>
          </w:tcPr>
          <w:p w:rsidR="008E273C" w:rsidRDefault="008E273C" w:rsidP="00AC4959">
            <w:pPr>
              <w:pStyle w:val="BodyText"/>
            </w:pPr>
            <w:r>
              <w:t>≥5% increase</w:t>
            </w:r>
          </w:p>
        </w:tc>
        <w:tc>
          <w:tcPr>
            <w:tcW w:w="1333" w:type="pct"/>
          </w:tcPr>
          <w:p w:rsidR="008E273C" w:rsidRDefault="008E273C" w:rsidP="00AC4959">
            <w:pPr>
              <w:pStyle w:val="BodyText"/>
            </w:pPr>
            <w:r>
              <w:t>11.4% increase</w:t>
            </w:r>
          </w:p>
        </w:tc>
        <w:tc>
          <w:tcPr>
            <w:tcW w:w="1166" w:type="pct"/>
          </w:tcPr>
          <w:p w:rsidR="008E273C" w:rsidRPr="00B27DB9" w:rsidRDefault="00B27DB9" w:rsidP="00B27DB9">
            <w:pPr>
              <w:pStyle w:val="BodyText"/>
            </w:pPr>
            <w:r w:rsidRPr="00B27DB9">
              <w:t>Yes</w:t>
            </w:r>
          </w:p>
        </w:tc>
      </w:tr>
      <w:tr w:rsidR="008E273C" w:rsidTr="00AC4959">
        <w:trPr>
          <w:trHeight w:val="376"/>
        </w:trPr>
        <w:tc>
          <w:tcPr>
            <w:tcW w:w="1000" w:type="pct"/>
          </w:tcPr>
          <w:p w:rsidR="008E273C" w:rsidRDefault="008E273C" w:rsidP="00AC4959">
            <w:pPr>
              <w:pStyle w:val="BodyText"/>
            </w:pPr>
            <w:r>
              <w:t>2017–18</w:t>
            </w:r>
          </w:p>
        </w:tc>
        <w:tc>
          <w:tcPr>
            <w:tcW w:w="1500" w:type="pct"/>
          </w:tcPr>
          <w:p w:rsidR="008E273C" w:rsidRDefault="008E273C" w:rsidP="00AC4959">
            <w:pPr>
              <w:pStyle w:val="BodyText"/>
            </w:pPr>
            <w:r>
              <w:t>≥5% increase</w:t>
            </w:r>
          </w:p>
        </w:tc>
        <w:tc>
          <w:tcPr>
            <w:tcW w:w="1333" w:type="pct"/>
          </w:tcPr>
          <w:p w:rsidR="008E273C" w:rsidRDefault="008E273C" w:rsidP="00AC4959">
            <w:pPr>
              <w:pStyle w:val="BodyText"/>
            </w:pPr>
            <w:r>
              <w:t>6.6% increase</w:t>
            </w:r>
          </w:p>
        </w:tc>
        <w:tc>
          <w:tcPr>
            <w:tcW w:w="1166" w:type="pct"/>
          </w:tcPr>
          <w:p w:rsidR="008E273C" w:rsidRPr="00B27DB9" w:rsidRDefault="00B27DB9" w:rsidP="00B27DB9">
            <w:pPr>
              <w:pStyle w:val="BodyText"/>
            </w:pPr>
            <w:r w:rsidRPr="00B27DB9">
              <w:t>Yes</w:t>
            </w:r>
          </w:p>
        </w:tc>
      </w:tr>
    </w:tbl>
    <w:p w:rsidR="008E273C" w:rsidRDefault="00AC4959" w:rsidP="00AC4959">
      <w:pPr>
        <w:pStyle w:val="BodyText"/>
        <w:rPr>
          <w:rStyle w:val="Bold"/>
        </w:rPr>
      </w:pPr>
      <w:r>
        <w:rPr>
          <w:rStyle w:val="Bold"/>
        </w:rPr>
        <w:t>Analysis</w:t>
      </w:r>
    </w:p>
    <w:p w:rsidR="008E273C" w:rsidRDefault="008E273C" w:rsidP="008E273C">
      <w:pPr>
        <w:pStyle w:val="BodyText"/>
      </w:pPr>
      <w:r>
        <w:t xml:space="preserve">During 2019–20 the agency has continued to expand its digital service offer by using advances in technology to enable customers to engage with us simply, at a time of their choosing. </w:t>
      </w:r>
    </w:p>
    <w:p w:rsidR="008E273C" w:rsidRDefault="008E273C" w:rsidP="008E273C">
      <w:pPr>
        <w:pStyle w:val="BodyText"/>
      </w:pPr>
      <w:r>
        <w:t xml:space="preserve">During the bushfires of 2019–20 and COVID-19, the agency saw an unprecedented surge in demand for online, ‘contactless’ support, driven in part by COVID-19 movement restrictions limiting the number of customers able to visit a Service Centre. </w:t>
      </w:r>
    </w:p>
    <w:p w:rsidR="008E273C" w:rsidRDefault="008E273C" w:rsidP="008E273C">
      <w:pPr>
        <w:pStyle w:val="BodyText"/>
      </w:pPr>
      <w:r>
        <w:t xml:space="preserve">The agency rapidly increased its online capacity and the range of transactions customers could complete without attending Service Centres, to help keep our staff and customers safe. For more information, see </w:t>
      </w:r>
      <w:r>
        <w:rPr>
          <w:rStyle w:val="Italic"/>
        </w:rPr>
        <w:t>Digital Services</w:t>
      </w:r>
      <w:r>
        <w:t xml:space="preserve"> on pa</w:t>
      </w:r>
      <w:r>
        <w:rPr>
          <w:rStyle w:val="NoBreak"/>
        </w:rPr>
        <w:t>ge 2.</w:t>
      </w:r>
    </w:p>
    <w:p w:rsidR="008E273C" w:rsidRDefault="008E273C" w:rsidP="008E273C">
      <w:pPr>
        <w:pStyle w:val="BodyText"/>
      </w:pPr>
      <w:r>
        <w:t>As a result, the online and mobile applications growth in transactions increased significantly, with more customers choosing digital options to claim and report changes in their circumstances. There was an overall 31 per cent increase in Social Security and Welfare interactions completed through the agency’s digital channels compared to an 11.4 per cent increase in 2018–19.</w:t>
      </w:r>
    </w:p>
    <w:p w:rsidR="008E273C" w:rsidRDefault="008E273C" w:rsidP="00E42522">
      <w:pPr>
        <w:pStyle w:val="BodyText"/>
        <w:rPr>
          <w:rStyle w:val="NoBreak"/>
        </w:rPr>
      </w:pPr>
      <w:r>
        <w:t>The following table shows a comparison of interactions across 2018–19 an</w:t>
      </w:r>
      <w:r>
        <w:rPr>
          <w:rStyle w:val="NoBreak"/>
        </w:rPr>
        <w:t xml:space="preserve">d 2019–20. </w:t>
      </w:r>
    </w:p>
    <w:tbl>
      <w:tblPr>
        <w:tblStyle w:val="TableGrid"/>
        <w:tblW w:w="5000" w:type="pct"/>
        <w:tblLook w:val="0000" w:firstRow="0" w:lastRow="0" w:firstColumn="0" w:lastColumn="0" w:noHBand="0" w:noVBand="0"/>
        <w:tblCaption w:val="Interactions across 2018–19 and 2019–20"/>
        <w:tblDescription w:val="Interactions across 2018–19 and 2019–20"/>
      </w:tblPr>
      <w:tblGrid>
        <w:gridCol w:w="4608"/>
        <w:gridCol w:w="2162"/>
        <w:gridCol w:w="2417"/>
        <w:gridCol w:w="1909"/>
      </w:tblGrid>
      <w:tr w:rsidR="008E273C" w:rsidTr="00AC4959">
        <w:trPr>
          <w:trHeight w:val="376"/>
          <w:tblHeader/>
        </w:trPr>
        <w:tc>
          <w:tcPr>
            <w:tcW w:w="2077" w:type="pct"/>
          </w:tcPr>
          <w:p w:rsidR="008E273C" w:rsidRDefault="008E273C" w:rsidP="00AC4959">
            <w:pPr>
              <w:pStyle w:val="BodyText"/>
            </w:pPr>
            <w:r>
              <w:rPr>
                <w:rStyle w:val="Bold"/>
              </w:rPr>
              <w:t>Interactions</w:t>
            </w:r>
          </w:p>
        </w:tc>
        <w:tc>
          <w:tcPr>
            <w:tcW w:w="974" w:type="pct"/>
          </w:tcPr>
          <w:p w:rsidR="008E273C" w:rsidRDefault="008E273C" w:rsidP="00AC4959">
            <w:pPr>
              <w:pStyle w:val="BodyText"/>
            </w:pPr>
            <w:r>
              <w:rPr>
                <w:rStyle w:val="Bold"/>
              </w:rPr>
              <w:t>2018–19</w:t>
            </w:r>
          </w:p>
        </w:tc>
        <w:tc>
          <w:tcPr>
            <w:tcW w:w="1089" w:type="pct"/>
          </w:tcPr>
          <w:p w:rsidR="008E273C" w:rsidRDefault="008E273C" w:rsidP="00AC4959">
            <w:pPr>
              <w:pStyle w:val="BodyText"/>
            </w:pPr>
            <w:r>
              <w:rPr>
                <w:rStyle w:val="Bold"/>
              </w:rPr>
              <w:t>2019–20</w:t>
            </w:r>
          </w:p>
        </w:tc>
        <w:tc>
          <w:tcPr>
            <w:tcW w:w="860" w:type="pct"/>
          </w:tcPr>
          <w:p w:rsidR="008E273C" w:rsidRDefault="008E273C" w:rsidP="00AC4959">
            <w:pPr>
              <w:pStyle w:val="BodyText"/>
            </w:pPr>
            <w:r>
              <w:rPr>
                <w:rStyle w:val="Bold"/>
              </w:rPr>
              <w:t>Change</w:t>
            </w:r>
          </w:p>
        </w:tc>
      </w:tr>
      <w:tr w:rsidR="008E273C" w:rsidTr="00AC4959">
        <w:trPr>
          <w:trHeight w:val="376"/>
        </w:trPr>
        <w:tc>
          <w:tcPr>
            <w:tcW w:w="2077" w:type="pct"/>
          </w:tcPr>
          <w:p w:rsidR="008E273C" w:rsidRDefault="008E273C" w:rsidP="00AC4959">
            <w:pPr>
              <w:pStyle w:val="BodyText"/>
            </w:pPr>
            <w:r>
              <w:t>Online and mobile applications</w:t>
            </w:r>
          </w:p>
        </w:tc>
        <w:tc>
          <w:tcPr>
            <w:tcW w:w="974" w:type="pct"/>
          </w:tcPr>
          <w:p w:rsidR="008E273C" w:rsidRDefault="008E273C" w:rsidP="00AC4959">
            <w:pPr>
              <w:pStyle w:val="BodyText"/>
            </w:pPr>
            <w:r>
              <w:t>204.4 million</w:t>
            </w:r>
          </w:p>
        </w:tc>
        <w:tc>
          <w:tcPr>
            <w:tcW w:w="1089" w:type="pct"/>
          </w:tcPr>
          <w:p w:rsidR="008E273C" w:rsidRDefault="008E273C" w:rsidP="00AC4959">
            <w:pPr>
              <w:pStyle w:val="BodyText"/>
            </w:pPr>
            <w:r>
              <w:t>293.8 million</w:t>
            </w:r>
          </w:p>
        </w:tc>
        <w:tc>
          <w:tcPr>
            <w:tcW w:w="860" w:type="pct"/>
          </w:tcPr>
          <w:p w:rsidR="008E273C" w:rsidRDefault="008E273C" w:rsidP="00AC4959">
            <w:pPr>
              <w:pStyle w:val="BodyText"/>
            </w:pPr>
            <w:r>
              <w:t>+43.7%</w:t>
            </w:r>
          </w:p>
        </w:tc>
      </w:tr>
      <w:tr w:rsidR="008E273C" w:rsidTr="00AC4959">
        <w:trPr>
          <w:trHeight w:val="376"/>
        </w:trPr>
        <w:tc>
          <w:tcPr>
            <w:tcW w:w="2077" w:type="pct"/>
          </w:tcPr>
          <w:p w:rsidR="008E273C" w:rsidRDefault="008E273C" w:rsidP="00AC4959">
            <w:pPr>
              <w:pStyle w:val="BodyText"/>
            </w:pPr>
            <w:r>
              <w:t>Online letters</w:t>
            </w:r>
          </w:p>
        </w:tc>
        <w:tc>
          <w:tcPr>
            <w:tcW w:w="974" w:type="pct"/>
          </w:tcPr>
          <w:p w:rsidR="008E273C" w:rsidRDefault="008E273C" w:rsidP="00AC4959">
            <w:pPr>
              <w:pStyle w:val="BodyText"/>
            </w:pPr>
            <w:r>
              <w:t>56.6 million</w:t>
            </w:r>
          </w:p>
        </w:tc>
        <w:tc>
          <w:tcPr>
            <w:tcW w:w="1089" w:type="pct"/>
          </w:tcPr>
          <w:p w:rsidR="008E273C" w:rsidRDefault="008E273C" w:rsidP="00AC4959">
            <w:pPr>
              <w:pStyle w:val="BodyText"/>
            </w:pPr>
            <w:r>
              <w:t>59.9 million</w:t>
            </w:r>
          </w:p>
        </w:tc>
        <w:tc>
          <w:tcPr>
            <w:tcW w:w="860" w:type="pct"/>
          </w:tcPr>
          <w:p w:rsidR="008E273C" w:rsidRDefault="008E273C" w:rsidP="00AC4959">
            <w:pPr>
              <w:pStyle w:val="BodyText"/>
            </w:pPr>
            <w:r>
              <w:t>+5.8%</w:t>
            </w:r>
          </w:p>
        </w:tc>
      </w:tr>
      <w:tr w:rsidR="008E273C" w:rsidTr="00AC4959">
        <w:trPr>
          <w:trHeight w:val="376"/>
        </w:trPr>
        <w:tc>
          <w:tcPr>
            <w:tcW w:w="2077" w:type="pct"/>
          </w:tcPr>
          <w:p w:rsidR="008E273C" w:rsidRDefault="008E273C" w:rsidP="00AC4959">
            <w:pPr>
              <w:pStyle w:val="BodyText"/>
            </w:pPr>
            <w:r>
              <w:t>Electronic data exchange</w:t>
            </w:r>
          </w:p>
        </w:tc>
        <w:tc>
          <w:tcPr>
            <w:tcW w:w="974" w:type="pct"/>
          </w:tcPr>
          <w:p w:rsidR="008E273C" w:rsidRDefault="008E273C" w:rsidP="00AC4959">
            <w:pPr>
              <w:pStyle w:val="BodyText"/>
            </w:pPr>
            <w:r>
              <w:t>51.4 million</w:t>
            </w:r>
          </w:p>
        </w:tc>
        <w:tc>
          <w:tcPr>
            <w:tcW w:w="1089" w:type="pct"/>
          </w:tcPr>
          <w:p w:rsidR="008E273C" w:rsidRDefault="008E273C" w:rsidP="00AC4959">
            <w:pPr>
              <w:pStyle w:val="BodyText"/>
            </w:pPr>
            <w:r>
              <w:t>56.7 million</w:t>
            </w:r>
          </w:p>
        </w:tc>
        <w:tc>
          <w:tcPr>
            <w:tcW w:w="860" w:type="pct"/>
          </w:tcPr>
          <w:p w:rsidR="008E273C" w:rsidRDefault="008E273C" w:rsidP="00AC4959">
            <w:pPr>
              <w:pStyle w:val="BodyText"/>
            </w:pPr>
            <w:r>
              <w:t>+10.3%</w:t>
            </w:r>
          </w:p>
        </w:tc>
      </w:tr>
      <w:tr w:rsidR="008E273C" w:rsidTr="00AC4959">
        <w:trPr>
          <w:trHeight w:val="376"/>
        </w:trPr>
        <w:tc>
          <w:tcPr>
            <w:tcW w:w="2077" w:type="pct"/>
          </w:tcPr>
          <w:p w:rsidR="008E273C" w:rsidRDefault="008E273C" w:rsidP="00AC4959">
            <w:pPr>
              <w:pStyle w:val="BodyText"/>
            </w:pPr>
            <w:r>
              <w:t>Phone self-service</w:t>
            </w:r>
          </w:p>
        </w:tc>
        <w:tc>
          <w:tcPr>
            <w:tcW w:w="974" w:type="pct"/>
          </w:tcPr>
          <w:p w:rsidR="008E273C" w:rsidRDefault="008E273C" w:rsidP="00AC4959">
            <w:pPr>
              <w:pStyle w:val="BodyText"/>
            </w:pPr>
            <w:r>
              <w:t>2.9 million</w:t>
            </w:r>
          </w:p>
        </w:tc>
        <w:tc>
          <w:tcPr>
            <w:tcW w:w="1089" w:type="pct"/>
          </w:tcPr>
          <w:p w:rsidR="008E273C" w:rsidRDefault="008E273C" w:rsidP="00AC4959">
            <w:pPr>
              <w:pStyle w:val="BodyText"/>
            </w:pPr>
            <w:r>
              <w:t>2.8 million</w:t>
            </w:r>
          </w:p>
        </w:tc>
        <w:tc>
          <w:tcPr>
            <w:tcW w:w="860" w:type="pct"/>
          </w:tcPr>
          <w:p w:rsidR="008E273C" w:rsidRDefault="008E273C" w:rsidP="00AC4959">
            <w:pPr>
              <w:pStyle w:val="BodyText"/>
            </w:pPr>
            <w:r>
              <w:t>-0.9%</w:t>
            </w:r>
          </w:p>
        </w:tc>
      </w:tr>
    </w:tbl>
    <w:p w:rsidR="008E273C" w:rsidRDefault="00AC4959" w:rsidP="00AC4959">
      <w:pPr>
        <w:pStyle w:val="BodyText"/>
      </w:pPr>
      <w:r w:rsidRPr="00AC4959">
        <w:t>Method</w:t>
      </w:r>
      <w:r w:rsidRPr="00AC4959">
        <w:tab/>
      </w:r>
      <w:r>
        <w:t>D</w:t>
      </w:r>
      <w:r w:rsidRPr="00AC4959">
        <w:t>ata min</w:t>
      </w:r>
      <w:r w:rsidR="008E273C">
        <w:t>ing.</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AC4959">
      <w:pPr>
        <w:pStyle w:val="ListBullet"/>
        <w:tabs>
          <w:tab w:val="clear" w:pos="360"/>
          <w:tab w:val="clear" w:pos="1066"/>
          <w:tab w:val="num" w:pos="1437"/>
        </w:tabs>
        <w:ind w:left="1434"/>
      </w:pPr>
      <w:r>
        <w:tab/>
        <w:t>‘service excellence’ and ‘service enablers’ strategic pillars</w:t>
      </w:r>
    </w:p>
    <w:p w:rsidR="008E273C" w:rsidRDefault="008E273C" w:rsidP="00AC4959">
      <w:pPr>
        <w:pStyle w:val="ListBullet"/>
        <w:tabs>
          <w:tab w:val="clear" w:pos="360"/>
          <w:tab w:val="clear" w:pos="1066"/>
          <w:tab w:val="num" w:pos="1437"/>
        </w:tabs>
        <w:ind w:left="1434"/>
      </w:pPr>
      <w:r>
        <w:tab/>
        <w:t>‘</w:t>
      </w:r>
      <w:proofErr w:type="gramStart"/>
      <w:r>
        <w:t>customer</w:t>
      </w:r>
      <w:proofErr w:type="gramEnd"/>
      <w:r>
        <w:t xml:space="preserve"> satisfaction’, ease and timeliness of service’, and ‘customers interacting digitally’ key performance areas.</w:t>
      </w:r>
    </w:p>
    <w:p w:rsidR="008E273C" w:rsidRDefault="00AC4959" w:rsidP="008E273C">
      <w:pPr>
        <w:pStyle w:val="BodyText"/>
      </w:pPr>
      <w:r w:rsidRPr="00AC4959">
        <w:t>Reference</w:t>
      </w:r>
      <w:r w:rsidRPr="00AC4959">
        <w:tab/>
      </w:r>
      <w:r w:rsidR="008E273C">
        <w:t>2019–20 PBS, page 30; 2019–20 Corporate Plan, page 15 (pdf), 10 (doc).</w:t>
      </w:r>
    </w:p>
    <w:p w:rsidR="008E273C" w:rsidRDefault="00AC4959" w:rsidP="008E273C">
      <w:pPr>
        <w:pStyle w:val="BodyText"/>
      </w:pPr>
      <w:r w:rsidRPr="00AC4959">
        <w:t>Data source</w:t>
      </w:r>
      <w:r w:rsidRPr="00AC4959">
        <w:tab/>
      </w:r>
      <w:r w:rsidR="008E273C">
        <w:t>Enterprise Data Warehouse, Business Activity Reporting and Analytics and the Outbound Correspondence Report.</w:t>
      </w:r>
    </w:p>
    <w:p w:rsidR="008E273C" w:rsidRDefault="00AC4959" w:rsidP="008E273C">
      <w:pPr>
        <w:pStyle w:val="Heading5"/>
      </w:pPr>
      <w:r>
        <w:lastRenderedPageBreak/>
        <w:t>Criterion 4</w:t>
      </w:r>
      <w:r w:rsidR="008E273C">
        <w:t xml:space="preserve">—Achievement of digital service level standards: Availability of ICT services excluding scheduled maintenance periods that support 24/7 customer access </w:t>
      </w:r>
      <w:r w:rsidR="008E273C" w:rsidRPr="00AC4959">
        <w:rPr>
          <w:i/>
        </w:rPr>
        <w:t>(PBS)</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4 Overview"/>
        <w:tblDescription w:val="Criterion 4 Overview"/>
      </w:tblPr>
      <w:tblGrid>
        <w:gridCol w:w="2220"/>
        <w:gridCol w:w="2219"/>
        <w:gridCol w:w="2219"/>
        <w:gridCol w:w="2219"/>
        <w:gridCol w:w="2219"/>
      </w:tblGrid>
      <w:tr w:rsidR="008E273C" w:rsidTr="00AC4959">
        <w:trPr>
          <w:trHeight w:val="376"/>
          <w:tblHeader/>
        </w:trPr>
        <w:tc>
          <w:tcPr>
            <w:tcW w:w="1000" w:type="pct"/>
          </w:tcPr>
          <w:p w:rsidR="008E273C" w:rsidRPr="00AC4959" w:rsidRDefault="008E273C" w:rsidP="00AC4959">
            <w:pPr>
              <w:pStyle w:val="BodyText"/>
              <w:rPr>
                <w:b/>
              </w:rPr>
            </w:pPr>
            <w:r w:rsidRPr="00AC4959">
              <w:rPr>
                <w:b/>
              </w:rPr>
              <w:t>Year</w:t>
            </w:r>
          </w:p>
        </w:tc>
        <w:tc>
          <w:tcPr>
            <w:tcW w:w="1000" w:type="pct"/>
          </w:tcPr>
          <w:p w:rsidR="008E273C" w:rsidRPr="00AC4959" w:rsidRDefault="008E273C" w:rsidP="00AC4959">
            <w:pPr>
              <w:pStyle w:val="BodyText"/>
              <w:rPr>
                <w:b/>
              </w:rPr>
            </w:pPr>
            <w:r w:rsidRPr="00AC4959">
              <w:rPr>
                <w:b/>
              </w:rPr>
              <w:t>Target</w:t>
            </w:r>
          </w:p>
        </w:tc>
        <w:tc>
          <w:tcPr>
            <w:tcW w:w="1000" w:type="pct"/>
          </w:tcPr>
          <w:p w:rsidR="008E273C" w:rsidRPr="00AC4959" w:rsidRDefault="008E273C" w:rsidP="00AC4959">
            <w:pPr>
              <w:pStyle w:val="BodyText"/>
              <w:rPr>
                <w:b/>
              </w:rPr>
            </w:pPr>
            <w:r w:rsidRPr="00AC4959">
              <w:rPr>
                <w:b/>
              </w:rPr>
              <w:t>Result</w:t>
            </w:r>
          </w:p>
        </w:tc>
        <w:tc>
          <w:tcPr>
            <w:tcW w:w="1000" w:type="pct"/>
          </w:tcPr>
          <w:p w:rsidR="008E273C" w:rsidRPr="00AC4959" w:rsidRDefault="008E273C" w:rsidP="00AC4959">
            <w:pPr>
              <w:pStyle w:val="BodyText"/>
              <w:rPr>
                <w:b/>
              </w:rPr>
            </w:pPr>
            <w:r w:rsidRPr="00AC4959">
              <w:rPr>
                <w:b/>
              </w:rPr>
              <w:t>Achieved</w:t>
            </w:r>
          </w:p>
        </w:tc>
        <w:tc>
          <w:tcPr>
            <w:tcW w:w="1000" w:type="pct"/>
          </w:tcPr>
          <w:p w:rsidR="00AC4959" w:rsidRDefault="008E273C" w:rsidP="00AC4959">
            <w:pPr>
              <w:pStyle w:val="BodyText"/>
              <w:rPr>
                <w:b/>
              </w:rPr>
            </w:pPr>
            <w:r w:rsidRPr="00AC4959">
              <w:rPr>
                <w:b/>
              </w:rPr>
              <w:t>Change</w:t>
            </w:r>
          </w:p>
          <w:p w:rsidR="008E273C" w:rsidRPr="00AC4959" w:rsidRDefault="008E273C" w:rsidP="00AC4959">
            <w:pPr>
              <w:pStyle w:val="BodyText"/>
              <w:rPr>
                <w:b/>
              </w:rPr>
            </w:pPr>
            <w:r w:rsidRPr="00AC4959">
              <w:rPr>
                <w:b/>
              </w:rPr>
              <w:t>(% points)</w:t>
            </w:r>
          </w:p>
        </w:tc>
      </w:tr>
      <w:tr w:rsidR="008E273C" w:rsidTr="00AC4959">
        <w:trPr>
          <w:trHeight w:val="376"/>
        </w:trPr>
        <w:tc>
          <w:tcPr>
            <w:tcW w:w="1000" w:type="pct"/>
          </w:tcPr>
          <w:p w:rsidR="008E273C" w:rsidRDefault="008E273C" w:rsidP="00AC4959">
            <w:pPr>
              <w:pStyle w:val="BodyText"/>
            </w:pPr>
            <w:r>
              <w:t>2019–20</w:t>
            </w:r>
          </w:p>
        </w:tc>
        <w:tc>
          <w:tcPr>
            <w:tcW w:w="1000" w:type="pct"/>
          </w:tcPr>
          <w:p w:rsidR="008E273C" w:rsidRDefault="008E273C" w:rsidP="00AC4959">
            <w:pPr>
              <w:pStyle w:val="BodyText"/>
            </w:pPr>
            <w:r>
              <w:t>≥98%</w:t>
            </w:r>
          </w:p>
        </w:tc>
        <w:tc>
          <w:tcPr>
            <w:tcW w:w="1000" w:type="pct"/>
          </w:tcPr>
          <w:p w:rsidR="008E273C" w:rsidRDefault="008E273C" w:rsidP="00AC4959">
            <w:pPr>
              <w:pStyle w:val="BodyText"/>
            </w:pPr>
            <w:r>
              <w:t>99.0%</w:t>
            </w:r>
          </w:p>
        </w:tc>
        <w:tc>
          <w:tcPr>
            <w:tcW w:w="1000" w:type="pct"/>
          </w:tcPr>
          <w:p w:rsidR="008E273C" w:rsidRPr="00B27DB9" w:rsidRDefault="00B27DB9" w:rsidP="00B27DB9">
            <w:pPr>
              <w:pStyle w:val="BodyText"/>
            </w:pPr>
            <w:r w:rsidRPr="00B27DB9">
              <w:t>Yes</w:t>
            </w:r>
          </w:p>
        </w:tc>
        <w:tc>
          <w:tcPr>
            <w:tcW w:w="1000" w:type="pct"/>
          </w:tcPr>
          <w:p w:rsidR="008E273C" w:rsidRDefault="008E273C" w:rsidP="00AC4959">
            <w:pPr>
              <w:pStyle w:val="BodyText"/>
            </w:pPr>
            <w:r>
              <w:t>No change</w:t>
            </w:r>
          </w:p>
        </w:tc>
      </w:tr>
      <w:tr w:rsidR="008E273C" w:rsidTr="00AC4959">
        <w:trPr>
          <w:trHeight w:val="376"/>
        </w:trPr>
        <w:tc>
          <w:tcPr>
            <w:tcW w:w="1000" w:type="pct"/>
          </w:tcPr>
          <w:p w:rsidR="008E273C" w:rsidRDefault="008E273C" w:rsidP="00AC4959">
            <w:pPr>
              <w:pStyle w:val="BodyText"/>
            </w:pPr>
            <w:r>
              <w:t>2018–19</w:t>
            </w:r>
          </w:p>
        </w:tc>
        <w:tc>
          <w:tcPr>
            <w:tcW w:w="1000" w:type="pct"/>
          </w:tcPr>
          <w:p w:rsidR="008E273C" w:rsidRDefault="008E273C" w:rsidP="00AC4959">
            <w:pPr>
              <w:pStyle w:val="BodyText"/>
            </w:pPr>
            <w:r>
              <w:t>≥98%</w:t>
            </w:r>
          </w:p>
        </w:tc>
        <w:tc>
          <w:tcPr>
            <w:tcW w:w="1000" w:type="pct"/>
          </w:tcPr>
          <w:p w:rsidR="008E273C" w:rsidRDefault="008E273C" w:rsidP="00AC4959">
            <w:pPr>
              <w:pStyle w:val="BodyText"/>
            </w:pPr>
            <w:r>
              <w:t>99.0%</w:t>
            </w:r>
          </w:p>
        </w:tc>
        <w:tc>
          <w:tcPr>
            <w:tcW w:w="1000" w:type="pct"/>
          </w:tcPr>
          <w:p w:rsidR="008E273C" w:rsidRPr="00B27DB9" w:rsidRDefault="00B27DB9" w:rsidP="00B27DB9">
            <w:pPr>
              <w:pStyle w:val="BodyText"/>
            </w:pPr>
            <w:r w:rsidRPr="00B27DB9">
              <w:t>Yes</w:t>
            </w:r>
          </w:p>
        </w:tc>
        <w:tc>
          <w:tcPr>
            <w:tcW w:w="1000" w:type="pct"/>
          </w:tcPr>
          <w:p w:rsidR="008E273C" w:rsidRDefault="008E273C" w:rsidP="00AC4959">
            <w:pPr>
              <w:pStyle w:val="BodyText"/>
            </w:pPr>
            <w:r>
              <w:t>–0.1</w:t>
            </w:r>
          </w:p>
        </w:tc>
      </w:tr>
      <w:tr w:rsidR="008E273C" w:rsidTr="00AC4959">
        <w:trPr>
          <w:trHeight w:val="376"/>
        </w:trPr>
        <w:tc>
          <w:tcPr>
            <w:tcW w:w="1000" w:type="pct"/>
          </w:tcPr>
          <w:p w:rsidR="008E273C" w:rsidRDefault="008E273C" w:rsidP="00AC4959">
            <w:pPr>
              <w:pStyle w:val="BodyText"/>
            </w:pPr>
            <w:r>
              <w:t>2017–18</w:t>
            </w:r>
          </w:p>
        </w:tc>
        <w:tc>
          <w:tcPr>
            <w:tcW w:w="1000" w:type="pct"/>
          </w:tcPr>
          <w:p w:rsidR="008E273C" w:rsidRDefault="008E273C" w:rsidP="00AC4959">
            <w:pPr>
              <w:pStyle w:val="BodyText"/>
            </w:pPr>
            <w:r>
              <w:t>≥98%</w:t>
            </w:r>
          </w:p>
        </w:tc>
        <w:tc>
          <w:tcPr>
            <w:tcW w:w="1000" w:type="pct"/>
          </w:tcPr>
          <w:p w:rsidR="008E273C" w:rsidRDefault="008E273C" w:rsidP="00AC4959">
            <w:pPr>
              <w:pStyle w:val="BodyText"/>
            </w:pPr>
            <w:r>
              <w:t>99.1%</w:t>
            </w:r>
          </w:p>
        </w:tc>
        <w:tc>
          <w:tcPr>
            <w:tcW w:w="1000" w:type="pct"/>
          </w:tcPr>
          <w:p w:rsidR="008E273C" w:rsidRPr="00B27DB9" w:rsidRDefault="00B27DB9" w:rsidP="00B27DB9">
            <w:pPr>
              <w:pStyle w:val="BodyText"/>
            </w:pPr>
            <w:r w:rsidRPr="00B27DB9">
              <w:t>Yes</w:t>
            </w:r>
          </w:p>
        </w:tc>
        <w:tc>
          <w:tcPr>
            <w:tcW w:w="1000" w:type="pct"/>
          </w:tcPr>
          <w:p w:rsidR="008E273C" w:rsidRDefault="008E273C" w:rsidP="00AC4959">
            <w:pPr>
              <w:pStyle w:val="BodyText"/>
            </w:pPr>
            <w:r>
              <w:t>–0.2</w:t>
            </w:r>
          </w:p>
        </w:tc>
      </w:tr>
    </w:tbl>
    <w:p w:rsidR="008E273C" w:rsidRDefault="00AC4959" w:rsidP="00AC4959">
      <w:pPr>
        <w:pStyle w:val="BodyText"/>
        <w:rPr>
          <w:rStyle w:val="Bold"/>
        </w:rPr>
      </w:pPr>
      <w:r>
        <w:rPr>
          <w:rStyle w:val="Bold"/>
        </w:rPr>
        <w:t>Analysis</w:t>
      </w:r>
    </w:p>
    <w:p w:rsidR="008E273C" w:rsidRDefault="008E273C" w:rsidP="008E273C">
      <w:pPr>
        <w:pStyle w:val="BodyText"/>
      </w:pPr>
      <w:r>
        <w:t>The agency met digital service level standards relating to availability of ICT services, with customers able to access ICT systems 99 per cent of the time throughout 2019–20.</w:t>
      </w:r>
    </w:p>
    <w:p w:rsidR="008E273C" w:rsidRDefault="008E273C" w:rsidP="008E273C">
      <w:pPr>
        <w:pStyle w:val="BodyText"/>
      </w:pPr>
      <w:r>
        <w:t>The digital experience of self-service customers using Centrelink online accounts and Express Plus Centrelink mobile applications, continued to perform above the 98 per cent availability target, for 24/7 customer access.</w:t>
      </w:r>
    </w:p>
    <w:p w:rsidR="008E273C" w:rsidRDefault="008E273C" w:rsidP="008E273C">
      <w:pPr>
        <w:pStyle w:val="BodyText"/>
      </w:pPr>
      <w:r>
        <w:t xml:space="preserve">Multiple IT changes between March 2020 and June 2020 enabled Centrelink online accounts to play a major role in delivering COVID-19 economic stimulus measures to customers in need. In addition, the Express </w:t>
      </w:r>
      <w:proofErr w:type="gramStart"/>
      <w:r>
        <w:t>Plus</w:t>
      </w:r>
      <w:proofErr w:type="gramEnd"/>
      <w:r>
        <w:t xml:space="preserve"> Centrelink mobile applications delivered significant improvements through simpler processes for students and the Update Study Details service. For more information, see </w:t>
      </w:r>
      <w:r>
        <w:rPr>
          <w:rStyle w:val="Italic"/>
        </w:rPr>
        <w:t>Digital Services</w:t>
      </w:r>
      <w:r>
        <w:t xml:space="preserve"> on pa</w:t>
      </w:r>
      <w:r>
        <w:rPr>
          <w:rStyle w:val="NoBreak"/>
        </w:rPr>
        <w:t>ge 2.</w:t>
      </w:r>
    </w:p>
    <w:p w:rsidR="008E273C" w:rsidRDefault="008E273C" w:rsidP="008E273C">
      <w:pPr>
        <w:pStyle w:val="BodyText"/>
      </w:pPr>
      <w:r>
        <w:t xml:space="preserve">A push notification for Express </w:t>
      </w:r>
      <w:proofErr w:type="gramStart"/>
      <w:r>
        <w:t>Plus</w:t>
      </w:r>
      <w:proofErr w:type="gramEnd"/>
      <w:r>
        <w:t xml:space="preserve"> Centrelink mobile applications was released during 2019–20, significantly improving communication to customers during outages. </w:t>
      </w:r>
    </w:p>
    <w:p w:rsidR="008E273C" w:rsidRDefault="008E273C" w:rsidP="008E273C">
      <w:pPr>
        <w:pStyle w:val="BodyText"/>
      </w:pPr>
      <w:r>
        <w:t xml:space="preserve">The COVID-19 pandemic affected the Centrelink online accounts and Express </w:t>
      </w:r>
      <w:proofErr w:type="gramStart"/>
      <w:r>
        <w:t>Plus</w:t>
      </w:r>
      <w:proofErr w:type="gramEnd"/>
      <w:r>
        <w:t xml:space="preserve"> Centrelink mobile applications from Sunday 22 March until Mo</w:t>
      </w:r>
      <w:r>
        <w:rPr>
          <w:rStyle w:val="NoBreak"/>
        </w:rPr>
        <w:t>nday 30 Marc</w:t>
      </w:r>
      <w:r>
        <w:t xml:space="preserve">h following the Government’s announcement of the economic stimulus package. Some customers experienced access issues due to increased traffic during this period. </w:t>
      </w:r>
    </w:p>
    <w:p w:rsidR="008E273C" w:rsidRDefault="00AC4959" w:rsidP="008E273C">
      <w:pPr>
        <w:pStyle w:val="BodyText"/>
      </w:pPr>
      <w:r w:rsidRPr="00AC4959">
        <w:t>Method</w:t>
      </w:r>
      <w:r w:rsidR="008E273C">
        <w:tab/>
        <w:t>Data mining.</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DA1FF6">
      <w:pPr>
        <w:pStyle w:val="ListBullet"/>
        <w:tabs>
          <w:tab w:val="clear" w:pos="360"/>
          <w:tab w:val="clear" w:pos="1066"/>
          <w:tab w:val="num" w:pos="1437"/>
        </w:tabs>
        <w:ind w:left="1434"/>
      </w:pPr>
      <w:r>
        <w:t>‘service excellence’ and ‘service enablers’ strategic pillars</w:t>
      </w:r>
    </w:p>
    <w:p w:rsidR="008E273C" w:rsidRDefault="008E273C" w:rsidP="00DA1FF6">
      <w:pPr>
        <w:pStyle w:val="ListBullet"/>
        <w:tabs>
          <w:tab w:val="clear" w:pos="360"/>
          <w:tab w:val="clear" w:pos="1066"/>
          <w:tab w:val="num" w:pos="1437"/>
        </w:tabs>
        <w:ind w:left="1434"/>
      </w:pPr>
      <w:r>
        <w:tab/>
        <w:t>‘</w:t>
      </w:r>
      <w:proofErr w:type="gramStart"/>
      <w:r>
        <w:t>customer</w:t>
      </w:r>
      <w:proofErr w:type="gramEnd"/>
      <w:r>
        <w:t xml:space="preserve"> satisfaction’, ‘ease and timeliness of service’ and ‘customers interacting digitally’ key performance areas.</w:t>
      </w:r>
    </w:p>
    <w:p w:rsidR="008E273C" w:rsidRDefault="00AC4959" w:rsidP="008E273C">
      <w:pPr>
        <w:pStyle w:val="BodyText"/>
      </w:pPr>
      <w:r w:rsidRPr="00AC4959">
        <w:t>Reference</w:t>
      </w:r>
      <w:r w:rsidRPr="00AC4959">
        <w:tab/>
      </w:r>
      <w:r w:rsidR="008E273C">
        <w:t>2019–20 PBS, page 30.</w:t>
      </w:r>
    </w:p>
    <w:p w:rsidR="008E273C" w:rsidRDefault="00AC4959" w:rsidP="008E273C">
      <w:pPr>
        <w:pStyle w:val="BodyText"/>
      </w:pPr>
      <w:r w:rsidRPr="00AC4959">
        <w:t>Data source</w:t>
      </w:r>
      <w:r w:rsidRPr="00AC4959">
        <w:tab/>
      </w:r>
      <w:proofErr w:type="gramStart"/>
      <w:r w:rsidR="008E273C">
        <w:t>Internal</w:t>
      </w:r>
      <w:proofErr w:type="gramEnd"/>
      <w:r w:rsidR="008E273C">
        <w:t xml:space="preserve"> data sources including incident records, problem records, and scheduled maintenance periods are used to calculate availability results.</w:t>
      </w:r>
    </w:p>
    <w:p w:rsidR="00DA1FF6" w:rsidRDefault="00DA1FF6" w:rsidP="008E273C">
      <w:pPr>
        <w:pStyle w:val="Heading5"/>
        <w:rPr>
          <w:rStyle w:val="Bolditalic"/>
        </w:rPr>
      </w:pPr>
      <w:r>
        <w:lastRenderedPageBreak/>
        <w:t>Criterion 5</w:t>
      </w:r>
      <w:r w:rsidR="008E273C">
        <w:t xml:space="preserve">—Achievement of payment quality standards: Centrelink: Delivery of correct customer payments </w:t>
      </w:r>
      <w:r w:rsidR="008E273C" w:rsidRPr="00DA1FF6">
        <w:rPr>
          <w:i/>
        </w:rPr>
        <w:t>(PBS)</w:t>
      </w:r>
    </w:p>
    <w:p w:rsidR="008E273C" w:rsidRDefault="008E273C" w:rsidP="008E273C">
      <w:pPr>
        <w:pStyle w:val="Heading5"/>
      </w:pPr>
      <w:r>
        <w:t xml:space="preserve">Correct payments: Customers receive payments free of administrative and/or processing errors (social security and welfare) </w:t>
      </w:r>
      <w:r w:rsidRPr="00DA1FF6">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5 Overview"/>
        <w:tblDescription w:val="Criterion 5 Overview"/>
      </w:tblPr>
      <w:tblGrid>
        <w:gridCol w:w="2220"/>
        <w:gridCol w:w="2219"/>
        <w:gridCol w:w="2219"/>
        <w:gridCol w:w="2219"/>
        <w:gridCol w:w="2219"/>
      </w:tblGrid>
      <w:tr w:rsidR="008E273C" w:rsidTr="00DA1FF6">
        <w:trPr>
          <w:trHeight w:val="376"/>
          <w:tblHeader/>
        </w:trPr>
        <w:tc>
          <w:tcPr>
            <w:tcW w:w="1000" w:type="pct"/>
          </w:tcPr>
          <w:p w:rsidR="008E273C" w:rsidRPr="00DA1FF6" w:rsidRDefault="008E273C" w:rsidP="00DA1FF6">
            <w:pPr>
              <w:pStyle w:val="BodyText"/>
              <w:rPr>
                <w:b/>
              </w:rPr>
            </w:pPr>
            <w:r w:rsidRPr="00DA1FF6">
              <w:rPr>
                <w:b/>
              </w:rPr>
              <w:t>Year</w:t>
            </w:r>
          </w:p>
        </w:tc>
        <w:tc>
          <w:tcPr>
            <w:tcW w:w="1000" w:type="pct"/>
          </w:tcPr>
          <w:p w:rsidR="008E273C" w:rsidRPr="00DA1FF6" w:rsidRDefault="008E273C" w:rsidP="00DA1FF6">
            <w:pPr>
              <w:pStyle w:val="BodyText"/>
              <w:rPr>
                <w:b/>
              </w:rPr>
            </w:pPr>
            <w:r w:rsidRPr="00DA1FF6">
              <w:rPr>
                <w:b/>
              </w:rPr>
              <w:t>Target</w:t>
            </w:r>
          </w:p>
        </w:tc>
        <w:tc>
          <w:tcPr>
            <w:tcW w:w="1000" w:type="pct"/>
          </w:tcPr>
          <w:p w:rsidR="008E273C" w:rsidRPr="00DA1FF6" w:rsidRDefault="008E273C" w:rsidP="00DA1FF6">
            <w:pPr>
              <w:pStyle w:val="BodyText"/>
              <w:rPr>
                <w:b/>
              </w:rPr>
            </w:pPr>
            <w:r w:rsidRPr="00DA1FF6">
              <w:rPr>
                <w:b/>
              </w:rPr>
              <w:t>Result</w:t>
            </w:r>
          </w:p>
        </w:tc>
        <w:tc>
          <w:tcPr>
            <w:tcW w:w="1000" w:type="pct"/>
          </w:tcPr>
          <w:p w:rsidR="008E273C" w:rsidRPr="00DA1FF6" w:rsidRDefault="008E273C" w:rsidP="00DA1FF6">
            <w:pPr>
              <w:pStyle w:val="BodyText"/>
              <w:rPr>
                <w:b/>
              </w:rPr>
            </w:pPr>
            <w:r w:rsidRPr="00DA1FF6">
              <w:rPr>
                <w:b/>
              </w:rPr>
              <w:t>Achieved</w:t>
            </w:r>
          </w:p>
        </w:tc>
        <w:tc>
          <w:tcPr>
            <w:tcW w:w="1000" w:type="pct"/>
          </w:tcPr>
          <w:p w:rsidR="00DA1FF6" w:rsidRDefault="008E273C" w:rsidP="00DA1FF6">
            <w:pPr>
              <w:pStyle w:val="BodyText"/>
              <w:rPr>
                <w:b/>
              </w:rPr>
            </w:pPr>
            <w:r w:rsidRPr="00DA1FF6">
              <w:rPr>
                <w:b/>
              </w:rPr>
              <w:t>Change</w:t>
            </w:r>
          </w:p>
          <w:p w:rsidR="008E273C" w:rsidRPr="00DA1FF6" w:rsidRDefault="008E273C" w:rsidP="00DA1FF6">
            <w:pPr>
              <w:pStyle w:val="BodyText"/>
              <w:rPr>
                <w:b/>
              </w:rPr>
            </w:pPr>
            <w:r w:rsidRPr="00DA1FF6">
              <w:rPr>
                <w:b/>
              </w:rPr>
              <w:t>(% points)</w:t>
            </w:r>
          </w:p>
        </w:tc>
      </w:tr>
      <w:tr w:rsidR="008E273C" w:rsidTr="00DA1FF6">
        <w:trPr>
          <w:trHeight w:val="376"/>
        </w:trPr>
        <w:tc>
          <w:tcPr>
            <w:tcW w:w="1000" w:type="pct"/>
          </w:tcPr>
          <w:p w:rsidR="008E273C" w:rsidRDefault="008E273C" w:rsidP="00DA1FF6">
            <w:pPr>
              <w:pStyle w:val="BodyText"/>
            </w:pPr>
            <w:r>
              <w:t>2019–20</w:t>
            </w:r>
          </w:p>
        </w:tc>
        <w:tc>
          <w:tcPr>
            <w:tcW w:w="1000" w:type="pct"/>
          </w:tcPr>
          <w:p w:rsidR="008E273C" w:rsidRDefault="008E273C" w:rsidP="00DA1FF6">
            <w:pPr>
              <w:pStyle w:val="BodyText"/>
            </w:pPr>
            <w:r>
              <w:t>≥95%</w:t>
            </w:r>
          </w:p>
        </w:tc>
        <w:tc>
          <w:tcPr>
            <w:tcW w:w="1000" w:type="pct"/>
          </w:tcPr>
          <w:p w:rsidR="008E273C" w:rsidRDefault="008E273C" w:rsidP="00DA1FF6">
            <w:pPr>
              <w:pStyle w:val="BodyText"/>
            </w:pPr>
            <w:r>
              <w:t>98.5%</w:t>
            </w:r>
          </w:p>
        </w:tc>
        <w:tc>
          <w:tcPr>
            <w:tcW w:w="1000" w:type="pct"/>
          </w:tcPr>
          <w:p w:rsidR="008E273C" w:rsidRPr="00B27DB9" w:rsidRDefault="00B27DB9" w:rsidP="00B27DB9">
            <w:pPr>
              <w:pStyle w:val="BodyText"/>
            </w:pPr>
            <w:r w:rsidRPr="00B27DB9">
              <w:t>Yes</w:t>
            </w:r>
          </w:p>
        </w:tc>
        <w:tc>
          <w:tcPr>
            <w:tcW w:w="1000" w:type="pct"/>
          </w:tcPr>
          <w:p w:rsidR="008E273C" w:rsidRDefault="008E273C" w:rsidP="00DA1FF6">
            <w:pPr>
              <w:pStyle w:val="BodyText"/>
            </w:pPr>
            <w:r>
              <w:t>+0.2</w:t>
            </w:r>
          </w:p>
        </w:tc>
      </w:tr>
      <w:tr w:rsidR="008E273C" w:rsidTr="00DA1FF6">
        <w:trPr>
          <w:trHeight w:val="376"/>
        </w:trPr>
        <w:tc>
          <w:tcPr>
            <w:tcW w:w="1000" w:type="pct"/>
          </w:tcPr>
          <w:p w:rsidR="008E273C" w:rsidRDefault="008E273C" w:rsidP="00DA1FF6">
            <w:pPr>
              <w:pStyle w:val="BodyText"/>
            </w:pPr>
            <w:r>
              <w:t>2018–19</w:t>
            </w:r>
          </w:p>
        </w:tc>
        <w:tc>
          <w:tcPr>
            <w:tcW w:w="1000" w:type="pct"/>
          </w:tcPr>
          <w:p w:rsidR="008E273C" w:rsidRDefault="008E273C" w:rsidP="00DA1FF6">
            <w:pPr>
              <w:pStyle w:val="BodyText"/>
            </w:pPr>
            <w:r>
              <w:t>≥95%</w:t>
            </w:r>
          </w:p>
        </w:tc>
        <w:tc>
          <w:tcPr>
            <w:tcW w:w="1000" w:type="pct"/>
          </w:tcPr>
          <w:p w:rsidR="008E273C" w:rsidRDefault="008E273C" w:rsidP="00DA1FF6">
            <w:pPr>
              <w:pStyle w:val="BodyText"/>
            </w:pPr>
            <w:r>
              <w:t>98.3%</w:t>
            </w:r>
          </w:p>
        </w:tc>
        <w:tc>
          <w:tcPr>
            <w:tcW w:w="1000" w:type="pct"/>
          </w:tcPr>
          <w:p w:rsidR="008E273C" w:rsidRPr="00B27DB9" w:rsidRDefault="00B27DB9" w:rsidP="00B27DB9">
            <w:pPr>
              <w:pStyle w:val="BodyText"/>
            </w:pPr>
            <w:r w:rsidRPr="00B27DB9">
              <w:t>Yes</w:t>
            </w:r>
          </w:p>
        </w:tc>
        <w:tc>
          <w:tcPr>
            <w:tcW w:w="1000" w:type="pct"/>
          </w:tcPr>
          <w:p w:rsidR="008E273C" w:rsidRDefault="008E273C" w:rsidP="00DA1FF6">
            <w:pPr>
              <w:pStyle w:val="BodyText"/>
            </w:pPr>
            <w:r>
              <w:t>–0.2</w:t>
            </w:r>
          </w:p>
        </w:tc>
      </w:tr>
      <w:tr w:rsidR="008E273C" w:rsidTr="00DA1FF6">
        <w:trPr>
          <w:trHeight w:val="376"/>
        </w:trPr>
        <w:tc>
          <w:tcPr>
            <w:tcW w:w="1000" w:type="pct"/>
          </w:tcPr>
          <w:p w:rsidR="008E273C" w:rsidRDefault="008E273C" w:rsidP="00DA1FF6">
            <w:pPr>
              <w:pStyle w:val="BodyText"/>
            </w:pPr>
            <w:r>
              <w:t>2017–18</w:t>
            </w:r>
          </w:p>
        </w:tc>
        <w:tc>
          <w:tcPr>
            <w:tcW w:w="1000" w:type="pct"/>
          </w:tcPr>
          <w:p w:rsidR="008E273C" w:rsidRDefault="008E273C" w:rsidP="00DA1FF6">
            <w:pPr>
              <w:pStyle w:val="BodyText"/>
            </w:pPr>
            <w:r>
              <w:t>≥95%</w:t>
            </w:r>
          </w:p>
        </w:tc>
        <w:tc>
          <w:tcPr>
            <w:tcW w:w="1000" w:type="pct"/>
          </w:tcPr>
          <w:p w:rsidR="008E273C" w:rsidRDefault="008E273C" w:rsidP="00DA1FF6">
            <w:pPr>
              <w:pStyle w:val="BodyText"/>
            </w:pPr>
            <w:r>
              <w:t>98.5%</w:t>
            </w:r>
          </w:p>
        </w:tc>
        <w:tc>
          <w:tcPr>
            <w:tcW w:w="1000" w:type="pct"/>
          </w:tcPr>
          <w:p w:rsidR="008E273C" w:rsidRPr="00B27DB9" w:rsidRDefault="00B27DB9" w:rsidP="00B27DB9">
            <w:pPr>
              <w:pStyle w:val="BodyText"/>
            </w:pPr>
            <w:r w:rsidRPr="00B27DB9">
              <w:t>Yes</w:t>
            </w:r>
          </w:p>
        </w:tc>
        <w:tc>
          <w:tcPr>
            <w:tcW w:w="1000" w:type="pct"/>
          </w:tcPr>
          <w:p w:rsidR="008E273C" w:rsidRDefault="008E273C" w:rsidP="00DA1FF6">
            <w:pPr>
              <w:pStyle w:val="BodyText"/>
            </w:pPr>
            <w:r>
              <w:t>+0.2</w:t>
            </w:r>
          </w:p>
        </w:tc>
      </w:tr>
    </w:tbl>
    <w:p w:rsidR="008E273C" w:rsidRDefault="00AC4959" w:rsidP="00AC4959">
      <w:pPr>
        <w:pStyle w:val="BodyText"/>
        <w:rPr>
          <w:rStyle w:val="Bold"/>
        </w:rPr>
      </w:pPr>
      <w:r>
        <w:rPr>
          <w:rStyle w:val="Bold"/>
        </w:rPr>
        <w:t>Analysis</w:t>
      </w:r>
    </w:p>
    <w:p w:rsidR="008E273C" w:rsidRDefault="008E273C" w:rsidP="008E273C">
      <w:pPr>
        <w:pStyle w:val="BodyText"/>
      </w:pPr>
      <w:r>
        <w:t>The agency met the annual target in 2019–20, with a slight improvement on the 98.3 per cent result in 2018–19.</w:t>
      </w:r>
    </w:p>
    <w:p w:rsidR="008E273C" w:rsidRDefault="008E273C" w:rsidP="008E273C">
      <w:pPr>
        <w:pStyle w:val="BodyText"/>
      </w:pPr>
      <w:r>
        <w:t>Payment correctness results are extracted from the Random Review Results System (RRRS) and Integrated Review Systems, administrative error detected from Random Sample Survey Reviews are recorded within the RRRS and Integrated Review Systems.</w:t>
      </w:r>
    </w:p>
    <w:p w:rsidR="008E273C" w:rsidRDefault="008E273C" w:rsidP="008E273C">
      <w:pPr>
        <w:pStyle w:val="BodyText"/>
      </w:pPr>
      <w:r>
        <w:t>Payment correctness for the 2019–20 financial year was calculated based on Trimester 1 (July to October) and Trimester 2 (November to February) due to the impact of COVID-19. Payment correctness assurance will be further strengthened with the removal of the limitation of recording no more than four errors within the RRRS.</w:t>
      </w:r>
    </w:p>
    <w:p w:rsidR="008E273C" w:rsidRDefault="008E273C" w:rsidP="008E273C">
      <w:pPr>
        <w:pStyle w:val="BodyText"/>
      </w:pPr>
      <w:r>
        <w:t xml:space="preserve">Payment correctness is expected to improve as the agency continues to </w:t>
      </w:r>
      <w:proofErr w:type="gramStart"/>
      <w:r>
        <w:t>expand  self</w:t>
      </w:r>
      <w:proofErr w:type="gramEnd"/>
      <w:r>
        <w:t xml:space="preserve">-service options and automated actions, which will reduce the risk of staff error. Payment correctness is supported by the modernisation of systems, appropriate staff training, and the agency’s 2025 vision for integrity of ‘the right payment, to the right person, at the right time, without their active involvement’. For more information see </w:t>
      </w:r>
      <w:r>
        <w:rPr>
          <w:rStyle w:val="Italic"/>
        </w:rPr>
        <w:t>Payment accuracy and correctnes</w:t>
      </w:r>
      <w:r>
        <w:t>s on page 66.</w:t>
      </w:r>
    </w:p>
    <w:p w:rsidR="008E273C" w:rsidRDefault="00AC4959" w:rsidP="008E273C">
      <w:pPr>
        <w:pStyle w:val="BodyText"/>
      </w:pPr>
      <w:r w:rsidRPr="00AC4959">
        <w:t>Method</w:t>
      </w:r>
      <w:r w:rsidR="008E273C">
        <w:tab/>
        <w:t>Data mining.</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DA1FF6">
      <w:pPr>
        <w:pStyle w:val="ListBullet"/>
        <w:tabs>
          <w:tab w:val="clear" w:pos="360"/>
          <w:tab w:val="clear" w:pos="1066"/>
          <w:tab w:val="num" w:pos="1437"/>
        </w:tabs>
        <w:ind w:left="1434"/>
      </w:pPr>
      <w:r>
        <w:tab/>
        <w:t>‘service excellence’ and ‘people and culture’ strategic pillars</w:t>
      </w:r>
    </w:p>
    <w:p w:rsidR="008E273C" w:rsidRDefault="008E273C" w:rsidP="00DA1FF6">
      <w:pPr>
        <w:pStyle w:val="ListBullet"/>
        <w:tabs>
          <w:tab w:val="clear" w:pos="360"/>
          <w:tab w:val="clear" w:pos="1066"/>
          <w:tab w:val="num" w:pos="1437"/>
        </w:tabs>
        <w:ind w:left="1434"/>
      </w:pPr>
      <w:r>
        <w:tab/>
        <w:t>‘</w:t>
      </w:r>
      <w:proofErr w:type="gramStart"/>
      <w:r>
        <w:t>customer</w:t>
      </w:r>
      <w:proofErr w:type="gramEnd"/>
      <w:r>
        <w:t xml:space="preserve"> satisfaction’ and ‘correct payments’ key performance areas.</w:t>
      </w:r>
    </w:p>
    <w:p w:rsidR="008E273C" w:rsidRDefault="00AC4959" w:rsidP="008E273C">
      <w:pPr>
        <w:pStyle w:val="BodyText"/>
      </w:pPr>
      <w:r w:rsidRPr="00AC4959">
        <w:t>Reference</w:t>
      </w:r>
      <w:r w:rsidRPr="00AC4959">
        <w:tab/>
      </w:r>
      <w:r w:rsidR="008E273C">
        <w:t>2019–20 PBS, page 31; 2019–20 Corporate Plan, page 14 (pdf), 9 (doc).</w:t>
      </w:r>
    </w:p>
    <w:p w:rsidR="008E273C" w:rsidRDefault="00AC4959" w:rsidP="008E273C">
      <w:pPr>
        <w:pStyle w:val="BodyText"/>
      </w:pPr>
      <w:r w:rsidRPr="00AC4959">
        <w:t>Data source</w:t>
      </w:r>
      <w:r w:rsidR="008E273C">
        <w:tab/>
        <w:t>Extracts from the Random Review Results System (RRRS) and Integrated Review Systems.</w:t>
      </w:r>
    </w:p>
    <w:p w:rsidR="00DA1FF6" w:rsidRDefault="00DA1FF6" w:rsidP="008E273C">
      <w:pPr>
        <w:pStyle w:val="Heading5"/>
        <w:rPr>
          <w:rStyle w:val="Bolditalic"/>
        </w:rPr>
      </w:pPr>
      <w:r>
        <w:t>Criterion 6</w:t>
      </w:r>
      <w:r w:rsidR="008E273C">
        <w:t xml:space="preserve">—Achievement of face-to-face service level standards: Average wait time </w:t>
      </w:r>
      <w:r w:rsidR="008E273C" w:rsidRPr="00DA1FF6">
        <w:rPr>
          <w:i/>
        </w:rPr>
        <w:t>(PBS)</w:t>
      </w:r>
    </w:p>
    <w:p w:rsidR="008E273C" w:rsidRDefault="008E273C" w:rsidP="008E273C">
      <w:pPr>
        <w:pStyle w:val="Heading5"/>
        <w:rPr>
          <w:rStyle w:val="NoBreak"/>
        </w:rPr>
      </w:pPr>
      <w:r>
        <w:lastRenderedPageBreak/>
        <w:t>Ease and timeliness: Face-to-face service level standards—average wa</w:t>
      </w:r>
      <w:r>
        <w:rPr>
          <w:rStyle w:val="NoBreak"/>
        </w:rPr>
        <w:t>it time</w:t>
      </w:r>
      <w:r w:rsidRPr="00DA1FF6">
        <w:rPr>
          <w:i/>
        </w:rPr>
        <w:t xml:space="preserve"> (Corporate Plan)</w:t>
      </w:r>
    </w:p>
    <w:p w:rsidR="008E273C" w:rsidRPr="000F40EE" w:rsidRDefault="00AC4959" w:rsidP="000F40EE">
      <w:pPr>
        <w:pStyle w:val="BodyText"/>
      </w:pPr>
      <w:r w:rsidRPr="000F40EE">
        <w:rPr>
          <w:rStyle w:val="Bold"/>
          <w:bCs w:val="0"/>
          <w:color w:val="auto"/>
        </w:rPr>
        <w:t>Overview</w:t>
      </w:r>
    </w:p>
    <w:tbl>
      <w:tblPr>
        <w:tblStyle w:val="TableGrid"/>
        <w:tblW w:w="5000" w:type="pct"/>
        <w:tblLook w:val="0000" w:firstRow="0" w:lastRow="0" w:firstColumn="0" w:lastColumn="0" w:noHBand="0" w:noVBand="0"/>
        <w:tblCaption w:val="Criterion 6 Overview"/>
        <w:tblDescription w:val="Criterion 6 Overview"/>
      </w:tblPr>
      <w:tblGrid>
        <w:gridCol w:w="2219"/>
        <w:gridCol w:w="2219"/>
        <w:gridCol w:w="2561"/>
        <w:gridCol w:w="1778"/>
        <w:gridCol w:w="2319"/>
      </w:tblGrid>
      <w:tr w:rsidR="008E273C" w:rsidTr="00DA1FF6">
        <w:trPr>
          <w:trHeight w:val="376"/>
          <w:tblHeader/>
        </w:trPr>
        <w:tc>
          <w:tcPr>
            <w:tcW w:w="1000" w:type="pct"/>
          </w:tcPr>
          <w:p w:rsidR="008E273C" w:rsidRPr="006B3127" w:rsidRDefault="008E273C" w:rsidP="00DA1FF6">
            <w:pPr>
              <w:pStyle w:val="BodyText"/>
              <w:rPr>
                <w:b/>
              </w:rPr>
            </w:pPr>
            <w:r w:rsidRPr="006B3127">
              <w:rPr>
                <w:b/>
              </w:rPr>
              <w:t>Year</w:t>
            </w:r>
          </w:p>
        </w:tc>
        <w:tc>
          <w:tcPr>
            <w:tcW w:w="1000" w:type="pct"/>
          </w:tcPr>
          <w:p w:rsidR="008E273C" w:rsidRPr="006B3127" w:rsidRDefault="008E273C" w:rsidP="00DA1FF6">
            <w:pPr>
              <w:pStyle w:val="BodyText"/>
              <w:rPr>
                <w:b/>
              </w:rPr>
            </w:pPr>
            <w:r w:rsidRPr="006B3127">
              <w:rPr>
                <w:b/>
              </w:rPr>
              <w:t>Target</w:t>
            </w:r>
          </w:p>
        </w:tc>
        <w:tc>
          <w:tcPr>
            <w:tcW w:w="1154" w:type="pct"/>
          </w:tcPr>
          <w:p w:rsidR="008E273C" w:rsidRPr="006B3127" w:rsidRDefault="008E273C" w:rsidP="00DA1FF6">
            <w:pPr>
              <w:pStyle w:val="BodyText"/>
              <w:rPr>
                <w:b/>
              </w:rPr>
            </w:pPr>
            <w:r w:rsidRPr="006B3127">
              <w:rPr>
                <w:b/>
              </w:rPr>
              <w:t>Result</w:t>
            </w:r>
          </w:p>
        </w:tc>
        <w:tc>
          <w:tcPr>
            <w:tcW w:w="801" w:type="pct"/>
          </w:tcPr>
          <w:p w:rsidR="008E273C" w:rsidRPr="006B3127" w:rsidRDefault="008E273C" w:rsidP="00DA1FF6">
            <w:pPr>
              <w:pStyle w:val="BodyText"/>
              <w:rPr>
                <w:b/>
              </w:rPr>
            </w:pPr>
            <w:r w:rsidRPr="006B3127">
              <w:rPr>
                <w:b/>
              </w:rPr>
              <w:t>Achieved</w:t>
            </w:r>
          </w:p>
        </w:tc>
        <w:tc>
          <w:tcPr>
            <w:tcW w:w="1045" w:type="pct"/>
          </w:tcPr>
          <w:p w:rsidR="008E273C" w:rsidRPr="006B3127" w:rsidRDefault="008E273C" w:rsidP="00DA1FF6">
            <w:pPr>
              <w:pStyle w:val="BodyText"/>
              <w:rPr>
                <w:b/>
              </w:rPr>
            </w:pPr>
            <w:r w:rsidRPr="006B3127">
              <w:rPr>
                <w:b/>
              </w:rPr>
              <w:t>Change</w:t>
            </w:r>
          </w:p>
        </w:tc>
      </w:tr>
      <w:tr w:rsidR="008E273C" w:rsidTr="00DA1FF6">
        <w:trPr>
          <w:trHeight w:val="376"/>
        </w:trPr>
        <w:tc>
          <w:tcPr>
            <w:tcW w:w="1000" w:type="pct"/>
          </w:tcPr>
          <w:p w:rsidR="008E273C" w:rsidRDefault="008E273C" w:rsidP="00DA1FF6">
            <w:pPr>
              <w:pStyle w:val="BodyText"/>
            </w:pPr>
            <w:r>
              <w:t>2019–20</w:t>
            </w:r>
          </w:p>
        </w:tc>
        <w:tc>
          <w:tcPr>
            <w:tcW w:w="1000" w:type="pct"/>
          </w:tcPr>
          <w:p w:rsidR="008E273C" w:rsidRDefault="008E273C" w:rsidP="00DA1FF6">
            <w:pPr>
              <w:pStyle w:val="BodyText"/>
            </w:pPr>
            <w:r>
              <w:t>≤15 minutes</w:t>
            </w:r>
          </w:p>
        </w:tc>
        <w:tc>
          <w:tcPr>
            <w:tcW w:w="1154" w:type="pct"/>
          </w:tcPr>
          <w:p w:rsidR="008E273C" w:rsidRDefault="008E273C" w:rsidP="00DA1FF6">
            <w:pPr>
              <w:pStyle w:val="BodyText"/>
            </w:pPr>
            <w:r>
              <w:t>14 min 16 sec</w:t>
            </w:r>
          </w:p>
        </w:tc>
        <w:tc>
          <w:tcPr>
            <w:tcW w:w="801" w:type="pct"/>
          </w:tcPr>
          <w:p w:rsidR="008E273C" w:rsidRPr="00B27DB9" w:rsidRDefault="00B27DB9" w:rsidP="00B27DB9">
            <w:pPr>
              <w:pStyle w:val="BodyText"/>
            </w:pPr>
            <w:r w:rsidRPr="00B27DB9">
              <w:t>Yes</w:t>
            </w:r>
          </w:p>
        </w:tc>
        <w:tc>
          <w:tcPr>
            <w:tcW w:w="1045" w:type="pct"/>
          </w:tcPr>
          <w:p w:rsidR="008E273C" w:rsidRDefault="008E273C" w:rsidP="00DA1FF6">
            <w:pPr>
              <w:pStyle w:val="BodyText"/>
            </w:pPr>
            <w:r>
              <w:t>–54 seconds</w:t>
            </w:r>
          </w:p>
        </w:tc>
      </w:tr>
      <w:tr w:rsidR="008E273C" w:rsidTr="00DA1FF6">
        <w:trPr>
          <w:trHeight w:val="376"/>
        </w:trPr>
        <w:tc>
          <w:tcPr>
            <w:tcW w:w="1000" w:type="pct"/>
          </w:tcPr>
          <w:p w:rsidR="008E273C" w:rsidRDefault="008E273C" w:rsidP="00DA1FF6">
            <w:pPr>
              <w:pStyle w:val="BodyText"/>
            </w:pPr>
            <w:r>
              <w:t>2018–19</w:t>
            </w:r>
          </w:p>
        </w:tc>
        <w:tc>
          <w:tcPr>
            <w:tcW w:w="1000" w:type="pct"/>
          </w:tcPr>
          <w:p w:rsidR="008E273C" w:rsidRDefault="008E273C" w:rsidP="00DA1FF6">
            <w:pPr>
              <w:pStyle w:val="BodyText"/>
            </w:pPr>
            <w:r>
              <w:t>≤15 minutes</w:t>
            </w:r>
          </w:p>
        </w:tc>
        <w:tc>
          <w:tcPr>
            <w:tcW w:w="1154" w:type="pct"/>
          </w:tcPr>
          <w:p w:rsidR="008E273C" w:rsidRDefault="008E273C" w:rsidP="00DA1FF6">
            <w:pPr>
              <w:pStyle w:val="BodyText"/>
            </w:pPr>
            <w:r>
              <w:t>15 min 10 sec</w:t>
            </w:r>
          </w:p>
        </w:tc>
        <w:tc>
          <w:tcPr>
            <w:tcW w:w="801" w:type="pct"/>
          </w:tcPr>
          <w:p w:rsidR="008E273C" w:rsidRPr="00B27DB9" w:rsidRDefault="00B27DB9" w:rsidP="00B27DB9">
            <w:pPr>
              <w:pStyle w:val="BodyText"/>
            </w:pPr>
            <w:r w:rsidRPr="00B27DB9">
              <w:t>No</w:t>
            </w:r>
          </w:p>
        </w:tc>
        <w:tc>
          <w:tcPr>
            <w:tcW w:w="1045" w:type="pct"/>
          </w:tcPr>
          <w:p w:rsidR="008E273C" w:rsidRDefault="008E273C" w:rsidP="00DA1FF6">
            <w:pPr>
              <w:pStyle w:val="BodyText"/>
            </w:pPr>
            <w:r>
              <w:t>+21 seconds</w:t>
            </w:r>
          </w:p>
        </w:tc>
      </w:tr>
      <w:tr w:rsidR="008E273C" w:rsidTr="00DA1FF6">
        <w:trPr>
          <w:trHeight w:val="376"/>
        </w:trPr>
        <w:tc>
          <w:tcPr>
            <w:tcW w:w="1000" w:type="pct"/>
          </w:tcPr>
          <w:p w:rsidR="008E273C" w:rsidRDefault="008E273C" w:rsidP="00DA1FF6">
            <w:pPr>
              <w:pStyle w:val="BodyText"/>
            </w:pPr>
            <w:r>
              <w:t>2017–18</w:t>
            </w:r>
          </w:p>
        </w:tc>
        <w:tc>
          <w:tcPr>
            <w:tcW w:w="1000" w:type="pct"/>
          </w:tcPr>
          <w:p w:rsidR="008E273C" w:rsidRDefault="008E273C" w:rsidP="00DA1FF6">
            <w:pPr>
              <w:pStyle w:val="BodyText"/>
            </w:pPr>
            <w:r>
              <w:t>≤15 minutes</w:t>
            </w:r>
          </w:p>
        </w:tc>
        <w:tc>
          <w:tcPr>
            <w:tcW w:w="1154" w:type="pct"/>
          </w:tcPr>
          <w:p w:rsidR="008E273C" w:rsidRDefault="008E273C" w:rsidP="00DA1FF6">
            <w:pPr>
              <w:pStyle w:val="BodyText"/>
            </w:pPr>
            <w:r>
              <w:t>14 min 49 sec</w:t>
            </w:r>
            <w:r>
              <w:rPr>
                <w:vertAlign w:val="superscript"/>
              </w:rPr>
              <w:t>(a)</w:t>
            </w:r>
          </w:p>
        </w:tc>
        <w:tc>
          <w:tcPr>
            <w:tcW w:w="801" w:type="pct"/>
          </w:tcPr>
          <w:p w:rsidR="008E273C" w:rsidRPr="00B27DB9" w:rsidRDefault="00B27DB9" w:rsidP="00B27DB9">
            <w:pPr>
              <w:pStyle w:val="BodyText"/>
            </w:pPr>
            <w:r w:rsidRPr="00B27DB9">
              <w:t>Yes</w:t>
            </w:r>
          </w:p>
        </w:tc>
        <w:tc>
          <w:tcPr>
            <w:tcW w:w="1045" w:type="pct"/>
          </w:tcPr>
          <w:p w:rsidR="008E273C" w:rsidRDefault="008E273C" w:rsidP="00DA1FF6">
            <w:pPr>
              <w:pStyle w:val="BodyText"/>
            </w:pPr>
            <w:r>
              <w:t>+2 min 45 sec</w:t>
            </w:r>
          </w:p>
        </w:tc>
      </w:tr>
    </w:tbl>
    <w:p w:rsidR="008E273C" w:rsidRDefault="008E273C" w:rsidP="00AC4959">
      <w:pPr>
        <w:pStyle w:val="BodyText"/>
        <w:rPr>
          <w:rStyle w:val="Bold"/>
        </w:rPr>
      </w:pPr>
      <w:r>
        <w:t>(a) The annual result for 2017–18 was incorrect</w:t>
      </w:r>
      <w:r w:rsidR="00DA1FF6">
        <w:t xml:space="preserve">ly reported in the 2017–18 and </w:t>
      </w:r>
      <w:r>
        <w:t xml:space="preserve">2018–19 annual report performance tables as 14 minutes and 29 seconds; the correct result of 14 minutes </w:t>
      </w:r>
      <w:r>
        <w:rPr>
          <w:rStyle w:val="NoBreak"/>
        </w:rPr>
        <w:t>49 se</w:t>
      </w:r>
      <w:r>
        <w:t>conds is now included.</w:t>
      </w:r>
    </w:p>
    <w:p w:rsidR="008E273C" w:rsidRPr="000F40EE" w:rsidRDefault="000F40EE" w:rsidP="000F40EE">
      <w:pPr>
        <w:pStyle w:val="BodyText"/>
        <w:rPr>
          <w:rStyle w:val="Bold"/>
          <w:bCs w:val="0"/>
          <w:color w:val="auto"/>
        </w:rPr>
      </w:pPr>
      <w:r w:rsidRPr="000F40EE">
        <w:rPr>
          <w:rStyle w:val="Bold"/>
          <w:bCs w:val="0"/>
          <w:color w:val="auto"/>
        </w:rPr>
        <w:t>Analysis</w:t>
      </w:r>
    </w:p>
    <w:p w:rsidR="008E273C" w:rsidRDefault="008E273C" w:rsidP="008E273C">
      <w:pPr>
        <w:pStyle w:val="BodyText"/>
      </w:pPr>
      <w:r>
        <w:t>In 2019–20 the average wait time for customers reduced by 54 seconds compared to 2018–19.</w:t>
      </w:r>
    </w:p>
    <w:p w:rsidR="008E273C" w:rsidRDefault="008E273C" w:rsidP="008E273C">
      <w:pPr>
        <w:pStyle w:val="BodyText"/>
      </w:pPr>
      <w:r>
        <w:t>The impact of COVID-19 required the agency to implement health and safety measures to ensure social distancing was maintained in Service Centres. Th</w:t>
      </w:r>
      <w:r>
        <w:rPr>
          <w:rStyle w:val="NoBreak"/>
        </w:rPr>
        <w:t>is i</w:t>
      </w:r>
      <w:r>
        <w:t>ncluded controlled entry and screening questions; suspending the s</w:t>
      </w:r>
      <w:r>
        <w:rPr>
          <w:rStyle w:val="NoBreak"/>
        </w:rPr>
        <w:t>elf-ser</w:t>
      </w:r>
      <w:r>
        <w:t>vice support role; additional support for face-to-face customers; and social distancing arrangements to limit customer numbers in Service Centres, which led to reduced customer demand for face-to-face services—heavily influencing the 2019–20 annual result.</w:t>
      </w:r>
    </w:p>
    <w:p w:rsidR="008E273C" w:rsidRDefault="008E273C" w:rsidP="008E273C">
      <w:pPr>
        <w:pStyle w:val="BodyText"/>
      </w:pPr>
      <w:r>
        <w:t xml:space="preserve">The number of daily face-to-face customer contacts has been significantly </w:t>
      </w:r>
      <w:r>
        <w:rPr>
          <w:spacing w:val="-2"/>
        </w:rPr>
        <w:t xml:space="preserve">impacted by COVID-19, with an increase in customers conducting their business </w:t>
      </w:r>
      <w:r>
        <w:rPr>
          <w:spacing w:val="-4"/>
        </w:rPr>
        <w:t xml:space="preserve">through digital channels. During April, May and June 2020, there was a 40 per cent </w:t>
      </w:r>
      <w:r>
        <w:t>reduction of face-to-face contacts compared to the same period in 2019.</w:t>
      </w:r>
    </w:p>
    <w:p w:rsidR="008E273C" w:rsidRDefault="00AC4959" w:rsidP="008E273C">
      <w:pPr>
        <w:pStyle w:val="BodyText"/>
      </w:pPr>
      <w:r w:rsidRPr="00AC4959">
        <w:t>Method</w:t>
      </w:r>
      <w:r w:rsidR="008E273C">
        <w:tab/>
        <w:t>Data mining.</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DA1FF6">
      <w:pPr>
        <w:pStyle w:val="ListBullet"/>
        <w:tabs>
          <w:tab w:val="clear" w:pos="360"/>
          <w:tab w:val="clear" w:pos="1066"/>
          <w:tab w:val="num" w:pos="1437"/>
        </w:tabs>
        <w:ind w:left="1434"/>
      </w:pPr>
      <w:r>
        <w:t>‘service excellence’ strategic pillar</w:t>
      </w:r>
    </w:p>
    <w:p w:rsidR="008E273C" w:rsidRDefault="008E273C" w:rsidP="00DA1FF6">
      <w:pPr>
        <w:pStyle w:val="ListBullet"/>
        <w:tabs>
          <w:tab w:val="clear" w:pos="360"/>
          <w:tab w:val="clear" w:pos="1066"/>
          <w:tab w:val="num" w:pos="1437"/>
        </w:tabs>
        <w:ind w:left="1434"/>
      </w:pPr>
      <w:r>
        <w:tab/>
        <w:t>‘</w:t>
      </w:r>
      <w:proofErr w:type="gramStart"/>
      <w:r>
        <w:t>ease</w:t>
      </w:r>
      <w:proofErr w:type="gramEnd"/>
      <w:r>
        <w:t xml:space="preserve"> and timeliness of service’ key performance area.</w:t>
      </w:r>
    </w:p>
    <w:p w:rsidR="008E273C" w:rsidRDefault="00AC4959" w:rsidP="008E273C">
      <w:pPr>
        <w:pStyle w:val="BodyText"/>
      </w:pPr>
      <w:r w:rsidRPr="00AC4959">
        <w:t>Reference</w:t>
      </w:r>
      <w:r w:rsidR="008E273C">
        <w:tab/>
        <w:t>2019–20 PBS, page 31; 2019–20 Corporate Plan, page 15 (pdf), 9 (doc).</w:t>
      </w:r>
    </w:p>
    <w:p w:rsidR="008E273C" w:rsidRDefault="00AC4959" w:rsidP="008E273C">
      <w:pPr>
        <w:pStyle w:val="BodyText"/>
        <w:rPr>
          <w:spacing w:val="-2"/>
        </w:rPr>
      </w:pPr>
      <w:r w:rsidRPr="00AC4959">
        <w:t>Data source</w:t>
      </w:r>
      <w:r w:rsidR="008E273C">
        <w:rPr>
          <w:spacing w:val="-2"/>
        </w:rPr>
        <w:tab/>
        <w:t xml:space="preserve">SAPUI5 Front of House application, including Virtual Waiting Room and resolved enquiry data. (This is a single browser-based application that operates on both desktop and mobile devices to </w:t>
      </w:r>
      <w:r w:rsidR="008E273C">
        <w:t>manage front-of-house customer contacts.)</w:t>
      </w:r>
    </w:p>
    <w:p w:rsidR="00DA1FF6" w:rsidRDefault="00DA1FF6" w:rsidP="008E273C">
      <w:pPr>
        <w:pStyle w:val="Heading5"/>
        <w:rPr>
          <w:rStyle w:val="Bolditalic"/>
        </w:rPr>
      </w:pPr>
      <w:r>
        <w:t>Criterion 7</w:t>
      </w:r>
      <w:r w:rsidR="008E273C">
        <w:t>—Achievement of telephony service level standards: Average speed of answer</w:t>
      </w:r>
      <w:r w:rsidR="008E273C">
        <w:rPr>
          <w:rStyle w:val="Bolditalic"/>
        </w:rPr>
        <w:t xml:space="preserve"> </w:t>
      </w:r>
      <w:r w:rsidR="008E273C" w:rsidRPr="00DA1FF6">
        <w:rPr>
          <w:i/>
        </w:rPr>
        <w:t>(PBS)</w:t>
      </w:r>
    </w:p>
    <w:p w:rsidR="008E273C" w:rsidRDefault="008E273C" w:rsidP="008E273C">
      <w:pPr>
        <w:pStyle w:val="Heading5"/>
        <w:rPr>
          <w:rStyle w:val="NoBreak"/>
        </w:rPr>
      </w:pPr>
      <w:r>
        <w:t xml:space="preserve">Ease and timeliness of service: Telephony service level standards—average speed of answer: Social security and welfare customers </w:t>
      </w:r>
      <w:r w:rsidRPr="00DA1FF6">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7 Overview"/>
        <w:tblDescription w:val="Criterion 7 Overview"/>
      </w:tblPr>
      <w:tblGrid>
        <w:gridCol w:w="2220"/>
        <w:gridCol w:w="2219"/>
        <w:gridCol w:w="2343"/>
        <w:gridCol w:w="1851"/>
        <w:gridCol w:w="2463"/>
      </w:tblGrid>
      <w:tr w:rsidR="008E273C" w:rsidTr="00DA1FF6">
        <w:trPr>
          <w:trHeight w:val="376"/>
          <w:tblHeader/>
        </w:trPr>
        <w:tc>
          <w:tcPr>
            <w:tcW w:w="1000" w:type="pct"/>
          </w:tcPr>
          <w:p w:rsidR="008E273C" w:rsidRPr="00DA1FF6" w:rsidRDefault="008E273C" w:rsidP="00DA1FF6">
            <w:pPr>
              <w:pStyle w:val="BodyText"/>
              <w:rPr>
                <w:b/>
              </w:rPr>
            </w:pPr>
            <w:r w:rsidRPr="00DA1FF6">
              <w:rPr>
                <w:b/>
              </w:rPr>
              <w:lastRenderedPageBreak/>
              <w:t>Year</w:t>
            </w:r>
          </w:p>
        </w:tc>
        <w:tc>
          <w:tcPr>
            <w:tcW w:w="1000" w:type="pct"/>
          </w:tcPr>
          <w:p w:rsidR="008E273C" w:rsidRPr="00DA1FF6" w:rsidRDefault="008E273C" w:rsidP="00DA1FF6">
            <w:pPr>
              <w:pStyle w:val="BodyText"/>
              <w:rPr>
                <w:b/>
              </w:rPr>
            </w:pPr>
            <w:r w:rsidRPr="00DA1FF6">
              <w:rPr>
                <w:b/>
              </w:rPr>
              <w:t>Target</w:t>
            </w:r>
          </w:p>
        </w:tc>
        <w:tc>
          <w:tcPr>
            <w:tcW w:w="1056" w:type="pct"/>
          </w:tcPr>
          <w:p w:rsidR="008E273C" w:rsidRPr="00DA1FF6" w:rsidRDefault="008E273C" w:rsidP="00DA1FF6">
            <w:pPr>
              <w:pStyle w:val="BodyText"/>
              <w:rPr>
                <w:b/>
              </w:rPr>
            </w:pPr>
            <w:r w:rsidRPr="00DA1FF6">
              <w:rPr>
                <w:b/>
              </w:rPr>
              <w:t>Result</w:t>
            </w:r>
          </w:p>
        </w:tc>
        <w:tc>
          <w:tcPr>
            <w:tcW w:w="834" w:type="pct"/>
          </w:tcPr>
          <w:p w:rsidR="008E273C" w:rsidRPr="00DA1FF6" w:rsidRDefault="008E273C" w:rsidP="00DA1FF6">
            <w:pPr>
              <w:pStyle w:val="BodyText"/>
              <w:rPr>
                <w:b/>
              </w:rPr>
            </w:pPr>
            <w:r w:rsidRPr="00DA1FF6">
              <w:rPr>
                <w:b/>
              </w:rPr>
              <w:t>Achieved</w:t>
            </w:r>
          </w:p>
        </w:tc>
        <w:tc>
          <w:tcPr>
            <w:tcW w:w="1111" w:type="pct"/>
          </w:tcPr>
          <w:p w:rsidR="008E273C" w:rsidRPr="00DA1FF6" w:rsidRDefault="008E273C" w:rsidP="00DA1FF6">
            <w:pPr>
              <w:pStyle w:val="BodyText"/>
              <w:rPr>
                <w:b/>
              </w:rPr>
            </w:pPr>
            <w:r w:rsidRPr="00DA1FF6">
              <w:rPr>
                <w:b/>
              </w:rPr>
              <w:t>Change</w:t>
            </w:r>
          </w:p>
        </w:tc>
      </w:tr>
      <w:tr w:rsidR="008E273C" w:rsidTr="00DA1FF6">
        <w:trPr>
          <w:trHeight w:val="376"/>
        </w:trPr>
        <w:tc>
          <w:tcPr>
            <w:tcW w:w="1000" w:type="pct"/>
          </w:tcPr>
          <w:p w:rsidR="008E273C" w:rsidRDefault="008E273C" w:rsidP="00DA1FF6">
            <w:pPr>
              <w:pStyle w:val="BodyText"/>
            </w:pPr>
            <w:r>
              <w:t>2019–20</w:t>
            </w:r>
          </w:p>
        </w:tc>
        <w:tc>
          <w:tcPr>
            <w:tcW w:w="1000" w:type="pct"/>
          </w:tcPr>
          <w:p w:rsidR="008E273C" w:rsidRDefault="008E273C" w:rsidP="00DA1FF6">
            <w:pPr>
              <w:pStyle w:val="BodyText"/>
            </w:pPr>
            <w:r>
              <w:t>≤16 minutes</w:t>
            </w:r>
          </w:p>
        </w:tc>
        <w:tc>
          <w:tcPr>
            <w:tcW w:w="1056" w:type="pct"/>
          </w:tcPr>
          <w:p w:rsidR="008E273C" w:rsidRDefault="008E273C" w:rsidP="00DA1FF6">
            <w:pPr>
              <w:pStyle w:val="BodyText"/>
            </w:pPr>
            <w:r>
              <w:t>14 min 11 sec</w:t>
            </w:r>
          </w:p>
        </w:tc>
        <w:tc>
          <w:tcPr>
            <w:tcW w:w="834" w:type="pct"/>
          </w:tcPr>
          <w:p w:rsidR="008E273C" w:rsidRPr="00B27DB9" w:rsidRDefault="00B27DB9" w:rsidP="00B27DB9">
            <w:pPr>
              <w:pStyle w:val="BodyText"/>
            </w:pPr>
            <w:r w:rsidRPr="00B27DB9">
              <w:t>Yes</w:t>
            </w:r>
          </w:p>
        </w:tc>
        <w:tc>
          <w:tcPr>
            <w:tcW w:w="1111" w:type="pct"/>
          </w:tcPr>
          <w:p w:rsidR="008E273C" w:rsidRDefault="008E273C" w:rsidP="00DA1FF6">
            <w:pPr>
              <w:pStyle w:val="BodyText"/>
            </w:pPr>
            <w:r>
              <w:t>–1 min 21 sec</w:t>
            </w:r>
          </w:p>
        </w:tc>
      </w:tr>
      <w:tr w:rsidR="008E273C" w:rsidTr="00DA1FF6">
        <w:trPr>
          <w:trHeight w:val="376"/>
        </w:trPr>
        <w:tc>
          <w:tcPr>
            <w:tcW w:w="1000" w:type="pct"/>
          </w:tcPr>
          <w:p w:rsidR="008E273C" w:rsidRDefault="008E273C" w:rsidP="00DA1FF6">
            <w:pPr>
              <w:pStyle w:val="BodyText"/>
            </w:pPr>
            <w:r>
              <w:t>2018–19</w:t>
            </w:r>
          </w:p>
        </w:tc>
        <w:tc>
          <w:tcPr>
            <w:tcW w:w="1000" w:type="pct"/>
          </w:tcPr>
          <w:p w:rsidR="008E273C" w:rsidRDefault="008E273C" w:rsidP="00DA1FF6">
            <w:pPr>
              <w:pStyle w:val="BodyText"/>
            </w:pPr>
            <w:r>
              <w:t>≤16 minutes</w:t>
            </w:r>
          </w:p>
        </w:tc>
        <w:tc>
          <w:tcPr>
            <w:tcW w:w="1056" w:type="pct"/>
          </w:tcPr>
          <w:p w:rsidR="008E273C" w:rsidRDefault="008E273C" w:rsidP="00DA1FF6">
            <w:pPr>
              <w:pStyle w:val="BodyText"/>
            </w:pPr>
            <w:r>
              <w:t>15 min 32 sec</w:t>
            </w:r>
          </w:p>
        </w:tc>
        <w:tc>
          <w:tcPr>
            <w:tcW w:w="834" w:type="pct"/>
          </w:tcPr>
          <w:p w:rsidR="008E273C" w:rsidRPr="00B27DB9" w:rsidRDefault="00B27DB9" w:rsidP="00B27DB9">
            <w:pPr>
              <w:pStyle w:val="BodyText"/>
            </w:pPr>
            <w:r w:rsidRPr="00B27DB9">
              <w:t>Yes</w:t>
            </w:r>
          </w:p>
        </w:tc>
        <w:tc>
          <w:tcPr>
            <w:tcW w:w="1111" w:type="pct"/>
          </w:tcPr>
          <w:p w:rsidR="008E273C" w:rsidRDefault="008E273C" w:rsidP="00DA1FF6">
            <w:pPr>
              <w:pStyle w:val="BodyText"/>
            </w:pPr>
            <w:r>
              <w:t>–26 seconds</w:t>
            </w:r>
          </w:p>
        </w:tc>
      </w:tr>
      <w:tr w:rsidR="008E273C" w:rsidTr="00DA1FF6">
        <w:trPr>
          <w:trHeight w:val="376"/>
        </w:trPr>
        <w:tc>
          <w:tcPr>
            <w:tcW w:w="1000" w:type="pct"/>
          </w:tcPr>
          <w:p w:rsidR="008E273C" w:rsidRDefault="008E273C" w:rsidP="00DA1FF6">
            <w:pPr>
              <w:pStyle w:val="BodyText"/>
            </w:pPr>
            <w:r>
              <w:t>2017–18</w:t>
            </w:r>
          </w:p>
        </w:tc>
        <w:tc>
          <w:tcPr>
            <w:tcW w:w="1000" w:type="pct"/>
          </w:tcPr>
          <w:p w:rsidR="008E273C" w:rsidRDefault="008E273C" w:rsidP="00DA1FF6">
            <w:pPr>
              <w:pStyle w:val="BodyText"/>
            </w:pPr>
            <w:r>
              <w:t>≤16 minutes</w:t>
            </w:r>
          </w:p>
        </w:tc>
        <w:tc>
          <w:tcPr>
            <w:tcW w:w="1056" w:type="pct"/>
          </w:tcPr>
          <w:p w:rsidR="008E273C" w:rsidRDefault="008E273C" w:rsidP="00DA1FF6">
            <w:pPr>
              <w:pStyle w:val="BodyText"/>
            </w:pPr>
            <w:r>
              <w:t>15 min 58 sec</w:t>
            </w:r>
          </w:p>
        </w:tc>
        <w:tc>
          <w:tcPr>
            <w:tcW w:w="834" w:type="pct"/>
          </w:tcPr>
          <w:p w:rsidR="008E273C" w:rsidRPr="00B27DB9" w:rsidRDefault="00B27DB9" w:rsidP="00B27DB9">
            <w:pPr>
              <w:pStyle w:val="BodyText"/>
            </w:pPr>
            <w:r w:rsidRPr="00B27DB9">
              <w:t>Yes</w:t>
            </w:r>
          </w:p>
        </w:tc>
        <w:tc>
          <w:tcPr>
            <w:tcW w:w="1111" w:type="pct"/>
          </w:tcPr>
          <w:p w:rsidR="008E273C" w:rsidRDefault="008E273C" w:rsidP="00DA1FF6">
            <w:pPr>
              <w:pStyle w:val="BodyText"/>
            </w:pPr>
            <w:r>
              <w:t>+14 seconds</w:t>
            </w:r>
          </w:p>
        </w:tc>
      </w:tr>
    </w:tbl>
    <w:p w:rsidR="008E273C" w:rsidRPr="000F40EE" w:rsidRDefault="000F40EE" w:rsidP="000F40EE">
      <w:pPr>
        <w:pStyle w:val="BodyText"/>
        <w:rPr>
          <w:rStyle w:val="Bold"/>
          <w:bCs w:val="0"/>
          <w:color w:val="auto"/>
        </w:rPr>
      </w:pPr>
      <w:r w:rsidRPr="000F40EE">
        <w:rPr>
          <w:rStyle w:val="Bold"/>
          <w:bCs w:val="0"/>
          <w:color w:val="auto"/>
        </w:rPr>
        <w:t>Analysis</w:t>
      </w:r>
    </w:p>
    <w:p w:rsidR="008E273C" w:rsidRDefault="008E273C" w:rsidP="008E273C">
      <w:pPr>
        <w:pStyle w:val="BodyText"/>
      </w:pPr>
      <w:r>
        <w:t>In 2019–20 the average speed of answer for customers reduced by 1 minute and 21 seconds. The annual result of 14 minutes and 11 seconds is the lowest on record. Performance was aided by additional staff supporting the agency’s COVID-19 response. The agency responded to unprecedented customer demand for services across all channels due to the economic impacts of COVID-19, answering approximately 1 million more calls than in 2018–19.</w:t>
      </w:r>
    </w:p>
    <w:p w:rsidR="008E273C" w:rsidRDefault="008E273C" w:rsidP="008E273C">
      <w:pPr>
        <w:pStyle w:val="BodyText"/>
      </w:pPr>
      <w:r>
        <w:t>To manage this demand additional staff were quickly trained to support this unprecedented demand on telephony services. See</w:t>
      </w:r>
      <w:r>
        <w:rPr>
          <w:rStyle w:val="Italic"/>
        </w:rPr>
        <w:t xml:space="preserve"> COVID-19 pandemic</w:t>
      </w:r>
      <w:r>
        <w:t xml:space="preserve"> on page xv and </w:t>
      </w:r>
      <w:r>
        <w:rPr>
          <w:rStyle w:val="Italic"/>
        </w:rPr>
        <w:t>Workforce strategies and planning</w:t>
      </w:r>
      <w:r>
        <w:t xml:space="preserve"> on page 182. </w:t>
      </w:r>
    </w:p>
    <w:p w:rsidR="008E273C" w:rsidRDefault="00AC4959" w:rsidP="008E273C">
      <w:pPr>
        <w:pStyle w:val="BodyText"/>
      </w:pPr>
      <w:r w:rsidRPr="00AC4959">
        <w:t>Method</w:t>
      </w:r>
      <w:r w:rsidR="008E273C">
        <w:tab/>
        <w:t>Data mining.</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DA1FF6">
      <w:pPr>
        <w:pStyle w:val="ListBullet"/>
        <w:tabs>
          <w:tab w:val="clear" w:pos="360"/>
          <w:tab w:val="clear" w:pos="1066"/>
          <w:tab w:val="num" w:pos="1437"/>
        </w:tabs>
        <w:ind w:left="1434"/>
      </w:pPr>
      <w:r>
        <w:t>‘service excellence’ strategic pillar</w:t>
      </w:r>
    </w:p>
    <w:p w:rsidR="008E273C" w:rsidRDefault="008E273C" w:rsidP="00DA1FF6">
      <w:pPr>
        <w:pStyle w:val="ListBullet"/>
        <w:tabs>
          <w:tab w:val="clear" w:pos="360"/>
          <w:tab w:val="clear" w:pos="1066"/>
          <w:tab w:val="num" w:pos="1437"/>
        </w:tabs>
        <w:ind w:left="1434"/>
      </w:pPr>
      <w:r>
        <w:tab/>
        <w:t>‘</w:t>
      </w:r>
      <w:proofErr w:type="gramStart"/>
      <w:r>
        <w:t>ease</w:t>
      </w:r>
      <w:proofErr w:type="gramEnd"/>
      <w:r>
        <w:t xml:space="preserve"> and timeliness of service’ key performance area.</w:t>
      </w:r>
    </w:p>
    <w:p w:rsidR="008E273C" w:rsidRDefault="00AC4959" w:rsidP="008E273C">
      <w:pPr>
        <w:pStyle w:val="BodyText"/>
      </w:pPr>
      <w:r w:rsidRPr="00AC4959">
        <w:t>Reference</w:t>
      </w:r>
      <w:r w:rsidR="008E273C">
        <w:tab/>
        <w:t>2019–20 PBS, page 31; 2019–20 Corporate Plan, page 15 (pdf), 10 (doc).</w:t>
      </w:r>
    </w:p>
    <w:p w:rsidR="008E273C" w:rsidRDefault="00AC4959" w:rsidP="008E273C">
      <w:pPr>
        <w:pStyle w:val="BodyText"/>
      </w:pPr>
      <w:r w:rsidRPr="00AC4959">
        <w:t>Data source</w:t>
      </w:r>
      <w:r w:rsidR="008E273C">
        <w:tab/>
        <w:t xml:space="preserve">Telstra Computer Telephony Interface files (1 July 2019 to </w:t>
      </w:r>
      <w:r w:rsidR="008E273C">
        <w:rPr>
          <w:rStyle w:val="NoBreak"/>
        </w:rPr>
        <w:t>13 April 2020</w:t>
      </w:r>
      <w:r w:rsidR="008E273C">
        <w:t xml:space="preserve">). </w:t>
      </w:r>
      <w:proofErr w:type="spellStart"/>
      <w:r w:rsidR="008E273C">
        <w:t>Genesys</w:t>
      </w:r>
      <w:proofErr w:type="spellEnd"/>
      <w:r w:rsidR="008E273C">
        <w:t xml:space="preserve"> Interactive Insights reporting tool (</w:t>
      </w:r>
      <w:r w:rsidR="008E273C">
        <w:rPr>
          <w:rStyle w:val="NoBreak"/>
        </w:rPr>
        <w:t>14 Ap</w:t>
      </w:r>
      <w:r w:rsidR="008E273C">
        <w:t>ril to 30 June 2020).</w:t>
      </w:r>
    </w:p>
    <w:p w:rsidR="006B3127" w:rsidRDefault="006B3127" w:rsidP="008E273C">
      <w:pPr>
        <w:pStyle w:val="Heading5"/>
        <w:rPr>
          <w:rStyle w:val="Bolditalic"/>
        </w:rPr>
      </w:pPr>
      <w:r>
        <w:t>Criterion 8</w:t>
      </w:r>
      <w:r w:rsidR="008E273C">
        <w:t>—Achievement of processing service level standards: Claims processed within standard</w:t>
      </w:r>
      <w:r w:rsidR="008E273C">
        <w:rPr>
          <w:rStyle w:val="Bolditalic"/>
        </w:rPr>
        <w:t xml:space="preserve"> </w:t>
      </w:r>
      <w:r w:rsidR="008E273C" w:rsidRPr="006B3127">
        <w:rPr>
          <w:i/>
        </w:rPr>
        <w:t>(PBS)</w:t>
      </w:r>
    </w:p>
    <w:p w:rsidR="008E273C" w:rsidRDefault="008E273C" w:rsidP="008E273C">
      <w:pPr>
        <w:pStyle w:val="Heading5"/>
        <w:rPr>
          <w:rStyle w:val="NoBreak"/>
        </w:rPr>
      </w:pPr>
      <w:r>
        <w:t xml:space="preserve">Ease and timeliness of service: Processing service level standards—claims processed within standard </w:t>
      </w:r>
      <w:r w:rsidRPr="006B3127">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8 Overview"/>
        <w:tblDescription w:val="Criterion 8 Overview"/>
      </w:tblPr>
      <w:tblGrid>
        <w:gridCol w:w="2220"/>
        <w:gridCol w:w="2219"/>
        <w:gridCol w:w="2219"/>
        <w:gridCol w:w="2219"/>
        <w:gridCol w:w="2219"/>
      </w:tblGrid>
      <w:tr w:rsidR="008E273C" w:rsidTr="006B3127">
        <w:trPr>
          <w:trHeight w:val="376"/>
          <w:tblHeader/>
        </w:trPr>
        <w:tc>
          <w:tcPr>
            <w:tcW w:w="1000" w:type="pct"/>
          </w:tcPr>
          <w:p w:rsidR="008E273C" w:rsidRPr="006B3127" w:rsidRDefault="008E273C" w:rsidP="006B3127">
            <w:pPr>
              <w:pStyle w:val="BodyText"/>
              <w:rPr>
                <w:b/>
              </w:rPr>
            </w:pPr>
            <w:r w:rsidRPr="006B3127">
              <w:rPr>
                <w:b/>
              </w:rPr>
              <w:t>Year</w:t>
            </w:r>
          </w:p>
        </w:tc>
        <w:tc>
          <w:tcPr>
            <w:tcW w:w="1000" w:type="pct"/>
          </w:tcPr>
          <w:p w:rsidR="008E273C" w:rsidRPr="006B3127" w:rsidRDefault="008E273C" w:rsidP="006B3127">
            <w:pPr>
              <w:pStyle w:val="BodyText"/>
              <w:rPr>
                <w:b/>
              </w:rPr>
            </w:pPr>
            <w:r w:rsidRPr="006B3127">
              <w:rPr>
                <w:b/>
              </w:rPr>
              <w:t>Target</w:t>
            </w:r>
          </w:p>
        </w:tc>
        <w:tc>
          <w:tcPr>
            <w:tcW w:w="1000" w:type="pct"/>
          </w:tcPr>
          <w:p w:rsidR="008E273C" w:rsidRPr="006B3127" w:rsidRDefault="008E273C" w:rsidP="006B3127">
            <w:pPr>
              <w:pStyle w:val="BodyText"/>
              <w:rPr>
                <w:b/>
              </w:rPr>
            </w:pPr>
            <w:r w:rsidRPr="006B3127">
              <w:rPr>
                <w:b/>
              </w:rPr>
              <w:t>Result</w:t>
            </w:r>
          </w:p>
        </w:tc>
        <w:tc>
          <w:tcPr>
            <w:tcW w:w="1000" w:type="pct"/>
          </w:tcPr>
          <w:p w:rsidR="008E273C" w:rsidRPr="006B3127" w:rsidRDefault="008E273C" w:rsidP="006B3127">
            <w:pPr>
              <w:pStyle w:val="BodyText"/>
              <w:rPr>
                <w:b/>
              </w:rPr>
            </w:pPr>
            <w:r w:rsidRPr="006B3127">
              <w:rPr>
                <w:b/>
              </w:rPr>
              <w:t>Achieved</w:t>
            </w:r>
          </w:p>
        </w:tc>
        <w:tc>
          <w:tcPr>
            <w:tcW w:w="1000" w:type="pct"/>
          </w:tcPr>
          <w:p w:rsidR="006B3127" w:rsidRDefault="008E273C" w:rsidP="006B3127">
            <w:pPr>
              <w:pStyle w:val="BodyText"/>
              <w:rPr>
                <w:b/>
              </w:rPr>
            </w:pPr>
            <w:r w:rsidRPr="006B3127">
              <w:rPr>
                <w:b/>
              </w:rPr>
              <w:t>Change</w:t>
            </w:r>
          </w:p>
          <w:p w:rsidR="008E273C" w:rsidRPr="006B3127" w:rsidRDefault="008E273C" w:rsidP="006B3127">
            <w:pPr>
              <w:pStyle w:val="BodyText"/>
              <w:rPr>
                <w:b/>
              </w:rPr>
            </w:pPr>
            <w:r w:rsidRPr="006B3127">
              <w:rPr>
                <w:b/>
              </w:rPr>
              <w:t>(% points)</w:t>
            </w:r>
          </w:p>
        </w:tc>
      </w:tr>
      <w:tr w:rsidR="008E273C" w:rsidTr="006B3127">
        <w:trPr>
          <w:trHeight w:val="376"/>
        </w:trPr>
        <w:tc>
          <w:tcPr>
            <w:tcW w:w="1000" w:type="pct"/>
          </w:tcPr>
          <w:p w:rsidR="008E273C" w:rsidRDefault="008E273C" w:rsidP="006B3127">
            <w:pPr>
              <w:pStyle w:val="BodyText"/>
            </w:pPr>
            <w:r>
              <w:t>2019–20</w:t>
            </w:r>
          </w:p>
        </w:tc>
        <w:tc>
          <w:tcPr>
            <w:tcW w:w="1000" w:type="pct"/>
          </w:tcPr>
          <w:p w:rsidR="008E273C" w:rsidRDefault="008E273C" w:rsidP="006B3127">
            <w:pPr>
              <w:pStyle w:val="BodyText"/>
            </w:pPr>
            <w:r>
              <w:t>≥82%</w:t>
            </w:r>
          </w:p>
        </w:tc>
        <w:tc>
          <w:tcPr>
            <w:tcW w:w="1000" w:type="pct"/>
          </w:tcPr>
          <w:p w:rsidR="008E273C" w:rsidRDefault="008E273C" w:rsidP="006B3127">
            <w:pPr>
              <w:pStyle w:val="BodyText"/>
            </w:pPr>
            <w:r>
              <w:t>79.8%</w:t>
            </w:r>
          </w:p>
        </w:tc>
        <w:tc>
          <w:tcPr>
            <w:tcW w:w="1000" w:type="pct"/>
          </w:tcPr>
          <w:p w:rsidR="008E273C" w:rsidRPr="00B27DB9" w:rsidRDefault="00B27DB9" w:rsidP="00B27DB9">
            <w:pPr>
              <w:pStyle w:val="BodyText"/>
            </w:pPr>
            <w:r w:rsidRPr="00B27DB9">
              <w:t>No</w:t>
            </w:r>
            <w:r w:rsidR="008E273C" w:rsidRPr="00B27DB9">
              <w:t xml:space="preserve"> </w:t>
            </w:r>
          </w:p>
        </w:tc>
        <w:tc>
          <w:tcPr>
            <w:tcW w:w="1000" w:type="pct"/>
          </w:tcPr>
          <w:p w:rsidR="008E273C" w:rsidRDefault="008E273C" w:rsidP="006B3127">
            <w:pPr>
              <w:pStyle w:val="BodyText"/>
            </w:pPr>
            <w:r>
              <w:t>+11.8</w:t>
            </w:r>
          </w:p>
        </w:tc>
      </w:tr>
      <w:tr w:rsidR="008E273C" w:rsidTr="006B3127">
        <w:trPr>
          <w:trHeight w:val="376"/>
        </w:trPr>
        <w:tc>
          <w:tcPr>
            <w:tcW w:w="1000" w:type="pct"/>
          </w:tcPr>
          <w:p w:rsidR="008E273C" w:rsidRDefault="008E273C" w:rsidP="006B3127">
            <w:pPr>
              <w:pStyle w:val="BodyText"/>
            </w:pPr>
            <w:r>
              <w:t>2018–19</w:t>
            </w:r>
          </w:p>
        </w:tc>
        <w:tc>
          <w:tcPr>
            <w:tcW w:w="1000" w:type="pct"/>
          </w:tcPr>
          <w:p w:rsidR="008E273C" w:rsidRDefault="008E273C" w:rsidP="006B3127">
            <w:pPr>
              <w:pStyle w:val="BodyText"/>
            </w:pPr>
            <w:r>
              <w:t>≥82%</w:t>
            </w:r>
          </w:p>
        </w:tc>
        <w:tc>
          <w:tcPr>
            <w:tcW w:w="1000" w:type="pct"/>
          </w:tcPr>
          <w:p w:rsidR="008E273C" w:rsidRDefault="008E273C" w:rsidP="006B3127">
            <w:pPr>
              <w:pStyle w:val="BodyText"/>
            </w:pPr>
            <w:r>
              <w:t>68.0%</w:t>
            </w:r>
          </w:p>
        </w:tc>
        <w:tc>
          <w:tcPr>
            <w:tcW w:w="1000" w:type="pct"/>
          </w:tcPr>
          <w:p w:rsidR="008E273C" w:rsidRPr="00B27DB9" w:rsidRDefault="00B27DB9" w:rsidP="00B27DB9">
            <w:pPr>
              <w:pStyle w:val="BodyText"/>
            </w:pPr>
            <w:r w:rsidRPr="00B27DB9">
              <w:t>No</w:t>
            </w:r>
            <w:r w:rsidR="008E273C" w:rsidRPr="00B27DB9">
              <w:t xml:space="preserve"> </w:t>
            </w:r>
          </w:p>
        </w:tc>
        <w:tc>
          <w:tcPr>
            <w:tcW w:w="1000" w:type="pct"/>
          </w:tcPr>
          <w:p w:rsidR="008E273C" w:rsidRDefault="008E273C" w:rsidP="006B3127">
            <w:pPr>
              <w:pStyle w:val="BodyText"/>
            </w:pPr>
            <w:r>
              <w:t>–14.1</w:t>
            </w:r>
          </w:p>
        </w:tc>
      </w:tr>
      <w:tr w:rsidR="008E273C" w:rsidTr="006B3127">
        <w:trPr>
          <w:trHeight w:val="376"/>
        </w:trPr>
        <w:tc>
          <w:tcPr>
            <w:tcW w:w="1000" w:type="pct"/>
          </w:tcPr>
          <w:p w:rsidR="008E273C" w:rsidRDefault="008E273C" w:rsidP="006B3127">
            <w:pPr>
              <w:pStyle w:val="BodyText"/>
            </w:pPr>
            <w:r>
              <w:t>2017–18</w:t>
            </w:r>
          </w:p>
        </w:tc>
        <w:tc>
          <w:tcPr>
            <w:tcW w:w="1000" w:type="pct"/>
          </w:tcPr>
          <w:p w:rsidR="008E273C" w:rsidRDefault="008E273C" w:rsidP="006B3127">
            <w:pPr>
              <w:pStyle w:val="BodyText"/>
            </w:pPr>
            <w:r>
              <w:t>≥82%</w:t>
            </w:r>
          </w:p>
        </w:tc>
        <w:tc>
          <w:tcPr>
            <w:tcW w:w="1000" w:type="pct"/>
          </w:tcPr>
          <w:p w:rsidR="008E273C" w:rsidRDefault="008E273C" w:rsidP="006B3127">
            <w:pPr>
              <w:pStyle w:val="BodyText"/>
            </w:pPr>
            <w:r>
              <w:t>82.1%</w:t>
            </w:r>
          </w:p>
        </w:tc>
        <w:tc>
          <w:tcPr>
            <w:tcW w:w="1000" w:type="pct"/>
          </w:tcPr>
          <w:p w:rsidR="008E273C" w:rsidRPr="00B27DB9" w:rsidRDefault="00B27DB9" w:rsidP="00B27DB9">
            <w:pPr>
              <w:pStyle w:val="BodyText"/>
            </w:pPr>
            <w:r w:rsidRPr="00B27DB9">
              <w:t>Yes</w:t>
            </w:r>
          </w:p>
        </w:tc>
        <w:tc>
          <w:tcPr>
            <w:tcW w:w="1000" w:type="pct"/>
          </w:tcPr>
          <w:p w:rsidR="008E273C" w:rsidRDefault="008E273C" w:rsidP="006B3127">
            <w:pPr>
              <w:pStyle w:val="BodyText"/>
            </w:pPr>
            <w:r>
              <w:t>No change</w:t>
            </w:r>
          </w:p>
        </w:tc>
      </w:tr>
    </w:tbl>
    <w:p w:rsidR="008E273C" w:rsidRDefault="00AC4959" w:rsidP="00AC4959">
      <w:pPr>
        <w:pStyle w:val="BodyText"/>
        <w:rPr>
          <w:rStyle w:val="Bold"/>
        </w:rPr>
      </w:pPr>
      <w:r>
        <w:rPr>
          <w:rStyle w:val="Bold"/>
        </w:rPr>
        <w:lastRenderedPageBreak/>
        <w:t>Analysis</w:t>
      </w:r>
    </w:p>
    <w:p w:rsidR="008E273C" w:rsidRDefault="008E273C" w:rsidP="008E273C">
      <w:pPr>
        <w:pStyle w:val="BodyText"/>
      </w:pPr>
      <w:r>
        <w:t xml:space="preserve">The agency did not meet the 2019–20 annual target, but did improve significantly compared to 2018–19 with a focus on processing older claims, and despite the diversion of resources due to the bushfires. </w:t>
      </w:r>
    </w:p>
    <w:p w:rsidR="008E273C" w:rsidRDefault="008E273C" w:rsidP="008E273C">
      <w:pPr>
        <w:pStyle w:val="BodyText"/>
      </w:pPr>
      <w:r>
        <w:t>The COVID-19 pandemic resulted in the agency receiving the highest volume of claims ever, with the need to mobilise and train thousands more staff to meet demand. See</w:t>
      </w:r>
      <w:r>
        <w:rPr>
          <w:rStyle w:val="Italic"/>
        </w:rPr>
        <w:t xml:space="preserve"> COVID-19 pandemic</w:t>
      </w:r>
      <w:r>
        <w:t xml:space="preserve"> on page xv and </w:t>
      </w:r>
      <w:r>
        <w:rPr>
          <w:rStyle w:val="Italic"/>
        </w:rPr>
        <w:t>Workforce strategies and planning</w:t>
      </w:r>
      <w:r>
        <w:t xml:space="preserve"> on page 182. </w:t>
      </w:r>
    </w:p>
    <w:p w:rsidR="008E273C" w:rsidRDefault="008E273C" w:rsidP="008E273C">
      <w:pPr>
        <w:pStyle w:val="BodyText"/>
      </w:pPr>
      <w:r>
        <w:t xml:space="preserve">To support the COVID-19 response, the agency also implemented a range of measures aimed at streamlining claims processes to meet the unprecedented demand and to ensure our IT systems were enhanced to process an unprecedented number of claims over a short time frame. The measures included a streamlined claim lodgement process, reduced means testing, and increased automated processing. See also </w:t>
      </w:r>
      <w:r>
        <w:rPr>
          <w:rStyle w:val="Italic"/>
        </w:rPr>
        <w:t>Rapid changes to deliver critical payments</w:t>
      </w:r>
      <w:r>
        <w:t xml:space="preserve"> on page xvi.</w:t>
      </w:r>
    </w:p>
    <w:p w:rsidR="008E273C" w:rsidRDefault="00AC4959" w:rsidP="008E273C">
      <w:pPr>
        <w:pStyle w:val="BodyText"/>
      </w:pPr>
      <w:r w:rsidRPr="00AC4959">
        <w:t>Method</w:t>
      </w:r>
      <w:r w:rsidR="008E273C">
        <w:tab/>
        <w:t>Data mining.</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6B3127">
      <w:pPr>
        <w:pStyle w:val="ListBullet"/>
        <w:tabs>
          <w:tab w:val="clear" w:pos="360"/>
          <w:tab w:val="clear" w:pos="1066"/>
          <w:tab w:val="num" w:pos="1437"/>
        </w:tabs>
        <w:ind w:left="1434"/>
      </w:pPr>
      <w:r>
        <w:tab/>
        <w:t>‘service excellence’ strategic pillar</w:t>
      </w:r>
    </w:p>
    <w:p w:rsidR="008E273C" w:rsidRDefault="008E273C" w:rsidP="006B3127">
      <w:pPr>
        <w:pStyle w:val="ListBullet"/>
        <w:tabs>
          <w:tab w:val="clear" w:pos="360"/>
          <w:tab w:val="clear" w:pos="1066"/>
          <w:tab w:val="num" w:pos="1437"/>
        </w:tabs>
        <w:ind w:left="1434"/>
      </w:pPr>
      <w:r>
        <w:t>‘</w:t>
      </w:r>
      <w:proofErr w:type="gramStart"/>
      <w:r>
        <w:t>ease</w:t>
      </w:r>
      <w:proofErr w:type="gramEnd"/>
      <w:r>
        <w:t xml:space="preserve"> and timeliness of service’ key performance area.</w:t>
      </w:r>
    </w:p>
    <w:p w:rsidR="008E273C" w:rsidRDefault="00AC4959" w:rsidP="008E273C">
      <w:pPr>
        <w:pStyle w:val="BodyText"/>
      </w:pPr>
      <w:r w:rsidRPr="00AC4959">
        <w:t>Reference</w:t>
      </w:r>
      <w:r w:rsidR="008E273C">
        <w:tab/>
        <w:t>2019–20 PBS, page 31; 2019–20 Corporate Plan, page 15 (pdf), 10 (doc).</w:t>
      </w:r>
    </w:p>
    <w:p w:rsidR="008E273C" w:rsidRDefault="00AC4959" w:rsidP="008E273C">
      <w:pPr>
        <w:pStyle w:val="BodyText"/>
      </w:pPr>
      <w:r w:rsidRPr="00AC4959">
        <w:t>Data source</w:t>
      </w:r>
      <w:r w:rsidR="008E273C">
        <w:tab/>
        <w:t>Enterprise data Warehouse/SAS Enterprise Guide.</w:t>
      </w:r>
    </w:p>
    <w:p w:rsidR="008E273C" w:rsidRDefault="006B3127" w:rsidP="008E273C">
      <w:pPr>
        <w:pStyle w:val="Heading5"/>
        <w:rPr>
          <w:rStyle w:val="NoBreak"/>
        </w:rPr>
      </w:pPr>
      <w:r>
        <w:t>Criterion 9</w:t>
      </w:r>
      <w:r w:rsidR="008E273C">
        <w:t xml:space="preserve">—Internal reviews: Percentage of decision reviews requested by Centrelink customers finalised within standard </w:t>
      </w:r>
      <w:r w:rsidR="008E273C" w:rsidRPr="006B3127">
        <w:rPr>
          <w:i/>
        </w:rPr>
        <w:t>(PBS)</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9 Overview"/>
        <w:tblDescription w:val="Criterion 9 Overview"/>
      </w:tblPr>
      <w:tblGrid>
        <w:gridCol w:w="2220"/>
        <w:gridCol w:w="2219"/>
        <w:gridCol w:w="2219"/>
        <w:gridCol w:w="2219"/>
        <w:gridCol w:w="2219"/>
      </w:tblGrid>
      <w:tr w:rsidR="008E273C" w:rsidTr="006B3127">
        <w:trPr>
          <w:trHeight w:val="376"/>
          <w:tblHeader/>
        </w:trPr>
        <w:tc>
          <w:tcPr>
            <w:tcW w:w="1000" w:type="pct"/>
          </w:tcPr>
          <w:p w:rsidR="008E273C" w:rsidRPr="006B3127" w:rsidRDefault="008E273C" w:rsidP="006B3127">
            <w:pPr>
              <w:pStyle w:val="BodyText"/>
              <w:rPr>
                <w:b/>
              </w:rPr>
            </w:pPr>
            <w:r w:rsidRPr="006B3127">
              <w:rPr>
                <w:b/>
              </w:rPr>
              <w:t>Year</w:t>
            </w:r>
          </w:p>
        </w:tc>
        <w:tc>
          <w:tcPr>
            <w:tcW w:w="1000" w:type="pct"/>
          </w:tcPr>
          <w:p w:rsidR="008E273C" w:rsidRPr="006B3127" w:rsidRDefault="008E273C" w:rsidP="006B3127">
            <w:pPr>
              <w:pStyle w:val="BodyText"/>
              <w:rPr>
                <w:b/>
              </w:rPr>
            </w:pPr>
            <w:r w:rsidRPr="006B3127">
              <w:rPr>
                <w:b/>
              </w:rPr>
              <w:t>Target</w:t>
            </w:r>
          </w:p>
        </w:tc>
        <w:tc>
          <w:tcPr>
            <w:tcW w:w="1000" w:type="pct"/>
          </w:tcPr>
          <w:p w:rsidR="008E273C" w:rsidRPr="006B3127" w:rsidRDefault="008E273C" w:rsidP="006B3127">
            <w:pPr>
              <w:pStyle w:val="BodyText"/>
              <w:rPr>
                <w:b/>
              </w:rPr>
            </w:pPr>
            <w:r w:rsidRPr="006B3127">
              <w:rPr>
                <w:b/>
              </w:rPr>
              <w:t>Result</w:t>
            </w:r>
          </w:p>
        </w:tc>
        <w:tc>
          <w:tcPr>
            <w:tcW w:w="1000" w:type="pct"/>
          </w:tcPr>
          <w:p w:rsidR="008E273C" w:rsidRPr="006B3127" w:rsidRDefault="008E273C" w:rsidP="006B3127">
            <w:pPr>
              <w:pStyle w:val="BodyText"/>
              <w:rPr>
                <w:b/>
              </w:rPr>
            </w:pPr>
            <w:r w:rsidRPr="006B3127">
              <w:rPr>
                <w:b/>
              </w:rPr>
              <w:t>Achieved</w:t>
            </w:r>
          </w:p>
        </w:tc>
        <w:tc>
          <w:tcPr>
            <w:tcW w:w="1000" w:type="pct"/>
          </w:tcPr>
          <w:p w:rsidR="006B3127" w:rsidRDefault="008E273C" w:rsidP="006B3127">
            <w:pPr>
              <w:pStyle w:val="BodyText"/>
              <w:rPr>
                <w:b/>
              </w:rPr>
            </w:pPr>
            <w:r w:rsidRPr="006B3127">
              <w:rPr>
                <w:b/>
              </w:rPr>
              <w:t>Change</w:t>
            </w:r>
          </w:p>
          <w:p w:rsidR="008E273C" w:rsidRPr="006B3127" w:rsidRDefault="008E273C" w:rsidP="006B3127">
            <w:pPr>
              <w:pStyle w:val="BodyText"/>
              <w:rPr>
                <w:b/>
              </w:rPr>
            </w:pPr>
            <w:r w:rsidRPr="006B3127">
              <w:rPr>
                <w:b/>
              </w:rPr>
              <w:t>(% points)</w:t>
            </w:r>
          </w:p>
        </w:tc>
      </w:tr>
      <w:tr w:rsidR="008E273C" w:rsidTr="006B3127">
        <w:trPr>
          <w:trHeight w:val="376"/>
        </w:trPr>
        <w:tc>
          <w:tcPr>
            <w:tcW w:w="1000" w:type="pct"/>
          </w:tcPr>
          <w:p w:rsidR="008E273C" w:rsidRDefault="008E273C" w:rsidP="006B3127">
            <w:pPr>
              <w:pStyle w:val="BodyText"/>
            </w:pPr>
            <w:r>
              <w:t>2019–20</w:t>
            </w:r>
          </w:p>
        </w:tc>
        <w:tc>
          <w:tcPr>
            <w:tcW w:w="1000" w:type="pct"/>
          </w:tcPr>
          <w:p w:rsidR="008E273C" w:rsidRDefault="008E273C" w:rsidP="006B3127">
            <w:pPr>
              <w:pStyle w:val="BodyText"/>
            </w:pPr>
            <w:r>
              <w:t>≥70%</w:t>
            </w:r>
          </w:p>
        </w:tc>
        <w:tc>
          <w:tcPr>
            <w:tcW w:w="1000" w:type="pct"/>
          </w:tcPr>
          <w:p w:rsidR="008E273C" w:rsidRDefault="008E273C" w:rsidP="006B3127">
            <w:pPr>
              <w:pStyle w:val="BodyText"/>
            </w:pPr>
            <w:r>
              <w:t>72.4%</w:t>
            </w:r>
          </w:p>
        </w:tc>
        <w:tc>
          <w:tcPr>
            <w:tcW w:w="1000" w:type="pct"/>
          </w:tcPr>
          <w:p w:rsidR="008E273C" w:rsidRPr="00B27DB9" w:rsidRDefault="00B27DB9" w:rsidP="00B27DB9">
            <w:pPr>
              <w:pStyle w:val="BodyText"/>
            </w:pPr>
            <w:r w:rsidRPr="00B27DB9">
              <w:t>Yes</w:t>
            </w:r>
          </w:p>
        </w:tc>
        <w:tc>
          <w:tcPr>
            <w:tcW w:w="1000" w:type="pct"/>
          </w:tcPr>
          <w:p w:rsidR="008E273C" w:rsidRDefault="008E273C" w:rsidP="006B3127">
            <w:pPr>
              <w:pStyle w:val="BodyText"/>
            </w:pPr>
            <w:r>
              <w:t>–12.2</w:t>
            </w:r>
          </w:p>
        </w:tc>
      </w:tr>
      <w:tr w:rsidR="008E273C" w:rsidTr="006B3127">
        <w:trPr>
          <w:trHeight w:val="376"/>
        </w:trPr>
        <w:tc>
          <w:tcPr>
            <w:tcW w:w="1000" w:type="pct"/>
          </w:tcPr>
          <w:p w:rsidR="008E273C" w:rsidRDefault="008E273C" w:rsidP="006B3127">
            <w:pPr>
              <w:pStyle w:val="BodyText"/>
            </w:pPr>
            <w:r>
              <w:t>2018–19</w:t>
            </w:r>
          </w:p>
        </w:tc>
        <w:tc>
          <w:tcPr>
            <w:tcW w:w="1000" w:type="pct"/>
          </w:tcPr>
          <w:p w:rsidR="008E273C" w:rsidRDefault="008E273C" w:rsidP="006B3127">
            <w:pPr>
              <w:pStyle w:val="BodyText"/>
            </w:pPr>
            <w:r>
              <w:t>≥70%</w:t>
            </w:r>
          </w:p>
        </w:tc>
        <w:tc>
          <w:tcPr>
            <w:tcW w:w="1000" w:type="pct"/>
          </w:tcPr>
          <w:p w:rsidR="008E273C" w:rsidRDefault="008E273C" w:rsidP="006B3127">
            <w:pPr>
              <w:pStyle w:val="BodyText"/>
            </w:pPr>
            <w:r>
              <w:t>84.6%</w:t>
            </w:r>
          </w:p>
        </w:tc>
        <w:tc>
          <w:tcPr>
            <w:tcW w:w="1000" w:type="pct"/>
          </w:tcPr>
          <w:p w:rsidR="008E273C" w:rsidRPr="00B27DB9" w:rsidRDefault="00B27DB9" w:rsidP="00B27DB9">
            <w:pPr>
              <w:pStyle w:val="BodyText"/>
            </w:pPr>
            <w:r w:rsidRPr="00B27DB9">
              <w:t>Yes</w:t>
            </w:r>
          </w:p>
        </w:tc>
        <w:tc>
          <w:tcPr>
            <w:tcW w:w="1000" w:type="pct"/>
          </w:tcPr>
          <w:p w:rsidR="008E273C" w:rsidRDefault="008E273C" w:rsidP="006B3127">
            <w:pPr>
              <w:pStyle w:val="BodyText"/>
            </w:pPr>
            <w:r>
              <w:t>–12.5</w:t>
            </w:r>
          </w:p>
        </w:tc>
      </w:tr>
      <w:tr w:rsidR="008E273C" w:rsidTr="006B3127">
        <w:trPr>
          <w:trHeight w:val="376"/>
        </w:trPr>
        <w:tc>
          <w:tcPr>
            <w:tcW w:w="1000" w:type="pct"/>
          </w:tcPr>
          <w:p w:rsidR="008E273C" w:rsidRDefault="008E273C" w:rsidP="006B3127">
            <w:pPr>
              <w:pStyle w:val="BodyText"/>
            </w:pPr>
            <w:r>
              <w:t>2017–18</w:t>
            </w:r>
          </w:p>
        </w:tc>
        <w:tc>
          <w:tcPr>
            <w:tcW w:w="1000" w:type="pct"/>
          </w:tcPr>
          <w:p w:rsidR="008E273C" w:rsidRDefault="008E273C" w:rsidP="006B3127">
            <w:pPr>
              <w:pStyle w:val="BodyText"/>
            </w:pPr>
            <w:r>
              <w:t>≥70%</w:t>
            </w:r>
          </w:p>
        </w:tc>
        <w:tc>
          <w:tcPr>
            <w:tcW w:w="1000" w:type="pct"/>
          </w:tcPr>
          <w:p w:rsidR="008E273C" w:rsidRDefault="008E273C" w:rsidP="006B3127">
            <w:pPr>
              <w:pStyle w:val="BodyText"/>
            </w:pPr>
            <w:r>
              <w:t>97.1%</w:t>
            </w:r>
          </w:p>
        </w:tc>
        <w:tc>
          <w:tcPr>
            <w:tcW w:w="1000" w:type="pct"/>
          </w:tcPr>
          <w:p w:rsidR="008E273C" w:rsidRPr="00B27DB9" w:rsidRDefault="00B27DB9" w:rsidP="00B27DB9">
            <w:pPr>
              <w:pStyle w:val="BodyText"/>
            </w:pPr>
            <w:r w:rsidRPr="00B27DB9">
              <w:t>Yes</w:t>
            </w:r>
          </w:p>
        </w:tc>
        <w:tc>
          <w:tcPr>
            <w:tcW w:w="1000" w:type="pct"/>
          </w:tcPr>
          <w:p w:rsidR="008E273C" w:rsidRDefault="008E273C" w:rsidP="006B3127">
            <w:pPr>
              <w:pStyle w:val="BodyText"/>
            </w:pPr>
            <w:r>
              <w:t>+22.6</w:t>
            </w:r>
          </w:p>
        </w:tc>
      </w:tr>
    </w:tbl>
    <w:p w:rsidR="008E273C" w:rsidRDefault="00AC4959" w:rsidP="00AC4959">
      <w:pPr>
        <w:pStyle w:val="BodyText"/>
        <w:rPr>
          <w:rStyle w:val="Bold"/>
        </w:rPr>
      </w:pPr>
      <w:r>
        <w:rPr>
          <w:rStyle w:val="Bold"/>
        </w:rPr>
        <w:t>Analysis</w:t>
      </w:r>
    </w:p>
    <w:p w:rsidR="008E273C" w:rsidRDefault="008E273C" w:rsidP="008E273C">
      <w:pPr>
        <w:pStyle w:val="BodyText"/>
      </w:pPr>
      <w:r>
        <w:t xml:space="preserve">While this performance measure was achieved, the bushfires and COVID-19 pandemic events saw a reduction in the number of reviews finalised in 2019–20. </w:t>
      </w:r>
    </w:p>
    <w:p w:rsidR="008E273C" w:rsidRDefault="008E273C" w:rsidP="008E273C">
      <w:pPr>
        <w:pStyle w:val="BodyText"/>
      </w:pPr>
      <w:r>
        <w:t xml:space="preserve">Diversion of staff within the agency to undertake bushfire and COVID-19 pandemic-related activity also affected the flow of appeals and the age of work on hand for internal review. The total number of review applications reduced from 66,083 in 2018–19 to 52,773 in 2019–20. </w:t>
      </w:r>
    </w:p>
    <w:p w:rsidR="008E273C" w:rsidRDefault="008E273C" w:rsidP="008E273C">
      <w:pPr>
        <w:pStyle w:val="BodyText"/>
      </w:pPr>
      <w:r>
        <w:lastRenderedPageBreak/>
        <w:t>The age of work on hand was also impacted by the pause of income compliance internal review activity in November 2019. There was an increase in the average time taken to review decisions, from an average of 31 days in 20</w:t>
      </w:r>
      <w:r>
        <w:rPr>
          <w:rStyle w:val="NoBreak"/>
        </w:rPr>
        <w:t>18–19</w:t>
      </w:r>
      <w:r>
        <w:t xml:space="preserve"> to 67 days in 2019–20. </w:t>
      </w:r>
    </w:p>
    <w:p w:rsidR="008E273C" w:rsidRDefault="008E273C" w:rsidP="008E273C">
      <w:pPr>
        <w:pStyle w:val="BodyText"/>
      </w:pPr>
      <w:r>
        <w:t xml:space="preserve">For information about external reviews of the agency’s decisions see </w:t>
      </w:r>
      <w:r>
        <w:rPr>
          <w:rStyle w:val="Italic"/>
        </w:rPr>
        <w:t>Administrative Appeals Tribunal</w:t>
      </w:r>
      <w:r>
        <w:t xml:space="preserve"> on page 172.</w:t>
      </w:r>
    </w:p>
    <w:p w:rsidR="008E273C" w:rsidRDefault="00AC4959" w:rsidP="008E273C">
      <w:pPr>
        <w:pStyle w:val="BodyText"/>
      </w:pPr>
      <w:r w:rsidRPr="00AC4959">
        <w:t>Method</w:t>
      </w:r>
      <w:r w:rsidR="008E273C">
        <w:tab/>
        <w:t>Data mining.</w:t>
      </w:r>
    </w:p>
    <w:p w:rsidR="008E273C" w:rsidRPr="006B3127" w:rsidRDefault="00AC4959" w:rsidP="00E42522">
      <w:pPr>
        <w:pStyle w:val="BodyText"/>
      </w:pPr>
      <w:r w:rsidRPr="00AC4959">
        <w:t>Rationale</w:t>
      </w:r>
      <w:r w:rsidRPr="00AC4959">
        <w:tab/>
      </w:r>
      <w:r w:rsidR="008E273C">
        <w:t xml:space="preserve">This </w:t>
      </w:r>
      <w:r w:rsidR="008E273C" w:rsidRPr="006B3127">
        <w:t xml:space="preserve">performance measure supports the </w:t>
      </w:r>
      <w:proofErr w:type="gramStart"/>
      <w:r w:rsidR="008E273C" w:rsidRPr="006B3127">
        <w:t>agency’s</w:t>
      </w:r>
      <w:proofErr w:type="gramEnd"/>
      <w:r w:rsidR="008E273C" w:rsidRPr="006B3127">
        <w:t>:</w:t>
      </w:r>
    </w:p>
    <w:p w:rsidR="008E273C" w:rsidRPr="006B3127" w:rsidRDefault="008E273C" w:rsidP="006B3127">
      <w:pPr>
        <w:pStyle w:val="ListBullet"/>
        <w:tabs>
          <w:tab w:val="clear" w:pos="360"/>
          <w:tab w:val="clear" w:pos="1066"/>
          <w:tab w:val="num" w:pos="1437"/>
        </w:tabs>
        <w:ind w:left="1434"/>
      </w:pPr>
      <w:r w:rsidRPr="006B3127">
        <w:tab/>
        <w:t>‘service excellence’ strategic pillar</w:t>
      </w:r>
    </w:p>
    <w:p w:rsidR="008E273C" w:rsidRDefault="008E273C" w:rsidP="006B3127">
      <w:pPr>
        <w:pStyle w:val="ListBullet"/>
        <w:tabs>
          <w:tab w:val="clear" w:pos="360"/>
          <w:tab w:val="clear" w:pos="1066"/>
          <w:tab w:val="num" w:pos="1437"/>
        </w:tabs>
        <w:ind w:left="1434"/>
      </w:pPr>
      <w:r w:rsidRPr="006B3127">
        <w:tab/>
        <w:t>‘</w:t>
      </w:r>
      <w:proofErr w:type="gramStart"/>
      <w:r w:rsidRPr="006B3127">
        <w:t>customer</w:t>
      </w:r>
      <w:proofErr w:type="gramEnd"/>
      <w:r>
        <w:t xml:space="preserve"> satisfaction’; ‘correct payments’; and ‘ease and timeliness of service’ key performance areas.</w:t>
      </w:r>
    </w:p>
    <w:p w:rsidR="008E273C" w:rsidRDefault="00AC4959" w:rsidP="008E273C">
      <w:pPr>
        <w:pStyle w:val="BodyText"/>
      </w:pPr>
      <w:r w:rsidRPr="00AC4959">
        <w:t>Reference</w:t>
      </w:r>
      <w:r w:rsidR="008E273C">
        <w:tab/>
        <w:t>2019–20 PBS, page 31.</w:t>
      </w:r>
    </w:p>
    <w:p w:rsidR="008E273C" w:rsidRDefault="00AC4959" w:rsidP="008E273C">
      <w:pPr>
        <w:pStyle w:val="BodyText"/>
      </w:pPr>
      <w:r w:rsidRPr="00AC4959">
        <w:t>Data source</w:t>
      </w:r>
      <w:r w:rsidR="008E273C">
        <w:tab/>
        <w:t>Key date values in the appeals system, as captured in Statistical Analysis System (SAS) dataset.</w:t>
      </w:r>
    </w:p>
    <w:p w:rsidR="008E273C" w:rsidRDefault="006B3127" w:rsidP="008E273C">
      <w:pPr>
        <w:pStyle w:val="Heading5"/>
        <w:rPr>
          <w:rStyle w:val="NoBreak"/>
        </w:rPr>
      </w:pPr>
      <w:r>
        <w:t>Criterion 10</w:t>
      </w:r>
      <w:r w:rsidR="008E273C">
        <w:t>—Achievement of payment integrity standards: Centr</w:t>
      </w:r>
      <w:r w:rsidR="008E273C">
        <w:rPr>
          <w:rStyle w:val="NoBreak"/>
        </w:rPr>
        <w:t>elink: De</w:t>
      </w:r>
      <w:r w:rsidR="008E273C">
        <w:t xml:space="preserve">bt under recovery </w:t>
      </w:r>
      <w:r w:rsidR="008E273C" w:rsidRPr="006B3127">
        <w:rPr>
          <w:i/>
        </w:rPr>
        <w:t>(PBS)</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10 Overview"/>
        <w:tblDescription w:val="Criterion 10 Overview"/>
      </w:tblPr>
      <w:tblGrid>
        <w:gridCol w:w="2220"/>
        <w:gridCol w:w="2219"/>
        <w:gridCol w:w="2219"/>
        <w:gridCol w:w="2219"/>
        <w:gridCol w:w="2219"/>
      </w:tblGrid>
      <w:tr w:rsidR="008E273C" w:rsidTr="006B3127">
        <w:trPr>
          <w:trHeight w:val="376"/>
          <w:tblHeader/>
        </w:trPr>
        <w:tc>
          <w:tcPr>
            <w:tcW w:w="1000" w:type="pct"/>
          </w:tcPr>
          <w:p w:rsidR="008E273C" w:rsidRPr="006B3127" w:rsidRDefault="008E273C" w:rsidP="006B3127">
            <w:pPr>
              <w:pStyle w:val="BodyText"/>
              <w:rPr>
                <w:b/>
              </w:rPr>
            </w:pPr>
            <w:r w:rsidRPr="006B3127">
              <w:rPr>
                <w:b/>
              </w:rPr>
              <w:t>Year</w:t>
            </w:r>
          </w:p>
        </w:tc>
        <w:tc>
          <w:tcPr>
            <w:tcW w:w="1000" w:type="pct"/>
          </w:tcPr>
          <w:p w:rsidR="008E273C" w:rsidRPr="006B3127" w:rsidRDefault="008E273C" w:rsidP="006B3127">
            <w:pPr>
              <w:pStyle w:val="BodyText"/>
              <w:rPr>
                <w:b/>
              </w:rPr>
            </w:pPr>
            <w:r w:rsidRPr="006B3127">
              <w:rPr>
                <w:b/>
              </w:rPr>
              <w:t>Target</w:t>
            </w:r>
          </w:p>
        </w:tc>
        <w:tc>
          <w:tcPr>
            <w:tcW w:w="1000" w:type="pct"/>
          </w:tcPr>
          <w:p w:rsidR="008E273C" w:rsidRPr="006B3127" w:rsidRDefault="008E273C" w:rsidP="006B3127">
            <w:pPr>
              <w:pStyle w:val="BodyText"/>
              <w:rPr>
                <w:b/>
              </w:rPr>
            </w:pPr>
            <w:r w:rsidRPr="006B3127">
              <w:rPr>
                <w:b/>
              </w:rPr>
              <w:t>Result</w:t>
            </w:r>
          </w:p>
        </w:tc>
        <w:tc>
          <w:tcPr>
            <w:tcW w:w="1000" w:type="pct"/>
          </w:tcPr>
          <w:p w:rsidR="008E273C" w:rsidRPr="006B3127" w:rsidRDefault="008E273C" w:rsidP="006B3127">
            <w:pPr>
              <w:pStyle w:val="BodyText"/>
              <w:rPr>
                <w:b/>
              </w:rPr>
            </w:pPr>
            <w:r w:rsidRPr="006B3127">
              <w:rPr>
                <w:b/>
              </w:rPr>
              <w:t>Achieved</w:t>
            </w:r>
          </w:p>
        </w:tc>
        <w:tc>
          <w:tcPr>
            <w:tcW w:w="1000" w:type="pct"/>
          </w:tcPr>
          <w:p w:rsidR="006B3127" w:rsidRDefault="008E273C" w:rsidP="006B3127">
            <w:pPr>
              <w:pStyle w:val="BodyText"/>
              <w:rPr>
                <w:b/>
              </w:rPr>
            </w:pPr>
            <w:r w:rsidRPr="006B3127">
              <w:rPr>
                <w:b/>
              </w:rPr>
              <w:t>Change</w:t>
            </w:r>
          </w:p>
          <w:p w:rsidR="008E273C" w:rsidRPr="006B3127" w:rsidRDefault="008E273C" w:rsidP="006B3127">
            <w:pPr>
              <w:pStyle w:val="BodyText"/>
              <w:rPr>
                <w:b/>
              </w:rPr>
            </w:pPr>
            <w:r w:rsidRPr="006B3127">
              <w:rPr>
                <w:b/>
              </w:rPr>
              <w:t>(% points)</w:t>
            </w:r>
          </w:p>
        </w:tc>
      </w:tr>
      <w:tr w:rsidR="008E273C" w:rsidTr="006B3127">
        <w:trPr>
          <w:trHeight w:val="376"/>
        </w:trPr>
        <w:tc>
          <w:tcPr>
            <w:tcW w:w="1000" w:type="pct"/>
          </w:tcPr>
          <w:p w:rsidR="008E273C" w:rsidRDefault="008E273C" w:rsidP="006B3127">
            <w:pPr>
              <w:pStyle w:val="BodyText"/>
            </w:pPr>
            <w:r>
              <w:t>2019–20</w:t>
            </w:r>
          </w:p>
        </w:tc>
        <w:tc>
          <w:tcPr>
            <w:tcW w:w="1000" w:type="pct"/>
          </w:tcPr>
          <w:p w:rsidR="008E273C" w:rsidRDefault="008E273C" w:rsidP="006B3127">
            <w:pPr>
              <w:pStyle w:val="BodyText"/>
            </w:pPr>
            <w:r>
              <w:t>≥60%</w:t>
            </w:r>
          </w:p>
        </w:tc>
        <w:tc>
          <w:tcPr>
            <w:tcW w:w="1000" w:type="pct"/>
          </w:tcPr>
          <w:p w:rsidR="008E273C" w:rsidRDefault="008E273C" w:rsidP="006B3127">
            <w:pPr>
              <w:pStyle w:val="BodyText"/>
            </w:pPr>
            <w:r>
              <w:t>95.8%</w:t>
            </w:r>
          </w:p>
        </w:tc>
        <w:tc>
          <w:tcPr>
            <w:tcW w:w="1000" w:type="pct"/>
          </w:tcPr>
          <w:p w:rsidR="008E273C" w:rsidRPr="00B27DB9" w:rsidRDefault="00B27DB9" w:rsidP="00B27DB9">
            <w:pPr>
              <w:pStyle w:val="BodyText"/>
            </w:pPr>
            <w:r w:rsidRPr="00B27DB9">
              <w:t>Yes</w:t>
            </w:r>
          </w:p>
        </w:tc>
        <w:tc>
          <w:tcPr>
            <w:tcW w:w="1000" w:type="pct"/>
          </w:tcPr>
          <w:p w:rsidR="008E273C" w:rsidRDefault="008E273C" w:rsidP="006B3127">
            <w:pPr>
              <w:pStyle w:val="BodyText"/>
            </w:pPr>
            <w:r>
              <w:t>26.3</w:t>
            </w:r>
          </w:p>
        </w:tc>
      </w:tr>
      <w:tr w:rsidR="008E273C" w:rsidTr="006B3127">
        <w:trPr>
          <w:trHeight w:val="376"/>
        </w:trPr>
        <w:tc>
          <w:tcPr>
            <w:tcW w:w="1000" w:type="pct"/>
          </w:tcPr>
          <w:p w:rsidR="008E273C" w:rsidRDefault="008E273C" w:rsidP="006B3127">
            <w:pPr>
              <w:pStyle w:val="BodyText"/>
            </w:pPr>
            <w:r>
              <w:t>2018–19</w:t>
            </w:r>
          </w:p>
        </w:tc>
        <w:tc>
          <w:tcPr>
            <w:tcW w:w="1000" w:type="pct"/>
          </w:tcPr>
          <w:p w:rsidR="008E273C" w:rsidRDefault="008E273C" w:rsidP="006B3127">
            <w:pPr>
              <w:pStyle w:val="BodyText"/>
            </w:pPr>
            <w:r>
              <w:t>≥60%</w:t>
            </w:r>
          </w:p>
        </w:tc>
        <w:tc>
          <w:tcPr>
            <w:tcW w:w="1000" w:type="pct"/>
          </w:tcPr>
          <w:p w:rsidR="008E273C" w:rsidRDefault="008E273C" w:rsidP="006B3127">
            <w:pPr>
              <w:pStyle w:val="BodyText"/>
            </w:pPr>
            <w:r>
              <w:t>69.5%</w:t>
            </w:r>
          </w:p>
        </w:tc>
        <w:tc>
          <w:tcPr>
            <w:tcW w:w="1000" w:type="pct"/>
          </w:tcPr>
          <w:p w:rsidR="008E273C" w:rsidRPr="00B27DB9" w:rsidRDefault="00B27DB9" w:rsidP="00B27DB9">
            <w:pPr>
              <w:pStyle w:val="BodyText"/>
            </w:pPr>
            <w:r w:rsidRPr="00B27DB9">
              <w:t>Yes</w:t>
            </w:r>
          </w:p>
        </w:tc>
        <w:tc>
          <w:tcPr>
            <w:tcW w:w="1000" w:type="pct"/>
          </w:tcPr>
          <w:p w:rsidR="008E273C" w:rsidRDefault="008E273C" w:rsidP="006B3127">
            <w:pPr>
              <w:pStyle w:val="BodyText"/>
            </w:pPr>
            <w:r>
              <w:t>10.5</w:t>
            </w:r>
          </w:p>
        </w:tc>
      </w:tr>
      <w:tr w:rsidR="008E273C" w:rsidTr="006B3127">
        <w:trPr>
          <w:trHeight w:val="376"/>
        </w:trPr>
        <w:tc>
          <w:tcPr>
            <w:tcW w:w="1000" w:type="pct"/>
          </w:tcPr>
          <w:p w:rsidR="008E273C" w:rsidRDefault="008E273C" w:rsidP="006B3127">
            <w:pPr>
              <w:pStyle w:val="BodyText"/>
            </w:pPr>
            <w:r>
              <w:t>2017–18</w:t>
            </w:r>
          </w:p>
        </w:tc>
        <w:tc>
          <w:tcPr>
            <w:tcW w:w="1000" w:type="pct"/>
          </w:tcPr>
          <w:p w:rsidR="008E273C" w:rsidRDefault="008E273C" w:rsidP="006B3127">
            <w:pPr>
              <w:pStyle w:val="BodyText"/>
            </w:pPr>
            <w:r>
              <w:t>≥60%</w:t>
            </w:r>
          </w:p>
        </w:tc>
        <w:tc>
          <w:tcPr>
            <w:tcW w:w="1000" w:type="pct"/>
          </w:tcPr>
          <w:p w:rsidR="008E273C" w:rsidRDefault="008E273C" w:rsidP="006B3127">
            <w:pPr>
              <w:pStyle w:val="BodyText"/>
            </w:pPr>
            <w:r>
              <w:t>59.0%</w:t>
            </w:r>
          </w:p>
        </w:tc>
        <w:tc>
          <w:tcPr>
            <w:tcW w:w="1000" w:type="pct"/>
          </w:tcPr>
          <w:p w:rsidR="008E273C" w:rsidRPr="00B27DB9" w:rsidRDefault="00B27DB9" w:rsidP="00B27DB9">
            <w:pPr>
              <w:pStyle w:val="BodyText"/>
            </w:pPr>
            <w:r w:rsidRPr="00B27DB9">
              <w:t>No</w:t>
            </w:r>
          </w:p>
        </w:tc>
        <w:tc>
          <w:tcPr>
            <w:tcW w:w="1000" w:type="pct"/>
          </w:tcPr>
          <w:p w:rsidR="008E273C" w:rsidRDefault="008E273C" w:rsidP="006B3127">
            <w:pPr>
              <w:pStyle w:val="BodyText"/>
            </w:pPr>
            <w:r>
              <w:t>–2.8</w:t>
            </w:r>
            <w:r>
              <w:rPr>
                <w:vertAlign w:val="superscript"/>
              </w:rPr>
              <w:t>(a)</w:t>
            </w:r>
          </w:p>
        </w:tc>
      </w:tr>
    </w:tbl>
    <w:p w:rsidR="008E273C" w:rsidRDefault="008E273C" w:rsidP="006B3127">
      <w:pPr>
        <w:pStyle w:val="BodyText"/>
      </w:pPr>
      <w:r>
        <w:t>(a) The performance measure was updated in October 2018 to include debts referred to external collection agents for debt recovery. The historical results prior to 2018–19 provide context for performance. However, the results are not directly comparable to results from 2</w:t>
      </w:r>
      <w:r>
        <w:rPr>
          <w:rStyle w:val="NoBreak"/>
        </w:rPr>
        <w:t>018–19 onwards</w:t>
      </w:r>
      <w:r>
        <w:t>.</w:t>
      </w:r>
    </w:p>
    <w:p w:rsidR="008E273C" w:rsidRDefault="00AC4959" w:rsidP="00AC4959">
      <w:pPr>
        <w:pStyle w:val="BodyText"/>
        <w:rPr>
          <w:rStyle w:val="Bold"/>
        </w:rPr>
      </w:pPr>
      <w:r>
        <w:rPr>
          <w:rStyle w:val="Bold"/>
        </w:rPr>
        <w:t>Analysis</w:t>
      </w:r>
    </w:p>
    <w:p w:rsidR="008E273C" w:rsidRDefault="008E273C" w:rsidP="008E273C">
      <w:pPr>
        <w:pStyle w:val="BodyText"/>
      </w:pPr>
      <w:r>
        <w:t>The agency met the 2019–20 annual target. The result indicates an increase in the percentage of debts under recovery by 26.3 percentage points compared to 2018–19. The outcome has been inflated for 2019–20 by the pause on debt raising and recovery activity announced on 3 April 2020 due to the COVID-19 pandemic.</w:t>
      </w:r>
    </w:p>
    <w:p w:rsidR="008E273C" w:rsidRDefault="008E273C" w:rsidP="008E273C">
      <w:pPr>
        <w:pStyle w:val="BodyText"/>
      </w:pPr>
      <w:r>
        <w:t xml:space="preserve">Legislation requires the agency to manage and pursue the recovery of debts. The agency negotiates suitable payment arrangements with customers based on their capacity to repay their debt. This pause seeks to help ease pressure on people’s budgets during the COVID-19 pandemic and has significantly impacted the current levels of outstanding debt. </w:t>
      </w:r>
    </w:p>
    <w:p w:rsidR="008E273C" w:rsidRDefault="008E273C" w:rsidP="008E273C">
      <w:pPr>
        <w:pStyle w:val="BodyText"/>
      </w:pPr>
      <w:r>
        <w:lastRenderedPageBreak/>
        <w:t xml:space="preserve">The definition of ‘debt’ for the measure excludes those debts that are currently paused. As at 30 June 2020 there were a total of 1.3 million debts with a value of $4.53 billion that had been paused, this equating to 96 per cent of all outstanding debt. </w:t>
      </w:r>
      <w:r>
        <w:rPr>
          <w:rStyle w:val="NoBreak"/>
        </w:rPr>
        <w:t>As a re</w:t>
      </w:r>
      <w:r>
        <w:t>sult, the total value of debt used to calculate the 2019–20 annual res</w:t>
      </w:r>
      <w:r>
        <w:rPr>
          <w:rStyle w:val="NoBreak"/>
        </w:rPr>
        <w:t>ult w</w:t>
      </w:r>
      <w:r>
        <w:t>as $</w:t>
      </w:r>
      <w:r>
        <w:rPr>
          <w:rStyle w:val="NoBreak"/>
        </w:rPr>
        <w:t>207.9 mil</w:t>
      </w:r>
      <w:r>
        <w:t>lion—in 2018–19 it w</w:t>
      </w:r>
      <w:r>
        <w:rPr>
          <w:rStyle w:val="NoBreak"/>
        </w:rPr>
        <w:t>as $4.57 bi</w:t>
      </w:r>
      <w:r>
        <w:t xml:space="preserve">llion. </w:t>
      </w:r>
    </w:p>
    <w:p w:rsidR="008E273C" w:rsidRDefault="008E273C" w:rsidP="008E273C">
      <w:pPr>
        <w:pStyle w:val="BodyText"/>
      </w:pPr>
      <w:r>
        <w:t>Work relating to fraud and serious non-compliance has continued throughout the debt pause in order to maintain the integrity of the welfare system. This reflects only a small proportion of overall outstanding debt.</w:t>
      </w:r>
    </w:p>
    <w:p w:rsidR="008E273C" w:rsidRDefault="008E273C" w:rsidP="008E273C">
      <w:pPr>
        <w:pStyle w:val="BodyText"/>
      </w:pPr>
      <w:r>
        <w:t xml:space="preserve">For more information see </w:t>
      </w:r>
      <w:r>
        <w:rPr>
          <w:rStyle w:val="Italic"/>
        </w:rPr>
        <w:t xml:space="preserve">Debt management </w:t>
      </w:r>
      <w:r>
        <w:t>on page 67.</w:t>
      </w:r>
    </w:p>
    <w:p w:rsidR="008E273C" w:rsidRDefault="00AC4959" w:rsidP="008E273C">
      <w:pPr>
        <w:pStyle w:val="BodyText"/>
      </w:pPr>
      <w:r w:rsidRPr="00AC4959">
        <w:t>Method</w:t>
      </w:r>
      <w:r w:rsidR="008E273C">
        <w:tab/>
        <w:t>Data mining.</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6B3127">
      <w:pPr>
        <w:pStyle w:val="ListBullet"/>
        <w:tabs>
          <w:tab w:val="clear" w:pos="360"/>
          <w:tab w:val="clear" w:pos="1066"/>
          <w:tab w:val="num" w:pos="1437"/>
        </w:tabs>
        <w:ind w:left="1434"/>
      </w:pPr>
      <w:r>
        <w:t>‘service excellence’ strategic pillar</w:t>
      </w:r>
    </w:p>
    <w:p w:rsidR="008E273C" w:rsidRDefault="008E273C" w:rsidP="006B3127">
      <w:pPr>
        <w:pStyle w:val="ListBullet"/>
        <w:tabs>
          <w:tab w:val="clear" w:pos="360"/>
          <w:tab w:val="clear" w:pos="1066"/>
          <w:tab w:val="num" w:pos="1437"/>
        </w:tabs>
        <w:ind w:left="1434"/>
      </w:pPr>
      <w:r>
        <w:tab/>
        <w:t>‘</w:t>
      </w:r>
      <w:proofErr w:type="gramStart"/>
      <w:r>
        <w:t>correct</w:t>
      </w:r>
      <w:proofErr w:type="gramEnd"/>
      <w:r>
        <w:t xml:space="preserve"> payments’ key performance area.</w:t>
      </w:r>
    </w:p>
    <w:p w:rsidR="008E273C" w:rsidRDefault="00AC4959" w:rsidP="008E273C">
      <w:pPr>
        <w:pStyle w:val="BodyText"/>
      </w:pPr>
      <w:r w:rsidRPr="00AC4959">
        <w:t>Reference</w:t>
      </w:r>
      <w:r w:rsidR="008E273C">
        <w:tab/>
        <w:t>2019–20 PBS, page 31.</w:t>
      </w:r>
    </w:p>
    <w:p w:rsidR="008E273C" w:rsidRDefault="00AC4959" w:rsidP="008E273C">
      <w:pPr>
        <w:pStyle w:val="BodyText"/>
      </w:pPr>
      <w:r w:rsidRPr="00AC4959">
        <w:t>Data source</w:t>
      </w:r>
      <w:r w:rsidR="008E273C">
        <w:tab/>
        <w:t>Enterprise Data Warehouse.</w:t>
      </w:r>
    </w:p>
    <w:p w:rsidR="008E273C" w:rsidRDefault="008E273C" w:rsidP="008E273C">
      <w:pPr>
        <w:pStyle w:val="Heading3"/>
      </w:pPr>
      <w:r>
        <w:t>Program 1.2—Services to the Community—Health</w:t>
      </w:r>
    </w:p>
    <w:tbl>
      <w:tblPr>
        <w:tblStyle w:val="TableGrid"/>
        <w:tblW w:w="5000" w:type="pct"/>
        <w:tblLook w:val="0000" w:firstRow="0" w:lastRow="0" w:firstColumn="0" w:lastColumn="0" w:noHBand="0" w:noVBand="0"/>
        <w:tblCaption w:val="Program 1.2—Services to the Community—Health"/>
        <w:tblDescription w:val="Program 1.2—Services to the Community—Health"/>
      </w:tblPr>
      <w:tblGrid>
        <w:gridCol w:w="9784"/>
        <w:gridCol w:w="1312"/>
      </w:tblGrid>
      <w:tr w:rsidR="008E273C" w:rsidTr="006B3127">
        <w:trPr>
          <w:trHeight w:val="60"/>
          <w:tblHeader/>
        </w:trPr>
        <w:tc>
          <w:tcPr>
            <w:tcW w:w="4409" w:type="pct"/>
          </w:tcPr>
          <w:p w:rsidR="008E273C" w:rsidRPr="006B3127" w:rsidRDefault="008E273C" w:rsidP="006B3127">
            <w:pPr>
              <w:pStyle w:val="BodyText"/>
              <w:rPr>
                <w:b/>
              </w:rPr>
            </w:pPr>
            <w:r w:rsidRPr="006B3127">
              <w:rPr>
                <w:b/>
              </w:rPr>
              <w:t>Performance measure</w:t>
            </w:r>
          </w:p>
        </w:tc>
        <w:tc>
          <w:tcPr>
            <w:tcW w:w="591" w:type="pct"/>
          </w:tcPr>
          <w:p w:rsidR="008E273C" w:rsidRPr="006B3127" w:rsidRDefault="008E273C" w:rsidP="006B3127">
            <w:pPr>
              <w:pStyle w:val="BodyText"/>
              <w:rPr>
                <w:b/>
              </w:rPr>
            </w:pPr>
            <w:r w:rsidRPr="006B3127">
              <w:rPr>
                <w:b/>
              </w:rPr>
              <w:t>Met</w:t>
            </w:r>
          </w:p>
        </w:tc>
      </w:tr>
      <w:tr w:rsidR="008E273C" w:rsidTr="006B3127">
        <w:trPr>
          <w:trHeight w:val="60"/>
        </w:trPr>
        <w:tc>
          <w:tcPr>
            <w:tcW w:w="4409" w:type="pct"/>
          </w:tcPr>
          <w:p w:rsidR="008E273C" w:rsidRDefault="008E273C" w:rsidP="006B3127">
            <w:pPr>
              <w:pStyle w:val="ListNumber"/>
              <w:numPr>
                <w:ilvl w:val="0"/>
                <w:numId w:val="13"/>
              </w:numPr>
            </w:pPr>
            <w:r>
              <w:t>Satisfaction with Medicare provider service delivery: Practitioners, pharmacists and practice managers</w:t>
            </w:r>
          </w:p>
        </w:tc>
        <w:tc>
          <w:tcPr>
            <w:tcW w:w="591" w:type="pct"/>
          </w:tcPr>
          <w:p w:rsidR="008E273C" w:rsidRPr="00B27DB9" w:rsidRDefault="00B27DB9" w:rsidP="00B27DB9">
            <w:pPr>
              <w:pStyle w:val="BodyText"/>
            </w:pPr>
            <w:r w:rsidRPr="00B27DB9">
              <w:t>Yes</w:t>
            </w:r>
          </w:p>
        </w:tc>
      </w:tr>
      <w:tr w:rsidR="008E273C" w:rsidTr="006B3127">
        <w:trPr>
          <w:trHeight w:val="60"/>
        </w:trPr>
        <w:tc>
          <w:tcPr>
            <w:tcW w:w="4409" w:type="pct"/>
          </w:tcPr>
          <w:p w:rsidR="008E273C" w:rsidRDefault="008E273C" w:rsidP="006B3127">
            <w:pPr>
              <w:pStyle w:val="ListNumber"/>
            </w:pPr>
            <w:r>
              <w:t>Customer satisfaction: Achievement of customer satisfaction standards</w:t>
            </w:r>
          </w:p>
        </w:tc>
        <w:tc>
          <w:tcPr>
            <w:tcW w:w="591" w:type="pct"/>
          </w:tcPr>
          <w:p w:rsidR="008E273C" w:rsidRPr="00B27DB9" w:rsidRDefault="00B27DB9" w:rsidP="00B27DB9">
            <w:pPr>
              <w:pStyle w:val="BodyText"/>
            </w:pPr>
            <w:r w:rsidRPr="00B27DB9">
              <w:t>Yes</w:t>
            </w:r>
          </w:p>
        </w:tc>
      </w:tr>
      <w:tr w:rsidR="008E273C" w:rsidTr="006B3127">
        <w:trPr>
          <w:trHeight w:val="60"/>
        </w:trPr>
        <w:tc>
          <w:tcPr>
            <w:tcW w:w="4409" w:type="pct"/>
          </w:tcPr>
          <w:p w:rsidR="008E273C" w:rsidRDefault="008E273C" w:rsidP="006B3127">
            <w:pPr>
              <w:pStyle w:val="ListNumber"/>
            </w:pPr>
            <w:r>
              <w:t>Customer satisfaction: Trust: customers are confident in the integrity of the advice provided to them</w:t>
            </w:r>
          </w:p>
        </w:tc>
        <w:tc>
          <w:tcPr>
            <w:tcW w:w="591" w:type="pct"/>
          </w:tcPr>
          <w:p w:rsidR="008E273C" w:rsidRPr="00B27DB9" w:rsidRDefault="008E273C" w:rsidP="00B27DB9">
            <w:pPr>
              <w:pStyle w:val="BodyText"/>
            </w:pPr>
            <w:r w:rsidRPr="00B27DB9">
              <w:t>–</w:t>
            </w:r>
          </w:p>
        </w:tc>
      </w:tr>
      <w:tr w:rsidR="008E273C" w:rsidTr="006B3127">
        <w:trPr>
          <w:trHeight w:val="60"/>
        </w:trPr>
        <w:tc>
          <w:tcPr>
            <w:tcW w:w="4409" w:type="pct"/>
          </w:tcPr>
          <w:p w:rsidR="008E273C" w:rsidRDefault="008E273C" w:rsidP="006B3127">
            <w:pPr>
              <w:pStyle w:val="ListNumber"/>
            </w:pPr>
            <w:r>
              <w:t>Achievement of digital service level standards: Medicare Benefits Schedule digital claiming rate</w:t>
            </w:r>
          </w:p>
        </w:tc>
        <w:tc>
          <w:tcPr>
            <w:tcW w:w="591" w:type="pct"/>
          </w:tcPr>
          <w:p w:rsidR="008E273C" w:rsidRPr="00B27DB9" w:rsidRDefault="00B27DB9" w:rsidP="00B27DB9">
            <w:pPr>
              <w:pStyle w:val="BodyText"/>
            </w:pPr>
            <w:r w:rsidRPr="00B27DB9">
              <w:t>Yes</w:t>
            </w:r>
          </w:p>
        </w:tc>
      </w:tr>
      <w:tr w:rsidR="008E273C" w:rsidTr="006B3127">
        <w:trPr>
          <w:trHeight w:val="60"/>
        </w:trPr>
        <w:tc>
          <w:tcPr>
            <w:tcW w:w="4409" w:type="pct"/>
          </w:tcPr>
          <w:p w:rsidR="008E273C" w:rsidRDefault="008E273C" w:rsidP="006B3127">
            <w:pPr>
              <w:pStyle w:val="ListNumber"/>
            </w:pPr>
            <w:r>
              <w:t>Achievement of digital service level standards: Departmental interactions completed via digital channels</w:t>
            </w:r>
          </w:p>
        </w:tc>
        <w:tc>
          <w:tcPr>
            <w:tcW w:w="591" w:type="pct"/>
          </w:tcPr>
          <w:p w:rsidR="008E273C" w:rsidRPr="00B27DB9" w:rsidRDefault="00B27DB9" w:rsidP="00B27DB9">
            <w:pPr>
              <w:pStyle w:val="BodyText"/>
            </w:pPr>
            <w:r w:rsidRPr="00B27DB9">
              <w:t>Yes</w:t>
            </w:r>
          </w:p>
        </w:tc>
      </w:tr>
      <w:tr w:rsidR="008E273C" w:rsidTr="006B3127">
        <w:trPr>
          <w:trHeight w:val="60"/>
        </w:trPr>
        <w:tc>
          <w:tcPr>
            <w:tcW w:w="4409" w:type="pct"/>
          </w:tcPr>
          <w:p w:rsidR="008E273C" w:rsidRDefault="008E273C" w:rsidP="006B3127">
            <w:pPr>
              <w:pStyle w:val="ListNumber"/>
            </w:pPr>
            <w:r>
              <w:t>Achievement of digital service level standards: Availability of ICT services excluding scheduled maintenance periods that support 24/7 customer access</w:t>
            </w:r>
          </w:p>
        </w:tc>
        <w:tc>
          <w:tcPr>
            <w:tcW w:w="591" w:type="pct"/>
          </w:tcPr>
          <w:p w:rsidR="008E273C" w:rsidRPr="00B27DB9" w:rsidRDefault="00B27DB9" w:rsidP="00B27DB9">
            <w:pPr>
              <w:pStyle w:val="BodyText"/>
            </w:pPr>
            <w:r w:rsidRPr="00B27DB9">
              <w:t>Yes</w:t>
            </w:r>
          </w:p>
        </w:tc>
      </w:tr>
      <w:tr w:rsidR="008E273C" w:rsidTr="006B3127">
        <w:trPr>
          <w:trHeight w:val="60"/>
        </w:trPr>
        <w:tc>
          <w:tcPr>
            <w:tcW w:w="4409" w:type="pct"/>
          </w:tcPr>
          <w:p w:rsidR="008E273C" w:rsidRDefault="008E273C" w:rsidP="006B3127">
            <w:pPr>
              <w:pStyle w:val="ListNumber"/>
            </w:pPr>
            <w:r>
              <w:t>Achievement of payment quality standards: Medicare: Delivery of accurate medical benefits and services</w:t>
            </w:r>
          </w:p>
        </w:tc>
        <w:tc>
          <w:tcPr>
            <w:tcW w:w="591" w:type="pct"/>
          </w:tcPr>
          <w:p w:rsidR="008E273C" w:rsidRPr="00B27DB9" w:rsidRDefault="00B27DB9" w:rsidP="00B27DB9">
            <w:pPr>
              <w:pStyle w:val="BodyText"/>
            </w:pPr>
            <w:r w:rsidRPr="00B27DB9">
              <w:t>Yes</w:t>
            </w:r>
          </w:p>
        </w:tc>
      </w:tr>
      <w:tr w:rsidR="008E273C" w:rsidTr="006B3127">
        <w:trPr>
          <w:trHeight w:val="60"/>
        </w:trPr>
        <w:tc>
          <w:tcPr>
            <w:tcW w:w="4409" w:type="pct"/>
          </w:tcPr>
          <w:p w:rsidR="008E273C" w:rsidRDefault="008E273C" w:rsidP="006B3127">
            <w:pPr>
              <w:pStyle w:val="ListNumber"/>
            </w:pPr>
            <w:r>
              <w:t>Achievement of face-to-face service level standards: Average wait time</w:t>
            </w:r>
          </w:p>
        </w:tc>
        <w:tc>
          <w:tcPr>
            <w:tcW w:w="591" w:type="pct"/>
          </w:tcPr>
          <w:p w:rsidR="008E273C" w:rsidRPr="00B27DB9" w:rsidRDefault="00B27DB9" w:rsidP="00B27DB9">
            <w:pPr>
              <w:pStyle w:val="BodyText"/>
            </w:pPr>
            <w:r w:rsidRPr="00B27DB9">
              <w:t>Yes</w:t>
            </w:r>
          </w:p>
        </w:tc>
      </w:tr>
      <w:tr w:rsidR="008E273C" w:rsidTr="006B3127">
        <w:trPr>
          <w:trHeight w:val="60"/>
        </w:trPr>
        <w:tc>
          <w:tcPr>
            <w:tcW w:w="4409" w:type="pct"/>
          </w:tcPr>
          <w:p w:rsidR="008E273C" w:rsidRDefault="008E273C" w:rsidP="006B3127">
            <w:pPr>
              <w:pStyle w:val="ListNumber"/>
            </w:pPr>
            <w:r>
              <w:t>Achievement of telephony service level standards: Average speed of answer: Pharmaceutical Benefits Scheme Authorities and My Health Record Providers</w:t>
            </w:r>
          </w:p>
        </w:tc>
        <w:tc>
          <w:tcPr>
            <w:tcW w:w="591" w:type="pct"/>
          </w:tcPr>
          <w:p w:rsidR="008E273C" w:rsidRPr="00B27DB9" w:rsidRDefault="00B27DB9" w:rsidP="00B27DB9">
            <w:pPr>
              <w:pStyle w:val="BodyText"/>
            </w:pPr>
            <w:r w:rsidRPr="00B27DB9">
              <w:t>No</w:t>
            </w:r>
          </w:p>
        </w:tc>
      </w:tr>
      <w:tr w:rsidR="008E273C" w:rsidTr="006B3127">
        <w:trPr>
          <w:trHeight w:val="337"/>
        </w:trPr>
        <w:tc>
          <w:tcPr>
            <w:tcW w:w="4409" w:type="pct"/>
          </w:tcPr>
          <w:p w:rsidR="008E273C" w:rsidRDefault="008E273C" w:rsidP="006B3127">
            <w:pPr>
              <w:pStyle w:val="ListNumber"/>
            </w:pPr>
            <w:r>
              <w:tab/>
              <w:t>Achievement of telephony service level standards: Average speed of answer: Providers</w:t>
            </w:r>
          </w:p>
        </w:tc>
        <w:tc>
          <w:tcPr>
            <w:tcW w:w="591" w:type="pct"/>
          </w:tcPr>
          <w:p w:rsidR="008E273C" w:rsidRPr="00B27DB9" w:rsidRDefault="00B27DB9" w:rsidP="00B27DB9">
            <w:pPr>
              <w:pStyle w:val="BodyText"/>
            </w:pPr>
            <w:r w:rsidRPr="00B27DB9">
              <w:t>Yes</w:t>
            </w:r>
          </w:p>
        </w:tc>
      </w:tr>
      <w:tr w:rsidR="008E273C" w:rsidTr="006B3127">
        <w:trPr>
          <w:trHeight w:val="337"/>
        </w:trPr>
        <w:tc>
          <w:tcPr>
            <w:tcW w:w="4409" w:type="pct"/>
          </w:tcPr>
          <w:p w:rsidR="008E273C" w:rsidRDefault="008E273C" w:rsidP="006B3127">
            <w:pPr>
              <w:pStyle w:val="ListNumber"/>
            </w:pPr>
            <w:r>
              <w:lastRenderedPageBreak/>
              <w:tab/>
              <w:t>Achievement of telephony service level standards:  Average speed of answer: Customers</w:t>
            </w:r>
          </w:p>
        </w:tc>
        <w:tc>
          <w:tcPr>
            <w:tcW w:w="591" w:type="pct"/>
          </w:tcPr>
          <w:p w:rsidR="008E273C" w:rsidRPr="00B27DB9" w:rsidRDefault="00B27DB9" w:rsidP="00B27DB9">
            <w:pPr>
              <w:pStyle w:val="BodyText"/>
            </w:pPr>
            <w:r w:rsidRPr="00B27DB9">
              <w:t>Yes</w:t>
            </w:r>
          </w:p>
        </w:tc>
      </w:tr>
      <w:tr w:rsidR="008E273C" w:rsidTr="006B3127">
        <w:trPr>
          <w:trHeight w:val="337"/>
        </w:trPr>
        <w:tc>
          <w:tcPr>
            <w:tcW w:w="4409" w:type="pct"/>
          </w:tcPr>
          <w:p w:rsidR="008E273C" w:rsidRDefault="008E273C" w:rsidP="006B3127">
            <w:pPr>
              <w:pStyle w:val="ListNumber"/>
            </w:pPr>
            <w:r>
              <w:tab/>
              <w:t>Achievement of processing service level standards: Claims processed within standard</w:t>
            </w:r>
          </w:p>
        </w:tc>
        <w:tc>
          <w:tcPr>
            <w:tcW w:w="591" w:type="pct"/>
          </w:tcPr>
          <w:p w:rsidR="008E273C" w:rsidRPr="00B27DB9" w:rsidRDefault="00B27DB9" w:rsidP="00B27DB9">
            <w:pPr>
              <w:pStyle w:val="BodyText"/>
            </w:pPr>
            <w:r w:rsidRPr="00B27DB9">
              <w:t>Yes</w:t>
            </w:r>
          </w:p>
        </w:tc>
      </w:tr>
    </w:tbl>
    <w:p w:rsidR="008E273C" w:rsidRDefault="008E273C" w:rsidP="008E273C">
      <w:pPr>
        <w:pStyle w:val="BodyText"/>
      </w:pPr>
      <w:r>
        <w:rPr>
          <w:sz w:val="22"/>
          <w:szCs w:val="22"/>
        </w:rPr>
        <w:t xml:space="preserve">Services Australia met 10 of 12 Health performance measures in 2019–20, noting, there was no set target for the Trust performance measure. For more information about the Health Program see </w:t>
      </w:r>
      <w:r>
        <w:rPr>
          <w:rStyle w:val="Italic"/>
        </w:rPr>
        <w:t>1.4 Health</w:t>
      </w:r>
      <w:r>
        <w:t xml:space="preserve"> on page 16.</w:t>
      </w:r>
    </w:p>
    <w:p w:rsidR="008E273C" w:rsidRDefault="008E273C" w:rsidP="008E273C">
      <w:pPr>
        <w:pStyle w:val="BodyText"/>
        <w:rPr>
          <w:rStyle w:val="NoBreak"/>
        </w:rPr>
      </w:pPr>
      <w:r>
        <w:t>This achievement demonstrates the agency’s commitment to delivering on its purpose to provide high-quality government services and payments t</w:t>
      </w:r>
      <w:r>
        <w:rPr>
          <w:rStyle w:val="NoBreak"/>
        </w:rPr>
        <w:t>o Australia.</w:t>
      </w:r>
    </w:p>
    <w:p w:rsidR="008E273C" w:rsidRDefault="008E273C" w:rsidP="008E273C">
      <w:pPr>
        <w:pStyle w:val="BodyText"/>
      </w:pPr>
      <w:r>
        <w:t>The program achieved consistent results against its service level standards for its face-to-face, processing a</w:t>
      </w:r>
      <w:r w:rsidR="0010299A">
        <w:t xml:space="preserve">nd digital servicing channels. </w:t>
      </w:r>
      <w:r>
        <w:t>F</w:t>
      </w:r>
      <w:r>
        <w:rPr>
          <w:rStyle w:val="NoBreak"/>
        </w:rPr>
        <w:t xml:space="preserve">or example, in 2019–20 </w:t>
      </w:r>
      <w:r>
        <w:t xml:space="preserve">25.9 million people were enrolled in Medicare and $25.0 billion was paid in benefits. </w:t>
      </w:r>
    </w:p>
    <w:p w:rsidR="008E273C" w:rsidRDefault="008E273C" w:rsidP="008E273C">
      <w:pPr>
        <w:pStyle w:val="BodyText"/>
      </w:pPr>
      <w:r>
        <w:t xml:space="preserve">The percentage of digital claims continues to grow, with 99.2 per cent of Medicare services claimed digitally in 2019–20. Approximately 80 per cent of all health practices lodge 100 per cent of their Medicare claims digitally at their practice. </w:t>
      </w:r>
    </w:p>
    <w:p w:rsidR="008E273C" w:rsidRDefault="008E273C" w:rsidP="008E273C">
      <w:pPr>
        <w:pStyle w:val="BodyText"/>
      </w:pPr>
      <w:r>
        <w:t xml:space="preserve">The encouragement of digital claiming resulted in the use of the agency’s </w:t>
      </w:r>
      <w:r>
        <w:rPr>
          <w:rStyle w:val="NoBreak"/>
        </w:rPr>
        <w:t>24/7 dig</w:t>
      </w:r>
      <w:r>
        <w:t xml:space="preserve">ital channels growing, with a 9.5 per cent increase in 2019–20. </w:t>
      </w:r>
    </w:p>
    <w:p w:rsidR="008E273C" w:rsidRDefault="008E273C" w:rsidP="008E273C">
      <w:pPr>
        <w:pStyle w:val="BodyText"/>
      </w:pPr>
      <w:r>
        <w:t>Although the agency did not meet the 2019–20 target for Average speed of answer: Pharmaceutical Benefits Scheme Authorities and My Health Record Providers—the agency answered over 278,000 more calls than in 2018–19.</w:t>
      </w:r>
    </w:p>
    <w:p w:rsidR="008E273C" w:rsidRDefault="008E273C" w:rsidP="008E273C">
      <w:pPr>
        <w:pStyle w:val="BodyText"/>
      </w:pPr>
      <w:r>
        <w:t xml:space="preserve">The unprecedented pressure on the country’s health system in 2019–20, as a result of the bushfires and COVID-19 pandemic has required the agency to be nimble in implementation and delivery in a fast changing environment. </w:t>
      </w:r>
    </w:p>
    <w:p w:rsidR="008E273C" w:rsidRDefault="008E273C" w:rsidP="008E273C">
      <w:pPr>
        <w:pStyle w:val="BodyText"/>
      </w:pPr>
      <w:r>
        <w:t xml:space="preserve">We have supported Australian’s continued access to critical health services including the introduction of new bushfire mental health and telehealth Medicare Benefits Schedule items, enabling digital lodgement of all remaining Medicare Services rather than customers presenting in the face-to-face environment; and supporting health professionals to deliver. </w:t>
      </w:r>
    </w:p>
    <w:p w:rsidR="008E273C" w:rsidRDefault="005B081F" w:rsidP="008E273C">
      <w:pPr>
        <w:pStyle w:val="Heading5"/>
      </w:pPr>
      <w:r>
        <w:t>Criterion 1</w:t>
      </w:r>
      <w:r w:rsidR="008E273C">
        <w:t xml:space="preserve">—Satisfaction with Medicare provider service delivery: Practitioners, pharmacists and practice managers </w:t>
      </w:r>
      <w:r w:rsidR="008E273C" w:rsidRPr="005B081F">
        <w:rPr>
          <w:i/>
        </w:rPr>
        <w:t>(PBS)</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1 Overview"/>
        <w:tblDescription w:val="Criterion 1 Overview"/>
      </w:tblPr>
      <w:tblGrid>
        <w:gridCol w:w="2220"/>
        <w:gridCol w:w="2535"/>
        <w:gridCol w:w="2220"/>
        <w:gridCol w:w="2037"/>
        <w:gridCol w:w="2084"/>
      </w:tblGrid>
      <w:tr w:rsidR="008E273C" w:rsidTr="005B081F">
        <w:trPr>
          <w:trHeight w:val="376"/>
          <w:tblHeader/>
        </w:trPr>
        <w:tc>
          <w:tcPr>
            <w:tcW w:w="1000" w:type="pct"/>
          </w:tcPr>
          <w:p w:rsidR="008E273C" w:rsidRPr="005B081F" w:rsidRDefault="008E273C" w:rsidP="005B081F">
            <w:pPr>
              <w:pStyle w:val="BodyText"/>
              <w:rPr>
                <w:b/>
              </w:rPr>
            </w:pPr>
            <w:r w:rsidRPr="005B081F">
              <w:rPr>
                <w:b/>
              </w:rPr>
              <w:t>Year</w:t>
            </w:r>
          </w:p>
        </w:tc>
        <w:tc>
          <w:tcPr>
            <w:tcW w:w="1142" w:type="pct"/>
          </w:tcPr>
          <w:p w:rsidR="008E273C" w:rsidRPr="005B081F" w:rsidRDefault="008E273C" w:rsidP="005B081F">
            <w:pPr>
              <w:pStyle w:val="BodyText"/>
              <w:rPr>
                <w:b/>
              </w:rPr>
            </w:pPr>
            <w:r w:rsidRPr="005B081F">
              <w:rPr>
                <w:b/>
              </w:rPr>
              <w:t>Target</w:t>
            </w:r>
          </w:p>
        </w:tc>
        <w:tc>
          <w:tcPr>
            <w:tcW w:w="1000" w:type="pct"/>
          </w:tcPr>
          <w:p w:rsidR="008E273C" w:rsidRPr="005B081F" w:rsidRDefault="008E273C" w:rsidP="005B081F">
            <w:pPr>
              <w:pStyle w:val="BodyText"/>
              <w:rPr>
                <w:b/>
              </w:rPr>
            </w:pPr>
            <w:r w:rsidRPr="005B081F">
              <w:rPr>
                <w:b/>
              </w:rPr>
              <w:t>Result</w:t>
            </w:r>
          </w:p>
        </w:tc>
        <w:tc>
          <w:tcPr>
            <w:tcW w:w="918" w:type="pct"/>
          </w:tcPr>
          <w:p w:rsidR="008E273C" w:rsidRPr="005B081F" w:rsidRDefault="008E273C" w:rsidP="005B081F">
            <w:pPr>
              <w:pStyle w:val="BodyText"/>
              <w:rPr>
                <w:b/>
              </w:rPr>
            </w:pPr>
            <w:r w:rsidRPr="005B081F">
              <w:rPr>
                <w:b/>
              </w:rPr>
              <w:t>Achieved</w:t>
            </w:r>
          </w:p>
        </w:tc>
        <w:tc>
          <w:tcPr>
            <w:tcW w:w="939" w:type="pct"/>
          </w:tcPr>
          <w:p w:rsidR="008E273C" w:rsidRPr="005B081F" w:rsidRDefault="008E273C" w:rsidP="005B081F">
            <w:pPr>
              <w:pStyle w:val="BodyText"/>
              <w:rPr>
                <w:b/>
              </w:rPr>
            </w:pPr>
            <w:r w:rsidRPr="005B081F">
              <w:rPr>
                <w:b/>
              </w:rPr>
              <w:t>Change</w:t>
            </w:r>
          </w:p>
          <w:p w:rsidR="008E273C" w:rsidRPr="005B081F" w:rsidRDefault="008E273C" w:rsidP="005B081F">
            <w:pPr>
              <w:pStyle w:val="BodyText"/>
              <w:rPr>
                <w:b/>
              </w:rPr>
            </w:pPr>
            <w:r w:rsidRPr="005B081F">
              <w:rPr>
                <w:b/>
              </w:rPr>
              <w:t>(% points)</w:t>
            </w:r>
          </w:p>
        </w:tc>
      </w:tr>
      <w:tr w:rsidR="008E273C" w:rsidTr="005B081F">
        <w:trPr>
          <w:trHeight w:val="376"/>
        </w:trPr>
        <w:tc>
          <w:tcPr>
            <w:tcW w:w="1000" w:type="pct"/>
          </w:tcPr>
          <w:p w:rsidR="008E273C" w:rsidRDefault="008E273C" w:rsidP="005B081F">
            <w:pPr>
              <w:pStyle w:val="BodyText"/>
            </w:pPr>
            <w:r>
              <w:t>2019–20</w:t>
            </w:r>
          </w:p>
        </w:tc>
        <w:tc>
          <w:tcPr>
            <w:tcW w:w="1142" w:type="pct"/>
          </w:tcPr>
          <w:p w:rsidR="008E273C" w:rsidRDefault="008E273C" w:rsidP="005B081F">
            <w:pPr>
              <w:pStyle w:val="BodyText"/>
            </w:pPr>
            <w:r>
              <w:t>≥70%</w:t>
            </w:r>
          </w:p>
        </w:tc>
        <w:tc>
          <w:tcPr>
            <w:tcW w:w="1000" w:type="pct"/>
          </w:tcPr>
          <w:p w:rsidR="008E273C" w:rsidRDefault="008E273C" w:rsidP="005B081F">
            <w:pPr>
              <w:pStyle w:val="BodyText"/>
            </w:pPr>
            <w:r>
              <w:t>85.2%</w:t>
            </w:r>
          </w:p>
        </w:tc>
        <w:tc>
          <w:tcPr>
            <w:tcW w:w="918" w:type="pct"/>
          </w:tcPr>
          <w:p w:rsidR="008E273C" w:rsidRPr="00B27DB9" w:rsidRDefault="00B27DB9" w:rsidP="00B27DB9">
            <w:pPr>
              <w:pStyle w:val="BodyText"/>
            </w:pPr>
            <w:r w:rsidRPr="00B27DB9">
              <w:t>Yes</w:t>
            </w:r>
          </w:p>
        </w:tc>
        <w:tc>
          <w:tcPr>
            <w:tcW w:w="939" w:type="pct"/>
          </w:tcPr>
          <w:p w:rsidR="008E273C" w:rsidRDefault="008E273C" w:rsidP="005B081F">
            <w:pPr>
              <w:pStyle w:val="BodyText"/>
            </w:pPr>
            <w:r>
              <w:t xml:space="preserve">–11.6 </w:t>
            </w:r>
          </w:p>
        </w:tc>
      </w:tr>
      <w:tr w:rsidR="008E273C" w:rsidTr="005B081F">
        <w:trPr>
          <w:trHeight w:val="376"/>
        </w:trPr>
        <w:tc>
          <w:tcPr>
            <w:tcW w:w="1000" w:type="pct"/>
          </w:tcPr>
          <w:p w:rsidR="008E273C" w:rsidRDefault="008E273C" w:rsidP="005B081F">
            <w:pPr>
              <w:pStyle w:val="BodyText"/>
            </w:pPr>
            <w:r>
              <w:t>2018–19</w:t>
            </w:r>
          </w:p>
        </w:tc>
        <w:tc>
          <w:tcPr>
            <w:tcW w:w="1142" w:type="pct"/>
          </w:tcPr>
          <w:p w:rsidR="008E273C" w:rsidRDefault="008E273C" w:rsidP="005B081F">
            <w:pPr>
              <w:pStyle w:val="BodyText"/>
            </w:pPr>
            <w:r>
              <w:t>≥70%</w:t>
            </w:r>
          </w:p>
        </w:tc>
        <w:tc>
          <w:tcPr>
            <w:tcW w:w="1000" w:type="pct"/>
          </w:tcPr>
          <w:p w:rsidR="008E273C" w:rsidRDefault="008E273C" w:rsidP="005B081F">
            <w:pPr>
              <w:pStyle w:val="BodyText"/>
            </w:pPr>
            <w:r>
              <w:t>96.8%</w:t>
            </w:r>
          </w:p>
        </w:tc>
        <w:tc>
          <w:tcPr>
            <w:tcW w:w="918" w:type="pct"/>
          </w:tcPr>
          <w:p w:rsidR="008E273C" w:rsidRPr="00B27DB9" w:rsidRDefault="00B27DB9" w:rsidP="00B27DB9">
            <w:pPr>
              <w:pStyle w:val="BodyText"/>
            </w:pPr>
            <w:r w:rsidRPr="00B27DB9">
              <w:t>Yes</w:t>
            </w:r>
          </w:p>
        </w:tc>
        <w:tc>
          <w:tcPr>
            <w:tcW w:w="939" w:type="pct"/>
          </w:tcPr>
          <w:p w:rsidR="008E273C" w:rsidRDefault="008E273C" w:rsidP="005B081F">
            <w:pPr>
              <w:pStyle w:val="BodyText"/>
            </w:pPr>
            <w:r>
              <w:t>NA</w:t>
            </w:r>
            <w:r>
              <w:rPr>
                <w:vertAlign w:val="superscript"/>
              </w:rPr>
              <w:t>(a)</w:t>
            </w:r>
          </w:p>
        </w:tc>
      </w:tr>
    </w:tbl>
    <w:p w:rsidR="008E273C" w:rsidRDefault="008E273C" w:rsidP="005B081F">
      <w:pPr>
        <w:pStyle w:val="BodyText"/>
      </w:pPr>
      <w:r>
        <w:lastRenderedPageBreak/>
        <w:t>(a) The three Medicare provider performance measures from 2017–18 were consolidated into a single performance measure in 2018–19. Because of this change, results are not directly comparable to those of pre</w:t>
      </w:r>
      <w:r w:rsidR="005B081F">
        <w:t>vious years.</w:t>
      </w:r>
    </w:p>
    <w:p w:rsidR="008E273C" w:rsidRDefault="00AC4959" w:rsidP="00AC4959">
      <w:pPr>
        <w:pStyle w:val="BodyText"/>
        <w:rPr>
          <w:rStyle w:val="Bold"/>
        </w:rPr>
      </w:pPr>
      <w:r>
        <w:rPr>
          <w:rStyle w:val="Bold"/>
        </w:rPr>
        <w:t>Analysis</w:t>
      </w:r>
    </w:p>
    <w:p w:rsidR="008E273C" w:rsidRDefault="008E273C" w:rsidP="008E273C">
      <w:pPr>
        <w:pStyle w:val="BodyText"/>
      </w:pPr>
      <w:r>
        <w:t>In 2019–20 the agency implemented changes to Medical Benefits Scheme to support Australians’ access to essential Medicare subsidised health services and support processes to minimise the impacts on our customers in response to the bushfires in early 2020 and the COVID-19 pandemic. The</w:t>
      </w:r>
      <w:r>
        <w:rPr>
          <w:rStyle w:val="NoBreak"/>
        </w:rPr>
        <w:t>se event</w:t>
      </w:r>
      <w:r>
        <w:t xml:space="preserve">s changed the way that providers delivered services and kept their businesses running. See </w:t>
      </w:r>
      <w:r>
        <w:rPr>
          <w:rStyle w:val="Italic"/>
        </w:rPr>
        <w:t>Medicare</w:t>
      </w:r>
      <w:r>
        <w:t xml:space="preserve"> on page 16 and </w:t>
      </w:r>
      <w:r>
        <w:rPr>
          <w:rStyle w:val="Italic"/>
        </w:rPr>
        <w:t>COVID-19 pandemic</w:t>
      </w:r>
      <w:r>
        <w:t xml:space="preserve"> on page xv.</w:t>
      </w:r>
    </w:p>
    <w:p w:rsidR="008E273C" w:rsidRDefault="008E273C" w:rsidP="008E273C">
      <w:pPr>
        <w:pStyle w:val="BodyText"/>
      </w:pPr>
      <w:r>
        <w:t>For 2019–20 the provider survey for this measure was conducted online from February to April, increasing practitioner and practice manager participation which resulted in more diverse provider profiles completing the survey than previous years—also resulting in a notable decrease to their satisfaction result. For example, in 2019–20, 355 Practitioners and 155 Practice Managers participated in the survey, compared to 98 Practitioners and 101 Practice Managers in 2018–19. The agency will analyse the results to identify concerns from the sector with the aim of addressing these.</w:t>
      </w:r>
    </w:p>
    <w:tbl>
      <w:tblPr>
        <w:tblStyle w:val="TableGrid"/>
        <w:tblW w:w="5000" w:type="pct"/>
        <w:tblLook w:val="0000" w:firstRow="0" w:lastRow="0" w:firstColumn="0" w:lastColumn="0" w:noHBand="0" w:noVBand="0"/>
        <w:tblCaption w:val="provider survey "/>
        <w:tblDescription w:val="provider survey "/>
      </w:tblPr>
      <w:tblGrid>
        <w:gridCol w:w="4610"/>
        <w:gridCol w:w="3244"/>
        <w:gridCol w:w="3242"/>
      </w:tblGrid>
      <w:tr w:rsidR="008E273C" w:rsidTr="0037551D">
        <w:trPr>
          <w:trHeight w:val="376"/>
          <w:tblHeader/>
        </w:trPr>
        <w:tc>
          <w:tcPr>
            <w:tcW w:w="2077" w:type="pct"/>
          </w:tcPr>
          <w:p w:rsidR="008E273C" w:rsidRDefault="008E273C" w:rsidP="0037551D">
            <w:pPr>
              <w:pStyle w:val="BodyText"/>
            </w:pPr>
            <w:r>
              <w:rPr>
                <w:rStyle w:val="Bold"/>
              </w:rPr>
              <w:t>Provider</w:t>
            </w:r>
          </w:p>
        </w:tc>
        <w:tc>
          <w:tcPr>
            <w:tcW w:w="1462" w:type="pct"/>
          </w:tcPr>
          <w:p w:rsidR="008E273C" w:rsidRDefault="008E273C" w:rsidP="0037551D">
            <w:pPr>
              <w:pStyle w:val="BodyText"/>
            </w:pPr>
            <w:r>
              <w:rPr>
                <w:rStyle w:val="Bold"/>
              </w:rPr>
              <w:t>2018–19</w:t>
            </w:r>
          </w:p>
        </w:tc>
        <w:tc>
          <w:tcPr>
            <w:tcW w:w="1462" w:type="pct"/>
          </w:tcPr>
          <w:p w:rsidR="008E273C" w:rsidRDefault="008E273C" w:rsidP="0037551D">
            <w:pPr>
              <w:pStyle w:val="BodyText"/>
            </w:pPr>
            <w:r>
              <w:rPr>
                <w:rStyle w:val="Bold"/>
              </w:rPr>
              <w:t>2019–20</w:t>
            </w:r>
            <w:r>
              <w:rPr>
                <w:rStyle w:val="Bold"/>
                <w:vertAlign w:val="superscript"/>
              </w:rPr>
              <w:t>(a)</w:t>
            </w:r>
          </w:p>
        </w:tc>
      </w:tr>
      <w:tr w:rsidR="008E273C" w:rsidTr="0037551D">
        <w:trPr>
          <w:trHeight w:val="397"/>
        </w:trPr>
        <w:tc>
          <w:tcPr>
            <w:tcW w:w="2077" w:type="pct"/>
          </w:tcPr>
          <w:p w:rsidR="008E273C" w:rsidRDefault="008E273C" w:rsidP="0037551D">
            <w:pPr>
              <w:pStyle w:val="BodyText"/>
            </w:pPr>
            <w:r>
              <w:t>Practitioners</w:t>
            </w:r>
          </w:p>
        </w:tc>
        <w:tc>
          <w:tcPr>
            <w:tcW w:w="1462" w:type="pct"/>
          </w:tcPr>
          <w:p w:rsidR="008E273C" w:rsidRDefault="008E273C" w:rsidP="0037551D">
            <w:pPr>
              <w:pStyle w:val="BodyText"/>
            </w:pPr>
            <w:r>
              <w:t>100%</w:t>
            </w:r>
          </w:p>
        </w:tc>
        <w:tc>
          <w:tcPr>
            <w:tcW w:w="1462" w:type="pct"/>
          </w:tcPr>
          <w:p w:rsidR="008E273C" w:rsidRDefault="008E273C" w:rsidP="0037551D">
            <w:pPr>
              <w:pStyle w:val="BodyText"/>
            </w:pPr>
            <w:r>
              <w:t>78.6%</w:t>
            </w:r>
          </w:p>
        </w:tc>
      </w:tr>
      <w:tr w:rsidR="008E273C" w:rsidTr="0037551D">
        <w:trPr>
          <w:trHeight w:val="376"/>
        </w:trPr>
        <w:tc>
          <w:tcPr>
            <w:tcW w:w="2077" w:type="pct"/>
          </w:tcPr>
          <w:p w:rsidR="008E273C" w:rsidRDefault="008E273C" w:rsidP="0037551D">
            <w:pPr>
              <w:pStyle w:val="BodyText"/>
            </w:pPr>
            <w:r>
              <w:t>Pharmacists</w:t>
            </w:r>
          </w:p>
        </w:tc>
        <w:tc>
          <w:tcPr>
            <w:tcW w:w="1462" w:type="pct"/>
          </w:tcPr>
          <w:p w:rsidR="008E273C" w:rsidRDefault="008E273C" w:rsidP="0037551D">
            <w:pPr>
              <w:pStyle w:val="BodyText"/>
            </w:pPr>
            <w:r>
              <w:t>100%</w:t>
            </w:r>
          </w:p>
        </w:tc>
        <w:tc>
          <w:tcPr>
            <w:tcW w:w="1462" w:type="pct"/>
          </w:tcPr>
          <w:p w:rsidR="008E273C" w:rsidRDefault="008E273C" w:rsidP="0037551D">
            <w:pPr>
              <w:pStyle w:val="BodyText"/>
            </w:pPr>
            <w:r>
              <w:t>99.6%</w:t>
            </w:r>
          </w:p>
        </w:tc>
      </w:tr>
      <w:tr w:rsidR="008E273C" w:rsidTr="0037551D">
        <w:trPr>
          <w:trHeight w:val="376"/>
        </w:trPr>
        <w:tc>
          <w:tcPr>
            <w:tcW w:w="2077" w:type="pct"/>
          </w:tcPr>
          <w:p w:rsidR="008E273C" w:rsidRDefault="008E273C" w:rsidP="0037551D">
            <w:pPr>
              <w:pStyle w:val="BodyText"/>
            </w:pPr>
            <w:r>
              <w:t>Practice managers</w:t>
            </w:r>
          </w:p>
        </w:tc>
        <w:tc>
          <w:tcPr>
            <w:tcW w:w="1462" w:type="pct"/>
          </w:tcPr>
          <w:p w:rsidR="008E273C" w:rsidRDefault="008E273C" w:rsidP="0037551D">
            <w:pPr>
              <w:pStyle w:val="BodyText"/>
            </w:pPr>
            <w:r>
              <w:t>91.1%</w:t>
            </w:r>
          </w:p>
        </w:tc>
        <w:tc>
          <w:tcPr>
            <w:tcW w:w="1462" w:type="pct"/>
          </w:tcPr>
          <w:p w:rsidR="008E273C" w:rsidRDefault="008E273C" w:rsidP="0037551D">
            <w:pPr>
              <w:pStyle w:val="BodyText"/>
            </w:pPr>
            <w:r>
              <w:t>77.4%</w:t>
            </w:r>
          </w:p>
        </w:tc>
      </w:tr>
    </w:tbl>
    <w:p w:rsidR="008E273C" w:rsidRDefault="008E273C" w:rsidP="0037551D">
      <w:pPr>
        <w:pStyle w:val="BodyText"/>
        <w:rPr>
          <w:rStyle w:val="NoBreak"/>
        </w:rPr>
      </w:pPr>
      <w:r>
        <w:t>(a) For 2019–20 the survey was conducted online from February to April increasing practitioner and practice manager participation which resulted in more diverse provider profiles than previous years.</w:t>
      </w:r>
    </w:p>
    <w:p w:rsidR="008E273C" w:rsidRDefault="00AC4959" w:rsidP="008E273C">
      <w:pPr>
        <w:pStyle w:val="BodyText"/>
        <w:rPr>
          <w:rStyle w:val="NoBreak"/>
        </w:rPr>
      </w:pPr>
      <w:r w:rsidRPr="00AC4959">
        <w:t>Method</w:t>
      </w:r>
      <w:r w:rsidRPr="00AC4959">
        <w:tab/>
      </w:r>
      <w:r w:rsidR="008E273C">
        <w:t>Survey of Practitioners, pharmacists and practice managers.</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37551D">
      <w:pPr>
        <w:pStyle w:val="ListBullet"/>
        <w:tabs>
          <w:tab w:val="clear" w:pos="360"/>
          <w:tab w:val="clear" w:pos="1066"/>
          <w:tab w:val="num" w:pos="1437"/>
        </w:tabs>
        <w:ind w:left="1434"/>
      </w:pPr>
      <w:r>
        <w:tab/>
        <w:t>‘service excellence’ strategic pillar</w:t>
      </w:r>
    </w:p>
    <w:p w:rsidR="008E273C" w:rsidRDefault="008E273C" w:rsidP="0037551D">
      <w:pPr>
        <w:pStyle w:val="ListBullet"/>
        <w:tabs>
          <w:tab w:val="clear" w:pos="360"/>
          <w:tab w:val="clear" w:pos="1066"/>
          <w:tab w:val="num" w:pos="1437"/>
        </w:tabs>
        <w:ind w:left="1434"/>
      </w:pPr>
      <w:r>
        <w:tab/>
        <w:t>‘</w:t>
      </w:r>
      <w:proofErr w:type="gramStart"/>
      <w:r>
        <w:t>customer</w:t>
      </w:r>
      <w:proofErr w:type="gramEnd"/>
      <w:r>
        <w:t xml:space="preserve"> satisfaction’ key performance area.</w:t>
      </w:r>
    </w:p>
    <w:p w:rsidR="008E273C" w:rsidRDefault="00AC4959" w:rsidP="008E273C">
      <w:pPr>
        <w:pStyle w:val="BodyText"/>
      </w:pPr>
      <w:r w:rsidRPr="00AC4959">
        <w:t>Reference</w:t>
      </w:r>
      <w:r w:rsidRPr="00AC4959">
        <w:tab/>
      </w:r>
      <w:r w:rsidR="008E273C">
        <w:t>2019–20 PBS, page 32.</w:t>
      </w:r>
    </w:p>
    <w:p w:rsidR="008E273C" w:rsidRDefault="00AC4959" w:rsidP="008E273C">
      <w:pPr>
        <w:pStyle w:val="BodyText"/>
      </w:pPr>
      <w:r w:rsidRPr="00AC4959">
        <w:t>Data source</w:t>
      </w:r>
      <w:r w:rsidRPr="00AC4959">
        <w:tab/>
      </w:r>
      <w:r w:rsidR="008E273C">
        <w:t xml:space="preserve">Survey provider: Colmar </w:t>
      </w:r>
      <w:proofErr w:type="spellStart"/>
      <w:r w:rsidR="008E273C">
        <w:t>Brunton</w:t>
      </w:r>
      <w:proofErr w:type="spellEnd"/>
      <w:r w:rsidR="008E273C">
        <w:t>.</w:t>
      </w:r>
    </w:p>
    <w:p w:rsidR="0037551D" w:rsidRDefault="0037551D" w:rsidP="008E273C">
      <w:pPr>
        <w:pStyle w:val="Heading5"/>
        <w:rPr>
          <w:rStyle w:val="Bolditalic"/>
        </w:rPr>
      </w:pPr>
      <w:r>
        <w:t>Criterion 2</w:t>
      </w:r>
      <w:r w:rsidR="008E273C">
        <w:t xml:space="preserve">—Customer satisfaction: Achievement of customer satisfaction standards </w:t>
      </w:r>
      <w:r w:rsidR="008E273C" w:rsidRPr="0037551D">
        <w:rPr>
          <w:i/>
        </w:rPr>
        <w:t>(PBS)</w:t>
      </w:r>
    </w:p>
    <w:p w:rsidR="008E273C" w:rsidRDefault="008E273C" w:rsidP="008E273C">
      <w:pPr>
        <w:pStyle w:val="Heading5"/>
      </w:pPr>
      <w:r>
        <w:t>Customer satisfaction: Customer satisfaction with their service delivery experience</w:t>
      </w:r>
      <w:r>
        <w:rPr>
          <w:rStyle w:val="Bolditalic"/>
        </w:rPr>
        <w:t xml:space="preserve"> </w:t>
      </w:r>
      <w:r w:rsidRPr="0037551D">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2 Overview"/>
        <w:tblDescription w:val="Criterion 2 Overview"/>
      </w:tblPr>
      <w:tblGrid>
        <w:gridCol w:w="2220"/>
        <w:gridCol w:w="2535"/>
        <w:gridCol w:w="2220"/>
        <w:gridCol w:w="2037"/>
        <w:gridCol w:w="2084"/>
      </w:tblGrid>
      <w:tr w:rsidR="008E273C" w:rsidTr="0037551D">
        <w:trPr>
          <w:trHeight w:val="376"/>
          <w:tblHeader/>
        </w:trPr>
        <w:tc>
          <w:tcPr>
            <w:tcW w:w="1000" w:type="pct"/>
          </w:tcPr>
          <w:p w:rsidR="008E273C" w:rsidRPr="0037551D" w:rsidRDefault="008E273C" w:rsidP="0037551D">
            <w:pPr>
              <w:pStyle w:val="BodyText"/>
              <w:rPr>
                <w:b/>
              </w:rPr>
            </w:pPr>
            <w:r w:rsidRPr="0037551D">
              <w:rPr>
                <w:b/>
              </w:rPr>
              <w:lastRenderedPageBreak/>
              <w:t>Year</w:t>
            </w:r>
          </w:p>
        </w:tc>
        <w:tc>
          <w:tcPr>
            <w:tcW w:w="1142" w:type="pct"/>
          </w:tcPr>
          <w:p w:rsidR="008E273C" w:rsidRPr="0037551D" w:rsidRDefault="008E273C" w:rsidP="0037551D">
            <w:pPr>
              <w:pStyle w:val="BodyText"/>
              <w:rPr>
                <w:b/>
              </w:rPr>
            </w:pPr>
            <w:r w:rsidRPr="0037551D">
              <w:rPr>
                <w:b/>
              </w:rPr>
              <w:t>Target</w:t>
            </w:r>
          </w:p>
        </w:tc>
        <w:tc>
          <w:tcPr>
            <w:tcW w:w="1000" w:type="pct"/>
          </w:tcPr>
          <w:p w:rsidR="008E273C" w:rsidRPr="0037551D" w:rsidRDefault="008E273C" w:rsidP="0037551D">
            <w:pPr>
              <w:pStyle w:val="BodyText"/>
              <w:rPr>
                <w:b/>
              </w:rPr>
            </w:pPr>
            <w:r w:rsidRPr="0037551D">
              <w:rPr>
                <w:b/>
              </w:rPr>
              <w:t>Result</w:t>
            </w:r>
          </w:p>
        </w:tc>
        <w:tc>
          <w:tcPr>
            <w:tcW w:w="918" w:type="pct"/>
          </w:tcPr>
          <w:p w:rsidR="008E273C" w:rsidRPr="0037551D" w:rsidRDefault="008E273C" w:rsidP="0037551D">
            <w:pPr>
              <w:pStyle w:val="BodyText"/>
              <w:rPr>
                <w:b/>
              </w:rPr>
            </w:pPr>
            <w:r w:rsidRPr="0037551D">
              <w:rPr>
                <w:b/>
              </w:rPr>
              <w:t>Achieved</w:t>
            </w:r>
          </w:p>
        </w:tc>
        <w:tc>
          <w:tcPr>
            <w:tcW w:w="939" w:type="pct"/>
          </w:tcPr>
          <w:p w:rsidR="008E273C" w:rsidRPr="0037551D" w:rsidRDefault="008E273C" w:rsidP="0037551D">
            <w:pPr>
              <w:pStyle w:val="BodyText"/>
              <w:rPr>
                <w:b/>
              </w:rPr>
            </w:pPr>
            <w:r w:rsidRPr="0037551D">
              <w:rPr>
                <w:b/>
              </w:rPr>
              <w:t>Change</w:t>
            </w:r>
          </w:p>
        </w:tc>
      </w:tr>
      <w:tr w:rsidR="008E273C" w:rsidTr="0037551D">
        <w:trPr>
          <w:trHeight w:val="376"/>
        </w:trPr>
        <w:tc>
          <w:tcPr>
            <w:tcW w:w="1000" w:type="pct"/>
          </w:tcPr>
          <w:p w:rsidR="008E273C" w:rsidRDefault="008E273C" w:rsidP="0037551D">
            <w:pPr>
              <w:pStyle w:val="BodyText"/>
            </w:pPr>
            <w:r>
              <w:t>2019–20</w:t>
            </w:r>
          </w:p>
        </w:tc>
        <w:tc>
          <w:tcPr>
            <w:tcW w:w="1142" w:type="pct"/>
          </w:tcPr>
          <w:p w:rsidR="008E273C" w:rsidRDefault="008E273C" w:rsidP="0037551D">
            <w:pPr>
              <w:pStyle w:val="BodyText"/>
            </w:pPr>
            <w:r>
              <w:t>≥85 out of 100</w:t>
            </w:r>
          </w:p>
        </w:tc>
        <w:tc>
          <w:tcPr>
            <w:tcW w:w="1000" w:type="pct"/>
          </w:tcPr>
          <w:p w:rsidR="008E273C" w:rsidRDefault="008E273C" w:rsidP="0037551D">
            <w:pPr>
              <w:pStyle w:val="BodyText"/>
            </w:pPr>
            <w:r>
              <w:t>86.1%</w:t>
            </w:r>
          </w:p>
        </w:tc>
        <w:tc>
          <w:tcPr>
            <w:tcW w:w="918" w:type="pct"/>
          </w:tcPr>
          <w:p w:rsidR="008E273C" w:rsidRPr="00657D31" w:rsidRDefault="00657D31" w:rsidP="00657D31">
            <w:pPr>
              <w:pStyle w:val="BodyText"/>
            </w:pPr>
            <w:r w:rsidRPr="00657D31">
              <w:t>Yes</w:t>
            </w:r>
          </w:p>
        </w:tc>
        <w:tc>
          <w:tcPr>
            <w:tcW w:w="939" w:type="pct"/>
          </w:tcPr>
          <w:p w:rsidR="008E273C" w:rsidRDefault="008E273C" w:rsidP="0037551D">
            <w:pPr>
              <w:pStyle w:val="BodyText"/>
            </w:pPr>
            <w:r>
              <w:t>No change</w:t>
            </w:r>
          </w:p>
        </w:tc>
      </w:tr>
      <w:tr w:rsidR="008E273C" w:rsidTr="0037551D">
        <w:trPr>
          <w:trHeight w:val="376"/>
        </w:trPr>
        <w:tc>
          <w:tcPr>
            <w:tcW w:w="1000" w:type="pct"/>
          </w:tcPr>
          <w:p w:rsidR="008E273C" w:rsidRDefault="008E273C" w:rsidP="0037551D">
            <w:pPr>
              <w:pStyle w:val="BodyText"/>
            </w:pPr>
            <w:r>
              <w:t>2018–19</w:t>
            </w:r>
          </w:p>
        </w:tc>
        <w:tc>
          <w:tcPr>
            <w:tcW w:w="1142" w:type="pct"/>
          </w:tcPr>
          <w:p w:rsidR="008E273C" w:rsidRDefault="008E273C" w:rsidP="0037551D">
            <w:pPr>
              <w:pStyle w:val="BodyText"/>
            </w:pPr>
            <w:r>
              <w:t>≥85 out of 100</w:t>
            </w:r>
          </w:p>
        </w:tc>
        <w:tc>
          <w:tcPr>
            <w:tcW w:w="1000" w:type="pct"/>
          </w:tcPr>
          <w:p w:rsidR="008E273C" w:rsidRDefault="008E273C" w:rsidP="0037551D">
            <w:pPr>
              <w:pStyle w:val="BodyText"/>
            </w:pPr>
            <w:r>
              <w:t>86.1%</w:t>
            </w:r>
          </w:p>
        </w:tc>
        <w:tc>
          <w:tcPr>
            <w:tcW w:w="918" w:type="pct"/>
          </w:tcPr>
          <w:p w:rsidR="008E273C" w:rsidRPr="00657D31" w:rsidRDefault="00657D31" w:rsidP="00657D31">
            <w:pPr>
              <w:pStyle w:val="BodyText"/>
            </w:pPr>
            <w:r w:rsidRPr="00657D31">
              <w:t>Yes</w:t>
            </w:r>
          </w:p>
        </w:tc>
        <w:tc>
          <w:tcPr>
            <w:tcW w:w="939" w:type="pct"/>
          </w:tcPr>
          <w:p w:rsidR="008E273C" w:rsidRDefault="008E273C" w:rsidP="0037551D">
            <w:pPr>
              <w:pStyle w:val="BodyText"/>
            </w:pPr>
            <w:r>
              <w:t>NA</w:t>
            </w:r>
            <w:r>
              <w:rPr>
                <w:vertAlign w:val="superscript"/>
              </w:rPr>
              <w:t>(a)</w:t>
            </w:r>
          </w:p>
        </w:tc>
      </w:tr>
    </w:tbl>
    <w:p w:rsidR="008E273C" w:rsidRDefault="008E273C" w:rsidP="0037551D">
      <w:pPr>
        <w:pStyle w:val="BodyText"/>
      </w:pPr>
      <w:r>
        <w:t>(a)</w:t>
      </w:r>
      <w:r w:rsidR="0037551D">
        <w:t xml:space="preserve"> </w:t>
      </w:r>
      <w:r>
        <w:t>Due to a change in how the measure is calculated, the results for 2018–19 are not directly comparable with previous years.</w:t>
      </w:r>
    </w:p>
    <w:p w:rsidR="008E273C" w:rsidRDefault="00AC4959" w:rsidP="00AC4959">
      <w:pPr>
        <w:pStyle w:val="BodyText"/>
        <w:rPr>
          <w:rStyle w:val="Bold"/>
        </w:rPr>
      </w:pPr>
      <w:r>
        <w:rPr>
          <w:rStyle w:val="Bold"/>
        </w:rPr>
        <w:t>Analysis</w:t>
      </w:r>
    </w:p>
    <w:p w:rsidR="008E273C" w:rsidRDefault="008E273C" w:rsidP="008E273C">
      <w:pPr>
        <w:pStyle w:val="BodyText"/>
      </w:pPr>
      <w:r>
        <w:t xml:space="preserve">The agency met the annual target, achieving the same level of customer satisfaction in 2019–20 as 2018–19. </w:t>
      </w:r>
    </w:p>
    <w:p w:rsidR="008E273C" w:rsidRDefault="008E273C" w:rsidP="008E273C">
      <w:pPr>
        <w:pStyle w:val="BodyText"/>
      </w:pPr>
      <w:r>
        <w:t>A strong increase across all customer satisfaction drivers in late 2019–20 enabled the agency to meet the annual target. ‘Fair treatment’ was consistently the highest performing driver, while ‘Time to receive service’ was the lowest performance driver across the financial year.</w:t>
      </w:r>
    </w:p>
    <w:p w:rsidR="008E273C" w:rsidRDefault="008E273C" w:rsidP="008E273C">
      <w:pPr>
        <w:pStyle w:val="BodyText"/>
      </w:pPr>
      <w:r>
        <w:t>During the COVID-19 period, the agency focused on broadening the transactions available online that previously required a customer to attend in person. Th</w:t>
      </w:r>
      <w:r>
        <w:rPr>
          <w:rStyle w:val="NoBreak"/>
        </w:rPr>
        <w:t>is resu</w:t>
      </w:r>
      <w:r>
        <w:t xml:space="preserve">lted in a reduction in customers needing to attend a Service Centre and led to improved customer satisfaction with the ‘Time to receive service’ and ‘effort’ drivers. ‘Time to receive service’ increased by 14.2 points while ‘effort’ improved by 5.2 points. </w:t>
      </w:r>
    </w:p>
    <w:p w:rsidR="008E273C" w:rsidRDefault="008E273C" w:rsidP="008E273C">
      <w:pPr>
        <w:pStyle w:val="BodyText"/>
      </w:pPr>
      <w:r>
        <w:t>The agency will continue to transition customers to our digital and telephony channels and reduce the need for customers to attend a Service Centre.</w:t>
      </w:r>
    </w:p>
    <w:p w:rsidR="008E273C" w:rsidRDefault="008E273C" w:rsidP="00E42522">
      <w:pPr>
        <w:pStyle w:val="BodyText"/>
        <w:rPr>
          <w:rStyle w:val="NoBreak"/>
        </w:rPr>
      </w:pPr>
      <w:r>
        <w:t>The table below compares the satisfaction drivers across 2018–19 and 2</w:t>
      </w:r>
      <w:r>
        <w:rPr>
          <w:rStyle w:val="NoBreak"/>
        </w:rPr>
        <w:t>019–20:</w:t>
      </w:r>
    </w:p>
    <w:tbl>
      <w:tblPr>
        <w:tblStyle w:val="TableGrid"/>
        <w:tblW w:w="5000" w:type="pct"/>
        <w:tblLook w:val="0000" w:firstRow="0" w:lastRow="0" w:firstColumn="0" w:lastColumn="0" w:noHBand="0" w:noVBand="0"/>
        <w:tblCaption w:val="Satisfaction drivers across 2018–19 and 2019–20"/>
        <w:tblDescription w:val="Satisfaction drivers across 2018–19 and 2019–20"/>
      </w:tblPr>
      <w:tblGrid>
        <w:gridCol w:w="4610"/>
        <w:gridCol w:w="3244"/>
        <w:gridCol w:w="3242"/>
      </w:tblGrid>
      <w:tr w:rsidR="008E273C" w:rsidTr="0037551D">
        <w:trPr>
          <w:trHeight w:val="376"/>
          <w:tblHeader/>
        </w:trPr>
        <w:tc>
          <w:tcPr>
            <w:tcW w:w="2077" w:type="pct"/>
          </w:tcPr>
          <w:p w:rsidR="008E273C" w:rsidRDefault="008E273C" w:rsidP="0037551D">
            <w:pPr>
              <w:pStyle w:val="BodyText"/>
            </w:pPr>
            <w:r>
              <w:rPr>
                <w:rStyle w:val="Bold"/>
              </w:rPr>
              <w:t>Satisfaction drivers</w:t>
            </w:r>
          </w:p>
        </w:tc>
        <w:tc>
          <w:tcPr>
            <w:tcW w:w="1462" w:type="pct"/>
          </w:tcPr>
          <w:p w:rsidR="008E273C" w:rsidRDefault="008E273C" w:rsidP="0037551D">
            <w:pPr>
              <w:pStyle w:val="BodyText"/>
            </w:pPr>
            <w:r>
              <w:rPr>
                <w:rStyle w:val="Bold"/>
              </w:rPr>
              <w:t>2018–19</w:t>
            </w:r>
          </w:p>
        </w:tc>
        <w:tc>
          <w:tcPr>
            <w:tcW w:w="1462" w:type="pct"/>
          </w:tcPr>
          <w:p w:rsidR="008E273C" w:rsidRDefault="008E273C" w:rsidP="0037551D">
            <w:pPr>
              <w:pStyle w:val="BodyText"/>
            </w:pPr>
            <w:r>
              <w:rPr>
                <w:rStyle w:val="Bold"/>
              </w:rPr>
              <w:t>2019–20</w:t>
            </w:r>
          </w:p>
        </w:tc>
      </w:tr>
      <w:tr w:rsidR="008E273C" w:rsidTr="0037551D">
        <w:trPr>
          <w:trHeight w:val="397"/>
        </w:trPr>
        <w:tc>
          <w:tcPr>
            <w:tcW w:w="2077" w:type="pct"/>
          </w:tcPr>
          <w:p w:rsidR="008E273C" w:rsidRDefault="008E273C" w:rsidP="0037551D">
            <w:pPr>
              <w:pStyle w:val="BodyText"/>
            </w:pPr>
            <w:r>
              <w:t>Perceived quality</w:t>
            </w:r>
          </w:p>
        </w:tc>
        <w:tc>
          <w:tcPr>
            <w:tcW w:w="1462" w:type="pct"/>
          </w:tcPr>
          <w:p w:rsidR="008E273C" w:rsidRDefault="008E273C" w:rsidP="0037551D">
            <w:pPr>
              <w:pStyle w:val="BodyText"/>
            </w:pPr>
            <w:r>
              <w:t>84.6</w:t>
            </w:r>
          </w:p>
        </w:tc>
        <w:tc>
          <w:tcPr>
            <w:tcW w:w="1462" w:type="pct"/>
          </w:tcPr>
          <w:p w:rsidR="008E273C" w:rsidRDefault="008E273C" w:rsidP="0037551D">
            <w:pPr>
              <w:pStyle w:val="BodyText"/>
            </w:pPr>
            <w:r>
              <w:t>84.5</w:t>
            </w:r>
          </w:p>
        </w:tc>
      </w:tr>
      <w:tr w:rsidR="008E273C" w:rsidTr="0037551D">
        <w:trPr>
          <w:trHeight w:val="376"/>
        </w:trPr>
        <w:tc>
          <w:tcPr>
            <w:tcW w:w="2077" w:type="pct"/>
          </w:tcPr>
          <w:p w:rsidR="008E273C" w:rsidRDefault="008E273C" w:rsidP="0037551D">
            <w:pPr>
              <w:pStyle w:val="BodyText"/>
            </w:pPr>
            <w:r>
              <w:t>Personalised service</w:t>
            </w:r>
          </w:p>
        </w:tc>
        <w:tc>
          <w:tcPr>
            <w:tcW w:w="1462" w:type="pct"/>
          </w:tcPr>
          <w:p w:rsidR="008E273C" w:rsidRDefault="008E273C" w:rsidP="0037551D">
            <w:pPr>
              <w:pStyle w:val="BodyText"/>
            </w:pPr>
            <w:r>
              <w:t>91.4</w:t>
            </w:r>
          </w:p>
        </w:tc>
        <w:tc>
          <w:tcPr>
            <w:tcW w:w="1462" w:type="pct"/>
          </w:tcPr>
          <w:p w:rsidR="008E273C" w:rsidRDefault="008E273C" w:rsidP="0037551D">
            <w:pPr>
              <w:pStyle w:val="BodyText"/>
            </w:pPr>
            <w:r>
              <w:t>91.1</w:t>
            </w:r>
          </w:p>
        </w:tc>
      </w:tr>
      <w:tr w:rsidR="008E273C" w:rsidTr="0037551D">
        <w:trPr>
          <w:trHeight w:val="376"/>
        </w:trPr>
        <w:tc>
          <w:tcPr>
            <w:tcW w:w="2077" w:type="pct"/>
          </w:tcPr>
          <w:p w:rsidR="008E273C" w:rsidRDefault="008E273C" w:rsidP="0037551D">
            <w:pPr>
              <w:pStyle w:val="BodyText"/>
            </w:pPr>
            <w:r>
              <w:t>Communication</w:t>
            </w:r>
          </w:p>
        </w:tc>
        <w:tc>
          <w:tcPr>
            <w:tcW w:w="1462" w:type="pct"/>
          </w:tcPr>
          <w:p w:rsidR="008E273C" w:rsidRDefault="008E273C" w:rsidP="0037551D">
            <w:pPr>
              <w:pStyle w:val="BodyText"/>
            </w:pPr>
            <w:r>
              <w:t>92.6</w:t>
            </w:r>
          </w:p>
        </w:tc>
        <w:tc>
          <w:tcPr>
            <w:tcW w:w="1462" w:type="pct"/>
          </w:tcPr>
          <w:p w:rsidR="008E273C" w:rsidRDefault="008E273C" w:rsidP="0037551D">
            <w:pPr>
              <w:pStyle w:val="BodyText"/>
            </w:pPr>
            <w:r>
              <w:t>92.2</w:t>
            </w:r>
          </w:p>
        </w:tc>
      </w:tr>
      <w:tr w:rsidR="008E273C" w:rsidTr="0037551D">
        <w:trPr>
          <w:trHeight w:val="376"/>
        </w:trPr>
        <w:tc>
          <w:tcPr>
            <w:tcW w:w="2077" w:type="pct"/>
          </w:tcPr>
          <w:p w:rsidR="008E273C" w:rsidRDefault="008E273C" w:rsidP="0037551D">
            <w:pPr>
              <w:pStyle w:val="BodyText"/>
            </w:pPr>
            <w:r>
              <w:t>Time to receive service</w:t>
            </w:r>
          </w:p>
        </w:tc>
        <w:tc>
          <w:tcPr>
            <w:tcW w:w="1462" w:type="pct"/>
          </w:tcPr>
          <w:p w:rsidR="008E273C" w:rsidRDefault="008E273C" w:rsidP="0037551D">
            <w:pPr>
              <w:pStyle w:val="BodyText"/>
            </w:pPr>
            <w:r>
              <w:t>71.0</w:t>
            </w:r>
          </w:p>
        </w:tc>
        <w:tc>
          <w:tcPr>
            <w:tcW w:w="1462" w:type="pct"/>
          </w:tcPr>
          <w:p w:rsidR="008E273C" w:rsidRDefault="008E273C" w:rsidP="0037551D">
            <w:pPr>
              <w:pStyle w:val="BodyText"/>
            </w:pPr>
            <w:r>
              <w:t>71.6</w:t>
            </w:r>
          </w:p>
        </w:tc>
      </w:tr>
      <w:tr w:rsidR="008E273C" w:rsidTr="0037551D">
        <w:trPr>
          <w:trHeight w:val="376"/>
        </w:trPr>
        <w:tc>
          <w:tcPr>
            <w:tcW w:w="2077" w:type="pct"/>
          </w:tcPr>
          <w:p w:rsidR="008E273C" w:rsidRDefault="008E273C" w:rsidP="0037551D">
            <w:pPr>
              <w:pStyle w:val="BodyText"/>
            </w:pPr>
            <w:r>
              <w:t>Fair treatment</w:t>
            </w:r>
          </w:p>
        </w:tc>
        <w:tc>
          <w:tcPr>
            <w:tcW w:w="1462" w:type="pct"/>
          </w:tcPr>
          <w:p w:rsidR="008E273C" w:rsidRDefault="008E273C" w:rsidP="0037551D">
            <w:pPr>
              <w:pStyle w:val="BodyText"/>
            </w:pPr>
            <w:r>
              <w:t>94.5</w:t>
            </w:r>
          </w:p>
        </w:tc>
        <w:tc>
          <w:tcPr>
            <w:tcW w:w="1462" w:type="pct"/>
          </w:tcPr>
          <w:p w:rsidR="008E273C" w:rsidRDefault="008E273C" w:rsidP="0037551D">
            <w:pPr>
              <w:pStyle w:val="BodyText"/>
            </w:pPr>
            <w:r>
              <w:t>94.6</w:t>
            </w:r>
          </w:p>
        </w:tc>
      </w:tr>
      <w:tr w:rsidR="008E273C" w:rsidTr="0037551D">
        <w:trPr>
          <w:trHeight w:val="376"/>
        </w:trPr>
        <w:tc>
          <w:tcPr>
            <w:tcW w:w="2077" w:type="pct"/>
          </w:tcPr>
          <w:p w:rsidR="008E273C" w:rsidRDefault="008E273C" w:rsidP="0037551D">
            <w:pPr>
              <w:pStyle w:val="BodyText"/>
            </w:pPr>
            <w:r>
              <w:t>Effort</w:t>
            </w:r>
          </w:p>
        </w:tc>
        <w:tc>
          <w:tcPr>
            <w:tcW w:w="1462" w:type="pct"/>
          </w:tcPr>
          <w:p w:rsidR="008E273C" w:rsidRDefault="008E273C" w:rsidP="0037551D">
            <w:pPr>
              <w:pStyle w:val="BodyText"/>
            </w:pPr>
            <w:r>
              <w:t>83.2</w:t>
            </w:r>
          </w:p>
        </w:tc>
        <w:tc>
          <w:tcPr>
            <w:tcW w:w="1462" w:type="pct"/>
          </w:tcPr>
          <w:p w:rsidR="008E273C" w:rsidRDefault="008E273C" w:rsidP="0037551D">
            <w:pPr>
              <w:pStyle w:val="BodyText"/>
            </w:pPr>
            <w:r>
              <w:t>83.4</w:t>
            </w:r>
          </w:p>
        </w:tc>
      </w:tr>
    </w:tbl>
    <w:p w:rsidR="008E273C" w:rsidRDefault="00AC4959" w:rsidP="008E273C">
      <w:pPr>
        <w:pStyle w:val="BodyText"/>
      </w:pPr>
      <w:r w:rsidRPr="00AC4959">
        <w:t>Method</w:t>
      </w:r>
      <w:r w:rsidRPr="00AC4959">
        <w:tab/>
      </w:r>
      <w:r w:rsidR="008E273C">
        <w:t>Customer survey.</w:t>
      </w:r>
      <w:r w:rsidR="0037551D">
        <w:t xml:space="preserve"> </w:t>
      </w:r>
      <w:r w:rsidR="008E273C">
        <w:t>(The survey margin of error for this performance measure is less than 5 per cent.)</w:t>
      </w:r>
    </w:p>
    <w:p w:rsidR="008E273C" w:rsidRDefault="0037551D"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37551D">
      <w:pPr>
        <w:pStyle w:val="ListBullet"/>
        <w:tabs>
          <w:tab w:val="clear" w:pos="360"/>
          <w:tab w:val="clear" w:pos="1066"/>
          <w:tab w:val="num" w:pos="1437"/>
        </w:tabs>
        <w:ind w:left="1434"/>
      </w:pPr>
      <w:r>
        <w:tab/>
        <w:t>‘service excellence’ and ‘service enablers’ strategic pillars</w:t>
      </w:r>
    </w:p>
    <w:p w:rsidR="008E273C" w:rsidRDefault="008E273C" w:rsidP="0037551D">
      <w:pPr>
        <w:pStyle w:val="ListBullet"/>
        <w:tabs>
          <w:tab w:val="clear" w:pos="360"/>
          <w:tab w:val="clear" w:pos="1066"/>
          <w:tab w:val="num" w:pos="1437"/>
        </w:tabs>
        <w:ind w:left="1434"/>
      </w:pPr>
      <w:r>
        <w:tab/>
        <w:t>‘</w:t>
      </w:r>
      <w:proofErr w:type="gramStart"/>
      <w:r>
        <w:t>customer</w:t>
      </w:r>
      <w:proofErr w:type="gramEnd"/>
      <w:r>
        <w:t xml:space="preserve"> satisfaction’ key performance area.</w:t>
      </w:r>
    </w:p>
    <w:p w:rsidR="008E273C" w:rsidRDefault="00AC4959" w:rsidP="008E273C">
      <w:pPr>
        <w:pStyle w:val="BodyText"/>
      </w:pPr>
      <w:r w:rsidRPr="00AC4959">
        <w:lastRenderedPageBreak/>
        <w:t>Reference</w:t>
      </w:r>
      <w:r w:rsidRPr="00AC4959">
        <w:tab/>
      </w:r>
      <w:r w:rsidR="008E273C">
        <w:t>2019–20 PBS, page 32; 2019–20 Corporate Plan, page 14 (pdf), 9 (doc).</w:t>
      </w:r>
    </w:p>
    <w:p w:rsidR="008E273C" w:rsidRDefault="00AC4959" w:rsidP="008E273C">
      <w:pPr>
        <w:pStyle w:val="BodyText"/>
      </w:pPr>
      <w:r w:rsidRPr="00AC4959">
        <w:t>Data source</w:t>
      </w:r>
      <w:r w:rsidRPr="00AC4959">
        <w:tab/>
      </w:r>
      <w:r w:rsidR="008E273C">
        <w:t xml:space="preserve">Survey provider: Colmar </w:t>
      </w:r>
      <w:proofErr w:type="spellStart"/>
      <w:r w:rsidR="008E273C">
        <w:t>Brunton</w:t>
      </w:r>
      <w:proofErr w:type="spellEnd"/>
      <w:r w:rsidR="008E273C">
        <w:t>.</w:t>
      </w:r>
    </w:p>
    <w:p w:rsidR="008E273C" w:rsidRDefault="0037551D" w:rsidP="008E273C">
      <w:pPr>
        <w:pStyle w:val="Heading5"/>
      </w:pPr>
      <w:r>
        <w:t>Criterion 3</w:t>
      </w:r>
      <w:r w:rsidR="008E273C">
        <w:t xml:space="preserve">—Customer satisfaction: Trust: customers are confident in the integrity of the advice provided to them (This performance measure was introduced in the </w:t>
      </w:r>
      <w:r w:rsidR="008E273C">
        <w:rPr>
          <w:rFonts w:ascii="Roboto-MediumItalic" w:hAnsi="Roboto-MediumItalic" w:cs="Roboto-MediumItalic"/>
          <w:i/>
          <w:iCs w:val="0"/>
        </w:rPr>
        <w:t>Services Australia 2019–20 Corporate Plan</w:t>
      </w:r>
      <w:r w:rsidR="008E273C">
        <w:t>)</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3 Overview"/>
        <w:tblDescription w:val="Criterion 3 Overview"/>
      </w:tblPr>
      <w:tblGrid>
        <w:gridCol w:w="2220"/>
        <w:gridCol w:w="2535"/>
        <w:gridCol w:w="2220"/>
        <w:gridCol w:w="2037"/>
        <w:gridCol w:w="2084"/>
      </w:tblGrid>
      <w:tr w:rsidR="008E273C" w:rsidTr="0037551D">
        <w:trPr>
          <w:trHeight w:val="376"/>
          <w:tblHeader/>
        </w:trPr>
        <w:tc>
          <w:tcPr>
            <w:tcW w:w="1000" w:type="pct"/>
          </w:tcPr>
          <w:p w:rsidR="008E273C" w:rsidRPr="0037551D" w:rsidRDefault="008E273C" w:rsidP="0037551D">
            <w:pPr>
              <w:pStyle w:val="BodyText"/>
              <w:rPr>
                <w:b/>
              </w:rPr>
            </w:pPr>
            <w:r w:rsidRPr="0037551D">
              <w:rPr>
                <w:b/>
              </w:rPr>
              <w:t>Year</w:t>
            </w:r>
          </w:p>
        </w:tc>
        <w:tc>
          <w:tcPr>
            <w:tcW w:w="1142" w:type="pct"/>
          </w:tcPr>
          <w:p w:rsidR="008E273C" w:rsidRPr="0037551D" w:rsidRDefault="008E273C" w:rsidP="0037551D">
            <w:pPr>
              <w:pStyle w:val="BodyText"/>
              <w:rPr>
                <w:b/>
              </w:rPr>
            </w:pPr>
            <w:r w:rsidRPr="0037551D">
              <w:rPr>
                <w:b/>
              </w:rPr>
              <w:t>Target</w:t>
            </w:r>
          </w:p>
        </w:tc>
        <w:tc>
          <w:tcPr>
            <w:tcW w:w="1000" w:type="pct"/>
          </w:tcPr>
          <w:p w:rsidR="008E273C" w:rsidRPr="0037551D" w:rsidRDefault="008E273C" w:rsidP="0037551D">
            <w:pPr>
              <w:pStyle w:val="BodyText"/>
              <w:rPr>
                <w:b/>
              </w:rPr>
            </w:pPr>
            <w:r w:rsidRPr="0037551D">
              <w:rPr>
                <w:b/>
              </w:rPr>
              <w:t>Result</w:t>
            </w:r>
          </w:p>
        </w:tc>
        <w:tc>
          <w:tcPr>
            <w:tcW w:w="918" w:type="pct"/>
          </w:tcPr>
          <w:p w:rsidR="008E273C" w:rsidRPr="0037551D" w:rsidRDefault="008E273C" w:rsidP="0037551D">
            <w:pPr>
              <w:pStyle w:val="BodyText"/>
              <w:rPr>
                <w:b/>
              </w:rPr>
            </w:pPr>
            <w:r w:rsidRPr="0037551D">
              <w:rPr>
                <w:b/>
              </w:rPr>
              <w:t>Achieved</w:t>
            </w:r>
          </w:p>
        </w:tc>
        <w:tc>
          <w:tcPr>
            <w:tcW w:w="939" w:type="pct"/>
          </w:tcPr>
          <w:p w:rsidR="008E273C" w:rsidRPr="0037551D" w:rsidRDefault="008E273C" w:rsidP="0037551D">
            <w:pPr>
              <w:pStyle w:val="BodyText"/>
              <w:rPr>
                <w:b/>
              </w:rPr>
            </w:pPr>
            <w:r w:rsidRPr="0037551D">
              <w:rPr>
                <w:b/>
              </w:rPr>
              <w:t>Change</w:t>
            </w:r>
          </w:p>
        </w:tc>
      </w:tr>
      <w:tr w:rsidR="008E273C" w:rsidTr="0037551D">
        <w:trPr>
          <w:trHeight w:val="376"/>
        </w:trPr>
        <w:tc>
          <w:tcPr>
            <w:tcW w:w="1000" w:type="pct"/>
          </w:tcPr>
          <w:p w:rsidR="008E273C" w:rsidRDefault="008E273C" w:rsidP="0037551D">
            <w:pPr>
              <w:pStyle w:val="BodyText"/>
            </w:pPr>
            <w:r>
              <w:t>2019–20</w:t>
            </w:r>
          </w:p>
        </w:tc>
        <w:tc>
          <w:tcPr>
            <w:tcW w:w="1142" w:type="pct"/>
          </w:tcPr>
          <w:p w:rsidR="008E273C" w:rsidRDefault="008E273C" w:rsidP="0037551D">
            <w:pPr>
              <w:pStyle w:val="BodyText"/>
            </w:pPr>
            <w:r>
              <w:t>Baseline</w:t>
            </w:r>
          </w:p>
        </w:tc>
        <w:tc>
          <w:tcPr>
            <w:tcW w:w="1000" w:type="pct"/>
          </w:tcPr>
          <w:p w:rsidR="008E273C" w:rsidRDefault="008E273C" w:rsidP="0037551D">
            <w:pPr>
              <w:pStyle w:val="BodyText"/>
            </w:pPr>
            <w:r>
              <w:t>85.2</w:t>
            </w:r>
          </w:p>
        </w:tc>
        <w:tc>
          <w:tcPr>
            <w:tcW w:w="918" w:type="pct"/>
          </w:tcPr>
          <w:p w:rsidR="008E273C" w:rsidRDefault="008E273C" w:rsidP="0037551D">
            <w:pPr>
              <w:pStyle w:val="BodyText"/>
            </w:pPr>
            <w:r>
              <w:t>NA</w:t>
            </w:r>
          </w:p>
        </w:tc>
        <w:tc>
          <w:tcPr>
            <w:tcW w:w="939" w:type="pct"/>
          </w:tcPr>
          <w:p w:rsidR="008E273C" w:rsidRDefault="008E273C" w:rsidP="0037551D">
            <w:pPr>
              <w:pStyle w:val="BodyText"/>
            </w:pPr>
            <w:r>
              <w:t>NA</w:t>
            </w:r>
          </w:p>
        </w:tc>
      </w:tr>
    </w:tbl>
    <w:p w:rsidR="008E273C" w:rsidRDefault="00AC4959" w:rsidP="00AC4959">
      <w:pPr>
        <w:pStyle w:val="BodyText"/>
        <w:rPr>
          <w:rStyle w:val="Bold"/>
        </w:rPr>
      </w:pPr>
      <w:r>
        <w:rPr>
          <w:rStyle w:val="Bold"/>
        </w:rPr>
        <w:t>Analysis</w:t>
      </w:r>
    </w:p>
    <w:p w:rsidR="008E273C" w:rsidRDefault="008E273C" w:rsidP="008E273C">
      <w:pPr>
        <w:pStyle w:val="BodyText"/>
      </w:pPr>
      <w:r>
        <w:t>The agency baselined customer trust in 2019–20 by asking customers a question as part of its satisfaction and experience survey ‘Thinking about Medicare overall. Using a scale of 1 to 5 where 1 is ‘don’t trust them at all’ and 5 is ‘trust them completely’, to what extent would you say you trust Medicare?’</w:t>
      </w:r>
    </w:p>
    <w:p w:rsidR="008E273C" w:rsidRDefault="008E273C" w:rsidP="008E273C">
      <w:pPr>
        <w:pStyle w:val="BodyText"/>
      </w:pPr>
      <w:r>
        <w:t>Based on the current single trust question asked as part of the satisfaction and experience survey, customer trust results for Medicare trended upwards throughout 2019–20, increasing from 85.0 in July 2019 to 86.9 in June 2020. Increased customer trust results between March and May align with the improvements observed with customer satisfaction and reflects the agency’s timely response to COVID-19; however, no conclusions can be made regarding which business initiatives had a direct impact on trust.</w:t>
      </w:r>
    </w:p>
    <w:p w:rsidR="008E273C" w:rsidRDefault="008E273C" w:rsidP="008E273C">
      <w:pPr>
        <w:pStyle w:val="BodyText"/>
      </w:pPr>
      <w:r>
        <w:t xml:space="preserve">The agency has engaged its external social and market research provider Colmar </w:t>
      </w:r>
      <w:proofErr w:type="spellStart"/>
      <w:r>
        <w:t>Brunton</w:t>
      </w:r>
      <w:proofErr w:type="spellEnd"/>
      <w:r>
        <w:t xml:space="preserve"> to provide additional insights into the factors that influence an individual’s level of trust. This will assist the agency develop a more comprehensive trust measure throughout 2020–21 and help transform the relationship it holds with customers and effectively respond to issues associated with customer trust.</w:t>
      </w:r>
    </w:p>
    <w:p w:rsidR="008E273C" w:rsidRDefault="008E273C" w:rsidP="008E273C">
      <w:pPr>
        <w:pStyle w:val="BodyText"/>
      </w:pPr>
      <w:r>
        <w:t>It is noted that for 2019–20, there was a difference between the title of the customer trust performance measure and the data used to measure it. T</w:t>
      </w:r>
      <w:r>
        <w:rPr>
          <w:rStyle w:val="NoBreak"/>
        </w:rPr>
        <w:t>he agenc</w:t>
      </w:r>
      <w:r>
        <w:t>y will address this in developing a more comprehensive trust measure during 2020–21.</w:t>
      </w:r>
    </w:p>
    <w:p w:rsidR="008E273C" w:rsidRDefault="008E273C" w:rsidP="008E273C">
      <w:pPr>
        <w:pStyle w:val="BodyText"/>
      </w:pPr>
      <w:r>
        <w:t xml:space="preserve">For more information, see </w:t>
      </w:r>
      <w:proofErr w:type="gramStart"/>
      <w:r>
        <w:rPr>
          <w:rFonts w:ascii="Roboto-Italic" w:hAnsi="Roboto-Italic" w:cs="Roboto-Italic"/>
          <w:i/>
          <w:iCs/>
        </w:rPr>
        <w:t>Improving</w:t>
      </w:r>
      <w:proofErr w:type="gramEnd"/>
      <w:r>
        <w:rPr>
          <w:rFonts w:ascii="Roboto-Italic" w:hAnsi="Roboto-Italic" w:cs="Roboto-Italic"/>
          <w:i/>
          <w:iCs/>
        </w:rPr>
        <w:t xml:space="preserve"> customer experiences</w:t>
      </w:r>
      <w:r>
        <w:t xml:space="preserve"> on page 4.</w:t>
      </w:r>
    </w:p>
    <w:p w:rsidR="008E273C" w:rsidRDefault="00AC4959" w:rsidP="008E273C">
      <w:pPr>
        <w:pStyle w:val="BodyText"/>
      </w:pPr>
      <w:r w:rsidRPr="00AC4959">
        <w:t>Method</w:t>
      </w:r>
      <w:r w:rsidRPr="00AC4959">
        <w:tab/>
      </w:r>
      <w:r w:rsidR="008E273C">
        <w:t>Customer survey.</w:t>
      </w:r>
      <w:r w:rsidR="0037551D">
        <w:t xml:space="preserve"> </w:t>
      </w:r>
      <w:r w:rsidR="008E273C">
        <w:t>(The survey margin of error for this performance measure is less than 5 per cent.)</w:t>
      </w:r>
    </w:p>
    <w:p w:rsidR="008E273C" w:rsidRDefault="0037551D"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37551D">
      <w:pPr>
        <w:pStyle w:val="ListBullet"/>
        <w:tabs>
          <w:tab w:val="clear" w:pos="360"/>
          <w:tab w:val="clear" w:pos="1066"/>
          <w:tab w:val="num" w:pos="1437"/>
        </w:tabs>
        <w:ind w:left="1434"/>
      </w:pPr>
      <w:r>
        <w:tab/>
        <w:t>‘service excellence’ and ‘service enablers’ strategic pillars</w:t>
      </w:r>
    </w:p>
    <w:p w:rsidR="008E273C" w:rsidRDefault="008E273C" w:rsidP="0037551D">
      <w:pPr>
        <w:pStyle w:val="ListBullet"/>
        <w:tabs>
          <w:tab w:val="clear" w:pos="360"/>
          <w:tab w:val="clear" w:pos="1066"/>
          <w:tab w:val="num" w:pos="1437"/>
        </w:tabs>
        <w:ind w:left="1434"/>
      </w:pPr>
      <w:r>
        <w:tab/>
        <w:t>‘</w:t>
      </w:r>
      <w:proofErr w:type="gramStart"/>
      <w:r>
        <w:t>customer</w:t>
      </w:r>
      <w:proofErr w:type="gramEnd"/>
      <w:r>
        <w:t xml:space="preserve"> satisfaction’ key performance area.</w:t>
      </w:r>
    </w:p>
    <w:p w:rsidR="008E273C" w:rsidRDefault="00AC4959" w:rsidP="008E273C">
      <w:pPr>
        <w:pStyle w:val="BodyText"/>
      </w:pPr>
      <w:r w:rsidRPr="00AC4959">
        <w:t>Reference</w:t>
      </w:r>
      <w:r w:rsidRPr="00AC4959">
        <w:tab/>
      </w:r>
      <w:r w:rsidR="008E273C">
        <w:t>2019–20 Corporate Plan, page 14 (pdf), 9(doc).</w:t>
      </w:r>
    </w:p>
    <w:p w:rsidR="008E273C" w:rsidRDefault="00AC4959" w:rsidP="008E273C">
      <w:pPr>
        <w:pStyle w:val="BodyText"/>
      </w:pPr>
      <w:r w:rsidRPr="00AC4959">
        <w:t>Data source</w:t>
      </w:r>
      <w:r w:rsidRPr="00AC4959">
        <w:tab/>
      </w:r>
      <w:r w:rsidR="008E273C">
        <w:t xml:space="preserve">Survey provider: Colmar </w:t>
      </w:r>
      <w:proofErr w:type="spellStart"/>
      <w:r w:rsidR="008E273C">
        <w:t>Brunton</w:t>
      </w:r>
      <w:proofErr w:type="spellEnd"/>
      <w:r w:rsidR="008E273C">
        <w:t>.</w:t>
      </w:r>
    </w:p>
    <w:p w:rsidR="008E273C" w:rsidRDefault="0037551D" w:rsidP="008E273C">
      <w:pPr>
        <w:pStyle w:val="Heading5"/>
      </w:pPr>
      <w:r>
        <w:t>Criterion 4</w:t>
      </w:r>
      <w:r w:rsidR="008E273C">
        <w:t xml:space="preserve">—Achievement of digital service level standards: Medicare Benefits Schedule (MBS) digital claiming rate </w:t>
      </w:r>
      <w:r w:rsidR="008E273C">
        <w:rPr>
          <w:rFonts w:ascii="Roboto-MediumItalic" w:hAnsi="Roboto-MediumItalic" w:cs="Roboto-MediumItalic"/>
          <w:i/>
          <w:iCs w:val="0"/>
        </w:rPr>
        <w:t>(PBS)</w:t>
      </w:r>
    </w:p>
    <w:p w:rsidR="008E273C" w:rsidRDefault="00AC4959" w:rsidP="00AC4959">
      <w:pPr>
        <w:pStyle w:val="BodyText"/>
      </w:pPr>
      <w:r>
        <w:rPr>
          <w:rStyle w:val="Bold"/>
        </w:rPr>
        <w:lastRenderedPageBreak/>
        <w:t>Overview</w:t>
      </w:r>
    </w:p>
    <w:tbl>
      <w:tblPr>
        <w:tblStyle w:val="TableGrid"/>
        <w:tblW w:w="5000" w:type="pct"/>
        <w:tblLook w:val="0000" w:firstRow="0" w:lastRow="0" w:firstColumn="0" w:lastColumn="0" w:noHBand="0" w:noVBand="0"/>
        <w:tblCaption w:val="Criterion 4 Overview"/>
        <w:tblDescription w:val="Criterion 4 Overview"/>
      </w:tblPr>
      <w:tblGrid>
        <w:gridCol w:w="2220"/>
        <w:gridCol w:w="2535"/>
        <w:gridCol w:w="2220"/>
        <w:gridCol w:w="2037"/>
        <w:gridCol w:w="2084"/>
      </w:tblGrid>
      <w:tr w:rsidR="008E273C" w:rsidTr="002705E1">
        <w:trPr>
          <w:trHeight w:val="376"/>
          <w:tblHeader/>
        </w:trPr>
        <w:tc>
          <w:tcPr>
            <w:tcW w:w="1000" w:type="pct"/>
          </w:tcPr>
          <w:p w:rsidR="008E273C" w:rsidRPr="002705E1" w:rsidRDefault="008E273C" w:rsidP="002705E1">
            <w:pPr>
              <w:pStyle w:val="BodyText"/>
              <w:rPr>
                <w:b/>
              </w:rPr>
            </w:pPr>
            <w:r w:rsidRPr="002705E1">
              <w:rPr>
                <w:b/>
              </w:rPr>
              <w:t>Year</w:t>
            </w:r>
          </w:p>
        </w:tc>
        <w:tc>
          <w:tcPr>
            <w:tcW w:w="1142" w:type="pct"/>
          </w:tcPr>
          <w:p w:rsidR="008E273C" w:rsidRPr="002705E1" w:rsidRDefault="008E273C" w:rsidP="002705E1">
            <w:pPr>
              <w:pStyle w:val="BodyText"/>
              <w:rPr>
                <w:b/>
              </w:rPr>
            </w:pPr>
            <w:r w:rsidRPr="002705E1">
              <w:rPr>
                <w:b/>
              </w:rPr>
              <w:t>Target</w:t>
            </w:r>
          </w:p>
        </w:tc>
        <w:tc>
          <w:tcPr>
            <w:tcW w:w="1000" w:type="pct"/>
          </w:tcPr>
          <w:p w:rsidR="008E273C" w:rsidRPr="002705E1" w:rsidRDefault="008E273C" w:rsidP="002705E1">
            <w:pPr>
              <w:pStyle w:val="BodyText"/>
              <w:rPr>
                <w:b/>
              </w:rPr>
            </w:pPr>
            <w:r w:rsidRPr="002705E1">
              <w:rPr>
                <w:b/>
              </w:rPr>
              <w:t>Result</w:t>
            </w:r>
          </w:p>
        </w:tc>
        <w:tc>
          <w:tcPr>
            <w:tcW w:w="918" w:type="pct"/>
          </w:tcPr>
          <w:p w:rsidR="008E273C" w:rsidRPr="002705E1" w:rsidRDefault="008E273C" w:rsidP="002705E1">
            <w:pPr>
              <w:pStyle w:val="BodyText"/>
              <w:rPr>
                <w:b/>
              </w:rPr>
            </w:pPr>
            <w:r w:rsidRPr="002705E1">
              <w:rPr>
                <w:b/>
              </w:rPr>
              <w:t>Achieved</w:t>
            </w:r>
          </w:p>
        </w:tc>
        <w:tc>
          <w:tcPr>
            <w:tcW w:w="939" w:type="pct"/>
          </w:tcPr>
          <w:p w:rsidR="008E273C" w:rsidRPr="002705E1" w:rsidRDefault="008E273C" w:rsidP="002705E1">
            <w:pPr>
              <w:pStyle w:val="BodyText"/>
              <w:rPr>
                <w:b/>
              </w:rPr>
            </w:pPr>
            <w:r w:rsidRPr="002705E1">
              <w:rPr>
                <w:b/>
              </w:rPr>
              <w:t>Change</w:t>
            </w:r>
          </w:p>
          <w:p w:rsidR="008E273C" w:rsidRPr="002705E1" w:rsidRDefault="008E273C" w:rsidP="002705E1">
            <w:pPr>
              <w:pStyle w:val="BodyText"/>
              <w:rPr>
                <w:b/>
              </w:rPr>
            </w:pPr>
            <w:r w:rsidRPr="002705E1">
              <w:rPr>
                <w:b/>
              </w:rPr>
              <w:t>(% points)</w:t>
            </w:r>
          </w:p>
        </w:tc>
      </w:tr>
      <w:tr w:rsidR="008E273C" w:rsidTr="002705E1">
        <w:trPr>
          <w:trHeight w:val="376"/>
        </w:trPr>
        <w:tc>
          <w:tcPr>
            <w:tcW w:w="1000" w:type="pct"/>
          </w:tcPr>
          <w:p w:rsidR="008E273C" w:rsidRDefault="008E273C" w:rsidP="002705E1">
            <w:pPr>
              <w:pStyle w:val="BodyText"/>
            </w:pPr>
            <w:r>
              <w:t>2019–20</w:t>
            </w:r>
          </w:p>
        </w:tc>
        <w:tc>
          <w:tcPr>
            <w:tcW w:w="1142" w:type="pct"/>
          </w:tcPr>
          <w:p w:rsidR="008E273C" w:rsidRDefault="008E273C" w:rsidP="002705E1">
            <w:pPr>
              <w:pStyle w:val="BodyText"/>
            </w:pPr>
            <w:r>
              <w:t>≥97%</w:t>
            </w:r>
          </w:p>
        </w:tc>
        <w:tc>
          <w:tcPr>
            <w:tcW w:w="1000" w:type="pct"/>
          </w:tcPr>
          <w:p w:rsidR="008E273C" w:rsidRDefault="008E273C" w:rsidP="002705E1">
            <w:pPr>
              <w:pStyle w:val="BodyText"/>
            </w:pPr>
            <w:r>
              <w:t>99.2%</w:t>
            </w:r>
          </w:p>
        </w:tc>
        <w:tc>
          <w:tcPr>
            <w:tcW w:w="918" w:type="pct"/>
          </w:tcPr>
          <w:p w:rsidR="008E273C" w:rsidRPr="00657D31" w:rsidRDefault="00657D31" w:rsidP="00657D31">
            <w:pPr>
              <w:pStyle w:val="BodyText"/>
            </w:pPr>
            <w:r w:rsidRPr="00657D31">
              <w:t>Yes</w:t>
            </w:r>
          </w:p>
        </w:tc>
        <w:tc>
          <w:tcPr>
            <w:tcW w:w="939" w:type="pct"/>
          </w:tcPr>
          <w:p w:rsidR="008E273C" w:rsidRDefault="008E273C" w:rsidP="002705E1">
            <w:pPr>
              <w:pStyle w:val="BodyText"/>
            </w:pPr>
            <w:r>
              <w:t>+0.6</w:t>
            </w:r>
          </w:p>
        </w:tc>
      </w:tr>
      <w:tr w:rsidR="008E273C" w:rsidTr="002705E1">
        <w:trPr>
          <w:trHeight w:val="376"/>
        </w:trPr>
        <w:tc>
          <w:tcPr>
            <w:tcW w:w="1000" w:type="pct"/>
          </w:tcPr>
          <w:p w:rsidR="008E273C" w:rsidRDefault="008E273C" w:rsidP="002705E1">
            <w:pPr>
              <w:pStyle w:val="BodyText"/>
            </w:pPr>
            <w:r>
              <w:t>2018–19</w:t>
            </w:r>
          </w:p>
        </w:tc>
        <w:tc>
          <w:tcPr>
            <w:tcW w:w="1142" w:type="pct"/>
          </w:tcPr>
          <w:p w:rsidR="008E273C" w:rsidRDefault="008E273C" w:rsidP="002705E1">
            <w:pPr>
              <w:pStyle w:val="BodyText"/>
            </w:pPr>
            <w:r>
              <w:t>≥97%</w:t>
            </w:r>
          </w:p>
        </w:tc>
        <w:tc>
          <w:tcPr>
            <w:tcW w:w="1000" w:type="pct"/>
          </w:tcPr>
          <w:p w:rsidR="008E273C" w:rsidRDefault="008E273C" w:rsidP="002705E1">
            <w:pPr>
              <w:pStyle w:val="BodyText"/>
            </w:pPr>
            <w:r>
              <w:t>98.6%</w:t>
            </w:r>
          </w:p>
        </w:tc>
        <w:tc>
          <w:tcPr>
            <w:tcW w:w="918" w:type="pct"/>
          </w:tcPr>
          <w:p w:rsidR="008E273C" w:rsidRPr="00657D31" w:rsidRDefault="00657D31" w:rsidP="00657D31">
            <w:pPr>
              <w:pStyle w:val="BodyText"/>
            </w:pPr>
            <w:r w:rsidRPr="00657D31">
              <w:t>Yes</w:t>
            </w:r>
          </w:p>
        </w:tc>
        <w:tc>
          <w:tcPr>
            <w:tcW w:w="939" w:type="pct"/>
          </w:tcPr>
          <w:p w:rsidR="008E273C" w:rsidRDefault="008E273C" w:rsidP="002705E1">
            <w:pPr>
              <w:pStyle w:val="BodyText"/>
            </w:pPr>
            <w:r>
              <w:t>+0.7</w:t>
            </w:r>
          </w:p>
        </w:tc>
      </w:tr>
      <w:tr w:rsidR="008E273C" w:rsidTr="002705E1">
        <w:trPr>
          <w:trHeight w:val="376"/>
        </w:trPr>
        <w:tc>
          <w:tcPr>
            <w:tcW w:w="1000" w:type="pct"/>
          </w:tcPr>
          <w:p w:rsidR="008E273C" w:rsidRDefault="008E273C" w:rsidP="002705E1">
            <w:pPr>
              <w:pStyle w:val="BodyText"/>
            </w:pPr>
            <w:r>
              <w:t>2017–18</w:t>
            </w:r>
          </w:p>
        </w:tc>
        <w:tc>
          <w:tcPr>
            <w:tcW w:w="1142" w:type="pct"/>
          </w:tcPr>
          <w:p w:rsidR="008E273C" w:rsidRDefault="008E273C" w:rsidP="002705E1">
            <w:pPr>
              <w:pStyle w:val="BodyText"/>
            </w:pPr>
            <w:r>
              <w:t>≥96%</w:t>
            </w:r>
          </w:p>
        </w:tc>
        <w:tc>
          <w:tcPr>
            <w:tcW w:w="1000" w:type="pct"/>
          </w:tcPr>
          <w:p w:rsidR="008E273C" w:rsidRDefault="008E273C" w:rsidP="002705E1">
            <w:pPr>
              <w:pStyle w:val="BodyText"/>
            </w:pPr>
            <w:r>
              <w:t>97.9%</w:t>
            </w:r>
          </w:p>
        </w:tc>
        <w:tc>
          <w:tcPr>
            <w:tcW w:w="918" w:type="pct"/>
          </w:tcPr>
          <w:p w:rsidR="008E273C" w:rsidRPr="00657D31" w:rsidRDefault="00657D31" w:rsidP="00657D31">
            <w:pPr>
              <w:pStyle w:val="BodyText"/>
            </w:pPr>
            <w:r w:rsidRPr="00657D31">
              <w:t>Yes</w:t>
            </w:r>
          </w:p>
        </w:tc>
        <w:tc>
          <w:tcPr>
            <w:tcW w:w="939" w:type="pct"/>
          </w:tcPr>
          <w:p w:rsidR="008E273C" w:rsidRDefault="008E273C" w:rsidP="002705E1">
            <w:pPr>
              <w:pStyle w:val="BodyText"/>
            </w:pPr>
            <w:r>
              <w:t>+0.8</w:t>
            </w:r>
          </w:p>
        </w:tc>
      </w:tr>
    </w:tbl>
    <w:p w:rsidR="008E273C" w:rsidRDefault="00AC4959" w:rsidP="00AC4959">
      <w:pPr>
        <w:pStyle w:val="BodyText"/>
        <w:rPr>
          <w:rStyle w:val="Bold"/>
        </w:rPr>
      </w:pPr>
      <w:r>
        <w:rPr>
          <w:rStyle w:val="Bold"/>
        </w:rPr>
        <w:t>Analysis</w:t>
      </w:r>
    </w:p>
    <w:p w:rsidR="008E273C" w:rsidRDefault="008E273C" w:rsidP="008E273C">
      <w:pPr>
        <w:pStyle w:val="BodyText"/>
      </w:pPr>
      <w:r>
        <w:t>At 99.2 per cent, the Medicare digital claiming rate has consistently exceeded the target of 97 per cent. The lodgement of manual claims continued to decline as digital claiming increases.</w:t>
      </w:r>
    </w:p>
    <w:p w:rsidR="008E273C" w:rsidRDefault="008E273C" w:rsidP="008E273C">
      <w:pPr>
        <w:pStyle w:val="BodyText"/>
      </w:pPr>
      <w:r>
        <w:t>The agency continues to explore options to further increase the use of digital claiming and minimise manual claiming, with a specific service delivery improvement focus.</w:t>
      </w:r>
    </w:p>
    <w:p w:rsidR="008E273C" w:rsidRDefault="008E273C" w:rsidP="008E273C">
      <w:pPr>
        <w:pStyle w:val="BodyText"/>
      </w:pPr>
      <w:r>
        <w:t>The following table includes a breakdown of contributing indicators since the start of 2017–18.</w:t>
      </w:r>
    </w:p>
    <w:tbl>
      <w:tblPr>
        <w:tblStyle w:val="TableGrid"/>
        <w:tblW w:w="5000" w:type="pct"/>
        <w:tblLook w:val="0000" w:firstRow="0" w:lastRow="0" w:firstColumn="0" w:lastColumn="0" w:noHBand="0" w:noVBand="0"/>
        <w:tblCaption w:val="Breakdown of contributing indicators since the start of 2017–18"/>
        <w:tblDescription w:val="Breakdown of contributing indicators since the start of 2017–18"/>
      </w:tblPr>
      <w:tblGrid>
        <w:gridCol w:w="4610"/>
        <w:gridCol w:w="2162"/>
        <w:gridCol w:w="2162"/>
        <w:gridCol w:w="2162"/>
      </w:tblGrid>
      <w:tr w:rsidR="008E273C" w:rsidTr="00803635">
        <w:trPr>
          <w:trHeight w:val="376"/>
          <w:tblHeader/>
        </w:trPr>
        <w:tc>
          <w:tcPr>
            <w:tcW w:w="2077" w:type="pct"/>
          </w:tcPr>
          <w:p w:rsidR="008E273C" w:rsidRDefault="008E273C" w:rsidP="00803635">
            <w:pPr>
              <w:pStyle w:val="BodyText"/>
            </w:pPr>
            <w:r>
              <w:rPr>
                <w:rStyle w:val="Bold"/>
              </w:rPr>
              <w:t>Indicators</w:t>
            </w:r>
          </w:p>
        </w:tc>
        <w:tc>
          <w:tcPr>
            <w:tcW w:w="974" w:type="pct"/>
          </w:tcPr>
          <w:p w:rsidR="008E273C" w:rsidRDefault="008E273C" w:rsidP="00803635">
            <w:pPr>
              <w:pStyle w:val="BodyText"/>
            </w:pPr>
            <w:r>
              <w:rPr>
                <w:rStyle w:val="Bold"/>
              </w:rPr>
              <w:t>2017–18</w:t>
            </w:r>
          </w:p>
        </w:tc>
        <w:tc>
          <w:tcPr>
            <w:tcW w:w="974" w:type="pct"/>
          </w:tcPr>
          <w:p w:rsidR="008E273C" w:rsidRDefault="008E273C" w:rsidP="00803635">
            <w:pPr>
              <w:pStyle w:val="BodyText"/>
            </w:pPr>
            <w:r>
              <w:rPr>
                <w:rStyle w:val="Bold"/>
              </w:rPr>
              <w:t>2018–19</w:t>
            </w:r>
          </w:p>
        </w:tc>
        <w:tc>
          <w:tcPr>
            <w:tcW w:w="974" w:type="pct"/>
          </w:tcPr>
          <w:p w:rsidR="008E273C" w:rsidRDefault="008E273C" w:rsidP="00803635">
            <w:pPr>
              <w:pStyle w:val="BodyText"/>
            </w:pPr>
            <w:r>
              <w:rPr>
                <w:rStyle w:val="Bold"/>
              </w:rPr>
              <w:t>2019–20</w:t>
            </w:r>
          </w:p>
        </w:tc>
      </w:tr>
      <w:tr w:rsidR="008E273C" w:rsidTr="00803635">
        <w:trPr>
          <w:trHeight w:val="397"/>
        </w:trPr>
        <w:tc>
          <w:tcPr>
            <w:tcW w:w="2077" w:type="pct"/>
          </w:tcPr>
          <w:p w:rsidR="008E273C" w:rsidRDefault="008E273C" w:rsidP="00803635">
            <w:pPr>
              <w:pStyle w:val="BodyText"/>
            </w:pPr>
            <w:r>
              <w:t>Medicare services processed</w:t>
            </w:r>
          </w:p>
        </w:tc>
        <w:tc>
          <w:tcPr>
            <w:tcW w:w="974" w:type="pct"/>
          </w:tcPr>
          <w:p w:rsidR="008E273C" w:rsidRDefault="008E273C" w:rsidP="00803635">
            <w:pPr>
              <w:pStyle w:val="BodyText"/>
            </w:pPr>
            <w:r>
              <w:t>419.9 million</w:t>
            </w:r>
          </w:p>
        </w:tc>
        <w:tc>
          <w:tcPr>
            <w:tcW w:w="974" w:type="pct"/>
          </w:tcPr>
          <w:p w:rsidR="008E273C" w:rsidRDefault="008E273C" w:rsidP="00803635">
            <w:pPr>
              <w:pStyle w:val="BodyText"/>
            </w:pPr>
            <w:r>
              <w:t>429.6 million</w:t>
            </w:r>
          </w:p>
        </w:tc>
        <w:tc>
          <w:tcPr>
            <w:tcW w:w="974" w:type="pct"/>
          </w:tcPr>
          <w:p w:rsidR="008E273C" w:rsidRDefault="008E273C" w:rsidP="00803635">
            <w:pPr>
              <w:pStyle w:val="BodyText"/>
            </w:pPr>
            <w:r>
              <w:t>433.1 million</w:t>
            </w:r>
          </w:p>
        </w:tc>
      </w:tr>
      <w:tr w:rsidR="008E273C" w:rsidTr="00803635">
        <w:trPr>
          <w:trHeight w:val="376"/>
        </w:trPr>
        <w:tc>
          <w:tcPr>
            <w:tcW w:w="2077" w:type="pct"/>
          </w:tcPr>
          <w:p w:rsidR="008E273C" w:rsidRDefault="008E273C" w:rsidP="00803635">
            <w:pPr>
              <w:pStyle w:val="BodyText"/>
            </w:pPr>
            <w:r>
              <w:t>Benefits paid</w:t>
            </w:r>
          </w:p>
        </w:tc>
        <w:tc>
          <w:tcPr>
            <w:tcW w:w="974" w:type="pct"/>
          </w:tcPr>
          <w:p w:rsidR="008E273C" w:rsidRDefault="008E273C" w:rsidP="00803635">
            <w:pPr>
              <w:pStyle w:val="BodyText"/>
            </w:pPr>
            <w:r>
              <w:t>$23.5 billion</w:t>
            </w:r>
          </w:p>
        </w:tc>
        <w:tc>
          <w:tcPr>
            <w:tcW w:w="974" w:type="pct"/>
          </w:tcPr>
          <w:p w:rsidR="008E273C" w:rsidRDefault="008E273C" w:rsidP="00803635">
            <w:pPr>
              <w:pStyle w:val="BodyText"/>
            </w:pPr>
            <w:r>
              <w:t xml:space="preserve">$24.4 billion </w:t>
            </w:r>
          </w:p>
        </w:tc>
        <w:tc>
          <w:tcPr>
            <w:tcW w:w="974" w:type="pct"/>
          </w:tcPr>
          <w:p w:rsidR="008E273C" w:rsidRDefault="008E273C" w:rsidP="00803635">
            <w:pPr>
              <w:pStyle w:val="BodyText"/>
            </w:pPr>
            <w:r>
              <w:t>$25.0 billion</w:t>
            </w:r>
          </w:p>
        </w:tc>
      </w:tr>
      <w:tr w:rsidR="008E273C" w:rsidTr="00803635">
        <w:trPr>
          <w:trHeight w:val="376"/>
        </w:trPr>
        <w:tc>
          <w:tcPr>
            <w:tcW w:w="2077" w:type="pct"/>
          </w:tcPr>
          <w:p w:rsidR="008E273C" w:rsidRDefault="008E273C" w:rsidP="00803635">
            <w:pPr>
              <w:pStyle w:val="BodyText"/>
            </w:pPr>
            <w:r>
              <w:t>Digital bulk bill claiming</w:t>
            </w:r>
          </w:p>
        </w:tc>
        <w:tc>
          <w:tcPr>
            <w:tcW w:w="974" w:type="pct"/>
          </w:tcPr>
          <w:p w:rsidR="008E273C" w:rsidRDefault="008E273C" w:rsidP="00803635">
            <w:pPr>
              <w:pStyle w:val="BodyText"/>
            </w:pPr>
            <w:r>
              <w:t>99.1%</w:t>
            </w:r>
          </w:p>
        </w:tc>
        <w:tc>
          <w:tcPr>
            <w:tcW w:w="974" w:type="pct"/>
          </w:tcPr>
          <w:p w:rsidR="008E273C" w:rsidRDefault="008E273C" w:rsidP="00803635">
            <w:pPr>
              <w:pStyle w:val="BodyText"/>
            </w:pPr>
            <w:r>
              <w:t>99.3%</w:t>
            </w:r>
          </w:p>
        </w:tc>
        <w:tc>
          <w:tcPr>
            <w:tcW w:w="974" w:type="pct"/>
          </w:tcPr>
          <w:p w:rsidR="008E273C" w:rsidRDefault="008E273C" w:rsidP="00803635">
            <w:pPr>
              <w:pStyle w:val="BodyText"/>
            </w:pPr>
            <w:r>
              <w:t>99.5%</w:t>
            </w:r>
          </w:p>
        </w:tc>
      </w:tr>
      <w:tr w:rsidR="008E273C" w:rsidTr="00803635">
        <w:trPr>
          <w:trHeight w:val="376"/>
        </w:trPr>
        <w:tc>
          <w:tcPr>
            <w:tcW w:w="2077" w:type="pct"/>
          </w:tcPr>
          <w:p w:rsidR="008E273C" w:rsidRDefault="008E273C" w:rsidP="00803635">
            <w:pPr>
              <w:pStyle w:val="BodyText"/>
            </w:pPr>
            <w:r>
              <w:t>Digital patient claiming</w:t>
            </w:r>
          </w:p>
        </w:tc>
        <w:tc>
          <w:tcPr>
            <w:tcW w:w="974" w:type="pct"/>
          </w:tcPr>
          <w:p w:rsidR="008E273C" w:rsidRDefault="008E273C" w:rsidP="00803635">
            <w:pPr>
              <w:pStyle w:val="BodyText"/>
            </w:pPr>
            <w:r>
              <w:t>89.6%</w:t>
            </w:r>
          </w:p>
        </w:tc>
        <w:tc>
          <w:tcPr>
            <w:tcW w:w="974" w:type="pct"/>
          </w:tcPr>
          <w:p w:rsidR="008E273C" w:rsidRDefault="008E273C" w:rsidP="00803635">
            <w:pPr>
              <w:pStyle w:val="BodyText"/>
            </w:pPr>
            <w:r>
              <w:t>93.8%</w:t>
            </w:r>
          </w:p>
        </w:tc>
        <w:tc>
          <w:tcPr>
            <w:tcW w:w="974" w:type="pct"/>
          </w:tcPr>
          <w:p w:rsidR="008E273C" w:rsidRDefault="008E273C" w:rsidP="00803635">
            <w:pPr>
              <w:pStyle w:val="BodyText"/>
            </w:pPr>
            <w:r>
              <w:t>96.7%</w:t>
            </w:r>
          </w:p>
        </w:tc>
      </w:tr>
      <w:tr w:rsidR="008E273C" w:rsidTr="00803635">
        <w:trPr>
          <w:trHeight w:val="376"/>
        </w:trPr>
        <w:tc>
          <w:tcPr>
            <w:tcW w:w="2077" w:type="pct"/>
          </w:tcPr>
          <w:p w:rsidR="008E273C" w:rsidRDefault="008E273C" w:rsidP="00803635">
            <w:pPr>
              <w:pStyle w:val="BodyText"/>
            </w:pPr>
            <w:r>
              <w:t>Digital simplified billing claiming</w:t>
            </w:r>
          </w:p>
        </w:tc>
        <w:tc>
          <w:tcPr>
            <w:tcW w:w="974" w:type="pct"/>
          </w:tcPr>
          <w:p w:rsidR="008E273C" w:rsidRDefault="008E273C" w:rsidP="00803635">
            <w:pPr>
              <w:pStyle w:val="BodyText"/>
            </w:pPr>
            <w:r>
              <w:t>99.6%</w:t>
            </w:r>
          </w:p>
        </w:tc>
        <w:tc>
          <w:tcPr>
            <w:tcW w:w="974" w:type="pct"/>
          </w:tcPr>
          <w:p w:rsidR="008E273C" w:rsidRDefault="008E273C" w:rsidP="00803635">
            <w:pPr>
              <w:pStyle w:val="BodyText"/>
            </w:pPr>
            <w:r>
              <w:t>99.7%</w:t>
            </w:r>
          </w:p>
        </w:tc>
        <w:tc>
          <w:tcPr>
            <w:tcW w:w="974" w:type="pct"/>
          </w:tcPr>
          <w:p w:rsidR="008E273C" w:rsidRDefault="008E273C" w:rsidP="00803635">
            <w:pPr>
              <w:pStyle w:val="BodyText"/>
            </w:pPr>
            <w:r>
              <w:t>99.8%</w:t>
            </w:r>
          </w:p>
        </w:tc>
      </w:tr>
    </w:tbl>
    <w:p w:rsidR="008E273C" w:rsidRDefault="00AC4959" w:rsidP="008E273C">
      <w:pPr>
        <w:pStyle w:val="BodyText"/>
      </w:pPr>
      <w:r w:rsidRPr="00AC4959">
        <w:t>Method</w:t>
      </w:r>
      <w:r w:rsidR="008E273C">
        <w:tab/>
        <w:t>Data mining.</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803635">
      <w:pPr>
        <w:pStyle w:val="ListBullet"/>
        <w:tabs>
          <w:tab w:val="clear" w:pos="360"/>
          <w:tab w:val="clear" w:pos="1066"/>
          <w:tab w:val="num" w:pos="1080"/>
        </w:tabs>
        <w:ind w:left="1077"/>
      </w:pPr>
      <w:r>
        <w:tab/>
        <w:t>‘service excellence’ and ‘service enablers’ strategic pillars</w:t>
      </w:r>
    </w:p>
    <w:p w:rsidR="008E273C" w:rsidRDefault="008E273C" w:rsidP="00803635">
      <w:pPr>
        <w:pStyle w:val="ListBullet"/>
        <w:tabs>
          <w:tab w:val="clear" w:pos="360"/>
          <w:tab w:val="clear" w:pos="1066"/>
          <w:tab w:val="num" w:pos="1080"/>
        </w:tabs>
        <w:ind w:left="1077"/>
      </w:pPr>
      <w:r>
        <w:tab/>
        <w:t>‘</w:t>
      </w:r>
      <w:proofErr w:type="gramStart"/>
      <w:r>
        <w:t>customer</w:t>
      </w:r>
      <w:proofErr w:type="gramEnd"/>
      <w:r>
        <w:t xml:space="preserve"> satisfaction’ key performance area.</w:t>
      </w:r>
    </w:p>
    <w:p w:rsidR="008E273C" w:rsidRDefault="00AC4959" w:rsidP="008E273C">
      <w:pPr>
        <w:pStyle w:val="BodyText"/>
      </w:pPr>
      <w:r w:rsidRPr="00AC4959">
        <w:t>Reference</w:t>
      </w:r>
      <w:r w:rsidR="008E273C">
        <w:tab/>
        <w:t>2019–20 PBS, page 32.</w:t>
      </w:r>
    </w:p>
    <w:p w:rsidR="008E273C" w:rsidRDefault="00AC4959" w:rsidP="008E273C">
      <w:pPr>
        <w:pStyle w:val="BodyText"/>
      </w:pPr>
      <w:r w:rsidRPr="00AC4959">
        <w:t>Data source</w:t>
      </w:r>
      <w:r w:rsidRPr="00AC4959">
        <w:tab/>
      </w:r>
      <w:r w:rsidR="008E273C">
        <w:t xml:space="preserve">Extracted from internal data sources. </w:t>
      </w:r>
    </w:p>
    <w:p w:rsidR="00803635" w:rsidRDefault="00803635" w:rsidP="008E273C">
      <w:pPr>
        <w:pStyle w:val="Heading5"/>
        <w:rPr>
          <w:rStyle w:val="Bolditalic"/>
        </w:rPr>
      </w:pPr>
      <w:r>
        <w:t>Criterion 5</w:t>
      </w:r>
      <w:r w:rsidR="008E273C">
        <w:t xml:space="preserve">—Achievement of digital service level standards: Departmental interactions completed via digital channels </w:t>
      </w:r>
      <w:r w:rsidR="008E273C" w:rsidRPr="00803635">
        <w:rPr>
          <w:i/>
        </w:rPr>
        <w:t>(PBS)</w:t>
      </w:r>
    </w:p>
    <w:p w:rsidR="008E273C" w:rsidRDefault="008E273C" w:rsidP="008E273C">
      <w:pPr>
        <w:pStyle w:val="Heading5"/>
      </w:pPr>
      <w:r>
        <w:t xml:space="preserve">Customers interacting digitally: Interactions conducted through digital channels </w:t>
      </w:r>
      <w:r w:rsidRPr="00803635">
        <w:rPr>
          <w:i/>
        </w:rPr>
        <w:t>(Corporate Plan)</w:t>
      </w:r>
    </w:p>
    <w:p w:rsidR="008E273C" w:rsidRDefault="00AC4959" w:rsidP="00AC4959">
      <w:pPr>
        <w:pStyle w:val="BodyText"/>
      </w:pPr>
      <w:r>
        <w:rPr>
          <w:rStyle w:val="Bold"/>
        </w:rPr>
        <w:lastRenderedPageBreak/>
        <w:t>Overview</w:t>
      </w:r>
    </w:p>
    <w:tbl>
      <w:tblPr>
        <w:tblStyle w:val="TableGrid"/>
        <w:tblW w:w="5000" w:type="pct"/>
        <w:tblLook w:val="0000" w:firstRow="0" w:lastRow="0" w:firstColumn="0" w:lastColumn="0" w:noHBand="0" w:noVBand="0"/>
        <w:tblCaption w:val="Criterion 5 Overview"/>
        <w:tblDescription w:val="Criterion 5 Overview"/>
      </w:tblPr>
      <w:tblGrid>
        <w:gridCol w:w="2220"/>
        <w:gridCol w:w="2535"/>
        <w:gridCol w:w="2379"/>
        <w:gridCol w:w="1982"/>
        <w:gridCol w:w="1980"/>
      </w:tblGrid>
      <w:tr w:rsidR="008E273C" w:rsidTr="00803635">
        <w:trPr>
          <w:trHeight w:val="376"/>
          <w:tblHeader/>
        </w:trPr>
        <w:tc>
          <w:tcPr>
            <w:tcW w:w="1000" w:type="pct"/>
          </w:tcPr>
          <w:p w:rsidR="008E273C" w:rsidRPr="00803635" w:rsidRDefault="008E273C" w:rsidP="00803635">
            <w:pPr>
              <w:pStyle w:val="BodyText"/>
              <w:rPr>
                <w:b/>
              </w:rPr>
            </w:pPr>
            <w:r w:rsidRPr="00803635">
              <w:rPr>
                <w:b/>
              </w:rPr>
              <w:t>Year</w:t>
            </w:r>
          </w:p>
        </w:tc>
        <w:tc>
          <w:tcPr>
            <w:tcW w:w="1142" w:type="pct"/>
          </w:tcPr>
          <w:p w:rsidR="008E273C" w:rsidRPr="00803635" w:rsidRDefault="008E273C" w:rsidP="00803635">
            <w:pPr>
              <w:pStyle w:val="BodyText"/>
              <w:rPr>
                <w:b/>
              </w:rPr>
            </w:pPr>
            <w:r w:rsidRPr="00803635">
              <w:rPr>
                <w:b/>
              </w:rPr>
              <w:t>Target</w:t>
            </w:r>
          </w:p>
        </w:tc>
        <w:tc>
          <w:tcPr>
            <w:tcW w:w="1072" w:type="pct"/>
          </w:tcPr>
          <w:p w:rsidR="008E273C" w:rsidRPr="00803635" w:rsidRDefault="008E273C" w:rsidP="00803635">
            <w:pPr>
              <w:pStyle w:val="BodyText"/>
              <w:rPr>
                <w:b/>
              </w:rPr>
            </w:pPr>
            <w:r w:rsidRPr="00803635">
              <w:rPr>
                <w:b/>
              </w:rPr>
              <w:t>Result</w:t>
            </w:r>
          </w:p>
        </w:tc>
        <w:tc>
          <w:tcPr>
            <w:tcW w:w="893" w:type="pct"/>
          </w:tcPr>
          <w:p w:rsidR="008E273C" w:rsidRPr="00803635" w:rsidRDefault="008E273C" w:rsidP="00803635">
            <w:pPr>
              <w:pStyle w:val="BodyText"/>
              <w:rPr>
                <w:b/>
              </w:rPr>
            </w:pPr>
            <w:r w:rsidRPr="00803635">
              <w:rPr>
                <w:b/>
              </w:rPr>
              <w:t>Achieved</w:t>
            </w:r>
          </w:p>
        </w:tc>
        <w:tc>
          <w:tcPr>
            <w:tcW w:w="892" w:type="pct"/>
          </w:tcPr>
          <w:p w:rsidR="008E273C" w:rsidRPr="00803635" w:rsidRDefault="008E273C" w:rsidP="00803635">
            <w:pPr>
              <w:pStyle w:val="BodyText"/>
              <w:rPr>
                <w:b/>
              </w:rPr>
            </w:pPr>
            <w:r w:rsidRPr="00803635">
              <w:rPr>
                <w:b/>
              </w:rPr>
              <w:t>Change</w:t>
            </w:r>
          </w:p>
          <w:p w:rsidR="008E273C" w:rsidRPr="00803635" w:rsidRDefault="008E273C" w:rsidP="00803635">
            <w:pPr>
              <w:pStyle w:val="BodyText"/>
              <w:rPr>
                <w:b/>
              </w:rPr>
            </w:pPr>
            <w:r w:rsidRPr="00803635">
              <w:rPr>
                <w:b/>
              </w:rPr>
              <w:t>(% points)</w:t>
            </w:r>
          </w:p>
        </w:tc>
      </w:tr>
      <w:tr w:rsidR="008E273C" w:rsidTr="00803635">
        <w:trPr>
          <w:trHeight w:val="376"/>
        </w:trPr>
        <w:tc>
          <w:tcPr>
            <w:tcW w:w="1000" w:type="pct"/>
          </w:tcPr>
          <w:p w:rsidR="008E273C" w:rsidRDefault="008E273C" w:rsidP="00803635">
            <w:pPr>
              <w:pStyle w:val="BodyText"/>
            </w:pPr>
            <w:r>
              <w:t>2019–20</w:t>
            </w:r>
          </w:p>
        </w:tc>
        <w:tc>
          <w:tcPr>
            <w:tcW w:w="1142" w:type="pct"/>
          </w:tcPr>
          <w:p w:rsidR="008E273C" w:rsidRDefault="008E273C" w:rsidP="00803635">
            <w:pPr>
              <w:pStyle w:val="BodyText"/>
            </w:pPr>
            <w:r>
              <w:t>≥5% increase</w:t>
            </w:r>
          </w:p>
        </w:tc>
        <w:tc>
          <w:tcPr>
            <w:tcW w:w="1072" w:type="pct"/>
          </w:tcPr>
          <w:p w:rsidR="008E273C" w:rsidRDefault="008E273C" w:rsidP="00803635">
            <w:pPr>
              <w:pStyle w:val="BodyText"/>
            </w:pPr>
            <w:r>
              <w:t>9.5% increase</w:t>
            </w:r>
          </w:p>
        </w:tc>
        <w:tc>
          <w:tcPr>
            <w:tcW w:w="893" w:type="pct"/>
          </w:tcPr>
          <w:p w:rsidR="008E273C" w:rsidRPr="00657D31" w:rsidRDefault="00657D31" w:rsidP="00657D31">
            <w:pPr>
              <w:pStyle w:val="BodyText"/>
            </w:pPr>
            <w:r w:rsidRPr="00657D31">
              <w:t>Yes</w:t>
            </w:r>
          </w:p>
        </w:tc>
        <w:tc>
          <w:tcPr>
            <w:tcW w:w="892" w:type="pct"/>
          </w:tcPr>
          <w:p w:rsidR="008E273C" w:rsidRDefault="008E273C" w:rsidP="00803635">
            <w:pPr>
              <w:pStyle w:val="BodyText"/>
            </w:pPr>
            <w:r>
              <w:t>+3.8</w:t>
            </w:r>
          </w:p>
        </w:tc>
      </w:tr>
      <w:tr w:rsidR="008E273C" w:rsidTr="00803635">
        <w:trPr>
          <w:trHeight w:val="376"/>
        </w:trPr>
        <w:tc>
          <w:tcPr>
            <w:tcW w:w="1000" w:type="pct"/>
          </w:tcPr>
          <w:p w:rsidR="008E273C" w:rsidRDefault="008E273C" w:rsidP="00803635">
            <w:pPr>
              <w:pStyle w:val="BodyText"/>
            </w:pPr>
            <w:r>
              <w:t>2018–19</w:t>
            </w:r>
          </w:p>
        </w:tc>
        <w:tc>
          <w:tcPr>
            <w:tcW w:w="1142" w:type="pct"/>
          </w:tcPr>
          <w:p w:rsidR="008E273C" w:rsidRDefault="008E273C" w:rsidP="00803635">
            <w:pPr>
              <w:pStyle w:val="BodyText"/>
            </w:pPr>
            <w:r>
              <w:t>≥5% increase</w:t>
            </w:r>
          </w:p>
        </w:tc>
        <w:tc>
          <w:tcPr>
            <w:tcW w:w="1072" w:type="pct"/>
          </w:tcPr>
          <w:p w:rsidR="008E273C" w:rsidRDefault="008E273C" w:rsidP="00803635">
            <w:pPr>
              <w:pStyle w:val="BodyText"/>
            </w:pPr>
            <w:r>
              <w:t>5.7% increase</w:t>
            </w:r>
          </w:p>
        </w:tc>
        <w:tc>
          <w:tcPr>
            <w:tcW w:w="893" w:type="pct"/>
          </w:tcPr>
          <w:p w:rsidR="008E273C" w:rsidRPr="00657D31" w:rsidRDefault="00657D31" w:rsidP="00657D31">
            <w:pPr>
              <w:pStyle w:val="BodyText"/>
            </w:pPr>
            <w:r w:rsidRPr="00657D31">
              <w:t>Yes</w:t>
            </w:r>
          </w:p>
        </w:tc>
        <w:tc>
          <w:tcPr>
            <w:tcW w:w="892" w:type="pct"/>
          </w:tcPr>
          <w:p w:rsidR="008E273C" w:rsidRDefault="008E273C" w:rsidP="00803635">
            <w:pPr>
              <w:pStyle w:val="BodyText"/>
            </w:pPr>
            <w:r>
              <w:t>–2.5</w:t>
            </w:r>
          </w:p>
        </w:tc>
      </w:tr>
      <w:tr w:rsidR="008E273C" w:rsidTr="00803635">
        <w:trPr>
          <w:trHeight w:val="376"/>
        </w:trPr>
        <w:tc>
          <w:tcPr>
            <w:tcW w:w="1000" w:type="pct"/>
          </w:tcPr>
          <w:p w:rsidR="008E273C" w:rsidRDefault="008E273C" w:rsidP="00803635">
            <w:pPr>
              <w:pStyle w:val="BodyText"/>
            </w:pPr>
            <w:r>
              <w:t>2017–18</w:t>
            </w:r>
          </w:p>
        </w:tc>
        <w:tc>
          <w:tcPr>
            <w:tcW w:w="1142" w:type="pct"/>
          </w:tcPr>
          <w:p w:rsidR="008E273C" w:rsidRDefault="008E273C" w:rsidP="00803635">
            <w:pPr>
              <w:pStyle w:val="BodyText"/>
            </w:pPr>
            <w:r>
              <w:t>≥5% increase</w:t>
            </w:r>
          </w:p>
        </w:tc>
        <w:tc>
          <w:tcPr>
            <w:tcW w:w="1072" w:type="pct"/>
          </w:tcPr>
          <w:p w:rsidR="008E273C" w:rsidRDefault="008E273C" w:rsidP="00803635">
            <w:pPr>
              <w:pStyle w:val="BodyText"/>
            </w:pPr>
            <w:r>
              <w:t>8.2% increase</w:t>
            </w:r>
          </w:p>
        </w:tc>
        <w:tc>
          <w:tcPr>
            <w:tcW w:w="893" w:type="pct"/>
          </w:tcPr>
          <w:p w:rsidR="008E273C" w:rsidRPr="00657D31" w:rsidRDefault="00657D31" w:rsidP="00657D31">
            <w:pPr>
              <w:pStyle w:val="BodyText"/>
            </w:pPr>
            <w:r w:rsidRPr="00657D31">
              <w:t>Yes</w:t>
            </w:r>
          </w:p>
        </w:tc>
        <w:tc>
          <w:tcPr>
            <w:tcW w:w="892" w:type="pct"/>
          </w:tcPr>
          <w:p w:rsidR="008E273C" w:rsidRDefault="008E273C" w:rsidP="00803635">
            <w:pPr>
              <w:pStyle w:val="BodyText"/>
            </w:pPr>
            <w:r>
              <w:t>+2</w:t>
            </w:r>
          </w:p>
        </w:tc>
      </w:tr>
    </w:tbl>
    <w:p w:rsidR="008E273C" w:rsidRDefault="00AC4959" w:rsidP="00AC4959">
      <w:pPr>
        <w:pStyle w:val="BodyText"/>
        <w:rPr>
          <w:rStyle w:val="Bold"/>
        </w:rPr>
      </w:pPr>
      <w:r>
        <w:rPr>
          <w:rStyle w:val="Bold"/>
        </w:rPr>
        <w:t>Analysis</w:t>
      </w:r>
    </w:p>
    <w:p w:rsidR="008E273C" w:rsidRDefault="008E273C" w:rsidP="008E273C">
      <w:pPr>
        <w:pStyle w:val="BodyText"/>
      </w:pPr>
      <w:r>
        <w:t>The annual result exceeded the target by 4.5 per cent in 2019–20. This was achieved by an increase in the take up of Health Provider Online Services (HPOS) by providers and an increase in the use of Medicare Online Account (MOA) by customers.</w:t>
      </w:r>
    </w:p>
    <w:p w:rsidR="008E273C" w:rsidRDefault="008E273C" w:rsidP="008E273C">
      <w:pPr>
        <w:pStyle w:val="BodyText"/>
      </w:pPr>
      <w:r>
        <w:t xml:space="preserve">Decommissioning of the patient verification telephony line on 1 July 2019 saw a natural transition of providers to complete patient verifications through the online channel of HPOS, contributing to the overall increase of digital interaction by providers.  </w:t>
      </w:r>
    </w:p>
    <w:p w:rsidR="008E273C" w:rsidRDefault="008E273C" w:rsidP="008E273C">
      <w:pPr>
        <w:pStyle w:val="BodyText"/>
      </w:pPr>
      <w:r>
        <w:t>The increased use of MOA is reflective of customers utilising the online channel more broadly than claiming, with increases in customers checking their safety net eligibility and their immunisation records.</w:t>
      </w:r>
    </w:p>
    <w:p w:rsidR="008E273C" w:rsidRDefault="00AC4959" w:rsidP="008E273C">
      <w:pPr>
        <w:pStyle w:val="BodyText"/>
      </w:pPr>
      <w:r w:rsidRPr="00AC4959">
        <w:t>Method</w:t>
      </w:r>
      <w:r w:rsidR="008E273C">
        <w:tab/>
        <w:t>Data mining.</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803635">
      <w:pPr>
        <w:pStyle w:val="ListBullet"/>
        <w:tabs>
          <w:tab w:val="clear" w:pos="360"/>
          <w:tab w:val="clear" w:pos="1066"/>
          <w:tab w:val="num" w:pos="1437"/>
        </w:tabs>
        <w:ind w:left="1434"/>
      </w:pPr>
      <w:r>
        <w:tab/>
        <w:t>‘service excellence’ strategic pillar</w:t>
      </w:r>
    </w:p>
    <w:p w:rsidR="008E273C" w:rsidRDefault="008E273C" w:rsidP="00803635">
      <w:pPr>
        <w:pStyle w:val="ListBullet"/>
        <w:tabs>
          <w:tab w:val="clear" w:pos="360"/>
          <w:tab w:val="clear" w:pos="1066"/>
          <w:tab w:val="num" w:pos="1437"/>
        </w:tabs>
        <w:ind w:left="1434"/>
      </w:pPr>
      <w:r>
        <w:tab/>
        <w:t>‘</w:t>
      </w:r>
      <w:proofErr w:type="gramStart"/>
      <w:r>
        <w:t>customers</w:t>
      </w:r>
      <w:proofErr w:type="gramEnd"/>
      <w:r>
        <w:t xml:space="preserve"> interacting digitally’ key performance area.</w:t>
      </w:r>
    </w:p>
    <w:p w:rsidR="008E273C" w:rsidRDefault="00AC4959" w:rsidP="008E273C">
      <w:pPr>
        <w:pStyle w:val="BodyText"/>
      </w:pPr>
      <w:r w:rsidRPr="00AC4959">
        <w:t>Reference</w:t>
      </w:r>
      <w:r w:rsidR="008E273C">
        <w:tab/>
        <w:t>2019–20 PBS, page 32; 2019–20 Corporate Plan, page 15 (pdf), 10 (doc).</w:t>
      </w:r>
    </w:p>
    <w:p w:rsidR="008E273C" w:rsidRDefault="00AC4959" w:rsidP="008E273C">
      <w:pPr>
        <w:pStyle w:val="BodyText"/>
      </w:pPr>
      <w:r w:rsidRPr="00AC4959">
        <w:t>Data source</w:t>
      </w:r>
      <w:r w:rsidRPr="00AC4959">
        <w:tab/>
      </w:r>
      <w:r w:rsidR="008E273C">
        <w:t>Enterprise Data Warehouse.</w:t>
      </w:r>
    </w:p>
    <w:p w:rsidR="008E273C" w:rsidRDefault="00803635" w:rsidP="008E273C">
      <w:pPr>
        <w:pStyle w:val="Heading5"/>
      </w:pPr>
      <w:r>
        <w:t>Criterion 6</w:t>
      </w:r>
      <w:r w:rsidR="008E273C">
        <w:t xml:space="preserve">—Achievement of digital service level standards: Availability of ICT services excluding scheduled maintenance periods that support 24/7 customer access </w:t>
      </w:r>
      <w:r w:rsidR="008E273C" w:rsidRPr="00803635">
        <w:rPr>
          <w:i/>
        </w:rPr>
        <w:t>(PBS)</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6 Overview"/>
        <w:tblDescription w:val="Criterion 6 Overview"/>
      </w:tblPr>
      <w:tblGrid>
        <w:gridCol w:w="2220"/>
        <w:gridCol w:w="2535"/>
        <w:gridCol w:w="2379"/>
        <w:gridCol w:w="1982"/>
        <w:gridCol w:w="1980"/>
      </w:tblGrid>
      <w:tr w:rsidR="008E273C" w:rsidTr="00803635">
        <w:trPr>
          <w:trHeight w:val="376"/>
          <w:tblHeader/>
        </w:trPr>
        <w:tc>
          <w:tcPr>
            <w:tcW w:w="1000" w:type="pct"/>
          </w:tcPr>
          <w:p w:rsidR="008E273C" w:rsidRPr="00803635" w:rsidRDefault="008E273C" w:rsidP="00803635">
            <w:pPr>
              <w:pStyle w:val="BodyText"/>
              <w:rPr>
                <w:b/>
              </w:rPr>
            </w:pPr>
            <w:r w:rsidRPr="00803635">
              <w:rPr>
                <w:b/>
              </w:rPr>
              <w:t>Year</w:t>
            </w:r>
          </w:p>
        </w:tc>
        <w:tc>
          <w:tcPr>
            <w:tcW w:w="1142" w:type="pct"/>
          </w:tcPr>
          <w:p w:rsidR="008E273C" w:rsidRPr="00803635" w:rsidRDefault="008E273C" w:rsidP="00803635">
            <w:pPr>
              <w:pStyle w:val="BodyText"/>
              <w:rPr>
                <w:b/>
              </w:rPr>
            </w:pPr>
            <w:r w:rsidRPr="00803635">
              <w:rPr>
                <w:b/>
              </w:rPr>
              <w:t>Target</w:t>
            </w:r>
          </w:p>
        </w:tc>
        <w:tc>
          <w:tcPr>
            <w:tcW w:w="1072" w:type="pct"/>
          </w:tcPr>
          <w:p w:rsidR="008E273C" w:rsidRPr="00803635" w:rsidRDefault="008E273C" w:rsidP="00803635">
            <w:pPr>
              <w:pStyle w:val="BodyText"/>
              <w:rPr>
                <w:b/>
              </w:rPr>
            </w:pPr>
            <w:r w:rsidRPr="00803635">
              <w:rPr>
                <w:b/>
              </w:rPr>
              <w:t>Result</w:t>
            </w:r>
          </w:p>
        </w:tc>
        <w:tc>
          <w:tcPr>
            <w:tcW w:w="893" w:type="pct"/>
          </w:tcPr>
          <w:p w:rsidR="008E273C" w:rsidRPr="00803635" w:rsidRDefault="008E273C" w:rsidP="00803635">
            <w:pPr>
              <w:pStyle w:val="BodyText"/>
              <w:rPr>
                <w:b/>
              </w:rPr>
            </w:pPr>
            <w:r w:rsidRPr="00803635">
              <w:rPr>
                <w:b/>
              </w:rPr>
              <w:t>Achieved</w:t>
            </w:r>
          </w:p>
        </w:tc>
        <w:tc>
          <w:tcPr>
            <w:tcW w:w="892" w:type="pct"/>
          </w:tcPr>
          <w:p w:rsidR="008E273C" w:rsidRPr="00803635" w:rsidRDefault="008E273C" w:rsidP="00803635">
            <w:pPr>
              <w:pStyle w:val="BodyText"/>
              <w:rPr>
                <w:b/>
              </w:rPr>
            </w:pPr>
            <w:r w:rsidRPr="00803635">
              <w:rPr>
                <w:b/>
              </w:rPr>
              <w:t>Change</w:t>
            </w:r>
          </w:p>
          <w:p w:rsidR="008E273C" w:rsidRPr="00803635" w:rsidRDefault="008E273C" w:rsidP="00803635">
            <w:pPr>
              <w:pStyle w:val="BodyText"/>
              <w:rPr>
                <w:b/>
              </w:rPr>
            </w:pPr>
            <w:r w:rsidRPr="00803635">
              <w:rPr>
                <w:b/>
              </w:rPr>
              <w:t>(% points)</w:t>
            </w:r>
          </w:p>
        </w:tc>
      </w:tr>
      <w:tr w:rsidR="008E273C" w:rsidTr="00803635">
        <w:trPr>
          <w:trHeight w:val="376"/>
        </w:trPr>
        <w:tc>
          <w:tcPr>
            <w:tcW w:w="1000" w:type="pct"/>
          </w:tcPr>
          <w:p w:rsidR="008E273C" w:rsidRDefault="008E273C" w:rsidP="00803635">
            <w:pPr>
              <w:pStyle w:val="BodyText"/>
            </w:pPr>
            <w:r>
              <w:t>2019–20</w:t>
            </w:r>
          </w:p>
        </w:tc>
        <w:tc>
          <w:tcPr>
            <w:tcW w:w="1142" w:type="pct"/>
          </w:tcPr>
          <w:p w:rsidR="008E273C" w:rsidRDefault="008E273C" w:rsidP="00803635">
            <w:pPr>
              <w:pStyle w:val="BodyText"/>
            </w:pPr>
            <w:r>
              <w:t>≥98%</w:t>
            </w:r>
          </w:p>
        </w:tc>
        <w:tc>
          <w:tcPr>
            <w:tcW w:w="1072" w:type="pct"/>
          </w:tcPr>
          <w:p w:rsidR="008E273C" w:rsidRDefault="008E273C" w:rsidP="00803635">
            <w:pPr>
              <w:pStyle w:val="BodyText"/>
            </w:pPr>
            <w:r>
              <w:t>99.6%</w:t>
            </w:r>
          </w:p>
        </w:tc>
        <w:tc>
          <w:tcPr>
            <w:tcW w:w="893" w:type="pct"/>
          </w:tcPr>
          <w:p w:rsidR="008E273C" w:rsidRPr="00657D31" w:rsidRDefault="00657D31" w:rsidP="00657D31">
            <w:pPr>
              <w:pStyle w:val="BodyText"/>
            </w:pPr>
            <w:r w:rsidRPr="00657D31">
              <w:t>Yes</w:t>
            </w:r>
          </w:p>
        </w:tc>
        <w:tc>
          <w:tcPr>
            <w:tcW w:w="892" w:type="pct"/>
          </w:tcPr>
          <w:p w:rsidR="008E273C" w:rsidRDefault="008E273C" w:rsidP="00803635">
            <w:pPr>
              <w:pStyle w:val="BodyText"/>
            </w:pPr>
            <w:r>
              <w:t>+0.2</w:t>
            </w:r>
          </w:p>
        </w:tc>
      </w:tr>
      <w:tr w:rsidR="008E273C" w:rsidTr="00803635">
        <w:trPr>
          <w:trHeight w:val="376"/>
        </w:trPr>
        <w:tc>
          <w:tcPr>
            <w:tcW w:w="1000" w:type="pct"/>
          </w:tcPr>
          <w:p w:rsidR="008E273C" w:rsidRDefault="008E273C" w:rsidP="00803635">
            <w:pPr>
              <w:pStyle w:val="BodyText"/>
            </w:pPr>
            <w:r>
              <w:t>2018–19</w:t>
            </w:r>
          </w:p>
        </w:tc>
        <w:tc>
          <w:tcPr>
            <w:tcW w:w="1142" w:type="pct"/>
          </w:tcPr>
          <w:p w:rsidR="008E273C" w:rsidRDefault="008E273C" w:rsidP="00803635">
            <w:pPr>
              <w:pStyle w:val="BodyText"/>
            </w:pPr>
            <w:r>
              <w:t>≥98%</w:t>
            </w:r>
          </w:p>
        </w:tc>
        <w:tc>
          <w:tcPr>
            <w:tcW w:w="1072" w:type="pct"/>
          </w:tcPr>
          <w:p w:rsidR="008E273C" w:rsidRDefault="008E273C" w:rsidP="00803635">
            <w:pPr>
              <w:pStyle w:val="BodyText"/>
            </w:pPr>
            <w:r>
              <w:t>99.4%</w:t>
            </w:r>
          </w:p>
        </w:tc>
        <w:tc>
          <w:tcPr>
            <w:tcW w:w="893" w:type="pct"/>
          </w:tcPr>
          <w:p w:rsidR="008E273C" w:rsidRPr="00657D31" w:rsidRDefault="00657D31" w:rsidP="00657D31">
            <w:pPr>
              <w:pStyle w:val="BodyText"/>
            </w:pPr>
            <w:r w:rsidRPr="00657D31">
              <w:t>Yes</w:t>
            </w:r>
          </w:p>
        </w:tc>
        <w:tc>
          <w:tcPr>
            <w:tcW w:w="892" w:type="pct"/>
          </w:tcPr>
          <w:p w:rsidR="008E273C" w:rsidRDefault="008E273C" w:rsidP="00803635">
            <w:pPr>
              <w:pStyle w:val="BodyText"/>
            </w:pPr>
            <w:r>
              <w:t>–0.2</w:t>
            </w:r>
          </w:p>
        </w:tc>
      </w:tr>
      <w:tr w:rsidR="008E273C" w:rsidTr="00803635">
        <w:trPr>
          <w:trHeight w:val="376"/>
        </w:trPr>
        <w:tc>
          <w:tcPr>
            <w:tcW w:w="1000" w:type="pct"/>
          </w:tcPr>
          <w:p w:rsidR="008E273C" w:rsidRDefault="008E273C" w:rsidP="00803635">
            <w:pPr>
              <w:pStyle w:val="BodyText"/>
            </w:pPr>
            <w:r>
              <w:t>2017–18</w:t>
            </w:r>
          </w:p>
        </w:tc>
        <w:tc>
          <w:tcPr>
            <w:tcW w:w="1142" w:type="pct"/>
          </w:tcPr>
          <w:p w:rsidR="008E273C" w:rsidRDefault="008E273C" w:rsidP="00803635">
            <w:pPr>
              <w:pStyle w:val="BodyText"/>
            </w:pPr>
            <w:r>
              <w:t>≥98%</w:t>
            </w:r>
          </w:p>
        </w:tc>
        <w:tc>
          <w:tcPr>
            <w:tcW w:w="1072" w:type="pct"/>
          </w:tcPr>
          <w:p w:rsidR="008E273C" w:rsidRDefault="008E273C" w:rsidP="00803635">
            <w:pPr>
              <w:pStyle w:val="BodyText"/>
            </w:pPr>
            <w:r>
              <w:t>99.6%</w:t>
            </w:r>
          </w:p>
        </w:tc>
        <w:tc>
          <w:tcPr>
            <w:tcW w:w="893" w:type="pct"/>
          </w:tcPr>
          <w:p w:rsidR="008E273C" w:rsidRPr="00657D31" w:rsidRDefault="00657D31" w:rsidP="00657D31">
            <w:pPr>
              <w:pStyle w:val="BodyText"/>
            </w:pPr>
            <w:r w:rsidRPr="00657D31">
              <w:t>Yes</w:t>
            </w:r>
          </w:p>
        </w:tc>
        <w:tc>
          <w:tcPr>
            <w:tcW w:w="892" w:type="pct"/>
          </w:tcPr>
          <w:p w:rsidR="008E273C" w:rsidRDefault="008E273C" w:rsidP="00803635">
            <w:pPr>
              <w:pStyle w:val="BodyText"/>
            </w:pPr>
            <w:r>
              <w:t>+0.2</w:t>
            </w:r>
          </w:p>
        </w:tc>
      </w:tr>
    </w:tbl>
    <w:p w:rsidR="008E273C" w:rsidRDefault="00AC4959" w:rsidP="00AC4959">
      <w:pPr>
        <w:pStyle w:val="BodyText"/>
        <w:rPr>
          <w:rStyle w:val="Bold"/>
        </w:rPr>
      </w:pPr>
      <w:r>
        <w:rPr>
          <w:rStyle w:val="Bold"/>
        </w:rPr>
        <w:lastRenderedPageBreak/>
        <w:t>Analysis</w:t>
      </w:r>
    </w:p>
    <w:p w:rsidR="008E273C" w:rsidRDefault="008E273C" w:rsidP="008E273C">
      <w:pPr>
        <w:pStyle w:val="BodyText"/>
      </w:pPr>
      <w:r>
        <w:t>The agency met digital service level standards for availability of ICT services, with customers able to access ICT systems 99.6 per cent of the time throughout 2019–20.</w:t>
      </w:r>
    </w:p>
    <w:p w:rsidR="008E273C" w:rsidRDefault="008E273C" w:rsidP="008E273C">
      <w:pPr>
        <w:pStyle w:val="BodyText"/>
      </w:pPr>
      <w:r>
        <w:t xml:space="preserve">The digital experience of self-service customers using Medicare online accounts and the Express Plus Medicare mobile application continued to perform above the 98 per cent availability target for 24/7 customer access. </w:t>
      </w:r>
    </w:p>
    <w:p w:rsidR="008E273C" w:rsidRDefault="008E273C" w:rsidP="008E273C">
      <w:pPr>
        <w:pStyle w:val="BodyText"/>
      </w:pPr>
      <w:r>
        <w:t>During 2020 a re-development project for Medicare online accounts improved usability, readability, accessibility and web responsiveness across existing Medicare services. These enhancements were based on user feedback and have resulted in Medicare customers being able to complete their business simply online with the experience tailored to personal circumstances.</w:t>
      </w:r>
    </w:p>
    <w:p w:rsidR="008E273C" w:rsidRDefault="008E273C" w:rsidP="008E273C">
      <w:pPr>
        <w:pStyle w:val="BodyText"/>
      </w:pPr>
      <w:r>
        <w:t xml:space="preserve">The COVID-19 pandemic affected the Medicare Online accounts and Express </w:t>
      </w:r>
      <w:proofErr w:type="gramStart"/>
      <w:r>
        <w:t>Plus</w:t>
      </w:r>
      <w:proofErr w:type="gramEnd"/>
      <w:r>
        <w:t xml:space="preserve"> Medicare Mobile applications from Sunday 22 March until M</w:t>
      </w:r>
      <w:r>
        <w:rPr>
          <w:rStyle w:val="NoBreak"/>
        </w:rPr>
        <w:t>onday 30 Marc</w:t>
      </w:r>
      <w:r>
        <w:t>h following the Government’s announcement of the economic stimulus package. Some customers experienced access issues due to increased traffic during this period.</w:t>
      </w:r>
    </w:p>
    <w:p w:rsidR="008E273C" w:rsidRDefault="00AC4959" w:rsidP="008E273C">
      <w:pPr>
        <w:pStyle w:val="BodyText"/>
      </w:pPr>
      <w:r w:rsidRPr="00AC4959">
        <w:t>Method</w:t>
      </w:r>
      <w:r w:rsidR="008E273C">
        <w:tab/>
        <w:t>Data mining.</w:t>
      </w:r>
    </w:p>
    <w:p w:rsidR="008E273C" w:rsidRDefault="001311BA"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1311BA">
      <w:pPr>
        <w:pStyle w:val="ListBullet"/>
        <w:tabs>
          <w:tab w:val="clear" w:pos="360"/>
          <w:tab w:val="clear" w:pos="1066"/>
          <w:tab w:val="num" w:pos="1437"/>
        </w:tabs>
        <w:ind w:left="1434"/>
      </w:pPr>
      <w:r>
        <w:tab/>
        <w:t>‘service excellence’ and ‘service enablers’ strategic pillars</w:t>
      </w:r>
    </w:p>
    <w:p w:rsidR="008E273C" w:rsidRDefault="008E273C" w:rsidP="001311BA">
      <w:pPr>
        <w:pStyle w:val="ListBullet"/>
        <w:tabs>
          <w:tab w:val="clear" w:pos="360"/>
          <w:tab w:val="clear" w:pos="1066"/>
          <w:tab w:val="num" w:pos="1437"/>
        </w:tabs>
        <w:ind w:left="1434"/>
      </w:pPr>
      <w:r>
        <w:tab/>
        <w:t>‘</w:t>
      </w:r>
      <w:proofErr w:type="gramStart"/>
      <w:r>
        <w:t>customer</w:t>
      </w:r>
      <w:proofErr w:type="gramEnd"/>
      <w:r>
        <w:t xml:space="preserve"> satisfaction’, ‘ease and timeliness of service’ and ‘customers interacting digitally’ key performance areas.</w:t>
      </w:r>
    </w:p>
    <w:p w:rsidR="008E273C" w:rsidRDefault="00AC4959" w:rsidP="008E273C">
      <w:pPr>
        <w:pStyle w:val="BodyText"/>
      </w:pPr>
      <w:r w:rsidRPr="00AC4959">
        <w:t>Reference</w:t>
      </w:r>
      <w:r w:rsidR="008E273C">
        <w:tab/>
        <w:t>2019–20 PBS, page 32.</w:t>
      </w:r>
    </w:p>
    <w:p w:rsidR="008E273C" w:rsidRDefault="00AC4959" w:rsidP="008E273C">
      <w:pPr>
        <w:pStyle w:val="BodyText"/>
      </w:pPr>
      <w:r w:rsidRPr="00AC4959">
        <w:t>Data source</w:t>
      </w:r>
      <w:r w:rsidRPr="00AC4959">
        <w:tab/>
      </w:r>
      <w:proofErr w:type="gramStart"/>
      <w:r w:rsidR="008E273C">
        <w:t>Internal</w:t>
      </w:r>
      <w:proofErr w:type="gramEnd"/>
      <w:r w:rsidR="008E273C">
        <w:t xml:space="preserve"> data sources including incident records, problem records, and scheduled maintenance periods are used to calculate the availability result.</w:t>
      </w:r>
    </w:p>
    <w:p w:rsidR="008E273C" w:rsidRDefault="001311BA" w:rsidP="008E273C">
      <w:pPr>
        <w:pStyle w:val="Heading5"/>
      </w:pPr>
      <w:r>
        <w:t>Criterion 7</w:t>
      </w:r>
      <w:r w:rsidR="008E273C">
        <w:t>—Achievement of payment quality standards: Med</w:t>
      </w:r>
      <w:r w:rsidR="008E273C">
        <w:rPr>
          <w:rStyle w:val="NoBreak"/>
        </w:rPr>
        <w:t>icare: Del</w:t>
      </w:r>
      <w:r w:rsidR="008E273C">
        <w:t xml:space="preserve">ivery of accurate medical benefits and services </w:t>
      </w:r>
      <w:r w:rsidR="008E273C" w:rsidRPr="001311BA">
        <w:rPr>
          <w:i/>
        </w:rPr>
        <w:t>(PBS)</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7 Overview"/>
        <w:tblDescription w:val="Criterion 7 Overview"/>
      </w:tblPr>
      <w:tblGrid>
        <w:gridCol w:w="2220"/>
        <w:gridCol w:w="2535"/>
        <w:gridCol w:w="2379"/>
        <w:gridCol w:w="1982"/>
        <w:gridCol w:w="1980"/>
      </w:tblGrid>
      <w:tr w:rsidR="008E273C" w:rsidTr="001311BA">
        <w:trPr>
          <w:trHeight w:val="376"/>
          <w:tblHeader/>
        </w:trPr>
        <w:tc>
          <w:tcPr>
            <w:tcW w:w="1000" w:type="pct"/>
          </w:tcPr>
          <w:p w:rsidR="008E273C" w:rsidRPr="001311BA" w:rsidRDefault="008E273C" w:rsidP="001311BA">
            <w:pPr>
              <w:pStyle w:val="BodyText"/>
              <w:rPr>
                <w:b/>
              </w:rPr>
            </w:pPr>
            <w:r w:rsidRPr="001311BA">
              <w:rPr>
                <w:b/>
              </w:rPr>
              <w:t>Year</w:t>
            </w:r>
          </w:p>
        </w:tc>
        <w:tc>
          <w:tcPr>
            <w:tcW w:w="1142" w:type="pct"/>
          </w:tcPr>
          <w:p w:rsidR="008E273C" w:rsidRPr="001311BA" w:rsidRDefault="008E273C" w:rsidP="001311BA">
            <w:pPr>
              <w:pStyle w:val="BodyText"/>
              <w:rPr>
                <w:b/>
              </w:rPr>
            </w:pPr>
            <w:r w:rsidRPr="001311BA">
              <w:rPr>
                <w:b/>
              </w:rPr>
              <w:t>Target</w:t>
            </w:r>
          </w:p>
        </w:tc>
        <w:tc>
          <w:tcPr>
            <w:tcW w:w="1072" w:type="pct"/>
          </w:tcPr>
          <w:p w:rsidR="008E273C" w:rsidRPr="001311BA" w:rsidRDefault="008E273C" w:rsidP="001311BA">
            <w:pPr>
              <w:pStyle w:val="BodyText"/>
              <w:rPr>
                <w:b/>
              </w:rPr>
            </w:pPr>
            <w:r w:rsidRPr="001311BA">
              <w:rPr>
                <w:b/>
              </w:rPr>
              <w:t>Result</w:t>
            </w:r>
          </w:p>
        </w:tc>
        <w:tc>
          <w:tcPr>
            <w:tcW w:w="893" w:type="pct"/>
          </w:tcPr>
          <w:p w:rsidR="008E273C" w:rsidRPr="001311BA" w:rsidRDefault="008E273C" w:rsidP="001311BA">
            <w:pPr>
              <w:pStyle w:val="BodyText"/>
              <w:rPr>
                <w:b/>
              </w:rPr>
            </w:pPr>
            <w:r w:rsidRPr="001311BA">
              <w:rPr>
                <w:b/>
              </w:rPr>
              <w:t>Achieved</w:t>
            </w:r>
          </w:p>
        </w:tc>
        <w:tc>
          <w:tcPr>
            <w:tcW w:w="892" w:type="pct"/>
          </w:tcPr>
          <w:p w:rsidR="008E273C" w:rsidRPr="001311BA" w:rsidRDefault="008E273C" w:rsidP="001311BA">
            <w:pPr>
              <w:pStyle w:val="BodyText"/>
              <w:rPr>
                <w:b/>
              </w:rPr>
            </w:pPr>
            <w:r w:rsidRPr="001311BA">
              <w:rPr>
                <w:b/>
              </w:rPr>
              <w:t>Change</w:t>
            </w:r>
          </w:p>
          <w:p w:rsidR="008E273C" w:rsidRPr="001311BA" w:rsidRDefault="008E273C" w:rsidP="001311BA">
            <w:pPr>
              <w:pStyle w:val="BodyText"/>
              <w:rPr>
                <w:b/>
              </w:rPr>
            </w:pPr>
            <w:r w:rsidRPr="001311BA">
              <w:rPr>
                <w:b/>
              </w:rPr>
              <w:t>(% points)</w:t>
            </w:r>
          </w:p>
        </w:tc>
      </w:tr>
      <w:tr w:rsidR="008E273C" w:rsidTr="001311BA">
        <w:trPr>
          <w:trHeight w:val="376"/>
        </w:trPr>
        <w:tc>
          <w:tcPr>
            <w:tcW w:w="1000" w:type="pct"/>
          </w:tcPr>
          <w:p w:rsidR="008E273C" w:rsidRDefault="008E273C" w:rsidP="001311BA">
            <w:pPr>
              <w:pStyle w:val="BodyText"/>
            </w:pPr>
            <w:r>
              <w:t>2019–20</w:t>
            </w:r>
          </w:p>
        </w:tc>
        <w:tc>
          <w:tcPr>
            <w:tcW w:w="1142" w:type="pct"/>
          </w:tcPr>
          <w:p w:rsidR="008E273C" w:rsidRDefault="008E273C" w:rsidP="001311BA">
            <w:pPr>
              <w:pStyle w:val="BodyText"/>
            </w:pPr>
            <w:r>
              <w:t>≥98%</w:t>
            </w:r>
          </w:p>
        </w:tc>
        <w:tc>
          <w:tcPr>
            <w:tcW w:w="1072" w:type="pct"/>
          </w:tcPr>
          <w:p w:rsidR="008E273C" w:rsidRDefault="008E273C" w:rsidP="001311BA">
            <w:pPr>
              <w:pStyle w:val="BodyText"/>
            </w:pPr>
            <w:r>
              <w:t>98.9%</w:t>
            </w:r>
          </w:p>
        </w:tc>
        <w:tc>
          <w:tcPr>
            <w:tcW w:w="893" w:type="pct"/>
          </w:tcPr>
          <w:p w:rsidR="008E273C" w:rsidRPr="00657D31" w:rsidRDefault="00657D31" w:rsidP="00657D31">
            <w:pPr>
              <w:pStyle w:val="BodyText"/>
            </w:pPr>
            <w:r w:rsidRPr="00657D31">
              <w:t>Yes</w:t>
            </w:r>
          </w:p>
        </w:tc>
        <w:tc>
          <w:tcPr>
            <w:tcW w:w="892" w:type="pct"/>
          </w:tcPr>
          <w:p w:rsidR="008E273C" w:rsidRDefault="008E273C" w:rsidP="001311BA">
            <w:pPr>
              <w:pStyle w:val="BodyText"/>
            </w:pPr>
            <w:r>
              <w:t>+0.1</w:t>
            </w:r>
          </w:p>
        </w:tc>
      </w:tr>
      <w:tr w:rsidR="008E273C" w:rsidTr="001311BA">
        <w:trPr>
          <w:trHeight w:val="376"/>
        </w:trPr>
        <w:tc>
          <w:tcPr>
            <w:tcW w:w="1000" w:type="pct"/>
          </w:tcPr>
          <w:p w:rsidR="008E273C" w:rsidRDefault="008E273C" w:rsidP="001311BA">
            <w:pPr>
              <w:pStyle w:val="BodyText"/>
            </w:pPr>
            <w:r>
              <w:t>2018–19</w:t>
            </w:r>
          </w:p>
        </w:tc>
        <w:tc>
          <w:tcPr>
            <w:tcW w:w="1142" w:type="pct"/>
          </w:tcPr>
          <w:p w:rsidR="008E273C" w:rsidRDefault="008E273C" w:rsidP="001311BA">
            <w:pPr>
              <w:pStyle w:val="BodyText"/>
            </w:pPr>
            <w:r>
              <w:t>≥98%</w:t>
            </w:r>
          </w:p>
        </w:tc>
        <w:tc>
          <w:tcPr>
            <w:tcW w:w="1072" w:type="pct"/>
          </w:tcPr>
          <w:p w:rsidR="008E273C" w:rsidRDefault="008E273C" w:rsidP="001311BA">
            <w:pPr>
              <w:pStyle w:val="BodyText"/>
            </w:pPr>
            <w:r>
              <w:t>98.8%</w:t>
            </w:r>
          </w:p>
        </w:tc>
        <w:tc>
          <w:tcPr>
            <w:tcW w:w="893" w:type="pct"/>
          </w:tcPr>
          <w:p w:rsidR="008E273C" w:rsidRPr="00657D31" w:rsidRDefault="00657D31" w:rsidP="00657D31">
            <w:pPr>
              <w:pStyle w:val="BodyText"/>
            </w:pPr>
            <w:r w:rsidRPr="00657D31">
              <w:t>Yes</w:t>
            </w:r>
          </w:p>
        </w:tc>
        <w:tc>
          <w:tcPr>
            <w:tcW w:w="892" w:type="pct"/>
          </w:tcPr>
          <w:p w:rsidR="008E273C" w:rsidRDefault="008E273C" w:rsidP="001311BA">
            <w:pPr>
              <w:pStyle w:val="BodyText"/>
            </w:pPr>
            <w:r>
              <w:t>No change</w:t>
            </w:r>
          </w:p>
        </w:tc>
      </w:tr>
      <w:tr w:rsidR="008E273C" w:rsidTr="001311BA">
        <w:trPr>
          <w:trHeight w:val="376"/>
        </w:trPr>
        <w:tc>
          <w:tcPr>
            <w:tcW w:w="1000" w:type="pct"/>
          </w:tcPr>
          <w:p w:rsidR="008E273C" w:rsidRDefault="008E273C" w:rsidP="001311BA">
            <w:pPr>
              <w:pStyle w:val="BodyText"/>
            </w:pPr>
            <w:r>
              <w:t>2017–18</w:t>
            </w:r>
          </w:p>
        </w:tc>
        <w:tc>
          <w:tcPr>
            <w:tcW w:w="1142" w:type="pct"/>
          </w:tcPr>
          <w:p w:rsidR="008E273C" w:rsidRDefault="008E273C" w:rsidP="001311BA">
            <w:pPr>
              <w:pStyle w:val="BodyText"/>
            </w:pPr>
            <w:r>
              <w:t>≥98%</w:t>
            </w:r>
          </w:p>
        </w:tc>
        <w:tc>
          <w:tcPr>
            <w:tcW w:w="1072" w:type="pct"/>
          </w:tcPr>
          <w:p w:rsidR="008E273C" w:rsidRDefault="008E273C" w:rsidP="001311BA">
            <w:pPr>
              <w:pStyle w:val="BodyText"/>
            </w:pPr>
            <w:r>
              <w:t>98.8%</w:t>
            </w:r>
          </w:p>
        </w:tc>
        <w:tc>
          <w:tcPr>
            <w:tcW w:w="893" w:type="pct"/>
          </w:tcPr>
          <w:p w:rsidR="008E273C" w:rsidRPr="00657D31" w:rsidRDefault="00657D31" w:rsidP="00657D31">
            <w:pPr>
              <w:pStyle w:val="BodyText"/>
            </w:pPr>
            <w:r w:rsidRPr="00657D31">
              <w:t>Yes</w:t>
            </w:r>
          </w:p>
        </w:tc>
        <w:tc>
          <w:tcPr>
            <w:tcW w:w="892" w:type="pct"/>
          </w:tcPr>
          <w:p w:rsidR="008E273C" w:rsidRDefault="008E273C" w:rsidP="001311BA">
            <w:pPr>
              <w:pStyle w:val="BodyText"/>
            </w:pPr>
            <w:r>
              <w:t>–0.3</w:t>
            </w:r>
          </w:p>
        </w:tc>
      </w:tr>
    </w:tbl>
    <w:p w:rsidR="008E273C" w:rsidRDefault="00AC4959" w:rsidP="00AC4959">
      <w:pPr>
        <w:pStyle w:val="BodyText"/>
        <w:rPr>
          <w:rStyle w:val="Bold"/>
        </w:rPr>
      </w:pPr>
      <w:r>
        <w:rPr>
          <w:rStyle w:val="Bold"/>
        </w:rPr>
        <w:t>Analysis</w:t>
      </w:r>
    </w:p>
    <w:p w:rsidR="008E273C" w:rsidRDefault="008E273C" w:rsidP="008E273C">
      <w:pPr>
        <w:pStyle w:val="BodyText"/>
      </w:pPr>
      <w:r>
        <w:t>The agency met the 2019–20 annual target, with a 0.1 per cent increase over the 2018–19 annual results.</w:t>
      </w:r>
    </w:p>
    <w:p w:rsidR="008E273C" w:rsidRDefault="008E273C" w:rsidP="008E273C">
      <w:pPr>
        <w:pStyle w:val="BodyText"/>
      </w:pPr>
      <w:r>
        <w:lastRenderedPageBreak/>
        <w:t>The reason for the continued strong performance against this measure is the agency automated the assessment and processing of most claims for services, particularly high rates of digital bulk-bill claiming which is straight-through processed.</w:t>
      </w:r>
    </w:p>
    <w:p w:rsidR="008E273C" w:rsidRDefault="008E273C" w:rsidP="008E273C">
      <w:pPr>
        <w:pStyle w:val="BodyText"/>
      </w:pPr>
      <w:r>
        <w:t>The agency still has a large volume of claims that require manual assessment and processing and therefore continues to ensure quality checking is in place. The agency has invested in developing the skills of staff to meet the quality outcomes for manual claiming.</w:t>
      </w:r>
    </w:p>
    <w:p w:rsidR="008E273C" w:rsidRDefault="00AC4959" w:rsidP="008E273C">
      <w:pPr>
        <w:pStyle w:val="BodyText"/>
      </w:pPr>
      <w:r w:rsidRPr="00AC4959">
        <w:t>Method</w:t>
      </w:r>
      <w:r w:rsidR="008E273C">
        <w:tab/>
        <w:t>Data mining.</w:t>
      </w:r>
    </w:p>
    <w:p w:rsidR="008E273C" w:rsidRDefault="001311BA"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1311BA">
      <w:pPr>
        <w:pStyle w:val="ListBullet"/>
        <w:tabs>
          <w:tab w:val="clear" w:pos="360"/>
          <w:tab w:val="clear" w:pos="1066"/>
          <w:tab w:val="num" w:pos="1437"/>
        </w:tabs>
        <w:ind w:left="1434"/>
      </w:pPr>
      <w:r>
        <w:tab/>
        <w:t>‘service excellence’ strategic pillar</w:t>
      </w:r>
    </w:p>
    <w:p w:rsidR="008E273C" w:rsidRDefault="008E273C" w:rsidP="001311BA">
      <w:pPr>
        <w:pStyle w:val="ListBullet"/>
        <w:tabs>
          <w:tab w:val="clear" w:pos="360"/>
          <w:tab w:val="clear" w:pos="1066"/>
          <w:tab w:val="num" w:pos="1437"/>
        </w:tabs>
        <w:ind w:left="1434"/>
      </w:pPr>
      <w:r>
        <w:tab/>
        <w:t>‘</w:t>
      </w:r>
      <w:proofErr w:type="gramStart"/>
      <w:r>
        <w:t>correct</w:t>
      </w:r>
      <w:proofErr w:type="gramEnd"/>
      <w:r>
        <w:t xml:space="preserve"> payments’ key performance area.</w:t>
      </w:r>
    </w:p>
    <w:p w:rsidR="008E273C" w:rsidRDefault="00AC4959" w:rsidP="008E273C">
      <w:pPr>
        <w:pStyle w:val="BodyText"/>
      </w:pPr>
      <w:r w:rsidRPr="00AC4959">
        <w:t>Reference</w:t>
      </w:r>
      <w:r w:rsidR="008E273C">
        <w:tab/>
        <w:t>2019–20 PBS, page 32.</w:t>
      </w:r>
    </w:p>
    <w:p w:rsidR="008E273C" w:rsidRDefault="00AC4959" w:rsidP="008E273C">
      <w:pPr>
        <w:pStyle w:val="BodyText"/>
      </w:pPr>
      <w:r w:rsidRPr="00AC4959">
        <w:t>Data source</w:t>
      </w:r>
      <w:r w:rsidR="008E273C">
        <w:tab/>
        <w:t>Enterprise Data Warehouse.</w:t>
      </w:r>
    </w:p>
    <w:p w:rsidR="001311BA" w:rsidRDefault="001311BA" w:rsidP="008E273C">
      <w:pPr>
        <w:pStyle w:val="Heading5"/>
        <w:rPr>
          <w:rStyle w:val="Bolditalic"/>
        </w:rPr>
      </w:pPr>
      <w:r>
        <w:t>Criterion 8</w:t>
      </w:r>
      <w:r w:rsidR="008E273C">
        <w:t xml:space="preserve">—Achievement of face-to-face service level standards: Average wait time </w:t>
      </w:r>
      <w:r w:rsidR="008E273C" w:rsidRPr="001311BA">
        <w:rPr>
          <w:i/>
        </w:rPr>
        <w:t>(PBS)</w:t>
      </w:r>
    </w:p>
    <w:p w:rsidR="008E273C" w:rsidRDefault="008E273C" w:rsidP="008E273C">
      <w:pPr>
        <w:pStyle w:val="Heading5"/>
      </w:pPr>
      <w:r>
        <w:t xml:space="preserve">Ease and timeliness of service: Face-to-face service level standards—average wait time </w:t>
      </w:r>
      <w:r w:rsidRPr="001311BA">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8 Overview"/>
        <w:tblDescription w:val="Criterion 8 Overview"/>
      </w:tblPr>
      <w:tblGrid>
        <w:gridCol w:w="2219"/>
        <w:gridCol w:w="2359"/>
        <w:gridCol w:w="2379"/>
        <w:gridCol w:w="1820"/>
        <w:gridCol w:w="2319"/>
      </w:tblGrid>
      <w:tr w:rsidR="008E273C" w:rsidTr="001311BA">
        <w:trPr>
          <w:trHeight w:val="376"/>
          <w:tblHeader/>
        </w:trPr>
        <w:tc>
          <w:tcPr>
            <w:tcW w:w="1000" w:type="pct"/>
          </w:tcPr>
          <w:p w:rsidR="008E273C" w:rsidRPr="001311BA" w:rsidRDefault="008E273C" w:rsidP="001311BA">
            <w:pPr>
              <w:pStyle w:val="BodyText"/>
              <w:rPr>
                <w:b/>
              </w:rPr>
            </w:pPr>
            <w:r w:rsidRPr="001311BA">
              <w:rPr>
                <w:b/>
              </w:rPr>
              <w:t>Year</w:t>
            </w:r>
          </w:p>
        </w:tc>
        <w:tc>
          <w:tcPr>
            <w:tcW w:w="1063" w:type="pct"/>
          </w:tcPr>
          <w:p w:rsidR="008E273C" w:rsidRPr="001311BA" w:rsidRDefault="008E273C" w:rsidP="001311BA">
            <w:pPr>
              <w:pStyle w:val="BodyText"/>
              <w:rPr>
                <w:b/>
              </w:rPr>
            </w:pPr>
            <w:r w:rsidRPr="001311BA">
              <w:rPr>
                <w:b/>
              </w:rPr>
              <w:t>Target</w:t>
            </w:r>
          </w:p>
        </w:tc>
        <w:tc>
          <w:tcPr>
            <w:tcW w:w="1072" w:type="pct"/>
          </w:tcPr>
          <w:p w:rsidR="008E273C" w:rsidRPr="001311BA" w:rsidRDefault="008E273C" w:rsidP="001311BA">
            <w:pPr>
              <w:pStyle w:val="BodyText"/>
              <w:rPr>
                <w:b/>
              </w:rPr>
            </w:pPr>
            <w:r w:rsidRPr="001311BA">
              <w:rPr>
                <w:b/>
              </w:rPr>
              <w:t>Result</w:t>
            </w:r>
          </w:p>
        </w:tc>
        <w:tc>
          <w:tcPr>
            <w:tcW w:w="820" w:type="pct"/>
          </w:tcPr>
          <w:p w:rsidR="008E273C" w:rsidRPr="001311BA" w:rsidRDefault="008E273C" w:rsidP="001311BA">
            <w:pPr>
              <w:pStyle w:val="BodyText"/>
              <w:rPr>
                <w:b/>
              </w:rPr>
            </w:pPr>
            <w:r w:rsidRPr="001311BA">
              <w:rPr>
                <w:b/>
              </w:rPr>
              <w:t>Achieved</w:t>
            </w:r>
          </w:p>
        </w:tc>
        <w:tc>
          <w:tcPr>
            <w:tcW w:w="1045" w:type="pct"/>
          </w:tcPr>
          <w:p w:rsidR="008E273C" w:rsidRPr="001311BA" w:rsidRDefault="008E273C" w:rsidP="001311BA">
            <w:pPr>
              <w:pStyle w:val="BodyText"/>
              <w:rPr>
                <w:b/>
              </w:rPr>
            </w:pPr>
            <w:r w:rsidRPr="001311BA">
              <w:rPr>
                <w:b/>
              </w:rPr>
              <w:t>Change</w:t>
            </w:r>
          </w:p>
        </w:tc>
      </w:tr>
      <w:tr w:rsidR="008E273C" w:rsidTr="001311BA">
        <w:trPr>
          <w:trHeight w:val="376"/>
        </w:trPr>
        <w:tc>
          <w:tcPr>
            <w:tcW w:w="1000" w:type="pct"/>
          </w:tcPr>
          <w:p w:rsidR="008E273C" w:rsidRDefault="008E273C" w:rsidP="001311BA">
            <w:pPr>
              <w:pStyle w:val="BodyText"/>
            </w:pPr>
            <w:r>
              <w:t>2019–20</w:t>
            </w:r>
          </w:p>
        </w:tc>
        <w:tc>
          <w:tcPr>
            <w:tcW w:w="1063" w:type="pct"/>
          </w:tcPr>
          <w:p w:rsidR="008E273C" w:rsidRDefault="008E273C" w:rsidP="001311BA">
            <w:pPr>
              <w:pStyle w:val="BodyText"/>
            </w:pPr>
            <w:r>
              <w:t>≤15 minutes</w:t>
            </w:r>
          </w:p>
        </w:tc>
        <w:tc>
          <w:tcPr>
            <w:tcW w:w="1072" w:type="pct"/>
          </w:tcPr>
          <w:p w:rsidR="008E273C" w:rsidRDefault="008E273C" w:rsidP="001311BA">
            <w:pPr>
              <w:pStyle w:val="BodyText"/>
            </w:pPr>
            <w:r>
              <w:t>13 min 48 sec</w:t>
            </w:r>
          </w:p>
        </w:tc>
        <w:tc>
          <w:tcPr>
            <w:tcW w:w="820" w:type="pct"/>
          </w:tcPr>
          <w:p w:rsidR="008E273C" w:rsidRPr="00657D31" w:rsidRDefault="00657D31" w:rsidP="00657D31">
            <w:pPr>
              <w:pStyle w:val="BodyText"/>
            </w:pPr>
            <w:r w:rsidRPr="00657D31">
              <w:t>Yes</w:t>
            </w:r>
          </w:p>
        </w:tc>
        <w:tc>
          <w:tcPr>
            <w:tcW w:w="1045" w:type="pct"/>
          </w:tcPr>
          <w:p w:rsidR="008E273C" w:rsidRDefault="008E273C" w:rsidP="001311BA">
            <w:pPr>
              <w:pStyle w:val="BodyText"/>
            </w:pPr>
            <w:r>
              <w:t>+39 sec</w:t>
            </w:r>
          </w:p>
        </w:tc>
      </w:tr>
      <w:tr w:rsidR="008E273C" w:rsidTr="001311BA">
        <w:trPr>
          <w:trHeight w:val="376"/>
        </w:trPr>
        <w:tc>
          <w:tcPr>
            <w:tcW w:w="1000" w:type="pct"/>
          </w:tcPr>
          <w:p w:rsidR="008E273C" w:rsidRDefault="008E273C" w:rsidP="001311BA">
            <w:pPr>
              <w:pStyle w:val="BodyText"/>
            </w:pPr>
            <w:r>
              <w:t>2018–19</w:t>
            </w:r>
          </w:p>
        </w:tc>
        <w:tc>
          <w:tcPr>
            <w:tcW w:w="1063" w:type="pct"/>
          </w:tcPr>
          <w:p w:rsidR="008E273C" w:rsidRDefault="008E273C" w:rsidP="001311BA">
            <w:pPr>
              <w:pStyle w:val="BodyText"/>
            </w:pPr>
            <w:r>
              <w:t>≤15 minutes</w:t>
            </w:r>
          </w:p>
        </w:tc>
        <w:tc>
          <w:tcPr>
            <w:tcW w:w="1072" w:type="pct"/>
          </w:tcPr>
          <w:p w:rsidR="008E273C" w:rsidRDefault="008E273C" w:rsidP="001311BA">
            <w:pPr>
              <w:pStyle w:val="BodyText"/>
            </w:pPr>
            <w:r>
              <w:t>13 min 9 sec</w:t>
            </w:r>
          </w:p>
        </w:tc>
        <w:tc>
          <w:tcPr>
            <w:tcW w:w="820" w:type="pct"/>
          </w:tcPr>
          <w:p w:rsidR="008E273C" w:rsidRPr="00657D31" w:rsidRDefault="00657D31" w:rsidP="00657D31">
            <w:pPr>
              <w:pStyle w:val="BodyText"/>
            </w:pPr>
            <w:r w:rsidRPr="00657D31">
              <w:t>Yes</w:t>
            </w:r>
          </w:p>
        </w:tc>
        <w:tc>
          <w:tcPr>
            <w:tcW w:w="1045" w:type="pct"/>
          </w:tcPr>
          <w:p w:rsidR="008E273C" w:rsidRDefault="008E273C" w:rsidP="001311BA">
            <w:pPr>
              <w:pStyle w:val="BodyText"/>
            </w:pPr>
            <w:r>
              <w:t>–5 sec</w:t>
            </w:r>
          </w:p>
        </w:tc>
      </w:tr>
      <w:tr w:rsidR="008E273C" w:rsidTr="001311BA">
        <w:trPr>
          <w:trHeight w:val="376"/>
        </w:trPr>
        <w:tc>
          <w:tcPr>
            <w:tcW w:w="1000" w:type="pct"/>
          </w:tcPr>
          <w:p w:rsidR="008E273C" w:rsidRDefault="008E273C" w:rsidP="001311BA">
            <w:pPr>
              <w:pStyle w:val="BodyText"/>
            </w:pPr>
            <w:r>
              <w:t>2017–18</w:t>
            </w:r>
          </w:p>
        </w:tc>
        <w:tc>
          <w:tcPr>
            <w:tcW w:w="1063" w:type="pct"/>
          </w:tcPr>
          <w:p w:rsidR="008E273C" w:rsidRDefault="008E273C" w:rsidP="001311BA">
            <w:pPr>
              <w:pStyle w:val="BodyText"/>
            </w:pPr>
            <w:r>
              <w:t>≤15 minutes</w:t>
            </w:r>
          </w:p>
        </w:tc>
        <w:tc>
          <w:tcPr>
            <w:tcW w:w="1072" w:type="pct"/>
          </w:tcPr>
          <w:p w:rsidR="008E273C" w:rsidRDefault="008E273C" w:rsidP="001311BA">
            <w:pPr>
              <w:pStyle w:val="BodyText"/>
            </w:pPr>
            <w:r>
              <w:t>13 min 14 sec</w:t>
            </w:r>
          </w:p>
        </w:tc>
        <w:tc>
          <w:tcPr>
            <w:tcW w:w="820" w:type="pct"/>
          </w:tcPr>
          <w:p w:rsidR="008E273C" w:rsidRPr="00657D31" w:rsidRDefault="00657D31" w:rsidP="00657D31">
            <w:pPr>
              <w:pStyle w:val="BodyText"/>
            </w:pPr>
            <w:r w:rsidRPr="00657D31">
              <w:t>Yes</w:t>
            </w:r>
          </w:p>
        </w:tc>
        <w:tc>
          <w:tcPr>
            <w:tcW w:w="1045" w:type="pct"/>
          </w:tcPr>
          <w:p w:rsidR="008E273C" w:rsidRDefault="008E273C" w:rsidP="001311BA">
            <w:pPr>
              <w:pStyle w:val="BodyText"/>
            </w:pPr>
            <w:r>
              <w:t>+2 min 43 sec</w:t>
            </w:r>
          </w:p>
        </w:tc>
      </w:tr>
    </w:tbl>
    <w:p w:rsidR="008E273C" w:rsidRDefault="00AC4959" w:rsidP="00AC4959">
      <w:pPr>
        <w:pStyle w:val="BodyText"/>
        <w:rPr>
          <w:rStyle w:val="Bold"/>
        </w:rPr>
      </w:pPr>
      <w:r>
        <w:rPr>
          <w:rStyle w:val="Bold"/>
        </w:rPr>
        <w:t>Analysis</w:t>
      </w:r>
    </w:p>
    <w:p w:rsidR="008E273C" w:rsidRDefault="008E273C" w:rsidP="008E273C">
      <w:pPr>
        <w:pStyle w:val="BodyText"/>
      </w:pPr>
      <w:r>
        <w:t>To address COVID-19, the agency implemented a number of health and safety measures to ensure social distancing was maintained within Ser</w:t>
      </w:r>
      <w:r>
        <w:rPr>
          <w:rStyle w:val="NoBreak"/>
        </w:rPr>
        <w:t>vice Centr</w:t>
      </w:r>
      <w:r>
        <w:t xml:space="preserve">es. More broadly, community concern about COVID-19 led to fewer customers accessing face-to-face services. </w:t>
      </w:r>
    </w:p>
    <w:p w:rsidR="008E273C" w:rsidRDefault="008E273C" w:rsidP="008E273C">
      <w:pPr>
        <w:pStyle w:val="BodyText"/>
      </w:pPr>
      <w:r>
        <w:t>The response to COVID-19 required the agency to suspend most face-to-face services to limit the number of customers in our Service Centres. However, customers were still able to conduct their business with the agency online.</w:t>
      </w:r>
    </w:p>
    <w:p w:rsidR="008E273C" w:rsidRDefault="00AC4959" w:rsidP="008E273C">
      <w:pPr>
        <w:pStyle w:val="BodyText"/>
      </w:pPr>
      <w:r w:rsidRPr="00AC4959">
        <w:t>Method</w:t>
      </w:r>
      <w:r w:rsidR="008E273C">
        <w:tab/>
        <w:t>Data mining.</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1311BA">
      <w:pPr>
        <w:pStyle w:val="ListBullet"/>
        <w:tabs>
          <w:tab w:val="clear" w:pos="360"/>
          <w:tab w:val="clear" w:pos="1066"/>
          <w:tab w:val="num" w:pos="1437"/>
        </w:tabs>
        <w:ind w:left="1434"/>
      </w:pPr>
      <w:r>
        <w:t>‘service excellence’ strategic pillars</w:t>
      </w:r>
    </w:p>
    <w:p w:rsidR="008E273C" w:rsidRDefault="008E273C" w:rsidP="001311BA">
      <w:pPr>
        <w:pStyle w:val="ListBullet"/>
        <w:tabs>
          <w:tab w:val="clear" w:pos="360"/>
          <w:tab w:val="clear" w:pos="1066"/>
          <w:tab w:val="num" w:pos="1437"/>
        </w:tabs>
        <w:ind w:left="1434"/>
      </w:pPr>
      <w:r>
        <w:tab/>
        <w:t>‘</w:t>
      </w:r>
      <w:proofErr w:type="gramStart"/>
      <w:r>
        <w:t>customer</w:t>
      </w:r>
      <w:proofErr w:type="gramEnd"/>
      <w:r>
        <w:t xml:space="preserve"> satisfaction’ and ‘ease and timeliness of service’ key performance areas.</w:t>
      </w:r>
    </w:p>
    <w:p w:rsidR="008E273C" w:rsidRDefault="00AC4959" w:rsidP="008E273C">
      <w:pPr>
        <w:pStyle w:val="BodyText"/>
      </w:pPr>
      <w:r w:rsidRPr="00AC4959">
        <w:t>Reference</w:t>
      </w:r>
      <w:r w:rsidR="008E273C">
        <w:tab/>
        <w:t>2019–20 PBS, page 32; 2019–20 Corporate Plan, page 15 (pdf), 9 (doc).</w:t>
      </w:r>
    </w:p>
    <w:p w:rsidR="008E273C" w:rsidRDefault="00AC4959" w:rsidP="008E273C">
      <w:pPr>
        <w:pStyle w:val="BodyText"/>
      </w:pPr>
      <w:r w:rsidRPr="00AC4959">
        <w:lastRenderedPageBreak/>
        <w:t>Data source</w:t>
      </w:r>
      <w:r w:rsidR="008E273C">
        <w:tab/>
        <w:t>SAPUI5 Front of House application, including Virtual Waiting Room (VWR) and resolved enquiry data.</w:t>
      </w:r>
    </w:p>
    <w:p w:rsidR="00782E7E" w:rsidRDefault="00782E7E" w:rsidP="008E273C">
      <w:pPr>
        <w:pStyle w:val="Heading5"/>
        <w:rPr>
          <w:rStyle w:val="Bolditalic"/>
        </w:rPr>
      </w:pPr>
      <w:r>
        <w:t>Criterion 9</w:t>
      </w:r>
      <w:r w:rsidR="008E273C">
        <w:t>—Achievement of telephony service level standards: Average speed of answer: Pharmaceutical Benefits Scheme Authorities and My Health Record Providers</w:t>
      </w:r>
      <w:r w:rsidR="008E273C">
        <w:rPr>
          <w:rStyle w:val="Bolditalic"/>
        </w:rPr>
        <w:t xml:space="preserve"> </w:t>
      </w:r>
      <w:r w:rsidR="008E273C" w:rsidRPr="00782E7E">
        <w:rPr>
          <w:i/>
        </w:rPr>
        <w:t>(PBS)</w:t>
      </w:r>
    </w:p>
    <w:p w:rsidR="008E273C" w:rsidRDefault="008E273C" w:rsidP="008E273C">
      <w:pPr>
        <w:pStyle w:val="Heading5"/>
      </w:pPr>
      <w:r>
        <w:t xml:space="preserve">Ease and timeliness of service: Telephony service level standards—average speed of answer: Pharmaceutical Benefits Scheme Authorities and My Health Record providers </w:t>
      </w:r>
      <w:r w:rsidRPr="00782E7E">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9 Overview"/>
        <w:tblDescription w:val="Criterion 9 Overview"/>
      </w:tblPr>
      <w:tblGrid>
        <w:gridCol w:w="2219"/>
        <w:gridCol w:w="2359"/>
        <w:gridCol w:w="2379"/>
        <w:gridCol w:w="1820"/>
        <w:gridCol w:w="2319"/>
      </w:tblGrid>
      <w:tr w:rsidR="008E273C" w:rsidTr="00782E7E">
        <w:trPr>
          <w:trHeight w:val="376"/>
          <w:tblHeader/>
        </w:trPr>
        <w:tc>
          <w:tcPr>
            <w:tcW w:w="1000" w:type="pct"/>
          </w:tcPr>
          <w:p w:rsidR="008E273C" w:rsidRPr="00782E7E" w:rsidRDefault="008E273C" w:rsidP="00782E7E">
            <w:pPr>
              <w:pStyle w:val="BodyText"/>
              <w:rPr>
                <w:b/>
              </w:rPr>
            </w:pPr>
            <w:r w:rsidRPr="00782E7E">
              <w:rPr>
                <w:b/>
              </w:rPr>
              <w:t>Year</w:t>
            </w:r>
          </w:p>
        </w:tc>
        <w:tc>
          <w:tcPr>
            <w:tcW w:w="1063" w:type="pct"/>
          </w:tcPr>
          <w:p w:rsidR="008E273C" w:rsidRPr="00782E7E" w:rsidRDefault="008E273C" w:rsidP="00782E7E">
            <w:pPr>
              <w:pStyle w:val="BodyText"/>
              <w:rPr>
                <w:b/>
              </w:rPr>
            </w:pPr>
            <w:r w:rsidRPr="00782E7E">
              <w:rPr>
                <w:b/>
              </w:rPr>
              <w:t>Target</w:t>
            </w:r>
          </w:p>
        </w:tc>
        <w:tc>
          <w:tcPr>
            <w:tcW w:w="1072" w:type="pct"/>
          </w:tcPr>
          <w:p w:rsidR="008E273C" w:rsidRPr="00782E7E" w:rsidRDefault="008E273C" w:rsidP="00782E7E">
            <w:pPr>
              <w:pStyle w:val="BodyText"/>
              <w:rPr>
                <w:b/>
              </w:rPr>
            </w:pPr>
            <w:r w:rsidRPr="00782E7E">
              <w:rPr>
                <w:b/>
              </w:rPr>
              <w:t>Result</w:t>
            </w:r>
          </w:p>
        </w:tc>
        <w:tc>
          <w:tcPr>
            <w:tcW w:w="820" w:type="pct"/>
          </w:tcPr>
          <w:p w:rsidR="008E273C" w:rsidRPr="00782E7E" w:rsidRDefault="008E273C" w:rsidP="00782E7E">
            <w:pPr>
              <w:pStyle w:val="BodyText"/>
              <w:rPr>
                <w:b/>
              </w:rPr>
            </w:pPr>
            <w:r w:rsidRPr="00782E7E">
              <w:rPr>
                <w:b/>
              </w:rPr>
              <w:t>Achieved</w:t>
            </w:r>
          </w:p>
        </w:tc>
        <w:tc>
          <w:tcPr>
            <w:tcW w:w="1045" w:type="pct"/>
          </w:tcPr>
          <w:p w:rsidR="008E273C" w:rsidRPr="00782E7E" w:rsidRDefault="008E273C" w:rsidP="00782E7E">
            <w:pPr>
              <w:pStyle w:val="BodyText"/>
              <w:rPr>
                <w:b/>
              </w:rPr>
            </w:pPr>
            <w:r w:rsidRPr="00782E7E">
              <w:rPr>
                <w:b/>
              </w:rPr>
              <w:t>Change</w:t>
            </w:r>
          </w:p>
        </w:tc>
      </w:tr>
      <w:tr w:rsidR="008E273C" w:rsidTr="00782E7E">
        <w:trPr>
          <w:trHeight w:val="376"/>
        </w:trPr>
        <w:tc>
          <w:tcPr>
            <w:tcW w:w="1000" w:type="pct"/>
          </w:tcPr>
          <w:p w:rsidR="008E273C" w:rsidRDefault="008E273C" w:rsidP="00782E7E">
            <w:pPr>
              <w:pStyle w:val="BodyText"/>
            </w:pPr>
            <w:r>
              <w:t>2019–20</w:t>
            </w:r>
          </w:p>
        </w:tc>
        <w:tc>
          <w:tcPr>
            <w:tcW w:w="1063" w:type="pct"/>
          </w:tcPr>
          <w:p w:rsidR="008E273C" w:rsidRDefault="008E273C" w:rsidP="00782E7E">
            <w:pPr>
              <w:pStyle w:val="BodyText"/>
            </w:pPr>
            <w:r>
              <w:t>≤30 seconds</w:t>
            </w:r>
          </w:p>
        </w:tc>
        <w:tc>
          <w:tcPr>
            <w:tcW w:w="1072" w:type="pct"/>
          </w:tcPr>
          <w:p w:rsidR="008E273C" w:rsidRDefault="008E273C" w:rsidP="00782E7E">
            <w:pPr>
              <w:pStyle w:val="BodyText"/>
            </w:pPr>
            <w:r>
              <w:t>34 seconds</w:t>
            </w:r>
          </w:p>
        </w:tc>
        <w:tc>
          <w:tcPr>
            <w:tcW w:w="820" w:type="pct"/>
          </w:tcPr>
          <w:p w:rsidR="008E273C" w:rsidRPr="00657D31" w:rsidRDefault="00657D31" w:rsidP="00657D31">
            <w:pPr>
              <w:pStyle w:val="BodyText"/>
            </w:pPr>
            <w:r w:rsidRPr="00657D31">
              <w:t>No</w:t>
            </w:r>
          </w:p>
        </w:tc>
        <w:tc>
          <w:tcPr>
            <w:tcW w:w="1045" w:type="pct"/>
          </w:tcPr>
          <w:p w:rsidR="008E273C" w:rsidRDefault="008E273C" w:rsidP="00782E7E">
            <w:pPr>
              <w:pStyle w:val="BodyText"/>
            </w:pPr>
            <w:r>
              <w:t>+6 seconds</w:t>
            </w:r>
          </w:p>
        </w:tc>
      </w:tr>
      <w:tr w:rsidR="008E273C" w:rsidTr="00782E7E">
        <w:trPr>
          <w:trHeight w:val="376"/>
        </w:trPr>
        <w:tc>
          <w:tcPr>
            <w:tcW w:w="1000" w:type="pct"/>
          </w:tcPr>
          <w:p w:rsidR="008E273C" w:rsidRDefault="008E273C" w:rsidP="00782E7E">
            <w:pPr>
              <w:pStyle w:val="BodyText"/>
            </w:pPr>
            <w:r>
              <w:t>2018–19</w:t>
            </w:r>
          </w:p>
        </w:tc>
        <w:tc>
          <w:tcPr>
            <w:tcW w:w="1063" w:type="pct"/>
          </w:tcPr>
          <w:p w:rsidR="008E273C" w:rsidRDefault="008E273C" w:rsidP="00782E7E">
            <w:pPr>
              <w:pStyle w:val="BodyText"/>
            </w:pPr>
            <w:r>
              <w:t>≤30 seconds</w:t>
            </w:r>
          </w:p>
        </w:tc>
        <w:tc>
          <w:tcPr>
            <w:tcW w:w="1072" w:type="pct"/>
          </w:tcPr>
          <w:p w:rsidR="008E273C" w:rsidRDefault="008E273C" w:rsidP="00782E7E">
            <w:pPr>
              <w:pStyle w:val="BodyText"/>
            </w:pPr>
            <w:r>
              <w:t>28 seconds</w:t>
            </w:r>
          </w:p>
        </w:tc>
        <w:tc>
          <w:tcPr>
            <w:tcW w:w="820" w:type="pct"/>
          </w:tcPr>
          <w:p w:rsidR="008E273C" w:rsidRPr="00657D31" w:rsidRDefault="00657D31" w:rsidP="00657D31">
            <w:pPr>
              <w:pStyle w:val="BodyText"/>
            </w:pPr>
            <w:r w:rsidRPr="00657D31">
              <w:t>Yes</w:t>
            </w:r>
          </w:p>
        </w:tc>
        <w:tc>
          <w:tcPr>
            <w:tcW w:w="1045" w:type="pct"/>
          </w:tcPr>
          <w:p w:rsidR="008E273C" w:rsidRDefault="008E273C" w:rsidP="00782E7E">
            <w:pPr>
              <w:pStyle w:val="BodyText"/>
            </w:pPr>
            <w:r>
              <w:t>–2 seconds</w:t>
            </w:r>
          </w:p>
        </w:tc>
      </w:tr>
      <w:tr w:rsidR="008E273C" w:rsidTr="00782E7E">
        <w:trPr>
          <w:trHeight w:val="376"/>
        </w:trPr>
        <w:tc>
          <w:tcPr>
            <w:tcW w:w="1000" w:type="pct"/>
          </w:tcPr>
          <w:p w:rsidR="008E273C" w:rsidRDefault="008E273C" w:rsidP="00782E7E">
            <w:pPr>
              <w:pStyle w:val="BodyText"/>
            </w:pPr>
            <w:r>
              <w:t>2017–18</w:t>
            </w:r>
          </w:p>
        </w:tc>
        <w:tc>
          <w:tcPr>
            <w:tcW w:w="1063" w:type="pct"/>
          </w:tcPr>
          <w:p w:rsidR="008E273C" w:rsidRDefault="008E273C" w:rsidP="00782E7E">
            <w:pPr>
              <w:pStyle w:val="BodyText"/>
            </w:pPr>
            <w:r>
              <w:t>≤30 seconds</w:t>
            </w:r>
          </w:p>
        </w:tc>
        <w:tc>
          <w:tcPr>
            <w:tcW w:w="1072" w:type="pct"/>
          </w:tcPr>
          <w:p w:rsidR="008E273C" w:rsidRDefault="008E273C" w:rsidP="00782E7E">
            <w:pPr>
              <w:pStyle w:val="BodyText"/>
            </w:pPr>
            <w:r>
              <w:t>30 seconds</w:t>
            </w:r>
          </w:p>
        </w:tc>
        <w:tc>
          <w:tcPr>
            <w:tcW w:w="820" w:type="pct"/>
          </w:tcPr>
          <w:p w:rsidR="008E273C" w:rsidRPr="00657D31" w:rsidRDefault="00657D31" w:rsidP="00657D31">
            <w:pPr>
              <w:pStyle w:val="BodyText"/>
            </w:pPr>
            <w:r w:rsidRPr="00657D31">
              <w:t>Yes</w:t>
            </w:r>
          </w:p>
        </w:tc>
        <w:tc>
          <w:tcPr>
            <w:tcW w:w="1045" w:type="pct"/>
          </w:tcPr>
          <w:p w:rsidR="008E273C" w:rsidRDefault="008E273C" w:rsidP="00782E7E">
            <w:pPr>
              <w:pStyle w:val="BodyText"/>
            </w:pPr>
            <w:r>
              <w:t>–10 seconds</w:t>
            </w:r>
          </w:p>
        </w:tc>
      </w:tr>
    </w:tbl>
    <w:p w:rsidR="008E273C" w:rsidRDefault="00AC4959" w:rsidP="00AC4959">
      <w:pPr>
        <w:pStyle w:val="BodyText"/>
        <w:rPr>
          <w:rStyle w:val="Bold"/>
        </w:rPr>
      </w:pPr>
      <w:r>
        <w:rPr>
          <w:rStyle w:val="Bold"/>
        </w:rPr>
        <w:t>Analysis</w:t>
      </w:r>
    </w:p>
    <w:p w:rsidR="008E273C" w:rsidRDefault="008E273C" w:rsidP="008E273C">
      <w:pPr>
        <w:pStyle w:val="BodyText"/>
      </w:pPr>
      <w:r>
        <w:t>The agency did not meet the annual target, with the average speed of answer increasing by 6 seconds compared to 2018–19. Demand increased in 2019–20, with the agency answering over 278,000 more phone calls than in 2018–19. As part of the response to COVID-19, work from home was enabled for high risk staff, affecting the agency’s capacity to respond to the call volumes. S</w:t>
      </w:r>
      <w:r>
        <w:rPr>
          <w:rStyle w:val="NoBreak"/>
        </w:rPr>
        <w:t>ee</w:t>
      </w:r>
      <w:r>
        <w:rPr>
          <w:rStyle w:val="Italic"/>
        </w:rPr>
        <w:t xml:space="preserve"> COVID-19 pandemic</w:t>
      </w:r>
      <w:r>
        <w:t xml:space="preserve"> on page xv and </w:t>
      </w:r>
      <w:r>
        <w:rPr>
          <w:rStyle w:val="Italic"/>
        </w:rPr>
        <w:t>Workforce strategies and planning</w:t>
      </w:r>
      <w:r>
        <w:t xml:space="preserve"> on page 182. </w:t>
      </w:r>
    </w:p>
    <w:p w:rsidR="008E273C" w:rsidRDefault="008E273C" w:rsidP="008E273C">
      <w:pPr>
        <w:pStyle w:val="BodyText"/>
      </w:pPr>
      <w:r>
        <w:t xml:space="preserve">In addition, the Department of Health changed access arrangements to antibiotics in May and opioids in June, which significantly increased the average handling time of calls for prescribers further compounding the pressure of increased call volumes. </w:t>
      </w:r>
    </w:p>
    <w:p w:rsidR="008E273C" w:rsidRDefault="00AC4959" w:rsidP="008E273C">
      <w:pPr>
        <w:pStyle w:val="BodyText"/>
      </w:pPr>
      <w:r w:rsidRPr="00AC4959">
        <w:t>Method</w:t>
      </w:r>
      <w:r w:rsidR="008E273C">
        <w:tab/>
        <w:t>Data mining.</w:t>
      </w:r>
    </w:p>
    <w:p w:rsidR="008E273C" w:rsidRDefault="004C7427"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4C7427">
      <w:pPr>
        <w:pStyle w:val="ListBullet"/>
        <w:tabs>
          <w:tab w:val="clear" w:pos="360"/>
          <w:tab w:val="clear" w:pos="1066"/>
          <w:tab w:val="num" w:pos="1437"/>
        </w:tabs>
        <w:ind w:left="1434"/>
      </w:pPr>
      <w:r>
        <w:tab/>
        <w:t>‘service excellence’ strategic pillar</w:t>
      </w:r>
    </w:p>
    <w:p w:rsidR="008E273C" w:rsidRDefault="008E273C" w:rsidP="004C7427">
      <w:pPr>
        <w:pStyle w:val="ListBullet"/>
        <w:tabs>
          <w:tab w:val="clear" w:pos="360"/>
          <w:tab w:val="clear" w:pos="1066"/>
          <w:tab w:val="num" w:pos="1437"/>
        </w:tabs>
        <w:ind w:left="1434"/>
      </w:pPr>
      <w:r>
        <w:tab/>
        <w:t>‘</w:t>
      </w:r>
      <w:proofErr w:type="gramStart"/>
      <w:r>
        <w:t>ease</w:t>
      </w:r>
      <w:proofErr w:type="gramEnd"/>
      <w:r>
        <w:t xml:space="preserve"> and timeliness of service’ key performance area.</w:t>
      </w:r>
    </w:p>
    <w:p w:rsidR="008E273C" w:rsidRDefault="00AC4959" w:rsidP="008E273C">
      <w:pPr>
        <w:pStyle w:val="BodyText"/>
      </w:pPr>
      <w:r w:rsidRPr="00AC4959">
        <w:t>Reference</w:t>
      </w:r>
      <w:r w:rsidR="008E273C">
        <w:tab/>
        <w:t>2019–20 PBS, page 32; 2019–20 Corporate Plan, page 15 (pdf), 10 (doc).</w:t>
      </w:r>
    </w:p>
    <w:p w:rsidR="008E273C" w:rsidRDefault="00AC4959" w:rsidP="008E273C">
      <w:pPr>
        <w:pStyle w:val="BodyText"/>
      </w:pPr>
      <w:r w:rsidRPr="00AC4959">
        <w:t>Data source</w:t>
      </w:r>
      <w:r w:rsidR="008E273C">
        <w:tab/>
        <w:t xml:space="preserve">Telstra Computer Telephony Interface files (1 July 2019 to </w:t>
      </w:r>
      <w:r w:rsidR="008E273C">
        <w:rPr>
          <w:rStyle w:val="NoBreak"/>
        </w:rPr>
        <w:t>13 Apri</w:t>
      </w:r>
      <w:r w:rsidR="008E273C">
        <w:t xml:space="preserve">l 2020). </w:t>
      </w:r>
      <w:proofErr w:type="spellStart"/>
      <w:r w:rsidR="008E273C">
        <w:t>Genesys</w:t>
      </w:r>
      <w:proofErr w:type="spellEnd"/>
      <w:r w:rsidR="008E273C">
        <w:t xml:space="preserve"> Interactive Insights reporting tool (</w:t>
      </w:r>
      <w:r w:rsidR="008E273C">
        <w:rPr>
          <w:rStyle w:val="NoBreak"/>
        </w:rPr>
        <w:t>14 Apr</w:t>
      </w:r>
      <w:r w:rsidR="008E273C">
        <w:t>il to 30 June 2020).</w:t>
      </w:r>
    </w:p>
    <w:p w:rsidR="004C7427" w:rsidRDefault="004C7427" w:rsidP="008E273C">
      <w:pPr>
        <w:pStyle w:val="Heading5"/>
        <w:rPr>
          <w:rStyle w:val="Bolditalic"/>
        </w:rPr>
      </w:pPr>
      <w:r>
        <w:t>Criterion 10</w:t>
      </w:r>
      <w:r w:rsidR="008E273C">
        <w:t xml:space="preserve">—Achievement of telephony service level standards: Average speed of answer: Providers </w:t>
      </w:r>
      <w:r w:rsidR="008E273C" w:rsidRPr="004C7427">
        <w:rPr>
          <w:i/>
        </w:rPr>
        <w:t>(PBS)</w:t>
      </w:r>
    </w:p>
    <w:p w:rsidR="008E273C" w:rsidRDefault="008E273C" w:rsidP="008E273C">
      <w:pPr>
        <w:pStyle w:val="Heading5"/>
      </w:pPr>
      <w:r>
        <w:t xml:space="preserve">Ease and timeliness of service: Telephony service level standards—average speed of answer: Providers </w:t>
      </w:r>
      <w:r w:rsidRPr="004C7427">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10 Overview"/>
        <w:tblDescription w:val="Criterion 10 Overview"/>
      </w:tblPr>
      <w:tblGrid>
        <w:gridCol w:w="2219"/>
        <w:gridCol w:w="2359"/>
        <w:gridCol w:w="2379"/>
        <w:gridCol w:w="1820"/>
        <w:gridCol w:w="2319"/>
      </w:tblGrid>
      <w:tr w:rsidR="008E273C" w:rsidTr="004C7427">
        <w:trPr>
          <w:trHeight w:val="376"/>
          <w:tblHeader/>
        </w:trPr>
        <w:tc>
          <w:tcPr>
            <w:tcW w:w="1000" w:type="pct"/>
          </w:tcPr>
          <w:p w:rsidR="008E273C" w:rsidRPr="004C7427" w:rsidRDefault="008E273C" w:rsidP="004C7427">
            <w:pPr>
              <w:pStyle w:val="BodyText"/>
              <w:rPr>
                <w:b/>
              </w:rPr>
            </w:pPr>
            <w:r w:rsidRPr="004C7427">
              <w:rPr>
                <w:b/>
              </w:rPr>
              <w:lastRenderedPageBreak/>
              <w:t>Year</w:t>
            </w:r>
          </w:p>
        </w:tc>
        <w:tc>
          <w:tcPr>
            <w:tcW w:w="1063" w:type="pct"/>
          </w:tcPr>
          <w:p w:rsidR="008E273C" w:rsidRPr="004C7427" w:rsidRDefault="008E273C" w:rsidP="004C7427">
            <w:pPr>
              <w:pStyle w:val="BodyText"/>
              <w:rPr>
                <w:b/>
              </w:rPr>
            </w:pPr>
            <w:r w:rsidRPr="004C7427">
              <w:rPr>
                <w:b/>
              </w:rPr>
              <w:t>Target</w:t>
            </w:r>
          </w:p>
        </w:tc>
        <w:tc>
          <w:tcPr>
            <w:tcW w:w="1072" w:type="pct"/>
          </w:tcPr>
          <w:p w:rsidR="008E273C" w:rsidRPr="004C7427" w:rsidRDefault="008E273C" w:rsidP="004C7427">
            <w:pPr>
              <w:pStyle w:val="BodyText"/>
              <w:rPr>
                <w:b/>
              </w:rPr>
            </w:pPr>
            <w:r w:rsidRPr="004C7427">
              <w:rPr>
                <w:b/>
              </w:rPr>
              <w:t>Result</w:t>
            </w:r>
          </w:p>
        </w:tc>
        <w:tc>
          <w:tcPr>
            <w:tcW w:w="820" w:type="pct"/>
          </w:tcPr>
          <w:p w:rsidR="008E273C" w:rsidRPr="004C7427" w:rsidRDefault="008E273C" w:rsidP="004C7427">
            <w:pPr>
              <w:pStyle w:val="BodyText"/>
              <w:rPr>
                <w:b/>
              </w:rPr>
            </w:pPr>
            <w:r w:rsidRPr="004C7427">
              <w:rPr>
                <w:b/>
              </w:rPr>
              <w:t>Achieved</w:t>
            </w:r>
          </w:p>
        </w:tc>
        <w:tc>
          <w:tcPr>
            <w:tcW w:w="1045" w:type="pct"/>
          </w:tcPr>
          <w:p w:rsidR="008E273C" w:rsidRPr="004C7427" w:rsidRDefault="008E273C" w:rsidP="004C7427">
            <w:pPr>
              <w:pStyle w:val="BodyText"/>
              <w:rPr>
                <w:b/>
              </w:rPr>
            </w:pPr>
            <w:r w:rsidRPr="004C7427">
              <w:rPr>
                <w:b/>
              </w:rPr>
              <w:t>Change</w:t>
            </w:r>
          </w:p>
        </w:tc>
      </w:tr>
      <w:tr w:rsidR="008E273C" w:rsidTr="004C7427">
        <w:trPr>
          <w:trHeight w:val="376"/>
        </w:trPr>
        <w:tc>
          <w:tcPr>
            <w:tcW w:w="1000" w:type="pct"/>
          </w:tcPr>
          <w:p w:rsidR="008E273C" w:rsidRDefault="008E273C" w:rsidP="004C7427">
            <w:pPr>
              <w:pStyle w:val="BodyText"/>
            </w:pPr>
            <w:r>
              <w:t>2019–20</w:t>
            </w:r>
          </w:p>
        </w:tc>
        <w:tc>
          <w:tcPr>
            <w:tcW w:w="1063" w:type="pct"/>
          </w:tcPr>
          <w:p w:rsidR="008E273C" w:rsidRDefault="008E273C" w:rsidP="004C7427">
            <w:pPr>
              <w:pStyle w:val="BodyText"/>
            </w:pPr>
            <w:r>
              <w:t>≤2 minutes</w:t>
            </w:r>
          </w:p>
        </w:tc>
        <w:tc>
          <w:tcPr>
            <w:tcW w:w="1072" w:type="pct"/>
          </w:tcPr>
          <w:p w:rsidR="008E273C" w:rsidRDefault="008E273C" w:rsidP="004C7427">
            <w:pPr>
              <w:pStyle w:val="BodyText"/>
            </w:pPr>
            <w:r>
              <w:t>1 min 59 sec</w:t>
            </w:r>
          </w:p>
        </w:tc>
        <w:tc>
          <w:tcPr>
            <w:tcW w:w="820" w:type="pct"/>
          </w:tcPr>
          <w:p w:rsidR="008E273C" w:rsidRPr="00657D31" w:rsidRDefault="00657D31" w:rsidP="00657D31">
            <w:pPr>
              <w:pStyle w:val="BodyText"/>
            </w:pPr>
            <w:r w:rsidRPr="00657D31">
              <w:t>Yes</w:t>
            </w:r>
          </w:p>
        </w:tc>
        <w:tc>
          <w:tcPr>
            <w:tcW w:w="1045" w:type="pct"/>
          </w:tcPr>
          <w:p w:rsidR="008E273C" w:rsidRDefault="008E273C" w:rsidP="004C7427">
            <w:pPr>
              <w:pStyle w:val="BodyText"/>
            </w:pPr>
            <w:r>
              <w:t>+5 seconds</w:t>
            </w:r>
          </w:p>
        </w:tc>
      </w:tr>
      <w:tr w:rsidR="008E273C" w:rsidTr="004C7427">
        <w:trPr>
          <w:trHeight w:val="376"/>
        </w:trPr>
        <w:tc>
          <w:tcPr>
            <w:tcW w:w="1000" w:type="pct"/>
          </w:tcPr>
          <w:p w:rsidR="008E273C" w:rsidRDefault="008E273C" w:rsidP="004C7427">
            <w:pPr>
              <w:pStyle w:val="BodyText"/>
            </w:pPr>
            <w:r>
              <w:t>2018–19</w:t>
            </w:r>
          </w:p>
        </w:tc>
        <w:tc>
          <w:tcPr>
            <w:tcW w:w="1063" w:type="pct"/>
          </w:tcPr>
          <w:p w:rsidR="008E273C" w:rsidRDefault="008E273C" w:rsidP="004C7427">
            <w:pPr>
              <w:pStyle w:val="BodyText"/>
            </w:pPr>
            <w:r>
              <w:t>≤2 minutes</w:t>
            </w:r>
          </w:p>
        </w:tc>
        <w:tc>
          <w:tcPr>
            <w:tcW w:w="1072" w:type="pct"/>
          </w:tcPr>
          <w:p w:rsidR="008E273C" w:rsidRDefault="008E273C" w:rsidP="004C7427">
            <w:pPr>
              <w:pStyle w:val="BodyText"/>
            </w:pPr>
            <w:r>
              <w:t>1 min 54 sec</w:t>
            </w:r>
          </w:p>
        </w:tc>
        <w:tc>
          <w:tcPr>
            <w:tcW w:w="820" w:type="pct"/>
          </w:tcPr>
          <w:p w:rsidR="008E273C" w:rsidRPr="00657D31" w:rsidRDefault="00657D31" w:rsidP="00657D31">
            <w:pPr>
              <w:pStyle w:val="BodyText"/>
            </w:pPr>
            <w:r w:rsidRPr="00657D31">
              <w:t>Yes</w:t>
            </w:r>
          </w:p>
        </w:tc>
        <w:tc>
          <w:tcPr>
            <w:tcW w:w="1045" w:type="pct"/>
          </w:tcPr>
          <w:p w:rsidR="008E273C" w:rsidRDefault="008E273C" w:rsidP="004C7427">
            <w:pPr>
              <w:pStyle w:val="BodyText"/>
            </w:pPr>
            <w:r>
              <w:t>+1 second</w:t>
            </w:r>
          </w:p>
        </w:tc>
      </w:tr>
      <w:tr w:rsidR="008E273C" w:rsidTr="004C7427">
        <w:trPr>
          <w:trHeight w:val="376"/>
        </w:trPr>
        <w:tc>
          <w:tcPr>
            <w:tcW w:w="1000" w:type="pct"/>
          </w:tcPr>
          <w:p w:rsidR="008E273C" w:rsidRDefault="008E273C" w:rsidP="004C7427">
            <w:pPr>
              <w:pStyle w:val="BodyText"/>
            </w:pPr>
            <w:r>
              <w:t>2017–18</w:t>
            </w:r>
          </w:p>
        </w:tc>
        <w:tc>
          <w:tcPr>
            <w:tcW w:w="1063" w:type="pct"/>
          </w:tcPr>
          <w:p w:rsidR="008E273C" w:rsidRDefault="008E273C" w:rsidP="004C7427">
            <w:pPr>
              <w:pStyle w:val="BodyText"/>
            </w:pPr>
            <w:r>
              <w:t>≤2 minutes</w:t>
            </w:r>
          </w:p>
        </w:tc>
        <w:tc>
          <w:tcPr>
            <w:tcW w:w="1072" w:type="pct"/>
          </w:tcPr>
          <w:p w:rsidR="008E273C" w:rsidRDefault="008E273C" w:rsidP="004C7427">
            <w:pPr>
              <w:pStyle w:val="BodyText"/>
            </w:pPr>
            <w:r>
              <w:t>1 min 53 sec</w:t>
            </w:r>
          </w:p>
        </w:tc>
        <w:tc>
          <w:tcPr>
            <w:tcW w:w="820" w:type="pct"/>
          </w:tcPr>
          <w:p w:rsidR="008E273C" w:rsidRPr="00657D31" w:rsidRDefault="00657D31" w:rsidP="00657D31">
            <w:pPr>
              <w:pStyle w:val="BodyText"/>
            </w:pPr>
            <w:r w:rsidRPr="00657D31">
              <w:t>Yes</w:t>
            </w:r>
          </w:p>
        </w:tc>
        <w:tc>
          <w:tcPr>
            <w:tcW w:w="1045" w:type="pct"/>
          </w:tcPr>
          <w:p w:rsidR="008E273C" w:rsidRDefault="008E273C" w:rsidP="004C7427">
            <w:pPr>
              <w:pStyle w:val="BodyText"/>
            </w:pPr>
            <w:r>
              <w:t>–3 seconds</w:t>
            </w:r>
          </w:p>
        </w:tc>
      </w:tr>
    </w:tbl>
    <w:p w:rsidR="008E273C" w:rsidRDefault="00AC4959" w:rsidP="00AC4959">
      <w:pPr>
        <w:pStyle w:val="BodyText"/>
        <w:rPr>
          <w:rStyle w:val="Bold"/>
        </w:rPr>
      </w:pPr>
      <w:r>
        <w:rPr>
          <w:rStyle w:val="Bold"/>
        </w:rPr>
        <w:t>Analysis</w:t>
      </w:r>
    </w:p>
    <w:p w:rsidR="008E273C" w:rsidRDefault="008E273C" w:rsidP="008E273C">
      <w:pPr>
        <w:pStyle w:val="BodyText"/>
      </w:pPr>
      <w:r>
        <w:t>The agency met the annual target, despite a 5 second increase in the average speed of answer compared to 2018–19. There was a 15 per cent reduction in the number of provider calls the agency answered in 2019–20 compared to 2018–19. This was due to providers shifting to greater levels of self-service through online channels rather than telephony.</w:t>
      </w:r>
    </w:p>
    <w:p w:rsidR="008E273C" w:rsidRDefault="008E273C" w:rsidP="008E273C">
      <w:pPr>
        <w:pStyle w:val="BodyText"/>
      </w:pPr>
      <w:r>
        <w:t xml:space="preserve">The bushfires had some impact on performance, with the number of calls answered greater than forecast. During this period many of these calls were also more complex in nature. COVID-19 increased demand for services and significantly impacted the agency’s workforce capacity. </w:t>
      </w:r>
      <w:r>
        <w:rPr>
          <w:rStyle w:val="NoBreak"/>
        </w:rPr>
        <w:t>To help success</w:t>
      </w:r>
      <w:r>
        <w:t>fully balance the workload with reduced staff due to employee health and safety concerns, the agency redeployed staff, took on board extra staff from across the Australian Public Service, and used labour hire companies. S</w:t>
      </w:r>
      <w:r>
        <w:rPr>
          <w:rStyle w:val="NoBreak"/>
        </w:rPr>
        <w:t>ee</w:t>
      </w:r>
      <w:r>
        <w:rPr>
          <w:rStyle w:val="Italic"/>
        </w:rPr>
        <w:t xml:space="preserve"> COVID-19 pandemic</w:t>
      </w:r>
      <w:r>
        <w:t xml:space="preserve"> on page xv and </w:t>
      </w:r>
      <w:r>
        <w:rPr>
          <w:rStyle w:val="Italic"/>
        </w:rPr>
        <w:t>Workforce strategies and planning</w:t>
      </w:r>
      <w:r>
        <w:t xml:space="preserve"> on page 182.</w:t>
      </w:r>
    </w:p>
    <w:p w:rsidR="008E273C" w:rsidRDefault="00AC4959" w:rsidP="008E273C">
      <w:pPr>
        <w:pStyle w:val="BodyText"/>
      </w:pPr>
      <w:r w:rsidRPr="00AC4959">
        <w:t>Method</w:t>
      </w:r>
      <w:r w:rsidR="008E273C">
        <w:tab/>
        <w:t>Data mining.</w:t>
      </w:r>
    </w:p>
    <w:p w:rsidR="008E273C" w:rsidRDefault="004C7427"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4C7427">
      <w:pPr>
        <w:pStyle w:val="ListBullet"/>
        <w:tabs>
          <w:tab w:val="clear" w:pos="360"/>
          <w:tab w:val="clear" w:pos="1066"/>
          <w:tab w:val="num" w:pos="1437"/>
        </w:tabs>
        <w:ind w:left="1434"/>
      </w:pPr>
      <w:r>
        <w:t>‘service excellence’ strategic pillar</w:t>
      </w:r>
    </w:p>
    <w:p w:rsidR="008E273C" w:rsidRDefault="008E273C" w:rsidP="004C7427">
      <w:pPr>
        <w:pStyle w:val="ListBullet"/>
        <w:tabs>
          <w:tab w:val="clear" w:pos="360"/>
          <w:tab w:val="clear" w:pos="1066"/>
          <w:tab w:val="num" w:pos="1437"/>
        </w:tabs>
        <w:ind w:left="1434"/>
      </w:pPr>
      <w:r>
        <w:tab/>
        <w:t>‘</w:t>
      </w:r>
      <w:proofErr w:type="gramStart"/>
      <w:r>
        <w:t>customer</w:t>
      </w:r>
      <w:proofErr w:type="gramEnd"/>
      <w:r>
        <w:t xml:space="preserve"> satisfaction’ and ‘ease and timeliness of service’ key performance areas.</w:t>
      </w:r>
    </w:p>
    <w:p w:rsidR="008E273C" w:rsidRDefault="00AC4959" w:rsidP="008E273C">
      <w:pPr>
        <w:pStyle w:val="BodyText"/>
      </w:pPr>
      <w:r w:rsidRPr="00AC4959">
        <w:t>Reference</w:t>
      </w:r>
      <w:r w:rsidR="008E273C">
        <w:tab/>
        <w:t>2019–20 PBS, page 32; 2019–20 Corporate Plan, page 15 (pdf), 10 (doc).</w:t>
      </w:r>
    </w:p>
    <w:p w:rsidR="008E273C" w:rsidRDefault="00AC4959" w:rsidP="008E273C">
      <w:pPr>
        <w:pStyle w:val="BodyText"/>
      </w:pPr>
      <w:r w:rsidRPr="00AC4959">
        <w:t>Data source</w:t>
      </w:r>
      <w:r w:rsidR="008E273C">
        <w:tab/>
        <w:t xml:space="preserve">Telstra Computer Telephony Interface files (1 July 2019 to </w:t>
      </w:r>
      <w:r w:rsidR="008E273C">
        <w:rPr>
          <w:rStyle w:val="NoBreak"/>
        </w:rPr>
        <w:t>13 Apri</w:t>
      </w:r>
      <w:r w:rsidR="008E273C">
        <w:t xml:space="preserve">l 2020). </w:t>
      </w:r>
      <w:proofErr w:type="spellStart"/>
      <w:r w:rsidR="008E273C">
        <w:t>Genesys</w:t>
      </w:r>
      <w:proofErr w:type="spellEnd"/>
      <w:r w:rsidR="008E273C">
        <w:t xml:space="preserve"> Interactive Insights reporting tool (</w:t>
      </w:r>
      <w:r w:rsidR="008E273C">
        <w:rPr>
          <w:rStyle w:val="NoBreak"/>
        </w:rPr>
        <w:t>14 Apr</w:t>
      </w:r>
      <w:r w:rsidR="008E273C">
        <w:t>il to 30 June 2020).</w:t>
      </w:r>
    </w:p>
    <w:p w:rsidR="004C7427" w:rsidRDefault="004C7427" w:rsidP="008E273C">
      <w:pPr>
        <w:pStyle w:val="Heading5"/>
        <w:rPr>
          <w:rStyle w:val="Bolditalic"/>
        </w:rPr>
      </w:pPr>
      <w:r>
        <w:t xml:space="preserve">Criterion </w:t>
      </w:r>
      <w:r w:rsidR="008E273C">
        <w:t xml:space="preserve">11—Achievement of telephony service level standards: Average speed of answer: </w:t>
      </w:r>
      <w:r w:rsidR="008E273C" w:rsidRPr="004C7427">
        <w:t xml:space="preserve">Customers </w:t>
      </w:r>
      <w:r w:rsidR="008E273C" w:rsidRPr="004C7427">
        <w:rPr>
          <w:i/>
        </w:rPr>
        <w:t>(PBS)</w:t>
      </w:r>
    </w:p>
    <w:p w:rsidR="008E273C" w:rsidRDefault="008E273C" w:rsidP="008E273C">
      <w:pPr>
        <w:pStyle w:val="Heading5"/>
      </w:pPr>
      <w:r>
        <w:t>Ease and timeliness of service: Telephony service level standards—average speed of answer: Health customers</w:t>
      </w:r>
      <w:r>
        <w:rPr>
          <w:rStyle w:val="Bolditalic"/>
        </w:rPr>
        <w:t xml:space="preserve"> </w:t>
      </w:r>
      <w:r w:rsidRPr="004C7427">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11 Overview"/>
        <w:tblDescription w:val="Criterion 11 Overview"/>
      </w:tblPr>
      <w:tblGrid>
        <w:gridCol w:w="2219"/>
        <w:gridCol w:w="2359"/>
        <w:gridCol w:w="2379"/>
        <w:gridCol w:w="1820"/>
        <w:gridCol w:w="2319"/>
      </w:tblGrid>
      <w:tr w:rsidR="008E273C" w:rsidTr="004C7427">
        <w:trPr>
          <w:trHeight w:val="376"/>
          <w:tblHeader/>
        </w:trPr>
        <w:tc>
          <w:tcPr>
            <w:tcW w:w="1000" w:type="pct"/>
          </w:tcPr>
          <w:p w:rsidR="008E273C" w:rsidRPr="004C7427" w:rsidRDefault="008E273C" w:rsidP="004C7427">
            <w:pPr>
              <w:pStyle w:val="BodyText"/>
              <w:rPr>
                <w:b/>
              </w:rPr>
            </w:pPr>
            <w:r w:rsidRPr="004C7427">
              <w:rPr>
                <w:b/>
              </w:rPr>
              <w:t>Year</w:t>
            </w:r>
          </w:p>
        </w:tc>
        <w:tc>
          <w:tcPr>
            <w:tcW w:w="1063" w:type="pct"/>
          </w:tcPr>
          <w:p w:rsidR="008E273C" w:rsidRPr="004C7427" w:rsidRDefault="008E273C" w:rsidP="004C7427">
            <w:pPr>
              <w:pStyle w:val="BodyText"/>
              <w:rPr>
                <w:b/>
              </w:rPr>
            </w:pPr>
            <w:r w:rsidRPr="004C7427">
              <w:rPr>
                <w:b/>
              </w:rPr>
              <w:t>Target</w:t>
            </w:r>
          </w:p>
        </w:tc>
        <w:tc>
          <w:tcPr>
            <w:tcW w:w="1072" w:type="pct"/>
          </w:tcPr>
          <w:p w:rsidR="008E273C" w:rsidRPr="004C7427" w:rsidRDefault="008E273C" w:rsidP="004C7427">
            <w:pPr>
              <w:pStyle w:val="BodyText"/>
              <w:rPr>
                <w:b/>
              </w:rPr>
            </w:pPr>
            <w:r w:rsidRPr="004C7427">
              <w:rPr>
                <w:b/>
              </w:rPr>
              <w:t>Result</w:t>
            </w:r>
          </w:p>
        </w:tc>
        <w:tc>
          <w:tcPr>
            <w:tcW w:w="820" w:type="pct"/>
          </w:tcPr>
          <w:p w:rsidR="008E273C" w:rsidRPr="004C7427" w:rsidRDefault="008E273C" w:rsidP="004C7427">
            <w:pPr>
              <w:pStyle w:val="BodyText"/>
              <w:rPr>
                <w:b/>
              </w:rPr>
            </w:pPr>
            <w:r w:rsidRPr="004C7427">
              <w:rPr>
                <w:b/>
              </w:rPr>
              <w:t>Achieved</w:t>
            </w:r>
          </w:p>
        </w:tc>
        <w:tc>
          <w:tcPr>
            <w:tcW w:w="1045" w:type="pct"/>
          </w:tcPr>
          <w:p w:rsidR="008E273C" w:rsidRPr="004C7427" w:rsidRDefault="008E273C" w:rsidP="004C7427">
            <w:pPr>
              <w:pStyle w:val="BodyText"/>
              <w:rPr>
                <w:b/>
              </w:rPr>
            </w:pPr>
            <w:r w:rsidRPr="004C7427">
              <w:rPr>
                <w:b/>
              </w:rPr>
              <w:t>Change</w:t>
            </w:r>
          </w:p>
        </w:tc>
      </w:tr>
      <w:tr w:rsidR="008E273C" w:rsidTr="004C7427">
        <w:trPr>
          <w:trHeight w:val="376"/>
        </w:trPr>
        <w:tc>
          <w:tcPr>
            <w:tcW w:w="1000" w:type="pct"/>
          </w:tcPr>
          <w:p w:rsidR="008E273C" w:rsidRDefault="008E273C" w:rsidP="004C7427">
            <w:pPr>
              <w:pStyle w:val="BodyText"/>
            </w:pPr>
            <w:r>
              <w:t>2019–20</w:t>
            </w:r>
          </w:p>
        </w:tc>
        <w:tc>
          <w:tcPr>
            <w:tcW w:w="1063" w:type="pct"/>
          </w:tcPr>
          <w:p w:rsidR="008E273C" w:rsidRDefault="008E273C" w:rsidP="004C7427">
            <w:pPr>
              <w:pStyle w:val="BodyText"/>
            </w:pPr>
            <w:r>
              <w:t>≤7 minutes</w:t>
            </w:r>
          </w:p>
        </w:tc>
        <w:tc>
          <w:tcPr>
            <w:tcW w:w="1072" w:type="pct"/>
          </w:tcPr>
          <w:p w:rsidR="008E273C" w:rsidRDefault="008E273C" w:rsidP="004C7427">
            <w:pPr>
              <w:pStyle w:val="BodyText"/>
            </w:pPr>
            <w:r>
              <w:t>6 min 58 sec</w:t>
            </w:r>
          </w:p>
        </w:tc>
        <w:tc>
          <w:tcPr>
            <w:tcW w:w="820" w:type="pct"/>
          </w:tcPr>
          <w:p w:rsidR="008E273C" w:rsidRPr="00657D31" w:rsidRDefault="00657D31" w:rsidP="00657D31">
            <w:pPr>
              <w:pStyle w:val="BodyText"/>
            </w:pPr>
            <w:r w:rsidRPr="00657D31">
              <w:t>Yes</w:t>
            </w:r>
          </w:p>
        </w:tc>
        <w:tc>
          <w:tcPr>
            <w:tcW w:w="1045" w:type="pct"/>
          </w:tcPr>
          <w:p w:rsidR="008E273C" w:rsidRDefault="008E273C" w:rsidP="004C7427">
            <w:pPr>
              <w:pStyle w:val="BodyText"/>
            </w:pPr>
            <w:r>
              <w:t>–1 second</w:t>
            </w:r>
          </w:p>
        </w:tc>
      </w:tr>
      <w:tr w:rsidR="008E273C" w:rsidTr="004C7427">
        <w:trPr>
          <w:trHeight w:val="376"/>
        </w:trPr>
        <w:tc>
          <w:tcPr>
            <w:tcW w:w="1000" w:type="pct"/>
          </w:tcPr>
          <w:p w:rsidR="008E273C" w:rsidRDefault="008E273C" w:rsidP="004C7427">
            <w:pPr>
              <w:pStyle w:val="BodyText"/>
            </w:pPr>
            <w:r>
              <w:t>2018–19</w:t>
            </w:r>
          </w:p>
        </w:tc>
        <w:tc>
          <w:tcPr>
            <w:tcW w:w="1063" w:type="pct"/>
          </w:tcPr>
          <w:p w:rsidR="008E273C" w:rsidRDefault="008E273C" w:rsidP="004C7427">
            <w:pPr>
              <w:pStyle w:val="BodyText"/>
            </w:pPr>
            <w:r>
              <w:t>≤7 minutes</w:t>
            </w:r>
          </w:p>
        </w:tc>
        <w:tc>
          <w:tcPr>
            <w:tcW w:w="1072" w:type="pct"/>
          </w:tcPr>
          <w:p w:rsidR="008E273C" w:rsidRDefault="008E273C" w:rsidP="004C7427">
            <w:pPr>
              <w:pStyle w:val="BodyText"/>
            </w:pPr>
            <w:r>
              <w:t>6 min 59 sec</w:t>
            </w:r>
          </w:p>
        </w:tc>
        <w:tc>
          <w:tcPr>
            <w:tcW w:w="820" w:type="pct"/>
          </w:tcPr>
          <w:p w:rsidR="008E273C" w:rsidRPr="00657D31" w:rsidRDefault="00657D31" w:rsidP="00657D31">
            <w:pPr>
              <w:pStyle w:val="BodyText"/>
            </w:pPr>
            <w:r w:rsidRPr="00657D31">
              <w:t>Yes</w:t>
            </w:r>
          </w:p>
        </w:tc>
        <w:tc>
          <w:tcPr>
            <w:tcW w:w="1045" w:type="pct"/>
          </w:tcPr>
          <w:p w:rsidR="008E273C" w:rsidRDefault="008E273C" w:rsidP="004C7427">
            <w:pPr>
              <w:pStyle w:val="BodyText"/>
            </w:pPr>
            <w:r>
              <w:t>+3 seconds</w:t>
            </w:r>
          </w:p>
        </w:tc>
      </w:tr>
      <w:tr w:rsidR="008E273C" w:rsidTr="004C7427">
        <w:trPr>
          <w:trHeight w:val="376"/>
        </w:trPr>
        <w:tc>
          <w:tcPr>
            <w:tcW w:w="1000" w:type="pct"/>
          </w:tcPr>
          <w:p w:rsidR="008E273C" w:rsidRDefault="008E273C" w:rsidP="004C7427">
            <w:pPr>
              <w:pStyle w:val="BodyText"/>
            </w:pPr>
            <w:r>
              <w:t>2017–18</w:t>
            </w:r>
          </w:p>
        </w:tc>
        <w:tc>
          <w:tcPr>
            <w:tcW w:w="1063" w:type="pct"/>
          </w:tcPr>
          <w:p w:rsidR="008E273C" w:rsidRDefault="008E273C" w:rsidP="004C7427">
            <w:pPr>
              <w:pStyle w:val="BodyText"/>
            </w:pPr>
            <w:r>
              <w:t>≤7 minutes</w:t>
            </w:r>
          </w:p>
        </w:tc>
        <w:tc>
          <w:tcPr>
            <w:tcW w:w="1072" w:type="pct"/>
          </w:tcPr>
          <w:p w:rsidR="008E273C" w:rsidRDefault="008E273C" w:rsidP="004C7427">
            <w:pPr>
              <w:pStyle w:val="BodyText"/>
            </w:pPr>
            <w:r>
              <w:t>6 min 56 sec</w:t>
            </w:r>
          </w:p>
        </w:tc>
        <w:tc>
          <w:tcPr>
            <w:tcW w:w="820" w:type="pct"/>
          </w:tcPr>
          <w:p w:rsidR="008E273C" w:rsidRPr="00657D31" w:rsidRDefault="00657D31" w:rsidP="00657D31">
            <w:pPr>
              <w:pStyle w:val="BodyText"/>
            </w:pPr>
            <w:r w:rsidRPr="00657D31">
              <w:t>Yes</w:t>
            </w:r>
          </w:p>
        </w:tc>
        <w:tc>
          <w:tcPr>
            <w:tcW w:w="1045" w:type="pct"/>
          </w:tcPr>
          <w:p w:rsidR="008E273C" w:rsidRDefault="008E273C" w:rsidP="004C7427">
            <w:pPr>
              <w:pStyle w:val="BodyText"/>
            </w:pPr>
            <w:r>
              <w:t>+22 seconds</w:t>
            </w:r>
          </w:p>
        </w:tc>
      </w:tr>
    </w:tbl>
    <w:p w:rsidR="008E273C" w:rsidRDefault="00AC4959" w:rsidP="00AC4959">
      <w:pPr>
        <w:pStyle w:val="BodyText"/>
        <w:rPr>
          <w:rStyle w:val="Bold"/>
        </w:rPr>
      </w:pPr>
      <w:r>
        <w:rPr>
          <w:rStyle w:val="Bold"/>
        </w:rPr>
        <w:lastRenderedPageBreak/>
        <w:t>Analysis</w:t>
      </w:r>
    </w:p>
    <w:p w:rsidR="008E273C" w:rsidRDefault="008E273C" w:rsidP="008E273C">
      <w:pPr>
        <w:pStyle w:val="BodyText"/>
      </w:pPr>
      <w:r>
        <w:t>In 2019–20 the agency improved the average speed of answer by 1 second compared to 2018–19.</w:t>
      </w:r>
    </w:p>
    <w:p w:rsidR="008E273C" w:rsidRDefault="008E273C" w:rsidP="008E273C">
      <w:pPr>
        <w:pStyle w:val="BodyText"/>
      </w:pPr>
      <w:r>
        <w:t>The bushfires and the COVID-19 pandemic significantly affected the agency’s workforce capacity. To help successfully balance the workload the agency redeployed existing staff, took on board extra staff from across the Australian Public Service, and used labour hire companies. S</w:t>
      </w:r>
      <w:r>
        <w:rPr>
          <w:rStyle w:val="NoBreak"/>
        </w:rPr>
        <w:t>ee</w:t>
      </w:r>
      <w:r>
        <w:rPr>
          <w:rStyle w:val="Italic"/>
        </w:rPr>
        <w:t xml:space="preserve"> COVID-19 pandemic</w:t>
      </w:r>
      <w:r>
        <w:t xml:space="preserve"> on page xv and </w:t>
      </w:r>
      <w:r>
        <w:rPr>
          <w:rStyle w:val="Italic"/>
        </w:rPr>
        <w:t>Workforce strategies and planning</w:t>
      </w:r>
      <w:r>
        <w:t xml:space="preserve"> on page 182.</w:t>
      </w:r>
    </w:p>
    <w:p w:rsidR="008E273C" w:rsidRDefault="00AC4959" w:rsidP="008E273C">
      <w:pPr>
        <w:pStyle w:val="BodyText"/>
      </w:pPr>
      <w:r w:rsidRPr="00AC4959">
        <w:t>Method</w:t>
      </w:r>
      <w:r w:rsidR="008E273C">
        <w:tab/>
        <w:t>Data mining.</w:t>
      </w:r>
    </w:p>
    <w:p w:rsidR="008E273C" w:rsidRDefault="004C7427"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4C7427">
      <w:pPr>
        <w:pStyle w:val="ListBullet"/>
        <w:tabs>
          <w:tab w:val="clear" w:pos="360"/>
          <w:tab w:val="clear" w:pos="1066"/>
          <w:tab w:val="num" w:pos="1437"/>
        </w:tabs>
        <w:ind w:left="1434"/>
      </w:pPr>
      <w:r>
        <w:t>‘service excellence’ strategic pillar</w:t>
      </w:r>
    </w:p>
    <w:p w:rsidR="008E273C" w:rsidRDefault="008E273C" w:rsidP="004C7427">
      <w:pPr>
        <w:pStyle w:val="ListBullet"/>
        <w:tabs>
          <w:tab w:val="clear" w:pos="360"/>
          <w:tab w:val="clear" w:pos="1066"/>
          <w:tab w:val="num" w:pos="1437"/>
        </w:tabs>
        <w:ind w:left="1434"/>
      </w:pPr>
      <w:r>
        <w:t>‘</w:t>
      </w:r>
      <w:proofErr w:type="gramStart"/>
      <w:r>
        <w:t>ease</w:t>
      </w:r>
      <w:proofErr w:type="gramEnd"/>
      <w:r>
        <w:t xml:space="preserve"> and timeliness of service’ key performance area.</w:t>
      </w:r>
    </w:p>
    <w:p w:rsidR="008E273C" w:rsidRDefault="00AC4959" w:rsidP="008E273C">
      <w:pPr>
        <w:pStyle w:val="BodyText"/>
      </w:pPr>
      <w:r w:rsidRPr="00AC4959">
        <w:t>Reference</w:t>
      </w:r>
      <w:r w:rsidR="008E273C">
        <w:tab/>
        <w:t>2019–20 PBS, page 32; 2019–20 Corporate Plan, page 15 (pdf), 10 (doc).</w:t>
      </w:r>
    </w:p>
    <w:p w:rsidR="008E273C" w:rsidRDefault="00AC4959" w:rsidP="008E273C">
      <w:pPr>
        <w:pStyle w:val="BodyText"/>
      </w:pPr>
      <w:r w:rsidRPr="00AC4959">
        <w:t>Data source</w:t>
      </w:r>
      <w:r w:rsidR="008E273C">
        <w:tab/>
        <w:t xml:space="preserve">Telstra Computer Telephony Interface files (1 July 2019 to </w:t>
      </w:r>
      <w:r w:rsidR="008E273C">
        <w:rPr>
          <w:rStyle w:val="NoBreak"/>
        </w:rPr>
        <w:t>13 Apri</w:t>
      </w:r>
      <w:r w:rsidR="008E273C">
        <w:t xml:space="preserve">l 2020). </w:t>
      </w:r>
      <w:proofErr w:type="spellStart"/>
      <w:r w:rsidR="008E273C">
        <w:t>Genesys</w:t>
      </w:r>
      <w:proofErr w:type="spellEnd"/>
      <w:r w:rsidR="008E273C">
        <w:t xml:space="preserve"> Interactive Insights reporting tool (</w:t>
      </w:r>
      <w:r w:rsidR="008E273C">
        <w:rPr>
          <w:rStyle w:val="NoBreak"/>
        </w:rPr>
        <w:t>14 Apr</w:t>
      </w:r>
      <w:r w:rsidR="008E273C">
        <w:t>il to 30 June 2020).</w:t>
      </w:r>
    </w:p>
    <w:p w:rsidR="004C7427" w:rsidRDefault="004C7427" w:rsidP="008E273C">
      <w:pPr>
        <w:pStyle w:val="Heading5"/>
        <w:rPr>
          <w:rStyle w:val="Bolditalic"/>
        </w:rPr>
      </w:pPr>
      <w:r>
        <w:t>Criterion 12</w:t>
      </w:r>
      <w:r w:rsidR="008E273C">
        <w:t xml:space="preserve">—Achievement of processing service level standards: Claims processed within standard </w:t>
      </w:r>
      <w:r w:rsidR="008E273C" w:rsidRPr="004C7427">
        <w:rPr>
          <w:i/>
        </w:rPr>
        <w:t>(PBS)</w:t>
      </w:r>
    </w:p>
    <w:p w:rsidR="008E273C" w:rsidRDefault="008E273C" w:rsidP="008E273C">
      <w:pPr>
        <w:pStyle w:val="Heading5"/>
      </w:pPr>
      <w:r>
        <w:t>Ease and timeliness of service: Processing service level standards—claims processed within standard</w:t>
      </w:r>
      <w:r>
        <w:rPr>
          <w:rStyle w:val="Bolditalic"/>
        </w:rPr>
        <w:t xml:space="preserve"> </w:t>
      </w:r>
      <w:r w:rsidRPr="004C7427">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12 Overview"/>
        <w:tblDescription w:val="Criterion 12 Overview"/>
      </w:tblPr>
      <w:tblGrid>
        <w:gridCol w:w="2219"/>
        <w:gridCol w:w="2359"/>
        <w:gridCol w:w="2379"/>
        <w:gridCol w:w="1820"/>
        <w:gridCol w:w="2319"/>
      </w:tblGrid>
      <w:tr w:rsidR="008E273C" w:rsidTr="004C7427">
        <w:trPr>
          <w:trHeight w:val="376"/>
          <w:tblHeader/>
        </w:trPr>
        <w:tc>
          <w:tcPr>
            <w:tcW w:w="1000" w:type="pct"/>
          </w:tcPr>
          <w:p w:rsidR="008E273C" w:rsidRPr="004C7427" w:rsidRDefault="008E273C" w:rsidP="004C7427">
            <w:pPr>
              <w:pStyle w:val="BodyText"/>
              <w:rPr>
                <w:b/>
              </w:rPr>
            </w:pPr>
            <w:r w:rsidRPr="004C7427">
              <w:rPr>
                <w:b/>
              </w:rPr>
              <w:t>Year</w:t>
            </w:r>
          </w:p>
        </w:tc>
        <w:tc>
          <w:tcPr>
            <w:tcW w:w="1063" w:type="pct"/>
          </w:tcPr>
          <w:p w:rsidR="008E273C" w:rsidRPr="004C7427" w:rsidRDefault="008E273C" w:rsidP="004C7427">
            <w:pPr>
              <w:pStyle w:val="BodyText"/>
              <w:rPr>
                <w:b/>
              </w:rPr>
            </w:pPr>
            <w:r w:rsidRPr="004C7427">
              <w:rPr>
                <w:b/>
              </w:rPr>
              <w:t>Target</w:t>
            </w:r>
          </w:p>
        </w:tc>
        <w:tc>
          <w:tcPr>
            <w:tcW w:w="1072" w:type="pct"/>
          </w:tcPr>
          <w:p w:rsidR="008E273C" w:rsidRPr="004C7427" w:rsidRDefault="008E273C" w:rsidP="004C7427">
            <w:pPr>
              <w:pStyle w:val="BodyText"/>
              <w:rPr>
                <w:b/>
              </w:rPr>
            </w:pPr>
            <w:r w:rsidRPr="004C7427">
              <w:rPr>
                <w:b/>
              </w:rPr>
              <w:t>Result</w:t>
            </w:r>
          </w:p>
        </w:tc>
        <w:tc>
          <w:tcPr>
            <w:tcW w:w="820" w:type="pct"/>
          </w:tcPr>
          <w:p w:rsidR="008E273C" w:rsidRPr="004C7427" w:rsidRDefault="008E273C" w:rsidP="004C7427">
            <w:pPr>
              <w:pStyle w:val="BodyText"/>
              <w:rPr>
                <w:b/>
              </w:rPr>
            </w:pPr>
            <w:r w:rsidRPr="004C7427">
              <w:rPr>
                <w:b/>
              </w:rPr>
              <w:t>Achieved</w:t>
            </w:r>
          </w:p>
        </w:tc>
        <w:tc>
          <w:tcPr>
            <w:tcW w:w="1045" w:type="pct"/>
          </w:tcPr>
          <w:p w:rsidR="008E273C" w:rsidRPr="004C7427" w:rsidRDefault="008E273C" w:rsidP="004C7427">
            <w:pPr>
              <w:pStyle w:val="BodyText"/>
              <w:rPr>
                <w:b/>
              </w:rPr>
            </w:pPr>
            <w:r w:rsidRPr="004C7427">
              <w:rPr>
                <w:b/>
              </w:rPr>
              <w:t>Change</w:t>
            </w:r>
          </w:p>
          <w:p w:rsidR="008E273C" w:rsidRPr="004C7427" w:rsidRDefault="008E273C" w:rsidP="004C7427">
            <w:pPr>
              <w:pStyle w:val="BodyText"/>
              <w:rPr>
                <w:b/>
              </w:rPr>
            </w:pPr>
            <w:r w:rsidRPr="004C7427">
              <w:rPr>
                <w:b/>
              </w:rPr>
              <w:t>(% points)</w:t>
            </w:r>
          </w:p>
        </w:tc>
      </w:tr>
      <w:tr w:rsidR="00657D31" w:rsidTr="004C7427">
        <w:trPr>
          <w:trHeight w:val="376"/>
        </w:trPr>
        <w:tc>
          <w:tcPr>
            <w:tcW w:w="1000" w:type="pct"/>
          </w:tcPr>
          <w:p w:rsidR="00657D31" w:rsidRDefault="00657D31" w:rsidP="00657D31">
            <w:pPr>
              <w:pStyle w:val="BodyText"/>
            </w:pPr>
            <w:r>
              <w:t>2019–20</w:t>
            </w:r>
          </w:p>
        </w:tc>
        <w:tc>
          <w:tcPr>
            <w:tcW w:w="1063" w:type="pct"/>
          </w:tcPr>
          <w:p w:rsidR="00657D31" w:rsidRDefault="00657D31" w:rsidP="00657D31">
            <w:pPr>
              <w:pStyle w:val="BodyText"/>
            </w:pPr>
            <w:r>
              <w:t>≥82%</w:t>
            </w:r>
          </w:p>
        </w:tc>
        <w:tc>
          <w:tcPr>
            <w:tcW w:w="1072" w:type="pct"/>
          </w:tcPr>
          <w:p w:rsidR="00657D31" w:rsidRDefault="00657D31" w:rsidP="00657D31">
            <w:pPr>
              <w:pStyle w:val="BodyText"/>
            </w:pPr>
            <w:r>
              <w:t>90.4%</w:t>
            </w:r>
          </w:p>
        </w:tc>
        <w:tc>
          <w:tcPr>
            <w:tcW w:w="820" w:type="pct"/>
          </w:tcPr>
          <w:p w:rsidR="00657D31" w:rsidRPr="00657D31" w:rsidRDefault="00657D31" w:rsidP="00657D31">
            <w:pPr>
              <w:pStyle w:val="BodyText"/>
            </w:pPr>
            <w:r w:rsidRPr="00657D31">
              <w:t>Yes</w:t>
            </w:r>
          </w:p>
        </w:tc>
        <w:tc>
          <w:tcPr>
            <w:tcW w:w="1045" w:type="pct"/>
          </w:tcPr>
          <w:p w:rsidR="00657D31" w:rsidRDefault="00657D31" w:rsidP="00657D31">
            <w:pPr>
              <w:pStyle w:val="BodyText"/>
            </w:pPr>
            <w:r>
              <w:t>+0.1</w:t>
            </w:r>
          </w:p>
        </w:tc>
      </w:tr>
      <w:tr w:rsidR="00657D31" w:rsidTr="004C7427">
        <w:trPr>
          <w:trHeight w:val="376"/>
        </w:trPr>
        <w:tc>
          <w:tcPr>
            <w:tcW w:w="1000" w:type="pct"/>
          </w:tcPr>
          <w:p w:rsidR="00657D31" w:rsidRDefault="00657D31" w:rsidP="00657D31">
            <w:pPr>
              <w:pStyle w:val="BodyText"/>
            </w:pPr>
            <w:r>
              <w:t>2018–19</w:t>
            </w:r>
          </w:p>
        </w:tc>
        <w:tc>
          <w:tcPr>
            <w:tcW w:w="1063" w:type="pct"/>
          </w:tcPr>
          <w:p w:rsidR="00657D31" w:rsidRDefault="00657D31" w:rsidP="00657D31">
            <w:pPr>
              <w:pStyle w:val="BodyText"/>
            </w:pPr>
            <w:r>
              <w:t>≥82%</w:t>
            </w:r>
          </w:p>
        </w:tc>
        <w:tc>
          <w:tcPr>
            <w:tcW w:w="1072" w:type="pct"/>
          </w:tcPr>
          <w:p w:rsidR="00657D31" w:rsidRDefault="00657D31" w:rsidP="00657D31">
            <w:pPr>
              <w:pStyle w:val="BodyText"/>
            </w:pPr>
            <w:r>
              <w:t>90.3%</w:t>
            </w:r>
          </w:p>
        </w:tc>
        <w:tc>
          <w:tcPr>
            <w:tcW w:w="820" w:type="pct"/>
          </w:tcPr>
          <w:p w:rsidR="00657D31" w:rsidRPr="00657D31" w:rsidRDefault="00657D31" w:rsidP="00657D31">
            <w:pPr>
              <w:pStyle w:val="BodyText"/>
            </w:pPr>
            <w:r w:rsidRPr="00657D31">
              <w:t>Yes</w:t>
            </w:r>
          </w:p>
        </w:tc>
        <w:tc>
          <w:tcPr>
            <w:tcW w:w="1045" w:type="pct"/>
          </w:tcPr>
          <w:p w:rsidR="00657D31" w:rsidRDefault="00657D31" w:rsidP="00657D31">
            <w:pPr>
              <w:pStyle w:val="BodyText"/>
            </w:pPr>
            <w:r>
              <w:t>–7.1</w:t>
            </w:r>
          </w:p>
        </w:tc>
      </w:tr>
      <w:tr w:rsidR="00657D31" w:rsidTr="004C7427">
        <w:trPr>
          <w:trHeight w:val="376"/>
        </w:trPr>
        <w:tc>
          <w:tcPr>
            <w:tcW w:w="1000" w:type="pct"/>
          </w:tcPr>
          <w:p w:rsidR="00657D31" w:rsidRDefault="00657D31" w:rsidP="00657D31">
            <w:pPr>
              <w:pStyle w:val="BodyText"/>
            </w:pPr>
            <w:r>
              <w:t>2017–18</w:t>
            </w:r>
          </w:p>
        </w:tc>
        <w:tc>
          <w:tcPr>
            <w:tcW w:w="1063" w:type="pct"/>
          </w:tcPr>
          <w:p w:rsidR="00657D31" w:rsidRDefault="00657D31" w:rsidP="00657D31">
            <w:pPr>
              <w:pStyle w:val="BodyText"/>
            </w:pPr>
            <w:r>
              <w:t>≥82%</w:t>
            </w:r>
          </w:p>
        </w:tc>
        <w:tc>
          <w:tcPr>
            <w:tcW w:w="1072" w:type="pct"/>
          </w:tcPr>
          <w:p w:rsidR="00657D31" w:rsidRDefault="00657D31" w:rsidP="00657D31">
            <w:pPr>
              <w:pStyle w:val="BodyText"/>
            </w:pPr>
            <w:r>
              <w:t>97.4%</w:t>
            </w:r>
          </w:p>
        </w:tc>
        <w:tc>
          <w:tcPr>
            <w:tcW w:w="820" w:type="pct"/>
          </w:tcPr>
          <w:p w:rsidR="00657D31" w:rsidRPr="00657D31" w:rsidRDefault="00657D31" w:rsidP="00657D31">
            <w:pPr>
              <w:pStyle w:val="BodyText"/>
            </w:pPr>
            <w:r w:rsidRPr="00657D31">
              <w:t>Yes</w:t>
            </w:r>
          </w:p>
        </w:tc>
        <w:tc>
          <w:tcPr>
            <w:tcW w:w="1045" w:type="pct"/>
          </w:tcPr>
          <w:p w:rsidR="00657D31" w:rsidRDefault="00657D31" w:rsidP="00657D31">
            <w:pPr>
              <w:pStyle w:val="BodyText"/>
            </w:pPr>
            <w:r>
              <w:t>+2.0</w:t>
            </w:r>
          </w:p>
        </w:tc>
      </w:tr>
    </w:tbl>
    <w:p w:rsidR="008E273C" w:rsidRDefault="00AC4959" w:rsidP="00AC4959">
      <w:pPr>
        <w:pStyle w:val="BodyText"/>
        <w:rPr>
          <w:rStyle w:val="Bold"/>
        </w:rPr>
      </w:pPr>
      <w:r>
        <w:rPr>
          <w:rStyle w:val="Bold"/>
        </w:rPr>
        <w:t>Analysis</w:t>
      </w:r>
    </w:p>
    <w:p w:rsidR="008E273C" w:rsidRDefault="008E273C" w:rsidP="008E273C">
      <w:pPr>
        <w:pStyle w:val="BodyText"/>
      </w:pPr>
      <w:r>
        <w:t>During 2019–20, 391.5 million of 433.1 million Medicare claimed services were processed within the target. This is an increase from 388 million of 430 million claims in 2018–19.</w:t>
      </w:r>
    </w:p>
    <w:p w:rsidR="008E273C" w:rsidRDefault="008E273C" w:rsidP="008E273C">
      <w:pPr>
        <w:pStyle w:val="BodyText"/>
      </w:pPr>
      <w:r>
        <w:t xml:space="preserve">Over the past three years, the average time to process a claim has reduced from 2.3 days to 0.81 days. This reflects the increased use of digital claiming.  </w:t>
      </w:r>
    </w:p>
    <w:p w:rsidR="008E273C" w:rsidRDefault="00AC4959" w:rsidP="008E273C">
      <w:pPr>
        <w:pStyle w:val="BodyText"/>
      </w:pPr>
      <w:r w:rsidRPr="00AC4959">
        <w:t>Method</w:t>
      </w:r>
      <w:r w:rsidR="008E273C">
        <w:tab/>
        <w:t>Data mining.</w:t>
      </w:r>
    </w:p>
    <w:p w:rsidR="008E273C" w:rsidRDefault="004C7427"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4C7427">
      <w:pPr>
        <w:pStyle w:val="ListBullet"/>
        <w:tabs>
          <w:tab w:val="clear" w:pos="360"/>
          <w:tab w:val="clear" w:pos="1066"/>
          <w:tab w:val="num" w:pos="1437"/>
        </w:tabs>
        <w:ind w:left="1434"/>
      </w:pPr>
      <w:r>
        <w:t>‘service excellence’ strategic pillar</w:t>
      </w:r>
    </w:p>
    <w:p w:rsidR="008E273C" w:rsidRDefault="008E273C" w:rsidP="004C7427">
      <w:pPr>
        <w:pStyle w:val="ListBullet"/>
        <w:tabs>
          <w:tab w:val="clear" w:pos="360"/>
          <w:tab w:val="clear" w:pos="1066"/>
          <w:tab w:val="num" w:pos="1437"/>
        </w:tabs>
        <w:ind w:left="1434"/>
      </w:pPr>
      <w:r>
        <w:t>‘</w:t>
      </w:r>
      <w:proofErr w:type="gramStart"/>
      <w:r>
        <w:t>ease</w:t>
      </w:r>
      <w:proofErr w:type="gramEnd"/>
      <w:r>
        <w:t xml:space="preserve"> and timeliness of service’ key performance area.</w:t>
      </w:r>
    </w:p>
    <w:p w:rsidR="008E273C" w:rsidRDefault="00AC4959" w:rsidP="008E273C">
      <w:pPr>
        <w:pStyle w:val="BodyText"/>
      </w:pPr>
      <w:r w:rsidRPr="00AC4959">
        <w:lastRenderedPageBreak/>
        <w:t>Reference</w:t>
      </w:r>
      <w:r w:rsidR="008E273C">
        <w:tab/>
        <w:t>2019–20 PBS, page 33; 2019–20 Corporate Plan, page 15 (pdf), 10 (doc).</w:t>
      </w:r>
    </w:p>
    <w:p w:rsidR="008E273C" w:rsidRDefault="00AC4959" w:rsidP="008E273C">
      <w:pPr>
        <w:pStyle w:val="BodyText"/>
      </w:pPr>
      <w:r w:rsidRPr="00AC4959">
        <w:t>Data source</w:t>
      </w:r>
      <w:r w:rsidR="008E273C">
        <w:tab/>
        <w:t>Enterprise Data Warehouse.</w:t>
      </w:r>
    </w:p>
    <w:p w:rsidR="008E273C" w:rsidRDefault="008E273C" w:rsidP="008E273C">
      <w:pPr>
        <w:pStyle w:val="Heading3"/>
      </w:pPr>
      <w:r>
        <w:t>Program 1.3–Child Support</w:t>
      </w:r>
    </w:p>
    <w:tbl>
      <w:tblPr>
        <w:tblStyle w:val="TableGrid"/>
        <w:tblW w:w="5000" w:type="pct"/>
        <w:tblLook w:val="0000" w:firstRow="0" w:lastRow="0" w:firstColumn="0" w:lastColumn="0" w:noHBand="0" w:noVBand="0"/>
        <w:tblCaption w:val="Program 1.3–Child Support"/>
        <w:tblDescription w:val="Program 1.3–Child Support"/>
      </w:tblPr>
      <w:tblGrid>
        <w:gridCol w:w="9784"/>
        <w:gridCol w:w="1312"/>
      </w:tblGrid>
      <w:tr w:rsidR="008E273C" w:rsidTr="007B3F73">
        <w:trPr>
          <w:trHeight w:val="60"/>
          <w:tblHeader/>
        </w:trPr>
        <w:tc>
          <w:tcPr>
            <w:tcW w:w="4409" w:type="pct"/>
          </w:tcPr>
          <w:p w:rsidR="008E273C" w:rsidRPr="00657D31" w:rsidRDefault="008E273C" w:rsidP="00017F7D">
            <w:pPr>
              <w:pStyle w:val="BodyText"/>
              <w:rPr>
                <w:b/>
              </w:rPr>
            </w:pPr>
            <w:r w:rsidRPr="00657D31">
              <w:rPr>
                <w:b/>
              </w:rPr>
              <w:t>Performance measure</w:t>
            </w:r>
          </w:p>
        </w:tc>
        <w:tc>
          <w:tcPr>
            <w:tcW w:w="591" w:type="pct"/>
          </w:tcPr>
          <w:p w:rsidR="008E273C" w:rsidRPr="00657D31" w:rsidRDefault="008E273C" w:rsidP="00017F7D">
            <w:pPr>
              <w:pStyle w:val="BodyText"/>
              <w:rPr>
                <w:b/>
              </w:rPr>
            </w:pPr>
            <w:r w:rsidRPr="00657D31">
              <w:rPr>
                <w:b/>
              </w:rPr>
              <w:t>Met</w:t>
            </w:r>
          </w:p>
        </w:tc>
      </w:tr>
      <w:tr w:rsidR="008E273C" w:rsidTr="00017F7D">
        <w:trPr>
          <w:trHeight w:val="60"/>
        </w:trPr>
        <w:tc>
          <w:tcPr>
            <w:tcW w:w="4409" w:type="pct"/>
          </w:tcPr>
          <w:p w:rsidR="008E273C" w:rsidRDefault="008E273C" w:rsidP="00017F7D">
            <w:pPr>
              <w:pStyle w:val="ListNumber"/>
              <w:numPr>
                <w:ilvl w:val="0"/>
                <w:numId w:val="14"/>
              </w:numPr>
            </w:pPr>
            <w:r>
              <w:t>Customer satisfaction: Achievement of customer satisfaction standards</w:t>
            </w:r>
          </w:p>
        </w:tc>
        <w:tc>
          <w:tcPr>
            <w:tcW w:w="591" w:type="pct"/>
          </w:tcPr>
          <w:p w:rsidR="008E273C" w:rsidRPr="00657D31" w:rsidRDefault="00657D31" w:rsidP="00657D31">
            <w:pPr>
              <w:pStyle w:val="BodyText"/>
            </w:pPr>
            <w:r w:rsidRPr="00657D31">
              <w:t>No</w:t>
            </w:r>
          </w:p>
        </w:tc>
      </w:tr>
      <w:tr w:rsidR="008E273C" w:rsidTr="00017F7D">
        <w:trPr>
          <w:trHeight w:val="60"/>
        </w:trPr>
        <w:tc>
          <w:tcPr>
            <w:tcW w:w="4409" w:type="pct"/>
          </w:tcPr>
          <w:p w:rsidR="008E273C" w:rsidRDefault="008E273C" w:rsidP="00017F7D">
            <w:pPr>
              <w:pStyle w:val="ListNumber"/>
            </w:pPr>
            <w:r>
              <w:t>Customer satisfaction: Trust: customers are confident in the integrity of the advice provided to them</w:t>
            </w:r>
          </w:p>
        </w:tc>
        <w:tc>
          <w:tcPr>
            <w:tcW w:w="591" w:type="pct"/>
          </w:tcPr>
          <w:p w:rsidR="008E273C" w:rsidRPr="00657D31" w:rsidRDefault="008E273C" w:rsidP="00657D31">
            <w:pPr>
              <w:pStyle w:val="BodyText"/>
            </w:pPr>
            <w:r w:rsidRPr="00657D31">
              <w:t>–</w:t>
            </w:r>
          </w:p>
        </w:tc>
      </w:tr>
      <w:tr w:rsidR="00657D31" w:rsidTr="00017F7D">
        <w:trPr>
          <w:trHeight w:val="60"/>
        </w:trPr>
        <w:tc>
          <w:tcPr>
            <w:tcW w:w="4409" w:type="pct"/>
          </w:tcPr>
          <w:p w:rsidR="00657D31" w:rsidRDefault="00657D31" w:rsidP="00657D31">
            <w:pPr>
              <w:pStyle w:val="ListNumber"/>
            </w:pPr>
            <w:r>
              <w:t>Achievement of digital service level standards: Departmental interactions completed via digital channels</w:t>
            </w:r>
          </w:p>
        </w:tc>
        <w:tc>
          <w:tcPr>
            <w:tcW w:w="591" w:type="pct"/>
          </w:tcPr>
          <w:p w:rsidR="00657D31" w:rsidRPr="00657D31" w:rsidRDefault="00657D31" w:rsidP="00657D31">
            <w:pPr>
              <w:pStyle w:val="BodyText"/>
            </w:pPr>
            <w:r w:rsidRPr="00657D31">
              <w:t>Yes</w:t>
            </w:r>
          </w:p>
        </w:tc>
      </w:tr>
      <w:tr w:rsidR="00657D31" w:rsidTr="00017F7D">
        <w:trPr>
          <w:trHeight w:val="60"/>
        </w:trPr>
        <w:tc>
          <w:tcPr>
            <w:tcW w:w="4409" w:type="pct"/>
          </w:tcPr>
          <w:p w:rsidR="00657D31" w:rsidRDefault="00657D31" w:rsidP="00657D31">
            <w:pPr>
              <w:pStyle w:val="ListNumber"/>
            </w:pPr>
            <w:r>
              <w:t>Achievement of digital service level standards: Availability of ICT services excluding scheduled maintenance periods that support 24/7 customer access</w:t>
            </w:r>
          </w:p>
        </w:tc>
        <w:tc>
          <w:tcPr>
            <w:tcW w:w="591" w:type="pct"/>
          </w:tcPr>
          <w:p w:rsidR="00657D31" w:rsidRPr="00657D31" w:rsidRDefault="00657D31" w:rsidP="00657D31">
            <w:pPr>
              <w:pStyle w:val="BodyText"/>
            </w:pPr>
            <w:r w:rsidRPr="00657D31">
              <w:t>Yes</w:t>
            </w:r>
          </w:p>
        </w:tc>
      </w:tr>
      <w:tr w:rsidR="00657D31" w:rsidTr="00017F7D">
        <w:trPr>
          <w:trHeight w:val="60"/>
        </w:trPr>
        <w:tc>
          <w:tcPr>
            <w:tcW w:w="4409" w:type="pct"/>
          </w:tcPr>
          <w:p w:rsidR="00657D31" w:rsidRDefault="00657D31" w:rsidP="00657D31">
            <w:pPr>
              <w:pStyle w:val="ListNumber"/>
            </w:pPr>
            <w:r>
              <w:t>Child Support collection: Percentage of domestic active paying parents with less than one month Child Support collect liability</w:t>
            </w:r>
          </w:p>
        </w:tc>
        <w:tc>
          <w:tcPr>
            <w:tcW w:w="591" w:type="pct"/>
          </w:tcPr>
          <w:p w:rsidR="00657D31" w:rsidRPr="00657D31" w:rsidRDefault="00657D31" w:rsidP="00657D31">
            <w:pPr>
              <w:pStyle w:val="BodyText"/>
            </w:pPr>
            <w:r w:rsidRPr="00657D31">
              <w:t>Yes</w:t>
            </w:r>
          </w:p>
        </w:tc>
      </w:tr>
      <w:tr w:rsidR="008E273C" w:rsidTr="00017F7D">
        <w:trPr>
          <w:trHeight w:val="60"/>
        </w:trPr>
        <w:tc>
          <w:tcPr>
            <w:tcW w:w="4409" w:type="pct"/>
          </w:tcPr>
          <w:p w:rsidR="008E273C" w:rsidRDefault="008E273C" w:rsidP="00017F7D">
            <w:pPr>
              <w:pStyle w:val="ListNumber"/>
            </w:pPr>
            <w:r>
              <w:t>Achievement of telephony service level standards: Average speed of answer</w:t>
            </w:r>
          </w:p>
        </w:tc>
        <w:tc>
          <w:tcPr>
            <w:tcW w:w="591" w:type="pct"/>
          </w:tcPr>
          <w:p w:rsidR="008E273C" w:rsidRPr="00657D31" w:rsidRDefault="00657D31" w:rsidP="00657D31">
            <w:pPr>
              <w:pStyle w:val="BodyText"/>
            </w:pPr>
            <w:r w:rsidRPr="00657D31">
              <w:t>No</w:t>
            </w:r>
          </w:p>
        </w:tc>
      </w:tr>
      <w:tr w:rsidR="008E273C" w:rsidTr="00017F7D">
        <w:trPr>
          <w:trHeight w:val="60"/>
        </w:trPr>
        <w:tc>
          <w:tcPr>
            <w:tcW w:w="4409" w:type="pct"/>
          </w:tcPr>
          <w:p w:rsidR="008E273C" w:rsidRDefault="008E273C" w:rsidP="00017F7D">
            <w:pPr>
              <w:pStyle w:val="ListNumber"/>
            </w:pPr>
            <w:r>
              <w:t>Achievement of processing service level standards: New registrations completed within standard</w:t>
            </w:r>
          </w:p>
        </w:tc>
        <w:tc>
          <w:tcPr>
            <w:tcW w:w="591" w:type="pct"/>
          </w:tcPr>
          <w:p w:rsidR="008E273C" w:rsidRPr="00657D31" w:rsidRDefault="00657D31" w:rsidP="00657D31">
            <w:pPr>
              <w:pStyle w:val="BodyText"/>
            </w:pPr>
            <w:r w:rsidRPr="00657D31">
              <w:t>Yes</w:t>
            </w:r>
          </w:p>
        </w:tc>
      </w:tr>
      <w:tr w:rsidR="008E273C" w:rsidTr="00017F7D">
        <w:trPr>
          <w:trHeight w:val="60"/>
        </w:trPr>
        <w:tc>
          <w:tcPr>
            <w:tcW w:w="4409" w:type="pct"/>
          </w:tcPr>
          <w:p w:rsidR="008E273C" w:rsidRDefault="008E273C" w:rsidP="00017F7D">
            <w:pPr>
              <w:pStyle w:val="ListNumber"/>
            </w:pPr>
            <w:r>
              <w:t>Achievement of payment quality standards: Child Support: Debt under arrangement</w:t>
            </w:r>
          </w:p>
        </w:tc>
        <w:tc>
          <w:tcPr>
            <w:tcW w:w="591" w:type="pct"/>
          </w:tcPr>
          <w:p w:rsidR="008E273C" w:rsidRPr="00657D31" w:rsidRDefault="00657D31" w:rsidP="00657D31">
            <w:pPr>
              <w:pStyle w:val="BodyText"/>
            </w:pPr>
            <w:r w:rsidRPr="00657D31">
              <w:t>Yes</w:t>
            </w:r>
          </w:p>
        </w:tc>
      </w:tr>
    </w:tbl>
    <w:p w:rsidR="008E273C" w:rsidRDefault="008E273C" w:rsidP="008E273C">
      <w:pPr>
        <w:pStyle w:val="BodyText"/>
      </w:pPr>
      <w:r>
        <w:rPr>
          <w:sz w:val="22"/>
          <w:szCs w:val="22"/>
        </w:rPr>
        <w:t>Services Australia met 5 of 8 Child Support performance measures in 2</w:t>
      </w:r>
      <w:r>
        <w:rPr>
          <w:rStyle w:val="NoBreak"/>
        </w:rPr>
        <w:t>019–2</w:t>
      </w:r>
      <w:r>
        <w:t>0, noting, there was no set target for the Trust performance measure. F</w:t>
      </w:r>
      <w:r>
        <w:rPr>
          <w:rStyle w:val="NoBreak"/>
        </w:rPr>
        <w:t>or m</w:t>
      </w:r>
      <w:r>
        <w:t xml:space="preserve">ore information about the Child Support Program see </w:t>
      </w:r>
      <w:r>
        <w:rPr>
          <w:rStyle w:val="Italic"/>
        </w:rPr>
        <w:t>1.5 Child support</w:t>
      </w:r>
      <w:r>
        <w:t xml:space="preserve"> on pa</w:t>
      </w:r>
      <w:r>
        <w:rPr>
          <w:rStyle w:val="NoBreak"/>
        </w:rPr>
        <w:t>ge 36</w:t>
      </w:r>
      <w:r>
        <w:t>.</w:t>
      </w:r>
    </w:p>
    <w:p w:rsidR="008E273C" w:rsidRDefault="008E273C" w:rsidP="008E273C">
      <w:pPr>
        <w:pStyle w:val="BodyText"/>
      </w:pPr>
      <w:r>
        <w:t xml:space="preserve">The program met annual targets for its child support collection, achievement of payment quality standards, digital service level standards for interactions and availability performance measures. In 2019–20 the agency worked with separated parents to facilitate the transfer of $3.774 billion to support approximately 1.2 million children. Interactions completed through digital channels grew by 10.2 per cent, with increases to electronic payments (200,000), online letters (800,000), Child Support online accounts (134,000) and online registrations (2,500). </w:t>
      </w:r>
    </w:p>
    <w:p w:rsidR="008E273C" w:rsidRDefault="008E273C" w:rsidP="008E273C">
      <w:pPr>
        <w:pStyle w:val="BodyText"/>
      </w:pPr>
      <w:r>
        <w:t>Underpinning this work were reliable ICT systems that were available 99.5 per cent of the time.</w:t>
      </w:r>
    </w:p>
    <w:p w:rsidR="008E273C" w:rsidRDefault="008E273C" w:rsidP="008E273C">
      <w:pPr>
        <w:pStyle w:val="BodyText"/>
      </w:pPr>
      <w:r>
        <w:t>Overall, the 2019–20 performance measure results for the Child Support Program have improved over the previous years, demonstrating that the agency has achieved its purpose of delivering high-quality government services and payments to Australia.</w:t>
      </w:r>
    </w:p>
    <w:p w:rsidR="00017F7D" w:rsidRDefault="00017F7D" w:rsidP="008E273C">
      <w:pPr>
        <w:pStyle w:val="Heading5"/>
        <w:rPr>
          <w:rStyle w:val="Bolditalic"/>
        </w:rPr>
      </w:pPr>
      <w:r>
        <w:t>Criterion 1</w:t>
      </w:r>
      <w:r w:rsidR="008E273C">
        <w:t xml:space="preserve">—Customer satisfaction: Achievement of customer satisfaction standards </w:t>
      </w:r>
      <w:r w:rsidR="008E273C" w:rsidRPr="00017F7D">
        <w:rPr>
          <w:i/>
        </w:rPr>
        <w:t>(PBS)</w:t>
      </w:r>
    </w:p>
    <w:p w:rsidR="008E273C" w:rsidRDefault="008E273C" w:rsidP="008E273C">
      <w:pPr>
        <w:pStyle w:val="Heading5"/>
      </w:pPr>
      <w:r>
        <w:t xml:space="preserve">Customer satisfaction: Customer satisfaction with their service delivery experience </w:t>
      </w:r>
      <w:r w:rsidRPr="00017F7D">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1 Overview"/>
        <w:tblDescription w:val="Criterion 1 Overview"/>
      </w:tblPr>
      <w:tblGrid>
        <w:gridCol w:w="2220"/>
        <w:gridCol w:w="2535"/>
        <w:gridCol w:w="2220"/>
        <w:gridCol w:w="2037"/>
        <w:gridCol w:w="2084"/>
      </w:tblGrid>
      <w:tr w:rsidR="008E273C" w:rsidTr="00017F7D">
        <w:trPr>
          <w:trHeight w:val="376"/>
          <w:tblHeader/>
        </w:trPr>
        <w:tc>
          <w:tcPr>
            <w:tcW w:w="1000" w:type="pct"/>
          </w:tcPr>
          <w:p w:rsidR="008E273C" w:rsidRPr="00017F7D" w:rsidRDefault="008E273C" w:rsidP="00017F7D">
            <w:pPr>
              <w:pStyle w:val="BodyText"/>
              <w:rPr>
                <w:b/>
              </w:rPr>
            </w:pPr>
            <w:r w:rsidRPr="00017F7D">
              <w:rPr>
                <w:b/>
              </w:rPr>
              <w:lastRenderedPageBreak/>
              <w:t>Year</w:t>
            </w:r>
          </w:p>
        </w:tc>
        <w:tc>
          <w:tcPr>
            <w:tcW w:w="1142" w:type="pct"/>
          </w:tcPr>
          <w:p w:rsidR="008E273C" w:rsidRPr="00017F7D" w:rsidRDefault="008E273C" w:rsidP="00017F7D">
            <w:pPr>
              <w:pStyle w:val="BodyText"/>
              <w:rPr>
                <w:b/>
              </w:rPr>
            </w:pPr>
            <w:r w:rsidRPr="00017F7D">
              <w:rPr>
                <w:b/>
              </w:rPr>
              <w:t>Target</w:t>
            </w:r>
          </w:p>
        </w:tc>
        <w:tc>
          <w:tcPr>
            <w:tcW w:w="1000" w:type="pct"/>
          </w:tcPr>
          <w:p w:rsidR="008E273C" w:rsidRPr="00017F7D" w:rsidRDefault="008E273C" w:rsidP="00017F7D">
            <w:pPr>
              <w:pStyle w:val="BodyText"/>
              <w:rPr>
                <w:b/>
              </w:rPr>
            </w:pPr>
            <w:r w:rsidRPr="00017F7D">
              <w:rPr>
                <w:b/>
              </w:rPr>
              <w:t>Result</w:t>
            </w:r>
          </w:p>
        </w:tc>
        <w:tc>
          <w:tcPr>
            <w:tcW w:w="918" w:type="pct"/>
          </w:tcPr>
          <w:p w:rsidR="008E273C" w:rsidRPr="00017F7D" w:rsidRDefault="008E273C" w:rsidP="00017F7D">
            <w:pPr>
              <w:pStyle w:val="BodyText"/>
              <w:rPr>
                <w:b/>
              </w:rPr>
            </w:pPr>
            <w:r w:rsidRPr="00017F7D">
              <w:rPr>
                <w:b/>
              </w:rPr>
              <w:t>Achieved</w:t>
            </w:r>
          </w:p>
        </w:tc>
        <w:tc>
          <w:tcPr>
            <w:tcW w:w="939" w:type="pct"/>
          </w:tcPr>
          <w:p w:rsidR="008E273C" w:rsidRPr="00017F7D" w:rsidRDefault="008E273C" w:rsidP="00017F7D">
            <w:pPr>
              <w:pStyle w:val="BodyText"/>
              <w:rPr>
                <w:b/>
              </w:rPr>
            </w:pPr>
            <w:r w:rsidRPr="00017F7D">
              <w:rPr>
                <w:b/>
              </w:rPr>
              <w:t>Change</w:t>
            </w:r>
          </w:p>
        </w:tc>
      </w:tr>
      <w:tr w:rsidR="008E273C" w:rsidTr="00017F7D">
        <w:trPr>
          <w:trHeight w:val="376"/>
        </w:trPr>
        <w:tc>
          <w:tcPr>
            <w:tcW w:w="1000" w:type="pct"/>
          </w:tcPr>
          <w:p w:rsidR="008E273C" w:rsidRDefault="008E273C" w:rsidP="00017F7D">
            <w:pPr>
              <w:pStyle w:val="BodyText"/>
            </w:pPr>
            <w:r>
              <w:t>2019–20</w:t>
            </w:r>
          </w:p>
        </w:tc>
        <w:tc>
          <w:tcPr>
            <w:tcW w:w="1142" w:type="pct"/>
          </w:tcPr>
          <w:p w:rsidR="008E273C" w:rsidRDefault="008E273C" w:rsidP="00017F7D">
            <w:pPr>
              <w:pStyle w:val="BodyText"/>
            </w:pPr>
            <w:r>
              <w:t>≥85 out of 100</w:t>
            </w:r>
          </w:p>
        </w:tc>
        <w:tc>
          <w:tcPr>
            <w:tcW w:w="1000" w:type="pct"/>
          </w:tcPr>
          <w:p w:rsidR="008E273C" w:rsidRDefault="008E273C" w:rsidP="00017F7D">
            <w:pPr>
              <w:pStyle w:val="BodyText"/>
            </w:pPr>
            <w:r>
              <w:t>79.0</w:t>
            </w:r>
          </w:p>
        </w:tc>
        <w:tc>
          <w:tcPr>
            <w:tcW w:w="918" w:type="pct"/>
          </w:tcPr>
          <w:p w:rsidR="008E273C" w:rsidRDefault="00657D31" w:rsidP="00017F7D">
            <w:pPr>
              <w:pStyle w:val="BodyText"/>
            </w:pPr>
            <w:r>
              <w:t>No</w:t>
            </w:r>
          </w:p>
        </w:tc>
        <w:tc>
          <w:tcPr>
            <w:tcW w:w="939" w:type="pct"/>
          </w:tcPr>
          <w:p w:rsidR="008E273C" w:rsidRDefault="008E273C" w:rsidP="00017F7D">
            <w:pPr>
              <w:pStyle w:val="BodyText"/>
            </w:pPr>
            <w:r>
              <w:t>+3.8</w:t>
            </w:r>
          </w:p>
        </w:tc>
      </w:tr>
      <w:tr w:rsidR="008E273C" w:rsidTr="00017F7D">
        <w:trPr>
          <w:trHeight w:val="376"/>
        </w:trPr>
        <w:tc>
          <w:tcPr>
            <w:tcW w:w="1000" w:type="pct"/>
          </w:tcPr>
          <w:p w:rsidR="008E273C" w:rsidRDefault="008E273C" w:rsidP="00017F7D">
            <w:pPr>
              <w:pStyle w:val="BodyText"/>
            </w:pPr>
            <w:r>
              <w:t>2018–19</w:t>
            </w:r>
          </w:p>
        </w:tc>
        <w:tc>
          <w:tcPr>
            <w:tcW w:w="1142" w:type="pct"/>
          </w:tcPr>
          <w:p w:rsidR="008E273C" w:rsidRDefault="008E273C" w:rsidP="00017F7D">
            <w:pPr>
              <w:pStyle w:val="BodyText"/>
            </w:pPr>
            <w:r>
              <w:t>≥85 out of 100</w:t>
            </w:r>
          </w:p>
        </w:tc>
        <w:tc>
          <w:tcPr>
            <w:tcW w:w="1000" w:type="pct"/>
          </w:tcPr>
          <w:p w:rsidR="008E273C" w:rsidRDefault="008E273C" w:rsidP="00017F7D">
            <w:pPr>
              <w:pStyle w:val="BodyText"/>
            </w:pPr>
            <w:r>
              <w:t>75.2</w:t>
            </w:r>
          </w:p>
        </w:tc>
        <w:tc>
          <w:tcPr>
            <w:tcW w:w="918" w:type="pct"/>
          </w:tcPr>
          <w:p w:rsidR="008E273C" w:rsidRDefault="00657D31" w:rsidP="00017F7D">
            <w:pPr>
              <w:pStyle w:val="BodyText"/>
            </w:pPr>
            <w:r>
              <w:t>No</w:t>
            </w:r>
          </w:p>
        </w:tc>
        <w:tc>
          <w:tcPr>
            <w:tcW w:w="939" w:type="pct"/>
          </w:tcPr>
          <w:p w:rsidR="008E273C" w:rsidRDefault="008E273C" w:rsidP="00017F7D">
            <w:pPr>
              <w:pStyle w:val="BodyText"/>
            </w:pPr>
            <w:r>
              <w:t>NA</w:t>
            </w:r>
            <w:r>
              <w:rPr>
                <w:vertAlign w:val="superscript"/>
              </w:rPr>
              <w:t>(a)</w:t>
            </w:r>
          </w:p>
        </w:tc>
      </w:tr>
    </w:tbl>
    <w:p w:rsidR="008E273C" w:rsidRDefault="008E273C" w:rsidP="00017F7D">
      <w:pPr>
        <w:pStyle w:val="BodyText"/>
      </w:pPr>
      <w:r>
        <w:t>(a)</w:t>
      </w:r>
      <w:r w:rsidR="00017F7D">
        <w:t xml:space="preserve"> </w:t>
      </w:r>
      <w:r>
        <w:t>Due to a change in how the measure is calculated, the results for 2018–19 are not directly comparable with previous years.</w:t>
      </w:r>
    </w:p>
    <w:p w:rsidR="008E273C" w:rsidRDefault="00AC4959" w:rsidP="00AC4959">
      <w:pPr>
        <w:pStyle w:val="BodyText"/>
        <w:rPr>
          <w:rStyle w:val="Bold"/>
        </w:rPr>
      </w:pPr>
      <w:r>
        <w:rPr>
          <w:rStyle w:val="Bold"/>
        </w:rPr>
        <w:t>Analysis</w:t>
      </w:r>
    </w:p>
    <w:p w:rsidR="008E273C" w:rsidRDefault="008E273C" w:rsidP="008E273C">
      <w:pPr>
        <w:pStyle w:val="BodyText"/>
      </w:pPr>
      <w:r>
        <w:t xml:space="preserve">Although the 2019–20 annual result remained below the target, there was a 3.8 point increase over the 2018–19 result. </w:t>
      </w:r>
    </w:p>
    <w:p w:rsidR="008E273C" w:rsidRDefault="008E273C" w:rsidP="008E273C">
      <w:pPr>
        <w:pStyle w:val="BodyText"/>
      </w:pPr>
      <w:r>
        <w:t>The highest performing drivers were fair treatment (87.9) and communication (85.5). These results highlight the capabilities of staff in helping customers. The lowest performing drivers were time to receive service (60.1) and effort (74.2). All six satisfaction drivers improved over the 2018–19 results. These improvements reflect the agency’s focus on improving self-service and digital options for customers and improving staff capabilities.</w:t>
      </w:r>
    </w:p>
    <w:p w:rsidR="008E273C" w:rsidRDefault="008E273C" w:rsidP="008E273C">
      <w:pPr>
        <w:pStyle w:val="BodyText"/>
      </w:pPr>
      <w:r>
        <w:t xml:space="preserve">The COVID-19 pandemic had an impact on the ‘time to receive service’ results, which can be attributed to Child Support staff working to support the agency’s response. As the agency began implementing strategies to manage the increased demand for services, Child Support staff returned to normal duties and performance for the driver improved. </w:t>
      </w:r>
    </w:p>
    <w:p w:rsidR="008E273C" w:rsidRDefault="008E273C" w:rsidP="00E42522">
      <w:pPr>
        <w:pStyle w:val="BodyText"/>
        <w:rPr>
          <w:rStyle w:val="NoBreak"/>
        </w:rPr>
      </w:pPr>
      <w:r>
        <w:t>The following table shows a comparison of satisfaction drivers across 2018–19 and 2019–20:</w:t>
      </w:r>
    </w:p>
    <w:tbl>
      <w:tblPr>
        <w:tblStyle w:val="TableGrid"/>
        <w:tblW w:w="5000" w:type="pct"/>
        <w:tblLook w:val="0000" w:firstRow="0" w:lastRow="0" w:firstColumn="0" w:lastColumn="0" w:noHBand="0" w:noVBand="0"/>
        <w:tblCaption w:val="Satisfaction drivers across 2018–19 and 2019–20"/>
        <w:tblDescription w:val="Satisfaction drivers across 2018–19 and 2019–20"/>
      </w:tblPr>
      <w:tblGrid>
        <w:gridCol w:w="4610"/>
        <w:gridCol w:w="3244"/>
        <w:gridCol w:w="3242"/>
      </w:tblGrid>
      <w:tr w:rsidR="008E273C" w:rsidTr="00017F7D">
        <w:trPr>
          <w:trHeight w:val="376"/>
          <w:tblHeader/>
        </w:trPr>
        <w:tc>
          <w:tcPr>
            <w:tcW w:w="2077" w:type="pct"/>
          </w:tcPr>
          <w:p w:rsidR="008E273C" w:rsidRDefault="008E273C" w:rsidP="00017F7D">
            <w:pPr>
              <w:pStyle w:val="BodyText"/>
            </w:pPr>
            <w:r>
              <w:rPr>
                <w:rStyle w:val="Bold"/>
              </w:rPr>
              <w:t>Satisfaction drivers</w:t>
            </w:r>
          </w:p>
        </w:tc>
        <w:tc>
          <w:tcPr>
            <w:tcW w:w="1462" w:type="pct"/>
          </w:tcPr>
          <w:p w:rsidR="008E273C" w:rsidRDefault="008E273C" w:rsidP="00017F7D">
            <w:pPr>
              <w:pStyle w:val="BodyText"/>
            </w:pPr>
            <w:r>
              <w:rPr>
                <w:rStyle w:val="Bold"/>
              </w:rPr>
              <w:t>2018–19</w:t>
            </w:r>
          </w:p>
        </w:tc>
        <w:tc>
          <w:tcPr>
            <w:tcW w:w="1462" w:type="pct"/>
          </w:tcPr>
          <w:p w:rsidR="008E273C" w:rsidRDefault="008E273C" w:rsidP="00017F7D">
            <w:pPr>
              <w:pStyle w:val="BodyText"/>
            </w:pPr>
            <w:r>
              <w:rPr>
                <w:rStyle w:val="Bold"/>
              </w:rPr>
              <w:t>2019–20</w:t>
            </w:r>
          </w:p>
        </w:tc>
      </w:tr>
      <w:tr w:rsidR="008E273C" w:rsidTr="00017F7D">
        <w:trPr>
          <w:trHeight w:val="397"/>
        </w:trPr>
        <w:tc>
          <w:tcPr>
            <w:tcW w:w="2077" w:type="pct"/>
          </w:tcPr>
          <w:p w:rsidR="008E273C" w:rsidRDefault="008E273C" w:rsidP="00017F7D">
            <w:pPr>
              <w:pStyle w:val="BodyText"/>
            </w:pPr>
            <w:r>
              <w:t>Perceived quality</w:t>
            </w:r>
          </w:p>
        </w:tc>
        <w:tc>
          <w:tcPr>
            <w:tcW w:w="1462" w:type="pct"/>
          </w:tcPr>
          <w:p w:rsidR="008E273C" w:rsidRDefault="008E273C" w:rsidP="00017F7D">
            <w:pPr>
              <w:pStyle w:val="BodyText"/>
            </w:pPr>
            <w:r>
              <w:t>80.3</w:t>
            </w:r>
          </w:p>
        </w:tc>
        <w:tc>
          <w:tcPr>
            <w:tcW w:w="1462" w:type="pct"/>
          </w:tcPr>
          <w:p w:rsidR="008E273C" w:rsidRDefault="008E273C" w:rsidP="00017F7D">
            <w:pPr>
              <w:pStyle w:val="BodyText"/>
            </w:pPr>
            <w:r>
              <w:t>84.4</w:t>
            </w:r>
          </w:p>
        </w:tc>
      </w:tr>
      <w:tr w:rsidR="008E273C" w:rsidTr="00017F7D">
        <w:trPr>
          <w:trHeight w:val="376"/>
        </w:trPr>
        <w:tc>
          <w:tcPr>
            <w:tcW w:w="2077" w:type="pct"/>
          </w:tcPr>
          <w:p w:rsidR="008E273C" w:rsidRDefault="008E273C" w:rsidP="00017F7D">
            <w:pPr>
              <w:pStyle w:val="BodyText"/>
            </w:pPr>
            <w:r>
              <w:t>Personalised service</w:t>
            </w:r>
          </w:p>
        </w:tc>
        <w:tc>
          <w:tcPr>
            <w:tcW w:w="1462" w:type="pct"/>
          </w:tcPr>
          <w:p w:rsidR="008E273C" w:rsidRDefault="008E273C" w:rsidP="00017F7D">
            <w:pPr>
              <w:pStyle w:val="BodyText"/>
            </w:pPr>
            <w:r>
              <w:t>81.6</w:t>
            </w:r>
          </w:p>
        </w:tc>
        <w:tc>
          <w:tcPr>
            <w:tcW w:w="1462" w:type="pct"/>
          </w:tcPr>
          <w:p w:rsidR="008E273C" w:rsidRDefault="008E273C" w:rsidP="00017F7D">
            <w:pPr>
              <w:pStyle w:val="BodyText"/>
            </w:pPr>
            <w:r>
              <w:t>84.1</w:t>
            </w:r>
          </w:p>
        </w:tc>
      </w:tr>
      <w:tr w:rsidR="008E273C" w:rsidTr="00017F7D">
        <w:trPr>
          <w:trHeight w:val="376"/>
        </w:trPr>
        <w:tc>
          <w:tcPr>
            <w:tcW w:w="2077" w:type="pct"/>
          </w:tcPr>
          <w:p w:rsidR="008E273C" w:rsidRDefault="008E273C" w:rsidP="00017F7D">
            <w:pPr>
              <w:pStyle w:val="BodyText"/>
            </w:pPr>
            <w:r>
              <w:t>Communication</w:t>
            </w:r>
          </w:p>
        </w:tc>
        <w:tc>
          <w:tcPr>
            <w:tcW w:w="1462" w:type="pct"/>
          </w:tcPr>
          <w:p w:rsidR="008E273C" w:rsidRDefault="008E273C" w:rsidP="00017F7D">
            <w:pPr>
              <w:pStyle w:val="BodyText"/>
            </w:pPr>
            <w:r>
              <w:t>83.1</w:t>
            </w:r>
          </w:p>
        </w:tc>
        <w:tc>
          <w:tcPr>
            <w:tcW w:w="1462" w:type="pct"/>
          </w:tcPr>
          <w:p w:rsidR="008E273C" w:rsidRDefault="008E273C" w:rsidP="00017F7D">
            <w:pPr>
              <w:pStyle w:val="BodyText"/>
            </w:pPr>
            <w:r>
              <w:t>85.5</w:t>
            </w:r>
          </w:p>
        </w:tc>
      </w:tr>
      <w:tr w:rsidR="008E273C" w:rsidTr="00017F7D">
        <w:trPr>
          <w:trHeight w:val="376"/>
        </w:trPr>
        <w:tc>
          <w:tcPr>
            <w:tcW w:w="2077" w:type="pct"/>
          </w:tcPr>
          <w:p w:rsidR="008E273C" w:rsidRDefault="008E273C" w:rsidP="00017F7D">
            <w:pPr>
              <w:pStyle w:val="BodyText"/>
            </w:pPr>
            <w:r>
              <w:t>Time to receive service</w:t>
            </w:r>
          </w:p>
        </w:tc>
        <w:tc>
          <w:tcPr>
            <w:tcW w:w="1462" w:type="pct"/>
          </w:tcPr>
          <w:p w:rsidR="008E273C" w:rsidRDefault="008E273C" w:rsidP="00017F7D">
            <w:pPr>
              <w:pStyle w:val="BodyText"/>
            </w:pPr>
            <w:r>
              <w:t>56.3</w:t>
            </w:r>
          </w:p>
        </w:tc>
        <w:tc>
          <w:tcPr>
            <w:tcW w:w="1462" w:type="pct"/>
          </w:tcPr>
          <w:p w:rsidR="008E273C" w:rsidRDefault="008E273C" w:rsidP="00017F7D">
            <w:pPr>
              <w:pStyle w:val="BodyText"/>
            </w:pPr>
            <w:r>
              <w:t>60.1</w:t>
            </w:r>
          </w:p>
        </w:tc>
      </w:tr>
      <w:tr w:rsidR="008E273C" w:rsidTr="00017F7D">
        <w:trPr>
          <w:trHeight w:val="376"/>
        </w:trPr>
        <w:tc>
          <w:tcPr>
            <w:tcW w:w="2077" w:type="pct"/>
          </w:tcPr>
          <w:p w:rsidR="008E273C" w:rsidRDefault="008E273C" w:rsidP="00017F7D">
            <w:pPr>
              <w:pStyle w:val="BodyText"/>
            </w:pPr>
            <w:r>
              <w:t>Fair treatment</w:t>
            </w:r>
          </w:p>
        </w:tc>
        <w:tc>
          <w:tcPr>
            <w:tcW w:w="1462" w:type="pct"/>
          </w:tcPr>
          <w:p w:rsidR="008E273C" w:rsidRDefault="008E273C" w:rsidP="00017F7D">
            <w:pPr>
              <w:pStyle w:val="BodyText"/>
            </w:pPr>
            <w:r>
              <w:t>85.6</w:t>
            </w:r>
          </w:p>
        </w:tc>
        <w:tc>
          <w:tcPr>
            <w:tcW w:w="1462" w:type="pct"/>
          </w:tcPr>
          <w:p w:rsidR="008E273C" w:rsidRDefault="008E273C" w:rsidP="00017F7D">
            <w:pPr>
              <w:pStyle w:val="BodyText"/>
            </w:pPr>
            <w:r>
              <w:t>87.9</w:t>
            </w:r>
          </w:p>
        </w:tc>
      </w:tr>
      <w:tr w:rsidR="008E273C" w:rsidTr="00017F7D">
        <w:trPr>
          <w:trHeight w:val="376"/>
        </w:trPr>
        <w:tc>
          <w:tcPr>
            <w:tcW w:w="2077" w:type="pct"/>
          </w:tcPr>
          <w:p w:rsidR="008E273C" w:rsidRDefault="008E273C" w:rsidP="00017F7D">
            <w:pPr>
              <w:pStyle w:val="BodyText"/>
            </w:pPr>
            <w:r>
              <w:t>Effort</w:t>
            </w:r>
          </w:p>
        </w:tc>
        <w:tc>
          <w:tcPr>
            <w:tcW w:w="1462" w:type="pct"/>
          </w:tcPr>
          <w:p w:rsidR="008E273C" w:rsidRDefault="008E273C" w:rsidP="00017F7D">
            <w:pPr>
              <w:pStyle w:val="BodyText"/>
            </w:pPr>
            <w:r>
              <w:t>70.3</w:t>
            </w:r>
          </w:p>
        </w:tc>
        <w:tc>
          <w:tcPr>
            <w:tcW w:w="1462" w:type="pct"/>
          </w:tcPr>
          <w:p w:rsidR="008E273C" w:rsidRDefault="008E273C" w:rsidP="00017F7D">
            <w:pPr>
              <w:pStyle w:val="BodyText"/>
            </w:pPr>
            <w:r>
              <w:t>74.2</w:t>
            </w:r>
          </w:p>
        </w:tc>
      </w:tr>
    </w:tbl>
    <w:p w:rsidR="008E273C" w:rsidRDefault="00AC4959" w:rsidP="008E273C">
      <w:pPr>
        <w:pStyle w:val="BodyText"/>
      </w:pPr>
      <w:r w:rsidRPr="00AC4959">
        <w:t>Method</w:t>
      </w:r>
      <w:r w:rsidRPr="00AC4959">
        <w:tab/>
      </w:r>
      <w:r w:rsidR="008E273C">
        <w:t>Customer survey.</w:t>
      </w:r>
      <w:r w:rsidR="00017F7D">
        <w:t xml:space="preserve"> </w:t>
      </w:r>
      <w:r w:rsidR="008E273C">
        <w:t>(The survey margin of error for this performance measure is less than 5 per cent.)</w:t>
      </w:r>
    </w:p>
    <w:p w:rsidR="008E273C" w:rsidRDefault="00AC4959" w:rsidP="00E42522">
      <w:pPr>
        <w:pStyle w:val="BodyText"/>
      </w:pPr>
      <w:r w:rsidRPr="00AC4959">
        <w:t>Rationale</w:t>
      </w:r>
      <w:r w:rsidRPr="00AC4959">
        <w:tab/>
      </w:r>
      <w:r w:rsidR="008E273C">
        <w:t xml:space="preserve">This performance measure supports the </w:t>
      </w:r>
      <w:proofErr w:type="gramStart"/>
      <w:r w:rsidR="008E273C">
        <w:t>agency’s</w:t>
      </w:r>
      <w:proofErr w:type="gramEnd"/>
      <w:r w:rsidR="008E273C">
        <w:t>:</w:t>
      </w:r>
    </w:p>
    <w:p w:rsidR="008E273C" w:rsidRDefault="008E273C" w:rsidP="00017F7D">
      <w:pPr>
        <w:pStyle w:val="ListBullet"/>
        <w:tabs>
          <w:tab w:val="clear" w:pos="360"/>
          <w:tab w:val="clear" w:pos="1066"/>
          <w:tab w:val="num" w:pos="1437"/>
        </w:tabs>
        <w:ind w:left="1434"/>
      </w:pPr>
      <w:r>
        <w:tab/>
        <w:t>‘service excellence’ and ‘service enablers’ strategic pillars</w:t>
      </w:r>
    </w:p>
    <w:p w:rsidR="008E273C" w:rsidRDefault="008E273C" w:rsidP="00017F7D">
      <w:pPr>
        <w:pStyle w:val="ListBullet"/>
        <w:tabs>
          <w:tab w:val="clear" w:pos="360"/>
          <w:tab w:val="clear" w:pos="1066"/>
          <w:tab w:val="num" w:pos="1437"/>
        </w:tabs>
        <w:ind w:left="1434"/>
      </w:pPr>
      <w:r>
        <w:tab/>
        <w:t>‘</w:t>
      </w:r>
      <w:proofErr w:type="gramStart"/>
      <w:r>
        <w:t>customer</w:t>
      </w:r>
      <w:proofErr w:type="gramEnd"/>
      <w:r>
        <w:t xml:space="preserve"> satisfaction’ key performance area.</w:t>
      </w:r>
    </w:p>
    <w:p w:rsidR="008E273C" w:rsidRDefault="00AC4959" w:rsidP="008E273C">
      <w:pPr>
        <w:pStyle w:val="BodyText"/>
      </w:pPr>
      <w:r w:rsidRPr="00AC4959">
        <w:lastRenderedPageBreak/>
        <w:t>Reference</w:t>
      </w:r>
      <w:r w:rsidRPr="00AC4959">
        <w:tab/>
      </w:r>
      <w:r w:rsidR="008E273C">
        <w:t>2019–20 PBS, page 34; 2019–20 Corporate Plan, page 14 (pdf), 9 (doc).</w:t>
      </w:r>
    </w:p>
    <w:p w:rsidR="008E273C" w:rsidRDefault="00AC4959" w:rsidP="008E273C">
      <w:pPr>
        <w:pStyle w:val="BodyText"/>
      </w:pPr>
      <w:r w:rsidRPr="00AC4959">
        <w:t>Data source</w:t>
      </w:r>
      <w:r w:rsidRPr="00AC4959">
        <w:tab/>
      </w:r>
      <w:r w:rsidR="008E273C">
        <w:t xml:space="preserve">Survey provider: Colmar </w:t>
      </w:r>
      <w:proofErr w:type="spellStart"/>
      <w:r w:rsidR="008E273C">
        <w:t>Brunton</w:t>
      </w:r>
      <w:proofErr w:type="spellEnd"/>
      <w:r w:rsidR="008E273C">
        <w:t>.</w:t>
      </w:r>
    </w:p>
    <w:p w:rsidR="008E273C" w:rsidRDefault="00017F7D" w:rsidP="008E273C">
      <w:pPr>
        <w:pStyle w:val="Heading5"/>
      </w:pPr>
      <w:r>
        <w:t>Criterion 2</w:t>
      </w:r>
      <w:r w:rsidR="008E273C">
        <w:t xml:space="preserve">—Customer satisfaction: Trust: customers are confident in the integrity of the advice provided to them (this performance measure was introduced in the </w:t>
      </w:r>
      <w:r w:rsidR="008E273C">
        <w:rPr>
          <w:rFonts w:ascii="Roboto-MediumItalic" w:hAnsi="Roboto-MediumItalic" w:cs="Roboto-MediumItalic"/>
          <w:i/>
          <w:iCs w:val="0"/>
        </w:rPr>
        <w:t>Services Australia 2019–20 Corporate Plan</w:t>
      </w:r>
      <w:r w:rsidR="008E273C">
        <w:t>)</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2 Overview"/>
        <w:tblDescription w:val="Criterion 2 Overview"/>
      </w:tblPr>
      <w:tblGrid>
        <w:gridCol w:w="2220"/>
        <w:gridCol w:w="2535"/>
        <w:gridCol w:w="2220"/>
        <w:gridCol w:w="2037"/>
        <w:gridCol w:w="2084"/>
      </w:tblGrid>
      <w:tr w:rsidR="008E273C" w:rsidTr="00017F7D">
        <w:trPr>
          <w:trHeight w:val="376"/>
          <w:tblHeader/>
        </w:trPr>
        <w:tc>
          <w:tcPr>
            <w:tcW w:w="1000" w:type="pct"/>
          </w:tcPr>
          <w:p w:rsidR="008E273C" w:rsidRPr="00017F7D" w:rsidRDefault="008E273C" w:rsidP="00017F7D">
            <w:pPr>
              <w:pStyle w:val="BodyText"/>
              <w:rPr>
                <w:b/>
              </w:rPr>
            </w:pPr>
            <w:r w:rsidRPr="00017F7D">
              <w:rPr>
                <w:b/>
              </w:rPr>
              <w:t>Year</w:t>
            </w:r>
          </w:p>
        </w:tc>
        <w:tc>
          <w:tcPr>
            <w:tcW w:w="1142" w:type="pct"/>
          </w:tcPr>
          <w:p w:rsidR="008E273C" w:rsidRPr="00017F7D" w:rsidRDefault="008E273C" w:rsidP="00017F7D">
            <w:pPr>
              <w:pStyle w:val="BodyText"/>
              <w:rPr>
                <w:b/>
              </w:rPr>
            </w:pPr>
            <w:r w:rsidRPr="00017F7D">
              <w:rPr>
                <w:b/>
              </w:rPr>
              <w:t>Target</w:t>
            </w:r>
          </w:p>
        </w:tc>
        <w:tc>
          <w:tcPr>
            <w:tcW w:w="1000" w:type="pct"/>
          </w:tcPr>
          <w:p w:rsidR="008E273C" w:rsidRPr="00017F7D" w:rsidRDefault="008E273C" w:rsidP="00017F7D">
            <w:pPr>
              <w:pStyle w:val="BodyText"/>
              <w:rPr>
                <w:b/>
              </w:rPr>
            </w:pPr>
            <w:r w:rsidRPr="00017F7D">
              <w:rPr>
                <w:b/>
              </w:rPr>
              <w:t>Result</w:t>
            </w:r>
          </w:p>
        </w:tc>
        <w:tc>
          <w:tcPr>
            <w:tcW w:w="918" w:type="pct"/>
          </w:tcPr>
          <w:p w:rsidR="008E273C" w:rsidRPr="00017F7D" w:rsidRDefault="008E273C" w:rsidP="00017F7D">
            <w:pPr>
              <w:pStyle w:val="BodyText"/>
              <w:rPr>
                <w:b/>
              </w:rPr>
            </w:pPr>
            <w:r w:rsidRPr="00017F7D">
              <w:rPr>
                <w:b/>
              </w:rPr>
              <w:t>Achieved</w:t>
            </w:r>
          </w:p>
        </w:tc>
        <w:tc>
          <w:tcPr>
            <w:tcW w:w="939" w:type="pct"/>
          </w:tcPr>
          <w:p w:rsidR="008E273C" w:rsidRPr="00017F7D" w:rsidRDefault="008E273C" w:rsidP="00017F7D">
            <w:pPr>
              <w:pStyle w:val="BodyText"/>
              <w:rPr>
                <w:b/>
              </w:rPr>
            </w:pPr>
            <w:r w:rsidRPr="00017F7D">
              <w:rPr>
                <w:b/>
              </w:rPr>
              <w:t>Change</w:t>
            </w:r>
          </w:p>
        </w:tc>
      </w:tr>
      <w:tr w:rsidR="008E273C" w:rsidTr="00017F7D">
        <w:trPr>
          <w:trHeight w:val="376"/>
        </w:trPr>
        <w:tc>
          <w:tcPr>
            <w:tcW w:w="1000" w:type="pct"/>
          </w:tcPr>
          <w:p w:rsidR="008E273C" w:rsidRDefault="008E273C" w:rsidP="00017F7D">
            <w:pPr>
              <w:pStyle w:val="BodyText"/>
            </w:pPr>
            <w:r>
              <w:t>2019–20</w:t>
            </w:r>
          </w:p>
        </w:tc>
        <w:tc>
          <w:tcPr>
            <w:tcW w:w="1142" w:type="pct"/>
          </w:tcPr>
          <w:p w:rsidR="008E273C" w:rsidRDefault="008E273C" w:rsidP="00017F7D">
            <w:pPr>
              <w:pStyle w:val="BodyText"/>
            </w:pPr>
            <w:r>
              <w:t>Baseline</w:t>
            </w:r>
          </w:p>
        </w:tc>
        <w:tc>
          <w:tcPr>
            <w:tcW w:w="1000" w:type="pct"/>
          </w:tcPr>
          <w:p w:rsidR="008E273C" w:rsidRDefault="008E273C" w:rsidP="00017F7D">
            <w:pPr>
              <w:pStyle w:val="BodyText"/>
            </w:pPr>
            <w:r>
              <w:t>70.8</w:t>
            </w:r>
          </w:p>
        </w:tc>
        <w:tc>
          <w:tcPr>
            <w:tcW w:w="918" w:type="pct"/>
          </w:tcPr>
          <w:p w:rsidR="008E273C" w:rsidRDefault="008E273C" w:rsidP="00017F7D">
            <w:pPr>
              <w:pStyle w:val="BodyText"/>
            </w:pPr>
            <w:r>
              <w:t>NA</w:t>
            </w:r>
          </w:p>
        </w:tc>
        <w:tc>
          <w:tcPr>
            <w:tcW w:w="939" w:type="pct"/>
          </w:tcPr>
          <w:p w:rsidR="008E273C" w:rsidRDefault="008E273C" w:rsidP="00017F7D">
            <w:pPr>
              <w:pStyle w:val="BodyText"/>
            </w:pPr>
            <w:r>
              <w:t>NA</w:t>
            </w:r>
          </w:p>
        </w:tc>
      </w:tr>
    </w:tbl>
    <w:p w:rsidR="008E273C" w:rsidRDefault="00AC4959" w:rsidP="00AC4959">
      <w:pPr>
        <w:pStyle w:val="BodyText"/>
        <w:rPr>
          <w:rStyle w:val="Bold"/>
        </w:rPr>
      </w:pPr>
      <w:r>
        <w:rPr>
          <w:rStyle w:val="Bold"/>
        </w:rPr>
        <w:t>Analysis</w:t>
      </w:r>
    </w:p>
    <w:p w:rsidR="008E273C" w:rsidRDefault="008E273C" w:rsidP="008E273C">
      <w:pPr>
        <w:pStyle w:val="BodyText"/>
      </w:pPr>
      <w:r>
        <w:t>The agency baselined customer trust in 2019–20 by asking customers a question as part of its satisfaction and experience survey ‘Thinking about Child Support overall. Using a scale of 1 to 5 where 1 is ‘don’t trust them at all’ and 5 is ‘trust them completely’, to what extent would you say you trust Child Support?’</w:t>
      </w:r>
    </w:p>
    <w:p w:rsidR="008E273C" w:rsidRDefault="008E273C" w:rsidP="008E273C">
      <w:pPr>
        <w:pStyle w:val="BodyText"/>
      </w:pPr>
      <w:r>
        <w:t>Based on the current single trust question asked as part of the satisfaction and experience survey, customer trust results for Child Support trended upwards throughout 2019–20, increasing from 68.5 in July 2019 to 73.6 in June 2020. Increased customer trust results between March and June align with the improvements observed with customer satisfaction and reflects the agency’s timely response to COVID-19; however, no conclusions can be made regarding which business initiatives had a direct impact on trust.</w:t>
      </w:r>
    </w:p>
    <w:p w:rsidR="008E273C" w:rsidRDefault="008E273C" w:rsidP="008E273C">
      <w:pPr>
        <w:pStyle w:val="BodyText"/>
      </w:pPr>
      <w:r>
        <w:t xml:space="preserve">The agency has engaged its external social and market research provider Colmar </w:t>
      </w:r>
      <w:proofErr w:type="spellStart"/>
      <w:r>
        <w:t>Brunton</w:t>
      </w:r>
      <w:proofErr w:type="spellEnd"/>
      <w:r>
        <w:t xml:space="preserve"> to provide additional insights into the factors that influence an individual’s level of trust. This will assist the agency develop a more comprehensive trust measure throughout 2020–21 and help transform the relationship it holds with customers and effectively respond to issues associated with customer trust.</w:t>
      </w:r>
    </w:p>
    <w:p w:rsidR="008E273C" w:rsidRDefault="008E273C" w:rsidP="008E273C">
      <w:pPr>
        <w:pStyle w:val="BodyText"/>
      </w:pPr>
      <w:r>
        <w:t>It is noted that for 2019–20, there was a difference between the title of the customer trust performance measure and the data used to measure it. T</w:t>
      </w:r>
      <w:r>
        <w:rPr>
          <w:rStyle w:val="NoBreak"/>
        </w:rPr>
        <w:t>he ag</w:t>
      </w:r>
      <w:r>
        <w:t>ency will address this in developing a more comprehensive trust measure during 2020–21.</w:t>
      </w:r>
    </w:p>
    <w:p w:rsidR="008E273C" w:rsidRDefault="008E273C" w:rsidP="008E273C">
      <w:pPr>
        <w:pStyle w:val="BodyText"/>
      </w:pPr>
      <w:r>
        <w:rPr>
          <w:spacing w:val="-2"/>
        </w:rPr>
        <w:t xml:space="preserve">For more information, refer to </w:t>
      </w:r>
      <w:r>
        <w:rPr>
          <w:rStyle w:val="Italic"/>
          <w:spacing w:val="-2"/>
        </w:rPr>
        <w:t xml:space="preserve">1.2 </w:t>
      </w:r>
      <w:proofErr w:type="gramStart"/>
      <w:r>
        <w:rPr>
          <w:rStyle w:val="Italic"/>
          <w:spacing w:val="-2"/>
        </w:rPr>
        <w:t>Improving</w:t>
      </w:r>
      <w:proofErr w:type="gramEnd"/>
      <w:r>
        <w:rPr>
          <w:rStyle w:val="Italic"/>
          <w:spacing w:val="-2"/>
        </w:rPr>
        <w:t xml:space="preserve"> customer experiences</w:t>
      </w:r>
      <w:r>
        <w:rPr>
          <w:spacing w:val="-2"/>
        </w:rPr>
        <w:t xml:space="preserve"> at page 4.</w:t>
      </w:r>
    </w:p>
    <w:p w:rsidR="008E273C" w:rsidRDefault="00AC4959" w:rsidP="008E273C">
      <w:pPr>
        <w:pStyle w:val="BodyText"/>
      </w:pPr>
      <w:r w:rsidRPr="00AC4959">
        <w:t>Method</w:t>
      </w:r>
      <w:r w:rsidRPr="00AC4959">
        <w:tab/>
      </w:r>
      <w:r w:rsidR="008E273C">
        <w:t>Customer survey.</w:t>
      </w:r>
      <w:r w:rsidR="00017F7D">
        <w:t xml:space="preserve"> </w:t>
      </w:r>
      <w:r w:rsidR="008E273C">
        <w:t>(The survey margin of error for this performance measure is less than 5 per cent.)</w:t>
      </w:r>
    </w:p>
    <w:p w:rsidR="008E273C" w:rsidRDefault="00017F7D"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017F7D">
      <w:pPr>
        <w:pStyle w:val="ListBullet"/>
        <w:tabs>
          <w:tab w:val="clear" w:pos="360"/>
          <w:tab w:val="clear" w:pos="1066"/>
          <w:tab w:val="num" w:pos="1437"/>
        </w:tabs>
        <w:ind w:left="1434"/>
      </w:pPr>
      <w:r>
        <w:tab/>
        <w:t>‘service excellence’ and ‘service enablers’ strategic pillars</w:t>
      </w:r>
    </w:p>
    <w:p w:rsidR="008E273C" w:rsidRDefault="008E273C" w:rsidP="00017F7D">
      <w:pPr>
        <w:pStyle w:val="ListBullet"/>
        <w:tabs>
          <w:tab w:val="clear" w:pos="360"/>
          <w:tab w:val="clear" w:pos="1066"/>
          <w:tab w:val="num" w:pos="1437"/>
        </w:tabs>
        <w:ind w:left="1434"/>
      </w:pPr>
      <w:r>
        <w:tab/>
        <w:t>‘</w:t>
      </w:r>
      <w:proofErr w:type="gramStart"/>
      <w:r>
        <w:t>customer</w:t>
      </w:r>
      <w:proofErr w:type="gramEnd"/>
      <w:r>
        <w:t xml:space="preserve"> satisfaction’ key performance area.</w:t>
      </w:r>
    </w:p>
    <w:p w:rsidR="008E273C" w:rsidRDefault="00AC4959" w:rsidP="008E273C">
      <w:pPr>
        <w:pStyle w:val="BodyText"/>
      </w:pPr>
      <w:r w:rsidRPr="00AC4959">
        <w:t>Reference</w:t>
      </w:r>
      <w:r w:rsidRPr="00AC4959">
        <w:tab/>
      </w:r>
      <w:r w:rsidR="008E273C">
        <w:t>2019–20 Corporate Plan, page 14 (pdf), 9 (doc).</w:t>
      </w:r>
    </w:p>
    <w:p w:rsidR="008E273C" w:rsidRDefault="00AC4959" w:rsidP="008E273C">
      <w:pPr>
        <w:pStyle w:val="BodyText"/>
      </w:pPr>
      <w:r w:rsidRPr="00AC4959">
        <w:t>Data source</w:t>
      </w:r>
      <w:r w:rsidRPr="00AC4959">
        <w:tab/>
      </w:r>
      <w:r w:rsidR="008E273C">
        <w:t xml:space="preserve">Survey provider: Colmar </w:t>
      </w:r>
      <w:proofErr w:type="spellStart"/>
      <w:r w:rsidR="008E273C">
        <w:t>Brunton</w:t>
      </w:r>
      <w:proofErr w:type="spellEnd"/>
      <w:r w:rsidR="008E273C">
        <w:t>.</w:t>
      </w:r>
    </w:p>
    <w:p w:rsidR="00017F7D" w:rsidRDefault="00017F7D" w:rsidP="008E273C">
      <w:pPr>
        <w:pStyle w:val="Heading5"/>
        <w:rPr>
          <w:rStyle w:val="Italic"/>
          <w:rFonts w:ascii="Roboto-MediumItalic" w:hAnsi="Roboto-MediumItalic" w:cs="Roboto-MediumItalic"/>
        </w:rPr>
      </w:pPr>
      <w:r>
        <w:t>Criterion 3</w:t>
      </w:r>
      <w:r w:rsidR="008E273C">
        <w:t xml:space="preserve">—Achievement of digital service level standards: Departmental interactions completed via digital channels </w:t>
      </w:r>
      <w:r w:rsidR="008E273C">
        <w:rPr>
          <w:rStyle w:val="Italic"/>
          <w:rFonts w:ascii="Roboto-MediumItalic" w:hAnsi="Roboto-MediumItalic" w:cs="Roboto-MediumItalic"/>
        </w:rPr>
        <w:t>(PBS)</w:t>
      </w:r>
      <w:r>
        <w:rPr>
          <w:rStyle w:val="Italic"/>
          <w:rFonts w:ascii="Roboto-MediumItalic" w:hAnsi="Roboto-MediumItalic" w:cs="Roboto-MediumItalic"/>
        </w:rPr>
        <w:t xml:space="preserve"> </w:t>
      </w:r>
    </w:p>
    <w:p w:rsidR="008E273C" w:rsidRDefault="008E273C" w:rsidP="008E273C">
      <w:pPr>
        <w:pStyle w:val="Heading5"/>
      </w:pPr>
      <w:r>
        <w:lastRenderedPageBreak/>
        <w:t xml:space="preserve">Customers interacting digitally: Interactions conducted through digital channels </w:t>
      </w:r>
      <w:r>
        <w:rPr>
          <w:rFonts w:ascii="Roboto-MediumItalic" w:hAnsi="Roboto-MediumItalic" w:cs="Roboto-MediumItalic"/>
          <w:i/>
          <w:iCs w:val="0"/>
        </w:rPr>
        <w:t>(Corporate Plan)</w:t>
      </w:r>
    </w:p>
    <w:p w:rsidR="008E273C" w:rsidRDefault="00AC4959" w:rsidP="00017F7D">
      <w:pPr>
        <w:pStyle w:val="BodyText"/>
      </w:pPr>
      <w:r>
        <w:rPr>
          <w:rStyle w:val="Bold"/>
        </w:rPr>
        <w:t>Overview</w:t>
      </w:r>
    </w:p>
    <w:tbl>
      <w:tblPr>
        <w:tblStyle w:val="TableGrid"/>
        <w:tblW w:w="5000" w:type="pct"/>
        <w:tblLook w:val="0000" w:firstRow="0" w:lastRow="0" w:firstColumn="0" w:lastColumn="0" w:noHBand="0" w:noVBand="0"/>
        <w:tblCaption w:val="Criterion 3 Overview"/>
        <w:tblDescription w:val="Criterion 3 Overview"/>
      </w:tblPr>
      <w:tblGrid>
        <w:gridCol w:w="2220"/>
        <w:gridCol w:w="2360"/>
        <w:gridCol w:w="2701"/>
        <w:gridCol w:w="1820"/>
        <w:gridCol w:w="1995"/>
      </w:tblGrid>
      <w:tr w:rsidR="008E273C" w:rsidTr="00017F7D">
        <w:trPr>
          <w:trHeight w:val="376"/>
          <w:tblHeader/>
        </w:trPr>
        <w:tc>
          <w:tcPr>
            <w:tcW w:w="1000" w:type="pct"/>
          </w:tcPr>
          <w:p w:rsidR="008E273C" w:rsidRPr="00017F7D" w:rsidRDefault="008E273C" w:rsidP="00017F7D">
            <w:pPr>
              <w:pStyle w:val="BodyText"/>
              <w:rPr>
                <w:b/>
              </w:rPr>
            </w:pPr>
            <w:r w:rsidRPr="00017F7D">
              <w:rPr>
                <w:b/>
              </w:rPr>
              <w:t>Year</w:t>
            </w:r>
          </w:p>
        </w:tc>
        <w:tc>
          <w:tcPr>
            <w:tcW w:w="1063" w:type="pct"/>
          </w:tcPr>
          <w:p w:rsidR="008E273C" w:rsidRPr="00017F7D" w:rsidRDefault="008E273C" w:rsidP="00017F7D">
            <w:pPr>
              <w:pStyle w:val="BodyText"/>
              <w:rPr>
                <w:b/>
              </w:rPr>
            </w:pPr>
            <w:r w:rsidRPr="00017F7D">
              <w:rPr>
                <w:b/>
              </w:rPr>
              <w:t>Target</w:t>
            </w:r>
          </w:p>
        </w:tc>
        <w:tc>
          <w:tcPr>
            <w:tcW w:w="1217" w:type="pct"/>
          </w:tcPr>
          <w:p w:rsidR="008E273C" w:rsidRPr="00017F7D" w:rsidRDefault="008E273C" w:rsidP="00017F7D">
            <w:pPr>
              <w:pStyle w:val="BodyText"/>
              <w:rPr>
                <w:b/>
              </w:rPr>
            </w:pPr>
            <w:r w:rsidRPr="00017F7D">
              <w:rPr>
                <w:b/>
              </w:rPr>
              <w:t>Result</w:t>
            </w:r>
          </w:p>
        </w:tc>
        <w:tc>
          <w:tcPr>
            <w:tcW w:w="820" w:type="pct"/>
          </w:tcPr>
          <w:p w:rsidR="008E273C" w:rsidRPr="00017F7D" w:rsidRDefault="008E273C" w:rsidP="00017F7D">
            <w:pPr>
              <w:pStyle w:val="BodyText"/>
              <w:rPr>
                <w:b/>
              </w:rPr>
            </w:pPr>
            <w:r w:rsidRPr="00017F7D">
              <w:rPr>
                <w:b/>
              </w:rPr>
              <w:t>Achieved</w:t>
            </w:r>
          </w:p>
        </w:tc>
        <w:tc>
          <w:tcPr>
            <w:tcW w:w="899" w:type="pct"/>
          </w:tcPr>
          <w:p w:rsidR="008E273C" w:rsidRPr="00017F7D" w:rsidRDefault="008E273C" w:rsidP="00017F7D">
            <w:pPr>
              <w:pStyle w:val="BodyText"/>
              <w:rPr>
                <w:b/>
              </w:rPr>
            </w:pPr>
            <w:r w:rsidRPr="00017F7D">
              <w:rPr>
                <w:b/>
              </w:rPr>
              <w:t>Change</w:t>
            </w:r>
          </w:p>
          <w:p w:rsidR="008E273C" w:rsidRPr="00017F7D" w:rsidRDefault="008E273C" w:rsidP="00017F7D">
            <w:pPr>
              <w:pStyle w:val="BodyText"/>
              <w:rPr>
                <w:b/>
              </w:rPr>
            </w:pPr>
            <w:r w:rsidRPr="00017F7D">
              <w:rPr>
                <w:b/>
              </w:rPr>
              <w:t>(% points)</w:t>
            </w:r>
          </w:p>
        </w:tc>
      </w:tr>
      <w:tr w:rsidR="00657D31" w:rsidTr="00017F7D">
        <w:trPr>
          <w:trHeight w:val="376"/>
        </w:trPr>
        <w:tc>
          <w:tcPr>
            <w:tcW w:w="1000" w:type="pct"/>
          </w:tcPr>
          <w:p w:rsidR="00657D31" w:rsidRDefault="00657D31" w:rsidP="00657D31">
            <w:pPr>
              <w:pStyle w:val="BodyText"/>
            </w:pPr>
            <w:r>
              <w:t>2019–20</w:t>
            </w:r>
          </w:p>
        </w:tc>
        <w:tc>
          <w:tcPr>
            <w:tcW w:w="1063" w:type="pct"/>
          </w:tcPr>
          <w:p w:rsidR="00657D31" w:rsidRDefault="00657D31" w:rsidP="00657D31">
            <w:pPr>
              <w:pStyle w:val="BodyText"/>
            </w:pPr>
            <w:r>
              <w:t>≥5% increase</w:t>
            </w:r>
          </w:p>
        </w:tc>
        <w:tc>
          <w:tcPr>
            <w:tcW w:w="1217" w:type="pct"/>
          </w:tcPr>
          <w:p w:rsidR="00657D31" w:rsidRDefault="00657D31" w:rsidP="00657D31">
            <w:pPr>
              <w:pStyle w:val="BodyText"/>
            </w:pPr>
            <w:r>
              <w:t>10.2% increase</w:t>
            </w:r>
          </w:p>
        </w:tc>
        <w:tc>
          <w:tcPr>
            <w:tcW w:w="820" w:type="pct"/>
          </w:tcPr>
          <w:p w:rsidR="00657D31" w:rsidRPr="00657D31" w:rsidRDefault="00657D31" w:rsidP="00657D31">
            <w:pPr>
              <w:pStyle w:val="BodyText"/>
            </w:pPr>
            <w:r w:rsidRPr="00657D31">
              <w:t>Yes</w:t>
            </w:r>
          </w:p>
        </w:tc>
        <w:tc>
          <w:tcPr>
            <w:tcW w:w="899" w:type="pct"/>
          </w:tcPr>
          <w:p w:rsidR="00657D31" w:rsidRDefault="00657D31" w:rsidP="00657D31">
            <w:pPr>
              <w:pStyle w:val="BodyText"/>
            </w:pPr>
            <w:r>
              <w:t>+1.9</w:t>
            </w:r>
          </w:p>
        </w:tc>
      </w:tr>
      <w:tr w:rsidR="00657D31" w:rsidTr="00017F7D">
        <w:trPr>
          <w:trHeight w:val="376"/>
        </w:trPr>
        <w:tc>
          <w:tcPr>
            <w:tcW w:w="1000" w:type="pct"/>
          </w:tcPr>
          <w:p w:rsidR="00657D31" w:rsidRDefault="00657D31" w:rsidP="00657D31">
            <w:pPr>
              <w:pStyle w:val="BodyText"/>
            </w:pPr>
            <w:r>
              <w:t>2018–19</w:t>
            </w:r>
          </w:p>
        </w:tc>
        <w:tc>
          <w:tcPr>
            <w:tcW w:w="1063" w:type="pct"/>
          </w:tcPr>
          <w:p w:rsidR="00657D31" w:rsidRDefault="00657D31" w:rsidP="00657D31">
            <w:pPr>
              <w:pStyle w:val="BodyText"/>
            </w:pPr>
            <w:r>
              <w:t>≥5% increase</w:t>
            </w:r>
          </w:p>
        </w:tc>
        <w:tc>
          <w:tcPr>
            <w:tcW w:w="1217" w:type="pct"/>
          </w:tcPr>
          <w:p w:rsidR="00657D31" w:rsidRDefault="00657D31" w:rsidP="00657D31">
            <w:pPr>
              <w:pStyle w:val="BodyText"/>
            </w:pPr>
            <w:r>
              <w:t>8.3% increase</w:t>
            </w:r>
          </w:p>
        </w:tc>
        <w:tc>
          <w:tcPr>
            <w:tcW w:w="820" w:type="pct"/>
          </w:tcPr>
          <w:p w:rsidR="00657D31" w:rsidRPr="00657D31" w:rsidRDefault="00657D31" w:rsidP="00657D31">
            <w:pPr>
              <w:pStyle w:val="BodyText"/>
            </w:pPr>
            <w:r w:rsidRPr="00657D31">
              <w:t>Yes</w:t>
            </w:r>
          </w:p>
        </w:tc>
        <w:tc>
          <w:tcPr>
            <w:tcW w:w="899" w:type="pct"/>
          </w:tcPr>
          <w:p w:rsidR="00657D31" w:rsidRDefault="00657D31" w:rsidP="00657D31">
            <w:pPr>
              <w:pStyle w:val="BodyText"/>
            </w:pPr>
            <w:r>
              <w:t>+7</w:t>
            </w:r>
          </w:p>
        </w:tc>
      </w:tr>
      <w:tr w:rsidR="00657D31" w:rsidTr="00017F7D">
        <w:trPr>
          <w:trHeight w:val="376"/>
        </w:trPr>
        <w:tc>
          <w:tcPr>
            <w:tcW w:w="1000" w:type="pct"/>
          </w:tcPr>
          <w:p w:rsidR="00657D31" w:rsidRDefault="00657D31" w:rsidP="00657D31">
            <w:pPr>
              <w:pStyle w:val="BodyText"/>
            </w:pPr>
            <w:r>
              <w:t>2017–18</w:t>
            </w:r>
          </w:p>
        </w:tc>
        <w:tc>
          <w:tcPr>
            <w:tcW w:w="1063" w:type="pct"/>
          </w:tcPr>
          <w:p w:rsidR="00657D31" w:rsidRDefault="00657D31" w:rsidP="00657D31">
            <w:pPr>
              <w:pStyle w:val="BodyText"/>
            </w:pPr>
            <w:r>
              <w:t>≥5% increase</w:t>
            </w:r>
          </w:p>
        </w:tc>
        <w:tc>
          <w:tcPr>
            <w:tcW w:w="1217" w:type="pct"/>
          </w:tcPr>
          <w:p w:rsidR="00657D31" w:rsidRDefault="00657D31" w:rsidP="00657D31">
            <w:pPr>
              <w:pStyle w:val="BodyText"/>
            </w:pPr>
            <w:r>
              <w:t>1.3% increase</w:t>
            </w:r>
          </w:p>
        </w:tc>
        <w:tc>
          <w:tcPr>
            <w:tcW w:w="820" w:type="pct"/>
          </w:tcPr>
          <w:p w:rsidR="00657D31" w:rsidRPr="00657D31" w:rsidRDefault="00657D31" w:rsidP="00657D31">
            <w:pPr>
              <w:pStyle w:val="BodyText"/>
            </w:pPr>
            <w:r>
              <w:t>No</w:t>
            </w:r>
          </w:p>
        </w:tc>
        <w:tc>
          <w:tcPr>
            <w:tcW w:w="899" w:type="pct"/>
          </w:tcPr>
          <w:p w:rsidR="00657D31" w:rsidRDefault="00657D31" w:rsidP="00657D31">
            <w:pPr>
              <w:pStyle w:val="BodyText"/>
            </w:pPr>
            <w:r>
              <w:t>+3.7</w:t>
            </w:r>
          </w:p>
        </w:tc>
      </w:tr>
    </w:tbl>
    <w:p w:rsidR="008E273C" w:rsidRDefault="00AC4959" w:rsidP="00AC4959">
      <w:pPr>
        <w:pStyle w:val="BodyText"/>
        <w:rPr>
          <w:rStyle w:val="Bold"/>
        </w:rPr>
      </w:pPr>
      <w:r>
        <w:rPr>
          <w:rStyle w:val="Bold"/>
        </w:rPr>
        <w:t>Analysis</w:t>
      </w:r>
    </w:p>
    <w:p w:rsidR="008E273C" w:rsidRDefault="008E273C" w:rsidP="008E273C">
      <w:pPr>
        <w:pStyle w:val="BodyText"/>
      </w:pPr>
      <w:r>
        <w:t>Electronic payment transactions and electronic letters continue to be the highest volume interactions. Changes in these volumes have the greatest influence on whether or not the agency meets the annual target.</w:t>
      </w:r>
    </w:p>
    <w:p w:rsidR="008E273C" w:rsidRDefault="008E273C" w:rsidP="008E273C">
      <w:pPr>
        <w:pStyle w:val="BodyText"/>
      </w:pPr>
      <w:r>
        <w:t>A promotional campaign was initiated with targeted communications sent to staff to encourage Child Support customers to receive their mail online rather than by surface mail.</w:t>
      </w:r>
    </w:p>
    <w:p w:rsidR="008E273C" w:rsidRDefault="008E273C" w:rsidP="008E273C">
      <w:pPr>
        <w:pStyle w:val="BodyText"/>
        <w:rPr>
          <w:rStyle w:val="NoBreak"/>
        </w:rPr>
      </w:pPr>
      <w:r>
        <w:t xml:space="preserve">Launched on 16 November 2019, the upgraded Express </w:t>
      </w:r>
      <w:proofErr w:type="gramStart"/>
      <w:r>
        <w:t>Plus</w:t>
      </w:r>
      <w:proofErr w:type="gramEnd"/>
      <w:r>
        <w:t xml:space="preserve"> C</w:t>
      </w:r>
      <w:r>
        <w:rPr>
          <w:rStyle w:val="NoBreak"/>
        </w:rPr>
        <w:t>hild Suppo</w:t>
      </w:r>
      <w:r>
        <w:t>rt mobile application also contributed to the increase in online account transactions, in particular due to a simpler way for customers to uplo</w:t>
      </w:r>
      <w:r>
        <w:rPr>
          <w:rStyle w:val="NoBreak"/>
        </w:rPr>
        <w:t xml:space="preserve">ad documents.  </w:t>
      </w:r>
    </w:p>
    <w:p w:rsidR="008E273C" w:rsidRDefault="008E273C" w:rsidP="008E273C">
      <w:pPr>
        <w:pStyle w:val="BodyText"/>
      </w:pPr>
      <w:r>
        <w:t xml:space="preserve">The majority of Child Support Registrations (new applications for child support) are completed online (90.1 per cent). </w:t>
      </w:r>
    </w:p>
    <w:p w:rsidR="008E273C" w:rsidRDefault="008E273C" w:rsidP="008E273C">
      <w:pPr>
        <w:pStyle w:val="BodyText"/>
      </w:pPr>
      <w:r>
        <w:t>The bushfires and COVID-19 did not affect the agency’s ability to meet the annual target.</w:t>
      </w:r>
    </w:p>
    <w:p w:rsidR="008E273C" w:rsidRDefault="00AC4959" w:rsidP="008E273C">
      <w:pPr>
        <w:pStyle w:val="BodyText"/>
      </w:pPr>
      <w:r w:rsidRPr="00AC4959">
        <w:t>Method</w:t>
      </w:r>
      <w:r w:rsidR="008E273C">
        <w:tab/>
        <w:t>Data mining.</w:t>
      </w:r>
    </w:p>
    <w:p w:rsidR="008E273C" w:rsidRDefault="00017F7D"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017F7D">
      <w:pPr>
        <w:pStyle w:val="ListBullet"/>
        <w:tabs>
          <w:tab w:val="clear" w:pos="360"/>
          <w:tab w:val="clear" w:pos="1066"/>
          <w:tab w:val="num" w:pos="1437"/>
        </w:tabs>
        <w:ind w:left="1434"/>
      </w:pPr>
      <w:r>
        <w:t>‘service excellence’ strategic pillar</w:t>
      </w:r>
    </w:p>
    <w:p w:rsidR="008E273C" w:rsidRDefault="008E273C" w:rsidP="00017F7D">
      <w:pPr>
        <w:pStyle w:val="ListBullet"/>
        <w:tabs>
          <w:tab w:val="clear" w:pos="360"/>
          <w:tab w:val="clear" w:pos="1066"/>
          <w:tab w:val="num" w:pos="1437"/>
        </w:tabs>
        <w:ind w:left="1434"/>
      </w:pPr>
      <w:r>
        <w:t>‘</w:t>
      </w:r>
      <w:proofErr w:type="gramStart"/>
      <w:r>
        <w:t>customers</w:t>
      </w:r>
      <w:proofErr w:type="gramEnd"/>
      <w:r>
        <w:t xml:space="preserve"> interacting digitally’ key performance area.</w:t>
      </w:r>
    </w:p>
    <w:p w:rsidR="008E273C" w:rsidRDefault="00AC4959" w:rsidP="008E273C">
      <w:pPr>
        <w:pStyle w:val="BodyText"/>
      </w:pPr>
      <w:r w:rsidRPr="00AC4959">
        <w:t>Reference</w:t>
      </w:r>
      <w:r w:rsidR="008E273C">
        <w:tab/>
        <w:t>2019–20 PBS, page 34; 2019–20 Corporate Plan, page 15 (pdf), 10 (doc).</w:t>
      </w:r>
    </w:p>
    <w:p w:rsidR="008E273C" w:rsidRPr="00017F7D" w:rsidRDefault="00AC4959" w:rsidP="008E273C">
      <w:pPr>
        <w:pStyle w:val="BodyText"/>
      </w:pPr>
      <w:r w:rsidRPr="00AC4959">
        <w:t>Data source</w:t>
      </w:r>
      <w:r w:rsidR="008E273C">
        <w:tab/>
      </w:r>
      <w:proofErr w:type="gramStart"/>
      <w:r w:rsidR="008E273C">
        <w:t>Internal</w:t>
      </w:r>
      <w:proofErr w:type="gramEnd"/>
      <w:r w:rsidR="008E273C">
        <w:t xml:space="preserve"> data sources, including: Online IMS Reporting, COGNOS, </w:t>
      </w:r>
      <w:proofErr w:type="spellStart"/>
      <w:r w:rsidR="008E273C">
        <w:t>Infoserve</w:t>
      </w:r>
      <w:proofErr w:type="spellEnd"/>
      <w:r w:rsidR="008E273C">
        <w:t xml:space="preserve"> Reporting, SAP Outbound Correspondence, Pluto Online Services, Excel workbooks for electronic payments, and Child Support Adams System.</w:t>
      </w:r>
    </w:p>
    <w:p w:rsidR="008E273C" w:rsidRDefault="00017F7D" w:rsidP="008E273C">
      <w:pPr>
        <w:pStyle w:val="Heading5"/>
      </w:pPr>
      <w:r w:rsidRPr="00017F7D">
        <w:t>Criterion 4</w:t>
      </w:r>
      <w:r w:rsidR="008E273C" w:rsidRPr="00017F7D">
        <w:t>—Achievement of digita</w:t>
      </w:r>
      <w:r w:rsidR="008E273C">
        <w:t xml:space="preserve">l service level standards: Availability of ICT services excluding scheduled maintenance periods that support 24/7 customer access </w:t>
      </w:r>
      <w:r w:rsidR="008E273C">
        <w:rPr>
          <w:rStyle w:val="Bolditalic"/>
        </w:rPr>
        <w:t>(PBS)</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4 Overview"/>
        <w:tblDescription w:val="Criterion 4 Overview"/>
      </w:tblPr>
      <w:tblGrid>
        <w:gridCol w:w="2219"/>
        <w:gridCol w:w="2359"/>
        <w:gridCol w:w="2379"/>
        <w:gridCol w:w="1820"/>
        <w:gridCol w:w="2319"/>
      </w:tblGrid>
      <w:tr w:rsidR="008E273C" w:rsidTr="00017F7D">
        <w:trPr>
          <w:trHeight w:val="376"/>
          <w:tblHeader/>
        </w:trPr>
        <w:tc>
          <w:tcPr>
            <w:tcW w:w="1000" w:type="pct"/>
          </w:tcPr>
          <w:p w:rsidR="008E273C" w:rsidRPr="00017F7D" w:rsidRDefault="008E273C" w:rsidP="00017F7D">
            <w:pPr>
              <w:pStyle w:val="BodyText"/>
              <w:rPr>
                <w:b/>
              </w:rPr>
            </w:pPr>
            <w:r w:rsidRPr="00017F7D">
              <w:rPr>
                <w:b/>
              </w:rPr>
              <w:lastRenderedPageBreak/>
              <w:t>Year</w:t>
            </w:r>
          </w:p>
        </w:tc>
        <w:tc>
          <w:tcPr>
            <w:tcW w:w="1063" w:type="pct"/>
          </w:tcPr>
          <w:p w:rsidR="008E273C" w:rsidRPr="00017F7D" w:rsidRDefault="008E273C" w:rsidP="00017F7D">
            <w:pPr>
              <w:pStyle w:val="BodyText"/>
              <w:rPr>
                <w:b/>
              </w:rPr>
            </w:pPr>
            <w:r w:rsidRPr="00017F7D">
              <w:rPr>
                <w:b/>
              </w:rPr>
              <w:t>Target</w:t>
            </w:r>
          </w:p>
        </w:tc>
        <w:tc>
          <w:tcPr>
            <w:tcW w:w="1072" w:type="pct"/>
          </w:tcPr>
          <w:p w:rsidR="008E273C" w:rsidRPr="00017F7D" w:rsidRDefault="008E273C" w:rsidP="00017F7D">
            <w:pPr>
              <w:pStyle w:val="BodyText"/>
              <w:rPr>
                <w:b/>
              </w:rPr>
            </w:pPr>
            <w:r w:rsidRPr="00017F7D">
              <w:rPr>
                <w:b/>
              </w:rPr>
              <w:t>Result</w:t>
            </w:r>
          </w:p>
        </w:tc>
        <w:tc>
          <w:tcPr>
            <w:tcW w:w="820" w:type="pct"/>
          </w:tcPr>
          <w:p w:rsidR="008E273C" w:rsidRPr="00017F7D" w:rsidRDefault="008E273C" w:rsidP="00017F7D">
            <w:pPr>
              <w:pStyle w:val="BodyText"/>
              <w:rPr>
                <w:b/>
              </w:rPr>
            </w:pPr>
            <w:r w:rsidRPr="00017F7D">
              <w:rPr>
                <w:b/>
              </w:rPr>
              <w:t>Achieved</w:t>
            </w:r>
          </w:p>
        </w:tc>
        <w:tc>
          <w:tcPr>
            <w:tcW w:w="1045" w:type="pct"/>
          </w:tcPr>
          <w:p w:rsidR="008E273C" w:rsidRPr="00017F7D" w:rsidRDefault="008E273C" w:rsidP="00017F7D">
            <w:pPr>
              <w:pStyle w:val="BodyText"/>
              <w:rPr>
                <w:b/>
              </w:rPr>
            </w:pPr>
            <w:r w:rsidRPr="00017F7D">
              <w:rPr>
                <w:b/>
              </w:rPr>
              <w:t>Change</w:t>
            </w:r>
          </w:p>
          <w:p w:rsidR="008E273C" w:rsidRPr="00017F7D" w:rsidRDefault="008E273C" w:rsidP="00017F7D">
            <w:pPr>
              <w:pStyle w:val="BodyText"/>
              <w:rPr>
                <w:b/>
              </w:rPr>
            </w:pPr>
            <w:r w:rsidRPr="00017F7D">
              <w:rPr>
                <w:b/>
              </w:rPr>
              <w:t>(% points)</w:t>
            </w:r>
          </w:p>
        </w:tc>
      </w:tr>
      <w:tr w:rsidR="00657D31" w:rsidTr="00017F7D">
        <w:trPr>
          <w:trHeight w:val="376"/>
        </w:trPr>
        <w:tc>
          <w:tcPr>
            <w:tcW w:w="1000" w:type="pct"/>
          </w:tcPr>
          <w:p w:rsidR="00657D31" w:rsidRDefault="00657D31" w:rsidP="00657D31">
            <w:pPr>
              <w:pStyle w:val="BodyText"/>
            </w:pPr>
            <w:r>
              <w:t>2019–20</w:t>
            </w:r>
          </w:p>
        </w:tc>
        <w:tc>
          <w:tcPr>
            <w:tcW w:w="1063" w:type="pct"/>
          </w:tcPr>
          <w:p w:rsidR="00657D31" w:rsidRDefault="00657D31" w:rsidP="00657D31">
            <w:pPr>
              <w:pStyle w:val="BodyText"/>
            </w:pPr>
            <w:r>
              <w:t>≥98%</w:t>
            </w:r>
          </w:p>
        </w:tc>
        <w:tc>
          <w:tcPr>
            <w:tcW w:w="1072" w:type="pct"/>
          </w:tcPr>
          <w:p w:rsidR="00657D31" w:rsidRDefault="00657D31" w:rsidP="00657D31">
            <w:pPr>
              <w:pStyle w:val="BodyText"/>
            </w:pPr>
            <w:r>
              <w:t>99.5%</w:t>
            </w:r>
          </w:p>
        </w:tc>
        <w:tc>
          <w:tcPr>
            <w:tcW w:w="820" w:type="pct"/>
          </w:tcPr>
          <w:p w:rsidR="00657D31" w:rsidRPr="00657D31" w:rsidRDefault="00657D31" w:rsidP="00657D31">
            <w:pPr>
              <w:pStyle w:val="BodyText"/>
            </w:pPr>
            <w:r w:rsidRPr="00657D31">
              <w:t>Yes</w:t>
            </w:r>
          </w:p>
        </w:tc>
        <w:tc>
          <w:tcPr>
            <w:tcW w:w="1045" w:type="pct"/>
          </w:tcPr>
          <w:p w:rsidR="00657D31" w:rsidRDefault="00657D31" w:rsidP="00657D31">
            <w:pPr>
              <w:pStyle w:val="BodyText"/>
            </w:pPr>
            <w:r>
              <w:t>–0.1</w:t>
            </w:r>
          </w:p>
        </w:tc>
      </w:tr>
      <w:tr w:rsidR="00657D31" w:rsidTr="00017F7D">
        <w:trPr>
          <w:trHeight w:val="376"/>
        </w:trPr>
        <w:tc>
          <w:tcPr>
            <w:tcW w:w="1000" w:type="pct"/>
          </w:tcPr>
          <w:p w:rsidR="00657D31" w:rsidRDefault="00657D31" w:rsidP="00657D31">
            <w:pPr>
              <w:pStyle w:val="BodyText"/>
            </w:pPr>
            <w:r>
              <w:t>2018–19</w:t>
            </w:r>
          </w:p>
        </w:tc>
        <w:tc>
          <w:tcPr>
            <w:tcW w:w="1063" w:type="pct"/>
          </w:tcPr>
          <w:p w:rsidR="00657D31" w:rsidRDefault="00657D31" w:rsidP="00657D31">
            <w:pPr>
              <w:pStyle w:val="BodyText"/>
            </w:pPr>
            <w:r>
              <w:t>≥98%</w:t>
            </w:r>
          </w:p>
        </w:tc>
        <w:tc>
          <w:tcPr>
            <w:tcW w:w="1072" w:type="pct"/>
          </w:tcPr>
          <w:p w:rsidR="00657D31" w:rsidRDefault="00657D31" w:rsidP="00657D31">
            <w:pPr>
              <w:pStyle w:val="BodyText"/>
            </w:pPr>
            <w:r>
              <w:t>99.6%</w:t>
            </w:r>
          </w:p>
        </w:tc>
        <w:tc>
          <w:tcPr>
            <w:tcW w:w="820" w:type="pct"/>
          </w:tcPr>
          <w:p w:rsidR="00657D31" w:rsidRPr="00657D31" w:rsidRDefault="00657D31" w:rsidP="00657D31">
            <w:pPr>
              <w:pStyle w:val="BodyText"/>
            </w:pPr>
            <w:r w:rsidRPr="00657D31">
              <w:t>Yes</w:t>
            </w:r>
          </w:p>
        </w:tc>
        <w:tc>
          <w:tcPr>
            <w:tcW w:w="1045" w:type="pct"/>
          </w:tcPr>
          <w:p w:rsidR="00657D31" w:rsidRDefault="00657D31" w:rsidP="00657D31">
            <w:pPr>
              <w:pStyle w:val="BodyText"/>
            </w:pPr>
            <w:r>
              <w:t>–0.1</w:t>
            </w:r>
          </w:p>
        </w:tc>
      </w:tr>
      <w:tr w:rsidR="00657D31" w:rsidTr="00017F7D">
        <w:trPr>
          <w:trHeight w:val="376"/>
        </w:trPr>
        <w:tc>
          <w:tcPr>
            <w:tcW w:w="1000" w:type="pct"/>
          </w:tcPr>
          <w:p w:rsidR="00657D31" w:rsidRDefault="00657D31" w:rsidP="00657D31">
            <w:pPr>
              <w:pStyle w:val="BodyText"/>
            </w:pPr>
            <w:r>
              <w:t>2017–18</w:t>
            </w:r>
          </w:p>
        </w:tc>
        <w:tc>
          <w:tcPr>
            <w:tcW w:w="1063" w:type="pct"/>
          </w:tcPr>
          <w:p w:rsidR="00657D31" w:rsidRDefault="00657D31" w:rsidP="00657D31">
            <w:pPr>
              <w:pStyle w:val="BodyText"/>
            </w:pPr>
            <w:r>
              <w:t>≥98%</w:t>
            </w:r>
          </w:p>
        </w:tc>
        <w:tc>
          <w:tcPr>
            <w:tcW w:w="1072" w:type="pct"/>
          </w:tcPr>
          <w:p w:rsidR="00657D31" w:rsidRDefault="00657D31" w:rsidP="00657D31">
            <w:pPr>
              <w:pStyle w:val="BodyText"/>
            </w:pPr>
            <w:r>
              <w:t>99.7%</w:t>
            </w:r>
          </w:p>
        </w:tc>
        <w:tc>
          <w:tcPr>
            <w:tcW w:w="820" w:type="pct"/>
          </w:tcPr>
          <w:p w:rsidR="00657D31" w:rsidRPr="00657D31" w:rsidRDefault="00657D31" w:rsidP="00657D31">
            <w:pPr>
              <w:pStyle w:val="BodyText"/>
            </w:pPr>
            <w:r w:rsidRPr="00657D31">
              <w:t>Yes</w:t>
            </w:r>
          </w:p>
        </w:tc>
        <w:tc>
          <w:tcPr>
            <w:tcW w:w="1045" w:type="pct"/>
          </w:tcPr>
          <w:p w:rsidR="00657D31" w:rsidRDefault="00657D31" w:rsidP="00657D31">
            <w:pPr>
              <w:pStyle w:val="BodyText"/>
            </w:pPr>
            <w:r>
              <w:t>+0.2</w:t>
            </w:r>
          </w:p>
        </w:tc>
      </w:tr>
    </w:tbl>
    <w:p w:rsidR="008E273C" w:rsidRDefault="00AC4959" w:rsidP="00AC4959">
      <w:pPr>
        <w:pStyle w:val="BodyText"/>
        <w:rPr>
          <w:rStyle w:val="Bold"/>
        </w:rPr>
      </w:pPr>
      <w:r>
        <w:rPr>
          <w:rStyle w:val="Bold"/>
        </w:rPr>
        <w:t>Analysis</w:t>
      </w:r>
    </w:p>
    <w:p w:rsidR="008E273C" w:rsidRDefault="008E273C" w:rsidP="008E273C">
      <w:pPr>
        <w:pStyle w:val="BodyText"/>
      </w:pPr>
      <w:r>
        <w:t>The agency met digital service level standards relating to the availability of ICT services, with customers able to access ICT systems 99.5 per cent of the time throughout 2019–20.</w:t>
      </w:r>
    </w:p>
    <w:p w:rsidR="008E273C" w:rsidRDefault="008E273C" w:rsidP="008E273C">
      <w:pPr>
        <w:pStyle w:val="BodyText"/>
      </w:pPr>
      <w:r>
        <w:t xml:space="preserve">The digital experience of self-service customers using Child Support online accounts and the upgraded Express Plus Child Support mobile app, continued to perform above the 98 per cent availability target, for 24/7 customer access. </w:t>
      </w:r>
    </w:p>
    <w:p w:rsidR="008E273C" w:rsidRDefault="008E273C" w:rsidP="008E273C">
      <w:pPr>
        <w:pStyle w:val="BodyText"/>
      </w:pPr>
      <w:r>
        <w:t xml:space="preserve">The Express </w:t>
      </w:r>
      <w:proofErr w:type="gramStart"/>
      <w:r>
        <w:t>Plus</w:t>
      </w:r>
      <w:proofErr w:type="gramEnd"/>
      <w:r>
        <w:t xml:space="preserve"> Child Support mobile application was upgraded in 2</w:t>
      </w:r>
      <w:r>
        <w:rPr>
          <w:rStyle w:val="NoBreak"/>
        </w:rPr>
        <w:t>019–2</w:t>
      </w:r>
      <w:r>
        <w:t xml:space="preserve">0, to include new features such as the ability to upload documents and improved usability. These improvements align the Express </w:t>
      </w:r>
      <w:proofErr w:type="gramStart"/>
      <w:r>
        <w:t>Plus</w:t>
      </w:r>
      <w:proofErr w:type="gramEnd"/>
      <w:r>
        <w:t xml:space="preserve"> Child Support mobile application more closely with other Services Australia Express Plus mobile applications. The COVID-19 pandemic affected the C</w:t>
      </w:r>
      <w:r>
        <w:rPr>
          <w:rStyle w:val="NoBreak"/>
        </w:rPr>
        <w:t>hild Su</w:t>
      </w:r>
      <w:r>
        <w:t xml:space="preserve">pport online accounts and Express </w:t>
      </w:r>
      <w:proofErr w:type="gramStart"/>
      <w:r>
        <w:t>Plus</w:t>
      </w:r>
      <w:proofErr w:type="gramEnd"/>
      <w:r>
        <w:t xml:space="preserve"> Child Support mobile application from Su</w:t>
      </w:r>
      <w:r>
        <w:rPr>
          <w:rStyle w:val="NoBreak"/>
        </w:rPr>
        <w:t>nday 22 M</w:t>
      </w:r>
      <w:r>
        <w:t xml:space="preserve">arch until Monday 30 March following the Government’s announcement of the economic stimulus package. Some customers experienced access issues due to increased traffic during this period. </w:t>
      </w:r>
    </w:p>
    <w:p w:rsidR="008E273C" w:rsidRDefault="00AC4959" w:rsidP="008E273C">
      <w:pPr>
        <w:pStyle w:val="BodyText"/>
      </w:pPr>
      <w:r w:rsidRPr="00AC4959">
        <w:t>Method</w:t>
      </w:r>
      <w:r w:rsidR="008E273C">
        <w:tab/>
        <w:t>Data mining of internal metrics and records.</w:t>
      </w:r>
    </w:p>
    <w:p w:rsidR="008E273C" w:rsidRDefault="00017F7D"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017F7D">
      <w:pPr>
        <w:pStyle w:val="ListBullet"/>
        <w:tabs>
          <w:tab w:val="clear" w:pos="360"/>
          <w:tab w:val="clear" w:pos="1066"/>
          <w:tab w:val="num" w:pos="1437"/>
        </w:tabs>
        <w:ind w:left="1434"/>
      </w:pPr>
      <w:r>
        <w:tab/>
        <w:t>‘service excellence’ and ‘service enablers’ strategic pillars</w:t>
      </w:r>
    </w:p>
    <w:p w:rsidR="008E273C" w:rsidRDefault="008E273C" w:rsidP="00017F7D">
      <w:pPr>
        <w:pStyle w:val="ListBullet"/>
        <w:tabs>
          <w:tab w:val="clear" w:pos="360"/>
          <w:tab w:val="clear" w:pos="1066"/>
          <w:tab w:val="num" w:pos="1437"/>
        </w:tabs>
        <w:ind w:left="1434"/>
      </w:pPr>
      <w:r>
        <w:tab/>
        <w:t>‘</w:t>
      </w:r>
      <w:proofErr w:type="gramStart"/>
      <w:r>
        <w:t>customer</w:t>
      </w:r>
      <w:proofErr w:type="gramEnd"/>
      <w:r>
        <w:t xml:space="preserve"> satisfaction’, ‘ease and timeliness of service’ and ‘customers interacting digitally’ key performance areas.</w:t>
      </w:r>
    </w:p>
    <w:p w:rsidR="008E273C" w:rsidRDefault="00AC4959" w:rsidP="008E273C">
      <w:pPr>
        <w:pStyle w:val="BodyText"/>
      </w:pPr>
      <w:r w:rsidRPr="00AC4959">
        <w:t>Reference</w:t>
      </w:r>
      <w:r w:rsidR="008E273C">
        <w:tab/>
        <w:t>2019–20 PBS, page 34.</w:t>
      </w:r>
    </w:p>
    <w:p w:rsidR="008E273C" w:rsidRDefault="00AC4959" w:rsidP="008E273C">
      <w:pPr>
        <w:pStyle w:val="BodyText"/>
      </w:pPr>
      <w:r w:rsidRPr="00AC4959">
        <w:t>Data source</w:t>
      </w:r>
      <w:r w:rsidR="008E273C">
        <w:tab/>
      </w:r>
      <w:proofErr w:type="gramStart"/>
      <w:r w:rsidR="008E273C">
        <w:t>Internal</w:t>
      </w:r>
      <w:proofErr w:type="gramEnd"/>
      <w:r w:rsidR="008E273C">
        <w:t xml:space="preserve"> data sources including incident records, problem records, and scheduled maintenance periods are utilised to calculate the availability result.</w:t>
      </w:r>
    </w:p>
    <w:p w:rsidR="008E273C" w:rsidRDefault="00017F7D" w:rsidP="008E273C">
      <w:pPr>
        <w:pStyle w:val="Heading5"/>
      </w:pPr>
      <w:r>
        <w:t>Criterion 5</w:t>
      </w:r>
      <w:r w:rsidR="008E273C">
        <w:t>—Child Support collection: Percentage of domestic active paying parents with less than one month Child Support collect liability</w:t>
      </w:r>
      <w:r w:rsidR="008E273C">
        <w:rPr>
          <w:vertAlign w:val="superscript"/>
        </w:rPr>
        <w:t>(a)</w:t>
      </w:r>
      <w:r w:rsidR="008E273C">
        <w:t xml:space="preserve"> </w:t>
      </w:r>
      <w:r w:rsidR="008E273C">
        <w:rPr>
          <w:rStyle w:val="Italic"/>
          <w:rFonts w:ascii="Roboto-MediumItalic" w:hAnsi="Roboto-MediumItalic" w:cs="Roboto-MediumItalic"/>
        </w:rPr>
        <w:t>(PBS)</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5 Overview"/>
        <w:tblDescription w:val="Criterion 5 Overview"/>
      </w:tblPr>
      <w:tblGrid>
        <w:gridCol w:w="2219"/>
        <w:gridCol w:w="2359"/>
        <w:gridCol w:w="2379"/>
        <w:gridCol w:w="1820"/>
        <w:gridCol w:w="2319"/>
      </w:tblGrid>
      <w:tr w:rsidR="008E273C" w:rsidTr="00017F7D">
        <w:trPr>
          <w:trHeight w:val="376"/>
          <w:tblHeader/>
        </w:trPr>
        <w:tc>
          <w:tcPr>
            <w:tcW w:w="1000" w:type="pct"/>
          </w:tcPr>
          <w:p w:rsidR="008E273C" w:rsidRPr="00017F7D" w:rsidRDefault="008E273C" w:rsidP="00017F7D">
            <w:pPr>
              <w:pStyle w:val="BodyText"/>
              <w:rPr>
                <w:b/>
              </w:rPr>
            </w:pPr>
            <w:r w:rsidRPr="00017F7D">
              <w:rPr>
                <w:b/>
              </w:rPr>
              <w:t>Year</w:t>
            </w:r>
          </w:p>
        </w:tc>
        <w:tc>
          <w:tcPr>
            <w:tcW w:w="1063" w:type="pct"/>
          </w:tcPr>
          <w:p w:rsidR="008E273C" w:rsidRPr="00017F7D" w:rsidRDefault="008E273C" w:rsidP="00017F7D">
            <w:pPr>
              <w:pStyle w:val="BodyText"/>
              <w:rPr>
                <w:b/>
              </w:rPr>
            </w:pPr>
            <w:r w:rsidRPr="00017F7D">
              <w:rPr>
                <w:b/>
              </w:rPr>
              <w:t>Target</w:t>
            </w:r>
          </w:p>
        </w:tc>
        <w:tc>
          <w:tcPr>
            <w:tcW w:w="1072" w:type="pct"/>
          </w:tcPr>
          <w:p w:rsidR="008E273C" w:rsidRPr="00017F7D" w:rsidRDefault="008E273C" w:rsidP="00017F7D">
            <w:pPr>
              <w:pStyle w:val="BodyText"/>
              <w:rPr>
                <w:b/>
              </w:rPr>
            </w:pPr>
            <w:r w:rsidRPr="00017F7D">
              <w:rPr>
                <w:b/>
              </w:rPr>
              <w:t>Result</w:t>
            </w:r>
          </w:p>
        </w:tc>
        <w:tc>
          <w:tcPr>
            <w:tcW w:w="820" w:type="pct"/>
          </w:tcPr>
          <w:p w:rsidR="008E273C" w:rsidRPr="00017F7D" w:rsidRDefault="008E273C" w:rsidP="00017F7D">
            <w:pPr>
              <w:pStyle w:val="BodyText"/>
              <w:rPr>
                <w:b/>
              </w:rPr>
            </w:pPr>
            <w:r w:rsidRPr="00017F7D">
              <w:rPr>
                <w:b/>
              </w:rPr>
              <w:t>Achieved</w:t>
            </w:r>
          </w:p>
        </w:tc>
        <w:tc>
          <w:tcPr>
            <w:tcW w:w="1045" w:type="pct"/>
          </w:tcPr>
          <w:p w:rsidR="008E273C" w:rsidRPr="00017F7D" w:rsidRDefault="008E273C" w:rsidP="00017F7D">
            <w:pPr>
              <w:pStyle w:val="BodyText"/>
              <w:rPr>
                <w:b/>
              </w:rPr>
            </w:pPr>
            <w:r w:rsidRPr="00017F7D">
              <w:rPr>
                <w:b/>
              </w:rPr>
              <w:t>Change</w:t>
            </w:r>
          </w:p>
          <w:p w:rsidR="008E273C" w:rsidRPr="00017F7D" w:rsidRDefault="008E273C" w:rsidP="00017F7D">
            <w:pPr>
              <w:pStyle w:val="BodyText"/>
              <w:rPr>
                <w:b/>
              </w:rPr>
            </w:pPr>
            <w:r w:rsidRPr="00017F7D">
              <w:rPr>
                <w:b/>
              </w:rPr>
              <w:t>(% points)</w:t>
            </w:r>
          </w:p>
        </w:tc>
      </w:tr>
      <w:tr w:rsidR="00657D31" w:rsidTr="00017F7D">
        <w:trPr>
          <w:trHeight w:val="376"/>
        </w:trPr>
        <w:tc>
          <w:tcPr>
            <w:tcW w:w="1000" w:type="pct"/>
          </w:tcPr>
          <w:p w:rsidR="00657D31" w:rsidRDefault="00657D31" w:rsidP="00657D31">
            <w:pPr>
              <w:pStyle w:val="BodyText"/>
            </w:pPr>
            <w:r>
              <w:t>2019–20</w:t>
            </w:r>
          </w:p>
        </w:tc>
        <w:tc>
          <w:tcPr>
            <w:tcW w:w="1063" w:type="pct"/>
          </w:tcPr>
          <w:p w:rsidR="00657D31" w:rsidRDefault="00657D31" w:rsidP="00657D31">
            <w:pPr>
              <w:pStyle w:val="BodyText"/>
            </w:pPr>
            <w:r>
              <w:t>≥63%</w:t>
            </w:r>
          </w:p>
        </w:tc>
        <w:tc>
          <w:tcPr>
            <w:tcW w:w="1072" w:type="pct"/>
          </w:tcPr>
          <w:p w:rsidR="00657D31" w:rsidRDefault="00657D31" w:rsidP="00657D31">
            <w:pPr>
              <w:pStyle w:val="BodyText"/>
            </w:pPr>
            <w:r>
              <w:t>65.2%</w:t>
            </w:r>
          </w:p>
        </w:tc>
        <w:tc>
          <w:tcPr>
            <w:tcW w:w="820" w:type="pct"/>
          </w:tcPr>
          <w:p w:rsidR="00657D31" w:rsidRPr="00657D31" w:rsidRDefault="00657D31" w:rsidP="00657D31">
            <w:pPr>
              <w:pStyle w:val="BodyText"/>
            </w:pPr>
            <w:r w:rsidRPr="00657D31">
              <w:t>Yes</w:t>
            </w:r>
          </w:p>
        </w:tc>
        <w:tc>
          <w:tcPr>
            <w:tcW w:w="1045" w:type="pct"/>
          </w:tcPr>
          <w:p w:rsidR="00657D31" w:rsidRDefault="00657D31" w:rsidP="00657D31">
            <w:pPr>
              <w:pStyle w:val="BodyText"/>
            </w:pPr>
            <w:r>
              <w:t>+0.6</w:t>
            </w:r>
          </w:p>
        </w:tc>
      </w:tr>
      <w:tr w:rsidR="00657D31" w:rsidTr="00017F7D">
        <w:trPr>
          <w:trHeight w:val="376"/>
        </w:trPr>
        <w:tc>
          <w:tcPr>
            <w:tcW w:w="1000" w:type="pct"/>
          </w:tcPr>
          <w:p w:rsidR="00657D31" w:rsidRDefault="00657D31" w:rsidP="00657D31">
            <w:pPr>
              <w:pStyle w:val="BodyText"/>
            </w:pPr>
            <w:r>
              <w:lastRenderedPageBreak/>
              <w:t>2018–19</w:t>
            </w:r>
          </w:p>
        </w:tc>
        <w:tc>
          <w:tcPr>
            <w:tcW w:w="1063" w:type="pct"/>
          </w:tcPr>
          <w:p w:rsidR="00657D31" w:rsidRDefault="00657D31" w:rsidP="00657D31">
            <w:pPr>
              <w:pStyle w:val="BodyText"/>
            </w:pPr>
            <w:r>
              <w:t>≥63%</w:t>
            </w:r>
          </w:p>
        </w:tc>
        <w:tc>
          <w:tcPr>
            <w:tcW w:w="1072" w:type="pct"/>
          </w:tcPr>
          <w:p w:rsidR="00657D31" w:rsidRDefault="00657D31" w:rsidP="00657D31">
            <w:pPr>
              <w:pStyle w:val="BodyText"/>
            </w:pPr>
            <w:r>
              <w:t>64.6%</w:t>
            </w:r>
          </w:p>
        </w:tc>
        <w:tc>
          <w:tcPr>
            <w:tcW w:w="820" w:type="pct"/>
          </w:tcPr>
          <w:p w:rsidR="00657D31" w:rsidRPr="00657D31" w:rsidRDefault="00657D31" w:rsidP="00657D31">
            <w:pPr>
              <w:pStyle w:val="BodyText"/>
            </w:pPr>
            <w:r w:rsidRPr="00657D31">
              <w:t>Yes</w:t>
            </w:r>
          </w:p>
        </w:tc>
        <w:tc>
          <w:tcPr>
            <w:tcW w:w="1045" w:type="pct"/>
          </w:tcPr>
          <w:p w:rsidR="00657D31" w:rsidRDefault="00657D31" w:rsidP="00657D31">
            <w:pPr>
              <w:pStyle w:val="BodyText"/>
            </w:pPr>
            <w:r>
              <w:t>No change</w:t>
            </w:r>
          </w:p>
        </w:tc>
      </w:tr>
      <w:tr w:rsidR="00657D31" w:rsidTr="00017F7D">
        <w:trPr>
          <w:trHeight w:val="376"/>
        </w:trPr>
        <w:tc>
          <w:tcPr>
            <w:tcW w:w="1000" w:type="pct"/>
          </w:tcPr>
          <w:p w:rsidR="00657D31" w:rsidRDefault="00657D31" w:rsidP="00657D31">
            <w:pPr>
              <w:pStyle w:val="BodyText"/>
            </w:pPr>
            <w:r>
              <w:t>2017–18</w:t>
            </w:r>
          </w:p>
        </w:tc>
        <w:tc>
          <w:tcPr>
            <w:tcW w:w="1063" w:type="pct"/>
          </w:tcPr>
          <w:p w:rsidR="00657D31" w:rsidRDefault="00657D31" w:rsidP="00657D31">
            <w:pPr>
              <w:pStyle w:val="BodyText"/>
            </w:pPr>
            <w:r>
              <w:t>≥63%</w:t>
            </w:r>
          </w:p>
        </w:tc>
        <w:tc>
          <w:tcPr>
            <w:tcW w:w="1072" w:type="pct"/>
          </w:tcPr>
          <w:p w:rsidR="00657D31" w:rsidRDefault="00657D31" w:rsidP="00657D31">
            <w:pPr>
              <w:pStyle w:val="BodyText"/>
            </w:pPr>
            <w:r>
              <w:t>64.6%</w:t>
            </w:r>
          </w:p>
        </w:tc>
        <w:tc>
          <w:tcPr>
            <w:tcW w:w="820" w:type="pct"/>
          </w:tcPr>
          <w:p w:rsidR="00657D31" w:rsidRPr="00657D31" w:rsidRDefault="00657D31" w:rsidP="00657D31">
            <w:pPr>
              <w:pStyle w:val="BodyText"/>
            </w:pPr>
            <w:r w:rsidRPr="00657D31">
              <w:t>Yes</w:t>
            </w:r>
          </w:p>
        </w:tc>
        <w:tc>
          <w:tcPr>
            <w:tcW w:w="1045" w:type="pct"/>
          </w:tcPr>
          <w:p w:rsidR="00657D31" w:rsidRDefault="00657D31" w:rsidP="00657D31">
            <w:pPr>
              <w:pStyle w:val="BodyText"/>
            </w:pPr>
            <w:r>
              <w:t>–1.4</w:t>
            </w:r>
          </w:p>
        </w:tc>
      </w:tr>
    </w:tbl>
    <w:p w:rsidR="008E273C" w:rsidRDefault="00017F7D" w:rsidP="00017F7D">
      <w:pPr>
        <w:pStyle w:val="BodyText"/>
      </w:pPr>
      <w:r>
        <w:t>(a)</w:t>
      </w:r>
      <w:r w:rsidR="008E273C">
        <w:t xml:space="preserve"> An active paying parent is a parent who is part of a child support case and based on their income and the care arrangements of the child/</w:t>
      </w:r>
      <w:proofErr w:type="spellStart"/>
      <w:r w:rsidR="008E273C">
        <w:t>ren</w:t>
      </w:r>
      <w:proofErr w:type="spellEnd"/>
      <w:r w:rsidR="008E273C">
        <w:t xml:space="preserve"> of the case are required to pay child support on a current and ongoing basis.</w:t>
      </w:r>
    </w:p>
    <w:p w:rsidR="008E273C" w:rsidRDefault="00AC4959" w:rsidP="00AC4959">
      <w:pPr>
        <w:pStyle w:val="BodyText"/>
        <w:rPr>
          <w:rStyle w:val="Bold"/>
        </w:rPr>
      </w:pPr>
      <w:r>
        <w:rPr>
          <w:rStyle w:val="Bold"/>
        </w:rPr>
        <w:t>Analysis</w:t>
      </w:r>
    </w:p>
    <w:p w:rsidR="00A537F5" w:rsidRDefault="008E273C" w:rsidP="008E273C">
      <w:pPr>
        <w:pStyle w:val="BodyText"/>
      </w:pPr>
      <w:r>
        <w:t>Child Support works with paying parents to ensure that they understand their child support commitments and are encouraged to make voluntary child support payments. Where a customer misses a child support payment, we attempt to work directly with them to get them back on track as quickly as possible. Where customers won’t make child support payments, we proactively explore administrative options to collect child support. This could include working with employers to deduct child support from salary and wages, making deductions from Centrelink benefits and intercepting tax refunds.</w:t>
      </w:r>
    </w:p>
    <w:p w:rsidR="008E273C" w:rsidRDefault="008E273C" w:rsidP="008E273C">
      <w:pPr>
        <w:pStyle w:val="BodyText"/>
        <w:rPr>
          <w:rStyle w:val="NoBreak"/>
        </w:rPr>
      </w:pPr>
      <w:r>
        <w:t>There was negligible effect on this annual result despite the bushfires and the COVID-19 pandemic. The agency remained focussed on working with paying parents to create sustainable payment arrangements and enco</w:t>
      </w:r>
      <w:r>
        <w:rPr>
          <w:rStyle w:val="NoBreak"/>
        </w:rPr>
        <w:t xml:space="preserve">urage compliance.  </w:t>
      </w:r>
    </w:p>
    <w:p w:rsidR="008E273C" w:rsidRDefault="00AC4959" w:rsidP="008E273C">
      <w:pPr>
        <w:pStyle w:val="BodyText"/>
      </w:pPr>
      <w:r w:rsidRPr="00AC4959">
        <w:t>Method</w:t>
      </w:r>
      <w:r w:rsidR="008E273C">
        <w:tab/>
        <w:t>Data mining.</w:t>
      </w:r>
    </w:p>
    <w:p w:rsidR="008E273C" w:rsidRDefault="00017F7D"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017F7D">
      <w:pPr>
        <w:pStyle w:val="ListBullet"/>
        <w:tabs>
          <w:tab w:val="clear" w:pos="360"/>
          <w:tab w:val="clear" w:pos="1066"/>
          <w:tab w:val="num" w:pos="1437"/>
        </w:tabs>
        <w:ind w:left="1434"/>
      </w:pPr>
      <w:r>
        <w:tab/>
        <w:t>‘service excellence’ strategic pillar</w:t>
      </w:r>
    </w:p>
    <w:p w:rsidR="008E273C" w:rsidRDefault="008E273C" w:rsidP="00017F7D">
      <w:pPr>
        <w:pStyle w:val="ListBullet"/>
        <w:tabs>
          <w:tab w:val="clear" w:pos="360"/>
          <w:tab w:val="clear" w:pos="1066"/>
          <w:tab w:val="num" w:pos="1437"/>
        </w:tabs>
        <w:ind w:left="1434"/>
      </w:pPr>
      <w:r>
        <w:tab/>
        <w:t>‘</w:t>
      </w:r>
      <w:proofErr w:type="gramStart"/>
      <w:r>
        <w:t>customer</w:t>
      </w:r>
      <w:proofErr w:type="gramEnd"/>
      <w:r>
        <w:t xml:space="preserve"> satisfaction’; ‘correct payments’; ‘ease and timeliness of service’; and ‘customers interacting digitally’ key performance areas.</w:t>
      </w:r>
    </w:p>
    <w:p w:rsidR="008E273C" w:rsidRDefault="00AC4959" w:rsidP="008E273C">
      <w:pPr>
        <w:pStyle w:val="BodyText"/>
      </w:pPr>
      <w:r w:rsidRPr="00AC4959">
        <w:t>Reference</w:t>
      </w:r>
      <w:r w:rsidR="008E273C">
        <w:tab/>
        <w:t>2019–20 PBS, page 34.</w:t>
      </w:r>
    </w:p>
    <w:p w:rsidR="008E273C" w:rsidRPr="00017F7D" w:rsidRDefault="00AC4959" w:rsidP="008E273C">
      <w:pPr>
        <w:pStyle w:val="BodyText"/>
      </w:pPr>
      <w:r w:rsidRPr="00AC4959">
        <w:t>Data source</w:t>
      </w:r>
      <w:r w:rsidR="008E273C">
        <w:tab/>
        <w:t xml:space="preserve">Enterprise Data </w:t>
      </w:r>
      <w:r w:rsidR="008E273C" w:rsidRPr="00017F7D">
        <w:t>Warehouse.</w:t>
      </w:r>
    </w:p>
    <w:p w:rsidR="00017F7D" w:rsidRDefault="00017F7D" w:rsidP="008E273C">
      <w:pPr>
        <w:pStyle w:val="Heading5"/>
        <w:rPr>
          <w:rStyle w:val="Bolditalic"/>
        </w:rPr>
      </w:pPr>
      <w:r w:rsidRPr="00017F7D">
        <w:t>Criterion 6</w:t>
      </w:r>
      <w:r w:rsidR="008E273C" w:rsidRPr="00017F7D">
        <w:t xml:space="preserve">—Achievement of telephony </w:t>
      </w:r>
      <w:r w:rsidR="008E273C">
        <w:t xml:space="preserve">service level standards: Average speed of answer </w:t>
      </w:r>
      <w:r w:rsidR="008E273C" w:rsidRPr="00017F7D">
        <w:rPr>
          <w:i/>
        </w:rPr>
        <w:t>(PBS)</w:t>
      </w:r>
    </w:p>
    <w:p w:rsidR="008E273C" w:rsidRDefault="008E273C" w:rsidP="008E273C">
      <w:pPr>
        <w:pStyle w:val="Heading5"/>
      </w:pPr>
      <w:r>
        <w:t xml:space="preserve">Ease and timeliness of service: Telephony service level standards—average speed of answer: Child Support customers </w:t>
      </w:r>
      <w:r w:rsidRPr="00017F7D">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6 Overview"/>
        <w:tblDescription w:val="Criterion 6 Overview"/>
      </w:tblPr>
      <w:tblGrid>
        <w:gridCol w:w="2219"/>
        <w:gridCol w:w="2359"/>
        <w:gridCol w:w="2379"/>
        <w:gridCol w:w="1820"/>
        <w:gridCol w:w="2319"/>
      </w:tblGrid>
      <w:tr w:rsidR="008E273C" w:rsidTr="00017F7D">
        <w:trPr>
          <w:trHeight w:val="376"/>
          <w:tblHeader/>
        </w:trPr>
        <w:tc>
          <w:tcPr>
            <w:tcW w:w="1000" w:type="pct"/>
          </w:tcPr>
          <w:p w:rsidR="008E273C" w:rsidRPr="00017F7D" w:rsidRDefault="008E273C" w:rsidP="00017F7D">
            <w:pPr>
              <w:pStyle w:val="BodyText"/>
              <w:rPr>
                <w:b/>
              </w:rPr>
            </w:pPr>
            <w:r w:rsidRPr="00017F7D">
              <w:rPr>
                <w:b/>
              </w:rPr>
              <w:t>Year</w:t>
            </w:r>
          </w:p>
        </w:tc>
        <w:tc>
          <w:tcPr>
            <w:tcW w:w="1063" w:type="pct"/>
          </w:tcPr>
          <w:p w:rsidR="008E273C" w:rsidRPr="00017F7D" w:rsidRDefault="008E273C" w:rsidP="00017F7D">
            <w:pPr>
              <w:pStyle w:val="BodyText"/>
              <w:rPr>
                <w:b/>
              </w:rPr>
            </w:pPr>
            <w:r w:rsidRPr="00017F7D">
              <w:rPr>
                <w:b/>
              </w:rPr>
              <w:t>Target</w:t>
            </w:r>
          </w:p>
        </w:tc>
        <w:tc>
          <w:tcPr>
            <w:tcW w:w="1072" w:type="pct"/>
          </w:tcPr>
          <w:p w:rsidR="008E273C" w:rsidRPr="00017F7D" w:rsidRDefault="008E273C" w:rsidP="00017F7D">
            <w:pPr>
              <w:pStyle w:val="BodyText"/>
              <w:rPr>
                <w:b/>
              </w:rPr>
            </w:pPr>
            <w:r w:rsidRPr="00017F7D">
              <w:rPr>
                <w:b/>
              </w:rPr>
              <w:t>Result</w:t>
            </w:r>
          </w:p>
        </w:tc>
        <w:tc>
          <w:tcPr>
            <w:tcW w:w="820" w:type="pct"/>
          </w:tcPr>
          <w:p w:rsidR="008E273C" w:rsidRPr="00017F7D" w:rsidRDefault="008E273C" w:rsidP="00017F7D">
            <w:pPr>
              <w:pStyle w:val="BodyText"/>
              <w:rPr>
                <w:b/>
              </w:rPr>
            </w:pPr>
            <w:r w:rsidRPr="00017F7D">
              <w:rPr>
                <w:b/>
              </w:rPr>
              <w:t>Achieved</w:t>
            </w:r>
          </w:p>
        </w:tc>
        <w:tc>
          <w:tcPr>
            <w:tcW w:w="1045" w:type="pct"/>
          </w:tcPr>
          <w:p w:rsidR="008E273C" w:rsidRPr="00017F7D" w:rsidRDefault="008E273C" w:rsidP="00017F7D">
            <w:pPr>
              <w:pStyle w:val="BodyText"/>
              <w:rPr>
                <w:b/>
              </w:rPr>
            </w:pPr>
            <w:r w:rsidRPr="00017F7D">
              <w:rPr>
                <w:b/>
              </w:rPr>
              <w:t>Change</w:t>
            </w:r>
          </w:p>
        </w:tc>
      </w:tr>
      <w:tr w:rsidR="008E273C" w:rsidTr="00017F7D">
        <w:trPr>
          <w:trHeight w:val="376"/>
        </w:trPr>
        <w:tc>
          <w:tcPr>
            <w:tcW w:w="1000" w:type="pct"/>
          </w:tcPr>
          <w:p w:rsidR="008E273C" w:rsidRDefault="008E273C" w:rsidP="00017F7D">
            <w:pPr>
              <w:pStyle w:val="BodyText"/>
            </w:pPr>
            <w:r>
              <w:t>2019–20</w:t>
            </w:r>
          </w:p>
        </w:tc>
        <w:tc>
          <w:tcPr>
            <w:tcW w:w="1063" w:type="pct"/>
          </w:tcPr>
          <w:p w:rsidR="008E273C" w:rsidRDefault="008E273C" w:rsidP="00017F7D">
            <w:pPr>
              <w:pStyle w:val="BodyText"/>
            </w:pPr>
            <w:r>
              <w:t>≤3 minutes</w:t>
            </w:r>
          </w:p>
        </w:tc>
        <w:tc>
          <w:tcPr>
            <w:tcW w:w="1072" w:type="pct"/>
          </w:tcPr>
          <w:p w:rsidR="008E273C" w:rsidRDefault="008E273C" w:rsidP="00017F7D">
            <w:pPr>
              <w:pStyle w:val="BodyText"/>
            </w:pPr>
            <w:r>
              <w:t>13 min 55 sec</w:t>
            </w:r>
          </w:p>
        </w:tc>
        <w:tc>
          <w:tcPr>
            <w:tcW w:w="820" w:type="pct"/>
          </w:tcPr>
          <w:p w:rsidR="008E273C" w:rsidRDefault="00657D31" w:rsidP="00017F7D">
            <w:pPr>
              <w:pStyle w:val="BodyText"/>
            </w:pPr>
            <w:r>
              <w:t>No</w:t>
            </w:r>
          </w:p>
        </w:tc>
        <w:tc>
          <w:tcPr>
            <w:tcW w:w="1045" w:type="pct"/>
          </w:tcPr>
          <w:p w:rsidR="008E273C" w:rsidRDefault="008E273C" w:rsidP="00017F7D">
            <w:pPr>
              <w:pStyle w:val="BodyText"/>
            </w:pPr>
            <w:r>
              <w:t>+1 min 10 sec</w:t>
            </w:r>
          </w:p>
        </w:tc>
      </w:tr>
      <w:tr w:rsidR="008E273C" w:rsidTr="00017F7D">
        <w:trPr>
          <w:trHeight w:val="376"/>
        </w:trPr>
        <w:tc>
          <w:tcPr>
            <w:tcW w:w="1000" w:type="pct"/>
          </w:tcPr>
          <w:p w:rsidR="008E273C" w:rsidRDefault="008E273C" w:rsidP="00017F7D">
            <w:pPr>
              <w:pStyle w:val="BodyText"/>
            </w:pPr>
            <w:r>
              <w:t>2018–19</w:t>
            </w:r>
          </w:p>
        </w:tc>
        <w:tc>
          <w:tcPr>
            <w:tcW w:w="1063" w:type="pct"/>
          </w:tcPr>
          <w:p w:rsidR="008E273C" w:rsidRDefault="008E273C" w:rsidP="00017F7D">
            <w:pPr>
              <w:pStyle w:val="BodyText"/>
            </w:pPr>
            <w:r>
              <w:t>≤3 minutes</w:t>
            </w:r>
          </w:p>
        </w:tc>
        <w:tc>
          <w:tcPr>
            <w:tcW w:w="1072" w:type="pct"/>
          </w:tcPr>
          <w:p w:rsidR="008E273C" w:rsidRDefault="008E273C" w:rsidP="00017F7D">
            <w:pPr>
              <w:pStyle w:val="BodyText"/>
            </w:pPr>
            <w:r>
              <w:t>12 min 45 sec</w:t>
            </w:r>
          </w:p>
        </w:tc>
        <w:tc>
          <w:tcPr>
            <w:tcW w:w="820" w:type="pct"/>
          </w:tcPr>
          <w:p w:rsidR="008E273C" w:rsidRDefault="00657D31" w:rsidP="00017F7D">
            <w:pPr>
              <w:pStyle w:val="BodyText"/>
            </w:pPr>
            <w:r>
              <w:t>No</w:t>
            </w:r>
          </w:p>
        </w:tc>
        <w:tc>
          <w:tcPr>
            <w:tcW w:w="1045" w:type="pct"/>
          </w:tcPr>
          <w:p w:rsidR="008E273C" w:rsidRDefault="008E273C" w:rsidP="00017F7D">
            <w:pPr>
              <w:pStyle w:val="BodyText"/>
            </w:pPr>
            <w:r>
              <w:t>+3 min 40 sec</w:t>
            </w:r>
          </w:p>
        </w:tc>
      </w:tr>
      <w:tr w:rsidR="008E273C" w:rsidTr="00017F7D">
        <w:trPr>
          <w:trHeight w:val="376"/>
        </w:trPr>
        <w:tc>
          <w:tcPr>
            <w:tcW w:w="1000" w:type="pct"/>
          </w:tcPr>
          <w:p w:rsidR="008E273C" w:rsidRDefault="008E273C" w:rsidP="00017F7D">
            <w:pPr>
              <w:pStyle w:val="BodyText"/>
            </w:pPr>
            <w:r>
              <w:lastRenderedPageBreak/>
              <w:t>2017–18</w:t>
            </w:r>
          </w:p>
        </w:tc>
        <w:tc>
          <w:tcPr>
            <w:tcW w:w="1063" w:type="pct"/>
          </w:tcPr>
          <w:p w:rsidR="008E273C" w:rsidRDefault="008E273C" w:rsidP="00017F7D">
            <w:pPr>
              <w:pStyle w:val="BodyText"/>
            </w:pPr>
            <w:r>
              <w:t>≤3 minutes</w:t>
            </w:r>
          </w:p>
        </w:tc>
        <w:tc>
          <w:tcPr>
            <w:tcW w:w="1072" w:type="pct"/>
          </w:tcPr>
          <w:p w:rsidR="008E273C" w:rsidRDefault="008E273C" w:rsidP="00017F7D">
            <w:pPr>
              <w:pStyle w:val="BodyText"/>
            </w:pPr>
            <w:r>
              <w:t>9 min 5 sec</w:t>
            </w:r>
          </w:p>
        </w:tc>
        <w:tc>
          <w:tcPr>
            <w:tcW w:w="820" w:type="pct"/>
          </w:tcPr>
          <w:p w:rsidR="008E273C" w:rsidRDefault="00657D31" w:rsidP="00017F7D">
            <w:pPr>
              <w:pStyle w:val="BodyText"/>
            </w:pPr>
            <w:r>
              <w:t>No</w:t>
            </w:r>
          </w:p>
        </w:tc>
        <w:tc>
          <w:tcPr>
            <w:tcW w:w="1045" w:type="pct"/>
          </w:tcPr>
          <w:p w:rsidR="008E273C" w:rsidRDefault="008E273C" w:rsidP="00017F7D">
            <w:pPr>
              <w:pStyle w:val="BodyText"/>
            </w:pPr>
            <w:r>
              <w:t>+4 min 53 sec</w:t>
            </w:r>
          </w:p>
        </w:tc>
      </w:tr>
    </w:tbl>
    <w:p w:rsidR="008E273C" w:rsidRDefault="00AC4959" w:rsidP="00AC4959">
      <w:pPr>
        <w:pStyle w:val="BodyText"/>
        <w:rPr>
          <w:rStyle w:val="Bold"/>
        </w:rPr>
      </w:pPr>
      <w:r>
        <w:rPr>
          <w:rStyle w:val="Bold"/>
        </w:rPr>
        <w:t>Analysis</w:t>
      </w:r>
    </w:p>
    <w:p w:rsidR="008E273C" w:rsidRDefault="008E273C" w:rsidP="008E273C">
      <w:pPr>
        <w:pStyle w:val="BodyText"/>
      </w:pPr>
      <w:r>
        <w:t>In 2019–20, the average speed of answer for customers increased by 1 minute and 10 seconds. Despite all available staff contributing to the management of inbound telephony demand, the agency’s existing workforce capacity for Child Support was insufficient to achieve the Child Support average speed of answer target. And, due to legislative constraints which limit this work to Australian Public Service staff, the program is unable to use service delivery partners to help create additional telephony capacity.</w:t>
      </w:r>
    </w:p>
    <w:p w:rsidR="008E273C" w:rsidRDefault="008E273C" w:rsidP="008E273C">
      <w:pPr>
        <w:pStyle w:val="BodyText"/>
      </w:pPr>
      <w:r>
        <w:t>During the year, some Child Support staff were also diverted to support customers and employers in areas affected by the bushfires. Child Support staff also supported the agency more widely in its early response to the COVID-19 pandemic, when community requests support was at its peak.</w:t>
      </w:r>
    </w:p>
    <w:p w:rsidR="008E273C" w:rsidRDefault="008E273C" w:rsidP="008E273C">
      <w:pPr>
        <w:pStyle w:val="BodyText"/>
      </w:pPr>
      <w:r>
        <w:t>All these factors limited the agency’s capacity to meet Child Support inbound telephony demand during 2019–20.</w:t>
      </w:r>
    </w:p>
    <w:p w:rsidR="008E273C" w:rsidRDefault="00AC4959" w:rsidP="008E273C">
      <w:pPr>
        <w:pStyle w:val="BodyText"/>
      </w:pPr>
      <w:r w:rsidRPr="00AC4959">
        <w:t>Method</w:t>
      </w:r>
      <w:r w:rsidR="008E273C">
        <w:tab/>
        <w:t>Data mining.</w:t>
      </w:r>
    </w:p>
    <w:p w:rsidR="008E273C" w:rsidRDefault="00017F7D"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017F7D">
      <w:pPr>
        <w:pStyle w:val="ListBullet"/>
        <w:tabs>
          <w:tab w:val="clear" w:pos="360"/>
          <w:tab w:val="clear" w:pos="1066"/>
          <w:tab w:val="num" w:pos="1437"/>
        </w:tabs>
        <w:ind w:left="1434"/>
      </w:pPr>
      <w:r>
        <w:tab/>
        <w:t>‘service excellence’ strategic pillar</w:t>
      </w:r>
    </w:p>
    <w:p w:rsidR="008E273C" w:rsidRDefault="008E273C" w:rsidP="00017F7D">
      <w:pPr>
        <w:pStyle w:val="ListBullet"/>
        <w:tabs>
          <w:tab w:val="clear" w:pos="360"/>
          <w:tab w:val="clear" w:pos="1066"/>
          <w:tab w:val="num" w:pos="1437"/>
        </w:tabs>
        <w:ind w:left="1434"/>
      </w:pPr>
      <w:r>
        <w:t>‘</w:t>
      </w:r>
      <w:proofErr w:type="gramStart"/>
      <w:r>
        <w:t>ease</w:t>
      </w:r>
      <w:proofErr w:type="gramEnd"/>
      <w:r>
        <w:t xml:space="preserve"> and timeliness of service’ key performance area.</w:t>
      </w:r>
    </w:p>
    <w:p w:rsidR="008E273C" w:rsidRDefault="00AC4959" w:rsidP="008E273C">
      <w:pPr>
        <w:pStyle w:val="BodyText"/>
      </w:pPr>
      <w:r w:rsidRPr="00AC4959">
        <w:t>Reference</w:t>
      </w:r>
      <w:r w:rsidR="008E273C">
        <w:tab/>
        <w:t>2019–20 PBS, page 34; 2019–20 Corporate Plan, page 15 (pdf), 10 (doc).</w:t>
      </w:r>
    </w:p>
    <w:p w:rsidR="008E273C" w:rsidRDefault="00AC4959" w:rsidP="008E273C">
      <w:pPr>
        <w:pStyle w:val="BodyText"/>
      </w:pPr>
      <w:r w:rsidRPr="00AC4959">
        <w:t>Data source</w:t>
      </w:r>
      <w:r w:rsidR="008E273C">
        <w:tab/>
        <w:t>Telstra Computer Telephony Interface files (1 July 2019 to 1</w:t>
      </w:r>
      <w:r w:rsidR="008E273C">
        <w:rPr>
          <w:rStyle w:val="NoBreak"/>
        </w:rPr>
        <w:t>3 April 202</w:t>
      </w:r>
      <w:r w:rsidR="008E273C">
        <w:t xml:space="preserve">0). </w:t>
      </w:r>
      <w:proofErr w:type="spellStart"/>
      <w:r w:rsidR="008E273C">
        <w:t>Genesys</w:t>
      </w:r>
      <w:proofErr w:type="spellEnd"/>
      <w:r w:rsidR="008E273C">
        <w:t xml:space="preserve"> Interactive Insights reporting tool (1</w:t>
      </w:r>
      <w:r w:rsidR="008E273C">
        <w:rPr>
          <w:rStyle w:val="NoBreak"/>
        </w:rPr>
        <w:t>4 Ap</w:t>
      </w:r>
      <w:r w:rsidR="008E273C">
        <w:t>ril to 30 June 2020).</w:t>
      </w:r>
    </w:p>
    <w:p w:rsidR="00E75E33" w:rsidRDefault="00E75E33" w:rsidP="008E273C">
      <w:pPr>
        <w:pStyle w:val="Heading5"/>
        <w:rPr>
          <w:rStyle w:val="Bolditalic"/>
        </w:rPr>
      </w:pPr>
      <w:r>
        <w:t>Criterion 7</w:t>
      </w:r>
      <w:r w:rsidR="008E273C">
        <w:t xml:space="preserve">—Achievement of processing service level standards: registrations completed within standard </w:t>
      </w:r>
      <w:r w:rsidR="008E273C" w:rsidRPr="00E75E33">
        <w:rPr>
          <w:i/>
        </w:rPr>
        <w:t>(PBS)</w:t>
      </w:r>
    </w:p>
    <w:p w:rsidR="008E273C" w:rsidRDefault="008E273C" w:rsidP="008E273C">
      <w:pPr>
        <w:pStyle w:val="Heading5"/>
      </w:pPr>
      <w:r>
        <w:t xml:space="preserve">Ease and timeliness of service: Processing service level standards—claims processed within standard </w:t>
      </w:r>
      <w:r w:rsidRPr="00E75E33">
        <w:rPr>
          <w:i/>
        </w:rPr>
        <w:t>(Corporate Plan)</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7 Overview"/>
        <w:tblDescription w:val="Criterion 7 Overview"/>
      </w:tblPr>
      <w:tblGrid>
        <w:gridCol w:w="2219"/>
        <w:gridCol w:w="2359"/>
        <w:gridCol w:w="2379"/>
        <w:gridCol w:w="1820"/>
        <w:gridCol w:w="2319"/>
      </w:tblGrid>
      <w:tr w:rsidR="008E273C" w:rsidTr="00E75E33">
        <w:trPr>
          <w:trHeight w:val="376"/>
          <w:tblHeader/>
        </w:trPr>
        <w:tc>
          <w:tcPr>
            <w:tcW w:w="1000" w:type="pct"/>
          </w:tcPr>
          <w:p w:rsidR="008E273C" w:rsidRPr="00E75E33" w:rsidRDefault="008E273C" w:rsidP="00E75E33">
            <w:pPr>
              <w:pStyle w:val="BodyText"/>
              <w:rPr>
                <w:b/>
              </w:rPr>
            </w:pPr>
            <w:r w:rsidRPr="00E75E33">
              <w:rPr>
                <w:b/>
              </w:rPr>
              <w:t>Year</w:t>
            </w:r>
          </w:p>
        </w:tc>
        <w:tc>
          <w:tcPr>
            <w:tcW w:w="1063" w:type="pct"/>
          </w:tcPr>
          <w:p w:rsidR="008E273C" w:rsidRPr="00E75E33" w:rsidRDefault="008E273C" w:rsidP="00E75E33">
            <w:pPr>
              <w:pStyle w:val="BodyText"/>
              <w:rPr>
                <w:b/>
              </w:rPr>
            </w:pPr>
            <w:r w:rsidRPr="00E75E33">
              <w:rPr>
                <w:b/>
              </w:rPr>
              <w:t>Target</w:t>
            </w:r>
          </w:p>
        </w:tc>
        <w:tc>
          <w:tcPr>
            <w:tcW w:w="1072" w:type="pct"/>
          </w:tcPr>
          <w:p w:rsidR="008E273C" w:rsidRPr="00E75E33" w:rsidRDefault="008E273C" w:rsidP="00E75E33">
            <w:pPr>
              <w:pStyle w:val="BodyText"/>
              <w:rPr>
                <w:b/>
              </w:rPr>
            </w:pPr>
            <w:r w:rsidRPr="00E75E33">
              <w:rPr>
                <w:b/>
              </w:rPr>
              <w:t>Result</w:t>
            </w:r>
          </w:p>
        </w:tc>
        <w:tc>
          <w:tcPr>
            <w:tcW w:w="820" w:type="pct"/>
          </w:tcPr>
          <w:p w:rsidR="008E273C" w:rsidRPr="00E75E33" w:rsidRDefault="008E273C" w:rsidP="00E75E33">
            <w:pPr>
              <w:pStyle w:val="BodyText"/>
              <w:rPr>
                <w:b/>
              </w:rPr>
            </w:pPr>
            <w:r w:rsidRPr="00E75E33">
              <w:rPr>
                <w:b/>
              </w:rPr>
              <w:t>Achieved</w:t>
            </w:r>
          </w:p>
        </w:tc>
        <w:tc>
          <w:tcPr>
            <w:tcW w:w="1045" w:type="pct"/>
          </w:tcPr>
          <w:p w:rsidR="008E273C" w:rsidRPr="00E75E33" w:rsidRDefault="008E273C" w:rsidP="00E75E33">
            <w:pPr>
              <w:pStyle w:val="BodyText"/>
              <w:rPr>
                <w:b/>
              </w:rPr>
            </w:pPr>
            <w:r w:rsidRPr="00E75E33">
              <w:rPr>
                <w:b/>
              </w:rPr>
              <w:t>Change</w:t>
            </w:r>
          </w:p>
          <w:p w:rsidR="008E273C" w:rsidRPr="00E75E33" w:rsidRDefault="008E273C" w:rsidP="00E75E33">
            <w:pPr>
              <w:pStyle w:val="BodyText"/>
              <w:rPr>
                <w:b/>
              </w:rPr>
            </w:pPr>
            <w:r w:rsidRPr="00E75E33">
              <w:rPr>
                <w:b/>
              </w:rPr>
              <w:t>(% points)</w:t>
            </w:r>
          </w:p>
        </w:tc>
      </w:tr>
      <w:tr w:rsidR="00657D31" w:rsidTr="00E75E33">
        <w:trPr>
          <w:trHeight w:val="376"/>
        </w:trPr>
        <w:tc>
          <w:tcPr>
            <w:tcW w:w="1000" w:type="pct"/>
          </w:tcPr>
          <w:p w:rsidR="00657D31" w:rsidRDefault="00657D31" w:rsidP="00657D31">
            <w:pPr>
              <w:pStyle w:val="BodyText"/>
            </w:pPr>
            <w:r>
              <w:t>2019–20</w:t>
            </w:r>
          </w:p>
        </w:tc>
        <w:tc>
          <w:tcPr>
            <w:tcW w:w="1063" w:type="pct"/>
          </w:tcPr>
          <w:p w:rsidR="00657D31" w:rsidRDefault="00657D31" w:rsidP="00657D31">
            <w:pPr>
              <w:pStyle w:val="BodyText"/>
            </w:pPr>
            <w:r>
              <w:t>≥82%</w:t>
            </w:r>
          </w:p>
        </w:tc>
        <w:tc>
          <w:tcPr>
            <w:tcW w:w="1072" w:type="pct"/>
          </w:tcPr>
          <w:p w:rsidR="00657D31" w:rsidRDefault="00657D31" w:rsidP="00657D31">
            <w:pPr>
              <w:pStyle w:val="BodyText"/>
            </w:pPr>
            <w:r>
              <w:t>83.9%</w:t>
            </w:r>
          </w:p>
        </w:tc>
        <w:tc>
          <w:tcPr>
            <w:tcW w:w="820" w:type="pct"/>
          </w:tcPr>
          <w:p w:rsidR="00657D31" w:rsidRPr="00657D31" w:rsidRDefault="00657D31" w:rsidP="00657D31">
            <w:pPr>
              <w:pStyle w:val="BodyText"/>
            </w:pPr>
            <w:r w:rsidRPr="00657D31">
              <w:t>Yes</w:t>
            </w:r>
          </w:p>
        </w:tc>
        <w:tc>
          <w:tcPr>
            <w:tcW w:w="1045" w:type="pct"/>
          </w:tcPr>
          <w:p w:rsidR="00657D31" w:rsidRDefault="00657D31" w:rsidP="00657D31">
            <w:pPr>
              <w:pStyle w:val="BodyText"/>
            </w:pPr>
            <w:r>
              <w:t>+3.2</w:t>
            </w:r>
          </w:p>
        </w:tc>
      </w:tr>
      <w:tr w:rsidR="00657D31" w:rsidTr="00E75E33">
        <w:trPr>
          <w:trHeight w:val="376"/>
        </w:trPr>
        <w:tc>
          <w:tcPr>
            <w:tcW w:w="1000" w:type="pct"/>
          </w:tcPr>
          <w:p w:rsidR="00657D31" w:rsidRDefault="00657D31" w:rsidP="00657D31">
            <w:pPr>
              <w:pStyle w:val="BodyText"/>
            </w:pPr>
            <w:r>
              <w:t>2018–19</w:t>
            </w:r>
          </w:p>
        </w:tc>
        <w:tc>
          <w:tcPr>
            <w:tcW w:w="1063" w:type="pct"/>
          </w:tcPr>
          <w:p w:rsidR="00657D31" w:rsidRDefault="00657D31" w:rsidP="00657D31">
            <w:pPr>
              <w:pStyle w:val="BodyText"/>
            </w:pPr>
            <w:r>
              <w:t>≥82%</w:t>
            </w:r>
          </w:p>
        </w:tc>
        <w:tc>
          <w:tcPr>
            <w:tcW w:w="1072" w:type="pct"/>
          </w:tcPr>
          <w:p w:rsidR="00657D31" w:rsidRDefault="00657D31" w:rsidP="00657D31">
            <w:pPr>
              <w:pStyle w:val="BodyText"/>
            </w:pPr>
            <w:r>
              <w:t>80.7%</w:t>
            </w:r>
          </w:p>
        </w:tc>
        <w:tc>
          <w:tcPr>
            <w:tcW w:w="820" w:type="pct"/>
          </w:tcPr>
          <w:p w:rsidR="00657D31" w:rsidRPr="00657D31" w:rsidRDefault="00657D31" w:rsidP="00657D31">
            <w:pPr>
              <w:pStyle w:val="BodyText"/>
            </w:pPr>
            <w:r>
              <w:t>No</w:t>
            </w:r>
          </w:p>
        </w:tc>
        <w:tc>
          <w:tcPr>
            <w:tcW w:w="1045" w:type="pct"/>
          </w:tcPr>
          <w:p w:rsidR="00657D31" w:rsidRDefault="00657D31" w:rsidP="00657D31">
            <w:pPr>
              <w:pStyle w:val="BodyText"/>
            </w:pPr>
            <w:r>
              <w:t>+4.5</w:t>
            </w:r>
          </w:p>
        </w:tc>
      </w:tr>
      <w:tr w:rsidR="00657D31" w:rsidTr="00E75E33">
        <w:trPr>
          <w:trHeight w:val="376"/>
        </w:trPr>
        <w:tc>
          <w:tcPr>
            <w:tcW w:w="1000" w:type="pct"/>
          </w:tcPr>
          <w:p w:rsidR="00657D31" w:rsidRDefault="00657D31" w:rsidP="00657D31">
            <w:pPr>
              <w:pStyle w:val="BodyText"/>
            </w:pPr>
            <w:r>
              <w:t>2017–18</w:t>
            </w:r>
          </w:p>
        </w:tc>
        <w:tc>
          <w:tcPr>
            <w:tcW w:w="1063" w:type="pct"/>
          </w:tcPr>
          <w:p w:rsidR="00657D31" w:rsidRDefault="00657D31" w:rsidP="00657D31">
            <w:pPr>
              <w:pStyle w:val="BodyText"/>
            </w:pPr>
            <w:r>
              <w:t>≥82%</w:t>
            </w:r>
          </w:p>
        </w:tc>
        <w:tc>
          <w:tcPr>
            <w:tcW w:w="1072" w:type="pct"/>
          </w:tcPr>
          <w:p w:rsidR="00657D31" w:rsidRDefault="00657D31" w:rsidP="00657D31">
            <w:pPr>
              <w:pStyle w:val="BodyText"/>
            </w:pPr>
            <w:r>
              <w:t>76.2%</w:t>
            </w:r>
          </w:p>
        </w:tc>
        <w:tc>
          <w:tcPr>
            <w:tcW w:w="820" w:type="pct"/>
          </w:tcPr>
          <w:p w:rsidR="00657D31" w:rsidRPr="00657D31" w:rsidRDefault="00657D31" w:rsidP="00657D31">
            <w:pPr>
              <w:pStyle w:val="BodyText"/>
            </w:pPr>
            <w:r>
              <w:t>No</w:t>
            </w:r>
          </w:p>
        </w:tc>
        <w:tc>
          <w:tcPr>
            <w:tcW w:w="1045" w:type="pct"/>
          </w:tcPr>
          <w:p w:rsidR="00657D31" w:rsidRDefault="00657D31" w:rsidP="00657D31">
            <w:pPr>
              <w:pStyle w:val="BodyText"/>
            </w:pPr>
            <w:r>
              <w:t>–7.4</w:t>
            </w:r>
          </w:p>
        </w:tc>
      </w:tr>
    </w:tbl>
    <w:p w:rsidR="008E273C" w:rsidRDefault="00AC4959" w:rsidP="00AC4959">
      <w:pPr>
        <w:pStyle w:val="BodyText"/>
        <w:rPr>
          <w:rStyle w:val="Bold"/>
        </w:rPr>
      </w:pPr>
      <w:r>
        <w:rPr>
          <w:rStyle w:val="Bold"/>
        </w:rPr>
        <w:t>Analysis</w:t>
      </w:r>
    </w:p>
    <w:p w:rsidR="008E273C" w:rsidRDefault="008E273C" w:rsidP="008E273C">
      <w:pPr>
        <w:pStyle w:val="BodyText"/>
      </w:pPr>
      <w:r>
        <w:lastRenderedPageBreak/>
        <w:t xml:space="preserve">In 2019–20 the agency met the annual target, achieving a 3.2 percentage point increase compared to 2018–19. This is the first time the agency has met the annual target since 2016–17. </w:t>
      </w:r>
    </w:p>
    <w:p w:rsidR="008E273C" w:rsidRDefault="008E273C" w:rsidP="008E273C">
      <w:pPr>
        <w:pStyle w:val="BodyText"/>
      </w:pPr>
      <w:r>
        <w:t xml:space="preserve">During the year, there was a strong focus on priorities of work being delivered by Child Support staff in order to optimise performance, which resulted in better management of work on hand to maximise timeliness of applications processed. </w:t>
      </w:r>
    </w:p>
    <w:p w:rsidR="008E273C" w:rsidRDefault="00AC4959" w:rsidP="008E273C">
      <w:pPr>
        <w:pStyle w:val="BodyText"/>
      </w:pPr>
      <w:r w:rsidRPr="00AC4959">
        <w:t>Method</w:t>
      </w:r>
      <w:r w:rsidR="008E273C">
        <w:tab/>
        <w:t>Data mining.</w:t>
      </w:r>
    </w:p>
    <w:p w:rsidR="008E273C" w:rsidRDefault="00E75E33"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E75E33">
      <w:pPr>
        <w:pStyle w:val="ListBullet"/>
        <w:tabs>
          <w:tab w:val="clear" w:pos="360"/>
          <w:tab w:val="clear" w:pos="1066"/>
          <w:tab w:val="num" w:pos="1437"/>
        </w:tabs>
        <w:ind w:left="1434"/>
      </w:pPr>
      <w:r>
        <w:tab/>
        <w:t>‘service excellence’ strategic pillar</w:t>
      </w:r>
    </w:p>
    <w:p w:rsidR="008E273C" w:rsidRDefault="008E273C" w:rsidP="00E75E33">
      <w:pPr>
        <w:pStyle w:val="ListBullet"/>
        <w:tabs>
          <w:tab w:val="clear" w:pos="360"/>
          <w:tab w:val="clear" w:pos="1066"/>
          <w:tab w:val="num" w:pos="1437"/>
        </w:tabs>
        <w:ind w:left="1434"/>
      </w:pPr>
      <w:r>
        <w:t>‘</w:t>
      </w:r>
      <w:proofErr w:type="gramStart"/>
      <w:r>
        <w:t>ease</w:t>
      </w:r>
      <w:proofErr w:type="gramEnd"/>
      <w:r>
        <w:t xml:space="preserve"> and timeliness of service’ key performance area.</w:t>
      </w:r>
    </w:p>
    <w:p w:rsidR="008E273C" w:rsidRDefault="00AC4959" w:rsidP="008E273C">
      <w:pPr>
        <w:pStyle w:val="BodyText"/>
      </w:pPr>
      <w:r w:rsidRPr="00AC4959">
        <w:t>Reference</w:t>
      </w:r>
      <w:r w:rsidR="008E273C">
        <w:tab/>
        <w:t>2019–20 PBS, page 34; 2019–20 Corporate Plan, page 15 (pdf), 10 (doc).</w:t>
      </w:r>
    </w:p>
    <w:p w:rsidR="008E273C" w:rsidRDefault="00AC4959" w:rsidP="008E273C">
      <w:pPr>
        <w:pStyle w:val="BodyText"/>
      </w:pPr>
      <w:r w:rsidRPr="00AC4959">
        <w:t>Data source</w:t>
      </w:r>
      <w:r w:rsidR="008E273C">
        <w:tab/>
        <w:t>Child Support Enterprise Data Warehouse.</w:t>
      </w:r>
    </w:p>
    <w:p w:rsidR="008E273C" w:rsidRDefault="00E75E33" w:rsidP="008E273C">
      <w:pPr>
        <w:pStyle w:val="Heading5"/>
      </w:pPr>
      <w:r>
        <w:t>Criterion 8</w:t>
      </w:r>
      <w:r w:rsidR="008E273C">
        <w:t>—Achievement of payment quality standards: Ch</w:t>
      </w:r>
      <w:r w:rsidR="008E273C">
        <w:rPr>
          <w:rStyle w:val="NoBreak"/>
        </w:rPr>
        <w:t>ild Su</w:t>
      </w:r>
      <w:r w:rsidR="008E273C">
        <w:t xml:space="preserve">pport: Debt under arrangement </w:t>
      </w:r>
      <w:r w:rsidR="008E273C" w:rsidRPr="00E75E33">
        <w:rPr>
          <w:i/>
        </w:rPr>
        <w:t>(PBS)</w:t>
      </w:r>
    </w:p>
    <w:p w:rsidR="008E273C" w:rsidRDefault="00AC4959" w:rsidP="00AC4959">
      <w:pPr>
        <w:pStyle w:val="BodyText"/>
      </w:pPr>
      <w:r>
        <w:rPr>
          <w:rStyle w:val="Bold"/>
        </w:rPr>
        <w:t>Overview</w:t>
      </w:r>
    </w:p>
    <w:tbl>
      <w:tblPr>
        <w:tblStyle w:val="TableGrid"/>
        <w:tblW w:w="5000" w:type="pct"/>
        <w:tblLook w:val="0000" w:firstRow="0" w:lastRow="0" w:firstColumn="0" w:lastColumn="0" w:noHBand="0" w:noVBand="0"/>
        <w:tblCaption w:val="Criterion 8 Overview"/>
        <w:tblDescription w:val="Criterion 8 Overview"/>
      </w:tblPr>
      <w:tblGrid>
        <w:gridCol w:w="2219"/>
        <w:gridCol w:w="2359"/>
        <w:gridCol w:w="2379"/>
        <w:gridCol w:w="1820"/>
        <w:gridCol w:w="2319"/>
      </w:tblGrid>
      <w:tr w:rsidR="008E273C" w:rsidTr="00E75E33">
        <w:trPr>
          <w:trHeight w:val="376"/>
          <w:tblHeader/>
        </w:trPr>
        <w:tc>
          <w:tcPr>
            <w:tcW w:w="1000" w:type="pct"/>
          </w:tcPr>
          <w:p w:rsidR="008E273C" w:rsidRPr="00E75E33" w:rsidRDefault="008E273C" w:rsidP="00E75E33">
            <w:pPr>
              <w:pStyle w:val="BodyText"/>
              <w:rPr>
                <w:b/>
              </w:rPr>
            </w:pPr>
            <w:r w:rsidRPr="00E75E33">
              <w:rPr>
                <w:b/>
              </w:rPr>
              <w:t>Year</w:t>
            </w:r>
          </w:p>
        </w:tc>
        <w:tc>
          <w:tcPr>
            <w:tcW w:w="1063" w:type="pct"/>
          </w:tcPr>
          <w:p w:rsidR="008E273C" w:rsidRPr="00E75E33" w:rsidRDefault="008E273C" w:rsidP="00E75E33">
            <w:pPr>
              <w:pStyle w:val="BodyText"/>
              <w:rPr>
                <w:b/>
              </w:rPr>
            </w:pPr>
            <w:r w:rsidRPr="00E75E33">
              <w:rPr>
                <w:b/>
              </w:rPr>
              <w:t>Target</w:t>
            </w:r>
          </w:p>
        </w:tc>
        <w:tc>
          <w:tcPr>
            <w:tcW w:w="1072" w:type="pct"/>
          </w:tcPr>
          <w:p w:rsidR="008E273C" w:rsidRPr="00E75E33" w:rsidRDefault="008E273C" w:rsidP="00E75E33">
            <w:pPr>
              <w:pStyle w:val="BodyText"/>
              <w:rPr>
                <w:b/>
              </w:rPr>
            </w:pPr>
            <w:r w:rsidRPr="00E75E33">
              <w:rPr>
                <w:b/>
              </w:rPr>
              <w:t>Result</w:t>
            </w:r>
          </w:p>
        </w:tc>
        <w:tc>
          <w:tcPr>
            <w:tcW w:w="820" w:type="pct"/>
          </w:tcPr>
          <w:p w:rsidR="008E273C" w:rsidRPr="00E75E33" w:rsidRDefault="008E273C" w:rsidP="00E75E33">
            <w:pPr>
              <w:pStyle w:val="BodyText"/>
              <w:rPr>
                <w:b/>
              </w:rPr>
            </w:pPr>
            <w:r w:rsidRPr="00E75E33">
              <w:rPr>
                <w:b/>
              </w:rPr>
              <w:t>Achieved</w:t>
            </w:r>
          </w:p>
        </w:tc>
        <w:tc>
          <w:tcPr>
            <w:tcW w:w="1045" w:type="pct"/>
          </w:tcPr>
          <w:p w:rsidR="008E273C" w:rsidRPr="00E75E33" w:rsidRDefault="008E273C" w:rsidP="00E75E33">
            <w:pPr>
              <w:pStyle w:val="BodyText"/>
              <w:rPr>
                <w:b/>
              </w:rPr>
            </w:pPr>
            <w:r w:rsidRPr="00E75E33">
              <w:rPr>
                <w:b/>
              </w:rPr>
              <w:t>Change</w:t>
            </w:r>
          </w:p>
          <w:p w:rsidR="008E273C" w:rsidRPr="00E75E33" w:rsidRDefault="008E273C" w:rsidP="00E75E33">
            <w:pPr>
              <w:pStyle w:val="BodyText"/>
              <w:rPr>
                <w:b/>
              </w:rPr>
            </w:pPr>
            <w:r w:rsidRPr="00E75E33">
              <w:rPr>
                <w:b/>
              </w:rPr>
              <w:t>(% points)</w:t>
            </w:r>
          </w:p>
        </w:tc>
      </w:tr>
      <w:tr w:rsidR="008E273C" w:rsidTr="00E75E33">
        <w:trPr>
          <w:trHeight w:val="376"/>
        </w:trPr>
        <w:tc>
          <w:tcPr>
            <w:tcW w:w="1000" w:type="pct"/>
          </w:tcPr>
          <w:p w:rsidR="008E273C" w:rsidRDefault="008E273C" w:rsidP="00E75E33">
            <w:pPr>
              <w:pStyle w:val="BodyText"/>
            </w:pPr>
            <w:r>
              <w:t>2019–20</w:t>
            </w:r>
          </w:p>
        </w:tc>
        <w:tc>
          <w:tcPr>
            <w:tcW w:w="1063" w:type="pct"/>
          </w:tcPr>
          <w:p w:rsidR="008E273C" w:rsidRDefault="008E273C" w:rsidP="00E75E33">
            <w:pPr>
              <w:pStyle w:val="BodyText"/>
            </w:pPr>
            <w:r>
              <w:t>≥40%</w:t>
            </w:r>
          </w:p>
        </w:tc>
        <w:tc>
          <w:tcPr>
            <w:tcW w:w="1072" w:type="pct"/>
          </w:tcPr>
          <w:p w:rsidR="008E273C" w:rsidRDefault="008E273C" w:rsidP="00E75E33">
            <w:pPr>
              <w:pStyle w:val="BodyText"/>
            </w:pPr>
            <w:r>
              <w:t>45.2%</w:t>
            </w:r>
          </w:p>
        </w:tc>
        <w:tc>
          <w:tcPr>
            <w:tcW w:w="820" w:type="pct"/>
          </w:tcPr>
          <w:p w:rsidR="008E273C" w:rsidRPr="00657D31" w:rsidRDefault="00657D31" w:rsidP="00657D31">
            <w:pPr>
              <w:pStyle w:val="BodyText"/>
            </w:pPr>
            <w:r w:rsidRPr="00657D31">
              <w:t>Yes</w:t>
            </w:r>
          </w:p>
        </w:tc>
        <w:tc>
          <w:tcPr>
            <w:tcW w:w="1045" w:type="pct"/>
          </w:tcPr>
          <w:p w:rsidR="008E273C" w:rsidRDefault="008E273C" w:rsidP="00E75E33">
            <w:pPr>
              <w:pStyle w:val="BodyText"/>
            </w:pPr>
            <w:r>
              <w:t>+9.8</w:t>
            </w:r>
          </w:p>
        </w:tc>
      </w:tr>
      <w:tr w:rsidR="008E273C" w:rsidTr="00E75E33">
        <w:trPr>
          <w:trHeight w:val="376"/>
        </w:trPr>
        <w:tc>
          <w:tcPr>
            <w:tcW w:w="1000" w:type="pct"/>
          </w:tcPr>
          <w:p w:rsidR="008E273C" w:rsidRDefault="008E273C" w:rsidP="00E75E33">
            <w:pPr>
              <w:pStyle w:val="BodyText"/>
            </w:pPr>
            <w:r>
              <w:t>2018–19</w:t>
            </w:r>
          </w:p>
        </w:tc>
        <w:tc>
          <w:tcPr>
            <w:tcW w:w="1063" w:type="pct"/>
          </w:tcPr>
          <w:p w:rsidR="008E273C" w:rsidRDefault="008E273C" w:rsidP="00E75E33">
            <w:pPr>
              <w:pStyle w:val="BodyText"/>
            </w:pPr>
            <w:r>
              <w:t>≥39%</w:t>
            </w:r>
          </w:p>
        </w:tc>
        <w:tc>
          <w:tcPr>
            <w:tcW w:w="1072" w:type="pct"/>
          </w:tcPr>
          <w:p w:rsidR="008E273C" w:rsidRDefault="008E273C" w:rsidP="00E75E33">
            <w:pPr>
              <w:pStyle w:val="BodyText"/>
            </w:pPr>
            <w:r>
              <w:t>35.4%</w:t>
            </w:r>
          </w:p>
        </w:tc>
        <w:tc>
          <w:tcPr>
            <w:tcW w:w="820" w:type="pct"/>
          </w:tcPr>
          <w:p w:rsidR="008E273C" w:rsidRPr="00657D31" w:rsidRDefault="00657D31" w:rsidP="00657D31">
            <w:pPr>
              <w:pStyle w:val="BodyText"/>
            </w:pPr>
            <w:r w:rsidRPr="00657D31">
              <w:t>No</w:t>
            </w:r>
          </w:p>
        </w:tc>
        <w:tc>
          <w:tcPr>
            <w:tcW w:w="1045" w:type="pct"/>
          </w:tcPr>
          <w:p w:rsidR="008E273C" w:rsidRDefault="008E273C" w:rsidP="00E75E33">
            <w:pPr>
              <w:pStyle w:val="BodyText"/>
            </w:pPr>
            <w:r>
              <w:t>NA</w:t>
            </w:r>
            <w:r>
              <w:rPr>
                <w:vertAlign w:val="superscript"/>
              </w:rPr>
              <w:t>(a)</w:t>
            </w:r>
          </w:p>
        </w:tc>
      </w:tr>
    </w:tbl>
    <w:p w:rsidR="008E273C" w:rsidRDefault="008E273C" w:rsidP="00E75E33">
      <w:pPr>
        <w:pStyle w:val="BodyText"/>
      </w:pPr>
      <w:r>
        <w:t>(a) This performance measure commenced in 2018–19.</w:t>
      </w:r>
    </w:p>
    <w:p w:rsidR="008E273C" w:rsidRDefault="00AC4959" w:rsidP="00AC4959">
      <w:pPr>
        <w:pStyle w:val="BodyText"/>
        <w:rPr>
          <w:rStyle w:val="Bold"/>
        </w:rPr>
      </w:pPr>
      <w:r>
        <w:rPr>
          <w:rStyle w:val="Bold"/>
        </w:rPr>
        <w:t>Analysis</w:t>
      </w:r>
    </w:p>
    <w:p w:rsidR="008E273C" w:rsidRDefault="008E273C" w:rsidP="008E273C">
      <w:pPr>
        <w:pStyle w:val="BodyText"/>
        <w:rPr>
          <w:rStyle w:val="NoBreak"/>
        </w:rPr>
      </w:pPr>
      <w:r>
        <w:t xml:space="preserve">The effects of the COVID-19 pandemic saw approximately 24,000 additional Child Support customers receiving Centrelink payments. The debt that these customers held is now considered ‘under arrangement’ as child support deductions are being made automatically from their Centrelink benefits. This directly contributed to the increase in total Child Support debt </w:t>
      </w:r>
      <w:r>
        <w:rPr>
          <w:rStyle w:val="NoBreak"/>
        </w:rPr>
        <w:t xml:space="preserve">under arrangement. </w:t>
      </w:r>
    </w:p>
    <w:p w:rsidR="008E273C" w:rsidRDefault="008E273C" w:rsidP="008E273C">
      <w:pPr>
        <w:pStyle w:val="BodyText"/>
      </w:pPr>
      <w:r>
        <w:t xml:space="preserve">For information about debt under arrangement, see </w:t>
      </w:r>
      <w:r>
        <w:rPr>
          <w:rStyle w:val="Italic"/>
        </w:rPr>
        <w:t xml:space="preserve">Compliance and enforcement </w:t>
      </w:r>
      <w:r>
        <w:t>on page 38.</w:t>
      </w:r>
    </w:p>
    <w:p w:rsidR="008E273C" w:rsidRDefault="00AC4959" w:rsidP="008E273C">
      <w:pPr>
        <w:pStyle w:val="BodyText"/>
      </w:pPr>
      <w:r w:rsidRPr="00AC4959">
        <w:t>Method</w:t>
      </w:r>
      <w:r w:rsidR="008E273C">
        <w:tab/>
        <w:t>Data mining.</w:t>
      </w:r>
    </w:p>
    <w:p w:rsidR="008E273C" w:rsidRDefault="00E75E33" w:rsidP="00E42522">
      <w:pPr>
        <w:pStyle w:val="BodyText"/>
      </w:pPr>
      <w:r>
        <w:t>Rationale</w:t>
      </w:r>
      <w:r w:rsidR="00AC4959" w:rsidRPr="00AC4959">
        <w:tab/>
      </w:r>
      <w:r w:rsidR="008E273C">
        <w:t xml:space="preserve">This performance measure supports the </w:t>
      </w:r>
      <w:proofErr w:type="gramStart"/>
      <w:r w:rsidR="008E273C">
        <w:t>agency’s</w:t>
      </w:r>
      <w:proofErr w:type="gramEnd"/>
      <w:r w:rsidR="008E273C">
        <w:t>:</w:t>
      </w:r>
    </w:p>
    <w:p w:rsidR="008E273C" w:rsidRDefault="008E273C" w:rsidP="00E75E33">
      <w:pPr>
        <w:pStyle w:val="ListBullet"/>
        <w:tabs>
          <w:tab w:val="clear" w:pos="360"/>
          <w:tab w:val="clear" w:pos="1066"/>
          <w:tab w:val="num" w:pos="1437"/>
        </w:tabs>
        <w:ind w:left="1434"/>
      </w:pPr>
      <w:r>
        <w:tab/>
        <w:t>‘service excellence’ strategic pillar</w:t>
      </w:r>
    </w:p>
    <w:p w:rsidR="008E273C" w:rsidRDefault="008E273C" w:rsidP="00E75E33">
      <w:pPr>
        <w:pStyle w:val="ListBullet"/>
        <w:tabs>
          <w:tab w:val="clear" w:pos="360"/>
          <w:tab w:val="clear" w:pos="1066"/>
          <w:tab w:val="num" w:pos="1437"/>
        </w:tabs>
        <w:ind w:left="1434"/>
      </w:pPr>
      <w:r>
        <w:tab/>
        <w:t>‘</w:t>
      </w:r>
      <w:proofErr w:type="gramStart"/>
      <w:r>
        <w:t>customer</w:t>
      </w:r>
      <w:proofErr w:type="gramEnd"/>
      <w:r>
        <w:t xml:space="preserve"> satisfaction’; ‘correct payments’; and ‘ease and timeliness of service’ key performance areas.</w:t>
      </w:r>
    </w:p>
    <w:p w:rsidR="008E273C" w:rsidRDefault="00AC4959" w:rsidP="008E273C">
      <w:pPr>
        <w:pStyle w:val="BodyText"/>
      </w:pPr>
      <w:r w:rsidRPr="00AC4959">
        <w:t>Reference</w:t>
      </w:r>
      <w:r w:rsidR="008E273C">
        <w:tab/>
        <w:t>2019–20 PBS, page 34.</w:t>
      </w:r>
    </w:p>
    <w:p w:rsidR="008E273C" w:rsidRDefault="00AC4959" w:rsidP="008E273C">
      <w:pPr>
        <w:pStyle w:val="BodyText"/>
      </w:pPr>
      <w:r w:rsidRPr="00AC4959">
        <w:t>Data source</w:t>
      </w:r>
      <w:r w:rsidR="008E273C">
        <w:tab/>
        <w:t>Enterprise Data Warehouse.</w:t>
      </w:r>
    </w:p>
    <w:p w:rsidR="008E273C" w:rsidRDefault="008E273C" w:rsidP="008E273C">
      <w:pPr>
        <w:pStyle w:val="Heading1"/>
      </w:pPr>
      <w:r>
        <w:lastRenderedPageBreak/>
        <w:t>2.2 Responsibility to the Australian community</w:t>
      </w:r>
    </w:p>
    <w:p w:rsidR="008E273C" w:rsidRDefault="008E273C" w:rsidP="008E273C">
      <w:pPr>
        <w:pStyle w:val="Heading2"/>
      </w:pPr>
      <w:r>
        <w:t>The agency’s service commitments</w:t>
      </w:r>
    </w:p>
    <w:p w:rsidR="008E273C" w:rsidRDefault="008E273C" w:rsidP="008E273C">
      <w:pPr>
        <w:pStyle w:val="BodyText"/>
      </w:pPr>
      <w:r>
        <w:t xml:space="preserve">Service Australia’s service commitments are a public expression of its vision of delivering excellent services to the Australian people while delivering on the outcomes and expectations of government. </w:t>
      </w:r>
    </w:p>
    <w:p w:rsidR="008E273C" w:rsidRDefault="008E273C" w:rsidP="008E273C">
      <w:pPr>
        <w:pStyle w:val="BodyText"/>
      </w:pPr>
      <w:r>
        <w:t xml:space="preserve">The agency’s service commitments underpin our business priorities (see our website at </w:t>
      </w:r>
      <w:r>
        <w:rPr>
          <w:rStyle w:val="Boldnobreak"/>
        </w:rPr>
        <w:t>servicesaustralia.gov.au</w:t>
      </w:r>
      <w:r>
        <w:t>)</w:t>
      </w:r>
    </w:p>
    <w:p w:rsidR="008E273C" w:rsidRDefault="008E273C" w:rsidP="008E273C">
      <w:pPr>
        <w:pStyle w:val="Heading3"/>
      </w:pPr>
      <w:r>
        <w:t>Summary of performance against service commitments</w:t>
      </w:r>
    </w:p>
    <w:p w:rsidR="008E273C" w:rsidRDefault="008E273C" w:rsidP="008E273C">
      <w:pPr>
        <w:pStyle w:val="BodyText"/>
      </w:pPr>
      <w:r>
        <w:t xml:space="preserve">Services Australia regularly assesses and reports on its performance against each of the four service commitment themes. The results are based on responses to a survey conducted throughout 2019–20 that asked about each respondent’s most recent interaction with the agency. Respondents who were unable to provide an answer were removed from the calculation of results. </w:t>
      </w:r>
    </w:p>
    <w:p w:rsidR="008E273C" w:rsidRDefault="008E273C" w:rsidP="008E273C">
      <w:pPr>
        <w:pStyle w:val="Heading4"/>
      </w:pPr>
      <w:r>
        <w:t>Respect</w:t>
      </w:r>
    </w:p>
    <w:p w:rsidR="008E273C" w:rsidRDefault="008E273C" w:rsidP="00E42522">
      <w:pPr>
        <w:pStyle w:val="BodyText"/>
      </w:pPr>
      <w:r>
        <w:t>We will listen and work with you to understand your individual and cultural needs—measured by people’s assessment of staff behaviour:</w:t>
      </w:r>
    </w:p>
    <w:p w:rsidR="008E273C" w:rsidRDefault="008E273C" w:rsidP="00E42522">
      <w:pPr>
        <w:pStyle w:val="ListBullet"/>
      </w:pPr>
      <w:r>
        <w:tab/>
        <w:t>91.4 per cent of people surveyed about Centrelink services agreed that staff treated them with respect and 85.4 per cent agreed that staff took into account their individual circumstances</w:t>
      </w:r>
    </w:p>
    <w:p w:rsidR="008E273C" w:rsidRDefault="008E273C" w:rsidP="00E42522">
      <w:pPr>
        <w:pStyle w:val="ListBullet"/>
      </w:pPr>
      <w:r>
        <w:tab/>
        <w:t>95.6 per cent of people surveyed about Medicare services agreed that staff treated them with respect and 91.9 per cent agreed that staff took into account their individual circumstances</w:t>
      </w:r>
    </w:p>
    <w:p w:rsidR="008E273C" w:rsidRDefault="008E273C" w:rsidP="00E42522">
      <w:pPr>
        <w:pStyle w:val="ListBullet"/>
      </w:pPr>
      <w:r>
        <w:tab/>
        <w:t>87.4 per cent of people surveyed about Child Support services agreed that staff treated them with respect and 83.3 per cent agreed that staff took into account their individual circumstances.</w:t>
      </w:r>
    </w:p>
    <w:p w:rsidR="008E273C" w:rsidRDefault="008E273C" w:rsidP="008E273C">
      <w:pPr>
        <w:pStyle w:val="Heading4"/>
      </w:pPr>
      <w:r>
        <w:t>Quality information</w:t>
      </w:r>
    </w:p>
    <w:p w:rsidR="008E273C" w:rsidRDefault="008E273C" w:rsidP="00E42522">
      <w:pPr>
        <w:pStyle w:val="BodyText"/>
      </w:pPr>
      <w:r>
        <w:t>We are committed to providing consistent and accurate information—measured by people’s assessment of the consistency and accuracy of information:</w:t>
      </w:r>
    </w:p>
    <w:p w:rsidR="008E273C" w:rsidRDefault="008E273C" w:rsidP="00E42522">
      <w:pPr>
        <w:pStyle w:val="ListBullet"/>
      </w:pPr>
      <w:r>
        <w:tab/>
        <w:t xml:space="preserve">85.4 per cent of people surveyed about Centrelink services agreed that information was accurate and consistent </w:t>
      </w:r>
    </w:p>
    <w:p w:rsidR="008E273C" w:rsidRDefault="008E273C" w:rsidP="00E42522">
      <w:pPr>
        <w:pStyle w:val="ListBullet"/>
      </w:pPr>
      <w:r>
        <w:tab/>
        <w:t>93.4 per cent of people surveyed about Medicare services agreed that information was accurate and consistent</w:t>
      </w:r>
    </w:p>
    <w:p w:rsidR="008E273C" w:rsidRDefault="008E273C" w:rsidP="00E42522">
      <w:pPr>
        <w:pStyle w:val="ListBullet"/>
      </w:pPr>
      <w:r>
        <w:tab/>
        <w:t xml:space="preserve">85.2 per cent of people surveyed about Child Support services agreed that information was accurate and consistent. </w:t>
      </w:r>
    </w:p>
    <w:p w:rsidR="008E273C" w:rsidRDefault="008E273C" w:rsidP="008E273C">
      <w:pPr>
        <w:pStyle w:val="Heading4"/>
      </w:pPr>
      <w:r>
        <w:t>Honesty and integrity</w:t>
      </w:r>
    </w:p>
    <w:p w:rsidR="008E273C" w:rsidRDefault="008E273C" w:rsidP="00E42522">
      <w:pPr>
        <w:pStyle w:val="BodyText"/>
      </w:pPr>
      <w:r>
        <w:t>We will be open and honest and follow through on our commitments—measured by people’s assessment of requests being actioned as promised:</w:t>
      </w:r>
    </w:p>
    <w:p w:rsidR="008E273C" w:rsidRDefault="008E273C" w:rsidP="00E42522">
      <w:pPr>
        <w:pStyle w:val="ListBullet"/>
      </w:pPr>
      <w:r>
        <w:t xml:space="preserve">79.7 per cent of people surveyed about Centrelink services were confident their requests were actioned as promised </w:t>
      </w:r>
    </w:p>
    <w:p w:rsidR="008E273C" w:rsidRDefault="008E273C" w:rsidP="00E42522">
      <w:pPr>
        <w:pStyle w:val="ListBullet"/>
      </w:pPr>
      <w:r>
        <w:t xml:space="preserve">95.3 per cent of people surveyed about Medicare services were confident their requests were actioned as promised </w:t>
      </w:r>
    </w:p>
    <w:p w:rsidR="008E273C" w:rsidRDefault="008E273C" w:rsidP="00E42522">
      <w:pPr>
        <w:pStyle w:val="ListBullet"/>
      </w:pPr>
      <w:r>
        <w:lastRenderedPageBreak/>
        <w:t xml:space="preserve">82.7 per cent of people surveyed about Child Support services were confident their requests were actioned as promised. </w:t>
      </w:r>
    </w:p>
    <w:p w:rsidR="008E273C" w:rsidRDefault="008E273C" w:rsidP="008E273C">
      <w:pPr>
        <w:pStyle w:val="Heading4"/>
      </w:pPr>
      <w:r>
        <w:t>Efficiency</w:t>
      </w:r>
    </w:p>
    <w:p w:rsidR="008E273C" w:rsidRDefault="008E273C" w:rsidP="00E42522">
      <w:pPr>
        <w:pStyle w:val="BodyText"/>
      </w:pPr>
      <w:r>
        <w:t>We will simplify the way we deliver services to you—measured by people’s assessment of achieving what they wanted:</w:t>
      </w:r>
    </w:p>
    <w:p w:rsidR="008E273C" w:rsidRDefault="008E273C" w:rsidP="00E42522">
      <w:pPr>
        <w:pStyle w:val="ListBullet"/>
      </w:pPr>
      <w:r>
        <w:t xml:space="preserve">79.6 per cent of people surveyed about Centrelink services agreed that they achieved what they wanted in their interaction </w:t>
      </w:r>
    </w:p>
    <w:p w:rsidR="008E273C" w:rsidRDefault="008E273C" w:rsidP="00E42522">
      <w:pPr>
        <w:pStyle w:val="ListBullet"/>
      </w:pPr>
      <w:r>
        <w:t xml:space="preserve">95.3 per cent of people surveyed about Medicare services agreed that they achieved what they wanted in their interaction </w:t>
      </w:r>
    </w:p>
    <w:p w:rsidR="008E273C" w:rsidRDefault="008E273C" w:rsidP="00E42522">
      <w:pPr>
        <w:pStyle w:val="ListBullet"/>
      </w:pPr>
      <w:r>
        <w:t xml:space="preserve">84.5 per cent of people surveyed about Child Support services agreed that they achieved what they wanted in their interaction. </w:t>
      </w:r>
    </w:p>
    <w:p w:rsidR="008E273C" w:rsidRDefault="005D794B" w:rsidP="008E273C">
      <w:pPr>
        <w:pStyle w:val="Heading4"/>
      </w:pPr>
      <w:r>
        <w:t>Satisfaction research p</w:t>
      </w:r>
      <w:r w:rsidR="008E273C">
        <w:t>rogram</w:t>
      </w:r>
    </w:p>
    <w:p w:rsidR="008E273C" w:rsidRDefault="008E273C" w:rsidP="00E42522">
      <w:pPr>
        <w:pStyle w:val="BodyText"/>
      </w:pPr>
      <w:r>
        <w:t>The Satisfaction Research Program includes a number of survey modules which measure satisfaction with the agency’s service delivery:</w:t>
      </w:r>
    </w:p>
    <w:p w:rsidR="008E273C" w:rsidRDefault="008E273C" w:rsidP="00E42522">
      <w:pPr>
        <w:pStyle w:val="ListBullet"/>
      </w:pPr>
      <w:r>
        <w:t xml:space="preserve">The </w:t>
      </w:r>
      <w:r w:rsidRPr="00AC4959">
        <w:rPr>
          <w:rStyle w:val="BodyTextChar"/>
        </w:rPr>
        <w:t>Satisfaction and Experience Survey</w:t>
      </w:r>
      <w:r>
        <w:t xml:space="preserve"> measures people’s perceptions of the quality of service they received in their most recent interaction with the agency.</w:t>
      </w:r>
    </w:p>
    <w:p w:rsidR="008E273C" w:rsidRDefault="008E273C" w:rsidP="00E42522">
      <w:pPr>
        <w:pStyle w:val="ListBullet"/>
      </w:pPr>
      <w:r>
        <w:t xml:space="preserve">The </w:t>
      </w:r>
      <w:r w:rsidR="00AC4959" w:rsidRPr="00AC4959">
        <w:rPr>
          <w:rStyle w:val="BodyTextChar"/>
        </w:rPr>
        <w:t>strategic survey</w:t>
      </w:r>
      <w:r>
        <w:t xml:space="preserve"> measures people’s general perceptions of, and engagement with, the agency.</w:t>
      </w:r>
    </w:p>
    <w:p w:rsidR="008E273C" w:rsidRDefault="008E273C" w:rsidP="00E42522">
      <w:pPr>
        <w:pStyle w:val="ListBullet"/>
      </w:pPr>
      <w:r>
        <w:t>The</w:t>
      </w:r>
      <w:r w:rsidR="00AC4959" w:rsidRPr="00AC4959">
        <w:rPr>
          <w:rStyle w:val="BodyTextChar"/>
        </w:rPr>
        <w:t xml:space="preserve"> health provider survey</w:t>
      </w:r>
      <w:r>
        <w:t xml:space="preserve"> measures satisfaction with the agency’s services from health professionals, including pharmacists, general practitioners and practice managers.</w:t>
      </w:r>
    </w:p>
    <w:p w:rsidR="008E273C" w:rsidRPr="00C3620B" w:rsidRDefault="00C3620B" w:rsidP="00C3620B">
      <w:pPr>
        <w:pStyle w:val="BodyText"/>
        <w:rPr>
          <w:b/>
        </w:rPr>
      </w:pPr>
      <w:r w:rsidRPr="00C3620B">
        <w:rPr>
          <w:b/>
        </w:rPr>
        <w:t>Table 39:</w:t>
      </w:r>
      <w:r w:rsidR="008E273C" w:rsidRPr="00C3620B">
        <w:rPr>
          <w:b/>
        </w:rPr>
        <w:t xml:space="preserve"> Summary of the agency’s satisfaction survey activities</w:t>
      </w:r>
    </w:p>
    <w:tbl>
      <w:tblPr>
        <w:tblStyle w:val="TableGrid"/>
        <w:tblW w:w="5000" w:type="pct"/>
        <w:tblLook w:val="0000" w:firstRow="0" w:lastRow="0" w:firstColumn="0" w:lastColumn="0" w:noHBand="0" w:noVBand="0"/>
        <w:tblCaption w:val="Table 39: Summary of the agency’s satisfaction survey activities"/>
        <w:tblDescription w:val="Table 39: Summary of the agency’s satisfaction survey activities"/>
      </w:tblPr>
      <w:tblGrid>
        <w:gridCol w:w="2143"/>
        <w:gridCol w:w="2985"/>
        <w:gridCol w:w="2985"/>
        <w:gridCol w:w="2983"/>
      </w:tblGrid>
      <w:tr w:rsidR="008E273C" w:rsidRPr="00C3620B" w:rsidTr="00C3620B">
        <w:trPr>
          <w:trHeight w:val="60"/>
          <w:tblHeader/>
        </w:trPr>
        <w:tc>
          <w:tcPr>
            <w:tcW w:w="966" w:type="pct"/>
          </w:tcPr>
          <w:p w:rsidR="008E273C" w:rsidRPr="00C3620B" w:rsidRDefault="008E273C" w:rsidP="00C3620B">
            <w:pPr>
              <w:pStyle w:val="BodyText"/>
              <w:rPr>
                <w:b/>
              </w:rPr>
            </w:pPr>
            <w:r w:rsidRPr="00C3620B">
              <w:rPr>
                <w:b/>
              </w:rPr>
              <w:t>Survey title</w:t>
            </w:r>
          </w:p>
        </w:tc>
        <w:tc>
          <w:tcPr>
            <w:tcW w:w="1345" w:type="pct"/>
          </w:tcPr>
          <w:p w:rsidR="008E273C" w:rsidRPr="00C3620B" w:rsidRDefault="008E273C" w:rsidP="00C3620B">
            <w:pPr>
              <w:pStyle w:val="BodyText"/>
              <w:rPr>
                <w:b/>
              </w:rPr>
            </w:pPr>
            <w:r w:rsidRPr="00C3620B">
              <w:rPr>
                <w:b/>
              </w:rPr>
              <w:t>Target audience, timing and sample size</w:t>
            </w:r>
          </w:p>
        </w:tc>
        <w:tc>
          <w:tcPr>
            <w:tcW w:w="1345" w:type="pct"/>
          </w:tcPr>
          <w:p w:rsidR="008E273C" w:rsidRPr="00C3620B" w:rsidRDefault="008E273C" w:rsidP="00C3620B">
            <w:pPr>
              <w:pStyle w:val="BodyText"/>
              <w:rPr>
                <w:b/>
              </w:rPr>
            </w:pPr>
            <w:r w:rsidRPr="00C3620B">
              <w:rPr>
                <w:b/>
              </w:rPr>
              <w:t>Results 2018–19</w:t>
            </w:r>
          </w:p>
        </w:tc>
        <w:tc>
          <w:tcPr>
            <w:tcW w:w="1345" w:type="pct"/>
          </w:tcPr>
          <w:p w:rsidR="008E273C" w:rsidRPr="00C3620B" w:rsidRDefault="008E273C" w:rsidP="00C3620B">
            <w:pPr>
              <w:pStyle w:val="BodyText"/>
              <w:rPr>
                <w:b/>
              </w:rPr>
            </w:pPr>
            <w:r w:rsidRPr="00C3620B">
              <w:rPr>
                <w:b/>
              </w:rPr>
              <w:t>Results 2019–20</w:t>
            </w:r>
          </w:p>
        </w:tc>
      </w:tr>
      <w:tr w:rsidR="008E273C" w:rsidTr="00C3620B">
        <w:trPr>
          <w:trHeight w:val="60"/>
        </w:trPr>
        <w:tc>
          <w:tcPr>
            <w:tcW w:w="966" w:type="pct"/>
          </w:tcPr>
          <w:p w:rsidR="008E273C" w:rsidRDefault="008E273C" w:rsidP="00C3620B">
            <w:pPr>
              <w:pStyle w:val="BodyText"/>
            </w:pPr>
            <w:r>
              <w:t>Satisfaction and Experience Survey</w:t>
            </w:r>
          </w:p>
        </w:tc>
        <w:tc>
          <w:tcPr>
            <w:tcW w:w="1345" w:type="pct"/>
          </w:tcPr>
          <w:p w:rsidR="008E273C" w:rsidRDefault="008E273C" w:rsidP="00C3620B">
            <w:pPr>
              <w:pStyle w:val="BodyText"/>
            </w:pPr>
            <w:r>
              <w:t>Random selection of current users who have recently interacted with the agency</w:t>
            </w:r>
          </w:p>
          <w:p w:rsidR="008E273C" w:rsidRDefault="008E273C" w:rsidP="00C3620B">
            <w:pPr>
              <w:pStyle w:val="BodyText"/>
            </w:pPr>
            <w:r>
              <w:t>Continuously throughout the year</w:t>
            </w:r>
          </w:p>
          <w:p w:rsidR="008E273C" w:rsidRDefault="008E273C" w:rsidP="00C3620B">
            <w:pPr>
              <w:pStyle w:val="BodyText"/>
            </w:pPr>
            <w:r>
              <w:t xml:space="preserve">Approximately 140,782 surveys completed </w:t>
            </w:r>
          </w:p>
        </w:tc>
        <w:tc>
          <w:tcPr>
            <w:tcW w:w="1345" w:type="pct"/>
          </w:tcPr>
          <w:p w:rsidR="008E273C" w:rsidRDefault="008E273C" w:rsidP="00C3620B">
            <w:pPr>
              <w:pStyle w:val="BodyText"/>
            </w:pPr>
            <w:r>
              <w:t>Satisfied with:</w:t>
            </w:r>
          </w:p>
          <w:p w:rsidR="008E273C" w:rsidRDefault="008E273C" w:rsidP="00C3620B">
            <w:pPr>
              <w:pStyle w:val="BodyText"/>
            </w:pPr>
            <w:r>
              <w:t>Centrelink services: 76.7 out of 100</w:t>
            </w:r>
          </w:p>
          <w:p w:rsidR="008E273C" w:rsidRDefault="008E273C" w:rsidP="00C3620B">
            <w:pPr>
              <w:pStyle w:val="BodyText"/>
            </w:pPr>
            <w:r>
              <w:t>Medicare services: 86.1 out of 100</w:t>
            </w:r>
          </w:p>
          <w:p w:rsidR="008E273C" w:rsidRDefault="008E273C" w:rsidP="00C3620B">
            <w:pPr>
              <w:pStyle w:val="BodyText"/>
            </w:pPr>
            <w:r>
              <w:t>Child Support services: 75.2 out of 100</w:t>
            </w:r>
          </w:p>
        </w:tc>
        <w:tc>
          <w:tcPr>
            <w:tcW w:w="1345" w:type="pct"/>
          </w:tcPr>
          <w:p w:rsidR="008E273C" w:rsidRDefault="008E273C" w:rsidP="00C3620B">
            <w:pPr>
              <w:pStyle w:val="BodyText"/>
            </w:pPr>
            <w:r>
              <w:t>Satisfied with:</w:t>
            </w:r>
          </w:p>
          <w:p w:rsidR="008E273C" w:rsidRDefault="008E273C" w:rsidP="00C3620B">
            <w:pPr>
              <w:pStyle w:val="BodyText"/>
            </w:pPr>
            <w:r>
              <w:t>Centrelink services: 79.5 out of 100</w:t>
            </w:r>
          </w:p>
          <w:p w:rsidR="008E273C" w:rsidRDefault="008E273C" w:rsidP="00C3620B">
            <w:pPr>
              <w:pStyle w:val="BodyText"/>
            </w:pPr>
            <w:r>
              <w:t>Medicare services: 86.1 out of 100</w:t>
            </w:r>
          </w:p>
          <w:p w:rsidR="008E273C" w:rsidRDefault="008E273C" w:rsidP="00C3620B">
            <w:pPr>
              <w:pStyle w:val="BodyText"/>
            </w:pPr>
            <w:r>
              <w:t>Child Support services 79.0 out of 100</w:t>
            </w:r>
          </w:p>
        </w:tc>
      </w:tr>
      <w:tr w:rsidR="008E273C" w:rsidTr="00C3620B">
        <w:trPr>
          <w:trHeight w:val="60"/>
        </w:trPr>
        <w:tc>
          <w:tcPr>
            <w:tcW w:w="966" w:type="pct"/>
          </w:tcPr>
          <w:p w:rsidR="008E273C" w:rsidRDefault="008E273C" w:rsidP="00C3620B">
            <w:pPr>
              <w:pStyle w:val="BodyText"/>
            </w:pPr>
            <w:r>
              <w:t>Strategic Survey</w:t>
            </w:r>
          </w:p>
        </w:tc>
        <w:tc>
          <w:tcPr>
            <w:tcW w:w="1345" w:type="pct"/>
          </w:tcPr>
          <w:p w:rsidR="008E273C" w:rsidRDefault="008E273C" w:rsidP="00C3620B">
            <w:pPr>
              <w:pStyle w:val="BodyText"/>
              <w:rPr>
                <w:rStyle w:val="NoBreak"/>
              </w:rPr>
            </w:pPr>
            <w:r>
              <w:t xml:space="preserve">Random selection of users who have had any interaction with the agency in the previous </w:t>
            </w:r>
            <w:r>
              <w:rPr>
                <w:rStyle w:val="NoBreak"/>
              </w:rPr>
              <w:t>12 months</w:t>
            </w:r>
          </w:p>
          <w:p w:rsidR="008E273C" w:rsidRDefault="008E273C" w:rsidP="00C3620B">
            <w:pPr>
              <w:pStyle w:val="BodyText"/>
            </w:pPr>
            <w:r>
              <w:t>Every 6 months</w:t>
            </w:r>
          </w:p>
          <w:p w:rsidR="008E273C" w:rsidRDefault="008E273C" w:rsidP="00C3620B">
            <w:pPr>
              <w:pStyle w:val="BodyText"/>
            </w:pPr>
            <w:r>
              <w:lastRenderedPageBreak/>
              <w:t>4,017 surveys completed</w:t>
            </w:r>
          </w:p>
        </w:tc>
        <w:tc>
          <w:tcPr>
            <w:tcW w:w="1345" w:type="pct"/>
          </w:tcPr>
          <w:p w:rsidR="008E273C" w:rsidRDefault="008E273C" w:rsidP="00C3620B">
            <w:pPr>
              <w:pStyle w:val="BodyText"/>
            </w:pPr>
            <w:r>
              <w:lastRenderedPageBreak/>
              <w:t>Satisfied with:</w:t>
            </w:r>
          </w:p>
          <w:p w:rsidR="008E273C" w:rsidRDefault="008E273C" w:rsidP="00C3620B">
            <w:pPr>
              <w:pStyle w:val="BodyText"/>
            </w:pPr>
            <w:r>
              <w:t>Centrelink: 51.4%</w:t>
            </w:r>
          </w:p>
          <w:p w:rsidR="008E273C" w:rsidRDefault="008E273C" w:rsidP="00C3620B">
            <w:pPr>
              <w:pStyle w:val="BodyText"/>
            </w:pPr>
            <w:r>
              <w:t>Medicare: 85.2%</w:t>
            </w:r>
          </w:p>
          <w:p w:rsidR="008E273C" w:rsidRDefault="008E273C" w:rsidP="00C3620B">
            <w:pPr>
              <w:pStyle w:val="BodyText"/>
            </w:pPr>
            <w:r>
              <w:t>Child Support: 29.6%</w:t>
            </w:r>
          </w:p>
        </w:tc>
        <w:tc>
          <w:tcPr>
            <w:tcW w:w="1345" w:type="pct"/>
          </w:tcPr>
          <w:p w:rsidR="008E273C" w:rsidRDefault="008E273C" w:rsidP="00C3620B">
            <w:pPr>
              <w:pStyle w:val="BodyText"/>
            </w:pPr>
            <w:r>
              <w:t>Satisfied with:</w:t>
            </w:r>
          </w:p>
          <w:p w:rsidR="008E273C" w:rsidRDefault="008E273C" w:rsidP="00C3620B">
            <w:pPr>
              <w:pStyle w:val="BodyText"/>
            </w:pPr>
            <w:r>
              <w:t>Centrelink 56.2%</w:t>
            </w:r>
          </w:p>
          <w:p w:rsidR="008E273C" w:rsidRDefault="008E273C" w:rsidP="00C3620B">
            <w:pPr>
              <w:pStyle w:val="BodyText"/>
            </w:pPr>
            <w:r>
              <w:t>Medicare 81.9%</w:t>
            </w:r>
          </w:p>
          <w:p w:rsidR="008E273C" w:rsidRDefault="008E273C" w:rsidP="00C3620B">
            <w:pPr>
              <w:pStyle w:val="BodyText"/>
            </w:pPr>
            <w:r>
              <w:t>Child Support 37.0%</w:t>
            </w:r>
          </w:p>
        </w:tc>
      </w:tr>
      <w:tr w:rsidR="008E273C" w:rsidTr="00C3620B">
        <w:trPr>
          <w:trHeight w:val="60"/>
        </w:trPr>
        <w:tc>
          <w:tcPr>
            <w:tcW w:w="966" w:type="pct"/>
          </w:tcPr>
          <w:p w:rsidR="008E273C" w:rsidRDefault="008E273C" w:rsidP="00C3620B">
            <w:pPr>
              <w:pStyle w:val="BodyText"/>
            </w:pPr>
            <w:r>
              <w:t>Health Provider Survey</w:t>
            </w:r>
          </w:p>
        </w:tc>
        <w:tc>
          <w:tcPr>
            <w:tcW w:w="1345" w:type="pct"/>
          </w:tcPr>
          <w:p w:rsidR="008E273C" w:rsidRDefault="008E273C" w:rsidP="00C3620B">
            <w:pPr>
              <w:pStyle w:val="BodyText"/>
              <w:rPr>
                <w:rStyle w:val="NoBreak"/>
              </w:rPr>
            </w:pPr>
            <w:r>
              <w:t xml:space="preserve">Random selection of health professionals who have interacted with the agency in the previous </w:t>
            </w:r>
            <w:r>
              <w:rPr>
                <w:rStyle w:val="NoBreak"/>
              </w:rPr>
              <w:t>6 months</w:t>
            </w:r>
          </w:p>
          <w:p w:rsidR="008E273C" w:rsidRDefault="008E273C" w:rsidP="00C3620B">
            <w:pPr>
              <w:pStyle w:val="BodyText"/>
            </w:pPr>
            <w:r>
              <w:t xml:space="preserve">Annually 903 surveys completed </w:t>
            </w:r>
          </w:p>
        </w:tc>
        <w:tc>
          <w:tcPr>
            <w:tcW w:w="1345" w:type="pct"/>
          </w:tcPr>
          <w:p w:rsidR="008E273C" w:rsidRDefault="008E273C" w:rsidP="00C3620B">
            <w:pPr>
              <w:pStyle w:val="BodyText"/>
            </w:pPr>
            <w:r>
              <w:t>Satisfied with or neutral about the agency’s services:</w:t>
            </w:r>
          </w:p>
          <w:p w:rsidR="008E273C" w:rsidRDefault="008E273C" w:rsidP="00C3620B">
            <w:pPr>
              <w:pStyle w:val="BodyText"/>
            </w:pPr>
            <w:r>
              <w:t>Health Provider: 96.8%</w:t>
            </w:r>
          </w:p>
        </w:tc>
        <w:tc>
          <w:tcPr>
            <w:tcW w:w="1345" w:type="pct"/>
          </w:tcPr>
          <w:p w:rsidR="008E273C" w:rsidRDefault="008E273C" w:rsidP="00C3620B">
            <w:pPr>
              <w:pStyle w:val="BodyText"/>
            </w:pPr>
            <w:r>
              <w:t>Satisfied with or neutral about the agency’s services:</w:t>
            </w:r>
          </w:p>
          <w:p w:rsidR="008E273C" w:rsidRDefault="008E273C" w:rsidP="00C3620B">
            <w:pPr>
              <w:pStyle w:val="BodyText"/>
            </w:pPr>
            <w:r>
              <w:t>Health Provider 85.2%</w:t>
            </w:r>
            <w:r>
              <w:rPr>
                <w:vertAlign w:val="superscript"/>
              </w:rPr>
              <w:t>(a)</w:t>
            </w:r>
          </w:p>
        </w:tc>
      </w:tr>
    </w:tbl>
    <w:p w:rsidR="008E273C" w:rsidRDefault="00C3620B" w:rsidP="00C3620B">
      <w:pPr>
        <w:pStyle w:val="BodyText"/>
      </w:pPr>
      <w:r>
        <w:t xml:space="preserve">(a) </w:t>
      </w:r>
      <w:r w:rsidR="008E273C">
        <w:t>Due to changes in survey methodology for 2019–20, the results are not comparable with those of previous years.</w:t>
      </w:r>
    </w:p>
    <w:p w:rsidR="008E273C" w:rsidRDefault="008E273C" w:rsidP="008E273C">
      <w:pPr>
        <w:pStyle w:val="Heading3"/>
      </w:pPr>
      <w:r>
        <w:t>Feedback on services</w:t>
      </w:r>
    </w:p>
    <w:p w:rsidR="008E273C" w:rsidRDefault="008E273C" w:rsidP="008E273C">
      <w:pPr>
        <w:pStyle w:val="BodyText"/>
      </w:pPr>
      <w:r>
        <w:t xml:space="preserve">The agency is committed to delivering high-quality services to the Australian people. We value the feedback we receive as it helps us improve our business processes and deliver better services. </w:t>
      </w:r>
    </w:p>
    <w:p w:rsidR="008E273C" w:rsidRDefault="008E273C" w:rsidP="00E42522">
      <w:pPr>
        <w:pStyle w:val="BodyText"/>
      </w:pPr>
      <w:r>
        <w:t>We are committed to ensuring that people are aware of their right to complain or provide feedback. They can do so:</w:t>
      </w:r>
    </w:p>
    <w:p w:rsidR="008E273C" w:rsidRDefault="008E273C" w:rsidP="00E42522">
      <w:pPr>
        <w:pStyle w:val="ListBullet"/>
      </w:pPr>
      <w:r>
        <w:t>by calling the complaints and feedback line</w:t>
      </w:r>
    </w:p>
    <w:p w:rsidR="008E273C" w:rsidRDefault="008E273C" w:rsidP="00E42522">
      <w:pPr>
        <w:pStyle w:val="ListBullet"/>
      </w:pPr>
      <w:r>
        <w:t xml:space="preserve">online via their </w:t>
      </w:r>
      <w:proofErr w:type="spellStart"/>
      <w:r>
        <w:t>myGov</w:t>
      </w:r>
      <w:proofErr w:type="spellEnd"/>
      <w:r>
        <w:t xml:space="preserve"> account or at </w:t>
      </w:r>
      <w:r>
        <w:rPr>
          <w:rStyle w:val="Boldnobreak"/>
        </w:rPr>
        <w:t>servicesaustralia.gov.au</w:t>
      </w:r>
    </w:p>
    <w:p w:rsidR="008E273C" w:rsidRDefault="008E273C" w:rsidP="00E42522">
      <w:pPr>
        <w:pStyle w:val="ListBullet"/>
      </w:pPr>
      <w:r>
        <w:t xml:space="preserve">by calling one of our international phone numbers from overseas—listed at </w:t>
      </w:r>
      <w:r w:rsidRPr="00C3620B">
        <w:rPr>
          <w:rStyle w:val="BodyTextChar"/>
          <w:b/>
        </w:rPr>
        <w:t>servicesaustralia.gov.au/individuals/contact-us/phone-us/international-phone-numbers</w:t>
      </w:r>
    </w:p>
    <w:p w:rsidR="008E273C" w:rsidRDefault="008E273C" w:rsidP="00E42522">
      <w:pPr>
        <w:pStyle w:val="ListBullet"/>
      </w:pPr>
      <w:r>
        <w:t>by mail (no postage stamp required)</w:t>
      </w:r>
    </w:p>
    <w:p w:rsidR="008E273C" w:rsidRDefault="008E273C" w:rsidP="00E42522">
      <w:pPr>
        <w:pStyle w:val="ListBullet"/>
      </w:pPr>
      <w:r>
        <w:t>by calling the National Relay Service for people who are deaf or have a hearing or speech impairment</w:t>
      </w:r>
    </w:p>
    <w:p w:rsidR="008E273C" w:rsidRDefault="008E273C" w:rsidP="00E42522">
      <w:pPr>
        <w:pStyle w:val="ListBullet"/>
      </w:pPr>
      <w:proofErr w:type="gramStart"/>
      <w:r>
        <w:t>by</w:t>
      </w:r>
      <w:proofErr w:type="gramEnd"/>
      <w:r>
        <w:t xml:space="preserve"> speaking to a service officer at any Service Centre or on the phone.</w:t>
      </w:r>
    </w:p>
    <w:p w:rsidR="008E273C" w:rsidRDefault="008E273C" w:rsidP="008E273C">
      <w:pPr>
        <w:pStyle w:val="BodyText"/>
      </w:pPr>
      <w:r>
        <w:t xml:space="preserve">The number of complaints we received in 2019–20 about our services was 276,350, or 0.07 per cent of the more than 395 million interactions (including calls handled, visits to Service Centres and self-serve interactions). </w:t>
      </w:r>
    </w:p>
    <w:p w:rsidR="008E273C" w:rsidRDefault="008E273C" w:rsidP="008E273C">
      <w:pPr>
        <w:pStyle w:val="BodyText"/>
      </w:pPr>
      <w:r>
        <w:t xml:space="preserve">In 2019–20 we received 15,803 compliments. Of these, 80.8 per cent were about the service provided by staff, 12.7 per cent were about programs, and </w:t>
      </w:r>
      <w:r>
        <w:rPr>
          <w:rStyle w:val="NoBreak"/>
        </w:rPr>
        <w:t>6.5 per cent</w:t>
      </w:r>
      <w:r>
        <w:t xml:space="preserve"> were about products. </w:t>
      </w:r>
    </w:p>
    <w:p w:rsidR="008E273C" w:rsidRDefault="008E273C" w:rsidP="008E273C">
      <w:pPr>
        <w:pStyle w:val="BodyText"/>
      </w:pPr>
      <w:r>
        <w:t>We actively encourage feedback and suggestions about programs, services and new initiatives. In 2019–20 we received 15,028 suggestions.</w:t>
      </w:r>
    </w:p>
    <w:p w:rsidR="008E273C" w:rsidRDefault="008E273C" w:rsidP="008E273C">
      <w:pPr>
        <w:pStyle w:val="Heading4"/>
      </w:pPr>
      <w:r>
        <w:t>Centrelink feedback</w:t>
      </w:r>
    </w:p>
    <w:p w:rsidR="008E273C" w:rsidRDefault="008E273C" w:rsidP="008E273C">
      <w:pPr>
        <w:pStyle w:val="BodyText"/>
        <w:spacing w:after="57"/>
      </w:pPr>
      <w:r>
        <w:t>In 2019–20 the agency recorded 276,589 feedback contacts about Centrelink services. Of these, 247,862 were complaints. The top three complaint reasons, by volume, were:</w:t>
      </w:r>
    </w:p>
    <w:p w:rsidR="008E273C" w:rsidRDefault="008E273C" w:rsidP="00E42522">
      <w:pPr>
        <w:pStyle w:val="ListBullet"/>
      </w:pPr>
      <w:r>
        <w:lastRenderedPageBreak/>
        <w:t xml:space="preserve">dissatisfaction with </w:t>
      </w:r>
      <w:r w:rsidRPr="00C3620B">
        <w:rPr>
          <w:rStyle w:val="BodyTextChar"/>
          <w:b/>
        </w:rPr>
        <w:t>a claim, application or assessment process</w:t>
      </w:r>
      <w:r>
        <w:t>, including waiting too long, not being updated on progress, and needing to contact us multiple times to progress the matter (34.7 per cent)</w:t>
      </w:r>
    </w:p>
    <w:p w:rsidR="008E273C" w:rsidRDefault="008E273C" w:rsidP="00E42522">
      <w:pPr>
        <w:pStyle w:val="ListBullet"/>
      </w:pPr>
      <w:r>
        <w:t xml:space="preserve">dissatisfaction with </w:t>
      </w:r>
      <w:r w:rsidRPr="00C3620B">
        <w:rPr>
          <w:rStyle w:val="BodyTextChar"/>
          <w:b/>
        </w:rPr>
        <w:t>a decision, outcome or payment</w:t>
      </w:r>
      <w:r>
        <w:t>, including waiting too long, not receiving a payment, and rejection of an application or claim (</w:t>
      </w:r>
      <w:r>
        <w:rPr>
          <w:rStyle w:val="NoBreak"/>
        </w:rPr>
        <w:t>32.1 per cent)</w:t>
      </w:r>
    </w:p>
    <w:p w:rsidR="008E273C" w:rsidRDefault="008E273C" w:rsidP="00E42522">
      <w:pPr>
        <w:pStyle w:val="ListBullet"/>
      </w:pPr>
      <w:proofErr w:type="gramStart"/>
      <w:r>
        <w:t>difficulties</w:t>
      </w:r>
      <w:proofErr w:type="gramEnd"/>
      <w:r>
        <w:t xml:space="preserve"> with </w:t>
      </w:r>
      <w:r w:rsidRPr="00C3620B">
        <w:rPr>
          <w:rStyle w:val="BodyTextChar"/>
          <w:b/>
        </w:rPr>
        <w:t>digital services</w:t>
      </w:r>
      <w:r>
        <w:t>, including being unable to update details, inability to access services, and inability to complete a transaction (8.</w:t>
      </w:r>
      <w:r>
        <w:rPr>
          <w:rStyle w:val="NoBreak"/>
        </w:rPr>
        <w:t>0 per c</w:t>
      </w:r>
      <w:r>
        <w:t>ent).</w:t>
      </w:r>
    </w:p>
    <w:p w:rsidR="008E273C" w:rsidRDefault="008E273C" w:rsidP="008E273C">
      <w:pPr>
        <w:pStyle w:val="BodyText"/>
        <w:rPr>
          <w:rStyle w:val="NoBreak"/>
        </w:rPr>
      </w:pPr>
      <w:r>
        <w:t>The agency resolved 51 per cent of Centrelink complaints within 1</w:t>
      </w:r>
      <w:r>
        <w:rPr>
          <w:rStyle w:val="NoBreak"/>
        </w:rPr>
        <w:t>0 working days.</w:t>
      </w:r>
    </w:p>
    <w:p w:rsidR="008E273C" w:rsidRDefault="008E273C" w:rsidP="008E273C">
      <w:pPr>
        <w:pStyle w:val="Heading4"/>
      </w:pPr>
      <w:r>
        <w:t>Medicare feedback</w:t>
      </w:r>
    </w:p>
    <w:p w:rsidR="008E273C" w:rsidRDefault="008E273C" w:rsidP="008E273C">
      <w:pPr>
        <w:pStyle w:val="BodyText"/>
        <w:spacing w:after="57"/>
      </w:pPr>
      <w:r>
        <w:t>In 2019–20 the agency recorded 9,864 feedback contacts about Medicare services. Of these, 8,221 were complaints. The top three complaint reasons, by volume, were:</w:t>
      </w:r>
    </w:p>
    <w:p w:rsidR="008E273C" w:rsidRDefault="008E273C" w:rsidP="00E42522">
      <w:pPr>
        <w:pStyle w:val="ListBullet"/>
      </w:pPr>
      <w:r>
        <w:t xml:space="preserve">dissatisfaction with </w:t>
      </w:r>
      <w:r w:rsidRPr="00C3620B">
        <w:rPr>
          <w:rStyle w:val="BodyTextChar"/>
          <w:b/>
        </w:rPr>
        <w:t>a decision, outcome or payment</w:t>
      </w:r>
      <w:r>
        <w:t>, including not receiving a payment, waiting too long, or disagreeing with a decision (29.8 per cent)</w:t>
      </w:r>
    </w:p>
    <w:p w:rsidR="008E273C" w:rsidRDefault="008E273C" w:rsidP="00E42522">
      <w:pPr>
        <w:pStyle w:val="ListBullet"/>
      </w:pPr>
      <w:r>
        <w:t xml:space="preserve">dissatisfaction with </w:t>
      </w:r>
      <w:r w:rsidRPr="00C3620B">
        <w:rPr>
          <w:rStyle w:val="BodyTextChar"/>
          <w:b/>
        </w:rPr>
        <w:t>a claim, application or assessment process</w:t>
      </w:r>
      <w:r>
        <w:t>, including waiting too long, incorrect information, and requests for information regarding the progress of a claim (29.4 per cent)</w:t>
      </w:r>
    </w:p>
    <w:p w:rsidR="008E273C" w:rsidRDefault="008E273C" w:rsidP="00E42522">
      <w:pPr>
        <w:pStyle w:val="ListBullet"/>
      </w:pPr>
      <w:r>
        <w:t>difficulties with</w:t>
      </w:r>
      <w:r w:rsidRPr="00AC4959">
        <w:rPr>
          <w:rStyle w:val="BodyTextChar"/>
        </w:rPr>
        <w:t xml:space="preserve"> </w:t>
      </w:r>
      <w:r w:rsidRPr="00C3620B">
        <w:rPr>
          <w:rStyle w:val="BodyTextChar"/>
          <w:b/>
        </w:rPr>
        <w:t>digital services</w:t>
      </w:r>
      <w:r>
        <w:t>, including inability to access services, inability to complete a transaction, and being unable to update details (15</w:t>
      </w:r>
      <w:r>
        <w:rPr>
          <w:rStyle w:val="NoBreak"/>
        </w:rPr>
        <w:t>.4 per cen</w:t>
      </w:r>
      <w:r>
        <w:t>t).</w:t>
      </w:r>
    </w:p>
    <w:p w:rsidR="008E273C" w:rsidRDefault="008E273C" w:rsidP="008E273C">
      <w:pPr>
        <w:pStyle w:val="BodyText"/>
        <w:rPr>
          <w:rStyle w:val="NoBreak"/>
        </w:rPr>
      </w:pPr>
      <w:r>
        <w:rPr>
          <w:spacing w:val="-2"/>
        </w:rPr>
        <w:t>The agency resolved 91 per cent of Medicare complaints within 1</w:t>
      </w:r>
      <w:r>
        <w:rPr>
          <w:rStyle w:val="NoBreak"/>
          <w:spacing w:val="-2"/>
        </w:rPr>
        <w:t>0 working days.</w:t>
      </w:r>
    </w:p>
    <w:p w:rsidR="008E273C" w:rsidRDefault="008E273C" w:rsidP="008E273C">
      <w:pPr>
        <w:pStyle w:val="Heading4"/>
      </w:pPr>
      <w:r>
        <w:t>Child Support feedback</w:t>
      </w:r>
    </w:p>
    <w:p w:rsidR="008E273C" w:rsidRDefault="008E273C" w:rsidP="008E273C">
      <w:pPr>
        <w:pStyle w:val="BodyText"/>
        <w:spacing w:after="57"/>
      </w:pPr>
      <w:r>
        <w:t>In 2019–20 the agency recorded 20,728 feedback contacts about Child Support services. Of these, 20,267 were complaints. The top three types of complaints, by volume, were to do with:</w:t>
      </w:r>
    </w:p>
    <w:p w:rsidR="008E273C" w:rsidRDefault="00C3620B" w:rsidP="00E42522">
      <w:pPr>
        <w:pStyle w:val="ListBullet"/>
      </w:pPr>
      <w:r w:rsidRPr="00C3620B">
        <w:rPr>
          <w:rStyle w:val="BodyTextChar"/>
          <w:b/>
        </w:rPr>
        <w:t>q</w:t>
      </w:r>
      <w:r w:rsidR="00AC4959" w:rsidRPr="00C3620B">
        <w:rPr>
          <w:rStyle w:val="BodyTextChar"/>
          <w:b/>
        </w:rPr>
        <w:t>uality of service</w:t>
      </w:r>
      <w:r w:rsidR="008E273C">
        <w:t>, including lack of courtesy, poor advice, and phone wait times (34.7 per cent)</w:t>
      </w:r>
    </w:p>
    <w:p w:rsidR="008E273C" w:rsidRDefault="00C3620B" w:rsidP="00E42522">
      <w:pPr>
        <w:pStyle w:val="ListBullet"/>
      </w:pPr>
      <w:r w:rsidRPr="00C3620B">
        <w:rPr>
          <w:rStyle w:val="BodyTextChar"/>
          <w:b/>
        </w:rPr>
        <w:t>c</w:t>
      </w:r>
      <w:r w:rsidR="00AC4959" w:rsidRPr="00C3620B">
        <w:rPr>
          <w:rStyle w:val="BodyTextChar"/>
          <w:b/>
        </w:rPr>
        <w:t>ollection</w:t>
      </w:r>
      <w:r w:rsidR="008E273C">
        <w:t>, including lack of collection, issues with account balance, and issues with employer withholding (30.0 per cent)</w:t>
      </w:r>
    </w:p>
    <w:p w:rsidR="008E273C" w:rsidRDefault="00C3620B" w:rsidP="00E42522">
      <w:pPr>
        <w:pStyle w:val="ListBullet"/>
      </w:pPr>
      <w:proofErr w:type="gramStart"/>
      <w:r w:rsidRPr="00C3620B">
        <w:rPr>
          <w:rStyle w:val="BodyTextChar"/>
          <w:b/>
        </w:rPr>
        <w:t>a</w:t>
      </w:r>
      <w:r w:rsidR="00AC4959" w:rsidRPr="00C3620B">
        <w:rPr>
          <w:rStyle w:val="BodyTextChar"/>
          <w:b/>
        </w:rPr>
        <w:t>ssessment</w:t>
      </w:r>
      <w:proofErr w:type="gramEnd"/>
      <w:r w:rsidR="008E273C">
        <w:t>, including income used, care level used, and change of assessment (21.4 per cent).</w:t>
      </w:r>
    </w:p>
    <w:p w:rsidR="008E273C" w:rsidRDefault="008E273C" w:rsidP="008E273C">
      <w:pPr>
        <w:pStyle w:val="BodyText"/>
        <w:rPr>
          <w:rStyle w:val="NoBreak"/>
        </w:rPr>
      </w:pPr>
      <w:r>
        <w:t>The agency resolved 93 per cent of Child Support complaints within 1</w:t>
      </w:r>
      <w:r>
        <w:rPr>
          <w:rStyle w:val="NoBreak"/>
        </w:rPr>
        <w:t>0 working days.</w:t>
      </w:r>
    </w:p>
    <w:p w:rsidR="008E273C" w:rsidRPr="00C3620B" w:rsidRDefault="00C3620B" w:rsidP="00C3620B">
      <w:pPr>
        <w:pStyle w:val="Heading1"/>
      </w:pPr>
      <w:r w:rsidRPr="00C3620B">
        <w:t>Part 3: Financial Statements</w:t>
      </w:r>
    </w:p>
    <w:p w:rsidR="008E273C" w:rsidRDefault="008E273C" w:rsidP="008E273C">
      <w:pPr>
        <w:pStyle w:val="Heading1"/>
      </w:pPr>
      <w:r>
        <w:t>3.1 Report on financial performance</w:t>
      </w:r>
    </w:p>
    <w:p w:rsidR="008E273C" w:rsidRDefault="008E273C" w:rsidP="008E273C">
      <w:pPr>
        <w:pStyle w:val="Heading2"/>
      </w:pPr>
      <w:r>
        <w:t>Financial performance</w:t>
      </w:r>
    </w:p>
    <w:p w:rsidR="008E273C" w:rsidRDefault="008E273C" w:rsidP="008E273C">
      <w:pPr>
        <w:pStyle w:val="BodyText"/>
      </w:pPr>
      <w:r>
        <w:t>The Australian Parliament, via Appropriation Acts, provides the agency with two types of funding: departmental and administered.</w:t>
      </w:r>
    </w:p>
    <w:p w:rsidR="008E273C" w:rsidRDefault="008E273C" w:rsidP="008E273C">
      <w:pPr>
        <w:pStyle w:val="BodyText"/>
      </w:pPr>
      <w:r>
        <w:t>Departmental resources are used to deliver high quality accessible social, health and child support services and other payments.</w:t>
      </w:r>
    </w:p>
    <w:p w:rsidR="008E273C" w:rsidRDefault="008E273C" w:rsidP="008E273C">
      <w:pPr>
        <w:pStyle w:val="BodyText"/>
      </w:pPr>
      <w:r>
        <w:t xml:space="preserve">We also act as an intermediary in the transfer of child support payments. </w:t>
      </w:r>
      <w:r>
        <w:rPr>
          <w:rStyle w:val="NoBreak"/>
        </w:rPr>
        <w:t>A sha</w:t>
      </w:r>
      <w:r>
        <w:t>ded background in the Financial Statements indicates information that relates to an administered resource.</w:t>
      </w:r>
    </w:p>
    <w:p w:rsidR="008E273C" w:rsidRDefault="008E273C" w:rsidP="008E273C">
      <w:pPr>
        <w:pStyle w:val="BodyText"/>
      </w:pPr>
      <w:r>
        <w:lastRenderedPageBreak/>
        <w:t xml:space="preserve">The financial statements, which detail the significant drivers of change from budget and the previous year, are set out in Part 3.3 on page 123. See also </w:t>
      </w:r>
      <w:r>
        <w:rPr>
          <w:rStyle w:val="Italic"/>
        </w:rPr>
        <w:t>Appendix A: Statements and expenses for Outcome 1</w:t>
      </w:r>
      <w:r>
        <w:t xml:space="preserve"> on page 210.</w:t>
      </w:r>
    </w:p>
    <w:p w:rsidR="008E273C" w:rsidRPr="00C3620B" w:rsidRDefault="00C3620B" w:rsidP="00C3620B">
      <w:pPr>
        <w:pStyle w:val="BodyText"/>
        <w:rPr>
          <w:b/>
        </w:rPr>
      </w:pPr>
      <w:r w:rsidRPr="00C3620B">
        <w:rPr>
          <w:b/>
        </w:rPr>
        <w:t>Table 40:</w:t>
      </w:r>
      <w:r w:rsidR="008E273C" w:rsidRPr="00C3620B">
        <w:rPr>
          <w:b/>
        </w:rPr>
        <w:t xml:space="preserve"> Trends in departmental finances</w:t>
      </w:r>
    </w:p>
    <w:tbl>
      <w:tblPr>
        <w:tblStyle w:val="TableGrid"/>
        <w:tblW w:w="5000" w:type="pct"/>
        <w:tblLook w:val="0000" w:firstRow="0" w:lastRow="0" w:firstColumn="0" w:lastColumn="0" w:noHBand="0" w:noVBand="0"/>
        <w:tblCaption w:val="Table 40: Trends in departmental finances"/>
        <w:tblDescription w:val="Table 40: Trends in departmental finances"/>
      </w:tblPr>
      <w:tblGrid>
        <w:gridCol w:w="4492"/>
        <w:gridCol w:w="2204"/>
        <w:gridCol w:w="2201"/>
        <w:gridCol w:w="2199"/>
      </w:tblGrid>
      <w:tr w:rsidR="008E273C" w:rsidTr="00C3620B">
        <w:trPr>
          <w:trHeight w:val="627"/>
          <w:tblHeader/>
        </w:trPr>
        <w:tc>
          <w:tcPr>
            <w:tcW w:w="2024" w:type="pct"/>
          </w:tcPr>
          <w:p w:rsidR="008E273C" w:rsidRPr="00C3620B" w:rsidRDefault="008E273C" w:rsidP="00C3620B">
            <w:pPr>
              <w:pStyle w:val="BodyText"/>
              <w:rPr>
                <w:b/>
              </w:rPr>
            </w:pPr>
          </w:p>
        </w:tc>
        <w:tc>
          <w:tcPr>
            <w:tcW w:w="993" w:type="pct"/>
          </w:tcPr>
          <w:p w:rsidR="008E273C" w:rsidRPr="00C3620B" w:rsidRDefault="008E273C" w:rsidP="00C3620B">
            <w:pPr>
              <w:pStyle w:val="BodyText"/>
              <w:rPr>
                <w:b/>
              </w:rPr>
            </w:pPr>
            <w:r w:rsidRPr="00C3620B">
              <w:rPr>
                <w:b/>
              </w:rPr>
              <w:t>2019–20</w:t>
            </w:r>
          </w:p>
          <w:p w:rsidR="008E273C" w:rsidRPr="00C3620B" w:rsidRDefault="008E273C" w:rsidP="00C3620B">
            <w:pPr>
              <w:pStyle w:val="BodyText"/>
              <w:rPr>
                <w:b/>
              </w:rPr>
            </w:pPr>
            <w:r w:rsidRPr="00C3620B">
              <w:rPr>
                <w:b/>
              </w:rPr>
              <w:t>$ million</w:t>
            </w:r>
          </w:p>
        </w:tc>
        <w:tc>
          <w:tcPr>
            <w:tcW w:w="992" w:type="pct"/>
          </w:tcPr>
          <w:p w:rsidR="008E273C" w:rsidRPr="00C3620B" w:rsidRDefault="008E273C" w:rsidP="00C3620B">
            <w:pPr>
              <w:pStyle w:val="BodyText"/>
              <w:rPr>
                <w:b/>
              </w:rPr>
            </w:pPr>
            <w:r w:rsidRPr="00C3620B">
              <w:rPr>
                <w:b/>
              </w:rPr>
              <w:t>2018–19</w:t>
            </w:r>
          </w:p>
          <w:p w:rsidR="008E273C" w:rsidRPr="00C3620B" w:rsidRDefault="008E273C" w:rsidP="00C3620B">
            <w:pPr>
              <w:pStyle w:val="BodyText"/>
              <w:rPr>
                <w:b/>
              </w:rPr>
            </w:pPr>
            <w:r w:rsidRPr="00C3620B">
              <w:rPr>
                <w:b/>
              </w:rPr>
              <w:t>$ million</w:t>
            </w:r>
          </w:p>
        </w:tc>
        <w:tc>
          <w:tcPr>
            <w:tcW w:w="992" w:type="pct"/>
          </w:tcPr>
          <w:p w:rsidR="008E273C" w:rsidRPr="00C3620B" w:rsidRDefault="008E273C" w:rsidP="00C3620B">
            <w:pPr>
              <w:pStyle w:val="BodyText"/>
              <w:rPr>
                <w:b/>
              </w:rPr>
            </w:pPr>
            <w:r w:rsidRPr="00C3620B">
              <w:rPr>
                <w:b/>
              </w:rPr>
              <w:t>Change</w:t>
            </w:r>
          </w:p>
          <w:p w:rsidR="008E273C" w:rsidRPr="00C3620B" w:rsidRDefault="008E273C" w:rsidP="00C3620B">
            <w:pPr>
              <w:pStyle w:val="BodyText"/>
              <w:rPr>
                <w:b/>
              </w:rPr>
            </w:pPr>
            <w:r w:rsidRPr="00C3620B">
              <w:rPr>
                <w:b/>
              </w:rPr>
              <w:t>$ million</w:t>
            </w:r>
          </w:p>
        </w:tc>
      </w:tr>
      <w:tr w:rsidR="008E273C" w:rsidTr="00C3620B">
        <w:trPr>
          <w:trHeight w:val="60"/>
        </w:trPr>
        <w:tc>
          <w:tcPr>
            <w:tcW w:w="2024" w:type="pct"/>
          </w:tcPr>
          <w:p w:rsidR="008E273C" w:rsidRDefault="008E273C" w:rsidP="00C3620B">
            <w:pPr>
              <w:pStyle w:val="BodyText"/>
            </w:pPr>
            <w:r>
              <w:t xml:space="preserve">Revenue from Government </w:t>
            </w:r>
          </w:p>
        </w:tc>
        <w:tc>
          <w:tcPr>
            <w:tcW w:w="993" w:type="pct"/>
          </w:tcPr>
          <w:p w:rsidR="008E273C" w:rsidRDefault="008E273C" w:rsidP="00C3620B">
            <w:pPr>
              <w:pStyle w:val="BodyText"/>
            </w:pPr>
            <w:r>
              <w:t>5,063.5</w:t>
            </w:r>
          </w:p>
        </w:tc>
        <w:tc>
          <w:tcPr>
            <w:tcW w:w="992" w:type="pct"/>
          </w:tcPr>
          <w:p w:rsidR="008E273C" w:rsidRDefault="008E273C" w:rsidP="00C3620B">
            <w:pPr>
              <w:pStyle w:val="BodyText"/>
            </w:pPr>
            <w:r>
              <w:t>4,546.3</w:t>
            </w:r>
          </w:p>
        </w:tc>
        <w:tc>
          <w:tcPr>
            <w:tcW w:w="992" w:type="pct"/>
          </w:tcPr>
          <w:p w:rsidR="008E273C" w:rsidRDefault="008E273C" w:rsidP="00C3620B">
            <w:pPr>
              <w:pStyle w:val="BodyText"/>
            </w:pPr>
            <w:r>
              <w:t>517.2</w:t>
            </w:r>
          </w:p>
        </w:tc>
      </w:tr>
      <w:tr w:rsidR="008E273C" w:rsidTr="00C3620B">
        <w:trPr>
          <w:trHeight w:val="60"/>
        </w:trPr>
        <w:tc>
          <w:tcPr>
            <w:tcW w:w="2024" w:type="pct"/>
          </w:tcPr>
          <w:p w:rsidR="008E273C" w:rsidRDefault="008E273C" w:rsidP="00C3620B">
            <w:pPr>
              <w:pStyle w:val="BodyText"/>
            </w:pPr>
            <w:r>
              <w:t xml:space="preserve">Other revenue </w:t>
            </w:r>
          </w:p>
        </w:tc>
        <w:tc>
          <w:tcPr>
            <w:tcW w:w="993" w:type="pct"/>
          </w:tcPr>
          <w:p w:rsidR="008E273C" w:rsidRDefault="008E273C" w:rsidP="00C3620B">
            <w:pPr>
              <w:pStyle w:val="BodyText"/>
            </w:pPr>
            <w:r>
              <w:t>281.7</w:t>
            </w:r>
          </w:p>
        </w:tc>
        <w:tc>
          <w:tcPr>
            <w:tcW w:w="992" w:type="pct"/>
          </w:tcPr>
          <w:p w:rsidR="008E273C" w:rsidRDefault="008E273C" w:rsidP="00C3620B">
            <w:pPr>
              <w:pStyle w:val="BodyText"/>
            </w:pPr>
            <w:r>
              <w:t>277.5</w:t>
            </w:r>
          </w:p>
        </w:tc>
        <w:tc>
          <w:tcPr>
            <w:tcW w:w="992" w:type="pct"/>
          </w:tcPr>
          <w:p w:rsidR="008E273C" w:rsidRDefault="008E273C" w:rsidP="00C3620B">
            <w:pPr>
              <w:pStyle w:val="BodyText"/>
            </w:pPr>
            <w:r>
              <w:t>4.2</w:t>
            </w:r>
          </w:p>
        </w:tc>
      </w:tr>
      <w:tr w:rsidR="008E273C" w:rsidTr="00C3620B">
        <w:trPr>
          <w:trHeight w:val="376"/>
        </w:trPr>
        <w:tc>
          <w:tcPr>
            <w:tcW w:w="2024" w:type="pct"/>
          </w:tcPr>
          <w:p w:rsidR="008E273C" w:rsidRDefault="008E273C" w:rsidP="00C3620B">
            <w:pPr>
              <w:pStyle w:val="BodyText"/>
            </w:pPr>
            <w:r>
              <w:rPr>
                <w:rStyle w:val="Bold"/>
              </w:rPr>
              <w:t xml:space="preserve">Total income </w:t>
            </w:r>
          </w:p>
        </w:tc>
        <w:tc>
          <w:tcPr>
            <w:tcW w:w="993" w:type="pct"/>
          </w:tcPr>
          <w:p w:rsidR="008E273C" w:rsidRDefault="008E273C" w:rsidP="00C3620B">
            <w:pPr>
              <w:pStyle w:val="BodyText"/>
            </w:pPr>
            <w:r>
              <w:rPr>
                <w:rStyle w:val="Bold"/>
              </w:rPr>
              <w:t>5,345.2</w:t>
            </w:r>
          </w:p>
        </w:tc>
        <w:tc>
          <w:tcPr>
            <w:tcW w:w="992" w:type="pct"/>
          </w:tcPr>
          <w:p w:rsidR="008E273C" w:rsidRDefault="008E273C" w:rsidP="00C3620B">
            <w:pPr>
              <w:pStyle w:val="BodyText"/>
            </w:pPr>
            <w:r>
              <w:rPr>
                <w:rStyle w:val="Bold"/>
              </w:rPr>
              <w:t>4,823.8</w:t>
            </w:r>
          </w:p>
        </w:tc>
        <w:tc>
          <w:tcPr>
            <w:tcW w:w="992" w:type="pct"/>
          </w:tcPr>
          <w:p w:rsidR="008E273C" w:rsidRDefault="008E273C" w:rsidP="00C3620B">
            <w:pPr>
              <w:pStyle w:val="BodyText"/>
            </w:pPr>
            <w:r>
              <w:rPr>
                <w:rStyle w:val="Bold"/>
              </w:rPr>
              <w:t>521.4</w:t>
            </w:r>
          </w:p>
        </w:tc>
      </w:tr>
      <w:tr w:rsidR="008E273C" w:rsidTr="00C3620B">
        <w:trPr>
          <w:trHeight w:val="376"/>
        </w:trPr>
        <w:tc>
          <w:tcPr>
            <w:tcW w:w="2024" w:type="pct"/>
          </w:tcPr>
          <w:p w:rsidR="008E273C" w:rsidRDefault="008E273C" w:rsidP="00C3620B">
            <w:pPr>
              <w:pStyle w:val="BodyText"/>
            </w:pPr>
            <w:r>
              <w:t xml:space="preserve">Employee benefits </w:t>
            </w:r>
          </w:p>
        </w:tc>
        <w:tc>
          <w:tcPr>
            <w:tcW w:w="993" w:type="pct"/>
          </w:tcPr>
          <w:p w:rsidR="008E273C" w:rsidRDefault="008E273C" w:rsidP="00C3620B">
            <w:pPr>
              <w:pStyle w:val="BodyText"/>
            </w:pPr>
            <w:r>
              <w:t>2,804.3</w:t>
            </w:r>
          </w:p>
        </w:tc>
        <w:tc>
          <w:tcPr>
            <w:tcW w:w="992" w:type="pct"/>
          </w:tcPr>
          <w:p w:rsidR="008E273C" w:rsidRDefault="008E273C" w:rsidP="00C3620B">
            <w:pPr>
              <w:pStyle w:val="BodyText"/>
            </w:pPr>
            <w:r>
              <w:t>2,814.5</w:t>
            </w:r>
          </w:p>
        </w:tc>
        <w:tc>
          <w:tcPr>
            <w:tcW w:w="992" w:type="pct"/>
          </w:tcPr>
          <w:p w:rsidR="008E273C" w:rsidRDefault="008E273C" w:rsidP="00C3620B">
            <w:pPr>
              <w:pStyle w:val="BodyText"/>
            </w:pPr>
            <w:r>
              <w:t>(10.2)</w:t>
            </w:r>
          </w:p>
        </w:tc>
      </w:tr>
      <w:tr w:rsidR="008E273C" w:rsidTr="00C3620B">
        <w:trPr>
          <w:trHeight w:val="376"/>
        </w:trPr>
        <w:tc>
          <w:tcPr>
            <w:tcW w:w="2024" w:type="pct"/>
          </w:tcPr>
          <w:p w:rsidR="008E273C" w:rsidRDefault="008E273C" w:rsidP="00C3620B">
            <w:pPr>
              <w:pStyle w:val="BodyText"/>
            </w:pPr>
            <w:r>
              <w:t xml:space="preserve">Suppliers </w:t>
            </w:r>
          </w:p>
        </w:tc>
        <w:tc>
          <w:tcPr>
            <w:tcW w:w="993" w:type="pct"/>
          </w:tcPr>
          <w:p w:rsidR="008E273C" w:rsidRDefault="008E273C" w:rsidP="00C3620B">
            <w:pPr>
              <w:pStyle w:val="BodyText"/>
            </w:pPr>
            <w:r>
              <w:t>1,859.9</w:t>
            </w:r>
          </w:p>
        </w:tc>
        <w:tc>
          <w:tcPr>
            <w:tcW w:w="992" w:type="pct"/>
          </w:tcPr>
          <w:p w:rsidR="008E273C" w:rsidRDefault="008E273C" w:rsidP="00C3620B">
            <w:pPr>
              <w:pStyle w:val="BodyText"/>
            </w:pPr>
            <w:r>
              <w:t>2,023.2</w:t>
            </w:r>
          </w:p>
        </w:tc>
        <w:tc>
          <w:tcPr>
            <w:tcW w:w="992" w:type="pct"/>
          </w:tcPr>
          <w:p w:rsidR="008E273C" w:rsidRDefault="008E273C" w:rsidP="00C3620B">
            <w:pPr>
              <w:pStyle w:val="BodyText"/>
            </w:pPr>
            <w:r>
              <w:t>(163.3)</w:t>
            </w:r>
          </w:p>
        </w:tc>
      </w:tr>
      <w:tr w:rsidR="008E273C" w:rsidTr="00C3620B">
        <w:trPr>
          <w:trHeight w:val="376"/>
        </w:trPr>
        <w:tc>
          <w:tcPr>
            <w:tcW w:w="2024" w:type="pct"/>
          </w:tcPr>
          <w:p w:rsidR="008E273C" w:rsidRDefault="008E273C" w:rsidP="00C3620B">
            <w:pPr>
              <w:pStyle w:val="BodyText"/>
            </w:pPr>
            <w:r>
              <w:t xml:space="preserve">Other expenses </w:t>
            </w:r>
          </w:p>
        </w:tc>
        <w:tc>
          <w:tcPr>
            <w:tcW w:w="993" w:type="pct"/>
          </w:tcPr>
          <w:p w:rsidR="008E273C" w:rsidRDefault="008E273C" w:rsidP="00C3620B">
            <w:pPr>
              <w:pStyle w:val="BodyText"/>
            </w:pPr>
            <w:r>
              <w:t>751.7</w:t>
            </w:r>
          </w:p>
        </w:tc>
        <w:tc>
          <w:tcPr>
            <w:tcW w:w="992" w:type="pct"/>
          </w:tcPr>
          <w:p w:rsidR="008E273C" w:rsidRDefault="008E273C" w:rsidP="00C3620B">
            <w:pPr>
              <w:pStyle w:val="BodyText"/>
            </w:pPr>
            <w:r>
              <w:t>316.6</w:t>
            </w:r>
          </w:p>
        </w:tc>
        <w:tc>
          <w:tcPr>
            <w:tcW w:w="992" w:type="pct"/>
          </w:tcPr>
          <w:p w:rsidR="008E273C" w:rsidRDefault="008E273C" w:rsidP="00C3620B">
            <w:pPr>
              <w:pStyle w:val="BodyText"/>
            </w:pPr>
            <w:r>
              <w:t>435.1</w:t>
            </w:r>
          </w:p>
        </w:tc>
      </w:tr>
      <w:tr w:rsidR="008E273C" w:rsidTr="00C3620B">
        <w:trPr>
          <w:trHeight w:val="376"/>
        </w:trPr>
        <w:tc>
          <w:tcPr>
            <w:tcW w:w="2024" w:type="pct"/>
          </w:tcPr>
          <w:p w:rsidR="008E273C" w:rsidRDefault="008E273C" w:rsidP="00C3620B">
            <w:pPr>
              <w:pStyle w:val="BodyText"/>
            </w:pPr>
            <w:r>
              <w:rPr>
                <w:rStyle w:val="Bold"/>
              </w:rPr>
              <w:t xml:space="preserve">Total expenses </w:t>
            </w:r>
          </w:p>
        </w:tc>
        <w:tc>
          <w:tcPr>
            <w:tcW w:w="993" w:type="pct"/>
          </w:tcPr>
          <w:p w:rsidR="008E273C" w:rsidRDefault="008E273C" w:rsidP="00C3620B">
            <w:pPr>
              <w:pStyle w:val="BodyText"/>
            </w:pPr>
            <w:r>
              <w:rPr>
                <w:rStyle w:val="Bold"/>
              </w:rPr>
              <w:t>5,415.9</w:t>
            </w:r>
          </w:p>
        </w:tc>
        <w:tc>
          <w:tcPr>
            <w:tcW w:w="992" w:type="pct"/>
          </w:tcPr>
          <w:p w:rsidR="008E273C" w:rsidRDefault="008E273C" w:rsidP="00C3620B">
            <w:pPr>
              <w:pStyle w:val="BodyText"/>
            </w:pPr>
            <w:r>
              <w:rPr>
                <w:rStyle w:val="Bold"/>
              </w:rPr>
              <w:t>5,154.3</w:t>
            </w:r>
          </w:p>
        </w:tc>
        <w:tc>
          <w:tcPr>
            <w:tcW w:w="992" w:type="pct"/>
          </w:tcPr>
          <w:p w:rsidR="008E273C" w:rsidRDefault="008E273C" w:rsidP="00C3620B">
            <w:pPr>
              <w:pStyle w:val="BodyText"/>
            </w:pPr>
            <w:r>
              <w:rPr>
                <w:rStyle w:val="Bold"/>
              </w:rPr>
              <w:t>261.6</w:t>
            </w:r>
          </w:p>
        </w:tc>
      </w:tr>
      <w:tr w:rsidR="008E273C" w:rsidTr="00C3620B">
        <w:trPr>
          <w:trHeight w:val="376"/>
        </w:trPr>
        <w:tc>
          <w:tcPr>
            <w:tcW w:w="2024" w:type="pct"/>
          </w:tcPr>
          <w:p w:rsidR="008E273C" w:rsidRPr="00C3620B" w:rsidRDefault="008E273C" w:rsidP="00C3620B">
            <w:pPr>
              <w:pStyle w:val="BodyText"/>
              <w:rPr>
                <w:b/>
              </w:rPr>
            </w:pPr>
            <w:r w:rsidRPr="00C3620B">
              <w:rPr>
                <w:b/>
              </w:rPr>
              <w:t xml:space="preserve">Surplus/(deficit) attributed </w:t>
            </w:r>
            <w:r w:rsidR="00C3620B">
              <w:rPr>
                <w:rStyle w:val="Boldnobreak"/>
                <w:bCs w:val="0"/>
                <w:color w:val="auto"/>
              </w:rPr>
              <w:t>to</w:t>
            </w:r>
            <w:r w:rsidRPr="00C3620B">
              <w:rPr>
                <w:rStyle w:val="Boldnobreak"/>
                <w:bCs w:val="0"/>
                <w:color w:val="auto"/>
              </w:rPr>
              <w:t xml:space="preserve"> Governme</w:t>
            </w:r>
            <w:r w:rsidRPr="00C3620B">
              <w:rPr>
                <w:b/>
              </w:rPr>
              <w:t>nt</w:t>
            </w:r>
          </w:p>
        </w:tc>
        <w:tc>
          <w:tcPr>
            <w:tcW w:w="993" w:type="pct"/>
          </w:tcPr>
          <w:p w:rsidR="008E273C" w:rsidRDefault="008E273C" w:rsidP="00C3620B">
            <w:pPr>
              <w:pStyle w:val="BodyText"/>
            </w:pPr>
            <w:r>
              <w:rPr>
                <w:rStyle w:val="Bold"/>
              </w:rPr>
              <w:t>(70.7)</w:t>
            </w:r>
          </w:p>
        </w:tc>
        <w:tc>
          <w:tcPr>
            <w:tcW w:w="992" w:type="pct"/>
          </w:tcPr>
          <w:p w:rsidR="008E273C" w:rsidRDefault="008E273C" w:rsidP="00C3620B">
            <w:pPr>
              <w:pStyle w:val="BodyText"/>
            </w:pPr>
            <w:r>
              <w:rPr>
                <w:rStyle w:val="Bold"/>
              </w:rPr>
              <w:t>(330.5)</w:t>
            </w:r>
          </w:p>
        </w:tc>
        <w:tc>
          <w:tcPr>
            <w:tcW w:w="992" w:type="pct"/>
          </w:tcPr>
          <w:p w:rsidR="008E273C" w:rsidRDefault="008E273C" w:rsidP="00C3620B">
            <w:pPr>
              <w:pStyle w:val="BodyText"/>
            </w:pPr>
            <w:r>
              <w:rPr>
                <w:rStyle w:val="Bold"/>
              </w:rPr>
              <w:t>259.8</w:t>
            </w:r>
          </w:p>
        </w:tc>
      </w:tr>
      <w:tr w:rsidR="008E273C" w:rsidTr="00C3620B">
        <w:trPr>
          <w:trHeight w:val="376"/>
        </w:trPr>
        <w:tc>
          <w:tcPr>
            <w:tcW w:w="2024" w:type="pct"/>
          </w:tcPr>
          <w:p w:rsidR="008E273C" w:rsidRDefault="008E273C" w:rsidP="00C3620B">
            <w:pPr>
              <w:pStyle w:val="BodyText"/>
            </w:pPr>
            <w:r>
              <w:t>Adjust for unfunded depreciation and amortisation expense and principal lease payments</w:t>
            </w:r>
          </w:p>
        </w:tc>
        <w:tc>
          <w:tcPr>
            <w:tcW w:w="993" w:type="pct"/>
          </w:tcPr>
          <w:p w:rsidR="008E273C" w:rsidRDefault="008E273C" w:rsidP="00C3620B">
            <w:pPr>
              <w:pStyle w:val="BodyText"/>
            </w:pPr>
            <w:r>
              <w:t>401.0</w:t>
            </w:r>
          </w:p>
        </w:tc>
        <w:tc>
          <w:tcPr>
            <w:tcW w:w="992" w:type="pct"/>
          </w:tcPr>
          <w:p w:rsidR="008E273C" w:rsidRDefault="008E273C" w:rsidP="00C3620B">
            <w:pPr>
              <w:pStyle w:val="BodyText"/>
            </w:pPr>
            <w:r>
              <w:t>296.7</w:t>
            </w:r>
          </w:p>
        </w:tc>
        <w:tc>
          <w:tcPr>
            <w:tcW w:w="992" w:type="pct"/>
          </w:tcPr>
          <w:p w:rsidR="008E273C" w:rsidRDefault="008E273C" w:rsidP="00C3620B">
            <w:pPr>
              <w:pStyle w:val="BodyText"/>
            </w:pPr>
            <w:r>
              <w:t>104.3</w:t>
            </w:r>
          </w:p>
        </w:tc>
      </w:tr>
      <w:tr w:rsidR="008E273C" w:rsidTr="00C3620B">
        <w:trPr>
          <w:trHeight w:val="376"/>
        </w:trPr>
        <w:tc>
          <w:tcPr>
            <w:tcW w:w="2024" w:type="pct"/>
          </w:tcPr>
          <w:p w:rsidR="008E273C" w:rsidRDefault="008E273C" w:rsidP="00C3620B">
            <w:pPr>
              <w:pStyle w:val="BodyText"/>
            </w:pPr>
            <w:r>
              <w:t>Adjust for changes in asset revaluation reserves</w:t>
            </w:r>
          </w:p>
        </w:tc>
        <w:tc>
          <w:tcPr>
            <w:tcW w:w="993" w:type="pct"/>
          </w:tcPr>
          <w:p w:rsidR="008E273C" w:rsidRDefault="008E273C" w:rsidP="00C3620B">
            <w:pPr>
              <w:pStyle w:val="BodyText"/>
            </w:pPr>
            <w:r>
              <w:t>16.3</w:t>
            </w:r>
          </w:p>
        </w:tc>
        <w:tc>
          <w:tcPr>
            <w:tcW w:w="992" w:type="pct"/>
          </w:tcPr>
          <w:p w:rsidR="008E273C" w:rsidRDefault="008E273C" w:rsidP="00C3620B">
            <w:pPr>
              <w:pStyle w:val="BodyText"/>
            </w:pPr>
            <w:r>
              <w:t>13.0</w:t>
            </w:r>
          </w:p>
        </w:tc>
        <w:tc>
          <w:tcPr>
            <w:tcW w:w="992" w:type="pct"/>
          </w:tcPr>
          <w:p w:rsidR="008E273C" w:rsidRDefault="008E273C" w:rsidP="00C3620B">
            <w:pPr>
              <w:pStyle w:val="BodyText"/>
            </w:pPr>
            <w:r>
              <w:t>3.3</w:t>
            </w:r>
          </w:p>
        </w:tc>
      </w:tr>
      <w:tr w:rsidR="008E273C" w:rsidTr="00C3620B">
        <w:trPr>
          <w:trHeight w:val="376"/>
        </w:trPr>
        <w:tc>
          <w:tcPr>
            <w:tcW w:w="2024" w:type="pct"/>
          </w:tcPr>
          <w:p w:rsidR="008E273C" w:rsidRDefault="008E273C" w:rsidP="00C3620B">
            <w:pPr>
              <w:pStyle w:val="BodyText"/>
            </w:pPr>
            <w:r>
              <w:rPr>
                <w:rStyle w:val="Bold"/>
              </w:rPr>
              <w:t>Surplus attributed to the agency</w:t>
            </w:r>
          </w:p>
        </w:tc>
        <w:tc>
          <w:tcPr>
            <w:tcW w:w="993" w:type="pct"/>
          </w:tcPr>
          <w:p w:rsidR="008E273C" w:rsidRDefault="008E273C" w:rsidP="00C3620B">
            <w:pPr>
              <w:pStyle w:val="BodyText"/>
            </w:pPr>
            <w:r>
              <w:rPr>
                <w:rStyle w:val="Bold"/>
              </w:rPr>
              <w:t>346.6</w:t>
            </w:r>
          </w:p>
        </w:tc>
        <w:tc>
          <w:tcPr>
            <w:tcW w:w="992" w:type="pct"/>
          </w:tcPr>
          <w:p w:rsidR="008E273C" w:rsidRDefault="008E273C" w:rsidP="00C3620B">
            <w:pPr>
              <w:pStyle w:val="BodyText"/>
            </w:pPr>
            <w:r>
              <w:rPr>
                <w:rStyle w:val="Bold"/>
              </w:rPr>
              <w:t>(20.8)</w:t>
            </w:r>
          </w:p>
        </w:tc>
        <w:tc>
          <w:tcPr>
            <w:tcW w:w="992" w:type="pct"/>
          </w:tcPr>
          <w:p w:rsidR="008E273C" w:rsidRDefault="008E273C" w:rsidP="00C3620B">
            <w:pPr>
              <w:pStyle w:val="BodyText"/>
            </w:pPr>
            <w:r>
              <w:rPr>
                <w:rStyle w:val="Bold"/>
              </w:rPr>
              <w:t>367.4</w:t>
            </w:r>
          </w:p>
        </w:tc>
      </w:tr>
      <w:tr w:rsidR="008E273C" w:rsidTr="00C3620B">
        <w:trPr>
          <w:trHeight w:val="376"/>
        </w:trPr>
        <w:tc>
          <w:tcPr>
            <w:tcW w:w="2024" w:type="pct"/>
          </w:tcPr>
          <w:p w:rsidR="008E273C" w:rsidRDefault="008E273C" w:rsidP="00C3620B">
            <w:pPr>
              <w:pStyle w:val="BodyText"/>
            </w:pPr>
            <w:r>
              <w:t>Financial assets</w:t>
            </w:r>
            <w:r w:rsidR="00C3620B">
              <w:tab/>
            </w:r>
            <w:r w:rsidR="00C3620B">
              <w:tab/>
            </w:r>
            <w:r>
              <w:t>A</w:t>
            </w:r>
          </w:p>
        </w:tc>
        <w:tc>
          <w:tcPr>
            <w:tcW w:w="993" w:type="pct"/>
          </w:tcPr>
          <w:p w:rsidR="008E273C" w:rsidRDefault="008E273C" w:rsidP="00C3620B">
            <w:pPr>
              <w:pStyle w:val="BodyText"/>
            </w:pPr>
            <w:r>
              <w:t>1,466.0</w:t>
            </w:r>
          </w:p>
        </w:tc>
        <w:tc>
          <w:tcPr>
            <w:tcW w:w="992" w:type="pct"/>
          </w:tcPr>
          <w:p w:rsidR="008E273C" w:rsidRDefault="008E273C" w:rsidP="00C3620B">
            <w:pPr>
              <w:pStyle w:val="BodyText"/>
            </w:pPr>
            <w:r>
              <w:t>1,249.0</w:t>
            </w:r>
          </w:p>
        </w:tc>
        <w:tc>
          <w:tcPr>
            <w:tcW w:w="992" w:type="pct"/>
          </w:tcPr>
          <w:p w:rsidR="008E273C" w:rsidRDefault="008E273C" w:rsidP="00C3620B">
            <w:pPr>
              <w:pStyle w:val="BodyText"/>
            </w:pPr>
            <w:r>
              <w:t>217.0</w:t>
            </w:r>
          </w:p>
        </w:tc>
      </w:tr>
      <w:tr w:rsidR="008E273C" w:rsidTr="00C3620B">
        <w:trPr>
          <w:trHeight w:val="376"/>
        </w:trPr>
        <w:tc>
          <w:tcPr>
            <w:tcW w:w="2024" w:type="pct"/>
          </w:tcPr>
          <w:p w:rsidR="008E273C" w:rsidRDefault="008E273C" w:rsidP="00C3620B">
            <w:pPr>
              <w:pStyle w:val="BodyText"/>
            </w:pPr>
            <w:r>
              <w:t>Non-financial assets</w:t>
            </w:r>
            <w:r w:rsidR="00C3620B">
              <w:tab/>
            </w:r>
            <w:r>
              <w:t>B</w:t>
            </w:r>
          </w:p>
        </w:tc>
        <w:tc>
          <w:tcPr>
            <w:tcW w:w="993" w:type="pct"/>
          </w:tcPr>
          <w:p w:rsidR="008E273C" w:rsidRDefault="008E273C" w:rsidP="00C3620B">
            <w:pPr>
              <w:pStyle w:val="BodyText"/>
            </w:pPr>
            <w:r>
              <w:t>3,826.5</w:t>
            </w:r>
          </w:p>
        </w:tc>
        <w:tc>
          <w:tcPr>
            <w:tcW w:w="992" w:type="pct"/>
          </w:tcPr>
          <w:p w:rsidR="008E273C" w:rsidRDefault="008E273C" w:rsidP="00C3620B">
            <w:pPr>
              <w:pStyle w:val="BodyText"/>
            </w:pPr>
            <w:r>
              <w:t>1,421.6</w:t>
            </w:r>
          </w:p>
        </w:tc>
        <w:tc>
          <w:tcPr>
            <w:tcW w:w="992" w:type="pct"/>
          </w:tcPr>
          <w:p w:rsidR="008E273C" w:rsidRDefault="008E273C" w:rsidP="00C3620B">
            <w:pPr>
              <w:pStyle w:val="BodyText"/>
            </w:pPr>
            <w:r>
              <w:t>2,404.9</w:t>
            </w:r>
          </w:p>
        </w:tc>
      </w:tr>
      <w:tr w:rsidR="008E273C" w:rsidTr="00C3620B">
        <w:trPr>
          <w:trHeight w:val="376"/>
        </w:trPr>
        <w:tc>
          <w:tcPr>
            <w:tcW w:w="2024" w:type="pct"/>
          </w:tcPr>
          <w:p w:rsidR="008E273C" w:rsidRDefault="008E273C" w:rsidP="00C3620B">
            <w:pPr>
              <w:pStyle w:val="BodyText"/>
            </w:pPr>
            <w:r>
              <w:t>Liabilities</w:t>
            </w:r>
            <w:r w:rsidR="00C3620B">
              <w:tab/>
            </w:r>
            <w:r w:rsidR="00C3620B">
              <w:tab/>
            </w:r>
            <w:r w:rsidR="00C3620B">
              <w:tab/>
            </w:r>
            <w:r w:rsidR="00C3620B">
              <w:tab/>
            </w:r>
            <w:r>
              <w:t>C</w:t>
            </w:r>
          </w:p>
        </w:tc>
        <w:tc>
          <w:tcPr>
            <w:tcW w:w="993" w:type="pct"/>
          </w:tcPr>
          <w:p w:rsidR="008E273C" w:rsidRDefault="008E273C" w:rsidP="00C3620B">
            <w:pPr>
              <w:pStyle w:val="BodyText"/>
            </w:pPr>
            <w:r>
              <w:t>3,599.0</w:t>
            </w:r>
          </w:p>
        </w:tc>
        <w:tc>
          <w:tcPr>
            <w:tcW w:w="992" w:type="pct"/>
          </w:tcPr>
          <w:p w:rsidR="008E273C" w:rsidRDefault="008E273C" w:rsidP="00C3620B">
            <w:pPr>
              <w:pStyle w:val="BodyText"/>
            </w:pPr>
            <w:r>
              <w:t>1,507.4</w:t>
            </w:r>
          </w:p>
        </w:tc>
        <w:tc>
          <w:tcPr>
            <w:tcW w:w="992" w:type="pct"/>
          </w:tcPr>
          <w:p w:rsidR="008E273C" w:rsidRDefault="008E273C" w:rsidP="00C3620B">
            <w:pPr>
              <w:pStyle w:val="BodyText"/>
            </w:pPr>
            <w:r>
              <w:t>2,091.6</w:t>
            </w:r>
          </w:p>
        </w:tc>
      </w:tr>
      <w:tr w:rsidR="008E273C" w:rsidTr="00C3620B">
        <w:trPr>
          <w:trHeight w:val="376"/>
        </w:trPr>
        <w:tc>
          <w:tcPr>
            <w:tcW w:w="2024" w:type="pct"/>
          </w:tcPr>
          <w:p w:rsidR="008E273C" w:rsidRDefault="008E273C" w:rsidP="00C3620B">
            <w:pPr>
              <w:pStyle w:val="BodyText"/>
            </w:pPr>
            <w:r>
              <w:rPr>
                <w:rStyle w:val="Bold"/>
              </w:rPr>
              <w:t>Net assets (A + B - C)</w:t>
            </w:r>
          </w:p>
        </w:tc>
        <w:tc>
          <w:tcPr>
            <w:tcW w:w="993" w:type="pct"/>
          </w:tcPr>
          <w:p w:rsidR="008E273C" w:rsidRDefault="008E273C" w:rsidP="00C3620B">
            <w:pPr>
              <w:pStyle w:val="BodyText"/>
            </w:pPr>
            <w:r>
              <w:rPr>
                <w:rStyle w:val="Bold"/>
              </w:rPr>
              <w:t>1,693.5</w:t>
            </w:r>
          </w:p>
        </w:tc>
        <w:tc>
          <w:tcPr>
            <w:tcW w:w="992" w:type="pct"/>
          </w:tcPr>
          <w:p w:rsidR="008E273C" w:rsidRDefault="008E273C" w:rsidP="00C3620B">
            <w:pPr>
              <w:pStyle w:val="BodyText"/>
            </w:pPr>
            <w:r>
              <w:rPr>
                <w:rStyle w:val="Bold"/>
              </w:rPr>
              <w:t>1,163.2</w:t>
            </w:r>
          </w:p>
        </w:tc>
        <w:tc>
          <w:tcPr>
            <w:tcW w:w="992" w:type="pct"/>
          </w:tcPr>
          <w:p w:rsidR="008E273C" w:rsidRDefault="008E273C" w:rsidP="00C3620B">
            <w:pPr>
              <w:pStyle w:val="BodyText"/>
            </w:pPr>
            <w:r>
              <w:rPr>
                <w:rStyle w:val="Bold"/>
              </w:rPr>
              <w:t>530.3</w:t>
            </w:r>
          </w:p>
        </w:tc>
      </w:tr>
    </w:tbl>
    <w:p w:rsidR="008E273C" w:rsidRPr="00C3620B" w:rsidRDefault="00C3620B" w:rsidP="00C3620B">
      <w:pPr>
        <w:pStyle w:val="BodyText"/>
        <w:rPr>
          <w:b/>
        </w:rPr>
      </w:pPr>
      <w:r w:rsidRPr="00C3620B">
        <w:rPr>
          <w:b/>
        </w:rPr>
        <w:t>Table 41:</w:t>
      </w:r>
      <w:r w:rsidR="008E273C" w:rsidRPr="00C3620B">
        <w:rPr>
          <w:b/>
        </w:rPr>
        <w:t xml:space="preserve"> Trends in administered finances</w:t>
      </w:r>
    </w:p>
    <w:tbl>
      <w:tblPr>
        <w:tblStyle w:val="TableGrid"/>
        <w:tblW w:w="5000" w:type="pct"/>
        <w:tblLook w:val="0000" w:firstRow="0" w:lastRow="0" w:firstColumn="0" w:lastColumn="0" w:noHBand="0" w:noVBand="0"/>
        <w:tblCaption w:val="Table 41: Trends in administered finances"/>
        <w:tblDescription w:val="Table 41: Trends in administered finances"/>
      </w:tblPr>
      <w:tblGrid>
        <w:gridCol w:w="4492"/>
        <w:gridCol w:w="2204"/>
        <w:gridCol w:w="2201"/>
        <w:gridCol w:w="2199"/>
      </w:tblGrid>
      <w:tr w:rsidR="008E273C" w:rsidTr="00C3620B">
        <w:trPr>
          <w:trHeight w:val="627"/>
          <w:tblHeader/>
        </w:trPr>
        <w:tc>
          <w:tcPr>
            <w:tcW w:w="2024" w:type="pct"/>
          </w:tcPr>
          <w:p w:rsidR="008E273C" w:rsidRPr="00C3620B" w:rsidRDefault="008E273C" w:rsidP="00C3620B">
            <w:pPr>
              <w:pStyle w:val="BodyText"/>
              <w:rPr>
                <w:b/>
              </w:rPr>
            </w:pPr>
          </w:p>
        </w:tc>
        <w:tc>
          <w:tcPr>
            <w:tcW w:w="993" w:type="pct"/>
          </w:tcPr>
          <w:p w:rsidR="008E273C" w:rsidRPr="00C3620B" w:rsidRDefault="008E273C" w:rsidP="00C3620B">
            <w:pPr>
              <w:pStyle w:val="BodyText"/>
              <w:rPr>
                <w:b/>
              </w:rPr>
            </w:pPr>
            <w:r w:rsidRPr="00C3620B">
              <w:rPr>
                <w:b/>
              </w:rPr>
              <w:t>2019–20</w:t>
            </w:r>
          </w:p>
          <w:p w:rsidR="008E273C" w:rsidRPr="00C3620B" w:rsidRDefault="008E273C" w:rsidP="00C3620B">
            <w:pPr>
              <w:pStyle w:val="BodyText"/>
              <w:rPr>
                <w:b/>
              </w:rPr>
            </w:pPr>
            <w:r w:rsidRPr="00C3620B">
              <w:rPr>
                <w:b/>
              </w:rPr>
              <w:t>$ million</w:t>
            </w:r>
          </w:p>
        </w:tc>
        <w:tc>
          <w:tcPr>
            <w:tcW w:w="992" w:type="pct"/>
          </w:tcPr>
          <w:p w:rsidR="008E273C" w:rsidRPr="00C3620B" w:rsidRDefault="008E273C" w:rsidP="00C3620B">
            <w:pPr>
              <w:pStyle w:val="BodyText"/>
              <w:rPr>
                <w:b/>
              </w:rPr>
            </w:pPr>
            <w:r w:rsidRPr="00C3620B">
              <w:rPr>
                <w:b/>
              </w:rPr>
              <w:t>2018–19</w:t>
            </w:r>
          </w:p>
          <w:p w:rsidR="008E273C" w:rsidRPr="00C3620B" w:rsidRDefault="008E273C" w:rsidP="00C3620B">
            <w:pPr>
              <w:pStyle w:val="BodyText"/>
              <w:rPr>
                <w:b/>
              </w:rPr>
            </w:pPr>
            <w:r w:rsidRPr="00C3620B">
              <w:rPr>
                <w:b/>
              </w:rPr>
              <w:t>$ million</w:t>
            </w:r>
          </w:p>
        </w:tc>
        <w:tc>
          <w:tcPr>
            <w:tcW w:w="992" w:type="pct"/>
          </w:tcPr>
          <w:p w:rsidR="008E273C" w:rsidRPr="00C3620B" w:rsidRDefault="008E273C" w:rsidP="00C3620B">
            <w:pPr>
              <w:pStyle w:val="BodyText"/>
              <w:rPr>
                <w:b/>
              </w:rPr>
            </w:pPr>
            <w:r w:rsidRPr="00C3620B">
              <w:rPr>
                <w:b/>
              </w:rPr>
              <w:t>Change</w:t>
            </w:r>
          </w:p>
          <w:p w:rsidR="008E273C" w:rsidRPr="00C3620B" w:rsidRDefault="008E273C" w:rsidP="00C3620B">
            <w:pPr>
              <w:pStyle w:val="BodyText"/>
              <w:rPr>
                <w:b/>
              </w:rPr>
            </w:pPr>
            <w:r w:rsidRPr="00C3620B">
              <w:rPr>
                <w:b/>
              </w:rPr>
              <w:t>$ million</w:t>
            </w:r>
          </w:p>
        </w:tc>
      </w:tr>
      <w:tr w:rsidR="008E273C" w:rsidTr="00C3620B">
        <w:trPr>
          <w:trHeight w:val="60"/>
        </w:trPr>
        <w:tc>
          <w:tcPr>
            <w:tcW w:w="2024" w:type="pct"/>
          </w:tcPr>
          <w:p w:rsidR="008E273C" w:rsidRDefault="008E273C" w:rsidP="00C3620B">
            <w:pPr>
              <w:pStyle w:val="BodyText"/>
            </w:pPr>
            <w:r>
              <w:t>Child support maintenance revenue</w:t>
            </w:r>
          </w:p>
        </w:tc>
        <w:tc>
          <w:tcPr>
            <w:tcW w:w="993" w:type="pct"/>
          </w:tcPr>
          <w:p w:rsidR="008E273C" w:rsidRDefault="008E273C" w:rsidP="00C3620B">
            <w:pPr>
              <w:pStyle w:val="BodyText"/>
            </w:pPr>
            <w:r>
              <w:t>1,715.2</w:t>
            </w:r>
          </w:p>
        </w:tc>
        <w:tc>
          <w:tcPr>
            <w:tcW w:w="992" w:type="pct"/>
          </w:tcPr>
          <w:p w:rsidR="008E273C" w:rsidRDefault="008E273C" w:rsidP="00C3620B">
            <w:pPr>
              <w:pStyle w:val="BodyText"/>
            </w:pPr>
            <w:r>
              <w:t>1,657.1</w:t>
            </w:r>
          </w:p>
        </w:tc>
        <w:tc>
          <w:tcPr>
            <w:tcW w:w="992" w:type="pct"/>
          </w:tcPr>
          <w:p w:rsidR="008E273C" w:rsidRDefault="008E273C" w:rsidP="00C3620B">
            <w:pPr>
              <w:pStyle w:val="BodyText"/>
            </w:pPr>
            <w:r>
              <w:t>58.1</w:t>
            </w:r>
          </w:p>
        </w:tc>
      </w:tr>
      <w:tr w:rsidR="008E273C" w:rsidTr="00C3620B">
        <w:trPr>
          <w:trHeight w:val="60"/>
        </w:trPr>
        <w:tc>
          <w:tcPr>
            <w:tcW w:w="2024" w:type="pct"/>
          </w:tcPr>
          <w:p w:rsidR="008E273C" w:rsidRDefault="008E273C" w:rsidP="00C3620B">
            <w:pPr>
              <w:pStyle w:val="BodyText"/>
            </w:pPr>
            <w:r>
              <w:t>Other revenue</w:t>
            </w:r>
          </w:p>
        </w:tc>
        <w:tc>
          <w:tcPr>
            <w:tcW w:w="993" w:type="pct"/>
          </w:tcPr>
          <w:p w:rsidR="008E273C" w:rsidRDefault="008E273C" w:rsidP="00C3620B">
            <w:pPr>
              <w:pStyle w:val="BodyText"/>
            </w:pPr>
            <w:r>
              <w:t>318.3</w:t>
            </w:r>
          </w:p>
        </w:tc>
        <w:tc>
          <w:tcPr>
            <w:tcW w:w="992" w:type="pct"/>
          </w:tcPr>
          <w:p w:rsidR="008E273C" w:rsidRDefault="008E273C" w:rsidP="00C3620B">
            <w:pPr>
              <w:pStyle w:val="BodyText"/>
            </w:pPr>
            <w:r>
              <w:t>139.0</w:t>
            </w:r>
          </w:p>
        </w:tc>
        <w:tc>
          <w:tcPr>
            <w:tcW w:w="992" w:type="pct"/>
          </w:tcPr>
          <w:p w:rsidR="008E273C" w:rsidRDefault="008E273C" w:rsidP="00C3620B">
            <w:pPr>
              <w:pStyle w:val="BodyText"/>
            </w:pPr>
            <w:r>
              <w:t>179.3</w:t>
            </w:r>
          </w:p>
        </w:tc>
      </w:tr>
      <w:tr w:rsidR="008E273C" w:rsidTr="00C3620B">
        <w:trPr>
          <w:trHeight w:val="376"/>
        </w:trPr>
        <w:tc>
          <w:tcPr>
            <w:tcW w:w="2024" w:type="pct"/>
          </w:tcPr>
          <w:p w:rsidR="008E273C" w:rsidRDefault="008E273C" w:rsidP="00C3620B">
            <w:pPr>
              <w:pStyle w:val="BodyText"/>
            </w:pPr>
            <w:r>
              <w:rPr>
                <w:rStyle w:val="Bold"/>
              </w:rPr>
              <w:t>Total income</w:t>
            </w:r>
          </w:p>
        </w:tc>
        <w:tc>
          <w:tcPr>
            <w:tcW w:w="993" w:type="pct"/>
          </w:tcPr>
          <w:p w:rsidR="008E273C" w:rsidRDefault="008E273C" w:rsidP="00C3620B">
            <w:pPr>
              <w:pStyle w:val="BodyText"/>
            </w:pPr>
            <w:r>
              <w:rPr>
                <w:rStyle w:val="Bold"/>
              </w:rPr>
              <w:t>2,033.5</w:t>
            </w:r>
          </w:p>
        </w:tc>
        <w:tc>
          <w:tcPr>
            <w:tcW w:w="992" w:type="pct"/>
          </w:tcPr>
          <w:p w:rsidR="008E273C" w:rsidRDefault="008E273C" w:rsidP="00C3620B">
            <w:pPr>
              <w:pStyle w:val="BodyText"/>
            </w:pPr>
            <w:r>
              <w:rPr>
                <w:rStyle w:val="Bold"/>
              </w:rPr>
              <w:t>1,796.1</w:t>
            </w:r>
          </w:p>
        </w:tc>
        <w:tc>
          <w:tcPr>
            <w:tcW w:w="992" w:type="pct"/>
          </w:tcPr>
          <w:p w:rsidR="008E273C" w:rsidRDefault="008E273C" w:rsidP="00C3620B">
            <w:pPr>
              <w:pStyle w:val="BodyText"/>
            </w:pPr>
            <w:r>
              <w:rPr>
                <w:rStyle w:val="Bold"/>
              </w:rPr>
              <w:t>237.4</w:t>
            </w:r>
          </w:p>
        </w:tc>
      </w:tr>
      <w:tr w:rsidR="008E273C" w:rsidTr="00C3620B">
        <w:trPr>
          <w:trHeight w:val="376"/>
        </w:trPr>
        <w:tc>
          <w:tcPr>
            <w:tcW w:w="2024" w:type="pct"/>
          </w:tcPr>
          <w:p w:rsidR="008E273C" w:rsidRDefault="008E273C" w:rsidP="00C3620B">
            <w:pPr>
              <w:pStyle w:val="BodyText"/>
            </w:pPr>
            <w:r>
              <w:t>Child support maintenance expense</w:t>
            </w:r>
          </w:p>
        </w:tc>
        <w:tc>
          <w:tcPr>
            <w:tcW w:w="993" w:type="pct"/>
          </w:tcPr>
          <w:p w:rsidR="008E273C" w:rsidRDefault="008E273C" w:rsidP="00C3620B">
            <w:pPr>
              <w:pStyle w:val="BodyText"/>
            </w:pPr>
            <w:r>
              <w:t>1,915.7</w:t>
            </w:r>
          </w:p>
        </w:tc>
        <w:tc>
          <w:tcPr>
            <w:tcW w:w="992" w:type="pct"/>
          </w:tcPr>
          <w:p w:rsidR="008E273C" w:rsidRDefault="008E273C" w:rsidP="00C3620B">
            <w:pPr>
              <w:pStyle w:val="BodyText"/>
            </w:pPr>
            <w:r>
              <w:t>1,611.8</w:t>
            </w:r>
          </w:p>
        </w:tc>
        <w:tc>
          <w:tcPr>
            <w:tcW w:w="992" w:type="pct"/>
          </w:tcPr>
          <w:p w:rsidR="008E273C" w:rsidRDefault="008E273C" w:rsidP="00C3620B">
            <w:pPr>
              <w:pStyle w:val="BodyText"/>
            </w:pPr>
            <w:r>
              <w:t>303.9</w:t>
            </w:r>
          </w:p>
        </w:tc>
      </w:tr>
      <w:tr w:rsidR="008E273C" w:rsidTr="00C3620B">
        <w:trPr>
          <w:trHeight w:val="376"/>
        </w:trPr>
        <w:tc>
          <w:tcPr>
            <w:tcW w:w="2024" w:type="pct"/>
          </w:tcPr>
          <w:p w:rsidR="008E273C" w:rsidRDefault="008E273C" w:rsidP="00C3620B">
            <w:pPr>
              <w:pStyle w:val="BodyText"/>
            </w:pPr>
            <w:r>
              <w:t>Other expenses</w:t>
            </w:r>
          </w:p>
        </w:tc>
        <w:tc>
          <w:tcPr>
            <w:tcW w:w="993" w:type="pct"/>
          </w:tcPr>
          <w:p w:rsidR="008E273C" w:rsidRDefault="008E273C" w:rsidP="00C3620B">
            <w:pPr>
              <w:pStyle w:val="BodyText"/>
            </w:pPr>
            <w:r>
              <w:t>51.4</w:t>
            </w:r>
          </w:p>
        </w:tc>
        <w:tc>
          <w:tcPr>
            <w:tcW w:w="992" w:type="pct"/>
          </w:tcPr>
          <w:p w:rsidR="008E273C" w:rsidRDefault="008E273C" w:rsidP="00C3620B">
            <w:pPr>
              <w:pStyle w:val="BodyText"/>
            </w:pPr>
            <w:r>
              <w:t>69.9</w:t>
            </w:r>
          </w:p>
        </w:tc>
        <w:tc>
          <w:tcPr>
            <w:tcW w:w="992" w:type="pct"/>
          </w:tcPr>
          <w:p w:rsidR="008E273C" w:rsidRDefault="008E273C" w:rsidP="00C3620B">
            <w:pPr>
              <w:pStyle w:val="BodyText"/>
            </w:pPr>
            <w:r>
              <w:t>(18.5)</w:t>
            </w:r>
          </w:p>
        </w:tc>
      </w:tr>
      <w:tr w:rsidR="008E273C" w:rsidTr="00C3620B">
        <w:trPr>
          <w:trHeight w:val="376"/>
        </w:trPr>
        <w:tc>
          <w:tcPr>
            <w:tcW w:w="2024" w:type="pct"/>
          </w:tcPr>
          <w:p w:rsidR="008E273C" w:rsidRDefault="008E273C" w:rsidP="00C3620B">
            <w:pPr>
              <w:pStyle w:val="BodyText"/>
            </w:pPr>
            <w:r>
              <w:rPr>
                <w:rStyle w:val="Bold"/>
              </w:rPr>
              <w:t>Total expenses</w:t>
            </w:r>
          </w:p>
        </w:tc>
        <w:tc>
          <w:tcPr>
            <w:tcW w:w="993" w:type="pct"/>
          </w:tcPr>
          <w:p w:rsidR="008E273C" w:rsidRDefault="008E273C" w:rsidP="00C3620B">
            <w:pPr>
              <w:pStyle w:val="BodyText"/>
            </w:pPr>
            <w:r>
              <w:rPr>
                <w:rStyle w:val="Bold"/>
              </w:rPr>
              <w:t>1,967.1</w:t>
            </w:r>
          </w:p>
        </w:tc>
        <w:tc>
          <w:tcPr>
            <w:tcW w:w="992" w:type="pct"/>
          </w:tcPr>
          <w:p w:rsidR="008E273C" w:rsidRDefault="008E273C" w:rsidP="00C3620B">
            <w:pPr>
              <w:pStyle w:val="BodyText"/>
            </w:pPr>
            <w:r>
              <w:rPr>
                <w:rStyle w:val="Bold"/>
              </w:rPr>
              <w:t>1,681.7</w:t>
            </w:r>
          </w:p>
        </w:tc>
        <w:tc>
          <w:tcPr>
            <w:tcW w:w="992" w:type="pct"/>
          </w:tcPr>
          <w:p w:rsidR="008E273C" w:rsidRDefault="008E273C" w:rsidP="00C3620B">
            <w:pPr>
              <w:pStyle w:val="BodyText"/>
            </w:pPr>
            <w:r>
              <w:rPr>
                <w:rStyle w:val="Bold"/>
              </w:rPr>
              <w:t>285.4</w:t>
            </w:r>
          </w:p>
        </w:tc>
      </w:tr>
      <w:tr w:rsidR="008E273C" w:rsidTr="00C3620B">
        <w:trPr>
          <w:trHeight w:val="376"/>
        </w:trPr>
        <w:tc>
          <w:tcPr>
            <w:tcW w:w="2024" w:type="pct"/>
          </w:tcPr>
          <w:p w:rsidR="008E273C" w:rsidRDefault="008E273C" w:rsidP="00C3620B">
            <w:pPr>
              <w:pStyle w:val="BodyText"/>
            </w:pPr>
            <w:r>
              <w:t xml:space="preserve">Financial assets  </w:t>
            </w:r>
          </w:p>
        </w:tc>
        <w:tc>
          <w:tcPr>
            <w:tcW w:w="993" w:type="pct"/>
          </w:tcPr>
          <w:p w:rsidR="008E273C" w:rsidRDefault="008E273C" w:rsidP="00C3620B">
            <w:pPr>
              <w:pStyle w:val="BodyText"/>
            </w:pPr>
            <w:r>
              <w:t>1,386.9</w:t>
            </w:r>
          </w:p>
        </w:tc>
        <w:tc>
          <w:tcPr>
            <w:tcW w:w="992" w:type="pct"/>
          </w:tcPr>
          <w:p w:rsidR="008E273C" w:rsidRDefault="008E273C" w:rsidP="00C3620B">
            <w:pPr>
              <w:pStyle w:val="BodyText"/>
            </w:pPr>
            <w:r>
              <w:t>1,138.0</w:t>
            </w:r>
          </w:p>
        </w:tc>
        <w:tc>
          <w:tcPr>
            <w:tcW w:w="992" w:type="pct"/>
          </w:tcPr>
          <w:p w:rsidR="008E273C" w:rsidRDefault="008E273C" w:rsidP="00C3620B">
            <w:pPr>
              <w:pStyle w:val="BodyText"/>
            </w:pPr>
            <w:r>
              <w:t>248.9</w:t>
            </w:r>
          </w:p>
        </w:tc>
      </w:tr>
      <w:tr w:rsidR="008E273C" w:rsidTr="00C3620B">
        <w:trPr>
          <w:trHeight w:val="376"/>
        </w:trPr>
        <w:tc>
          <w:tcPr>
            <w:tcW w:w="2024" w:type="pct"/>
          </w:tcPr>
          <w:p w:rsidR="008E273C" w:rsidRDefault="008E273C" w:rsidP="00C3620B">
            <w:pPr>
              <w:pStyle w:val="BodyText"/>
            </w:pPr>
            <w:r>
              <w:t>Liabilities</w:t>
            </w:r>
          </w:p>
        </w:tc>
        <w:tc>
          <w:tcPr>
            <w:tcW w:w="993" w:type="pct"/>
          </w:tcPr>
          <w:p w:rsidR="008E273C" w:rsidRDefault="008E273C" w:rsidP="00C3620B">
            <w:pPr>
              <w:pStyle w:val="BodyText"/>
            </w:pPr>
            <w:r>
              <w:t>1,363.5</w:t>
            </w:r>
          </w:p>
        </w:tc>
        <w:tc>
          <w:tcPr>
            <w:tcW w:w="992" w:type="pct"/>
          </w:tcPr>
          <w:p w:rsidR="008E273C" w:rsidRDefault="008E273C" w:rsidP="00C3620B">
            <w:pPr>
              <w:pStyle w:val="BodyText"/>
            </w:pPr>
            <w:r>
              <w:t>1,030.0</w:t>
            </w:r>
          </w:p>
        </w:tc>
        <w:tc>
          <w:tcPr>
            <w:tcW w:w="992" w:type="pct"/>
          </w:tcPr>
          <w:p w:rsidR="008E273C" w:rsidRDefault="008E273C" w:rsidP="00C3620B">
            <w:pPr>
              <w:pStyle w:val="BodyText"/>
            </w:pPr>
            <w:r>
              <w:t>333.5</w:t>
            </w:r>
          </w:p>
        </w:tc>
      </w:tr>
    </w:tbl>
    <w:p w:rsidR="008E273C" w:rsidRDefault="008E273C" w:rsidP="008E273C">
      <w:pPr>
        <w:pStyle w:val="Heading2"/>
      </w:pPr>
      <w:r>
        <w:t>Significant non-compliance</w:t>
      </w:r>
    </w:p>
    <w:p w:rsidR="008E273C" w:rsidRDefault="008E273C" w:rsidP="008E273C">
      <w:pPr>
        <w:pStyle w:val="BodyText"/>
      </w:pPr>
      <w:r>
        <w:t>No matters of significant non-compliance with finance law were reported under section 19(1</w:t>
      </w:r>
      <w:proofErr w:type="gramStart"/>
      <w:r>
        <w:t>)(</w:t>
      </w:r>
      <w:proofErr w:type="gramEnd"/>
      <w:r>
        <w:t xml:space="preserve">e) of the </w:t>
      </w:r>
      <w:r>
        <w:rPr>
          <w:rStyle w:val="Italic"/>
        </w:rPr>
        <w:t>Public Governance, Performance and Accountability Act 2013</w:t>
      </w:r>
      <w:r>
        <w:t xml:space="preserve"> during the reporting period.</w:t>
      </w:r>
    </w:p>
    <w:p w:rsidR="008E273C" w:rsidRDefault="008E273C" w:rsidP="008E273C">
      <w:pPr>
        <w:pStyle w:val="Heading2"/>
      </w:pPr>
      <w:r>
        <w:t>Asset management</w:t>
      </w:r>
    </w:p>
    <w:p w:rsidR="008E273C" w:rsidRDefault="008E273C" w:rsidP="008E273C">
      <w:pPr>
        <w:pStyle w:val="BodyText"/>
      </w:pPr>
      <w:r>
        <w:t>We manage our assets in accordance with relevant accounting standards and Department of Finance requirements.</w:t>
      </w:r>
    </w:p>
    <w:p w:rsidR="008E273C" w:rsidRDefault="008E273C" w:rsidP="008E273C">
      <w:pPr>
        <w:pStyle w:val="BodyText"/>
      </w:pPr>
      <w:r>
        <w:t xml:space="preserve">The agency’s asset management policies and procedures cover whole-of-life asset management. Guidance and procedures are published for staff, and the agency regularly confirms the existence and validity of our assets.  </w:t>
      </w:r>
    </w:p>
    <w:p w:rsidR="008E273C" w:rsidRDefault="008E273C" w:rsidP="008E273C">
      <w:pPr>
        <w:pStyle w:val="BodyText"/>
      </w:pPr>
      <w:r>
        <w:t>The agency’s asset base comprises software, leasehold improvements, data centre equipment and with the introduction of accounting standard A</w:t>
      </w:r>
      <w:r>
        <w:rPr>
          <w:rStyle w:val="NoBreak"/>
        </w:rPr>
        <w:t xml:space="preserve">ASB 16 </w:t>
      </w:r>
      <w:r>
        <w:rPr>
          <w:rStyle w:val="Italic"/>
        </w:rPr>
        <w:t>Leases</w:t>
      </w:r>
      <w:r>
        <w:t>, right-of-use assets relating mainly to property leases.</w:t>
      </w:r>
    </w:p>
    <w:p w:rsidR="008E273C" w:rsidRDefault="008E273C" w:rsidP="008E273C">
      <w:pPr>
        <w:pStyle w:val="BodyText"/>
      </w:pPr>
      <w:r>
        <w:t xml:space="preserve">The agency plans and maintains assets to support the effective delivery of </w:t>
      </w:r>
      <w:r>
        <w:rPr>
          <w:rStyle w:val="NoBreak"/>
        </w:rPr>
        <w:t xml:space="preserve">our programs. </w:t>
      </w:r>
    </w:p>
    <w:p w:rsidR="008E273C" w:rsidRDefault="008E273C" w:rsidP="008E273C">
      <w:pPr>
        <w:pStyle w:val="BodyText"/>
      </w:pPr>
      <w:r>
        <w:t>We manage capital investment in our property portfolio through our annual Capital Management Plan to maintain customer engagement areas in our Service Centres and our sites to acceptable standards.</w:t>
      </w:r>
    </w:p>
    <w:p w:rsidR="008E273C" w:rsidRDefault="008E273C" w:rsidP="008E273C">
      <w:pPr>
        <w:pStyle w:val="BodyText"/>
      </w:pPr>
      <w:r>
        <w:t xml:space="preserve">Capital investment in ICT software and hardware is managed in accordance with the ICT technology plan and roadmap, supported by an investment plan. </w:t>
      </w:r>
    </w:p>
    <w:p w:rsidR="00E45D23" w:rsidRDefault="00E45D23" w:rsidP="00E45D23">
      <w:pPr>
        <w:pStyle w:val="Heading1"/>
        <w:rPr>
          <w:lang w:eastAsia="en-AU"/>
        </w:rPr>
      </w:pPr>
      <w:r>
        <w:rPr>
          <w:lang w:eastAsia="en-AU"/>
        </w:rPr>
        <w:lastRenderedPageBreak/>
        <w:t>3.2 Independent Auditor’s Report</w:t>
      </w:r>
    </w:p>
    <w:p w:rsidR="00E45D23" w:rsidRPr="00E45D23" w:rsidRDefault="00E45D23" w:rsidP="00E45D23">
      <w:pPr>
        <w:pStyle w:val="Heading1"/>
        <w:rPr>
          <w:lang w:eastAsia="en-AU"/>
        </w:rPr>
      </w:pPr>
      <w:r>
        <w:rPr>
          <w:lang w:eastAsia="en-AU"/>
        </w:rPr>
        <w:t>3.3 Financial Statements</w:t>
      </w:r>
    </w:p>
    <w:p w:rsidR="00E45D23" w:rsidRPr="00E45D23" w:rsidRDefault="00E45D23" w:rsidP="00E45D23">
      <w:pPr>
        <w:pStyle w:val="Heading1"/>
        <w:rPr>
          <w:lang w:eastAsia="en-AU"/>
        </w:rPr>
      </w:pPr>
      <w:r>
        <w:rPr>
          <w:lang w:eastAsia="en-AU"/>
        </w:rPr>
        <w:t>Part 4: Management and accountability</w:t>
      </w:r>
    </w:p>
    <w:p w:rsidR="008E273C" w:rsidRDefault="008E273C" w:rsidP="008E273C">
      <w:pPr>
        <w:pStyle w:val="Heading1"/>
      </w:pPr>
      <w:r>
        <w:t>4.1 Agency overview</w:t>
      </w:r>
    </w:p>
    <w:p w:rsidR="008E273C" w:rsidRDefault="008E273C" w:rsidP="005D794B">
      <w:pPr>
        <w:pStyle w:val="BodyText"/>
      </w:pPr>
      <w:r>
        <w:t>Services Australia’s purpose, as set out in our 2019–20 Corporate Plan, is ‘delivering high-quality Government services and payments to Australia’.</w:t>
      </w:r>
    </w:p>
    <w:p w:rsidR="008E273C" w:rsidRDefault="008E273C" w:rsidP="008E273C">
      <w:pPr>
        <w:pStyle w:val="Heading2"/>
      </w:pPr>
      <w:r>
        <w:t>Role and functions</w:t>
      </w:r>
    </w:p>
    <w:p w:rsidR="008E273C" w:rsidRDefault="008E273C" w:rsidP="008E273C">
      <w:pPr>
        <w:pStyle w:val="BodyText"/>
      </w:pPr>
      <w:r>
        <w:t xml:space="preserve">Services Australia designs, develops, delivers, coordinates and monitors government services and payments relating to social security, child support, students, families, aged care and health programs. We provide advice to government on the delivery of these services and payments, and collaborate with other agencies, providers and businesses to provide convenient, accessible and efficient services to individuals, families and communities. </w:t>
      </w:r>
    </w:p>
    <w:p w:rsidR="008E273C" w:rsidRDefault="008E273C" w:rsidP="008E273C">
      <w:pPr>
        <w:pStyle w:val="Heading2"/>
      </w:pPr>
      <w:r>
        <w:t>Portfolio structure</w:t>
      </w:r>
    </w:p>
    <w:p w:rsidR="008E273C" w:rsidRDefault="008E273C" w:rsidP="008E273C">
      <w:pPr>
        <w:pStyle w:val="BodyText"/>
      </w:pPr>
      <w:r>
        <w:t>The department known as Services Australia (formerly known as the Department of Human Services) was established as a new executive agency, within the Social Services portfolio under the Administrative Arrangements Order issued on 5 December 2019, with effect from 1 February 2020.</w:t>
      </w:r>
    </w:p>
    <w:p w:rsidR="008E273C" w:rsidRDefault="008E273C" w:rsidP="008E273C">
      <w:pPr>
        <w:pStyle w:val="Heading2"/>
      </w:pPr>
      <w:r>
        <w:t>Outcome and programs</w:t>
      </w:r>
    </w:p>
    <w:p w:rsidR="008E273C" w:rsidRDefault="008E273C" w:rsidP="008E273C">
      <w:pPr>
        <w:pStyle w:val="BodyText"/>
      </w:pPr>
      <w:r>
        <w:t xml:space="preserve">Following the establishment of Services Australia within the Social Services portfolio Services Australia’s outcome statement (as set out in the </w:t>
      </w:r>
      <w:r>
        <w:rPr>
          <w:rStyle w:val="Italic"/>
        </w:rPr>
        <w:t>Portfolio Budget Statements 2019–20</w:t>
      </w:r>
      <w:r>
        <w:t>) was amended to remove a single reference to the delivery of ‘policy’ advice. Also references to ‘the department’ in our programs were replaced with ‘Services Australia’.</w:t>
      </w:r>
    </w:p>
    <w:p w:rsidR="008E273C" w:rsidRDefault="008E273C" w:rsidP="008E273C">
      <w:pPr>
        <w:pStyle w:val="BodyText"/>
      </w:pPr>
      <w:r>
        <w:t xml:space="preserve">Services Australia has one outcome and three programs. </w:t>
      </w:r>
    </w:p>
    <w:p w:rsidR="008E273C" w:rsidRPr="0033237E" w:rsidRDefault="008E273C" w:rsidP="0033237E">
      <w:pPr>
        <w:pStyle w:val="BodyText"/>
        <w:rPr>
          <w:rStyle w:val="Bold"/>
          <w:bCs w:val="0"/>
          <w:color w:val="auto"/>
        </w:rPr>
      </w:pPr>
      <w:r w:rsidRPr="0033237E">
        <w:rPr>
          <w:rStyle w:val="Bold"/>
          <w:bCs w:val="0"/>
          <w:color w:val="auto"/>
        </w:rPr>
        <w:t>Figure 1: Outcome and program structure</w:t>
      </w:r>
    </w:p>
    <w:tbl>
      <w:tblPr>
        <w:tblStyle w:val="TableGrid"/>
        <w:tblW w:w="5000" w:type="pct"/>
        <w:tblLook w:val="0000" w:firstRow="0" w:lastRow="0" w:firstColumn="0" w:lastColumn="0" w:noHBand="0" w:noVBand="0"/>
        <w:tblCaption w:val="Figure 1: Outcome and program structure"/>
        <w:tblDescription w:val="Figure 1: Outcome and program structure"/>
      </w:tblPr>
      <w:tblGrid>
        <w:gridCol w:w="11096"/>
      </w:tblGrid>
      <w:tr w:rsidR="008E273C" w:rsidTr="0033237E">
        <w:trPr>
          <w:trHeight w:val="60"/>
          <w:tblHeader/>
        </w:trPr>
        <w:tc>
          <w:tcPr>
            <w:tcW w:w="5000" w:type="pct"/>
          </w:tcPr>
          <w:p w:rsidR="008E273C" w:rsidRDefault="008E273C" w:rsidP="0033237E">
            <w:pPr>
              <w:pStyle w:val="BodyText"/>
            </w:pPr>
            <w:r>
              <w:lastRenderedPageBreak/>
              <w:t>Outcome 1</w:t>
            </w:r>
          </w:p>
        </w:tc>
      </w:tr>
      <w:tr w:rsidR="008E273C" w:rsidTr="0033237E">
        <w:trPr>
          <w:trHeight w:val="60"/>
          <w:tblHeader/>
        </w:trPr>
        <w:tc>
          <w:tcPr>
            <w:tcW w:w="5000" w:type="pct"/>
          </w:tcPr>
          <w:p w:rsidR="008E273C" w:rsidRDefault="008E273C" w:rsidP="0033237E">
            <w:pPr>
              <w:pStyle w:val="BodyText"/>
            </w:pPr>
            <w:r>
              <w:t>Support individuals, families and communities to achieve greater self-sufficiency; through the delivery of advice and high quality accessible social, health and child support services and other payments; and support providers and businesses through convenient and efficient service delivery.</w:t>
            </w:r>
          </w:p>
        </w:tc>
      </w:tr>
      <w:tr w:rsidR="008E273C" w:rsidTr="0033237E">
        <w:trPr>
          <w:trHeight w:val="60"/>
          <w:tblHeader/>
        </w:trPr>
        <w:tc>
          <w:tcPr>
            <w:tcW w:w="5000" w:type="pct"/>
          </w:tcPr>
          <w:p w:rsidR="008E273C" w:rsidRDefault="008E273C" w:rsidP="0033237E">
            <w:pPr>
              <w:pStyle w:val="BodyText"/>
            </w:pPr>
            <w:r>
              <w:t>Program 1.1</w:t>
            </w:r>
          </w:p>
        </w:tc>
      </w:tr>
      <w:tr w:rsidR="008E273C" w:rsidTr="0033237E">
        <w:trPr>
          <w:trHeight w:val="60"/>
          <w:tblHeader/>
        </w:trPr>
        <w:tc>
          <w:tcPr>
            <w:tcW w:w="5000" w:type="pct"/>
          </w:tcPr>
          <w:p w:rsidR="008E273C" w:rsidRDefault="008E273C" w:rsidP="0033237E">
            <w:pPr>
              <w:pStyle w:val="BodyText"/>
            </w:pPr>
            <w:r>
              <w:rPr>
                <w:rFonts w:ascii="Roboto-Bold" w:hAnsi="Roboto-Bold" w:cs="Roboto-Bold"/>
                <w:b/>
                <w:bCs/>
              </w:rPr>
              <w:t xml:space="preserve">Services to the Community—Social Security and Welfare: </w:t>
            </w:r>
            <w:r>
              <w:t>Services Australia supports individuals, families and communities to achieve greater self-sufficiency by providing access to social security and welfare payments and services on behalf of the Australian Government.</w:t>
            </w:r>
          </w:p>
        </w:tc>
      </w:tr>
      <w:tr w:rsidR="008E273C" w:rsidTr="0033237E">
        <w:trPr>
          <w:trHeight w:val="60"/>
          <w:tblHeader/>
        </w:trPr>
        <w:tc>
          <w:tcPr>
            <w:tcW w:w="5000" w:type="pct"/>
          </w:tcPr>
          <w:p w:rsidR="008E273C" w:rsidRDefault="008E273C" w:rsidP="0033237E">
            <w:pPr>
              <w:pStyle w:val="BodyText"/>
            </w:pPr>
            <w:r>
              <w:t>Program 1.2</w:t>
            </w:r>
          </w:p>
        </w:tc>
      </w:tr>
      <w:tr w:rsidR="008E273C" w:rsidTr="0033237E">
        <w:trPr>
          <w:trHeight w:val="60"/>
          <w:tblHeader/>
        </w:trPr>
        <w:tc>
          <w:tcPr>
            <w:tcW w:w="5000" w:type="pct"/>
          </w:tcPr>
          <w:p w:rsidR="008E273C" w:rsidRDefault="008E273C" w:rsidP="0033237E">
            <w:pPr>
              <w:pStyle w:val="BodyText"/>
            </w:pPr>
            <w:r>
              <w:rPr>
                <w:rFonts w:ascii="Roboto-Bold" w:hAnsi="Roboto-Bold" w:cs="Roboto-Bold"/>
                <w:b/>
                <w:bCs/>
              </w:rPr>
              <w:t xml:space="preserve">Services to the Community—Health: </w:t>
            </w:r>
            <w:r>
              <w:t xml:space="preserve">Services Australia supports individuals, families and communities to achieve greater self-sufficiency by providing </w:t>
            </w:r>
            <w:r>
              <w:rPr>
                <w:spacing w:val="-4"/>
              </w:rPr>
              <w:t>access to health payments and services on behalf of the Australian Government.</w:t>
            </w:r>
          </w:p>
        </w:tc>
      </w:tr>
      <w:tr w:rsidR="008E273C" w:rsidTr="0033237E">
        <w:trPr>
          <w:trHeight w:val="60"/>
          <w:tblHeader/>
        </w:trPr>
        <w:tc>
          <w:tcPr>
            <w:tcW w:w="5000" w:type="pct"/>
          </w:tcPr>
          <w:p w:rsidR="008E273C" w:rsidRDefault="008E273C" w:rsidP="0033237E">
            <w:pPr>
              <w:pStyle w:val="BodyText"/>
            </w:pPr>
            <w:r>
              <w:t>Program 1.3</w:t>
            </w:r>
          </w:p>
        </w:tc>
      </w:tr>
      <w:tr w:rsidR="008E273C" w:rsidTr="0033237E">
        <w:trPr>
          <w:trHeight w:val="60"/>
          <w:tblHeader/>
        </w:trPr>
        <w:tc>
          <w:tcPr>
            <w:tcW w:w="5000" w:type="pct"/>
          </w:tcPr>
          <w:p w:rsidR="008E273C" w:rsidRDefault="008E273C" w:rsidP="0033237E">
            <w:pPr>
              <w:pStyle w:val="BodyText"/>
            </w:pPr>
            <w:r>
              <w:rPr>
                <w:rFonts w:ascii="Roboto-Bold" w:hAnsi="Roboto-Bold" w:cs="Roboto-Bold"/>
                <w:b/>
                <w:bCs/>
              </w:rPr>
              <w:t xml:space="preserve">Child Support: </w:t>
            </w:r>
            <w:r>
              <w:t xml:space="preserve">Services Australia’s Child Support Program is designed to ensure that both parents contribute to the cost of their children, according to their capacity. </w:t>
            </w:r>
          </w:p>
        </w:tc>
      </w:tr>
    </w:tbl>
    <w:p w:rsidR="008E273C" w:rsidRDefault="008E273C" w:rsidP="008E273C">
      <w:pPr>
        <w:pStyle w:val="Heading2"/>
      </w:pPr>
      <w:r>
        <w:t>Ministers</w:t>
      </w:r>
    </w:p>
    <w:p w:rsidR="008E273C" w:rsidRDefault="008E273C" w:rsidP="008E273C">
      <w:pPr>
        <w:pStyle w:val="BodyText"/>
      </w:pPr>
      <w:r>
        <w:t>The Minister responsible for Services Australia throughout 2019–20 was the Minister for Government Services, the Hon. Stuart Robert, MP.</w:t>
      </w:r>
    </w:p>
    <w:p w:rsidR="008E273C" w:rsidRDefault="008E273C" w:rsidP="008E273C">
      <w:pPr>
        <w:pStyle w:val="BodyText"/>
      </w:pPr>
      <w:r>
        <w:t>At 30 June 2020 the Minister for the Social Services portfolio was the Minister for Families and Social Services, Senator the Hon. Anne Ruston.</w:t>
      </w:r>
    </w:p>
    <w:p w:rsidR="008E273C" w:rsidRDefault="008E273C" w:rsidP="008E273C">
      <w:pPr>
        <w:pStyle w:val="Heading2"/>
      </w:pPr>
      <w:r>
        <w:t>Corporate governance</w:t>
      </w:r>
    </w:p>
    <w:p w:rsidR="008E273C" w:rsidRPr="00AC4959" w:rsidRDefault="008E273C" w:rsidP="008E273C">
      <w:pPr>
        <w:pStyle w:val="BodyText"/>
      </w:pPr>
      <w:r>
        <w:t xml:space="preserve">The 2019–20 Corporate Plan set out our objectives for the year and is our primary planning document. It outlines Services Australia’s operating context, key activities, capabilities, risk management and cooperation with other entities. The plan includes details on how performance is measured and assessed. See the 2019–20 Corporate Plan at </w:t>
      </w:r>
      <w:r w:rsidRPr="00BD07FC">
        <w:rPr>
          <w:b/>
        </w:rPr>
        <w:t>servicesaustralia.gov.au</w:t>
      </w:r>
    </w:p>
    <w:p w:rsidR="008E273C" w:rsidRDefault="008E273C" w:rsidP="008E273C">
      <w:pPr>
        <w:pStyle w:val="Heading3"/>
      </w:pPr>
      <w:r>
        <w:t>Enterprise risk management approach</w:t>
      </w:r>
    </w:p>
    <w:p w:rsidR="008E273C" w:rsidRDefault="008E273C" w:rsidP="008E273C">
      <w:pPr>
        <w:pStyle w:val="BodyText"/>
      </w:pPr>
      <w:r>
        <w:t>In July 2019 Services Australia adopted a new Enterprise Risk Management Model. To support this model and strengthen our approach to risk management, the agency implemented a new Risk Management Policy and Framework. These documents clearly outline accountabilities for risk management and set the risk appetite and tolerances for the agency.</w:t>
      </w:r>
    </w:p>
    <w:p w:rsidR="008E273C" w:rsidRDefault="008E273C" w:rsidP="008E273C">
      <w:pPr>
        <w:pStyle w:val="BodyText"/>
      </w:pPr>
      <w:r>
        <w:t xml:space="preserve">Our approach to risk management is based on the </w:t>
      </w:r>
      <w:r>
        <w:rPr>
          <w:rStyle w:val="Italic"/>
        </w:rPr>
        <w:t>ISO 31000: 2018 Risk Management–Guidelines</w:t>
      </w:r>
      <w:r>
        <w:t xml:space="preserve">. It aligns with the </w:t>
      </w:r>
      <w:r>
        <w:rPr>
          <w:rStyle w:val="Italic"/>
        </w:rPr>
        <w:t>Commonwealth Risk Management Policy 2014</w:t>
      </w:r>
      <w:r>
        <w:t xml:space="preserve">, meeting our obligations under section 16 </w:t>
      </w:r>
      <w:r>
        <w:lastRenderedPageBreak/>
        <w:t xml:space="preserve">of the </w:t>
      </w:r>
      <w:r>
        <w:rPr>
          <w:rStyle w:val="Italic"/>
        </w:rPr>
        <w:t>Public Governance, Performance and Accountability Act 2013</w:t>
      </w:r>
      <w:r>
        <w:t xml:space="preserve"> (PGPA Act). The Audit Committee reviews and provides written advice on risk management to the Chief Executive Officer.</w:t>
      </w:r>
    </w:p>
    <w:p w:rsidR="008E273C" w:rsidRDefault="008E273C" w:rsidP="008E273C">
      <w:pPr>
        <w:pStyle w:val="Heading3"/>
      </w:pPr>
      <w:r>
        <w:t>Strategic governance committees</w:t>
      </w:r>
    </w:p>
    <w:p w:rsidR="008E273C" w:rsidRDefault="008E273C" w:rsidP="008E273C">
      <w:pPr>
        <w:pStyle w:val="BodyText"/>
        <w:rPr>
          <w:spacing w:val="-4"/>
        </w:rPr>
      </w:pPr>
      <w:r>
        <w:rPr>
          <w:spacing w:val="-3"/>
        </w:rPr>
        <w:t xml:space="preserve">The agency’s strategic committees are fundamental to the way Services Australia ensures accountability in all aspects of executive management, decision making and strategic alignment. The committee structure comprises the Executive Committee, the Audit Committee, three sub-committees and two sub-groups. </w:t>
      </w:r>
      <w:r>
        <w:rPr>
          <w:spacing w:val="-4"/>
        </w:rPr>
        <w:t>The sub-committees provide advice and assurance to the Executive Committee.</w:t>
      </w:r>
    </w:p>
    <w:p w:rsidR="008E273C" w:rsidRDefault="008E273C" w:rsidP="008E273C">
      <w:pPr>
        <w:pStyle w:val="BodyText"/>
      </w:pPr>
      <w:r>
        <w:rPr>
          <w:spacing w:val="-5"/>
        </w:rPr>
        <w:t>The roles and functions of these committees and sub-committees are set out below.</w:t>
      </w:r>
    </w:p>
    <w:p w:rsidR="008E273C" w:rsidRDefault="00AC4959" w:rsidP="008E273C">
      <w:pPr>
        <w:pStyle w:val="BodyText"/>
        <w:rPr>
          <w:spacing w:val="-2"/>
        </w:rPr>
      </w:pPr>
      <w:r w:rsidRPr="00AC4959">
        <w:t>Executive committee</w:t>
      </w:r>
      <w:r w:rsidR="008E273C">
        <w:rPr>
          <w:spacing w:val="-2"/>
        </w:rPr>
        <w:t>—chaired by the Chief Executive Officer, the Executive Committee is the agency’s most senior governance committee. The Executive Committee guides the agency’s overall strategic direction, priorities, management and performance. The committee also oversees the agency’s financial position by allocating resources, monitoring performance and risks, and ensuring compliance with accountability and regulatory requirements are met.</w:t>
      </w:r>
    </w:p>
    <w:p w:rsidR="008E273C" w:rsidRDefault="00AC4959" w:rsidP="008E273C">
      <w:pPr>
        <w:pStyle w:val="BodyText"/>
      </w:pPr>
      <w:r w:rsidRPr="00AC4959">
        <w:t>Implementation committee</w:t>
      </w:r>
      <w:r w:rsidR="008E273C">
        <w:t xml:space="preserve">—provides oversight and direction to the agency’s programs and projects. It reports to the Executive Committee. </w:t>
      </w:r>
    </w:p>
    <w:p w:rsidR="008E273C" w:rsidRDefault="008E273C" w:rsidP="008E273C">
      <w:pPr>
        <w:pStyle w:val="BodyText"/>
        <w:ind w:left="283"/>
      </w:pPr>
      <w:r w:rsidRPr="00AC4959">
        <w:t>Strategic Data and Analytics Sub-Group</w:t>
      </w:r>
      <w:r>
        <w:t xml:space="preserve">—provides advice to the Executive Committee, through the Implementation Committee, to ensure the enterprise data and analytics investment portfolio is transparent, strategically managed and aligned to the priorities of the agency and government. </w:t>
      </w:r>
    </w:p>
    <w:p w:rsidR="008E273C" w:rsidRDefault="00AC4959" w:rsidP="008E273C">
      <w:pPr>
        <w:pStyle w:val="BodyText"/>
        <w:rPr>
          <w:spacing w:val="-2"/>
        </w:rPr>
      </w:pPr>
      <w:r w:rsidRPr="00AC4959">
        <w:t>Service delivery committee</w:t>
      </w:r>
      <w:r w:rsidR="008E273C">
        <w:t xml:space="preserve">—provides advice and assurance to the Executive </w:t>
      </w:r>
      <w:r w:rsidR="008E273C">
        <w:rPr>
          <w:spacing w:val="-2"/>
        </w:rPr>
        <w:t xml:space="preserve">Committee that the agency’s service delivery is achieving government outcomes. </w:t>
      </w:r>
    </w:p>
    <w:p w:rsidR="008E273C" w:rsidRDefault="008E273C" w:rsidP="00AC4959">
      <w:pPr>
        <w:pStyle w:val="BodyText"/>
      </w:pPr>
      <w:r>
        <w:rPr>
          <w:rStyle w:val="Bold"/>
        </w:rPr>
        <w:t>People Committee</w:t>
      </w:r>
      <w:r>
        <w:t xml:space="preserve">—provides advice and assurance to the Executive Committee on all agency workforce and people matters, including average staffing level, to ensure the agency can deliver government priorities and outcomes. </w:t>
      </w:r>
    </w:p>
    <w:p w:rsidR="008E273C" w:rsidRDefault="008E273C" w:rsidP="008E273C">
      <w:pPr>
        <w:pStyle w:val="BodyText"/>
        <w:ind w:left="283"/>
      </w:pPr>
      <w:r w:rsidRPr="00AC4959">
        <w:t>Work Health and Safety Sub-Group</w:t>
      </w:r>
      <w:r>
        <w:t xml:space="preserve">—provides advice to the Executive Committee, through the People Committee, in relation to managing identified health and safety risks. </w:t>
      </w:r>
    </w:p>
    <w:p w:rsidR="008E273C" w:rsidRDefault="00AC4959" w:rsidP="008E273C">
      <w:pPr>
        <w:pStyle w:val="BodyText"/>
      </w:pPr>
      <w:r w:rsidRPr="00AC4959">
        <w:t>Audit committee</w:t>
      </w:r>
      <w:r w:rsidR="008E273C">
        <w:t>—reports directly to the Chief Executive Officer. It has an independent chair and the majority of its members are not officials of the agency. The committee’s functions include reviewing and giving independent advice on the appropriateness of the agency’s financial and performance reporting, as well as systems of internal control and risk oversight.</w:t>
      </w:r>
    </w:p>
    <w:p w:rsidR="008E273C" w:rsidRDefault="008E273C" w:rsidP="008E273C">
      <w:pPr>
        <w:pStyle w:val="BodyText"/>
      </w:pPr>
      <w:r>
        <w:t xml:space="preserve">The Audit Committee includes an independent chair, three independent members, and two members from within the agency with relevant qualifications, knowledge, skills and experience to advise the agency’s Accountable Authority and carry out the functions of the Audit Committee, as outlined in the Audit Committee Charter. The Audit Committee Charter is available at </w:t>
      </w:r>
      <w:hyperlink r:id="rId7" w:history="1">
        <w:r w:rsidR="00772358" w:rsidRPr="00772358">
          <w:rPr>
            <w:rStyle w:val="Hyperlink"/>
            <w:b/>
            <w:color w:val="auto"/>
            <w:u w:val="none"/>
          </w:rPr>
          <w:t>https://www.servicesaustralia.gov.au/organisations/about-us/corporate-publications-and-resources/audit-and-risk-committee-charter</w:t>
        </w:r>
      </w:hyperlink>
    </w:p>
    <w:p w:rsidR="008E273C" w:rsidRDefault="008E273C" w:rsidP="008E273C">
      <w:pPr>
        <w:pStyle w:val="BodyText"/>
      </w:pPr>
      <w:r>
        <w:rPr>
          <w:spacing w:val="-2"/>
        </w:rPr>
        <w:t>The Chief Finan</w:t>
      </w:r>
      <w:bookmarkStart w:id="0" w:name="_GoBack"/>
      <w:bookmarkEnd w:id="0"/>
      <w:r>
        <w:rPr>
          <w:spacing w:val="-2"/>
        </w:rPr>
        <w:t xml:space="preserve">cial Officer, General Manager Governance, Audit and Risk, National Manager Agency Strategy and Secretariat, and Australian National Audit Office representatives also attend Audit Committee meetings as observers. </w:t>
      </w:r>
      <w:r>
        <w:t xml:space="preserve"> </w:t>
      </w:r>
    </w:p>
    <w:p w:rsidR="008E273C" w:rsidRDefault="008E273C" w:rsidP="008E273C">
      <w:pPr>
        <w:pStyle w:val="BodyText"/>
      </w:pPr>
      <w:r>
        <w:t xml:space="preserve">Table 42 provides details of Audit Committee independent members who at various times during the year sat on the committee. It also details the Services Australia committee members during the year. </w:t>
      </w:r>
    </w:p>
    <w:p w:rsidR="008E273C" w:rsidRPr="0033237E" w:rsidRDefault="0033237E" w:rsidP="0033237E">
      <w:pPr>
        <w:pStyle w:val="BodyText"/>
        <w:rPr>
          <w:b/>
        </w:rPr>
      </w:pPr>
      <w:r w:rsidRPr="0033237E">
        <w:rPr>
          <w:b/>
        </w:rPr>
        <w:lastRenderedPageBreak/>
        <w:t>Table 42:</w:t>
      </w:r>
      <w:r w:rsidR="008E273C" w:rsidRPr="0033237E">
        <w:rPr>
          <w:b/>
        </w:rPr>
        <w:t xml:space="preserve"> Audit Committee members 2019–20</w:t>
      </w:r>
    </w:p>
    <w:tbl>
      <w:tblPr>
        <w:tblStyle w:val="TableGrid"/>
        <w:tblW w:w="5000" w:type="pct"/>
        <w:tblLook w:val="0000" w:firstRow="0" w:lastRow="0" w:firstColumn="0" w:lastColumn="0" w:noHBand="0" w:noVBand="0"/>
        <w:tblCaption w:val="Table 42: Audit Committee members 2019–20"/>
        <w:tblDescription w:val="Table 42: Audit Committee members 2019–20"/>
      </w:tblPr>
      <w:tblGrid>
        <w:gridCol w:w="7031"/>
        <w:gridCol w:w="1857"/>
        <w:gridCol w:w="2208"/>
      </w:tblGrid>
      <w:tr w:rsidR="008E273C" w:rsidTr="0033237E">
        <w:trPr>
          <w:trHeight w:val="376"/>
          <w:tblHeader/>
        </w:trPr>
        <w:tc>
          <w:tcPr>
            <w:tcW w:w="3168" w:type="pct"/>
          </w:tcPr>
          <w:p w:rsidR="008E273C" w:rsidRPr="0033237E" w:rsidRDefault="008E273C" w:rsidP="0033237E">
            <w:pPr>
              <w:pStyle w:val="BodyText"/>
              <w:rPr>
                <w:b/>
              </w:rPr>
            </w:pPr>
            <w:r w:rsidRPr="0033237E">
              <w:rPr>
                <w:b/>
              </w:rPr>
              <w:t>Member name: qualifications, knowledge, skills or experience</w:t>
            </w:r>
          </w:p>
        </w:tc>
        <w:tc>
          <w:tcPr>
            <w:tcW w:w="837" w:type="pct"/>
          </w:tcPr>
          <w:p w:rsidR="008E273C" w:rsidRPr="0033237E" w:rsidRDefault="008E273C" w:rsidP="0033237E">
            <w:pPr>
              <w:pStyle w:val="BodyText"/>
              <w:rPr>
                <w:b/>
              </w:rPr>
            </w:pPr>
            <w:r w:rsidRPr="0033237E">
              <w:rPr>
                <w:b/>
              </w:rPr>
              <w:t xml:space="preserve">Number of meetings attended </w:t>
            </w:r>
          </w:p>
        </w:tc>
        <w:tc>
          <w:tcPr>
            <w:tcW w:w="995" w:type="pct"/>
          </w:tcPr>
          <w:p w:rsidR="008E273C" w:rsidRPr="0033237E" w:rsidRDefault="008E273C" w:rsidP="0033237E">
            <w:pPr>
              <w:pStyle w:val="BodyText"/>
              <w:rPr>
                <w:b/>
              </w:rPr>
            </w:pPr>
            <w:r w:rsidRPr="0033237E">
              <w:rPr>
                <w:b/>
              </w:rPr>
              <w:t>Maximum annual remuneration</w:t>
            </w:r>
          </w:p>
          <w:p w:rsidR="008E273C" w:rsidRPr="0033237E" w:rsidRDefault="008E273C" w:rsidP="0033237E">
            <w:pPr>
              <w:pStyle w:val="BodyText"/>
              <w:rPr>
                <w:b/>
              </w:rPr>
            </w:pPr>
            <w:r w:rsidRPr="0033237E">
              <w:rPr>
                <w:b/>
              </w:rPr>
              <w:t>$</w:t>
            </w:r>
            <w:r w:rsidR="0033237E">
              <w:rPr>
                <w:b/>
              </w:rPr>
              <w:t xml:space="preserve"> </w:t>
            </w:r>
            <w:r w:rsidRPr="0033237E">
              <w:rPr>
                <w:b/>
              </w:rPr>
              <w:t>(excluding GST)</w:t>
            </w:r>
          </w:p>
        </w:tc>
      </w:tr>
      <w:tr w:rsidR="008E273C" w:rsidTr="0033237E">
        <w:trPr>
          <w:trHeight w:val="60"/>
        </w:trPr>
        <w:tc>
          <w:tcPr>
            <w:tcW w:w="3168" w:type="pct"/>
          </w:tcPr>
          <w:p w:rsidR="008E273C" w:rsidRDefault="00AC4959" w:rsidP="0033237E">
            <w:pPr>
              <w:pStyle w:val="BodyText"/>
            </w:pPr>
            <w:r>
              <w:rPr>
                <w:rStyle w:val="Bold"/>
              </w:rPr>
              <w:t xml:space="preserve">Jennifer </w:t>
            </w:r>
            <w:r w:rsidR="0033237E">
              <w:rPr>
                <w:rStyle w:val="Bold"/>
              </w:rPr>
              <w:t>C</w:t>
            </w:r>
            <w:r>
              <w:rPr>
                <w:rStyle w:val="Bold"/>
              </w:rPr>
              <w:t>lark (chair)</w:t>
            </w:r>
          </w:p>
          <w:p w:rsidR="008E273C" w:rsidRDefault="008E273C" w:rsidP="0033237E">
            <w:pPr>
              <w:pStyle w:val="BodyText"/>
            </w:pPr>
            <w:r>
              <w:t>Ms Clark has an extensive background in business, finance and governance through a career as an investment banker and as a non-executive director.</w:t>
            </w:r>
          </w:p>
          <w:p w:rsidR="008E273C" w:rsidRDefault="008E273C" w:rsidP="0033237E">
            <w:pPr>
              <w:pStyle w:val="BodyText"/>
            </w:pPr>
            <w:r>
              <w:rPr>
                <w:spacing w:val="-2"/>
              </w:rPr>
              <w:t xml:space="preserve">Ms Clark is an independent board director and she has been the chair or member of over 20 audit, risk and finance committees in the Australian Government and private sectors over the past 30 years. Ms Clark is a Fellow of the Australian Institute of Company Directors and has substantial experience in financial and performance reporting, audit and risk management. </w:t>
            </w:r>
          </w:p>
        </w:tc>
        <w:tc>
          <w:tcPr>
            <w:tcW w:w="837" w:type="pct"/>
          </w:tcPr>
          <w:p w:rsidR="008E273C" w:rsidRDefault="008E273C" w:rsidP="0033237E">
            <w:pPr>
              <w:pStyle w:val="BodyText"/>
            </w:pPr>
            <w:r>
              <w:t xml:space="preserve"> 9 </w:t>
            </w:r>
          </w:p>
        </w:tc>
        <w:tc>
          <w:tcPr>
            <w:tcW w:w="995" w:type="pct"/>
          </w:tcPr>
          <w:p w:rsidR="008E273C" w:rsidRDefault="008E273C" w:rsidP="0033237E">
            <w:pPr>
              <w:pStyle w:val="BodyText"/>
            </w:pPr>
            <w:r>
              <w:t> $109,253.76</w:t>
            </w:r>
          </w:p>
        </w:tc>
      </w:tr>
      <w:tr w:rsidR="008E273C" w:rsidTr="0033237E">
        <w:trPr>
          <w:trHeight w:val="60"/>
        </w:trPr>
        <w:tc>
          <w:tcPr>
            <w:tcW w:w="3168" w:type="pct"/>
          </w:tcPr>
          <w:p w:rsidR="008E273C" w:rsidRDefault="008E273C" w:rsidP="0033237E">
            <w:pPr>
              <w:pStyle w:val="BodyText"/>
            </w:pPr>
            <w:r>
              <w:rPr>
                <w:rStyle w:val="Bold"/>
              </w:rPr>
              <w:t xml:space="preserve">Carol Lilley (member, Chair of </w:t>
            </w:r>
            <w:r>
              <w:rPr>
                <w:rStyle w:val="Bold"/>
                <w:spacing w:val="-4"/>
              </w:rPr>
              <w:t>Financial Statement Sub-Committee)</w:t>
            </w:r>
          </w:p>
          <w:p w:rsidR="008E273C" w:rsidRDefault="008E273C" w:rsidP="0033237E">
            <w:pPr>
              <w:pStyle w:val="BodyText"/>
            </w:pPr>
            <w:r>
              <w:t xml:space="preserve">Ms Lilley is an independent board director and chair or member of a number of </w:t>
            </w:r>
            <w:r>
              <w:rPr>
                <w:spacing w:val="-4"/>
              </w:rPr>
              <w:t xml:space="preserve">Australian Government audit committees. She was a partner at PricewaterhouseCoopers </w:t>
            </w:r>
            <w:r>
              <w:t xml:space="preserve">and has over 20 years’ experience in financial statement audit, internal audit, and project and risk </w:t>
            </w:r>
            <w:r>
              <w:rPr>
                <w:spacing w:val="-4"/>
              </w:rPr>
              <w:t xml:space="preserve">management, with a particular </w:t>
            </w:r>
            <w:r>
              <w:t>focus on government.</w:t>
            </w:r>
          </w:p>
          <w:p w:rsidR="008E273C" w:rsidRDefault="008E273C" w:rsidP="0033237E">
            <w:pPr>
              <w:pStyle w:val="BodyText"/>
            </w:pPr>
            <w:r>
              <w:rPr>
                <w:spacing w:val="-4"/>
              </w:rPr>
              <w:t xml:space="preserve">Ms Lilley holds a Bachelor of Commerce from the University of Western Australia. She is a graduate of the Australian Institute of Company Directors, </w:t>
            </w:r>
            <w:r>
              <w:t>a Fellow of Chartered Accountants Australia and New Zealand, a certified internal auditor, an</w:t>
            </w:r>
            <w:r>
              <w:rPr>
                <w:spacing w:val="-6"/>
              </w:rPr>
              <w:t>d was a registered company auditor.</w:t>
            </w:r>
          </w:p>
        </w:tc>
        <w:tc>
          <w:tcPr>
            <w:tcW w:w="837" w:type="pct"/>
          </w:tcPr>
          <w:p w:rsidR="008E273C" w:rsidRDefault="008E273C" w:rsidP="0033237E">
            <w:pPr>
              <w:pStyle w:val="BodyText"/>
            </w:pPr>
            <w:r>
              <w:t>9</w:t>
            </w:r>
          </w:p>
        </w:tc>
        <w:tc>
          <w:tcPr>
            <w:tcW w:w="995" w:type="pct"/>
          </w:tcPr>
          <w:p w:rsidR="008E273C" w:rsidRDefault="008E273C" w:rsidP="0033237E">
            <w:pPr>
              <w:pStyle w:val="BodyText"/>
            </w:pPr>
            <w:r>
              <w:t>$56,625.00</w:t>
            </w:r>
          </w:p>
        </w:tc>
      </w:tr>
      <w:tr w:rsidR="008E273C" w:rsidTr="0033237E">
        <w:trPr>
          <w:trHeight w:val="60"/>
        </w:trPr>
        <w:tc>
          <w:tcPr>
            <w:tcW w:w="3168" w:type="pct"/>
          </w:tcPr>
          <w:p w:rsidR="008E273C" w:rsidRDefault="008E273C" w:rsidP="0033237E">
            <w:pPr>
              <w:pStyle w:val="BodyText"/>
              <w:rPr>
                <w:spacing w:val="-4"/>
              </w:rPr>
            </w:pPr>
            <w:r>
              <w:rPr>
                <w:rStyle w:val="Bold"/>
              </w:rPr>
              <w:t>Andrew Dix (member)</w:t>
            </w:r>
          </w:p>
          <w:p w:rsidR="008E273C" w:rsidRDefault="008E273C" w:rsidP="0033237E">
            <w:pPr>
              <w:pStyle w:val="BodyText"/>
              <w:rPr>
                <w:spacing w:val="-4"/>
              </w:rPr>
            </w:pPr>
            <w:r>
              <w:rPr>
                <w:spacing w:val="-4"/>
              </w:rPr>
              <w:t xml:space="preserve">Mr Dix holds the degree of Bachelor of Commerce, majoring in Accounting, Economics, and Commercial Law. Mr Dix was a board member of the Institute of Internal Auditors in Australia from 2005 to 2012, and served as National President from 2009 to 2011. Mr Dix retired from Telstra Corporation as the Executive Director responsible for Risk Management and Internal Audit. He is now on the boards of the University of Technology, Western Leisure Services Pty Ltd and the Victorian Farmers Federation. He is also the Chair of the Bureau of Meteorology Audit and Risk Committee. </w:t>
            </w:r>
          </w:p>
          <w:p w:rsidR="008E273C" w:rsidRDefault="008E273C" w:rsidP="0033237E">
            <w:pPr>
              <w:pStyle w:val="BodyText"/>
            </w:pPr>
            <w:r>
              <w:rPr>
                <w:spacing w:val="-4"/>
              </w:rPr>
              <w:lastRenderedPageBreak/>
              <w:t>Mr Dix</w:t>
            </w:r>
            <w:r>
              <w:t xml:space="preserve"> is a Fellow of the Institute of Chartered Accountants, a Certified Member of the Institute of Internal Auditors, and a Graduate Member of the Australian Institute of Company Directors.</w:t>
            </w:r>
          </w:p>
        </w:tc>
        <w:tc>
          <w:tcPr>
            <w:tcW w:w="837" w:type="pct"/>
          </w:tcPr>
          <w:p w:rsidR="008E273C" w:rsidRDefault="008E273C" w:rsidP="0033237E">
            <w:pPr>
              <w:pStyle w:val="BodyText"/>
            </w:pPr>
            <w:r>
              <w:lastRenderedPageBreak/>
              <w:t xml:space="preserve">9 </w:t>
            </w:r>
          </w:p>
        </w:tc>
        <w:tc>
          <w:tcPr>
            <w:tcW w:w="995" w:type="pct"/>
          </w:tcPr>
          <w:p w:rsidR="008E273C" w:rsidRDefault="008E273C" w:rsidP="0033237E">
            <w:pPr>
              <w:pStyle w:val="BodyText"/>
            </w:pPr>
            <w:r>
              <w:t xml:space="preserve">$61,478.71 </w:t>
            </w:r>
          </w:p>
        </w:tc>
      </w:tr>
      <w:tr w:rsidR="008E273C" w:rsidTr="0033237E">
        <w:trPr>
          <w:trHeight w:val="60"/>
        </w:trPr>
        <w:tc>
          <w:tcPr>
            <w:tcW w:w="3168" w:type="pct"/>
          </w:tcPr>
          <w:p w:rsidR="008E273C" w:rsidRDefault="008E273C" w:rsidP="0033237E">
            <w:pPr>
              <w:pStyle w:val="BodyText"/>
              <w:rPr>
                <w:spacing w:val="-2"/>
              </w:rPr>
            </w:pPr>
            <w:proofErr w:type="spellStart"/>
            <w:r>
              <w:rPr>
                <w:rStyle w:val="Bold"/>
              </w:rPr>
              <w:t>Shireane</w:t>
            </w:r>
            <w:proofErr w:type="spellEnd"/>
            <w:r>
              <w:rPr>
                <w:rStyle w:val="Bold"/>
              </w:rPr>
              <w:t xml:space="preserve"> </w:t>
            </w:r>
            <w:r w:rsidR="0033237E">
              <w:rPr>
                <w:rStyle w:val="Bold"/>
              </w:rPr>
              <w:t>McK</w:t>
            </w:r>
            <w:r w:rsidR="00AC4959">
              <w:rPr>
                <w:rStyle w:val="Bold"/>
              </w:rPr>
              <w:t xml:space="preserve">innie </w:t>
            </w:r>
            <w:r>
              <w:rPr>
                <w:rStyle w:val="Bold"/>
              </w:rPr>
              <w:t>PSM (member)</w:t>
            </w:r>
          </w:p>
          <w:p w:rsidR="008E273C" w:rsidRDefault="008E273C" w:rsidP="0033237E">
            <w:pPr>
              <w:pStyle w:val="BodyText"/>
              <w:rPr>
                <w:spacing w:val="-2"/>
              </w:rPr>
            </w:pPr>
            <w:r>
              <w:rPr>
                <w:spacing w:val="-2"/>
              </w:rPr>
              <w:t>Ms McKinnie has extensive experience in acquisition and sustainment of defence systems and governance of complex enterprises gained through many years of experience in senior executive leadership positions. She holds a number of governance positions in the public and private sectors as a Board Chair, Director and Audit Committee member.</w:t>
            </w:r>
          </w:p>
          <w:p w:rsidR="008E273C" w:rsidRDefault="008E273C" w:rsidP="0033237E">
            <w:pPr>
              <w:pStyle w:val="BodyText"/>
            </w:pPr>
            <w:r>
              <w:t>She was awarded the Public Service Medal for outstanding achievement in the field of engineering and defence acquisition, and an Honorary Fellowship of Engineers Australia for conspicuous service to the engineering profession. Ms McKinnie is a member of the Australian Institute of Company Directors.</w:t>
            </w:r>
          </w:p>
        </w:tc>
        <w:tc>
          <w:tcPr>
            <w:tcW w:w="837" w:type="pct"/>
          </w:tcPr>
          <w:p w:rsidR="008E273C" w:rsidRDefault="008E273C" w:rsidP="0033237E">
            <w:pPr>
              <w:pStyle w:val="BodyText"/>
            </w:pPr>
            <w:r>
              <w:t xml:space="preserve">9 </w:t>
            </w:r>
          </w:p>
        </w:tc>
        <w:tc>
          <w:tcPr>
            <w:tcW w:w="995" w:type="pct"/>
          </w:tcPr>
          <w:p w:rsidR="008E273C" w:rsidRDefault="008E273C" w:rsidP="0033237E">
            <w:pPr>
              <w:pStyle w:val="BodyText"/>
            </w:pPr>
            <w:r>
              <w:t>$56,625.00</w:t>
            </w:r>
          </w:p>
        </w:tc>
      </w:tr>
      <w:tr w:rsidR="008E273C" w:rsidTr="0033237E">
        <w:trPr>
          <w:trHeight w:val="300"/>
        </w:trPr>
        <w:tc>
          <w:tcPr>
            <w:tcW w:w="5000" w:type="pct"/>
            <w:gridSpan w:val="3"/>
          </w:tcPr>
          <w:p w:rsidR="008E273C" w:rsidRDefault="008E273C" w:rsidP="0033237E">
            <w:pPr>
              <w:pStyle w:val="BodyText"/>
            </w:pPr>
            <w:r>
              <w:rPr>
                <w:rStyle w:val="Bold"/>
              </w:rPr>
              <w:t>Services Australia committee members</w:t>
            </w:r>
          </w:p>
        </w:tc>
      </w:tr>
      <w:tr w:rsidR="008E273C" w:rsidTr="0033237E">
        <w:trPr>
          <w:trHeight w:val="300"/>
        </w:trPr>
        <w:tc>
          <w:tcPr>
            <w:tcW w:w="3168" w:type="pct"/>
          </w:tcPr>
          <w:p w:rsidR="008E273C" w:rsidRDefault="00AC4959" w:rsidP="0033237E">
            <w:pPr>
              <w:pStyle w:val="BodyText"/>
            </w:pPr>
            <w:r>
              <w:rPr>
                <w:rStyle w:val="Bold"/>
              </w:rPr>
              <w:t xml:space="preserve">Amanda </w:t>
            </w:r>
            <w:r w:rsidR="0033237E">
              <w:rPr>
                <w:rStyle w:val="Bold"/>
              </w:rPr>
              <w:t>C</w:t>
            </w:r>
            <w:r>
              <w:rPr>
                <w:rStyle w:val="Bold"/>
              </w:rPr>
              <w:t xml:space="preserve">attermole </w:t>
            </w:r>
            <w:r w:rsidR="0033237E">
              <w:rPr>
                <w:rStyle w:val="Bold"/>
              </w:rPr>
              <w:t>PSM</w:t>
            </w:r>
          </w:p>
          <w:p w:rsidR="008E273C" w:rsidRDefault="008E273C" w:rsidP="0033237E">
            <w:pPr>
              <w:pStyle w:val="BodyText"/>
            </w:pPr>
            <w:r>
              <w:t xml:space="preserve">Chief Operating Officer, Amanda Cattermole is responsible for the agency’s governance, ministerial and parliamentary services and corporate functions including finance, human resources, audit, legal, property and procurement. Ms Cattermole was appointed as the Chief Operating Officer on 27 March 2020.  </w:t>
            </w:r>
          </w:p>
        </w:tc>
        <w:tc>
          <w:tcPr>
            <w:tcW w:w="837" w:type="pct"/>
          </w:tcPr>
          <w:p w:rsidR="008E273C" w:rsidRDefault="008E273C" w:rsidP="0033237E">
            <w:pPr>
              <w:pStyle w:val="BodyText"/>
            </w:pPr>
            <w:r>
              <w:t>1</w:t>
            </w:r>
          </w:p>
          <w:p w:rsidR="008E273C" w:rsidRDefault="008E273C" w:rsidP="0033237E">
            <w:pPr>
              <w:pStyle w:val="BodyText"/>
            </w:pPr>
          </w:p>
        </w:tc>
        <w:tc>
          <w:tcPr>
            <w:tcW w:w="995" w:type="pct"/>
          </w:tcPr>
          <w:p w:rsidR="008E273C" w:rsidRDefault="008E273C" w:rsidP="0033237E">
            <w:pPr>
              <w:pStyle w:val="BodyText"/>
            </w:pPr>
            <w:r>
              <w:t>0</w:t>
            </w:r>
            <w:r>
              <w:rPr>
                <w:vertAlign w:val="superscript"/>
              </w:rPr>
              <w:t>(a)</w:t>
            </w:r>
          </w:p>
        </w:tc>
      </w:tr>
      <w:tr w:rsidR="008E273C" w:rsidTr="0033237E">
        <w:trPr>
          <w:trHeight w:val="300"/>
        </w:trPr>
        <w:tc>
          <w:tcPr>
            <w:tcW w:w="3168" w:type="pct"/>
          </w:tcPr>
          <w:p w:rsidR="008E273C" w:rsidRDefault="00AC4959" w:rsidP="0033237E">
            <w:pPr>
              <w:pStyle w:val="BodyText"/>
            </w:pPr>
            <w:r>
              <w:rPr>
                <w:rStyle w:val="Bold"/>
              </w:rPr>
              <w:t xml:space="preserve">Paul </w:t>
            </w:r>
            <w:r w:rsidR="0033237E">
              <w:rPr>
                <w:rStyle w:val="Bold"/>
              </w:rPr>
              <w:t>C</w:t>
            </w:r>
            <w:r>
              <w:rPr>
                <w:rStyle w:val="Bold"/>
              </w:rPr>
              <w:t>reech</w:t>
            </w:r>
          </w:p>
          <w:p w:rsidR="008E273C" w:rsidRDefault="008E273C" w:rsidP="0033237E">
            <w:pPr>
              <w:pStyle w:val="BodyText"/>
            </w:pPr>
            <w:r>
              <w:t xml:space="preserve">Paul Creech is responsible for the agency’s health program and payments, including aged care, Medicare, the Pharmaceutical Benefits Scheme, private health insurance, the Australian Immunisation Register, and the Practice Incentives Program, as well as a range of specialty health programs. </w:t>
            </w:r>
          </w:p>
        </w:tc>
        <w:tc>
          <w:tcPr>
            <w:tcW w:w="837" w:type="pct"/>
          </w:tcPr>
          <w:p w:rsidR="008E273C" w:rsidRDefault="008E273C" w:rsidP="0033237E">
            <w:pPr>
              <w:pStyle w:val="BodyText"/>
            </w:pPr>
            <w:r>
              <w:t>9</w:t>
            </w:r>
          </w:p>
        </w:tc>
        <w:tc>
          <w:tcPr>
            <w:tcW w:w="995" w:type="pct"/>
          </w:tcPr>
          <w:p w:rsidR="008E273C" w:rsidRDefault="008E273C" w:rsidP="0033237E">
            <w:pPr>
              <w:pStyle w:val="BodyText"/>
            </w:pPr>
            <w:r>
              <w:t>0</w:t>
            </w:r>
            <w:r>
              <w:rPr>
                <w:vertAlign w:val="superscript"/>
              </w:rPr>
              <w:t>(a)</w:t>
            </w:r>
          </w:p>
        </w:tc>
      </w:tr>
      <w:tr w:rsidR="008E273C" w:rsidTr="0033237E">
        <w:trPr>
          <w:trHeight w:val="300"/>
        </w:trPr>
        <w:tc>
          <w:tcPr>
            <w:tcW w:w="5000" w:type="pct"/>
            <w:gridSpan w:val="3"/>
          </w:tcPr>
          <w:p w:rsidR="008E273C" w:rsidRDefault="008E273C" w:rsidP="0033237E">
            <w:pPr>
              <w:pStyle w:val="BodyText"/>
            </w:pPr>
            <w:r>
              <w:rPr>
                <w:rStyle w:val="Bold"/>
              </w:rPr>
              <w:t>Former Services Australia members</w:t>
            </w:r>
          </w:p>
        </w:tc>
      </w:tr>
      <w:tr w:rsidR="008E273C" w:rsidTr="0033237E">
        <w:trPr>
          <w:trHeight w:val="300"/>
        </w:trPr>
        <w:tc>
          <w:tcPr>
            <w:tcW w:w="3168" w:type="pct"/>
          </w:tcPr>
          <w:p w:rsidR="008E273C" w:rsidRDefault="008E273C" w:rsidP="0033237E">
            <w:pPr>
              <w:pStyle w:val="BodyText"/>
              <w:rPr>
                <w:spacing w:val="-2"/>
              </w:rPr>
            </w:pPr>
            <w:r>
              <w:rPr>
                <w:rStyle w:val="Bold"/>
              </w:rPr>
              <w:t>Rox</w:t>
            </w:r>
            <w:r w:rsidR="00AC4959">
              <w:rPr>
                <w:rStyle w:val="Bold"/>
              </w:rPr>
              <w:t xml:space="preserve">anne </w:t>
            </w:r>
            <w:r w:rsidR="0033237E">
              <w:rPr>
                <w:rStyle w:val="Bold"/>
              </w:rPr>
              <w:t>K</w:t>
            </w:r>
            <w:r w:rsidR="00AC4959">
              <w:rPr>
                <w:rStyle w:val="Bold"/>
              </w:rPr>
              <w:t xml:space="preserve">elley </w:t>
            </w:r>
            <w:r w:rsidR="0033237E">
              <w:rPr>
                <w:rStyle w:val="Bold"/>
              </w:rPr>
              <w:t>PSM GAICD</w:t>
            </w:r>
          </w:p>
          <w:p w:rsidR="008E273C" w:rsidRDefault="008E273C" w:rsidP="0033237E">
            <w:pPr>
              <w:pStyle w:val="BodyText"/>
            </w:pPr>
            <w:r>
              <w:rPr>
                <w:spacing w:val="-2"/>
              </w:rPr>
              <w:lastRenderedPageBreak/>
              <w:t>Roxanne Kelley is a highly qualified senior public servant having held numerous senior positions within various departments of the Australian Public Service, including the former Department of Human Services, the Department of Social Services, the Department of Defence, the former Australian Customs and Border Protection Service and Centrelink.</w:t>
            </w:r>
          </w:p>
        </w:tc>
        <w:tc>
          <w:tcPr>
            <w:tcW w:w="837" w:type="pct"/>
          </w:tcPr>
          <w:p w:rsidR="008E273C" w:rsidRDefault="008E273C" w:rsidP="0033237E">
            <w:pPr>
              <w:pStyle w:val="BodyText"/>
            </w:pPr>
            <w:r>
              <w:lastRenderedPageBreak/>
              <w:t>1</w:t>
            </w:r>
          </w:p>
        </w:tc>
        <w:tc>
          <w:tcPr>
            <w:tcW w:w="995" w:type="pct"/>
          </w:tcPr>
          <w:p w:rsidR="008E273C" w:rsidRDefault="008E273C" w:rsidP="0033237E">
            <w:pPr>
              <w:pStyle w:val="BodyText"/>
            </w:pPr>
            <w:r>
              <w:t>0</w:t>
            </w:r>
            <w:r>
              <w:rPr>
                <w:vertAlign w:val="superscript"/>
              </w:rPr>
              <w:t>(a)</w:t>
            </w:r>
          </w:p>
        </w:tc>
      </w:tr>
      <w:tr w:rsidR="008E273C" w:rsidTr="0033237E">
        <w:trPr>
          <w:trHeight w:val="300"/>
        </w:trPr>
        <w:tc>
          <w:tcPr>
            <w:tcW w:w="3168" w:type="pct"/>
          </w:tcPr>
          <w:p w:rsidR="008E273C" w:rsidRDefault="00AC4959" w:rsidP="0033237E">
            <w:pPr>
              <w:pStyle w:val="BodyText"/>
            </w:pPr>
            <w:r>
              <w:rPr>
                <w:rStyle w:val="Bold"/>
              </w:rPr>
              <w:t xml:space="preserve">Jennifer </w:t>
            </w:r>
            <w:proofErr w:type="spellStart"/>
            <w:r w:rsidR="0033237E">
              <w:rPr>
                <w:rStyle w:val="Bold"/>
              </w:rPr>
              <w:t>T</w:t>
            </w:r>
            <w:r>
              <w:rPr>
                <w:rStyle w:val="Bold"/>
              </w:rPr>
              <w:t>eece</w:t>
            </w:r>
            <w:proofErr w:type="spellEnd"/>
          </w:p>
          <w:p w:rsidR="008E273C" w:rsidRDefault="008E273C" w:rsidP="0033237E">
            <w:pPr>
              <w:pStyle w:val="BodyText"/>
            </w:pPr>
            <w:r>
              <w:t xml:space="preserve">Ms </w:t>
            </w:r>
            <w:proofErr w:type="spellStart"/>
            <w:r>
              <w:t>Teece</w:t>
            </w:r>
            <w:proofErr w:type="spellEnd"/>
            <w:r>
              <w:t xml:space="preserve"> has widespread experience within the Australian Public Service as an employee since 1978. Throughout this period Ms </w:t>
            </w:r>
            <w:proofErr w:type="spellStart"/>
            <w:r>
              <w:t>Teece</w:t>
            </w:r>
            <w:proofErr w:type="spellEnd"/>
            <w:r>
              <w:t xml:space="preserve"> held numerous senior positions across various agencies and departments including the former Department of Social Security, Centrelink, the former Department of Human Services, the Department of Parliamentary Services and Services Australia. </w:t>
            </w:r>
          </w:p>
        </w:tc>
        <w:tc>
          <w:tcPr>
            <w:tcW w:w="837" w:type="pct"/>
          </w:tcPr>
          <w:p w:rsidR="008E273C" w:rsidRDefault="008E273C" w:rsidP="0033237E">
            <w:pPr>
              <w:pStyle w:val="BodyText"/>
            </w:pPr>
            <w:r>
              <w:t>5</w:t>
            </w:r>
          </w:p>
        </w:tc>
        <w:tc>
          <w:tcPr>
            <w:tcW w:w="995" w:type="pct"/>
          </w:tcPr>
          <w:p w:rsidR="008E273C" w:rsidRDefault="008E273C" w:rsidP="0033237E">
            <w:pPr>
              <w:pStyle w:val="BodyText"/>
            </w:pPr>
            <w:r>
              <w:t>0</w:t>
            </w:r>
            <w:r>
              <w:rPr>
                <w:vertAlign w:val="superscript"/>
              </w:rPr>
              <w:t>(a)</w:t>
            </w:r>
          </w:p>
        </w:tc>
      </w:tr>
    </w:tbl>
    <w:p w:rsidR="008E273C" w:rsidRDefault="0033237E" w:rsidP="0033237E">
      <w:pPr>
        <w:pStyle w:val="BodyText"/>
      </w:pPr>
      <w:r>
        <w:t xml:space="preserve">(a) </w:t>
      </w:r>
      <w:r w:rsidR="008E273C">
        <w:t>Australian public servants are not paid as Audit Committee members.</w:t>
      </w:r>
    </w:p>
    <w:p w:rsidR="008E273C" w:rsidRDefault="00AC4959" w:rsidP="008E273C">
      <w:pPr>
        <w:pStyle w:val="BodyText"/>
        <w:ind w:left="283"/>
      </w:pPr>
      <w:r w:rsidRPr="00AC4959">
        <w:t>Financial statements sub-committee</w:t>
      </w:r>
      <w:r w:rsidR="008E273C">
        <w:t xml:space="preserve">—reports directly to the Audit Committee. It provides advice and assists the Audit Committee by overseeing the preparation of the Annual Financial Statements and the Certificate of Compliance. It also considers financial matters referred by the Audit Committee. </w:t>
      </w:r>
    </w:p>
    <w:p w:rsidR="008E273C" w:rsidRDefault="008E273C" w:rsidP="008E273C">
      <w:pPr>
        <w:pStyle w:val="Heading3"/>
      </w:pPr>
      <w:r>
        <w:t>Fraud control</w:t>
      </w:r>
    </w:p>
    <w:p w:rsidR="008E273C" w:rsidRDefault="008E273C" w:rsidP="008E273C">
      <w:pPr>
        <w:pStyle w:val="BodyText"/>
      </w:pPr>
      <w:r>
        <w:t xml:space="preserve">In accordance with section 10 of the </w:t>
      </w:r>
      <w:r>
        <w:rPr>
          <w:rStyle w:val="Italic"/>
        </w:rPr>
        <w:t>Public Governance, Performance and Accountability Rule 2014</w:t>
      </w:r>
      <w:r>
        <w:t>, Services Australia has prepared fraud risk assessments and fraud control plans, and we have taken all reasonable action to prevent, detect and respond to fraud.</w:t>
      </w:r>
    </w:p>
    <w:p w:rsidR="008E273C" w:rsidRDefault="008E273C" w:rsidP="008E273C">
      <w:pPr>
        <w:pStyle w:val="BodyText"/>
      </w:pPr>
      <w:r>
        <w:t xml:space="preserve">For more information about fraud control see </w:t>
      </w:r>
      <w:r>
        <w:rPr>
          <w:rStyle w:val="Italic"/>
        </w:rPr>
        <w:t>Compliance and business integrity</w:t>
      </w:r>
      <w:r>
        <w:t xml:space="preserve"> on page 38.</w:t>
      </w:r>
    </w:p>
    <w:p w:rsidR="008E273C" w:rsidRDefault="008E273C" w:rsidP="008E273C">
      <w:pPr>
        <w:pStyle w:val="Heading3"/>
      </w:pPr>
      <w:r>
        <w:t xml:space="preserve">Public tip-offs </w:t>
      </w:r>
    </w:p>
    <w:p w:rsidR="008E273C" w:rsidRDefault="008E273C" w:rsidP="008E273C">
      <w:pPr>
        <w:pStyle w:val="BodyText"/>
      </w:pPr>
      <w:r>
        <w:t xml:space="preserve">Tip-offs about suspected public health, welfare and child support fraud are integral to maintaining compliance integrity and contribute to community confidence in our social support system. </w:t>
      </w:r>
    </w:p>
    <w:p w:rsidR="008E273C" w:rsidRDefault="008E273C" w:rsidP="008E273C">
      <w:pPr>
        <w:pStyle w:val="BodyText"/>
      </w:pPr>
      <w:r>
        <w:t>Specialist staff assess all public tip-offs and work alongside our compliance and intelligence partners to identify emerging concerns.</w:t>
      </w:r>
    </w:p>
    <w:p w:rsidR="008E273C" w:rsidRDefault="008E273C" w:rsidP="00E42522">
      <w:pPr>
        <w:pStyle w:val="BodyText"/>
      </w:pPr>
      <w:r>
        <w:t>People can share tip-off information with Services Australia by:</w:t>
      </w:r>
    </w:p>
    <w:p w:rsidR="008E273C" w:rsidRDefault="008E273C" w:rsidP="00E42522">
      <w:pPr>
        <w:pStyle w:val="ListBullet"/>
      </w:pPr>
      <w:r>
        <w:t xml:space="preserve">visiting the Reporting Fraud page on our website </w:t>
      </w:r>
      <w:r w:rsidRPr="00BD07FC">
        <w:rPr>
          <w:rStyle w:val="BodyTextChar"/>
          <w:b/>
        </w:rPr>
        <w:t>servicesaustralia.gov.au</w:t>
      </w:r>
      <w:r>
        <w:t xml:space="preserve"> and filling out the online form, or</w:t>
      </w:r>
    </w:p>
    <w:p w:rsidR="008E273C" w:rsidRDefault="008E273C" w:rsidP="00E42522">
      <w:pPr>
        <w:pStyle w:val="ListBullet"/>
      </w:pPr>
      <w:proofErr w:type="gramStart"/>
      <w:r>
        <w:t>phoning</w:t>
      </w:r>
      <w:proofErr w:type="gramEnd"/>
      <w:r>
        <w:t xml:space="preserve"> the Australian Government Services Fraud Tip-off Line on </w:t>
      </w:r>
      <w:r w:rsidRPr="00BD07FC">
        <w:rPr>
          <w:rStyle w:val="BodyTextChar"/>
          <w:b/>
        </w:rPr>
        <w:t>131 524</w:t>
      </w:r>
      <w:r>
        <w:t>.</w:t>
      </w:r>
    </w:p>
    <w:p w:rsidR="008E273C" w:rsidRDefault="008E273C" w:rsidP="008E273C">
      <w:pPr>
        <w:pStyle w:val="BodyText"/>
      </w:pPr>
      <w:r>
        <w:lastRenderedPageBreak/>
        <w:t xml:space="preserve">In 2019–20 the agency received more than 22,300 tip-offs through the Australian Government Services Fraud Tip-off Line and more than 66,900 tip-offs from other sources. </w:t>
      </w:r>
    </w:p>
    <w:p w:rsidR="008E273C" w:rsidRDefault="008E273C" w:rsidP="008E273C">
      <w:pPr>
        <w:pStyle w:val="Heading3"/>
      </w:pPr>
      <w:r>
        <w:t>Purchasing</w:t>
      </w:r>
    </w:p>
    <w:p w:rsidR="008E273C" w:rsidRDefault="008E273C" w:rsidP="008E273C">
      <w:pPr>
        <w:pStyle w:val="BodyText"/>
      </w:pPr>
      <w:r>
        <w:t xml:space="preserve">Accountable Authority Instructions are an important element of the Services Australia control framework. They give practical effect to matters in the PGPA Act framework, including procurement and other key requirements for officials in the agency. We periodically review our instructions to ensure they remain aligned with the PGPA Act framework, other requirements, and reflect best practice. The most recent changes to the instructions took effect on 1 February 2020 to align with the establishment of Services Australia. </w:t>
      </w:r>
    </w:p>
    <w:p w:rsidR="008E273C" w:rsidRDefault="008E273C" w:rsidP="008E273C">
      <w:pPr>
        <w:pStyle w:val="Heading1"/>
      </w:pPr>
      <w:r>
        <w:t>4.2 External scrutiny</w:t>
      </w:r>
    </w:p>
    <w:p w:rsidR="008E273C" w:rsidRDefault="008E273C" w:rsidP="005D794B">
      <w:pPr>
        <w:pStyle w:val="BodyText"/>
      </w:pPr>
      <w:r>
        <w:t xml:space="preserve">Services Australia’s activities and operations are </w:t>
      </w:r>
      <w:r>
        <w:rPr>
          <w:spacing w:val="-10"/>
        </w:rPr>
        <w:t xml:space="preserve">subject to scrutiny from a number of external bodies, </w:t>
      </w:r>
      <w:r>
        <w:t xml:space="preserve">among them the Australian National Audit Office, various parliamentary committees, the courts and administrative tribunals, the Australian Information Commissioner, the Privacy Commissioner and the Commonwealth Ombudsman. </w:t>
      </w:r>
    </w:p>
    <w:p w:rsidR="008E273C" w:rsidRDefault="008E273C" w:rsidP="008E273C">
      <w:pPr>
        <w:pStyle w:val="Heading2"/>
      </w:pPr>
      <w:r>
        <w:t>Judicial decisions</w:t>
      </w:r>
    </w:p>
    <w:p w:rsidR="008E273C" w:rsidRDefault="008E273C" w:rsidP="008E273C">
      <w:pPr>
        <w:pStyle w:val="BodyText"/>
      </w:pPr>
      <w:r>
        <w:t>In 2019–20 there were no judicial decisions that had a significant effect on the operations of Services Australia. However, two actions filed in the Federal Court in 2019 have had a significant impact on Services Australia’s operations.</w:t>
      </w:r>
    </w:p>
    <w:p w:rsidR="008E273C" w:rsidRDefault="008E273C" w:rsidP="008E273C">
      <w:pPr>
        <w:pStyle w:val="BodyText"/>
      </w:pPr>
      <w:r>
        <w:rPr>
          <w:spacing w:val="-3"/>
        </w:rPr>
        <w:t xml:space="preserve">In </w:t>
      </w:r>
      <w:r>
        <w:rPr>
          <w:rStyle w:val="Italic"/>
          <w:spacing w:val="-3"/>
        </w:rPr>
        <w:t>Amato v Commonwealth of Australia</w:t>
      </w:r>
      <w:r>
        <w:rPr>
          <w:spacing w:val="-3"/>
        </w:rPr>
        <w:t xml:space="preserve"> (Federal Court of Australia, (VID611/2019)), </w:t>
      </w:r>
      <w:r>
        <w:rPr>
          <w:spacing w:val="-2"/>
        </w:rPr>
        <w:t xml:space="preserve">the Federal Court issued consent orders on 27 November 2019, which noted that the assumption underlying the use of apportioned fortnightly income based on Australian Taxation Office (ATO) data (‘income averaging’) was not capable of supporting a conclusion that a debt had arisen in the circumstances. </w:t>
      </w:r>
    </w:p>
    <w:p w:rsidR="008E273C" w:rsidRDefault="008E273C" w:rsidP="008E273C">
      <w:pPr>
        <w:pStyle w:val="BodyText"/>
      </w:pPr>
      <w:r>
        <w:t>On 20 November 2019 Gordon Legal commenced a class action against the Commonwealth as represented by Services Australia (</w:t>
      </w:r>
      <w:proofErr w:type="spellStart"/>
      <w:r>
        <w:rPr>
          <w:rStyle w:val="Italic"/>
        </w:rPr>
        <w:t>Prygodicz</w:t>
      </w:r>
      <w:proofErr w:type="spellEnd"/>
      <w:r>
        <w:rPr>
          <w:rStyle w:val="Italic"/>
        </w:rPr>
        <w:t xml:space="preserve"> v Commonwealth of Australia</w:t>
      </w:r>
      <w:r>
        <w:t>, (VID1252/2019). This matter is currently before the Federal Court.</w:t>
      </w:r>
    </w:p>
    <w:p w:rsidR="008E273C" w:rsidRDefault="008E273C" w:rsidP="008E273C">
      <w:pPr>
        <w:pStyle w:val="BodyText"/>
      </w:pPr>
      <w:r>
        <w:rPr>
          <w:spacing w:val="-2"/>
        </w:rPr>
        <w:t>Taking account of these court actions, on 18 November 2019 Services Australia implemented changes to its compliance programs so that it would no longer raise debts in sole reliance on apportioned ATO data. On 29 May 2020, the Government announced a decision to refund all repayments made on Income Compliance Program debts that were raised wholly or partially using income averaging of ATO data. The value of debt repayments to be refunded is estimated at $721 million.</w:t>
      </w:r>
    </w:p>
    <w:p w:rsidR="008E273C" w:rsidRDefault="008E273C" w:rsidP="008E273C">
      <w:pPr>
        <w:pStyle w:val="Heading2"/>
      </w:pPr>
      <w:r>
        <w:t xml:space="preserve">Administrative Appeals Tribunal </w:t>
      </w:r>
    </w:p>
    <w:p w:rsidR="008E273C" w:rsidRDefault="008E273C" w:rsidP="008E273C">
      <w:pPr>
        <w:pStyle w:val="BodyText"/>
        <w:rPr>
          <w:spacing w:val="-2"/>
        </w:rPr>
      </w:pPr>
      <w:r>
        <w:rPr>
          <w:spacing w:val="-2"/>
        </w:rPr>
        <w:t xml:space="preserve">If a person disagrees with a decision made by Services Australia in relation to social welfare payments, they may, after a formal internal review by an Authorised Review Officer, apply for merits review by the Social Services and Child Support Division of the Administrative Appeals Tribunal (AAT) first review. A party who is dissatisfied with the outcome of an AAT first review may apply for further review of the decision by the AAT General Division (AAT second review). </w:t>
      </w:r>
    </w:p>
    <w:p w:rsidR="008E273C" w:rsidRDefault="008E273C" w:rsidP="008E273C">
      <w:pPr>
        <w:pStyle w:val="BodyText"/>
      </w:pPr>
      <w:r>
        <w:lastRenderedPageBreak/>
        <w:t>The decisions most commonly challenged in the AAT in 2019–20 were raising or recovering debts; rejection of claims for Disability Support Pension; rate of payment; start date of payment; and cancellation of payment or benefit.</w:t>
      </w:r>
    </w:p>
    <w:p w:rsidR="008E273C" w:rsidRDefault="008E273C" w:rsidP="008E273C">
      <w:pPr>
        <w:pStyle w:val="BodyText"/>
      </w:pPr>
      <w:r>
        <w:t>In 2019–20 the AAT made no decisions that had, or may have, a significant effect on the operations of Services Australia.</w:t>
      </w:r>
    </w:p>
    <w:p w:rsidR="008E273C" w:rsidRPr="00196A88" w:rsidRDefault="00196A88" w:rsidP="00196A88">
      <w:pPr>
        <w:pStyle w:val="BodyText"/>
        <w:rPr>
          <w:b/>
        </w:rPr>
      </w:pPr>
      <w:r w:rsidRPr="00196A88">
        <w:rPr>
          <w:b/>
        </w:rPr>
        <w:t>Table 43:</w:t>
      </w:r>
      <w:r w:rsidR="008E273C" w:rsidRPr="00196A88">
        <w:rPr>
          <w:b/>
        </w:rPr>
        <w:t xml:space="preserve"> Social welfare payments merits review applications and outcomes 2019–20</w:t>
      </w:r>
    </w:p>
    <w:tbl>
      <w:tblPr>
        <w:tblStyle w:val="TableGrid"/>
        <w:tblW w:w="5000" w:type="pct"/>
        <w:tblLook w:val="0000" w:firstRow="0" w:lastRow="0" w:firstColumn="0" w:lastColumn="0" w:noHBand="0" w:noVBand="0"/>
        <w:tblCaption w:val="Table 43: Social welfare payments merits review applications and outcomes 2019–20"/>
        <w:tblDescription w:val="Table 43: Social welfare payments merits review applications and outcomes 2019–20"/>
      </w:tblPr>
      <w:tblGrid>
        <w:gridCol w:w="4492"/>
        <w:gridCol w:w="2204"/>
        <w:gridCol w:w="2201"/>
        <w:gridCol w:w="2199"/>
      </w:tblGrid>
      <w:tr w:rsidR="008E273C" w:rsidTr="00196A88">
        <w:trPr>
          <w:trHeight w:val="60"/>
          <w:tblHeader/>
        </w:trPr>
        <w:tc>
          <w:tcPr>
            <w:tcW w:w="2024" w:type="pct"/>
          </w:tcPr>
          <w:p w:rsidR="008E273C" w:rsidRPr="00196A88" w:rsidRDefault="008E273C" w:rsidP="00196A88">
            <w:pPr>
              <w:pStyle w:val="BodyText"/>
              <w:rPr>
                <w:b/>
              </w:rPr>
            </w:pPr>
          </w:p>
        </w:tc>
        <w:tc>
          <w:tcPr>
            <w:tcW w:w="993" w:type="pct"/>
          </w:tcPr>
          <w:p w:rsidR="008E273C" w:rsidRPr="00196A88" w:rsidRDefault="008E273C" w:rsidP="00196A88">
            <w:pPr>
              <w:pStyle w:val="BodyText"/>
              <w:rPr>
                <w:b/>
              </w:rPr>
            </w:pPr>
            <w:r w:rsidRPr="00196A88">
              <w:rPr>
                <w:b/>
              </w:rPr>
              <w:t>Applications received</w:t>
            </w:r>
          </w:p>
        </w:tc>
        <w:tc>
          <w:tcPr>
            <w:tcW w:w="992" w:type="pct"/>
          </w:tcPr>
          <w:p w:rsidR="008E273C" w:rsidRPr="00196A88" w:rsidRDefault="008E273C" w:rsidP="00196A88">
            <w:pPr>
              <w:pStyle w:val="BodyText"/>
              <w:rPr>
                <w:b/>
              </w:rPr>
            </w:pPr>
            <w:r w:rsidRPr="00196A88">
              <w:rPr>
                <w:b/>
              </w:rPr>
              <w:t>Unchanged decisions</w:t>
            </w:r>
            <w:r w:rsidRPr="00196A88">
              <w:rPr>
                <w:b/>
                <w:vertAlign w:val="superscript"/>
              </w:rPr>
              <w:t>(b)</w:t>
            </w:r>
          </w:p>
        </w:tc>
        <w:tc>
          <w:tcPr>
            <w:tcW w:w="992" w:type="pct"/>
          </w:tcPr>
          <w:p w:rsidR="008E273C" w:rsidRPr="00196A88" w:rsidRDefault="008E273C" w:rsidP="00196A88">
            <w:pPr>
              <w:pStyle w:val="BodyText"/>
              <w:rPr>
                <w:b/>
              </w:rPr>
            </w:pPr>
            <w:r w:rsidRPr="00196A88">
              <w:rPr>
                <w:b/>
              </w:rPr>
              <w:t>Changed decisions</w:t>
            </w:r>
          </w:p>
        </w:tc>
      </w:tr>
      <w:tr w:rsidR="008E273C" w:rsidTr="00196A88">
        <w:trPr>
          <w:trHeight w:val="60"/>
        </w:trPr>
        <w:tc>
          <w:tcPr>
            <w:tcW w:w="2024" w:type="pct"/>
          </w:tcPr>
          <w:p w:rsidR="008E273C" w:rsidRDefault="008E273C" w:rsidP="00196A88">
            <w:pPr>
              <w:pStyle w:val="BodyText"/>
            </w:pPr>
            <w:r>
              <w:t>AAT first review</w:t>
            </w:r>
          </w:p>
        </w:tc>
        <w:tc>
          <w:tcPr>
            <w:tcW w:w="993" w:type="pct"/>
          </w:tcPr>
          <w:p w:rsidR="008E273C" w:rsidRDefault="008E273C" w:rsidP="00196A88">
            <w:pPr>
              <w:pStyle w:val="BodyText"/>
            </w:pPr>
            <w:r>
              <w:t>9,138</w:t>
            </w:r>
          </w:p>
        </w:tc>
        <w:tc>
          <w:tcPr>
            <w:tcW w:w="992" w:type="pct"/>
          </w:tcPr>
          <w:p w:rsidR="008E273C" w:rsidRDefault="008E273C" w:rsidP="00196A88">
            <w:pPr>
              <w:pStyle w:val="BodyText"/>
            </w:pPr>
            <w:r>
              <w:t>6,964</w:t>
            </w:r>
          </w:p>
        </w:tc>
        <w:tc>
          <w:tcPr>
            <w:tcW w:w="992" w:type="pct"/>
          </w:tcPr>
          <w:p w:rsidR="008E273C" w:rsidRDefault="008E273C" w:rsidP="00196A88">
            <w:pPr>
              <w:pStyle w:val="BodyText"/>
            </w:pPr>
            <w:r>
              <w:t>2,740</w:t>
            </w:r>
          </w:p>
        </w:tc>
      </w:tr>
      <w:tr w:rsidR="008E273C" w:rsidTr="00196A88">
        <w:trPr>
          <w:trHeight w:val="60"/>
        </w:trPr>
        <w:tc>
          <w:tcPr>
            <w:tcW w:w="2024" w:type="pct"/>
          </w:tcPr>
          <w:p w:rsidR="008E273C" w:rsidRDefault="008E273C" w:rsidP="00196A88">
            <w:pPr>
              <w:pStyle w:val="BodyText"/>
            </w:pPr>
            <w:r>
              <w:t>AAT second review—customer initiated</w:t>
            </w:r>
          </w:p>
        </w:tc>
        <w:tc>
          <w:tcPr>
            <w:tcW w:w="993" w:type="pct"/>
          </w:tcPr>
          <w:p w:rsidR="008E273C" w:rsidRDefault="008E273C" w:rsidP="00196A88">
            <w:pPr>
              <w:pStyle w:val="BodyText"/>
            </w:pPr>
            <w:r>
              <w:t>1,781</w:t>
            </w:r>
          </w:p>
        </w:tc>
        <w:tc>
          <w:tcPr>
            <w:tcW w:w="992" w:type="pct"/>
          </w:tcPr>
          <w:p w:rsidR="008E273C" w:rsidRDefault="008E273C" w:rsidP="00196A88">
            <w:pPr>
              <w:pStyle w:val="BodyText"/>
            </w:pPr>
            <w:r>
              <w:t>1,332</w:t>
            </w:r>
          </w:p>
        </w:tc>
        <w:tc>
          <w:tcPr>
            <w:tcW w:w="992" w:type="pct"/>
          </w:tcPr>
          <w:p w:rsidR="008E273C" w:rsidRDefault="008E273C" w:rsidP="00196A88">
            <w:pPr>
              <w:pStyle w:val="BodyText"/>
            </w:pPr>
            <w:r>
              <w:t>458</w:t>
            </w:r>
          </w:p>
        </w:tc>
      </w:tr>
      <w:tr w:rsidR="008E273C" w:rsidTr="00196A88">
        <w:trPr>
          <w:trHeight w:val="60"/>
        </w:trPr>
        <w:tc>
          <w:tcPr>
            <w:tcW w:w="2024" w:type="pct"/>
          </w:tcPr>
          <w:p w:rsidR="008E273C" w:rsidRDefault="008E273C" w:rsidP="00196A88">
            <w:pPr>
              <w:pStyle w:val="BodyText"/>
            </w:pPr>
            <w:r>
              <w:t>AAT second review—Secretary applications</w:t>
            </w:r>
            <w:r>
              <w:rPr>
                <w:vertAlign w:val="superscript"/>
              </w:rPr>
              <w:t>(a)</w:t>
            </w:r>
          </w:p>
        </w:tc>
        <w:tc>
          <w:tcPr>
            <w:tcW w:w="993" w:type="pct"/>
          </w:tcPr>
          <w:p w:rsidR="008E273C" w:rsidRDefault="008E273C" w:rsidP="00196A88">
            <w:pPr>
              <w:pStyle w:val="BodyText"/>
            </w:pPr>
            <w:r>
              <w:t>76</w:t>
            </w:r>
          </w:p>
        </w:tc>
        <w:tc>
          <w:tcPr>
            <w:tcW w:w="992" w:type="pct"/>
          </w:tcPr>
          <w:p w:rsidR="008E273C" w:rsidRDefault="008E273C" w:rsidP="00196A88">
            <w:pPr>
              <w:pStyle w:val="BodyText"/>
            </w:pPr>
            <w:r>
              <w:t>23</w:t>
            </w:r>
          </w:p>
        </w:tc>
        <w:tc>
          <w:tcPr>
            <w:tcW w:w="992" w:type="pct"/>
          </w:tcPr>
          <w:p w:rsidR="008E273C" w:rsidRDefault="008E273C" w:rsidP="00196A88">
            <w:pPr>
              <w:pStyle w:val="BodyText"/>
            </w:pPr>
            <w:r>
              <w:t>31</w:t>
            </w:r>
          </w:p>
        </w:tc>
      </w:tr>
    </w:tbl>
    <w:p w:rsidR="008E273C" w:rsidRDefault="008E273C" w:rsidP="00196A88">
      <w:pPr>
        <w:pStyle w:val="BodyText"/>
      </w:pPr>
      <w:r>
        <w:t>(a)</w:t>
      </w:r>
      <w:r w:rsidR="00196A88">
        <w:t xml:space="preserve"> </w:t>
      </w:r>
      <w:r>
        <w:t>Refers to the Secretary of any department where the relevant minister is responsible, under the Administrative Arrangements Order, for that part of social security law that allows for appeal of a decision to the AAT.</w:t>
      </w:r>
    </w:p>
    <w:p w:rsidR="008E273C" w:rsidRDefault="008E273C" w:rsidP="00196A88">
      <w:pPr>
        <w:pStyle w:val="BodyText"/>
      </w:pPr>
      <w:r>
        <w:t>(b)</w:t>
      </w:r>
      <w:r w:rsidR="00196A88">
        <w:t xml:space="preserve"> </w:t>
      </w:r>
      <w:r>
        <w:t>Unchanged decisions include applications for review that were affirmed by the AAT, withdrawn or dismissed.</w:t>
      </w:r>
    </w:p>
    <w:p w:rsidR="008E273C" w:rsidRDefault="008E273C" w:rsidP="008E273C">
      <w:pPr>
        <w:pStyle w:val="BodyText"/>
      </w:pPr>
      <w:r>
        <w:t xml:space="preserve">The Social Services and Child Support Division of the AAT is also responsible for independently reviewing objections to child support decisions. The two most common reasons for parents seeking review of child support decisions by the AAT were change of assessment decisions, and disputed care arrangements for their children. </w:t>
      </w:r>
    </w:p>
    <w:p w:rsidR="008E273C" w:rsidRPr="008B25AD" w:rsidRDefault="008B25AD" w:rsidP="008B25AD">
      <w:pPr>
        <w:pStyle w:val="BodyText"/>
        <w:rPr>
          <w:b/>
        </w:rPr>
      </w:pPr>
      <w:r w:rsidRPr="008B25AD">
        <w:rPr>
          <w:b/>
        </w:rPr>
        <w:t>Table 44:</w:t>
      </w:r>
      <w:r w:rsidR="008E273C" w:rsidRPr="008B25AD">
        <w:rPr>
          <w:b/>
        </w:rPr>
        <w:t xml:space="preserve"> Child support assessment merits review applications and outcomes 2019–20</w:t>
      </w:r>
    </w:p>
    <w:tbl>
      <w:tblPr>
        <w:tblStyle w:val="TableGrid"/>
        <w:tblW w:w="5000" w:type="pct"/>
        <w:tblLook w:val="0000" w:firstRow="0" w:lastRow="0" w:firstColumn="0" w:lastColumn="0" w:noHBand="0" w:noVBand="0"/>
        <w:tblCaption w:val="Table 44: Child support assessment merits review applications and outcomes 2019–20"/>
        <w:tblDescription w:val="Table 44: Child support assessment merits review applications and outcomes 2019–20"/>
      </w:tblPr>
      <w:tblGrid>
        <w:gridCol w:w="4492"/>
        <w:gridCol w:w="2204"/>
        <w:gridCol w:w="2201"/>
        <w:gridCol w:w="2199"/>
      </w:tblGrid>
      <w:tr w:rsidR="008E273C" w:rsidTr="008B25AD">
        <w:trPr>
          <w:trHeight w:val="60"/>
          <w:tblHeader/>
        </w:trPr>
        <w:tc>
          <w:tcPr>
            <w:tcW w:w="2024" w:type="pct"/>
          </w:tcPr>
          <w:p w:rsidR="008E273C" w:rsidRPr="008B25AD" w:rsidRDefault="008E273C" w:rsidP="008B25AD">
            <w:pPr>
              <w:pStyle w:val="BodyText"/>
              <w:rPr>
                <w:b/>
              </w:rPr>
            </w:pPr>
          </w:p>
        </w:tc>
        <w:tc>
          <w:tcPr>
            <w:tcW w:w="993" w:type="pct"/>
          </w:tcPr>
          <w:p w:rsidR="008E273C" w:rsidRPr="008B25AD" w:rsidRDefault="008E273C" w:rsidP="008B25AD">
            <w:pPr>
              <w:pStyle w:val="BodyText"/>
              <w:rPr>
                <w:b/>
              </w:rPr>
            </w:pPr>
            <w:r w:rsidRPr="008B25AD">
              <w:rPr>
                <w:b/>
              </w:rPr>
              <w:t>Applications received</w:t>
            </w:r>
          </w:p>
        </w:tc>
        <w:tc>
          <w:tcPr>
            <w:tcW w:w="992" w:type="pct"/>
          </w:tcPr>
          <w:p w:rsidR="008E273C" w:rsidRPr="008B25AD" w:rsidRDefault="008E273C" w:rsidP="008B25AD">
            <w:pPr>
              <w:pStyle w:val="BodyText"/>
              <w:rPr>
                <w:b/>
              </w:rPr>
            </w:pPr>
            <w:r w:rsidRPr="008B25AD">
              <w:rPr>
                <w:b/>
              </w:rPr>
              <w:t>Unchanged decisions</w:t>
            </w:r>
          </w:p>
        </w:tc>
        <w:tc>
          <w:tcPr>
            <w:tcW w:w="992" w:type="pct"/>
          </w:tcPr>
          <w:p w:rsidR="008E273C" w:rsidRPr="008B25AD" w:rsidRDefault="008E273C" w:rsidP="008B25AD">
            <w:pPr>
              <w:pStyle w:val="BodyText"/>
              <w:rPr>
                <w:b/>
              </w:rPr>
            </w:pPr>
            <w:r w:rsidRPr="008B25AD">
              <w:rPr>
                <w:b/>
              </w:rPr>
              <w:t>Changed decisions</w:t>
            </w:r>
          </w:p>
        </w:tc>
      </w:tr>
      <w:tr w:rsidR="008E273C" w:rsidTr="008B25AD">
        <w:trPr>
          <w:trHeight w:val="60"/>
        </w:trPr>
        <w:tc>
          <w:tcPr>
            <w:tcW w:w="2024" w:type="pct"/>
          </w:tcPr>
          <w:p w:rsidR="008E273C" w:rsidRDefault="008E273C" w:rsidP="008B25AD">
            <w:pPr>
              <w:pStyle w:val="BodyText"/>
            </w:pPr>
            <w:r>
              <w:t>AAT first review</w:t>
            </w:r>
          </w:p>
        </w:tc>
        <w:tc>
          <w:tcPr>
            <w:tcW w:w="993" w:type="pct"/>
          </w:tcPr>
          <w:p w:rsidR="008E273C" w:rsidRDefault="008E273C" w:rsidP="008B25AD">
            <w:pPr>
              <w:pStyle w:val="BodyText"/>
            </w:pPr>
            <w:r>
              <w:t>2,594</w:t>
            </w:r>
          </w:p>
        </w:tc>
        <w:tc>
          <w:tcPr>
            <w:tcW w:w="992" w:type="pct"/>
          </w:tcPr>
          <w:p w:rsidR="008E273C" w:rsidRDefault="008E273C" w:rsidP="008B25AD">
            <w:pPr>
              <w:pStyle w:val="BodyText"/>
            </w:pPr>
            <w:r>
              <w:t>1,439</w:t>
            </w:r>
          </w:p>
        </w:tc>
        <w:tc>
          <w:tcPr>
            <w:tcW w:w="992" w:type="pct"/>
          </w:tcPr>
          <w:p w:rsidR="008E273C" w:rsidRDefault="008E273C" w:rsidP="008B25AD">
            <w:pPr>
              <w:pStyle w:val="BodyText"/>
            </w:pPr>
            <w:r>
              <w:t>880</w:t>
            </w:r>
          </w:p>
        </w:tc>
      </w:tr>
    </w:tbl>
    <w:p w:rsidR="008E273C" w:rsidRDefault="008E273C" w:rsidP="008E273C">
      <w:pPr>
        <w:pStyle w:val="Heading2"/>
      </w:pPr>
      <w:r>
        <w:t>Decisions of the Australian Information Commissioner</w:t>
      </w:r>
    </w:p>
    <w:p w:rsidR="008E273C" w:rsidRDefault="008E273C" w:rsidP="008E273C">
      <w:pPr>
        <w:pStyle w:val="BodyText"/>
      </w:pPr>
      <w:r>
        <w:t xml:space="preserve">In 2019–20 the Australian Information Commissioner made no decisions that had, or may have, a significant effect on the operations of Services Australia. </w:t>
      </w:r>
    </w:p>
    <w:p w:rsidR="008E273C" w:rsidRDefault="008E273C" w:rsidP="008E273C">
      <w:pPr>
        <w:pStyle w:val="Heading2"/>
      </w:pPr>
      <w:r>
        <w:t>Auditor-General reports</w:t>
      </w:r>
    </w:p>
    <w:p w:rsidR="008E273C" w:rsidRDefault="008E273C" w:rsidP="008E273C">
      <w:pPr>
        <w:pStyle w:val="BodyText"/>
      </w:pPr>
      <w:r>
        <w:t xml:space="preserve">In 2019–20 the Australian National Audit Office (ANAO) tabled one performance audit—Report No. 30, </w:t>
      </w:r>
      <w:r>
        <w:rPr>
          <w:rStyle w:val="Italic"/>
        </w:rPr>
        <w:t>Bilateral Agreement Arrangements Between Services Australia and Other Entities</w:t>
      </w:r>
      <w:r>
        <w:t xml:space="preserve">, tabled 2 April 2020—involving Services Australia and made three recommendations, all agreed by the agency. </w:t>
      </w:r>
    </w:p>
    <w:p w:rsidR="008E273C" w:rsidRDefault="008E273C" w:rsidP="008E273C">
      <w:pPr>
        <w:pStyle w:val="BodyText"/>
      </w:pPr>
      <w:r>
        <w:lastRenderedPageBreak/>
        <w:t>The agency was not required to attend any public hearings of the committee during 2019–20 relating to ANAO performance audits.</w:t>
      </w:r>
    </w:p>
    <w:p w:rsidR="008E273C" w:rsidRDefault="008E273C" w:rsidP="008E273C">
      <w:pPr>
        <w:pStyle w:val="BodyText"/>
      </w:pPr>
      <w:r>
        <w:t xml:space="preserve">For more information about this and other ANAO audit reports see </w:t>
      </w:r>
      <w:r w:rsidRPr="00BD07FC">
        <w:rPr>
          <w:b/>
        </w:rPr>
        <w:t>anao.gov.au</w:t>
      </w:r>
    </w:p>
    <w:p w:rsidR="008E273C" w:rsidRDefault="008E273C" w:rsidP="008E273C">
      <w:pPr>
        <w:pStyle w:val="Heading2"/>
      </w:pPr>
      <w:r>
        <w:t>Parliamentary committee reports</w:t>
      </w:r>
    </w:p>
    <w:p w:rsidR="008E273C" w:rsidRDefault="008E273C" w:rsidP="008E273C">
      <w:pPr>
        <w:pStyle w:val="BodyText"/>
      </w:pPr>
      <w:r>
        <w:t>In 2019–20 Services Australia supported a range of parliamentary inquiries, which involved providing written submissions, attending public hearings and private briefings, and submitting answers to a large number of questions on notice. Support for inquiries included:</w:t>
      </w:r>
    </w:p>
    <w:p w:rsidR="008E273C" w:rsidRDefault="008E273C" w:rsidP="00AC4959">
      <w:pPr>
        <w:pStyle w:val="BodyText"/>
        <w:rPr>
          <w:rStyle w:val="Bold"/>
        </w:rPr>
      </w:pPr>
      <w:r>
        <w:rPr>
          <w:rStyle w:val="Bold"/>
        </w:rPr>
        <w:t xml:space="preserve">Adequacy of </w:t>
      </w:r>
      <w:proofErr w:type="spellStart"/>
      <w:r>
        <w:rPr>
          <w:rStyle w:val="Bold"/>
        </w:rPr>
        <w:t>Newstart</w:t>
      </w:r>
      <w:proofErr w:type="spellEnd"/>
      <w:r>
        <w:rPr>
          <w:rStyle w:val="Bold"/>
        </w:rPr>
        <w:t xml:space="preserve"> and related payments and alternative mechanisms to determine the level of income support payments in Australia</w:t>
      </w:r>
    </w:p>
    <w:p w:rsidR="008E273C" w:rsidRDefault="008E273C" w:rsidP="008E273C">
      <w:pPr>
        <w:pStyle w:val="BodyText"/>
      </w:pPr>
      <w:r>
        <w:t xml:space="preserve">On 25 July 2019 the Senate referred this matter to the Senate Community Affairs References Committee for inquiry and report. The agency provided input to a whole-of-government written submission on 30 September 2019. </w:t>
      </w:r>
      <w:proofErr w:type="gramStart"/>
      <w:r>
        <w:t>agency</w:t>
      </w:r>
      <w:proofErr w:type="gramEnd"/>
      <w:r>
        <w:t xml:space="preserve"> representatives attended a public hearing on 10 October 2019. </w:t>
      </w:r>
      <w:proofErr w:type="gramStart"/>
      <w:r>
        <w:t>agency</w:t>
      </w:r>
      <w:proofErr w:type="gramEnd"/>
      <w:r>
        <w:t xml:space="preserve"> responses to three questions on notice were tabled. The committee tabled its final report on 30 April 2020. </w:t>
      </w:r>
    </w:p>
    <w:p w:rsidR="008E273C" w:rsidRDefault="008E273C" w:rsidP="00AC4959">
      <w:pPr>
        <w:pStyle w:val="BodyText"/>
        <w:rPr>
          <w:rStyle w:val="Bold"/>
        </w:rPr>
      </w:pPr>
      <w:r>
        <w:rPr>
          <w:rStyle w:val="Bold"/>
        </w:rPr>
        <w:t>Centrelink’s compliance program</w:t>
      </w:r>
    </w:p>
    <w:p w:rsidR="008E273C" w:rsidRDefault="008E273C" w:rsidP="008E273C">
      <w:pPr>
        <w:pStyle w:val="BodyText"/>
      </w:pPr>
      <w:r>
        <w:t xml:space="preserve">On 31 July 2019 the Senate referred this matter to the Senate Community Affairs References Committee for inquiry and report. The agency provided a written submission on 20 September 2019. Agency representatives attended public hearings on 3 October 2019 and 16 December 2019. The agency provided 150 responses to questions on notice within the timeframe ordered by the Senate. The committee also invited the agency to provide a supplementary written submission by August 2020. </w:t>
      </w:r>
    </w:p>
    <w:p w:rsidR="008E273C" w:rsidRDefault="008E273C" w:rsidP="00AC4959">
      <w:pPr>
        <w:pStyle w:val="BodyText"/>
        <w:rPr>
          <w:rStyle w:val="Bold"/>
        </w:rPr>
      </w:pPr>
      <w:r>
        <w:rPr>
          <w:rStyle w:val="Bold"/>
          <w:spacing w:val="-2"/>
        </w:rPr>
        <w:t>Human Services Amendment (Photographic Identification and Fraud Prevention)</w:t>
      </w:r>
      <w:r>
        <w:rPr>
          <w:rStyle w:val="Bold"/>
        </w:rPr>
        <w:t xml:space="preserve"> Bill 2019</w:t>
      </w:r>
    </w:p>
    <w:p w:rsidR="008E273C" w:rsidRDefault="008E273C" w:rsidP="008E273C">
      <w:pPr>
        <w:pStyle w:val="BodyText"/>
      </w:pPr>
      <w:r>
        <w:t>On 1 August 2019 the Senate referred this bill to the Senate Community Affairs Legislation Committee for inquiry and report. The agency lodged a written submission on 2 September 2019. Agency representatives attended a public hearing on 16 September 2019. Agency responses to five questions on notice were tabled. The committee tabled its final report on 17 October 2019.</w:t>
      </w:r>
    </w:p>
    <w:p w:rsidR="008E273C" w:rsidRDefault="008E273C" w:rsidP="00AC4959">
      <w:pPr>
        <w:pStyle w:val="BodyText"/>
      </w:pPr>
      <w:r>
        <w:rPr>
          <w:rStyle w:val="Bold"/>
        </w:rPr>
        <w:t>Family Assistance Legislation Amendment (Extend Family Assistance to ABSTUDY Secondary School Boarding Students Aged 16 and Over) Bill 2019</w:t>
      </w:r>
    </w:p>
    <w:p w:rsidR="008E273C" w:rsidRDefault="008E273C" w:rsidP="008E273C">
      <w:pPr>
        <w:pStyle w:val="BodyText"/>
      </w:pPr>
      <w:r>
        <w:t xml:space="preserve">On 1 August 2019 the Senate referred this bill to the Senate Community Affairs Legislation Committee for inquiry and report. The agency provided input to the written submission by the Department of Social Services, lodged on 19 August 2019. Agency representatives attended a public hearing on 30 August 2019. The agency response to one question on notice was tabled. The committee tabled its final report on 5 September 2019. The Government response to the report was tabled on 17 February 2020. </w:t>
      </w:r>
    </w:p>
    <w:p w:rsidR="008E273C" w:rsidRDefault="008E273C" w:rsidP="00AC4959">
      <w:pPr>
        <w:pStyle w:val="BodyText"/>
      </w:pPr>
      <w:r>
        <w:rPr>
          <w:rStyle w:val="Bold"/>
        </w:rPr>
        <w:t xml:space="preserve">Impact of changes to service delivery models on the administration and running of Government </w:t>
      </w:r>
    </w:p>
    <w:p w:rsidR="008E273C" w:rsidRDefault="008E273C" w:rsidP="008E273C">
      <w:pPr>
        <w:pStyle w:val="BodyText"/>
      </w:pPr>
      <w:r>
        <w:t xml:space="preserve">On 1 August 2019 the Senate referred this matter to the Senate Legal and Constitutional Affairs References Committee for inquiry and report. The agency provided a written submission on 23 August 2019. The committee tabled its final report on 27 February 2020. </w:t>
      </w:r>
    </w:p>
    <w:p w:rsidR="008E273C" w:rsidRDefault="008E273C" w:rsidP="00AC4959">
      <w:pPr>
        <w:pStyle w:val="BodyText"/>
      </w:pPr>
      <w:r>
        <w:rPr>
          <w:rStyle w:val="Bold"/>
        </w:rPr>
        <w:t>Identity-Matching Services Bill 2019 and the Australian Passports Amendment (Identity-matching Services) Bill 2019</w:t>
      </w:r>
    </w:p>
    <w:p w:rsidR="008E273C" w:rsidRDefault="008E273C" w:rsidP="008E273C">
      <w:pPr>
        <w:pStyle w:val="BodyText"/>
      </w:pPr>
      <w:r>
        <w:lastRenderedPageBreak/>
        <w:t xml:space="preserve">The Parliamentary Joint Committee on Intelligence and Security reviewed these bills. The agency lodged a written submission on 10 September 2019. The committee tabled its final report on 24 October 2019. </w:t>
      </w:r>
    </w:p>
    <w:p w:rsidR="008E273C" w:rsidRDefault="008E273C" w:rsidP="00AC4959">
      <w:pPr>
        <w:pStyle w:val="BodyText"/>
      </w:pPr>
      <w:r>
        <w:rPr>
          <w:rStyle w:val="Bold"/>
        </w:rPr>
        <w:t>Social Security (Administration) Amendment (Income Management to Cashless Debit Card Transition) Bill 2019</w:t>
      </w:r>
    </w:p>
    <w:p w:rsidR="008E273C" w:rsidRDefault="008E273C" w:rsidP="008E273C">
      <w:pPr>
        <w:pStyle w:val="BodyText"/>
      </w:pPr>
      <w:r>
        <w:t xml:space="preserve">On 12 September 2019 the Senate referred this bill to the Senate Community Affairs Legislation Committee for inquiry and report. The agency and the Department of Social Services lodged a joint written submission on 11 October 2019. Agency representatives attended a public hearing on 14 October 2019. The committee tabled its final report on 7 November 2019. </w:t>
      </w:r>
    </w:p>
    <w:p w:rsidR="008E273C" w:rsidRDefault="008E273C" w:rsidP="00AC4959">
      <w:pPr>
        <w:pStyle w:val="BodyText"/>
        <w:rPr>
          <w:rStyle w:val="Bold"/>
        </w:rPr>
      </w:pPr>
      <w:r>
        <w:rPr>
          <w:rStyle w:val="Bold"/>
        </w:rPr>
        <w:t>Social Services Legislation Amendment (Drug Testing Trial) Bill 2019</w:t>
      </w:r>
    </w:p>
    <w:p w:rsidR="008E273C" w:rsidRDefault="008E273C" w:rsidP="008E273C">
      <w:pPr>
        <w:pStyle w:val="BodyText"/>
      </w:pPr>
      <w:r>
        <w:t xml:space="preserve">On 12 September 2019 the Senate referred this bill to the Senate Community Affairs Legislation Committee for inquiry and report. The agency provided input to the written submission by the Department of Social Services, lodged on 27 September 2019. Agency representatives attended a public hearing on 2 October 2019. Agency responses to four questions on notice were tabled. The committee tabled its final report on 10 October 2019. </w:t>
      </w:r>
    </w:p>
    <w:p w:rsidR="008E273C" w:rsidRDefault="008E273C" w:rsidP="00AC4959">
      <w:pPr>
        <w:pStyle w:val="BodyText"/>
        <w:rPr>
          <w:rStyle w:val="Bold"/>
        </w:rPr>
      </w:pPr>
      <w:r>
        <w:rPr>
          <w:rStyle w:val="Bold"/>
        </w:rPr>
        <w:t>Australia’s Family Law system</w:t>
      </w:r>
    </w:p>
    <w:p w:rsidR="008E273C" w:rsidRDefault="008E273C" w:rsidP="008E273C">
      <w:pPr>
        <w:pStyle w:val="BodyText"/>
      </w:pPr>
      <w:r>
        <w:t xml:space="preserve">On 19 September 2019 the House of Representatives agreed to a Senate resolution to establish a Joint Select Committee on Australia’s Family Law System. The agency provided input to the written submission by the Department of Social Services, lodged on 18 December 2019. Agency representatives attended a public hearing on 14 February 2020. Agency responses to two questions on notice were tabled. </w:t>
      </w:r>
    </w:p>
    <w:p w:rsidR="008E273C" w:rsidRDefault="008E273C" w:rsidP="00AC4959">
      <w:pPr>
        <w:pStyle w:val="BodyText"/>
        <w:rPr>
          <w:rStyle w:val="Bold"/>
        </w:rPr>
      </w:pPr>
      <w:r>
        <w:rPr>
          <w:rStyle w:val="Bold"/>
        </w:rPr>
        <w:t>Family Assistance Legislation Amendment (Building on the Child Care Package) Bill 2019 [Provisions]</w:t>
      </w:r>
    </w:p>
    <w:p w:rsidR="008E273C" w:rsidRDefault="008E273C" w:rsidP="008E273C">
      <w:pPr>
        <w:pStyle w:val="BodyText"/>
      </w:pPr>
      <w:r>
        <w:t>On 19 September 2019 the Senate referred the provisions of the bill to the Education and Employment Legislation Committee for inquiry and report. The agency lodged a written submission on 1 October 2019. The committee tabled its final report on 11 October 2019.</w:t>
      </w:r>
    </w:p>
    <w:p w:rsidR="008E273C" w:rsidRDefault="00AC4959" w:rsidP="00AC4959">
      <w:pPr>
        <w:pStyle w:val="BodyText"/>
        <w:rPr>
          <w:rStyle w:val="Bold"/>
        </w:rPr>
      </w:pPr>
      <w:r>
        <w:rPr>
          <w:rStyle w:val="Bold"/>
        </w:rPr>
        <w:t>Farm household support amendment (relief measures) bill (no. 1) 2019 [provisions]</w:t>
      </w:r>
    </w:p>
    <w:p w:rsidR="008E273C" w:rsidRDefault="008E273C" w:rsidP="008E273C">
      <w:pPr>
        <w:pStyle w:val="BodyText"/>
      </w:pPr>
      <w:r>
        <w:t xml:space="preserve">On 17 October 2019 the Senate referred the provisions of the bill to the Rural and Regional Affairs and Transport Legislation Committee for inquiry and report. The agency provided input to the submission by the then Department of Agriculture, lodged on 24 October 2019. The committee tabled its final report on 7 November 2019. </w:t>
      </w:r>
    </w:p>
    <w:p w:rsidR="008E273C" w:rsidRDefault="008E273C" w:rsidP="00AC4959">
      <w:pPr>
        <w:pStyle w:val="BodyText"/>
        <w:rPr>
          <w:rStyle w:val="Bold"/>
        </w:rPr>
      </w:pPr>
      <w:r>
        <w:rPr>
          <w:rStyle w:val="Bold"/>
        </w:rPr>
        <w:t xml:space="preserve">Services, support and life outcomes for autistic people and the associated need for a National Autism Strategy </w:t>
      </w:r>
    </w:p>
    <w:p w:rsidR="008E273C" w:rsidRDefault="008E273C" w:rsidP="008E273C">
      <w:pPr>
        <w:pStyle w:val="BodyText"/>
      </w:pPr>
      <w:r>
        <w:t xml:space="preserve">On 27 November 2019 the Senate established a Select Committee on Autism to inquire into and report on the services, support and life outcomes for autistic people in Australia and the associated need for a National Autism Strategy. </w:t>
      </w:r>
      <w:r>
        <w:rPr>
          <w:spacing w:val="-2"/>
        </w:rPr>
        <w:t>The agency was invited to provide a submission by the due date of 17 July 2020.</w:t>
      </w:r>
    </w:p>
    <w:p w:rsidR="008E273C" w:rsidRDefault="008E273C" w:rsidP="00AC4959">
      <w:pPr>
        <w:pStyle w:val="BodyText"/>
        <w:rPr>
          <w:rStyle w:val="Bold"/>
        </w:rPr>
      </w:pPr>
      <w:r>
        <w:rPr>
          <w:rStyle w:val="Bold"/>
        </w:rPr>
        <w:t>National Consumer Credit Protection Amendment (Small Amount Credit Contract and Consumer Lease Reforms) Bill 2019 (No. 2)</w:t>
      </w:r>
    </w:p>
    <w:p w:rsidR="008E273C" w:rsidRDefault="008E273C" w:rsidP="008E273C">
      <w:pPr>
        <w:pStyle w:val="BodyText"/>
      </w:pPr>
      <w:r>
        <w:lastRenderedPageBreak/>
        <w:t>On 5 December 2019 the Senate referred this bill for inquiry and report. Agency representatives attended a public hearing on 13 March 2020. Agency responses to 14 questions on notice were tabled.</w:t>
      </w:r>
    </w:p>
    <w:p w:rsidR="008E273C" w:rsidRDefault="008E273C" w:rsidP="00AC4959">
      <w:pPr>
        <w:pStyle w:val="BodyText"/>
        <w:rPr>
          <w:rStyle w:val="Bold"/>
        </w:rPr>
      </w:pPr>
      <w:r>
        <w:rPr>
          <w:rStyle w:val="Bold"/>
        </w:rPr>
        <w:t>Lessons to be learned in relation to the bushfire season 2019–20</w:t>
      </w:r>
    </w:p>
    <w:p w:rsidR="008E273C" w:rsidRDefault="008E273C" w:rsidP="008E273C">
      <w:pPr>
        <w:pStyle w:val="BodyText"/>
      </w:pPr>
      <w:r>
        <w:t xml:space="preserve">On 5 February 2020 the Senate referred this matter to the Finance and Public Administration References Committee for inquiry and report. The agency provided a written submission to the committee on 29 May 2020. </w:t>
      </w:r>
    </w:p>
    <w:p w:rsidR="008E273C" w:rsidRDefault="00AC4959" w:rsidP="00AC4959">
      <w:pPr>
        <w:pStyle w:val="BodyText"/>
        <w:rPr>
          <w:rStyle w:val="Bold"/>
        </w:rPr>
      </w:pPr>
      <w:r>
        <w:rPr>
          <w:rStyle w:val="Bold"/>
        </w:rPr>
        <w:t>Paid parental leave amendment (flexibility measures) bill 2020</w:t>
      </w:r>
    </w:p>
    <w:p w:rsidR="008E273C" w:rsidRDefault="008E273C" w:rsidP="008E273C">
      <w:pPr>
        <w:pStyle w:val="BodyText"/>
      </w:pPr>
      <w:r>
        <w:t xml:space="preserve">On 6 February 2020 the Senate referred this bill to the Senate Community Affairs Legislation Committee for inquiry and report. The agency provided input to the written submission by the Department of Social Services, lodged on 6 March 2020. The committee tabled its final report on 19 March 2020. </w:t>
      </w:r>
    </w:p>
    <w:p w:rsidR="008E273C" w:rsidRDefault="008E273C" w:rsidP="00AC4959">
      <w:pPr>
        <w:pStyle w:val="BodyText"/>
        <w:rPr>
          <w:rStyle w:val="Bold"/>
        </w:rPr>
      </w:pPr>
      <w:r>
        <w:rPr>
          <w:rStyle w:val="Bold"/>
        </w:rPr>
        <w:t>Social Services and Other Legislation Amendment (Simplifying Income Reporting and Other Measures) Bill 2020</w:t>
      </w:r>
    </w:p>
    <w:p w:rsidR="008E273C" w:rsidRDefault="008E273C" w:rsidP="008E273C">
      <w:pPr>
        <w:pStyle w:val="BodyText"/>
      </w:pPr>
      <w:r>
        <w:t>On 6 February 2020 the Senate referred this bill to the Senate Community Affairs Legislation Committee for inquiry and report. The agency provided input to a whole-of-government submission, lodged on 14 February 2020. Agency representatives attended a public hearing on 17 February 2020. Agency responses to two questions on notice were tabled. The committee tabled its final report on 20 February 2020.</w:t>
      </w:r>
    </w:p>
    <w:p w:rsidR="008E273C" w:rsidRDefault="008E273C" w:rsidP="00AC4959">
      <w:pPr>
        <w:pStyle w:val="BodyText"/>
        <w:rPr>
          <w:rStyle w:val="Bold"/>
        </w:rPr>
      </w:pPr>
      <w:r>
        <w:rPr>
          <w:rStyle w:val="Bold"/>
        </w:rPr>
        <w:t xml:space="preserve">Australian Government’s response to the COVID-19 pandemic </w:t>
      </w:r>
    </w:p>
    <w:p w:rsidR="008E273C" w:rsidRDefault="008E273C" w:rsidP="008E273C">
      <w:pPr>
        <w:pStyle w:val="BodyText"/>
      </w:pPr>
      <w:r>
        <w:t>On 8 April 2020 the Senate established a Select Committee on COVID-19 to inquire into and report on the Australian Government’s response to the pandemic. The agency attended a public hearing on 30 April 2020 and answered 70 questions on notice.</w:t>
      </w:r>
    </w:p>
    <w:p w:rsidR="008E273C" w:rsidRDefault="008E273C" w:rsidP="008E273C">
      <w:pPr>
        <w:pStyle w:val="Heading2"/>
      </w:pPr>
      <w:r>
        <w:t>Commonwealth Ombudsman reports</w:t>
      </w:r>
    </w:p>
    <w:p w:rsidR="008E273C" w:rsidRDefault="008E273C" w:rsidP="008E273C">
      <w:pPr>
        <w:pStyle w:val="BodyText"/>
      </w:pPr>
      <w:r>
        <w:rPr>
          <w:spacing w:val="-2"/>
        </w:rPr>
        <w:t xml:space="preserve">Services Australia maintains a collaborative and productive working relationship with the Office of the Commonwealth Ombudsman. Services Australia monitors the implementation of recommendations from reports published by the Commonwealth Ombudsman. </w:t>
      </w:r>
    </w:p>
    <w:p w:rsidR="008E273C" w:rsidRDefault="008E273C" w:rsidP="008E273C">
      <w:pPr>
        <w:pStyle w:val="BodyText"/>
      </w:pPr>
      <w:r>
        <w:t>In 2019–20 the Commonwealth Ombudsman did not publish any reports about Services Australia.</w:t>
      </w:r>
    </w:p>
    <w:p w:rsidR="008E273C" w:rsidRDefault="008E273C" w:rsidP="008E273C">
      <w:pPr>
        <w:pStyle w:val="Heading2"/>
      </w:pPr>
      <w:r>
        <w:t xml:space="preserve">Agency capability reviews </w:t>
      </w:r>
    </w:p>
    <w:p w:rsidR="008E273C" w:rsidRDefault="008E273C" w:rsidP="008E273C">
      <w:pPr>
        <w:pStyle w:val="BodyText"/>
      </w:pPr>
      <w:r>
        <w:t>In 2019–20 no capability reviews were conducted into Services Australia.</w:t>
      </w:r>
    </w:p>
    <w:p w:rsidR="008E273C" w:rsidRDefault="008E273C" w:rsidP="008E273C">
      <w:pPr>
        <w:pStyle w:val="Heading1"/>
      </w:pPr>
      <w:r>
        <w:t>4.3 Our people</w:t>
      </w:r>
    </w:p>
    <w:p w:rsidR="008E273C" w:rsidRDefault="008B25AD" w:rsidP="008E273C">
      <w:pPr>
        <w:pStyle w:val="Heading2"/>
      </w:pPr>
      <w:r>
        <w:t>Services Australia culture</w:t>
      </w:r>
    </w:p>
    <w:p w:rsidR="008E273C" w:rsidRDefault="008E273C" w:rsidP="008E273C">
      <w:pPr>
        <w:pStyle w:val="BodyText"/>
      </w:pPr>
      <w:r>
        <w:rPr>
          <w:spacing w:val="-3"/>
        </w:rPr>
        <w:t xml:space="preserve">Culture continues to be an important priority for the agency to support day-to-day </w:t>
      </w:r>
      <w:r>
        <w:t xml:space="preserve">service delivery operations, as well as the broader transformation agenda. </w:t>
      </w:r>
    </w:p>
    <w:p w:rsidR="008E273C" w:rsidRDefault="008E273C" w:rsidP="008E273C">
      <w:pPr>
        <w:pStyle w:val="BodyText"/>
      </w:pPr>
      <w:r>
        <w:rPr>
          <w:spacing w:val="-4"/>
        </w:rPr>
        <w:lastRenderedPageBreak/>
        <w:t xml:space="preserve">In November 2019 an all-staff survey was conducted to establish an organisational </w:t>
      </w:r>
      <w:r>
        <w:t xml:space="preserve">culture baseline. The survey focussed on five core cultural attributes—customer focus; innovation; collaboration; respect; and empowerment. </w:t>
      </w:r>
    </w:p>
    <w:p w:rsidR="008E273C" w:rsidRDefault="008E273C" w:rsidP="008E273C">
      <w:pPr>
        <w:pStyle w:val="BodyText"/>
      </w:pPr>
      <w:r>
        <w:t xml:space="preserve">Analysis of the survey results will help guide future culture initiatives and broader workforce strategies. </w:t>
      </w:r>
    </w:p>
    <w:p w:rsidR="008E273C" w:rsidRDefault="008E273C" w:rsidP="008E273C">
      <w:pPr>
        <w:pStyle w:val="Heading2"/>
      </w:pPr>
      <w:r>
        <w:t>Executive and management structure</w:t>
      </w:r>
    </w:p>
    <w:p w:rsidR="008E273C" w:rsidRDefault="008E273C" w:rsidP="008E273C">
      <w:pPr>
        <w:pStyle w:val="BodyText"/>
      </w:pPr>
      <w:r>
        <w:t xml:space="preserve">Figure 2 outlines the organisational structure for Services Australia at </w:t>
      </w:r>
      <w:r>
        <w:rPr>
          <w:rStyle w:val="NoBreak"/>
        </w:rPr>
        <w:t>30 June 202</w:t>
      </w:r>
      <w:r>
        <w:t>0. It shows the reporting lines from General Managers (GMs) to Deputy CEOs, and from Deputy CEOs to the Chief Executive Officer (CEO).</w:t>
      </w:r>
    </w:p>
    <w:p w:rsidR="008E273C" w:rsidRPr="002608D5" w:rsidRDefault="008E273C" w:rsidP="008E273C">
      <w:pPr>
        <w:pStyle w:val="BodyText"/>
        <w:rPr>
          <w:b/>
        </w:rPr>
      </w:pPr>
      <w:r w:rsidRPr="002608D5">
        <w:rPr>
          <w:b/>
        </w:rPr>
        <w:t>Figure 2: Organisational structure at 30 June 2020</w:t>
      </w:r>
    </w:p>
    <w:p w:rsidR="008E273C" w:rsidRDefault="008E273C" w:rsidP="008E273C">
      <w:pPr>
        <w:pStyle w:val="Heading3"/>
      </w:pPr>
      <w:r>
        <w:t>The Executive</w:t>
      </w:r>
    </w:p>
    <w:p w:rsidR="008E273C" w:rsidRDefault="00AC4959" w:rsidP="008E273C">
      <w:pPr>
        <w:pStyle w:val="BodyText"/>
        <w:rPr>
          <w:spacing w:val="-2"/>
        </w:rPr>
      </w:pPr>
      <w:r w:rsidRPr="002608D5">
        <w:rPr>
          <w:b/>
        </w:rPr>
        <w:t xml:space="preserve">Chief </w:t>
      </w:r>
      <w:r w:rsidR="002608D5">
        <w:rPr>
          <w:b/>
        </w:rPr>
        <w:t>E</w:t>
      </w:r>
      <w:r w:rsidRPr="002608D5">
        <w:rPr>
          <w:b/>
        </w:rPr>
        <w:t xml:space="preserve">xecutive </w:t>
      </w:r>
      <w:r w:rsidR="002608D5">
        <w:rPr>
          <w:b/>
        </w:rPr>
        <w:t>O</w:t>
      </w:r>
      <w:r w:rsidRPr="002608D5">
        <w:rPr>
          <w:b/>
        </w:rPr>
        <w:t>fficer</w:t>
      </w:r>
      <w:r w:rsidR="008E273C">
        <w:rPr>
          <w:spacing w:val="-2"/>
        </w:rPr>
        <w:t xml:space="preserve">—Responsible for supporting the Minister for Government </w:t>
      </w:r>
      <w:r w:rsidR="008E273C">
        <w:t>Services in the delivery of portfolio responsibilities and the development of strategic policy advice. The CEO provides strategic oversight, leadership and management of the agency, ensuring collaborative implementation and delivery of government policy and programs and a whole-of-government approach to service delivery. The CEO also manages key stakeholder relationships and contributes to the stewardship of the Australian Public Service.</w:t>
      </w:r>
    </w:p>
    <w:p w:rsidR="008E273C" w:rsidRDefault="00AC4959" w:rsidP="008E273C">
      <w:pPr>
        <w:pStyle w:val="BodyText"/>
      </w:pPr>
      <w:r w:rsidRPr="002608D5">
        <w:rPr>
          <w:b/>
        </w:rPr>
        <w:t xml:space="preserve">Deputy </w:t>
      </w:r>
      <w:r w:rsidR="002608D5">
        <w:rPr>
          <w:b/>
        </w:rPr>
        <w:t>C</w:t>
      </w:r>
      <w:r w:rsidRPr="002608D5">
        <w:rPr>
          <w:b/>
        </w:rPr>
        <w:t xml:space="preserve">hief </w:t>
      </w:r>
      <w:r w:rsidR="002608D5" w:rsidRPr="002608D5">
        <w:rPr>
          <w:b/>
        </w:rPr>
        <w:t>Executive Officer, Major Transformation Projects</w:t>
      </w:r>
      <w:r w:rsidR="008E273C">
        <w:t xml:space="preserve">—Responsible for projects across the agency, with core responsibility for major programs including Welfare Payment Infrastructure Transformation, Health Delivery Modernisation, Veteran Centric Reform, Telephony and Enhanced </w:t>
      </w:r>
      <w:proofErr w:type="spellStart"/>
      <w:r w:rsidR="008E273C">
        <w:t>myGov</w:t>
      </w:r>
      <w:proofErr w:type="spellEnd"/>
      <w:r w:rsidR="008E273C">
        <w:t xml:space="preserve">. </w:t>
      </w:r>
    </w:p>
    <w:p w:rsidR="008E273C" w:rsidRDefault="00AC4959" w:rsidP="008E273C">
      <w:pPr>
        <w:pStyle w:val="BodyText"/>
      </w:pPr>
      <w:r w:rsidRPr="002608D5">
        <w:rPr>
          <w:b/>
        </w:rPr>
        <w:t xml:space="preserve">Deputy </w:t>
      </w:r>
      <w:r w:rsidR="002608D5" w:rsidRPr="002608D5">
        <w:rPr>
          <w:b/>
        </w:rPr>
        <w:t>Chief Information Officer, Customer Service Delivery</w:t>
      </w:r>
      <w:r w:rsidR="008E273C">
        <w:t>—Responsible for the agency’s face-to-face Service Centres, as well as phone and processing centres which deliver a range of government services including Child Support, Centrelink, the Medicare Benefits Schedule, the Pharmaceutical Benefits Scheme and other health and aged care programs. The DCEO is also responsible for coordinating the agency’s responses to emergencies and for developing and delivering the agency’s Indigenous and multicultural servicing strategies. The DCEO is the Chief Executive Centrelink under section 7(2</w:t>
      </w:r>
      <w:proofErr w:type="gramStart"/>
      <w:r w:rsidR="008E273C">
        <w:t>)(</w:t>
      </w:r>
      <w:proofErr w:type="gramEnd"/>
      <w:r w:rsidR="008E273C">
        <w:t xml:space="preserve">b) of the </w:t>
      </w:r>
      <w:r w:rsidR="008E273C">
        <w:rPr>
          <w:rStyle w:val="Italic"/>
        </w:rPr>
        <w:t>Human Services (Centrelink) Act 1997</w:t>
      </w:r>
      <w:r w:rsidR="008E273C">
        <w:t>.</w:t>
      </w:r>
    </w:p>
    <w:p w:rsidR="008E273C" w:rsidRDefault="00AC4959" w:rsidP="008E273C">
      <w:pPr>
        <w:pStyle w:val="BodyText"/>
      </w:pPr>
      <w:r w:rsidRPr="002608D5">
        <w:rPr>
          <w:b/>
        </w:rPr>
        <w:t xml:space="preserve">Deputy </w:t>
      </w:r>
      <w:r w:rsidR="002608D5" w:rsidRPr="002608D5">
        <w:rPr>
          <w:b/>
        </w:rPr>
        <w:t>Chief Executive Officer, Customer Service Design</w:t>
      </w:r>
      <w:r w:rsidR="008E273C">
        <w:t xml:space="preserve">—Responsible for the design and overall program management of the services delivered by Services Australia, including social welfare, health and aged care services. </w:t>
      </w:r>
      <w:r w:rsidR="008E273C">
        <w:rPr>
          <w:spacing w:val="-4"/>
        </w:rPr>
        <w:t xml:space="preserve">The DCEO leads the Strategic Data and Analytics Sub-Group, which is responsible for delivering a customer-focused approach to designing user experiences, and for </w:t>
      </w:r>
      <w:r w:rsidR="008E273C">
        <w:t xml:space="preserve">relationships with partner agencies across the Australian Government. </w:t>
      </w:r>
    </w:p>
    <w:p w:rsidR="008E273C" w:rsidRDefault="00AC4959" w:rsidP="008E273C">
      <w:pPr>
        <w:pStyle w:val="BodyText"/>
        <w:rPr>
          <w:spacing w:val="-2"/>
        </w:rPr>
      </w:pPr>
      <w:r w:rsidRPr="002608D5">
        <w:rPr>
          <w:b/>
        </w:rPr>
        <w:t xml:space="preserve">Chief </w:t>
      </w:r>
      <w:r w:rsidR="002608D5" w:rsidRPr="002608D5">
        <w:rPr>
          <w:b/>
        </w:rPr>
        <w:t>Information Officer</w:t>
      </w:r>
      <w:r w:rsidR="008E273C">
        <w:t xml:space="preserve">—Responsible for developing and delivering the agency’s information and communications technology (ICT) capability. </w:t>
      </w:r>
      <w:r w:rsidR="008E273C">
        <w:rPr>
          <w:spacing w:val="-2"/>
        </w:rPr>
        <w:t xml:space="preserve">This includes ensuring the reliability of the agency’s ICT systems, partnering with technology providers and shared services to develop fit-for-purpose technology to support the agency’s future direction, and contributing to the Government’s broader digital agenda. The Chief Information Officer works closely with the Chief Transformation Officer to deliver the agency’s transformation strategy. </w:t>
      </w:r>
    </w:p>
    <w:p w:rsidR="008E273C" w:rsidRDefault="008E273C" w:rsidP="008E273C">
      <w:pPr>
        <w:pStyle w:val="BodyText"/>
      </w:pPr>
      <w:r w:rsidRPr="002608D5">
        <w:rPr>
          <w:b/>
        </w:rPr>
        <w:t>Deputy Chief Executive Officer</w:t>
      </w:r>
      <w:r w:rsidR="002608D5" w:rsidRPr="002608D5">
        <w:rPr>
          <w:b/>
        </w:rPr>
        <w:t xml:space="preserve">, </w:t>
      </w:r>
      <w:r w:rsidRPr="002608D5">
        <w:rPr>
          <w:b/>
        </w:rPr>
        <w:t xml:space="preserve">Payments </w:t>
      </w:r>
      <w:r w:rsidR="002608D5">
        <w:rPr>
          <w:b/>
        </w:rPr>
        <w:t>a</w:t>
      </w:r>
      <w:r w:rsidR="002608D5" w:rsidRPr="002608D5">
        <w:rPr>
          <w:b/>
        </w:rPr>
        <w:t xml:space="preserve">nd </w:t>
      </w:r>
      <w:r w:rsidRPr="002608D5">
        <w:rPr>
          <w:b/>
        </w:rPr>
        <w:t>Integrity</w:t>
      </w:r>
      <w:r>
        <w:t xml:space="preserve">—Responsible for administering the agency’s fraud, non-compliance and payment integrity programs, including management of debt recovery and </w:t>
      </w:r>
      <w:r>
        <w:lastRenderedPageBreak/>
        <w:t>appeals processes. These measures aim to protect the integrity of government outlays for health and welfare services.</w:t>
      </w:r>
    </w:p>
    <w:p w:rsidR="008E273C" w:rsidRDefault="008E273C" w:rsidP="00AC4959">
      <w:pPr>
        <w:pStyle w:val="BodyText"/>
      </w:pPr>
      <w:r>
        <w:rPr>
          <w:rStyle w:val="Bold"/>
        </w:rPr>
        <w:t>Chief Operating Officer, Corporate Enabling</w:t>
      </w:r>
      <w:r>
        <w:t xml:space="preserve">—Responsible for the agency’s governance, ministerial and parliamentary services, and corporate functions including finance, human resources, audit, legal, property and procurement. </w:t>
      </w:r>
    </w:p>
    <w:p w:rsidR="008E273C" w:rsidRDefault="008E273C" w:rsidP="008E273C">
      <w:pPr>
        <w:pStyle w:val="BodyText"/>
        <w:rPr>
          <w:spacing w:val="-2"/>
        </w:rPr>
      </w:pPr>
      <w:r w:rsidRPr="002608D5">
        <w:rPr>
          <w:b/>
        </w:rPr>
        <w:t>Deputy Chief Executive Officer</w:t>
      </w:r>
      <w:r w:rsidR="002608D5" w:rsidRPr="002608D5">
        <w:rPr>
          <w:b/>
        </w:rPr>
        <w:t xml:space="preserve">, </w:t>
      </w:r>
      <w:r w:rsidRPr="002608D5">
        <w:rPr>
          <w:b/>
        </w:rPr>
        <w:t xml:space="preserve">Strategy </w:t>
      </w:r>
      <w:r w:rsidR="002608D5">
        <w:rPr>
          <w:b/>
        </w:rPr>
        <w:t>a</w:t>
      </w:r>
      <w:r w:rsidR="002608D5" w:rsidRPr="002608D5">
        <w:rPr>
          <w:b/>
        </w:rPr>
        <w:t xml:space="preserve">nd </w:t>
      </w:r>
      <w:r w:rsidRPr="002608D5">
        <w:rPr>
          <w:b/>
        </w:rPr>
        <w:t>Performance</w:t>
      </w:r>
      <w:r w:rsidR="002608D5" w:rsidRPr="002608D5">
        <w:rPr>
          <w:b/>
        </w:rPr>
        <w:t>—</w:t>
      </w:r>
      <w:r>
        <w:t xml:space="preserve">Responsible for operating the strategic centre for the agency by setting the strategic direction and enterprise transformation agenda. The DCEO is also responsible for </w:t>
      </w:r>
      <w:r>
        <w:rPr>
          <w:spacing w:val="-2"/>
        </w:rPr>
        <w:t>monitoring and reporting on progress on the agency’s strategy and performance.</w:t>
      </w:r>
    </w:p>
    <w:p w:rsidR="008E273C" w:rsidRDefault="008E273C" w:rsidP="008E273C">
      <w:pPr>
        <w:pStyle w:val="Heading3"/>
      </w:pPr>
      <w:r>
        <w:t xml:space="preserve">Remuneration for </w:t>
      </w:r>
      <w:r w:rsidR="002608D5">
        <w:t>S</w:t>
      </w:r>
      <w:r>
        <w:t xml:space="preserve">enior </w:t>
      </w:r>
      <w:r w:rsidR="002608D5">
        <w:t>E</w:t>
      </w:r>
      <w:r>
        <w:t xml:space="preserve">xecutives </w:t>
      </w:r>
    </w:p>
    <w:p w:rsidR="008E273C" w:rsidRDefault="008E273C" w:rsidP="008E273C">
      <w:pPr>
        <w:pStyle w:val="BodyText"/>
        <w:spacing w:after="57"/>
      </w:pPr>
      <w:r>
        <w:rPr>
          <w:spacing w:val="-5"/>
        </w:rPr>
        <w:t>The CEO establishes salary ranges for Senior Executive Service (SES) staff based on:</w:t>
      </w:r>
    </w:p>
    <w:p w:rsidR="008E273C" w:rsidRDefault="008E273C" w:rsidP="00E42522">
      <w:pPr>
        <w:pStyle w:val="ListBullet"/>
      </w:pPr>
      <w:r>
        <w:t xml:space="preserve">the Australian Government Workplace Bargaining Policy 2018 </w:t>
      </w:r>
    </w:p>
    <w:p w:rsidR="008E273C" w:rsidRDefault="008E273C" w:rsidP="00E42522">
      <w:pPr>
        <w:pStyle w:val="ListBullet"/>
      </w:pPr>
      <w:r>
        <w:t xml:space="preserve">the annual Australian Public Service SES remuneration survey </w:t>
      </w:r>
    </w:p>
    <w:p w:rsidR="008E273C" w:rsidRDefault="008E273C" w:rsidP="00E42522">
      <w:pPr>
        <w:pStyle w:val="ListBullet"/>
      </w:pPr>
      <w:r>
        <w:t xml:space="preserve">the performance of the agency </w:t>
      </w:r>
    </w:p>
    <w:p w:rsidR="008E273C" w:rsidRDefault="008E273C" w:rsidP="00E42522">
      <w:pPr>
        <w:pStyle w:val="ListBullet"/>
      </w:pPr>
      <w:proofErr w:type="gramStart"/>
      <w:r>
        <w:t>value</w:t>
      </w:r>
      <w:proofErr w:type="gramEnd"/>
      <w:r>
        <w:t xml:space="preserve"> for money. </w:t>
      </w:r>
    </w:p>
    <w:p w:rsidR="008E273C" w:rsidRDefault="008E273C" w:rsidP="008E273C">
      <w:pPr>
        <w:pStyle w:val="BodyText"/>
      </w:pPr>
      <w:r>
        <w:t>The CEO reviews salaries for individual SES staff each year after the end of the annual performance cycle. As well as individual performance, the CEO takes into account factors such as organisational performance, comparable remuneration data, and the size and complexity of the role.</w:t>
      </w:r>
    </w:p>
    <w:p w:rsidR="008E273C" w:rsidRPr="002608D5" w:rsidRDefault="002608D5" w:rsidP="002608D5">
      <w:pPr>
        <w:pStyle w:val="BodyText"/>
        <w:rPr>
          <w:b/>
        </w:rPr>
      </w:pPr>
      <w:r w:rsidRPr="002608D5">
        <w:rPr>
          <w:b/>
        </w:rPr>
        <w:t>Table 45:</w:t>
      </w:r>
      <w:r w:rsidR="008E273C" w:rsidRPr="002608D5">
        <w:rPr>
          <w:b/>
        </w:rPr>
        <w:t xml:space="preserve"> Salary ranges for SES classifications effective at 30 June 2020</w:t>
      </w:r>
    </w:p>
    <w:tbl>
      <w:tblPr>
        <w:tblStyle w:val="TableGrid"/>
        <w:tblW w:w="5000" w:type="pct"/>
        <w:tblLook w:val="0000" w:firstRow="0" w:lastRow="0" w:firstColumn="0" w:lastColumn="0" w:noHBand="0" w:noVBand="0"/>
        <w:tblCaption w:val="Table 45: Salary ranges for SES classifications effective at 30 June 2020"/>
        <w:tblDescription w:val="Table 45: Salary ranges for SES classifications effective at 30 June 2020"/>
      </w:tblPr>
      <w:tblGrid>
        <w:gridCol w:w="5548"/>
        <w:gridCol w:w="5548"/>
      </w:tblGrid>
      <w:tr w:rsidR="008E273C" w:rsidTr="007B3F73">
        <w:trPr>
          <w:trHeight w:val="60"/>
          <w:tblHeader/>
        </w:trPr>
        <w:tc>
          <w:tcPr>
            <w:tcW w:w="2500" w:type="pct"/>
          </w:tcPr>
          <w:p w:rsidR="008E273C" w:rsidRPr="002608D5" w:rsidRDefault="008E273C" w:rsidP="002608D5">
            <w:pPr>
              <w:pStyle w:val="BodyText"/>
              <w:rPr>
                <w:b/>
              </w:rPr>
            </w:pPr>
            <w:r w:rsidRPr="002608D5">
              <w:rPr>
                <w:b/>
              </w:rPr>
              <w:t>Classification</w:t>
            </w:r>
          </w:p>
        </w:tc>
        <w:tc>
          <w:tcPr>
            <w:tcW w:w="2500" w:type="pct"/>
          </w:tcPr>
          <w:p w:rsidR="008E273C" w:rsidRPr="002608D5" w:rsidRDefault="008E273C" w:rsidP="002608D5">
            <w:pPr>
              <w:pStyle w:val="BodyText"/>
              <w:rPr>
                <w:b/>
              </w:rPr>
            </w:pPr>
            <w:r w:rsidRPr="002608D5">
              <w:rPr>
                <w:b/>
              </w:rPr>
              <w:t>Salary range</w:t>
            </w:r>
            <w:r w:rsidRPr="002608D5">
              <w:rPr>
                <w:b/>
                <w:vertAlign w:val="superscript"/>
              </w:rPr>
              <w:t>(a)</w:t>
            </w:r>
            <w:r w:rsidRPr="002608D5">
              <w:rPr>
                <w:b/>
              </w:rPr>
              <w:t xml:space="preserve"> </w:t>
            </w:r>
          </w:p>
        </w:tc>
      </w:tr>
      <w:tr w:rsidR="008E273C" w:rsidTr="002608D5">
        <w:trPr>
          <w:trHeight w:val="60"/>
        </w:trPr>
        <w:tc>
          <w:tcPr>
            <w:tcW w:w="2500" w:type="pct"/>
          </w:tcPr>
          <w:p w:rsidR="008E273C" w:rsidRDefault="008E273C" w:rsidP="002608D5">
            <w:pPr>
              <w:pStyle w:val="BodyText"/>
            </w:pPr>
            <w:r>
              <w:t>SES Band 3</w:t>
            </w:r>
          </w:p>
        </w:tc>
        <w:tc>
          <w:tcPr>
            <w:tcW w:w="2500" w:type="pct"/>
          </w:tcPr>
          <w:p w:rsidR="008E273C" w:rsidRDefault="008E273C" w:rsidP="002608D5">
            <w:pPr>
              <w:pStyle w:val="BodyText"/>
            </w:pPr>
            <w:r>
              <w:t>$315,300–$374,600</w:t>
            </w:r>
          </w:p>
        </w:tc>
      </w:tr>
      <w:tr w:rsidR="008E273C" w:rsidTr="002608D5">
        <w:trPr>
          <w:trHeight w:val="60"/>
        </w:trPr>
        <w:tc>
          <w:tcPr>
            <w:tcW w:w="2500" w:type="pct"/>
          </w:tcPr>
          <w:p w:rsidR="008E273C" w:rsidRDefault="008E273C" w:rsidP="002608D5">
            <w:pPr>
              <w:pStyle w:val="BodyText"/>
            </w:pPr>
            <w:r>
              <w:t>SES Band 2</w:t>
            </w:r>
          </w:p>
        </w:tc>
        <w:tc>
          <w:tcPr>
            <w:tcW w:w="2500" w:type="pct"/>
          </w:tcPr>
          <w:p w:rsidR="008E273C" w:rsidRDefault="008E273C" w:rsidP="002608D5">
            <w:pPr>
              <w:pStyle w:val="BodyText"/>
            </w:pPr>
            <w:r>
              <w:t xml:space="preserve">$223,700–$275,800 </w:t>
            </w:r>
          </w:p>
        </w:tc>
      </w:tr>
      <w:tr w:rsidR="008E273C" w:rsidTr="002608D5">
        <w:trPr>
          <w:trHeight w:val="60"/>
        </w:trPr>
        <w:tc>
          <w:tcPr>
            <w:tcW w:w="2500" w:type="pct"/>
          </w:tcPr>
          <w:p w:rsidR="008E273C" w:rsidRDefault="008E273C" w:rsidP="002608D5">
            <w:pPr>
              <w:pStyle w:val="BodyText"/>
            </w:pPr>
            <w:r>
              <w:t>SES Band 1</w:t>
            </w:r>
          </w:p>
        </w:tc>
        <w:tc>
          <w:tcPr>
            <w:tcW w:w="2500" w:type="pct"/>
          </w:tcPr>
          <w:p w:rsidR="008E273C" w:rsidRDefault="008E273C" w:rsidP="002608D5">
            <w:pPr>
              <w:pStyle w:val="BodyText"/>
            </w:pPr>
            <w:r>
              <w:t xml:space="preserve">$167,600–$216,000 </w:t>
            </w:r>
          </w:p>
        </w:tc>
      </w:tr>
    </w:tbl>
    <w:p w:rsidR="008E273C" w:rsidRDefault="008E273C" w:rsidP="002608D5">
      <w:pPr>
        <w:pStyle w:val="BodyText"/>
      </w:pPr>
      <w:r>
        <w:t>(a)</w:t>
      </w:r>
      <w:r w:rsidR="002608D5">
        <w:t xml:space="preserve"> </w:t>
      </w:r>
      <w:r>
        <w:t>The salary ranges in the table cover base salary rates only. They do not include motor vehicles allowance, reportable fringe benefits or other allowances. The CEO may approve salary rates outside of these ranges.</w:t>
      </w:r>
    </w:p>
    <w:p w:rsidR="008E273C" w:rsidRDefault="008E273C" w:rsidP="008E273C">
      <w:pPr>
        <w:pStyle w:val="BodyText"/>
      </w:pPr>
      <w:r>
        <w:t>See Appendix B for remuneration for key management personnel and other highly paid staff.</w:t>
      </w:r>
    </w:p>
    <w:p w:rsidR="008E273C" w:rsidRDefault="008E273C" w:rsidP="008E273C">
      <w:pPr>
        <w:pStyle w:val="Heading2"/>
      </w:pPr>
      <w:r>
        <w:t xml:space="preserve">Workplace profile </w:t>
      </w:r>
    </w:p>
    <w:p w:rsidR="008E273C" w:rsidRDefault="008E273C" w:rsidP="008E273C">
      <w:pPr>
        <w:pStyle w:val="Heading3"/>
      </w:pPr>
      <w:r>
        <w:t>Our staff</w:t>
      </w:r>
    </w:p>
    <w:p w:rsidR="008E273C" w:rsidRDefault="008E273C" w:rsidP="008E273C">
      <w:pPr>
        <w:pStyle w:val="BodyText"/>
      </w:pPr>
      <w:r>
        <w:t xml:space="preserve">At 30 June 2020 Services Australia employed 31,753 people, of whom 27,549 (86.8 per cent) were ongoing, 805 (2.5 per cent) were non-ongoing and 3,399 (10.7 per cent) were irregular/intermittent. </w:t>
      </w:r>
    </w:p>
    <w:p w:rsidR="008E273C" w:rsidRDefault="008E273C" w:rsidP="008E273C">
      <w:pPr>
        <w:pStyle w:val="BodyText"/>
      </w:pPr>
      <w:r>
        <w:t xml:space="preserve">Changes to the agency’s workforce size reflect government priorities, Budget measures, service delivery demands, ongoing efficiencies and natural attrition. See Appendix B for statistics by classification, </w:t>
      </w:r>
      <w:r>
        <w:lastRenderedPageBreak/>
        <w:t>location, employment status, employment type, gender, and Aboriginal and Torres Strait Islander identity. It also sets out salary ranges and employment arrangements.</w:t>
      </w:r>
    </w:p>
    <w:p w:rsidR="008E273C" w:rsidRDefault="008E273C" w:rsidP="008E273C">
      <w:pPr>
        <w:pStyle w:val="Heading2"/>
      </w:pPr>
      <w:r>
        <w:t>Workforce strategies and planning</w:t>
      </w:r>
    </w:p>
    <w:p w:rsidR="008E273C" w:rsidRDefault="008E273C" w:rsidP="008E273C">
      <w:pPr>
        <w:pStyle w:val="BodyText"/>
      </w:pPr>
      <w:r>
        <w:t xml:space="preserve">In 2019 Services Australia developed its </w:t>
      </w:r>
      <w:r>
        <w:rPr>
          <w:rStyle w:val="Italic"/>
        </w:rPr>
        <w:t>2019–23 Strategic Workforce Plan</w:t>
      </w:r>
      <w:r>
        <w:t xml:space="preserve">. This is an overview of the changing expectations of our business, the internal and external factors influencing workforce change, and workforce planning priorities. During the year the agency’s workforce planning capability enabled quick mobilisation of surge personnel in response to the bushfires and the COVID-19 pandemic (see </w:t>
      </w:r>
      <w:r>
        <w:rPr>
          <w:rStyle w:val="Italic"/>
        </w:rPr>
        <w:t>Responses to emergencies</w:t>
      </w:r>
      <w:r>
        <w:t xml:space="preserve"> on page 49 and </w:t>
      </w:r>
      <w:r>
        <w:rPr>
          <w:rStyle w:val="Italic"/>
        </w:rPr>
        <w:t>COVID-19 pandemic</w:t>
      </w:r>
      <w:r>
        <w:t xml:space="preserve"> on page xv).</w:t>
      </w:r>
    </w:p>
    <w:p w:rsidR="008E273C" w:rsidRDefault="008E273C" w:rsidP="008E273C">
      <w:pPr>
        <w:pStyle w:val="Heading2"/>
      </w:pPr>
      <w:r>
        <w:t>Recruitment and redeployment</w:t>
      </w:r>
    </w:p>
    <w:p w:rsidR="008E273C" w:rsidRDefault="008E273C" w:rsidP="008E273C">
      <w:pPr>
        <w:pStyle w:val="BodyText"/>
      </w:pPr>
      <w:r>
        <w:t>Through the Job Placement Scheme, Services Australia is committed to retaining and redeploying staff whose roles may be affected by organisational change. The scheme aims to ensure that the agency retains valuable skills, experience and capabilities. In 2019–20 171 people in the Job Placement Scheme were found ongoing positions or left the agency.</w:t>
      </w:r>
    </w:p>
    <w:p w:rsidR="008E273C" w:rsidRDefault="008E273C" w:rsidP="008E273C">
      <w:pPr>
        <w:pStyle w:val="BodyText"/>
      </w:pPr>
      <w:r>
        <w:t>In 2019–20 the agency advertised approximately 336 vacancy notices in the APS employment gazette, generating approximately 31,660 applications. We also use labour hire and other contractors to supplement the ongoing workforce as needed.</w:t>
      </w:r>
    </w:p>
    <w:p w:rsidR="008E273C" w:rsidRDefault="008E273C" w:rsidP="008E273C">
      <w:pPr>
        <w:pStyle w:val="Heading3"/>
      </w:pPr>
      <w:r>
        <w:t>National Graduate Program</w:t>
      </w:r>
    </w:p>
    <w:p w:rsidR="008E273C" w:rsidRDefault="008E273C" w:rsidP="008E273C">
      <w:pPr>
        <w:pStyle w:val="BodyText"/>
      </w:pPr>
      <w:r>
        <w:rPr>
          <w:spacing w:val="-2"/>
        </w:rPr>
        <w:t xml:space="preserve">The agency’s National Graduate Program offers both professional and generalist </w:t>
      </w:r>
      <w:r>
        <w:t>pathways to successful applicants. The 2020 intake comprised 20 professional and 37 generalist pathway participants.</w:t>
      </w:r>
    </w:p>
    <w:p w:rsidR="008E273C" w:rsidRDefault="008E273C" w:rsidP="008E273C">
      <w:pPr>
        <w:pStyle w:val="Heading3"/>
      </w:pPr>
      <w:r>
        <w:t>Digital Apprenticeship and Digital Cadetship programs</w:t>
      </w:r>
    </w:p>
    <w:p w:rsidR="008E273C" w:rsidRDefault="008E273C" w:rsidP="008E273C">
      <w:pPr>
        <w:pStyle w:val="BodyText"/>
      </w:pPr>
      <w:r>
        <w:rPr>
          <w:spacing w:val="-2"/>
        </w:rPr>
        <w:t xml:space="preserve">The Digital Apprenticeship program offers a career for people finishing year 12 or looking for a career change. In 2020 one apprentice joined Services Australia. </w:t>
      </w:r>
    </w:p>
    <w:p w:rsidR="008E273C" w:rsidRDefault="008E273C" w:rsidP="008E273C">
      <w:pPr>
        <w:pStyle w:val="BodyText"/>
      </w:pPr>
      <w:r>
        <w:t>The Digital Cadetship program gives cadets opportunities to gain on-the-job skills while still studying at university. In 2020 11 cadets started in the agency.</w:t>
      </w:r>
    </w:p>
    <w:p w:rsidR="008E273C" w:rsidRDefault="008E273C" w:rsidP="008E273C">
      <w:pPr>
        <w:pStyle w:val="Heading2"/>
      </w:pPr>
      <w:r>
        <w:t>Diversity and inclusion</w:t>
      </w:r>
    </w:p>
    <w:p w:rsidR="008E273C" w:rsidRDefault="008E273C" w:rsidP="008E273C">
      <w:pPr>
        <w:pStyle w:val="BodyText"/>
      </w:pPr>
      <w:r>
        <w:t>Services Australia is committed to creating workplaces that are accessible and inclusive for all staff. In 2019–20 the agency continued to implement the</w:t>
      </w:r>
      <w:r>
        <w:rPr>
          <w:spacing w:val="-4"/>
        </w:rPr>
        <w:t xml:space="preserve"> </w:t>
      </w:r>
      <w:r>
        <w:rPr>
          <w:rStyle w:val="Italic"/>
          <w:spacing w:val="-4"/>
        </w:rPr>
        <w:t>Workplace Inclusion and Diversity Strategy 2019–23</w:t>
      </w:r>
      <w:r>
        <w:rPr>
          <w:spacing w:val="-4"/>
        </w:rPr>
        <w:t xml:space="preserve">. This strategy acknowledges </w:t>
      </w:r>
      <w:r>
        <w:t xml:space="preserve">the importance of diversity and inclusion to the agency, and sets out renewed commitments to realise positive employment experiences and outcomes for all staff. This includes people who identify from one or many diversity groups. </w:t>
      </w:r>
    </w:p>
    <w:p w:rsidR="008E273C" w:rsidRDefault="008E273C" w:rsidP="008E273C">
      <w:pPr>
        <w:pStyle w:val="Heading3"/>
      </w:pPr>
      <w:r>
        <w:t>Cultural and linguistic diversity</w:t>
      </w:r>
    </w:p>
    <w:p w:rsidR="008E273C" w:rsidRDefault="008E273C" w:rsidP="008E273C">
      <w:pPr>
        <w:pStyle w:val="BodyText"/>
      </w:pPr>
      <w:r>
        <w:rPr>
          <w:spacing w:val="-2"/>
        </w:rPr>
        <w:t xml:space="preserve">Services Australia recognises the value and importance of cultural and linguistic </w:t>
      </w:r>
      <w:r>
        <w:t xml:space="preserve">diversity. This includes membership of the Government’s National Anti-Racism Partnership, which is implementing the National Anti-Racism Strategy. </w:t>
      </w:r>
    </w:p>
    <w:p w:rsidR="008E273C" w:rsidRDefault="008E273C" w:rsidP="008E273C">
      <w:pPr>
        <w:pStyle w:val="BodyText"/>
      </w:pPr>
      <w:r>
        <w:lastRenderedPageBreak/>
        <w:t xml:space="preserve">The agency also has multicultural awareness training for staff. In 2019–20 over 10,750 staff received this training, compared to 14,573 staff in 2018–19. Training paused as a result of COVID-19. The agency also celebrated events of significance such as Harmony Day and Refugee Week. </w:t>
      </w:r>
    </w:p>
    <w:p w:rsidR="008E273C" w:rsidRDefault="008E273C" w:rsidP="008E273C">
      <w:pPr>
        <w:pStyle w:val="BodyText"/>
      </w:pPr>
      <w:r>
        <w:t xml:space="preserve">Services Australia pays a Community Language Allowance to staff in line with the </w:t>
      </w:r>
      <w:r>
        <w:rPr>
          <w:rStyle w:val="Italic"/>
        </w:rPr>
        <w:t>Department of Human Services Enterprise Agreement 2017–2020</w:t>
      </w:r>
      <w:r>
        <w:t xml:space="preserve"> (see also </w:t>
      </w:r>
      <w:r>
        <w:rPr>
          <w:rStyle w:val="Italic"/>
        </w:rPr>
        <w:t>Language services</w:t>
      </w:r>
      <w:r>
        <w:t xml:space="preserve"> on page 46).</w:t>
      </w:r>
    </w:p>
    <w:p w:rsidR="008E273C" w:rsidRDefault="008E273C" w:rsidP="008E273C">
      <w:pPr>
        <w:pStyle w:val="Heading3"/>
      </w:pPr>
      <w:r>
        <w:t>Employment of people with disability</w:t>
      </w:r>
    </w:p>
    <w:p w:rsidR="008E273C" w:rsidRDefault="008E273C" w:rsidP="008E273C">
      <w:pPr>
        <w:pStyle w:val="BodyText"/>
      </w:pPr>
      <w:r>
        <w:t xml:space="preserve">Services Australia continued its commitment to disability inclusion through the implementation of our </w:t>
      </w:r>
      <w:r>
        <w:rPr>
          <w:rStyle w:val="Italic"/>
        </w:rPr>
        <w:t>Workplace Inclusion and Diversity Strategy 2019–23</w:t>
      </w:r>
      <w:r>
        <w:t xml:space="preserve"> and </w:t>
      </w:r>
      <w:r>
        <w:rPr>
          <w:rStyle w:val="Italic"/>
        </w:rPr>
        <w:t>Inclusion Action Plan 2019–20</w:t>
      </w:r>
      <w:r>
        <w:t xml:space="preserve">. </w:t>
      </w:r>
    </w:p>
    <w:p w:rsidR="008E273C" w:rsidRDefault="008E273C" w:rsidP="00E42522">
      <w:pPr>
        <w:pStyle w:val="BodyText"/>
      </w:pPr>
      <w:r>
        <w:t xml:space="preserve">The strategy and plan outline recruitment and retention strategies for attracting, supporting and retaining people with disability. In 2019–20 the agency implemented and piloted new programs and initiatives, including: </w:t>
      </w:r>
    </w:p>
    <w:p w:rsidR="008E273C" w:rsidRDefault="008E273C" w:rsidP="00E42522">
      <w:pPr>
        <w:pStyle w:val="ListBullet"/>
      </w:pPr>
      <w:r>
        <w:t>internship opportunities through the Australian Network On Disability ‘Stepping Into Program’</w:t>
      </w:r>
    </w:p>
    <w:p w:rsidR="008E273C" w:rsidRDefault="008E273C" w:rsidP="00E42522">
      <w:pPr>
        <w:pStyle w:val="ListBullet"/>
      </w:pPr>
      <w:r>
        <w:t>a disability employment pathway for university graduates with disability through our National Graduate Program</w:t>
      </w:r>
    </w:p>
    <w:p w:rsidR="008E273C" w:rsidRDefault="008E273C" w:rsidP="00E42522">
      <w:pPr>
        <w:pStyle w:val="ListBullet"/>
      </w:pPr>
      <w:proofErr w:type="gramStart"/>
      <w:r>
        <w:t>a</w:t>
      </w:r>
      <w:proofErr w:type="gramEnd"/>
      <w:r>
        <w:t xml:space="preserve"> traineeship pilot program for Year 12 school leavers with disability.</w:t>
      </w:r>
    </w:p>
    <w:p w:rsidR="008E273C" w:rsidRDefault="008E273C" w:rsidP="008E273C">
      <w:pPr>
        <w:pStyle w:val="BodyText"/>
      </w:pPr>
      <w:r>
        <w:t xml:space="preserve">Through a contract arrangement with </w:t>
      </w:r>
      <w:proofErr w:type="spellStart"/>
      <w:r>
        <w:t>Koomarri</w:t>
      </w:r>
      <w:proofErr w:type="spellEnd"/>
      <w:r>
        <w:t xml:space="preserve">, the agency also supports employment of people with intellectual disability who work in administrative and office support services. </w:t>
      </w:r>
    </w:p>
    <w:p w:rsidR="008E273C" w:rsidRDefault="008E273C" w:rsidP="008E273C">
      <w:pPr>
        <w:pStyle w:val="Heading3"/>
      </w:pPr>
      <w:r>
        <w:t>Employment of people on the autism spectrum</w:t>
      </w:r>
    </w:p>
    <w:p w:rsidR="008E273C" w:rsidRDefault="008E273C" w:rsidP="008E273C">
      <w:pPr>
        <w:pStyle w:val="BodyText"/>
      </w:pPr>
      <w:r>
        <w:t xml:space="preserve">During 2019–20 Services Australia continued its commitment to employment opportunities for people on the autism spectrum. An additional 10 people were engaged in three-year ICT traineeships through the Dandelion and Autism Talent Hub programs. Under these programs the agency has created a total of 51 employment opportunities since 2015. </w:t>
      </w:r>
    </w:p>
    <w:p w:rsidR="008E273C" w:rsidRDefault="008E273C" w:rsidP="008E273C">
      <w:pPr>
        <w:pStyle w:val="BodyText"/>
      </w:pPr>
      <w:r>
        <w:t xml:space="preserve">Another nine people were engaged in specialist fraud and compliance roles during 2019–20 as part of the Aurora Program, a neurodiversity initiative developed in partnership with </w:t>
      </w:r>
      <w:proofErr w:type="spellStart"/>
      <w:r>
        <w:t>Specialisterne</w:t>
      </w:r>
      <w:proofErr w:type="spellEnd"/>
      <w:r>
        <w:t xml:space="preserve"> Australia—a specialist provider in employment of people with autism. </w:t>
      </w:r>
    </w:p>
    <w:p w:rsidR="008E273C" w:rsidRDefault="008E273C" w:rsidP="008E273C">
      <w:pPr>
        <w:pStyle w:val="Heading3"/>
      </w:pPr>
      <w:r>
        <w:t>Other diversity initiatives</w:t>
      </w:r>
    </w:p>
    <w:p w:rsidR="008E273C" w:rsidRDefault="008E273C" w:rsidP="00E42522">
      <w:pPr>
        <w:pStyle w:val="BodyText"/>
      </w:pPr>
      <w:r>
        <w:t xml:space="preserve">Other initiatives to promote workplace diversity in 2019–20 included: </w:t>
      </w:r>
    </w:p>
    <w:p w:rsidR="008E273C" w:rsidRDefault="008E273C" w:rsidP="00E42522">
      <w:pPr>
        <w:pStyle w:val="ListBullet"/>
      </w:pPr>
      <w:r>
        <w:t xml:space="preserve">participating in the 2019 Australian Workplace Equality Index, where Services Australia achieved Bronze Employer status </w:t>
      </w:r>
    </w:p>
    <w:p w:rsidR="008E273C" w:rsidRDefault="008E273C" w:rsidP="00E42522">
      <w:pPr>
        <w:pStyle w:val="ListBullet"/>
      </w:pPr>
      <w:r>
        <w:t>developing an Adoption, Fostering and Surrogacy Leave Information Sheet</w:t>
      </w:r>
    </w:p>
    <w:p w:rsidR="008E273C" w:rsidRDefault="008E273C" w:rsidP="00E42522">
      <w:pPr>
        <w:pStyle w:val="ListBullet"/>
      </w:pPr>
      <w:r>
        <w:t>developing a Gender Affirmation Information Sheet</w:t>
      </w:r>
    </w:p>
    <w:p w:rsidR="008E273C" w:rsidRDefault="008E273C" w:rsidP="00E42522">
      <w:pPr>
        <w:pStyle w:val="ListBullet"/>
      </w:pPr>
      <w:r>
        <w:t>participating in the Australian Network on Disability Access and Inclusion Index, with the agency placed in the top five organisations for disability inclusion</w:t>
      </w:r>
    </w:p>
    <w:p w:rsidR="008E273C" w:rsidRDefault="008E273C" w:rsidP="00E42522">
      <w:pPr>
        <w:pStyle w:val="ListBullet"/>
      </w:pPr>
      <w:r>
        <w:t xml:space="preserve">launching a new LGBTI+ resource hub </w:t>
      </w:r>
    </w:p>
    <w:p w:rsidR="008E273C" w:rsidRDefault="008E273C" w:rsidP="00E42522">
      <w:pPr>
        <w:pStyle w:val="ListBullet"/>
      </w:pPr>
      <w:proofErr w:type="gramStart"/>
      <w:r>
        <w:lastRenderedPageBreak/>
        <w:t>hosting</w:t>
      </w:r>
      <w:proofErr w:type="gramEnd"/>
      <w:r>
        <w:t xml:space="preserve"> five staff diversity networks to share information and to support Indigenous staff, staff with disability, mature age staff, staff with culturally and linguistically diverse backgrounds, and LGBTI staff.</w:t>
      </w:r>
    </w:p>
    <w:p w:rsidR="008E273C" w:rsidRDefault="008E273C" w:rsidP="008E273C">
      <w:pPr>
        <w:pStyle w:val="Heading3"/>
      </w:pPr>
      <w:r>
        <w:t>Workplace accessibility</w:t>
      </w:r>
    </w:p>
    <w:p w:rsidR="008E273C" w:rsidRDefault="008E273C" w:rsidP="008E273C">
      <w:pPr>
        <w:pStyle w:val="BodyText"/>
      </w:pPr>
      <w:r>
        <w:t xml:space="preserve">In 2019–20 Services Australia provided support, training and advice to </w:t>
      </w:r>
      <w:r>
        <w:rPr>
          <w:spacing w:val="-2"/>
        </w:rPr>
        <w:t xml:space="preserve">approximately 450 staff with disability who use assistive technology software, and to 350 staff with disability who use accessible telecommunications products. The agency also maintained an accessibility service desk which aims to remove barriers to workplace participation for employees with accessibility requirements. </w:t>
      </w:r>
    </w:p>
    <w:p w:rsidR="008E273C" w:rsidRDefault="008E273C" w:rsidP="00E42522">
      <w:pPr>
        <w:pStyle w:val="BodyText"/>
      </w:pPr>
      <w:r>
        <w:t>During the year Services Australia continued to deliver accessibility support shared services to the:</w:t>
      </w:r>
    </w:p>
    <w:p w:rsidR="008E273C" w:rsidRDefault="008E273C" w:rsidP="00E42522">
      <w:pPr>
        <w:pStyle w:val="ListBullet"/>
      </w:pPr>
      <w:r>
        <w:t xml:space="preserve">Department of Social Services </w:t>
      </w:r>
    </w:p>
    <w:p w:rsidR="008E273C" w:rsidRDefault="008E273C" w:rsidP="00E42522">
      <w:pPr>
        <w:pStyle w:val="ListBullet"/>
      </w:pPr>
      <w:r>
        <w:t xml:space="preserve">National Disability Insurance Agency </w:t>
      </w:r>
    </w:p>
    <w:p w:rsidR="008E273C" w:rsidRDefault="008E273C" w:rsidP="00E42522">
      <w:pPr>
        <w:pStyle w:val="ListBullet"/>
      </w:pPr>
      <w:r>
        <w:t xml:space="preserve">Australian Taxation Office </w:t>
      </w:r>
    </w:p>
    <w:p w:rsidR="008E273C" w:rsidRDefault="008E273C" w:rsidP="00E42522">
      <w:pPr>
        <w:pStyle w:val="ListBullet"/>
      </w:pPr>
      <w:r>
        <w:t xml:space="preserve">Department of Veterans’ Affairs </w:t>
      </w:r>
    </w:p>
    <w:p w:rsidR="008E273C" w:rsidRDefault="008E273C" w:rsidP="00E42522">
      <w:pPr>
        <w:pStyle w:val="ListBullet"/>
      </w:pPr>
      <w:r>
        <w:t xml:space="preserve">National Disability Insurance Agency Quality and Safeguards Commission. </w:t>
      </w:r>
    </w:p>
    <w:p w:rsidR="008E273C" w:rsidRDefault="008E273C" w:rsidP="008E273C">
      <w:pPr>
        <w:pStyle w:val="Heading3"/>
      </w:pPr>
      <w:r>
        <w:t>Carer Recognition Act 2010 report</w:t>
      </w:r>
    </w:p>
    <w:p w:rsidR="008E273C" w:rsidRDefault="008E273C" w:rsidP="00E42522">
      <w:pPr>
        <w:pStyle w:val="BodyText"/>
      </w:pPr>
      <w:r>
        <w:t xml:space="preserve">Services Australia complies with its obligations under the </w:t>
      </w:r>
      <w:r>
        <w:rPr>
          <w:rStyle w:val="Italic"/>
        </w:rPr>
        <w:t>Carer Recognition Act 2010</w:t>
      </w:r>
      <w:r>
        <w:t xml:space="preserve"> and adheres to the principles of the Statement for Australia’s Carers. Internal human resources policies take account of the Statement for Australia’s Carers in areas that may significantly affect an employee’s caring role. The agency supports staff with caring responsibilities through: </w:t>
      </w:r>
    </w:p>
    <w:p w:rsidR="008E273C" w:rsidRDefault="008E273C" w:rsidP="00E42522">
      <w:pPr>
        <w:pStyle w:val="ListBullet"/>
      </w:pPr>
      <w:r>
        <w:t>flexible working arrangements</w:t>
      </w:r>
    </w:p>
    <w:p w:rsidR="008E273C" w:rsidRDefault="008E273C" w:rsidP="00E42522">
      <w:pPr>
        <w:pStyle w:val="ListBullet"/>
      </w:pPr>
      <w:r>
        <w:t xml:space="preserve">part-time work </w:t>
      </w:r>
    </w:p>
    <w:p w:rsidR="008E273C" w:rsidRDefault="008E273C" w:rsidP="00E42522">
      <w:pPr>
        <w:pStyle w:val="ListBullet"/>
      </w:pPr>
      <w:r>
        <w:t>home-based work</w:t>
      </w:r>
    </w:p>
    <w:p w:rsidR="008E273C" w:rsidRDefault="008E273C" w:rsidP="00E42522">
      <w:pPr>
        <w:pStyle w:val="ListBullet"/>
      </w:pPr>
      <w:r>
        <w:t xml:space="preserve">an elder care advisory service </w:t>
      </w:r>
    </w:p>
    <w:p w:rsidR="008E273C" w:rsidRDefault="008E273C" w:rsidP="00E42522">
      <w:pPr>
        <w:pStyle w:val="ListBullet"/>
      </w:pPr>
      <w:proofErr w:type="gramStart"/>
      <w:r>
        <w:t>the</w:t>
      </w:r>
      <w:proofErr w:type="gramEnd"/>
      <w:r>
        <w:t xml:space="preserve"> agency’s Employee Assistance Program. </w:t>
      </w:r>
    </w:p>
    <w:p w:rsidR="008E273C" w:rsidRDefault="008E273C" w:rsidP="008E273C">
      <w:pPr>
        <w:pStyle w:val="BodyText"/>
      </w:pPr>
      <w:r>
        <w:t xml:space="preserve">We also work with partner agencies to ensure that carer policies and service delivery align with the statement and the six priority areas identified in the Australian Government’s </w:t>
      </w:r>
      <w:r>
        <w:rPr>
          <w:rStyle w:val="Italic"/>
        </w:rPr>
        <w:t>National Carer Strategy Action Plan (2011–2014)</w:t>
      </w:r>
      <w:r>
        <w:t>.</w:t>
      </w:r>
    </w:p>
    <w:p w:rsidR="008E273C" w:rsidRDefault="008E273C" w:rsidP="008E273C">
      <w:pPr>
        <w:pStyle w:val="Heading3"/>
      </w:pPr>
      <w:r>
        <w:rPr>
          <w:spacing w:val="-3"/>
        </w:rPr>
        <w:t>Employment of Aboriginal and Torres Strait Islander peoples</w:t>
      </w:r>
    </w:p>
    <w:p w:rsidR="008E273C" w:rsidRDefault="008E273C" w:rsidP="008E273C">
      <w:pPr>
        <w:pStyle w:val="BodyText"/>
        <w:rPr>
          <w:spacing w:val="-3"/>
        </w:rPr>
      </w:pPr>
      <w:r>
        <w:t xml:space="preserve">At 30 June 2020 Services Australia had 1,753 Aboriginal and Torres Strait Islander staff self-identifying. This equates to 5.5 per cent representation across Services Australia. </w:t>
      </w:r>
    </w:p>
    <w:p w:rsidR="008E273C" w:rsidRDefault="008E273C" w:rsidP="008E273C">
      <w:pPr>
        <w:pStyle w:val="BodyText"/>
      </w:pPr>
      <w:r>
        <w:t>Under section 26 of the APS Public Commissioner’s Directions, government agencies can advertise employment opportunities restricted to Aboriginal and Torres Strait Islander applicants only. In 2019–20 we placed 192 Indigenous-only vacancy advertisements in the APS employment gazette. From these, 64 Indigenous people were recruited to the agency.</w:t>
      </w:r>
    </w:p>
    <w:p w:rsidR="008E273C" w:rsidRDefault="008E273C" w:rsidP="008E273C">
      <w:pPr>
        <w:pStyle w:val="Heading3"/>
      </w:pPr>
      <w:r>
        <w:lastRenderedPageBreak/>
        <w:t>Supporting Aboriginal and Torres Strait Islander staff</w:t>
      </w:r>
    </w:p>
    <w:p w:rsidR="008E273C" w:rsidRDefault="008E273C" w:rsidP="00E42522">
      <w:pPr>
        <w:pStyle w:val="BodyText"/>
      </w:pPr>
      <w:r>
        <w:t>During the year activities under the agency’s</w:t>
      </w:r>
      <w:r>
        <w:rPr>
          <w:rStyle w:val="Italic"/>
          <w:spacing w:val="-2"/>
        </w:rPr>
        <w:t xml:space="preserve"> Aboriginal and Torres Strait Islander </w:t>
      </w:r>
      <w:r>
        <w:rPr>
          <w:rStyle w:val="Italic"/>
        </w:rPr>
        <w:t>Employees Strategy 2018–22</w:t>
      </w:r>
      <w:r>
        <w:t xml:space="preserve"> included:</w:t>
      </w:r>
    </w:p>
    <w:p w:rsidR="008E273C" w:rsidRDefault="008E273C" w:rsidP="00E42522">
      <w:pPr>
        <w:pStyle w:val="ListBullet"/>
      </w:pPr>
      <w:r>
        <w:t xml:space="preserve">continuing participation in the Indigenous Mentoring Program, the Indigenous Buddy Program, Indigenous Employee Network meetings, regional presence forums </w:t>
      </w:r>
    </w:p>
    <w:p w:rsidR="008E273C" w:rsidRDefault="008E273C" w:rsidP="00E42522">
      <w:pPr>
        <w:pStyle w:val="ListBullet"/>
      </w:pPr>
      <w:r>
        <w:t xml:space="preserve">aligning the Indigenous Cultural Capability Framework with the Australian Public Service Commission’s Aboriginal and Torres Strait Islander Cultural Capability Framework </w:t>
      </w:r>
    </w:p>
    <w:p w:rsidR="008E273C" w:rsidRDefault="008E273C" w:rsidP="00E42522">
      <w:pPr>
        <w:pStyle w:val="ListBullet"/>
      </w:pPr>
      <w:r>
        <w:t xml:space="preserve">launching the Indigenous Cultural Capability Learning Pathway, which aims to ensure all employees have the knowledge, skills and practices to perform their duties in a culturally informed way </w:t>
      </w:r>
    </w:p>
    <w:p w:rsidR="008E273C" w:rsidRDefault="008E273C" w:rsidP="00E42522">
      <w:pPr>
        <w:pStyle w:val="ListBullet"/>
      </w:pPr>
      <w:r>
        <w:t>7,007 staff accessing and completing Indigenous cultural awareness eLearning training, and 1,222 participating in second tier face-to-face training</w:t>
      </w:r>
    </w:p>
    <w:p w:rsidR="008E273C" w:rsidRDefault="008E273C" w:rsidP="00E42522">
      <w:pPr>
        <w:pStyle w:val="ListBullet"/>
      </w:pPr>
      <w:proofErr w:type="gramStart"/>
      <w:r>
        <w:t>four</w:t>
      </w:r>
      <w:proofErr w:type="gramEnd"/>
      <w:r>
        <w:t xml:space="preserve"> internal Indigenous Champions who advocate for improved recruitment, retention and developmental outcomes for Aboriginal and Torres Strait Islander employees.</w:t>
      </w:r>
    </w:p>
    <w:p w:rsidR="008E273C" w:rsidRDefault="008E273C" w:rsidP="008E273C">
      <w:pPr>
        <w:pStyle w:val="Heading3"/>
      </w:pPr>
      <w:r>
        <w:t xml:space="preserve">Indigenous graduates </w:t>
      </w:r>
    </w:p>
    <w:p w:rsidR="008E273C" w:rsidRDefault="008E273C" w:rsidP="008E273C">
      <w:pPr>
        <w:pStyle w:val="BodyText"/>
      </w:pPr>
      <w:r>
        <w:t>In 2019–20 six applicants applied for the 2020 National Graduate Program through the Affirmative Measure—Indigenous provisions, and one Indigenous graduate was recruited into the program.</w:t>
      </w:r>
    </w:p>
    <w:p w:rsidR="008E273C" w:rsidRDefault="008E273C" w:rsidP="008E273C">
      <w:pPr>
        <w:pStyle w:val="Heading3"/>
      </w:pPr>
      <w:r>
        <w:t xml:space="preserve">Indigenous Apprenticeships Program </w:t>
      </w:r>
    </w:p>
    <w:p w:rsidR="008E273C" w:rsidRDefault="008E273C" w:rsidP="008E273C">
      <w:pPr>
        <w:pStyle w:val="BodyText"/>
      </w:pPr>
      <w:r>
        <w:t>The entry-level Indigenous Apprenticeships Program is a whole-of-government program designed to attract Aboriginal and Torres Strait Islander peoples into the APS. In 2019–20 179 apprentices commenced with the agency under this program. Services Australia supported an additional 67 apprentices to commence across our 18 partner agencies.</w:t>
      </w:r>
    </w:p>
    <w:p w:rsidR="008E273C" w:rsidRDefault="008E273C" w:rsidP="008E273C">
      <w:pPr>
        <w:pStyle w:val="Heading3"/>
      </w:pPr>
      <w:r>
        <w:t>Reconciliation</w:t>
      </w:r>
    </w:p>
    <w:p w:rsidR="008E273C" w:rsidRDefault="008E273C" w:rsidP="008E273C">
      <w:pPr>
        <w:pStyle w:val="BodyText"/>
      </w:pPr>
      <w:r>
        <w:t xml:space="preserve">Services Australia is a committed reconciliation leader in the APS. The agency’s </w:t>
      </w:r>
      <w:r>
        <w:rPr>
          <w:rStyle w:val="Italic"/>
        </w:rPr>
        <w:t>Reconciliation Action Plan (RAP) 2018–22</w:t>
      </w:r>
      <w:r>
        <w:t xml:space="preserve"> outlines how we will contribute to better outcomes for all Aboriginal and Torres Strait Islander peoples. </w:t>
      </w:r>
    </w:p>
    <w:p w:rsidR="008E273C" w:rsidRDefault="008E273C" w:rsidP="008E273C">
      <w:pPr>
        <w:pStyle w:val="BodyText"/>
      </w:pPr>
      <w:r>
        <w:t xml:space="preserve">The RAP complements two other agency internal Indigenous strategies—the </w:t>
      </w:r>
      <w:r>
        <w:rPr>
          <w:rStyle w:val="Italic"/>
        </w:rPr>
        <w:t>Indigenous Servicing Strategy 2018–22</w:t>
      </w:r>
      <w:r>
        <w:t xml:space="preserve"> and the </w:t>
      </w:r>
      <w:r>
        <w:rPr>
          <w:rStyle w:val="Italic"/>
        </w:rPr>
        <w:t>Aboriginal and Torres Strait Islander Employees Strategy 2018–22</w:t>
      </w:r>
      <w:r>
        <w:t xml:space="preserve">. These two strategies support reconciliation by ensuring the agency is an employer of choice for Aboriginal and Torres Strait Islander people and that services are designed to meet Indigenous service standards. </w:t>
      </w:r>
    </w:p>
    <w:p w:rsidR="008E273C" w:rsidRDefault="008E273C" w:rsidP="008E273C">
      <w:pPr>
        <w:pStyle w:val="BodyText"/>
      </w:pPr>
      <w:r>
        <w:t xml:space="preserve">In 2019–20 the agency achieved 27 of its 32 commitments against the 2019–20 RAP targets. Some of the actions in the RAP were realigned to 2020–21 to reflect the disruption caused by the COVID-19 pandemic. </w:t>
      </w:r>
    </w:p>
    <w:p w:rsidR="008E273C" w:rsidRDefault="008E273C" w:rsidP="008E273C">
      <w:pPr>
        <w:pStyle w:val="Heading2"/>
      </w:pPr>
      <w:r>
        <w:t>Performance management</w:t>
      </w:r>
    </w:p>
    <w:p w:rsidR="008E273C" w:rsidRDefault="008E273C" w:rsidP="008E273C">
      <w:pPr>
        <w:pStyle w:val="BodyText"/>
      </w:pPr>
      <w:r>
        <w:t xml:space="preserve">Services Australia’s performance management process is designed to foster a culture of high performance by providing staff with a clear link between their work effort and agency priorities. </w:t>
      </w:r>
    </w:p>
    <w:p w:rsidR="008E273C" w:rsidRDefault="008E273C" w:rsidP="008E273C">
      <w:pPr>
        <w:pStyle w:val="BodyText"/>
      </w:pPr>
      <w:r>
        <w:lastRenderedPageBreak/>
        <w:t xml:space="preserve">In 2019–20 96.1 per cent of Services Australia staff negotiated individual performance agreements with their managers. Nearly all of those who did not (3.9 per cent) were on long-term leave or had not yet completed more than eight weeks of duties during the performance cycle. </w:t>
      </w:r>
    </w:p>
    <w:p w:rsidR="008E273C" w:rsidRDefault="008E273C" w:rsidP="008E273C">
      <w:pPr>
        <w:pStyle w:val="Heading2"/>
      </w:pPr>
      <w:r>
        <w:t>Learning and development</w:t>
      </w:r>
    </w:p>
    <w:p w:rsidR="008E273C" w:rsidRDefault="008E273C" w:rsidP="008E273C">
      <w:pPr>
        <w:pStyle w:val="Heading3"/>
      </w:pPr>
      <w:r>
        <w:t xml:space="preserve">Developing service delivery staff skills </w:t>
      </w:r>
    </w:p>
    <w:p w:rsidR="008E273C" w:rsidRDefault="008E273C" w:rsidP="008E273C">
      <w:pPr>
        <w:pStyle w:val="BodyText"/>
      </w:pPr>
      <w:r>
        <w:t>In 2019–20 Services Australia completed a review of its Service Skills Learning Program. This program develops the service and communication skills of service delivery staff, and builds competencies in de-escalation techniques and dealing with aggressive behaviours.</w:t>
      </w:r>
    </w:p>
    <w:p w:rsidR="008E273C" w:rsidRDefault="008E273C" w:rsidP="008E273C">
      <w:pPr>
        <w:pStyle w:val="BodyText"/>
      </w:pPr>
      <w:r>
        <w:t>The review found that the development, implementation and uptake of the program was an effective intervention to assist staff in dealing with customer aggression. Following the review, the program will apply new opportunities to increase the program’s impact.</w:t>
      </w:r>
    </w:p>
    <w:p w:rsidR="008E273C" w:rsidRDefault="008E273C" w:rsidP="008E273C">
      <w:pPr>
        <w:pStyle w:val="Heading3"/>
      </w:pPr>
      <w:r>
        <w:t xml:space="preserve">Leadership programs and talent management </w:t>
      </w:r>
    </w:p>
    <w:p w:rsidR="008E273C" w:rsidRDefault="008E273C" w:rsidP="008E273C">
      <w:pPr>
        <w:pStyle w:val="BodyText"/>
        <w:rPr>
          <w:spacing w:val="-2"/>
        </w:rPr>
      </w:pPr>
      <w:r>
        <w:t>The Executive Development Program is a talent and leadership development program targeted to high performing and high potential Executive Level 2, SES Band 1 and SES Band 2 staff. Between July 2019 and March 2020, 51 participants completed the program across three cohorts. Each cohort had a blend of staff at all three levels. The learning component consisted of four leadership modules. In total, the agency delivered 12 modules to the three cohorts.</w:t>
      </w:r>
    </w:p>
    <w:p w:rsidR="008E273C" w:rsidRDefault="008E273C" w:rsidP="00E42522">
      <w:pPr>
        <w:pStyle w:val="BodyText"/>
      </w:pPr>
      <w:r>
        <w:t>National Leadership Programs strengthen the resilience and leadership qualities of more than 5,000 managers and supervisors across the agency. Learn2Lead (for APS5 and 6 level staff), Lead2Inspire (for Executive Level 1 staff), and Exceed (for Executive Level 2 staff) each provide six days of leadership training spread over nine months. In 2019–20:</w:t>
      </w:r>
    </w:p>
    <w:p w:rsidR="008E273C" w:rsidRDefault="008E273C" w:rsidP="00E42522">
      <w:pPr>
        <w:pStyle w:val="ListBullet"/>
      </w:pPr>
      <w:r>
        <w:t>266 participants completed the EL2 Leadership program across 10 cohorts</w:t>
      </w:r>
    </w:p>
    <w:p w:rsidR="008E273C" w:rsidRDefault="008E273C" w:rsidP="00E42522">
      <w:pPr>
        <w:pStyle w:val="ListBullet"/>
      </w:pPr>
      <w:r>
        <w:t>539 participants (31 cohorts) attended the Learn2Lead program</w:t>
      </w:r>
    </w:p>
    <w:p w:rsidR="008E273C" w:rsidRDefault="008E273C" w:rsidP="00E42522">
      <w:pPr>
        <w:pStyle w:val="ListBullet"/>
      </w:pPr>
      <w:r>
        <w:t>94 participants commenced in the Lead2Inspire program, with the first workshop delivered in November 2019.</w:t>
      </w:r>
    </w:p>
    <w:p w:rsidR="008E273C" w:rsidRDefault="008E273C" w:rsidP="008E273C">
      <w:pPr>
        <w:pStyle w:val="Heading3"/>
      </w:pPr>
      <w:r>
        <w:t xml:space="preserve">Developing Indigenous leadership and management </w:t>
      </w:r>
    </w:p>
    <w:p w:rsidR="008E273C" w:rsidRDefault="008E273C" w:rsidP="00E42522">
      <w:pPr>
        <w:pStyle w:val="BodyText"/>
      </w:pPr>
      <w:r>
        <w:t>Services Australia offers a number of cultural and career development opportunities to support the leadership and development of Aboriginal and Torres Strait Islander staff. During the year:</w:t>
      </w:r>
    </w:p>
    <w:p w:rsidR="008E273C" w:rsidRDefault="008E273C" w:rsidP="00E42522">
      <w:pPr>
        <w:pStyle w:val="ListBullet"/>
      </w:pPr>
      <w:r>
        <w:t>nine Indigenous employees graduated from the Australian Graduate School of Management Executive Leadership program and four employees commenced the program</w:t>
      </w:r>
    </w:p>
    <w:p w:rsidR="008E273C" w:rsidRDefault="008E273C" w:rsidP="00E42522">
      <w:pPr>
        <w:pStyle w:val="ListBullet"/>
      </w:pPr>
      <w:r>
        <w:t xml:space="preserve">one Indigenous Senior Executive had a placement with the Stories of Female Leadership </w:t>
      </w:r>
      <w:proofErr w:type="spellStart"/>
      <w:r>
        <w:t>Malparara</w:t>
      </w:r>
      <w:proofErr w:type="spellEnd"/>
      <w:r>
        <w:t xml:space="preserve"> Leadership Program</w:t>
      </w:r>
    </w:p>
    <w:p w:rsidR="008E273C" w:rsidRDefault="008E273C" w:rsidP="00E42522">
      <w:pPr>
        <w:pStyle w:val="ListBullet"/>
      </w:pPr>
      <w:r>
        <w:t>six Indigenous staff participated in the Coolamon Advisors’ Talent Management program for APS levels 5 and 6</w:t>
      </w:r>
    </w:p>
    <w:p w:rsidR="008E273C" w:rsidRDefault="008E273C" w:rsidP="00E42522">
      <w:pPr>
        <w:pStyle w:val="ListBullet"/>
      </w:pPr>
      <w:r>
        <w:t xml:space="preserve">two Indigenous staff took part in the APS </w:t>
      </w:r>
      <w:proofErr w:type="spellStart"/>
      <w:r>
        <w:t>excELerate</w:t>
      </w:r>
      <w:proofErr w:type="spellEnd"/>
      <w:r>
        <w:t xml:space="preserve"> Program </w:t>
      </w:r>
    </w:p>
    <w:p w:rsidR="008E273C" w:rsidRDefault="008E273C" w:rsidP="00E42522">
      <w:pPr>
        <w:pStyle w:val="ListBullet"/>
      </w:pPr>
      <w:r>
        <w:lastRenderedPageBreak/>
        <w:t xml:space="preserve">two Indigenous scholars were supported with their first undergraduate degree through the Australian Government Indigenous Scholarship Program </w:t>
      </w:r>
    </w:p>
    <w:p w:rsidR="008E273C" w:rsidRDefault="008E273C" w:rsidP="00E42522">
      <w:pPr>
        <w:pStyle w:val="ListBullet"/>
      </w:pPr>
      <w:proofErr w:type="gramStart"/>
      <w:r>
        <w:t>four</w:t>
      </w:r>
      <w:proofErr w:type="gramEnd"/>
      <w:r>
        <w:t xml:space="preserve"> Indigenous staff were supported to undertake Pat Turner Scholarships.</w:t>
      </w:r>
    </w:p>
    <w:p w:rsidR="008E273C" w:rsidRDefault="008E273C" w:rsidP="008E273C">
      <w:pPr>
        <w:pStyle w:val="Heading3"/>
      </w:pPr>
      <w:r>
        <w:t xml:space="preserve">Digital learning </w:t>
      </w:r>
    </w:p>
    <w:p w:rsidR="008E273C" w:rsidRDefault="008E273C" w:rsidP="00E42522">
      <w:pPr>
        <w:pStyle w:val="BodyText"/>
      </w:pPr>
      <w:r>
        <w:t>Services Australia continues to prioritise awareness of digital technologies for learning. A growing proportion of staff are engaging with technology to increase their capability in the workplace, and support the agency’s digital transformation. In 2019–20 the agency:</w:t>
      </w:r>
    </w:p>
    <w:p w:rsidR="008E273C" w:rsidRDefault="008E273C" w:rsidP="00E42522">
      <w:pPr>
        <w:pStyle w:val="ListBullet"/>
      </w:pPr>
      <w:r>
        <w:t xml:space="preserve">used virtual learning extensively during the COVID-19 pandemic response to train new staff quickly in customer service delivery functions </w:t>
      </w:r>
    </w:p>
    <w:p w:rsidR="008E273C" w:rsidRDefault="008E273C" w:rsidP="00E42522">
      <w:pPr>
        <w:pStyle w:val="ListBullet"/>
      </w:pPr>
      <w:r>
        <w:t xml:space="preserve">offered a variety of learning programs that use virtual meeting technology </w:t>
      </w:r>
    </w:p>
    <w:p w:rsidR="008E273C" w:rsidRDefault="008E273C" w:rsidP="00E42522">
      <w:pPr>
        <w:pStyle w:val="ListBullet"/>
      </w:pPr>
      <w:r>
        <w:t xml:space="preserve">focussed on building staff awareness of digital learning </w:t>
      </w:r>
    </w:p>
    <w:p w:rsidR="008E273C" w:rsidRDefault="008E273C" w:rsidP="00E42522">
      <w:pPr>
        <w:pStyle w:val="ListBullet"/>
      </w:pPr>
      <w:r>
        <w:t xml:space="preserve">launched a self-service learning intranet site </w:t>
      </w:r>
    </w:p>
    <w:p w:rsidR="008E273C" w:rsidRDefault="008E273C" w:rsidP="00E42522">
      <w:pPr>
        <w:pStyle w:val="ListBullet"/>
      </w:pPr>
      <w:proofErr w:type="gramStart"/>
      <w:r>
        <w:t>introduced</w:t>
      </w:r>
      <w:proofErr w:type="gramEnd"/>
      <w:r>
        <w:t xml:space="preserve"> a mobile device application which enables staff to access a wide range of learning products at any time.</w:t>
      </w:r>
    </w:p>
    <w:p w:rsidR="008E273C" w:rsidRDefault="008E273C" w:rsidP="008E273C">
      <w:pPr>
        <w:pStyle w:val="Heading2"/>
      </w:pPr>
      <w:r>
        <w:t>Staff engagement and recognition</w:t>
      </w:r>
    </w:p>
    <w:p w:rsidR="008E273C" w:rsidRDefault="008E273C" w:rsidP="008E273C">
      <w:pPr>
        <w:pStyle w:val="Heading3"/>
      </w:pPr>
      <w:r>
        <w:t xml:space="preserve">National Consultative Committee </w:t>
      </w:r>
    </w:p>
    <w:p w:rsidR="008E273C" w:rsidRDefault="008E273C" w:rsidP="008E273C">
      <w:pPr>
        <w:pStyle w:val="BodyText"/>
        <w:rPr>
          <w:spacing w:val="-2"/>
        </w:rPr>
      </w:pPr>
      <w:r>
        <w:rPr>
          <w:spacing w:val="-2"/>
        </w:rPr>
        <w:t xml:space="preserve">In 2019–20 the agency’s peak staff consultation body, the National Consultative Committee, met five times to discuss matters of strategic significance for staff, including new technologies and systems. </w:t>
      </w:r>
    </w:p>
    <w:p w:rsidR="008E273C" w:rsidRDefault="008E273C" w:rsidP="008E273C">
      <w:pPr>
        <w:pStyle w:val="Heading3"/>
      </w:pPr>
      <w:r>
        <w:t>External awards</w:t>
      </w:r>
    </w:p>
    <w:p w:rsidR="008E273C" w:rsidRDefault="008E273C" w:rsidP="00E42522">
      <w:pPr>
        <w:pStyle w:val="BodyText"/>
      </w:pPr>
      <w:r>
        <w:t>In 2019–20 the following public sector and private sector industry association awards programs recognised individuals and teams from Services Australia:</w:t>
      </w:r>
    </w:p>
    <w:p w:rsidR="008E273C" w:rsidRDefault="008E273C" w:rsidP="00E42522">
      <w:pPr>
        <w:pStyle w:val="ListBullet"/>
      </w:pPr>
      <w:r>
        <w:t xml:space="preserve">Public Service Medal—Australia Day Honours: </w:t>
      </w:r>
    </w:p>
    <w:p w:rsidR="008E273C" w:rsidRDefault="008E273C" w:rsidP="00F52C15">
      <w:pPr>
        <w:pStyle w:val="ListBullet2"/>
      </w:pPr>
      <w:r>
        <w:t xml:space="preserve">Penny </w:t>
      </w:r>
      <w:proofErr w:type="spellStart"/>
      <w:r>
        <w:t>Damianakis</w:t>
      </w:r>
      <w:proofErr w:type="spellEnd"/>
      <w:r>
        <w:t xml:space="preserve"> for exemplary leadership in the provision of Centrelink services to vulnerable customers and refugee communities </w:t>
      </w:r>
    </w:p>
    <w:p w:rsidR="008E273C" w:rsidRDefault="008E273C" w:rsidP="00E42522">
      <w:pPr>
        <w:pStyle w:val="ListBullet"/>
      </w:pPr>
      <w:r>
        <w:t>Public Service Medal—Queen’s Birthday Honours:</w:t>
      </w:r>
    </w:p>
    <w:p w:rsidR="008E273C" w:rsidRDefault="008E273C" w:rsidP="00F52C15">
      <w:pPr>
        <w:pStyle w:val="ListBullet2"/>
      </w:pPr>
      <w:r>
        <w:t xml:space="preserve">Norman </w:t>
      </w:r>
      <w:proofErr w:type="spellStart"/>
      <w:r>
        <w:t>Wotherspoon</w:t>
      </w:r>
      <w:proofErr w:type="spellEnd"/>
      <w:r>
        <w:t xml:space="preserve"> for his outstanding leadership by going above and beyond to support his community and staff</w:t>
      </w:r>
    </w:p>
    <w:p w:rsidR="008E273C" w:rsidRDefault="008E273C" w:rsidP="00F52C15">
      <w:pPr>
        <w:pStyle w:val="ListBullet2"/>
      </w:pPr>
      <w:r>
        <w:t xml:space="preserve">Alan Davidson for his exceptional leadership, tireless effort and commitment to the Single Touch Payroll project </w:t>
      </w:r>
    </w:p>
    <w:p w:rsidR="008E273C" w:rsidRDefault="008E273C" w:rsidP="00F52C15">
      <w:pPr>
        <w:pStyle w:val="ListBullet2"/>
      </w:pPr>
      <w:r>
        <w:t>Cheryl Jenkins for her unerring commitment to both her staff and her customers, and for being a role model to her fellow social workers</w:t>
      </w:r>
    </w:p>
    <w:p w:rsidR="008E273C" w:rsidRDefault="008E273C" w:rsidP="00E42522">
      <w:pPr>
        <w:pStyle w:val="ListBullet"/>
      </w:pPr>
      <w:r>
        <w:t xml:space="preserve">Institute of Public Administration Australia Innovation Awards—Culture and </w:t>
      </w:r>
      <w:r>
        <w:rPr>
          <w:spacing w:val="-4"/>
        </w:rPr>
        <w:t>Capability: Finalist—Innovation across Human Services—Make it Happen project</w:t>
      </w:r>
    </w:p>
    <w:p w:rsidR="008E273C" w:rsidRDefault="008E273C" w:rsidP="00E42522">
      <w:pPr>
        <w:pStyle w:val="ListBullet"/>
      </w:pPr>
      <w:r>
        <w:t xml:space="preserve">Australian Institute of Training Development Excellence Awards—Best Diversity and Inclusion Program: Gold Winner—SES Changing Mindsets Program </w:t>
      </w:r>
    </w:p>
    <w:p w:rsidR="008E273C" w:rsidRDefault="008E273C" w:rsidP="00E42522">
      <w:pPr>
        <w:pStyle w:val="ListBullet"/>
      </w:pPr>
      <w:r>
        <w:lastRenderedPageBreak/>
        <w:t>Australian Institute of Training Development Excellence Awards—Best Leadership Development Programme: Finalist—EL2 Leadership Program</w:t>
      </w:r>
    </w:p>
    <w:p w:rsidR="008E273C" w:rsidRDefault="008E273C" w:rsidP="00E42522">
      <w:pPr>
        <w:pStyle w:val="ListBullet"/>
      </w:pPr>
      <w:r>
        <w:t>Australian Association of Graduate Employers—Graduate Recruitment Industry Awards: Finalist—National Graduate Program</w:t>
      </w:r>
    </w:p>
    <w:p w:rsidR="008E273C" w:rsidRDefault="008E273C" w:rsidP="00E42522">
      <w:pPr>
        <w:pStyle w:val="ListBullet"/>
      </w:pPr>
      <w:r>
        <w:t>Digital Transformation Agency—Australian Government Digital Awards: Finalist—New Payments Platform Real Time Payments Capability for Department of Human Services Customers project</w:t>
      </w:r>
    </w:p>
    <w:p w:rsidR="008E273C" w:rsidRDefault="008E273C" w:rsidP="00E42522">
      <w:pPr>
        <w:pStyle w:val="ListBullet"/>
      </w:pPr>
      <w:r>
        <w:t>Chartered Accountants Australia and New Zealand: Finalist—Robert Mintel.</w:t>
      </w:r>
    </w:p>
    <w:p w:rsidR="008E273C" w:rsidRDefault="008E273C" w:rsidP="008E273C">
      <w:pPr>
        <w:pStyle w:val="Heading3"/>
      </w:pPr>
      <w:r>
        <w:t>Internal awards</w:t>
      </w:r>
    </w:p>
    <w:p w:rsidR="008E273C" w:rsidRDefault="008E273C" w:rsidP="00E42522">
      <w:pPr>
        <w:pStyle w:val="BodyText"/>
      </w:pPr>
      <w:r>
        <w:t>Service Australia’s Awards and Honours Program recognises and rewards excellent performance. Its main national award program is for exceptional service delivery, successful innovation, inspiring leadership, and business excellence for individuals and teams. In 2019–20:</w:t>
      </w:r>
    </w:p>
    <w:p w:rsidR="008E273C" w:rsidRDefault="008E273C" w:rsidP="00E42522">
      <w:pPr>
        <w:pStyle w:val="ListBullet"/>
      </w:pPr>
      <w:r>
        <w:t>Two individuals and six teams won Pinnacle Achievement Awards for their exceptional contribution and performance, and 24 nominees were highly commended.</w:t>
      </w:r>
    </w:p>
    <w:p w:rsidR="008E273C" w:rsidRDefault="008E273C" w:rsidP="00E42522">
      <w:pPr>
        <w:pStyle w:val="ListBullet"/>
      </w:pPr>
      <w:r>
        <w:t>Ten staff were recognised in the Australia Day Achievement Awards for their commitment and dedication to their work.</w:t>
      </w:r>
    </w:p>
    <w:p w:rsidR="008E273C" w:rsidRDefault="008E273C" w:rsidP="00E42522">
      <w:pPr>
        <w:pStyle w:val="ListBullet"/>
      </w:pPr>
      <w:r>
        <w:t>Two individuals and three teams won achievement awards for Indigenous servicing, and two individuals were highly commended for their work in Indigenous servicing.</w:t>
      </w:r>
    </w:p>
    <w:p w:rsidR="008E273C" w:rsidRDefault="008E273C" w:rsidP="008E273C">
      <w:pPr>
        <w:pStyle w:val="Heading2"/>
      </w:pPr>
      <w:r>
        <w:t>Performance pay</w:t>
      </w:r>
    </w:p>
    <w:p w:rsidR="008E273C" w:rsidRDefault="008E273C" w:rsidP="008E273C">
      <w:pPr>
        <w:pStyle w:val="BodyText"/>
      </w:pPr>
      <w:r>
        <w:t>Services Australia made no performance payments in 2019–20.</w:t>
      </w:r>
    </w:p>
    <w:p w:rsidR="008E273C" w:rsidRDefault="008E273C" w:rsidP="008E273C">
      <w:pPr>
        <w:pStyle w:val="Heading2"/>
      </w:pPr>
      <w:r>
        <w:t>Employment arrangements</w:t>
      </w:r>
    </w:p>
    <w:p w:rsidR="008E273C" w:rsidRDefault="008E273C" w:rsidP="008E273C">
      <w:pPr>
        <w:pStyle w:val="Heading3"/>
      </w:pPr>
      <w:r>
        <w:t xml:space="preserve">Enterprise agreements </w:t>
      </w:r>
    </w:p>
    <w:p w:rsidR="008E273C" w:rsidRDefault="008E273C" w:rsidP="008E273C">
      <w:pPr>
        <w:pStyle w:val="BodyText"/>
      </w:pPr>
      <w:r>
        <w:t xml:space="preserve">The </w:t>
      </w:r>
      <w:r>
        <w:rPr>
          <w:rStyle w:val="Italic"/>
        </w:rPr>
        <w:t>Department of Human Services Enterprise Agreement 2017–2020</w:t>
      </w:r>
      <w:r>
        <w:t xml:space="preserve"> offers a range of allowances for staff who meet eligibility criteria. For example, social workers can claim reimbursement for professional association membership fees associated with the performance of their duties.</w:t>
      </w:r>
    </w:p>
    <w:p w:rsidR="008E273C" w:rsidRDefault="008E273C" w:rsidP="008E273C">
      <w:pPr>
        <w:pStyle w:val="BodyText"/>
      </w:pPr>
      <w:r>
        <w:t xml:space="preserve">Some staff can access salary sacrifice benefits, including additional superannuation and leased motor vehicles. Non-salary benefits can include a health insurance discount. Some SES staff have a car park at their local office. </w:t>
      </w:r>
    </w:p>
    <w:p w:rsidR="008E273C" w:rsidRDefault="008E273C" w:rsidP="008E273C">
      <w:pPr>
        <w:pStyle w:val="BodyText"/>
      </w:pPr>
      <w:r>
        <w:t>T</w:t>
      </w:r>
      <w:r>
        <w:rPr>
          <w:rStyle w:val="NoBreak"/>
        </w:rPr>
        <w:t>he 2017–2</w:t>
      </w:r>
      <w:r>
        <w:t xml:space="preserve">020 agreement expires on 2 November 2020. An option for future pay increases to be provided through a determination under section 24(1) of the </w:t>
      </w:r>
      <w:r>
        <w:rPr>
          <w:rStyle w:val="Italic"/>
        </w:rPr>
        <w:t>Public Service Act 1999</w:t>
      </w:r>
      <w:r>
        <w:t xml:space="preserve">, with no other changes to conditions, was accepted by 93 per cent of voting staff. On 23 December 2019, the then Secretary made a determination to give effect to pay and allowance increases of 2 per cent on 3 November 2020, 3 November 2021 and 3 November 2022. </w:t>
      </w:r>
    </w:p>
    <w:p w:rsidR="008E273C" w:rsidRDefault="008E273C" w:rsidP="008E273C">
      <w:pPr>
        <w:pStyle w:val="BodyText"/>
      </w:pPr>
      <w:r>
        <w:t>As a result of the COVID-19 pandemic, in April 2020 the Government decided to defer salary increases for six months in Australian Government employment. Our initial 2 per cent pay increases were deferred from 3 November 2020 and will take effect on 3 May 2021.</w:t>
      </w:r>
    </w:p>
    <w:p w:rsidR="008E273C" w:rsidRDefault="008E273C" w:rsidP="008E273C">
      <w:pPr>
        <w:pStyle w:val="BodyText"/>
      </w:pPr>
      <w:r>
        <w:lastRenderedPageBreak/>
        <w:t>The agency helps staff balance their work and personal commitments through access to flexible working hours. At 30 June 2020, 7,573 staff members (23.85 per cent) worked part time (excluding irregular/intermittent staff).</w:t>
      </w:r>
    </w:p>
    <w:p w:rsidR="008E273C" w:rsidRDefault="008E273C" w:rsidP="008E273C">
      <w:pPr>
        <w:pStyle w:val="Heading3"/>
      </w:pPr>
      <w:r>
        <w:t>Individual flexibility arrangements</w:t>
      </w:r>
    </w:p>
    <w:p w:rsidR="008E273C" w:rsidRDefault="008E273C" w:rsidP="008E273C">
      <w:pPr>
        <w:pStyle w:val="BodyText"/>
      </w:pPr>
      <w:r>
        <w:t>In exceptional circumstances, Services Australia makes individual flexibility arrangements with staff. For example, individual flexibility arrangements are used to attract and retain staff in remote and isolated places. In 2019–20 the agency had 95 individual flexibility arrangements.</w:t>
      </w:r>
    </w:p>
    <w:p w:rsidR="008E273C" w:rsidRDefault="008E273C" w:rsidP="008E273C">
      <w:pPr>
        <w:pStyle w:val="Heading1"/>
      </w:pPr>
      <w:r>
        <w:t>4.4 Shared services and partnerships</w:t>
      </w:r>
    </w:p>
    <w:p w:rsidR="008E273C" w:rsidRDefault="008E273C" w:rsidP="008E273C">
      <w:pPr>
        <w:pStyle w:val="Heading2"/>
      </w:pPr>
      <w:r>
        <w:t>Shared services</w:t>
      </w:r>
    </w:p>
    <w:p w:rsidR="008E273C" w:rsidRDefault="008E273C" w:rsidP="008E273C">
      <w:pPr>
        <w:pStyle w:val="BodyText"/>
      </w:pPr>
      <w:r>
        <w:t xml:space="preserve">Services Australia continued to offer shared services in 2019–20, with the agency providing corporate and ICT services to the National Disability Insurance Agency and the Department of Veterans’ Affairs. </w:t>
      </w:r>
    </w:p>
    <w:p w:rsidR="008E273C" w:rsidRDefault="008E273C" w:rsidP="008E273C">
      <w:pPr>
        <w:pStyle w:val="BodyText"/>
      </w:pPr>
      <w:r>
        <w:t>The suite of corporate shared services includes procurement, assistive technology support, human resources and payroll services, credit card management, accounts payable and receivable, travel, fleet management, records management, co</w:t>
      </w:r>
      <w:r>
        <w:noBreakHyphen/>
        <w:t>located accommodation, and security. The agency also delivers internet gateway services for nine Australian Government entities.</w:t>
      </w:r>
    </w:p>
    <w:p w:rsidR="008E273C" w:rsidRDefault="008E273C" w:rsidP="008E273C">
      <w:pPr>
        <w:pStyle w:val="Heading2"/>
      </w:pPr>
      <w:r>
        <w:rPr>
          <w:spacing w:val="-3"/>
        </w:rPr>
        <w:t>Partnerships with Australian Government agencies</w:t>
      </w:r>
    </w:p>
    <w:p w:rsidR="008E273C" w:rsidRDefault="008E273C" w:rsidP="008E273C">
      <w:pPr>
        <w:pStyle w:val="BodyText"/>
      </w:pPr>
      <w:r>
        <w:t xml:space="preserve">Services Australia delivers payments and services on behalf of a wide range of Australian Government agencies. We also support collaboration between Australian Government agencies through data exchange; shared expertise on customer-centric approaches and user testing; service delivery co-design; corporate shared services; co-location; </w:t>
      </w:r>
      <w:proofErr w:type="spellStart"/>
      <w:r>
        <w:t>myGov</w:t>
      </w:r>
      <w:proofErr w:type="spellEnd"/>
      <w:r>
        <w:t xml:space="preserve"> and ICT infrastructure support; and the National Emergency Call Centre Surge Capability.</w:t>
      </w:r>
    </w:p>
    <w:p w:rsidR="008E273C" w:rsidRDefault="008E273C" w:rsidP="00E42522">
      <w:pPr>
        <w:pStyle w:val="BodyText"/>
      </w:pPr>
      <w:r>
        <w:t>The agency works collaboratively with other agencies on whole-of-government initiatives. For example, the agency has a strong collaborative relationship with the Digital Transformation Agency to deliver:</w:t>
      </w:r>
    </w:p>
    <w:p w:rsidR="008E273C" w:rsidRDefault="008E273C" w:rsidP="00E42522">
      <w:pPr>
        <w:pStyle w:val="ListBullet"/>
      </w:pPr>
      <w:r>
        <w:t xml:space="preserve">the Australian Government’s largest digital platform, </w:t>
      </w:r>
      <w:proofErr w:type="spellStart"/>
      <w:r>
        <w:t>myGov</w:t>
      </w:r>
      <w:proofErr w:type="spellEnd"/>
      <w:r>
        <w:t xml:space="preserve"> </w:t>
      </w:r>
    </w:p>
    <w:p w:rsidR="008E273C" w:rsidRDefault="008E273C" w:rsidP="00E42522">
      <w:pPr>
        <w:pStyle w:val="ListBullet"/>
      </w:pPr>
      <w:r>
        <w:t xml:space="preserve">whole-of-government Digital Identity capabilities, in partnership with the Department of Home Affairs, the Department of Foreign Affairs and Trade, and the Australian Taxation Office </w:t>
      </w:r>
    </w:p>
    <w:p w:rsidR="008E273C" w:rsidRDefault="008E273C" w:rsidP="00E42522">
      <w:pPr>
        <w:pStyle w:val="ListBullet"/>
        <w:rPr>
          <w:spacing w:val="-2"/>
        </w:rPr>
      </w:pPr>
      <w:proofErr w:type="gramStart"/>
      <w:r>
        <w:rPr>
          <w:spacing w:val="-2"/>
        </w:rPr>
        <w:t>whole-of-government</w:t>
      </w:r>
      <w:proofErr w:type="gramEnd"/>
      <w:r>
        <w:rPr>
          <w:spacing w:val="-2"/>
        </w:rPr>
        <w:t xml:space="preserve"> architecture, by working with the Digital Transformation </w:t>
      </w:r>
      <w:r>
        <w:t xml:space="preserve">Agency and other agencies to make targeted investments in government capabilities which lead to reuse and savings. </w:t>
      </w:r>
    </w:p>
    <w:p w:rsidR="008E273C" w:rsidRDefault="008E273C" w:rsidP="008E273C">
      <w:pPr>
        <w:pStyle w:val="Heading2"/>
      </w:pPr>
      <w:r>
        <w:rPr>
          <w:spacing w:val="-4"/>
        </w:rPr>
        <w:t>Partnerships with state and territory governments</w:t>
      </w:r>
      <w:r>
        <w:t xml:space="preserve"> and other organisations</w:t>
      </w:r>
    </w:p>
    <w:p w:rsidR="008E273C" w:rsidRDefault="008E273C" w:rsidP="008E273C">
      <w:pPr>
        <w:pStyle w:val="BodyText"/>
      </w:pPr>
      <w:r>
        <w:t>Services Australia manages bilateral arrangements with state and territory government agencies and with some third-party organisations. Th</w:t>
      </w:r>
      <w:r>
        <w:rPr>
          <w:rStyle w:val="NoBreak"/>
        </w:rPr>
        <w:t>ese arrang</w:t>
      </w:r>
      <w:r>
        <w:t>ements include services such as rent deduction, prison servicing, National Emergency Call Centre Surge Capability, and sharing premises.</w:t>
      </w:r>
    </w:p>
    <w:p w:rsidR="008E273C" w:rsidRDefault="008E273C" w:rsidP="008E273C">
      <w:pPr>
        <w:pStyle w:val="Heading3"/>
      </w:pPr>
      <w:r>
        <w:lastRenderedPageBreak/>
        <w:t>Community peak body partnerships</w:t>
      </w:r>
    </w:p>
    <w:p w:rsidR="008E273C" w:rsidRDefault="008E273C" w:rsidP="008E273C">
      <w:pPr>
        <w:pStyle w:val="BodyText"/>
      </w:pPr>
      <w:r>
        <w:t>Service Australia’s Civil Society Advisory Group (CSAG) currently comprises 10 peak body organisations. CSAG represents a rich and diverse network of communities across Australia, from people with disability, carers, seniors and young people, to people from culturally and linguistically diverse backgrounds and people affected by poverty, disadvantage and inequality. CSAG members are valued for their rich insight on customer experiences and advice on where we could make improvements. The agency can draw on CSAG’s expertise at any time for input on service design and delivery topics.</w:t>
      </w:r>
    </w:p>
    <w:p w:rsidR="008E273C" w:rsidRDefault="008E273C" w:rsidP="008E273C">
      <w:pPr>
        <w:pStyle w:val="Heading2"/>
      </w:pPr>
      <w:r>
        <w:t>International partnerships</w:t>
      </w:r>
    </w:p>
    <w:p w:rsidR="008E273C" w:rsidRDefault="008E273C" w:rsidP="008E273C">
      <w:pPr>
        <w:pStyle w:val="BodyText"/>
      </w:pPr>
      <w:r>
        <w:t xml:space="preserve">Services Australia administers formal social security agreements with 31 countries. These agreements outline the shared responsibility for social security coverage and entitlements when people move between the agreement countries. In 2019–20 80,210 people received an Australian pension under international agreements. </w:t>
      </w:r>
    </w:p>
    <w:p w:rsidR="008E273C" w:rsidRDefault="008E273C" w:rsidP="008E273C">
      <w:pPr>
        <w:pStyle w:val="Heading1"/>
      </w:pPr>
      <w:r>
        <w:t>4.5 Consultants</w:t>
      </w:r>
    </w:p>
    <w:p w:rsidR="008E273C" w:rsidRDefault="008E273C" w:rsidP="008E273C">
      <w:pPr>
        <w:pStyle w:val="Heading2"/>
      </w:pPr>
      <w:r>
        <w:t>Consultancy contracts</w:t>
      </w:r>
    </w:p>
    <w:p w:rsidR="008E273C" w:rsidRDefault="008E273C" w:rsidP="008E273C">
      <w:pPr>
        <w:pStyle w:val="BodyText"/>
      </w:pPr>
      <w:r>
        <w:t>Services Australia engages consultants to provide specialist professional services, independent research or assessment and necessary skills that are otherwise unavailable in the agency. Services Australia’s need for consultants is determined by its particular requirements at a point in time and therefore can vary significantly from year to year.</w:t>
      </w:r>
    </w:p>
    <w:p w:rsidR="008E273C" w:rsidRDefault="008E273C" w:rsidP="008E273C">
      <w:pPr>
        <w:pStyle w:val="BodyText"/>
      </w:pPr>
      <w:r>
        <w:rPr>
          <w:spacing w:val="-2"/>
        </w:rPr>
        <w:t xml:space="preserve">The agency categorises consultancy contracts in accordance with the </w:t>
      </w:r>
      <w:r>
        <w:rPr>
          <w:rStyle w:val="Italic"/>
          <w:spacing w:val="-2"/>
        </w:rPr>
        <w:t>Public Governance, Performance and Accountability Rule 2014</w:t>
      </w:r>
      <w:r>
        <w:rPr>
          <w:spacing w:val="-2"/>
        </w:rPr>
        <w:t xml:space="preserve"> for annual reports and the guidance from the Department of Finance on reporting consultancies. I</w:t>
      </w:r>
      <w:r>
        <w:rPr>
          <w:rStyle w:val="NoBreak"/>
          <w:spacing w:val="-2"/>
        </w:rPr>
        <w:t>n addit</w:t>
      </w:r>
      <w:r>
        <w:rPr>
          <w:spacing w:val="-2"/>
        </w:rPr>
        <w:t>ion to the requirements of the agency’s procurement guidelines and policies, all consultancy service proposals undergo a compliance assessment by two procurement specialists before they go to the relevant delegate for approval.</w:t>
      </w:r>
    </w:p>
    <w:p w:rsidR="008E273C" w:rsidRDefault="008E273C" w:rsidP="008E273C">
      <w:pPr>
        <w:pStyle w:val="BodyText"/>
      </w:pPr>
      <w:r>
        <w:t xml:space="preserve">During 2019–20 35 new consultancy contracts were entered into, involving total actual expenditure of $12,650,418 (including GST). </w:t>
      </w:r>
    </w:p>
    <w:p w:rsidR="008E273C" w:rsidRDefault="006C3DEB" w:rsidP="008E273C">
      <w:pPr>
        <w:pStyle w:val="BodyText"/>
      </w:pPr>
      <w:r>
        <w:t>In addition, 20</w:t>
      </w:r>
      <w:r w:rsidR="008E273C">
        <w:t xml:space="preserve"> active ongoing consultancy contracts were still in place during the period, involving total actual expenditure of $</w:t>
      </w:r>
      <w:r>
        <w:t>5,236,324</w:t>
      </w:r>
      <w:r w:rsidR="008E273C">
        <w:t xml:space="preserve"> (including GST), bringing total expenditure on consultancy services for the year to $</w:t>
      </w:r>
      <w:r>
        <w:t>17,886,742</w:t>
      </w:r>
      <w:r w:rsidR="008E273C">
        <w:t>.</w:t>
      </w:r>
    </w:p>
    <w:p w:rsidR="008E273C" w:rsidRDefault="008E273C" w:rsidP="008E273C">
      <w:pPr>
        <w:pStyle w:val="BodyText"/>
      </w:pPr>
      <w:r>
        <w:t>Table 46 shows total expenditure (including GST) on consultancy contracts for 2019–20 and the previous two financial years.</w:t>
      </w:r>
    </w:p>
    <w:p w:rsidR="008E273C" w:rsidRPr="00F52C15" w:rsidRDefault="00F52C15" w:rsidP="00F52C15">
      <w:pPr>
        <w:pStyle w:val="BodyText"/>
        <w:rPr>
          <w:b/>
        </w:rPr>
      </w:pPr>
      <w:r w:rsidRPr="00F52C15">
        <w:rPr>
          <w:b/>
        </w:rPr>
        <w:t>Table 46:</w:t>
      </w:r>
      <w:r w:rsidR="008E273C" w:rsidRPr="00F52C15">
        <w:rPr>
          <w:b/>
        </w:rPr>
        <w:t xml:space="preserve"> Expenditure on consultancy services</w:t>
      </w:r>
    </w:p>
    <w:tbl>
      <w:tblPr>
        <w:tblStyle w:val="TableGrid"/>
        <w:tblW w:w="5000" w:type="pct"/>
        <w:tblLook w:val="0000" w:firstRow="0" w:lastRow="0" w:firstColumn="0" w:lastColumn="0" w:noHBand="0" w:noVBand="0"/>
        <w:tblCaption w:val="Table 46: Expenditure on consultancy services"/>
        <w:tblDescription w:val="Table 46: Expenditure on consultancy services"/>
      </w:tblPr>
      <w:tblGrid>
        <w:gridCol w:w="3963"/>
        <w:gridCol w:w="2379"/>
        <w:gridCol w:w="2379"/>
        <w:gridCol w:w="2375"/>
      </w:tblGrid>
      <w:tr w:rsidR="008E273C" w:rsidTr="00F52C15">
        <w:trPr>
          <w:trHeight w:val="60"/>
          <w:tblHeader/>
        </w:trPr>
        <w:tc>
          <w:tcPr>
            <w:tcW w:w="1786" w:type="pct"/>
          </w:tcPr>
          <w:p w:rsidR="008E273C" w:rsidRPr="00F52C15" w:rsidRDefault="008E273C" w:rsidP="00F52C15">
            <w:pPr>
              <w:pStyle w:val="BodyText"/>
              <w:rPr>
                <w:b/>
              </w:rPr>
            </w:pPr>
          </w:p>
        </w:tc>
        <w:tc>
          <w:tcPr>
            <w:tcW w:w="1072" w:type="pct"/>
          </w:tcPr>
          <w:p w:rsidR="008E273C" w:rsidRPr="00F52C15" w:rsidRDefault="008E273C" w:rsidP="00F52C15">
            <w:pPr>
              <w:pStyle w:val="BodyText"/>
              <w:rPr>
                <w:b/>
              </w:rPr>
            </w:pPr>
            <w:r w:rsidRPr="00F52C15">
              <w:rPr>
                <w:b/>
              </w:rPr>
              <w:t>2017–18</w:t>
            </w:r>
          </w:p>
          <w:p w:rsidR="008E273C" w:rsidRPr="00F52C15" w:rsidRDefault="008E273C" w:rsidP="00F52C15">
            <w:pPr>
              <w:pStyle w:val="BodyText"/>
              <w:rPr>
                <w:b/>
              </w:rPr>
            </w:pPr>
            <w:r w:rsidRPr="00F52C15">
              <w:rPr>
                <w:b/>
              </w:rPr>
              <w:t>$</w:t>
            </w:r>
            <w:r w:rsidR="00F52C15">
              <w:rPr>
                <w:b/>
              </w:rPr>
              <w:t xml:space="preserve"> </w:t>
            </w:r>
            <w:r w:rsidRPr="00F52C15">
              <w:rPr>
                <w:b/>
              </w:rPr>
              <w:t>(including GST)</w:t>
            </w:r>
          </w:p>
        </w:tc>
        <w:tc>
          <w:tcPr>
            <w:tcW w:w="1072" w:type="pct"/>
          </w:tcPr>
          <w:p w:rsidR="007832E8" w:rsidRDefault="008E273C" w:rsidP="00F52C15">
            <w:pPr>
              <w:pStyle w:val="BodyText"/>
              <w:rPr>
                <w:b/>
              </w:rPr>
            </w:pPr>
            <w:r w:rsidRPr="00F52C15">
              <w:rPr>
                <w:b/>
              </w:rPr>
              <w:t>2018–19</w:t>
            </w:r>
            <w:r w:rsidR="00F52C15">
              <w:rPr>
                <w:b/>
              </w:rPr>
              <w:t xml:space="preserve"> </w:t>
            </w:r>
          </w:p>
          <w:p w:rsidR="008E273C" w:rsidRPr="00F52C15" w:rsidRDefault="008E273C" w:rsidP="00F52C15">
            <w:pPr>
              <w:pStyle w:val="BodyText"/>
              <w:rPr>
                <w:b/>
              </w:rPr>
            </w:pPr>
            <w:r w:rsidRPr="00F52C15">
              <w:rPr>
                <w:b/>
              </w:rPr>
              <w:t>$</w:t>
            </w:r>
            <w:r w:rsidR="00F52C15">
              <w:rPr>
                <w:b/>
              </w:rPr>
              <w:t xml:space="preserve"> </w:t>
            </w:r>
            <w:r w:rsidRPr="00F52C15">
              <w:rPr>
                <w:b/>
              </w:rPr>
              <w:t>(including GST)</w:t>
            </w:r>
          </w:p>
        </w:tc>
        <w:tc>
          <w:tcPr>
            <w:tcW w:w="1071" w:type="pct"/>
          </w:tcPr>
          <w:p w:rsidR="007832E8" w:rsidRDefault="008E273C" w:rsidP="00F52C15">
            <w:pPr>
              <w:pStyle w:val="BodyText"/>
              <w:rPr>
                <w:b/>
              </w:rPr>
            </w:pPr>
            <w:r w:rsidRPr="00F52C15">
              <w:rPr>
                <w:b/>
              </w:rPr>
              <w:t>2019–20</w:t>
            </w:r>
            <w:r w:rsidR="00F52C15">
              <w:rPr>
                <w:b/>
              </w:rPr>
              <w:t xml:space="preserve"> </w:t>
            </w:r>
          </w:p>
          <w:p w:rsidR="008E273C" w:rsidRPr="00F52C15" w:rsidRDefault="008E273C" w:rsidP="00F52C15">
            <w:pPr>
              <w:pStyle w:val="BodyText"/>
              <w:rPr>
                <w:b/>
              </w:rPr>
            </w:pPr>
            <w:r w:rsidRPr="00F52C15">
              <w:rPr>
                <w:b/>
              </w:rPr>
              <w:t>$</w:t>
            </w:r>
            <w:r w:rsidR="00F52C15">
              <w:rPr>
                <w:b/>
              </w:rPr>
              <w:t xml:space="preserve"> </w:t>
            </w:r>
            <w:r w:rsidRPr="00F52C15">
              <w:rPr>
                <w:b/>
              </w:rPr>
              <w:t>(including GST)</w:t>
            </w:r>
          </w:p>
        </w:tc>
      </w:tr>
      <w:tr w:rsidR="008E273C" w:rsidTr="00F52C15">
        <w:trPr>
          <w:trHeight w:val="60"/>
        </w:trPr>
        <w:tc>
          <w:tcPr>
            <w:tcW w:w="1786" w:type="pct"/>
          </w:tcPr>
          <w:p w:rsidR="008E273C" w:rsidRDefault="008E273C" w:rsidP="00F52C15">
            <w:pPr>
              <w:pStyle w:val="BodyText"/>
            </w:pPr>
            <w:r>
              <w:t>New consultancy services expenditure</w:t>
            </w:r>
          </w:p>
        </w:tc>
        <w:tc>
          <w:tcPr>
            <w:tcW w:w="1072" w:type="pct"/>
          </w:tcPr>
          <w:p w:rsidR="008E273C" w:rsidRDefault="008E273C" w:rsidP="00F52C15">
            <w:pPr>
              <w:pStyle w:val="BodyText"/>
            </w:pPr>
            <w:r>
              <w:t>8,069,859</w:t>
            </w:r>
          </w:p>
        </w:tc>
        <w:tc>
          <w:tcPr>
            <w:tcW w:w="1072" w:type="pct"/>
          </w:tcPr>
          <w:p w:rsidR="008E273C" w:rsidRDefault="008E273C" w:rsidP="00F52C15">
            <w:pPr>
              <w:pStyle w:val="BodyText"/>
            </w:pPr>
            <w:r>
              <w:t>16,373,253</w:t>
            </w:r>
          </w:p>
        </w:tc>
        <w:tc>
          <w:tcPr>
            <w:tcW w:w="1071" w:type="pct"/>
          </w:tcPr>
          <w:p w:rsidR="008E273C" w:rsidRDefault="008E273C" w:rsidP="00F52C15">
            <w:pPr>
              <w:pStyle w:val="BodyText"/>
            </w:pPr>
            <w:r>
              <w:t>12,650,418</w:t>
            </w:r>
          </w:p>
        </w:tc>
      </w:tr>
      <w:tr w:rsidR="008E273C" w:rsidTr="00F52C15">
        <w:trPr>
          <w:trHeight w:val="60"/>
        </w:trPr>
        <w:tc>
          <w:tcPr>
            <w:tcW w:w="1786" w:type="pct"/>
          </w:tcPr>
          <w:p w:rsidR="008E273C" w:rsidRDefault="008E273C" w:rsidP="00F52C15">
            <w:pPr>
              <w:pStyle w:val="BodyText"/>
            </w:pPr>
            <w:r>
              <w:t>Ongoing consultancy services expenditure</w:t>
            </w:r>
          </w:p>
        </w:tc>
        <w:tc>
          <w:tcPr>
            <w:tcW w:w="1072" w:type="pct"/>
          </w:tcPr>
          <w:p w:rsidR="008E273C" w:rsidRDefault="008E273C" w:rsidP="00F52C15">
            <w:pPr>
              <w:pStyle w:val="BodyText"/>
            </w:pPr>
            <w:r>
              <w:t>1,133,992</w:t>
            </w:r>
          </w:p>
        </w:tc>
        <w:tc>
          <w:tcPr>
            <w:tcW w:w="1072" w:type="pct"/>
          </w:tcPr>
          <w:p w:rsidR="008E273C" w:rsidRDefault="008E273C" w:rsidP="00F52C15">
            <w:pPr>
              <w:pStyle w:val="BodyText"/>
            </w:pPr>
            <w:r>
              <w:t>4,577,554</w:t>
            </w:r>
          </w:p>
        </w:tc>
        <w:tc>
          <w:tcPr>
            <w:tcW w:w="1071" w:type="pct"/>
          </w:tcPr>
          <w:p w:rsidR="008E273C" w:rsidRDefault="006C3DEB" w:rsidP="00F52C15">
            <w:pPr>
              <w:pStyle w:val="BodyText"/>
            </w:pPr>
            <w:r>
              <w:t>5,236,324</w:t>
            </w:r>
          </w:p>
        </w:tc>
      </w:tr>
      <w:tr w:rsidR="008E273C" w:rsidTr="00F52C15">
        <w:trPr>
          <w:trHeight w:val="60"/>
        </w:trPr>
        <w:tc>
          <w:tcPr>
            <w:tcW w:w="1786" w:type="pct"/>
          </w:tcPr>
          <w:p w:rsidR="008E273C" w:rsidRDefault="008E273C" w:rsidP="00F52C15">
            <w:pPr>
              <w:pStyle w:val="BodyText"/>
            </w:pPr>
            <w:r>
              <w:rPr>
                <w:rStyle w:val="Bold"/>
              </w:rPr>
              <w:t>Total consultancy services expenditure</w:t>
            </w:r>
          </w:p>
        </w:tc>
        <w:tc>
          <w:tcPr>
            <w:tcW w:w="1072" w:type="pct"/>
          </w:tcPr>
          <w:p w:rsidR="008E273C" w:rsidRDefault="008E273C" w:rsidP="00F52C15">
            <w:pPr>
              <w:pStyle w:val="BodyText"/>
            </w:pPr>
            <w:r>
              <w:rPr>
                <w:rStyle w:val="Bold"/>
              </w:rPr>
              <w:t>9,203,851</w:t>
            </w:r>
          </w:p>
        </w:tc>
        <w:tc>
          <w:tcPr>
            <w:tcW w:w="1072" w:type="pct"/>
          </w:tcPr>
          <w:p w:rsidR="008E273C" w:rsidRDefault="008E273C" w:rsidP="00F52C15">
            <w:pPr>
              <w:pStyle w:val="BodyText"/>
            </w:pPr>
            <w:r>
              <w:rPr>
                <w:rStyle w:val="Bold"/>
              </w:rPr>
              <w:t>20,950,807</w:t>
            </w:r>
          </w:p>
        </w:tc>
        <w:tc>
          <w:tcPr>
            <w:tcW w:w="1071" w:type="pct"/>
          </w:tcPr>
          <w:p w:rsidR="008E273C" w:rsidRPr="006C3DEB" w:rsidRDefault="006C3DEB" w:rsidP="00F52C15">
            <w:pPr>
              <w:pStyle w:val="BodyText"/>
              <w:rPr>
                <w:b/>
              </w:rPr>
            </w:pPr>
            <w:r w:rsidRPr="006C3DEB">
              <w:rPr>
                <w:b/>
              </w:rPr>
              <w:t>17,886,742</w:t>
            </w:r>
          </w:p>
        </w:tc>
      </w:tr>
    </w:tbl>
    <w:p w:rsidR="008E273C" w:rsidRDefault="008E273C" w:rsidP="008E273C">
      <w:pPr>
        <w:pStyle w:val="BodyText"/>
      </w:pPr>
      <w:r>
        <w:t xml:space="preserve">Annual reports contain information about actual expenditure on contracts for consultancies. For information on the value of contracts and consultancies see </w:t>
      </w:r>
      <w:r w:rsidRPr="00BD07FC">
        <w:rPr>
          <w:b/>
        </w:rPr>
        <w:t>tenders.gov.au</w:t>
      </w:r>
    </w:p>
    <w:p w:rsidR="008E273C" w:rsidRDefault="008E273C" w:rsidP="008E273C">
      <w:pPr>
        <w:pStyle w:val="Heading1"/>
        <w:suppressAutoHyphens/>
      </w:pPr>
      <w:r>
        <w:rPr>
          <w:spacing w:val="-11"/>
        </w:rPr>
        <w:t>4.6 Other mandatory reporting information</w:t>
      </w:r>
    </w:p>
    <w:p w:rsidR="008E273C" w:rsidRDefault="008E273C" w:rsidP="008E273C">
      <w:pPr>
        <w:pStyle w:val="Heading2"/>
      </w:pPr>
      <w:r>
        <w:t>ANAO access clause</w:t>
      </w:r>
    </w:p>
    <w:p w:rsidR="008E273C" w:rsidRDefault="008E273C" w:rsidP="008E273C">
      <w:pPr>
        <w:pStyle w:val="BodyText"/>
      </w:pPr>
      <w:r>
        <w:t>All the agency’s contract templates include a standard clause giving the Auditor-General appropriate access to a contractor’s premises and records.</w:t>
      </w:r>
    </w:p>
    <w:p w:rsidR="008E273C" w:rsidRDefault="008E273C" w:rsidP="008E273C">
      <w:pPr>
        <w:pStyle w:val="Heading2"/>
      </w:pPr>
      <w:r>
        <w:t>Exempt contracts</w:t>
      </w:r>
    </w:p>
    <w:p w:rsidR="008E273C" w:rsidRDefault="008E273C" w:rsidP="008E273C">
      <w:pPr>
        <w:pStyle w:val="BodyText"/>
      </w:pPr>
      <w:r>
        <w:t xml:space="preserve">In 2019-20 the agency had no exempt contracts. </w:t>
      </w:r>
    </w:p>
    <w:p w:rsidR="008E273C" w:rsidRDefault="008E273C" w:rsidP="008E273C">
      <w:pPr>
        <w:pStyle w:val="Heading2"/>
      </w:pPr>
      <w:r>
        <w:t>Procurement initiatives to support small business</w:t>
      </w:r>
    </w:p>
    <w:p w:rsidR="008E273C" w:rsidRPr="00C25262" w:rsidRDefault="008E273C" w:rsidP="008E273C">
      <w:pPr>
        <w:pStyle w:val="BodyText"/>
        <w:rPr>
          <w:b/>
        </w:rPr>
      </w:pPr>
      <w:r>
        <w:t xml:space="preserve">Services Australia recognises the importance of ensuring that small businesses are paid on time. For the results of the Government Pay On-Time Survey to small business </w:t>
      </w:r>
      <w:r w:rsidRPr="00C25262">
        <w:rPr>
          <w:b/>
        </w:rPr>
        <w:t>see employment.gov.au/pay-time-survey-results</w:t>
      </w:r>
    </w:p>
    <w:p w:rsidR="008E273C" w:rsidRDefault="008E273C" w:rsidP="008E273C">
      <w:pPr>
        <w:pStyle w:val="BodyText"/>
        <w:rPr>
          <w:spacing w:val="-2"/>
        </w:rPr>
      </w:pPr>
      <w:r>
        <w:rPr>
          <w:spacing w:val="-2"/>
        </w:rPr>
        <w:t xml:space="preserve">We support small business participation in the Australian Government procurement market. For information about Small and Medium Enterprise (SME) participation see </w:t>
      </w:r>
      <w:r w:rsidRPr="00C25262">
        <w:rPr>
          <w:b/>
        </w:rPr>
        <w:t>finance.gov.au/government/procurement/statistics-australian-government-procurement-contracts</w:t>
      </w:r>
    </w:p>
    <w:p w:rsidR="008E273C" w:rsidRDefault="008E273C" w:rsidP="00E42522">
      <w:pPr>
        <w:pStyle w:val="BodyText"/>
      </w:pPr>
      <w:r>
        <w:t>The agency supports SMEs through a range of procurement measures including:</w:t>
      </w:r>
    </w:p>
    <w:p w:rsidR="008E273C" w:rsidRDefault="008E273C" w:rsidP="00E42522">
      <w:pPr>
        <w:pStyle w:val="ListBullet"/>
      </w:pPr>
      <w:r>
        <w:t>using the Commonwealth Contracting Suite for low-risk procurements valued under $1 million</w:t>
      </w:r>
    </w:p>
    <w:p w:rsidR="008E273C" w:rsidRDefault="008E273C" w:rsidP="00E42522">
      <w:pPr>
        <w:pStyle w:val="ListBullet"/>
      </w:pPr>
      <w:r>
        <w:t>implementing the Supplier Diversity Strategy to increase the level of activity between the agency and supplier groups such as Australian Disability Enterprises and Indigenous SMEs</w:t>
      </w:r>
    </w:p>
    <w:p w:rsidR="008E273C" w:rsidRDefault="008E273C" w:rsidP="00E42522">
      <w:pPr>
        <w:pStyle w:val="ListBullet"/>
      </w:pPr>
      <w:r>
        <w:t>being a member of Supply Nation—a non-profit organisation that supports growth in the Aboriginal and Torres Strait Islander business sector by promoting supplier diversity</w:t>
      </w:r>
    </w:p>
    <w:p w:rsidR="008E273C" w:rsidRDefault="008E273C" w:rsidP="00E42522">
      <w:pPr>
        <w:pStyle w:val="ListBullet"/>
      </w:pPr>
      <w:proofErr w:type="gramStart"/>
      <w:r>
        <w:t>mandatory</w:t>
      </w:r>
      <w:proofErr w:type="gramEnd"/>
      <w:r>
        <w:t xml:space="preserve"> reporting against the Australian Government’s Indigenous Procurement Policy and the agency’s Reconciliation Action Plan (RAP) on the number of contracts, contract values and </w:t>
      </w:r>
      <w:r>
        <w:lastRenderedPageBreak/>
        <w:t>expenditure for all Indigenous SMEs. In 2019–20 the agency spent $35 million (including GST) with Aboriginal and Torres Strait Islander businesses, exceeding the RAP target of $7 million</w:t>
      </w:r>
    </w:p>
    <w:p w:rsidR="008E273C" w:rsidRDefault="008E273C" w:rsidP="00E42522">
      <w:pPr>
        <w:pStyle w:val="ListBullet"/>
      </w:pPr>
      <w:r>
        <w:t>using Australian Industry Participation Plans in whole-of-government procurement where applicable</w:t>
      </w:r>
    </w:p>
    <w:p w:rsidR="008E273C" w:rsidRDefault="008E273C" w:rsidP="00E42522">
      <w:pPr>
        <w:pStyle w:val="ListBullet"/>
      </w:pPr>
      <w:r>
        <w:t>encouraging credit card use to expedite payments</w:t>
      </w:r>
    </w:p>
    <w:p w:rsidR="008E273C" w:rsidRDefault="008E273C" w:rsidP="00E42522">
      <w:pPr>
        <w:pStyle w:val="ListBullet"/>
      </w:pPr>
      <w:proofErr w:type="gramStart"/>
      <w:r>
        <w:t>in</w:t>
      </w:r>
      <w:proofErr w:type="gramEnd"/>
      <w:r>
        <w:t xml:space="preserve"> support of the Supplier Pay On-Time or Pay Interest Policy, implementing a standard payment term of 20 business days and a five-day payment term for compliant e-invoicing capable suppliers.</w:t>
      </w:r>
    </w:p>
    <w:p w:rsidR="008E273C" w:rsidRDefault="008E273C" w:rsidP="008E273C">
      <w:pPr>
        <w:pStyle w:val="Heading2"/>
      </w:pPr>
      <w:r>
        <w:t>Advertising and market research</w:t>
      </w:r>
    </w:p>
    <w:p w:rsidR="008E273C" w:rsidRDefault="008E273C" w:rsidP="008E273C">
      <w:pPr>
        <w:pStyle w:val="Heading3"/>
      </w:pPr>
      <w:r>
        <w:t>Communication and advertising campaigns</w:t>
      </w:r>
    </w:p>
    <w:p w:rsidR="008E273C" w:rsidRDefault="008E273C" w:rsidP="008E273C">
      <w:pPr>
        <w:pStyle w:val="BodyText"/>
      </w:pPr>
      <w:r>
        <w:t>The agency did not undertake any communication or advertising campaigns in 2019–20.</w:t>
      </w:r>
    </w:p>
    <w:p w:rsidR="008E273C" w:rsidRDefault="008E273C" w:rsidP="008E273C">
      <w:pPr>
        <w:pStyle w:val="Heading3"/>
      </w:pPr>
      <w:r>
        <w:t>Advertising costs—media advertising</w:t>
      </w:r>
    </w:p>
    <w:p w:rsidR="008E273C" w:rsidRDefault="008E273C" w:rsidP="008E273C">
      <w:pPr>
        <w:pStyle w:val="BodyText"/>
      </w:pPr>
      <w:r>
        <w:t>In 2019–20 the agency’s total payments on advertising was $1,683,735.62. This included spending on print and online advertising in areas such as recruitment, public notices and tenders.</w:t>
      </w:r>
    </w:p>
    <w:p w:rsidR="008E273C" w:rsidRPr="00C25262" w:rsidRDefault="00C25262" w:rsidP="00C25262">
      <w:pPr>
        <w:pStyle w:val="BodyText"/>
        <w:rPr>
          <w:b/>
        </w:rPr>
      </w:pPr>
      <w:r w:rsidRPr="00C25262">
        <w:rPr>
          <w:b/>
        </w:rPr>
        <w:t>Table 47:</w:t>
      </w:r>
      <w:r w:rsidR="008E273C" w:rsidRPr="00C25262">
        <w:rPr>
          <w:b/>
        </w:rPr>
        <w:t xml:space="preserve"> Payments associated with advertising at 30 June 2020</w:t>
      </w:r>
    </w:p>
    <w:tbl>
      <w:tblPr>
        <w:tblStyle w:val="TableGrid"/>
        <w:tblW w:w="5000" w:type="pct"/>
        <w:tblLook w:val="0000" w:firstRow="0" w:lastRow="0" w:firstColumn="0" w:lastColumn="0" w:noHBand="0" w:noVBand="0"/>
        <w:tblCaption w:val="Table 47: Payments associated with advertising at 30 June 2020"/>
        <w:tblDescription w:val="Table 47: Payments associated with advertising at 30 June 2020"/>
      </w:tblPr>
      <w:tblGrid>
        <w:gridCol w:w="3973"/>
        <w:gridCol w:w="4651"/>
        <w:gridCol w:w="2472"/>
      </w:tblGrid>
      <w:tr w:rsidR="008E273C" w:rsidRPr="00C25262" w:rsidTr="007B3F73">
        <w:trPr>
          <w:trHeight w:val="60"/>
          <w:tblHeader/>
        </w:trPr>
        <w:tc>
          <w:tcPr>
            <w:tcW w:w="1790" w:type="pct"/>
          </w:tcPr>
          <w:p w:rsidR="008E273C" w:rsidRPr="00C25262" w:rsidRDefault="008E273C" w:rsidP="00C25262">
            <w:pPr>
              <w:pStyle w:val="BodyText"/>
              <w:rPr>
                <w:b/>
              </w:rPr>
            </w:pPr>
            <w:r w:rsidRPr="00C25262">
              <w:rPr>
                <w:b/>
              </w:rPr>
              <w:t>Payee</w:t>
            </w:r>
          </w:p>
        </w:tc>
        <w:tc>
          <w:tcPr>
            <w:tcW w:w="2096" w:type="pct"/>
          </w:tcPr>
          <w:p w:rsidR="008E273C" w:rsidRPr="00C25262" w:rsidRDefault="008E273C" w:rsidP="00C25262">
            <w:pPr>
              <w:pStyle w:val="BodyText"/>
              <w:rPr>
                <w:b/>
              </w:rPr>
            </w:pPr>
            <w:r w:rsidRPr="00C25262">
              <w:rPr>
                <w:b/>
              </w:rPr>
              <w:t>Purpose</w:t>
            </w:r>
          </w:p>
        </w:tc>
        <w:tc>
          <w:tcPr>
            <w:tcW w:w="1114" w:type="pct"/>
          </w:tcPr>
          <w:p w:rsidR="008E273C" w:rsidRPr="00C25262" w:rsidRDefault="008E273C" w:rsidP="00C25262">
            <w:pPr>
              <w:pStyle w:val="BodyText"/>
              <w:rPr>
                <w:b/>
              </w:rPr>
            </w:pPr>
            <w:r w:rsidRPr="00C25262">
              <w:rPr>
                <w:b/>
              </w:rPr>
              <w:t>Cost</w:t>
            </w:r>
          </w:p>
          <w:p w:rsidR="008E273C" w:rsidRPr="00C25262" w:rsidRDefault="008E273C" w:rsidP="00C25262">
            <w:pPr>
              <w:pStyle w:val="BodyText"/>
              <w:rPr>
                <w:b/>
              </w:rPr>
            </w:pPr>
            <w:r w:rsidRPr="00C25262">
              <w:rPr>
                <w:b/>
              </w:rPr>
              <w:t>$</w:t>
            </w:r>
            <w:r w:rsidR="00C25262">
              <w:rPr>
                <w:b/>
              </w:rPr>
              <w:t xml:space="preserve"> </w:t>
            </w:r>
            <w:r w:rsidRPr="00C25262">
              <w:rPr>
                <w:b/>
              </w:rPr>
              <w:t>(including GST)</w:t>
            </w:r>
          </w:p>
        </w:tc>
      </w:tr>
      <w:tr w:rsidR="008E273C" w:rsidRPr="00C25262" w:rsidTr="00C25262">
        <w:trPr>
          <w:trHeight w:val="60"/>
        </w:trPr>
        <w:tc>
          <w:tcPr>
            <w:tcW w:w="1790" w:type="pct"/>
          </w:tcPr>
          <w:p w:rsidR="008E273C" w:rsidRPr="00C25262" w:rsidRDefault="008E273C" w:rsidP="00C25262">
            <w:pPr>
              <w:pStyle w:val="BodyText"/>
            </w:pPr>
            <w:r w:rsidRPr="00C25262">
              <w:t>Sensis Pty Ltd</w:t>
            </w:r>
          </w:p>
        </w:tc>
        <w:tc>
          <w:tcPr>
            <w:tcW w:w="2096" w:type="pct"/>
          </w:tcPr>
          <w:p w:rsidR="008E273C" w:rsidRPr="00C25262" w:rsidRDefault="008E273C" w:rsidP="00C25262">
            <w:pPr>
              <w:pStyle w:val="BodyText"/>
            </w:pPr>
            <w:r w:rsidRPr="00C25262">
              <w:t>White Pages</w:t>
            </w:r>
          </w:p>
        </w:tc>
        <w:tc>
          <w:tcPr>
            <w:tcW w:w="1114" w:type="pct"/>
          </w:tcPr>
          <w:p w:rsidR="008E273C" w:rsidRPr="00C25262" w:rsidRDefault="008E273C" w:rsidP="00C25262">
            <w:pPr>
              <w:pStyle w:val="BodyText"/>
            </w:pPr>
            <w:r w:rsidRPr="00C25262">
              <w:t>1,039,500.00</w:t>
            </w:r>
          </w:p>
        </w:tc>
      </w:tr>
      <w:tr w:rsidR="008E273C" w:rsidRPr="00C25262" w:rsidTr="00C25262">
        <w:trPr>
          <w:trHeight w:val="60"/>
        </w:trPr>
        <w:tc>
          <w:tcPr>
            <w:tcW w:w="1790" w:type="pct"/>
          </w:tcPr>
          <w:p w:rsidR="008E273C" w:rsidRPr="00C25262" w:rsidRDefault="008E273C" w:rsidP="00C25262">
            <w:pPr>
              <w:pStyle w:val="BodyText"/>
            </w:pPr>
            <w:r w:rsidRPr="00C25262">
              <w:t>Universal McCann Pty Ltd</w:t>
            </w:r>
          </w:p>
        </w:tc>
        <w:tc>
          <w:tcPr>
            <w:tcW w:w="2096" w:type="pct"/>
          </w:tcPr>
          <w:p w:rsidR="008E273C" w:rsidRPr="00C25262" w:rsidRDefault="008E273C" w:rsidP="00C25262">
            <w:pPr>
              <w:pStyle w:val="BodyText"/>
            </w:pPr>
            <w:r w:rsidRPr="00C25262">
              <w:t>Advertising</w:t>
            </w:r>
          </w:p>
        </w:tc>
        <w:tc>
          <w:tcPr>
            <w:tcW w:w="1114" w:type="pct"/>
          </w:tcPr>
          <w:p w:rsidR="008E273C" w:rsidRPr="00C25262" w:rsidRDefault="008E273C" w:rsidP="00C25262">
            <w:pPr>
              <w:pStyle w:val="BodyText"/>
            </w:pPr>
            <w:r w:rsidRPr="00C25262">
              <w:t>644,235.62</w:t>
            </w:r>
          </w:p>
        </w:tc>
      </w:tr>
      <w:tr w:rsidR="008E273C" w:rsidRPr="00C25262" w:rsidTr="00C25262">
        <w:trPr>
          <w:trHeight w:val="60"/>
        </w:trPr>
        <w:tc>
          <w:tcPr>
            <w:tcW w:w="1790" w:type="pct"/>
          </w:tcPr>
          <w:p w:rsidR="008E273C" w:rsidRPr="00C25262" w:rsidRDefault="008E273C" w:rsidP="00C25262">
            <w:pPr>
              <w:pStyle w:val="BodyText"/>
              <w:rPr>
                <w:b/>
              </w:rPr>
            </w:pPr>
            <w:r w:rsidRPr="00C25262">
              <w:rPr>
                <w:rStyle w:val="Bold"/>
                <w:bCs w:val="0"/>
                <w:color w:val="auto"/>
              </w:rPr>
              <w:t>Total</w:t>
            </w:r>
          </w:p>
        </w:tc>
        <w:tc>
          <w:tcPr>
            <w:tcW w:w="2096" w:type="pct"/>
          </w:tcPr>
          <w:p w:rsidR="008E273C" w:rsidRPr="00C25262" w:rsidRDefault="008E273C" w:rsidP="00C25262">
            <w:pPr>
              <w:pStyle w:val="BodyText"/>
              <w:rPr>
                <w:b/>
              </w:rPr>
            </w:pPr>
          </w:p>
        </w:tc>
        <w:tc>
          <w:tcPr>
            <w:tcW w:w="1114" w:type="pct"/>
          </w:tcPr>
          <w:p w:rsidR="008E273C" w:rsidRPr="00C25262" w:rsidRDefault="008E273C" w:rsidP="00C25262">
            <w:pPr>
              <w:pStyle w:val="BodyText"/>
              <w:rPr>
                <w:b/>
              </w:rPr>
            </w:pPr>
            <w:r w:rsidRPr="00C25262">
              <w:rPr>
                <w:rStyle w:val="Bold"/>
                <w:bCs w:val="0"/>
                <w:color w:val="auto"/>
              </w:rPr>
              <w:t>1,683,735.62</w:t>
            </w:r>
          </w:p>
        </w:tc>
      </w:tr>
    </w:tbl>
    <w:p w:rsidR="008E273C" w:rsidRDefault="008E273C" w:rsidP="008E273C">
      <w:pPr>
        <w:pStyle w:val="Heading3"/>
      </w:pPr>
      <w:r>
        <w:t>Market research payments</w:t>
      </w:r>
    </w:p>
    <w:p w:rsidR="008E273C" w:rsidRDefault="008E273C" w:rsidP="008E273C">
      <w:pPr>
        <w:pStyle w:val="BodyText"/>
        <w:rPr>
          <w:rStyle w:val="NoBreak"/>
        </w:rPr>
      </w:pPr>
      <w:r>
        <w:t>The agency commissioned vendors for projects and services as listed in Ta</w:t>
      </w:r>
      <w:r>
        <w:rPr>
          <w:rStyle w:val="NoBreak"/>
        </w:rPr>
        <w:t>ble 48.</w:t>
      </w:r>
    </w:p>
    <w:p w:rsidR="008E273C" w:rsidRPr="00C25262" w:rsidRDefault="00C25262" w:rsidP="00C25262">
      <w:pPr>
        <w:pStyle w:val="BodyText"/>
        <w:rPr>
          <w:b/>
        </w:rPr>
      </w:pPr>
      <w:r w:rsidRPr="00C25262">
        <w:rPr>
          <w:b/>
        </w:rPr>
        <w:t>Table 48:</w:t>
      </w:r>
      <w:r w:rsidR="008E273C" w:rsidRPr="00C25262">
        <w:rPr>
          <w:b/>
        </w:rPr>
        <w:t xml:space="preserve"> Payments associated with market research organisations at 30 June 2020 </w:t>
      </w:r>
    </w:p>
    <w:tbl>
      <w:tblPr>
        <w:tblStyle w:val="TableGrid"/>
        <w:tblW w:w="5000" w:type="pct"/>
        <w:tblLook w:val="0000" w:firstRow="0" w:lastRow="0" w:firstColumn="0" w:lastColumn="0" w:noHBand="0" w:noVBand="0"/>
        <w:tblCaption w:val="Table 48: Payments associated with market research organisations at 30 June 2020 "/>
        <w:tblDescription w:val="Table 48: Payments associated with market research organisations at 30 June 2020 "/>
      </w:tblPr>
      <w:tblGrid>
        <w:gridCol w:w="4581"/>
        <w:gridCol w:w="4052"/>
        <w:gridCol w:w="2463"/>
      </w:tblGrid>
      <w:tr w:rsidR="008E273C" w:rsidTr="00C25262">
        <w:trPr>
          <w:trHeight w:val="60"/>
          <w:tblHeader/>
        </w:trPr>
        <w:tc>
          <w:tcPr>
            <w:tcW w:w="2064" w:type="pct"/>
          </w:tcPr>
          <w:p w:rsidR="008E273C" w:rsidRPr="00C25262" w:rsidRDefault="008E273C" w:rsidP="00C25262">
            <w:pPr>
              <w:pStyle w:val="BodyText"/>
              <w:rPr>
                <w:b/>
              </w:rPr>
            </w:pPr>
            <w:r w:rsidRPr="00C25262">
              <w:rPr>
                <w:b/>
              </w:rPr>
              <w:t xml:space="preserve">Vendor </w:t>
            </w:r>
          </w:p>
        </w:tc>
        <w:tc>
          <w:tcPr>
            <w:tcW w:w="1826" w:type="pct"/>
          </w:tcPr>
          <w:p w:rsidR="008E273C" w:rsidRPr="00C25262" w:rsidRDefault="008E273C" w:rsidP="00C25262">
            <w:pPr>
              <w:pStyle w:val="BodyText"/>
              <w:rPr>
                <w:b/>
              </w:rPr>
            </w:pPr>
            <w:r w:rsidRPr="00C25262">
              <w:rPr>
                <w:b/>
              </w:rPr>
              <w:t>Research type</w:t>
            </w:r>
          </w:p>
        </w:tc>
        <w:tc>
          <w:tcPr>
            <w:tcW w:w="1111" w:type="pct"/>
          </w:tcPr>
          <w:p w:rsidR="008E273C" w:rsidRPr="00C25262" w:rsidRDefault="008E273C" w:rsidP="00C25262">
            <w:pPr>
              <w:pStyle w:val="BodyText"/>
              <w:rPr>
                <w:b/>
              </w:rPr>
            </w:pPr>
            <w:r w:rsidRPr="00C25262">
              <w:rPr>
                <w:b/>
              </w:rPr>
              <w:t>Cost</w:t>
            </w:r>
          </w:p>
          <w:p w:rsidR="008E273C" w:rsidRPr="00C25262" w:rsidRDefault="008E273C" w:rsidP="00C25262">
            <w:pPr>
              <w:pStyle w:val="BodyText"/>
              <w:rPr>
                <w:b/>
              </w:rPr>
            </w:pPr>
            <w:r w:rsidRPr="00C25262">
              <w:rPr>
                <w:b/>
              </w:rPr>
              <w:t>$</w:t>
            </w:r>
            <w:r w:rsidR="00C25262">
              <w:rPr>
                <w:b/>
              </w:rPr>
              <w:t xml:space="preserve"> </w:t>
            </w:r>
            <w:r w:rsidRPr="00C25262">
              <w:rPr>
                <w:b/>
              </w:rPr>
              <w:t>(including GST)</w:t>
            </w:r>
          </w:p>
        </w:tc>
      </w:tr>
      <w:tr w:rsidR="008E273C" w:rsidTr="00C25262">
        <w:trPr>
          <w:trHeight w:val="60"/>
        </w:trPr>
        <w:tc>
          <w:tcPr>
            <w:tcW w:w="2064" w:type="pct"/>
          </w:tcPr>
          <w:p w:rsidR="008E273C" w:rsidRDefault="008E273C" w:rsidP="00C25262">
            <w:pPr>
              <w:pStyle w:val="BodyText"/>
            </w:pPr>
            <w:r>
              <w:t xml:space="preserve">Colmar </w:t>
            </w:r>
            <w:proofErr w:type="spellStart"/>
            <w:r>
              <w:t>Brunton</w:t>
            </w:r>
            <w:proofErr w:type="spellEnd"/>
            <w:r>
              <w:t xml:space="preserve"> Pty Ltd</w:t>
            </w:r>
          </w:p>
        </w:tc>
        <w:tc>
          <w:tcPr>
            <w:tcW w:w="1826" w:type="pct"/>
          </w:tcPr>
          <w:p w:rsidR="008E273C" w:rsidRDefault="008E273C" w:rsidP="00C25262">
            <w:pPr>
              <w:pStyle w:val="BodyText"/>
            </w:pPr>
            <w:r>
              <w:t>Satisfaction research program</w:t>
            </w:r>
          </w:p>
        </w:tc>
        <w:tc>
          <w:tcPr>
            <w:tcW w:w="1111" w:type="pct"/>
          </w:tcPr>
          <w:p w:rsidR="008E273C" w:rsidRDefault="008E273C" w:rsidP="00C25262">
            <w:pPr>
              <w:pStyle w:val="BodyText"/>
            </w:pPr>
            <w:r>
              <w:t>1,884,326</w:t>
            </w:r>
          </w:p>
        </w:tc>
      </w:tr>
      <w:tr w:rsidR="008E273C" w:rsidTr="00C25262">
        <w:trPr>
          <w:trHeight w:val="60"/>
        </w:trPr>
        <w:tc>
          <w:tcPr>
            <w:tcW w:w="2064" w:type="pct"/>
          </w:tcPr>
          <w:p w:rsidR="008E273C" w:rsidRDefault="008E273C" w:rsidP="00C25262">
            <w:pPr>
              <w:pStyle w:val="BodyText"/>
            </w:pPr>
            <w:r>
              <w:t>Instinct and Reason Pty Ltd</w:t>
            </w:r>
          </w:p>
        </w:tc>
        <w:tc>
          <w:tcPr>
            <w:tcW w:w="1826" w:type="pct"/>
          </w:tcPr>
          <w:p w:rsidR="008E273C" w:rsidRDefault="008E273C" w:rsidP="00C25262">
            <w:pPr>
              <w:pStyle w:val="BodyText"/>
            </w:pPr>
            <w:r>
              <w:t>Health professionals and medical communication research</w:t>
            </w:r>
          </w:p>
        </w:tc>
        <w:tc>
          <w:tcPr>
            <w:tcW w:w="1111" w:type="pct"/>
          </w:tcPr>
          <w:p w:rsidR="008E273C" w:rsidRDefault="008E273C" w:rsidP="00C25262">
            <w:pPr>
              <w:pStyle w:val="BodyText"/>
            </w:pPr>
            <w:r>
              <w:t>199,949</w:t>
            </w:r>
          </w:p>
        </w:tc>
      </w:tr>
      <w:tr w:rsidR="008E273C" w:rsidTr="00C25262">
        <w:trPr>
          <w:trHeight w:val="60"/>
        </w:trPr>
        <w:tc>
          <w:tcPr>
            <w:tcW w:w="2064" w:type="pct"/>
          </w:tcPr>
          <w:p w:rsidR="008E273C" w:rsidRDefault="008E273C" w:rsidP="00C25262">
            <w:pPr>
              <w:pStyle w:val="BodyText"/>
            </w:pPr>
            <w:r>
              <w:lastRenderedPageBreak/>
              <w:t>Instinct and Reason Pty Ltd</w:t>
            </w:r>
          </w:p>
        </w:tc>
        <w:tc>
          <w:tcPr>
            <w:tcW w:w="1826" w:type="pct"/>
          </w:tcPr>
          <w:p w:rsidR="008E273C" w:rsidRDefault="008E273C" w:rsidP="00C25262">
            <w:pPr>
              <w:pStyle w:val="BodyText"/>
            </w:pPr>
            <w:r>
              <w:t>Rural and remote student communication research</w:t>
            </w:r>
          </w:p>
        </w:tc>
        <w:tc>
          <w:tcPr>
            <w:tcW w:w="1111" w:type="pct"/>
          </w:tcPr>
          <w:p w:rsidR="008E273C" w:rsidRDefault="008E273C" w:rsidP="00C25262">
            <w:pPr>
              <w:pStyle w:val="BodyText"/>
            </w:pPr>
            <w:r>
              <w:t>16,500</w:t>
            </w:r>
          </w:p>
        </w:tc>
      </w:tr>
      <w:tr w:rsidR="008E273C" w:rsidTr="00C25262">
        <w:trPr>
          <w:trHeight w:val="60"/>
        </w:trPr>
        <w:tc>
          <w:tcPr>
            <w:tcW w:w="2064" w:type="pct"/>
          </w:tcPr>
          <w:p w:rsidR="008E273C" w:rsidRDefault="008E273C" w:rsidP="00C25262">
            <w:pPr>
              <w:pStyle w:val="BodyText"/>
            </w:pPr>
            <w:r>
              <w:t>Kookaburra Consulting</w:t>
            </w:r>
          </w:p>
        </w:tc>
        <w:tc>
          <w:tcPr>
            <w:tcW w:w="1826" w:type="pct"/>
          </w:tcPr>
          <w:p w:rsidR="008E273C" w:rsidRDefault="008E273C" w:rsidP="00C25262">
            <w:pPr>
              <w:pStyle w:val="BodyText"/>
            </w:pPr>
            <w:r>
              <w:t>Community Agent Program customer survey</w:t>
            </w:r>
          </w:p>
        </w:tc>
        <w:tc>
          <w:tcPr>
            <w:tcW w:w="1111" w:type="pct"/>
          </w:tcPr>
          <w:p w:rsidR="008E273C" w:rsidRDefault="008E273C" w:rsidP="00C25262">
            <w:pPr>
              <w:pStyle w:val="BodyText"/>
            </w:pPr>
            <w:r>
              <w:t>46,067</w:t>
            </w:r>
          </w:p>
        </w:tc>
      </w:tr>
      <w:tr w:rsidR="008E273C" w:rsidTr="00C25262">
        <w:trPr>
          <w:trHeight w:val="60"/>
        </w:trPr>
        <w:tc>
          <w:tcPr>
            <w:tcW w:w="2064" w:type="pct"/>
          </w:tcPr>
          <w:p w:rsidR="008E273C" w:rsidRDefault="008E273C" w:rsidP="00C25262">
            <w:pPr>
              <w:pStyle w:val="BodyText"/>
            </w:pPr>
            <w:proofErr w:type="spellStart"/>
            <w:r>
              <w:t>Lonergan</w:t>
            </w:r>
            <w:proofErr w:type="spellEnd"/>
            <w:r>
              <w:t xml:space="preserve"> Research Pty Ltd</w:t>
            </w:r>
          </w:p>
        </w:tc>
        <w:tc>
          <w:tcPr>
            <w:tcW w:w="1826" w:type="pct"/>
          </w:tcPr>
          <w:p w:rsidR="008E273C" w:rsidRDefault="008E273C" w:rsidP="00C25262">
            <w:pPr>
              <w:pStyle w:val="BodyText"/>
            </w:pPr>
            <w:r>
              <w:t>Validation of Vision and Customer Experience</w:t>
            </w:r>
          </w:p>
        </w:tc>
        <w:tc>
          <w:tcPr>
            <w:tcW w:w="1111" w:type="pct"/>
          </w:tcPr>
          <w:p w:rsidR="008E273C" w:rsidRDefault="008E273C" w:rsidP="00C25262">
            <w:pPr>
              <w:pStyle w:val="BodyText"/>
            </w:pPr>
            <w:r>
              <w:t>53,900</w:t>
            </w:r>
          </w:p>
        </w:tc>
      </w:tr>
      <w:tr w:rsidR="008E273C" w:rsidTr="00C25262">
        <w:trPr>
          <w:trHeight w:val="60"/>
        </w:trPr>
        <w:tc>
          <w:tcPr>
            <w:tcW w:w="2064" w:type="pct"/>
          </w:tcPr>
          <w:p w:rsidR="008E273C" w:rsidRDefault="008E273C" w:rsidP="00C25262">
            <w:pPr>
              <w:pStyle w:val="BodyText"/>
            </w:pPr>
            <w:proofErr w:type="spellStart"/>
            <w:r>
              <w:t>Lonergan</w:t>
            </w:r>
            <w:proofErr w:type="spellEnd"/>
            <w:r>
              <w:t xml:space="preserve"> Research Pty Ltd</w:t>
            </w:r>
          </w:p>
        </w:tc>
        <w:tc>
          <w:tcPr>
            <w:tcW w:w="1826" w:type="pct"/>
          </w:tcPr>
          <w:p w:rsidR="008E273C" w:rsidRDefault="008E273C" w:rsidP="00C25262">
            <w:pPr>
              <w:pStyle w:val="BodyText"/>
            </w:pPr>
            <w:r>
              <w:t>Recruitment of participants</w:t>
            </w:r>
          </w:p>
        </w:tc>
        <w:tc>
          <w:tcPr>
            <w:tcW w:w="1111" w:type="pct"/>
          </w:tcPr>
          <w:p w:rsidR="008E273C" w:rsidRDefault="008E273C" w:rsidP="00C25262">
            <w:pPr>
              <w:pStyle w:val="BodyText"/>
            </w:pPr>
            <w:r>
              <w:t>187,767</w:t>
            </w:r>
          </w:p>
        </w:tc>
      </w:tr>
      <w:tr w:rsidR="008E273C" w:rsidTr="00C25262">
        <w:trPr>
          <w:trHeight w:val="60"/>
        </w:trPr>
        <w:tc>
          <w:tcPr>
            <w:tcW w:w="2064" w:type="pct"/>
          </w:tcPr>
          <w:p w:rsidR="008E273C" w:rsidRDefault="008E273C" w:rsidP="00C25262">
            <w:pPr>
              <w:pStyle w:val="BodyText"/>
            </w:pPr>
            <w:r>
              <w:rPr>
                <w:spacing w:val="-2"/>
              </w:rPr>
              <w:t xml:space="preserve">McNair </w:t>
            </w:r>
            <w:proofErr w:type="spellStart"/>
            <w:r>
              <w:rPr>
                <w:spacing w:val="-2"/>
              </w:rPr>
              <w:t>yellowSquares</w:t>
            </w:r>
            <w:proofErr w:type="spellEnd"/>
            <w:r>
              <w:rPr>
                <w:spacing w:val="-2"/>
              </w:rPr>
              <w:t xml:space="preserve"> Pty Ltd</w:t>
            </w:r>
          </w:p>
        </w:tc>
        <w:tc>
          <w:tcPr>
            <w:tcW w:w="1826" w:type="pct"/>
          </w:tcPr>
          <w:p w:rsidR="008E273C" w:rsidRDefault="008E273C" w:rsidP="00C25262">
            <w:pPr>
              <w:pStyle w:val="BodyText"/>
            </w:pPr>
            <w:r>
              <w:t>Website enhancement testing and evaluation</w:t>
            </w:r>
          </w:p>
        </w:tc>
        <w:tc>
          <w:tcPr>
            <w:tcW w:w="1111" w:type="pct"/>
          </w:tcPr>
          <w:p w:rsidR="008E273C" w:rsidRDefault="008E273C" w:rsidP="00C25262">
            <w:pPr>
              <w:pStyle w:val="BodyText"/>
            </w:pPr>
            <w:r>
              <w:t>62,925</w:t>
            </w:r>
          </w:p>
        </w:tc>
      </w:tr>
      <w:tr w:rsidR="008E273C" w:rsidTr="00C25262">
        <w:trPr>
          <w:trHeight w:val="60"/>
        </w:trPr>
        <w:tc>
          <w:tcPr>
            <w:tcW w:w="2064" w:type="pct"/>
          </w:tcPr>
          <w:p w:rsidR="008E273C" w:rsidRDefault="008E273C" w:rsidP="00C25262">
            <w:pPr>
              <w:pStyle w:val="BodyText"/>
            </w:pPr>
            <w:r>
              <w:rPr>
                <w:spacing w:val="-2"/>
              </w:rPr>
              <w:t xml:space="preserve">McNair </w:t>
            </w:r>
            <w:proofErr w:type="spellStart"/>
            <w:r>
              <w:rPr>
                <w:spacing w:val="-2"/>
              </w:rPr>
              <w:t>yellowSquares</w:t>
            </w:r>
            <w:proofErr w:type="spellEnd"/>
            <w:r>
              <w:rPr>
                <w:spacing w:val="-2"/>
              </w:rPr>
              <w:t xml:space="preserve"> Pty Ltd</w:t>
            </w:r>
          </w:p>
        </w:tc>
        <w:tc>
          <w:tcPr>
            <w:tcW w:w="1826" w:type="pct"/>
          </w:tcPr>
          <w:p w:rsidR="008E273C" w:rsidRDefault="008E273C" w:rsidP="00C25262">
            <w:pPr>
              <w:pStyle w:val="BodyText"/>
            </w:pPr>
            <w:r>
              <w:t>Recruitment of participants</w:t>
            </w:r>
          </w:p>
        </w:tc>
        <w:tc>
          <w:tcPr>
            <w:tcW w:w="1111" w:type="pct"/>
          </w:tcPr>
          <w:p w:rsidR="008E273C" w:rsidRDefault="008E273C" w:rsidP="00C25262">
            <w:pPr>
              <w:pStyle w:val="BodyText"/>
            </w:pPr>
            <w:r>
              <w:t>36,839</w:t>
            </w:r>
          </w:p>
        </w:tc>
      </w:tr>
      <w:tr w:rsidR="008E273C" w:rsidTr="00C25262">
        <w:trPr>
          <w:trHeight w:val="60"/>
        </w:trPr>
        <w:tc>
          <w:tcPr>
            <w:tcW w:w="2064" w:type="pct"/>
          </w:tcPr>
          <w:p w:rsidR="008E273C" w:rsidRDefault="008E273C" w:rsidP="00C25262">
            <w:pPr>
              <w:pStyle w:val="BodyText"/>
            </w:pPr>
            <w:proofErr w:type="spellStart"/>
            <w:r>
              <w:t>Whereto</w:t>
            </w:r>
            <w:proofErr w:type="spellEnd"/>
            <w:r>
              <w:t xml:space="preserve"> Research Based Consulting Pty Ltd</w:t>
            </w:r>
          </w:p>
        </w:tc>
        <w:tc>
          <w:tcPr>
            <w:tcW w:w="1826" w:type="pct"/>
          </w:tcPr>
          <w:p w:rsidR="008E273C" w:rsidRDefault="008E273C" w:rsidP="00C25262">
            <w:pPr>
              <w:pStyle w:val="BodyText"/>
            </w:pPr>
            <w:r>
              <w:t xml:space="preserve">Services Australia brand and communication research </w:t>
            </w:r>
          </w:p>
        </w:tc>
        <w:tc>
          <w:tcPr>
            <w:tcW w:w="1111" w:type="pct"/>
          </w:tcPr>
          <w:p w:rsidR="008E273C" w:rsidRDefault="008E273C" w:rsidP="00C25262">
            <w:pPr>
              <w:pStyle w:val="BodyText"/>
            </w:pPr>
            <w:r>
              <w:t>395,562</w:t>
            </w:r>
          </w:p>
        </w:tc>
      </w:tr>
      <w:tr w:rsidR="008E273C" w:rsidTr="00C25262">
        <w:trPr>
          <w:trHeight w:val="60"/>
        </w:trPr>
        <w:tc>
          <w:tcPr>
            <w:tcW w:w="2064" w:type="pct"/>
          </w:tcPr>
          <w:p w:rsidR="008E273C" w:rsidRDefault="008E273C" w:rsidP="00C25262">
            <w:pPr>
              <w:pStyle w:val="BodyText"/>
            </w:pPr>
            <w:r>
              <w:rPr>
                <w:rStyle w:val="Bold"/>
              </w:rPr>
              <w:t>Total</w:t>
            </w:r>
          </w:p>
        </w:tc>
        <w:tc>
          <w:tcPr>
            <w:tcW w:w="1826" w:type="pct"/>
          </w:tcPr>
          <w:p w:rsidR="008E273C" w:rsidRDefault="008E273C" w:rsidP="00C25262">
            <w:pPr>
              <w:pStyle w:val="BodyText"/>
              <w:rPr>
                <w:rFonts w:ascii="Roboto-Medium" w:hAnsi="Roboto-Medium" w:cstheme="minorBidi"/>
              </w:rPr>
            </w:pPr>
          </w:p>
        </w:tc>
        <w:tc>
          <w:tcPr>
            <w:tcW w:w="1111" w:type="pct"/>
          </w:tcPr>
          <w:p w:rsidR="008E273C" w:rsidRDefault="008E273C" w:rsidP="00C25262">
            <w:pPr>
              <w:pStyle w:val="BodyText"/>
            </w:pPr>
            <w:r>
              <w:rPr>
                <w:rStyle w:val="Bold"/>
              </w:rPr>
              <w:t>2,883,835</w:t>
            </w:r>
          </w:p>
        </w:tc>
      </w:tr>
    </w:tbl>
    <w:p w:rsidR="008E273C" w:rsidRDefault="008E273C" w:rsidP="008E273C">
      <w:pPr>
        <w:pStyle w:val="Heading2"/>
      </w:pPr>
      <w:r>
        <w:t>Disability reporting</w:t>
      </w:r>
    </w:p>
    <w:p w:rsidR="008E273C" w:rsidRDefault="008E273C" w:rsidP="008E273C">
      <w:pPr>
        <w:pStyle w:val="BodyText"/>
      </w:pPr>
      <w:r>
        <w:t xml:space="preserve">Since 1994 Australian Government departments and agencies have reported on their performance as policy adviser, purchaser, employer, regulator and provider under the Commonwealth Disability Strategy (now the </w:t>
      </w:r>
      <w:r>
        <w:rPr>
          <w:rStyle w:val="Italic"/>
        </w:rPr>
        <w:t>National Disability Strategy 2010–2020</w:t>
      </w:r>
      <w:r>
        <w:t xml:space="preserve">). </w:t>
      </w:r>
    </w:p>
    <w:p w:rsidR="008E273C" w:rsidRDefault="008E273C" w:rsidP="008E273C">
      <w:pPr>
        <w:pStyle w:val="BodyText"/>
      </w:pPr>
      <w:r>
        <w:t xml:space="preserve">In 2007–08 reporting on the employer role was transferred to the Australian Public Service Commission’s State of the Service Report and the APS Statistical Bulletin. (See these reports at </w:t>
      </w:r>
      <w:r w:rsidRPr="00BD07FC">
        <w:rPr>
          <w:b/>
        </w:rPr>
        <w:t>apsc.gov.au</w:t>
      </w:r>
      <w:r w:rsidRPr="00AC4959">
        <w:t>.</w:t>
      </w:r>
      <w:r>
        <w:t>) Since 2010–11 departments and agencies have no longer been required to report on these functions.</w:t>
      </w:r>
    </w:p>
    <w:p w:rsidR="008E273C" w:rsidRDefault="008E273C" w:rsidP="008E273C">
      <w:pPr>
        <w:pStyle w:val="BodyText"/>
      </w:pPr>
      <w:r>
        <w:t xml:space="preserve">The </w:t>
      </w:r>
      <w:r>
        <w:rPr>
          <w:rStyle w:val="Italic"/>
        </w:rPr>
        <w:t>National Disability Strategy 2010–2020</w:t>
      </w:r>
      <w:r>
        <w:t xml:space="preserve"> sets out a 10-year national policy framework to improve the lives of people with disability, promote participation and create a more inclusive society. The development of a new 10-year National Disability Strategy for beyond 2020 was deferred due to the events surrounding the Australian response to the COVID-19 pandemic. The delays do not directly affect the provision of services for people with disability. For more information see </w:t>
      </w:r>
      <w:r w:rsidRPr="00BD07FC">
        <w:rPr>
          <w:b/>
        </w:rPr>
        <w:t>dss.gov.au</w:t>
      </w:r>
    </w:p>
    <w:p w:rsidR="008E273C" w:rsidRDefault="008E273C" w:rsidP="00E42522">
      <w:pPr>
        <w:pStyle w:val="BodyText"/>
      </w:pPr>
      <w:r>
        <w:t xml:space="preserve">For more information about the agency’s specialised services and support for and engagement with carers and people with disability, see: </w:t>
      </w:r>
    </w:p>
    <w:p w:rsidR="008E273C" w:rsidRDefault="008E273C" w:rsidP="00E42522">
      <w:pPr>
        <w:pStyle w:val="ListBullet"/>
      </w:pPr>
      <w:r>
        <w:rPr>
          <w:rStyle w:val="Italic"/>
        </w:rPr>
        <w:t xml:space="preserve">Carers </w:t>
      </w:r>
      <w:r>
        <w:t>on page 9</w:t>
      </w:r>
    </w:p>
    <w:p w:rsidR="008E273C" w:rsidRDefault="008E273C" w:rsidP="00E42522">
      <w:pPr>
        <w:pStyle w:val="ListBullet"/>
      </w:pPr>
      <w:r>
        <w:rPr>
          <w:rStyle w:val="Italic"/>
        </w:rPr>
        <w:t>People with disability</w:t>
      </w:r>
      <w:r>
        <w:t xml:space="preserve"> on page 9</w:t>
      </w:r>
    </w:p>
    <w:p w:rsidR="008E273C" w:rsidRPr="00AC4959" w:rsidRDefault="008E273C" w:rsidP="00E42522">
      <w:pPr>
        <w:pStyle w:val="ListBullet"/>
        <w:rPr>
          <w:rStyle w:val="BodyTextChar"/>
        </w:rPr>
      </w:pPr>
      <w:r>
        <w:lastRenderedPageBreak/>
        <w:t xml:space="preserve">‘People with disability’ at </w:t>
      </w:r>
      <w:r w:rsidRPr="001A17C8">
        <w:rPr>
          <w:rStyle w:val="BodyTextChar"/>
          <w:b/>
        </w:rPr>
        <w:t>servicesaustralia.gov.au</w:t>
      </w:r>
    </w:p>
    <w:p w:rsidR="008E273C" w:rsidRDefault="008E273C" w:rsidP="008E273C">
      <w:pPr>
        <w:pStyle w:val="Heading2"/>
      </w:pPr>
      <w:r>
        <w:t>Freedom of information</w:t>
      </w:r>
    </w:p>
    <w:p w:rsidR="008E273C" w:rsidRDefault="008E273C" w:rsidP="008E273C">
      <w:pPr>
        <w:pStyle w:val="Heading3"/>
      </w:pPr>
      <w:r>
        <w:t>Required FOI reporting—Information Publication Scheme</w:t>
      </w:r>
    </w:p>
    <w:p w:rsidR="008E273C" w:rsidRDefault="008E273C" w:rsidP="008E273C">
      <w:pPr>
        <w:pStyle w:val="BodyText"/>
      </w:pPr>
      <w:r>
        <w:t xml:space="preserve">Entities subject to the </w:t>
      </w:r>
      <w:r>
        <w:rPr>
          <w:rStyle w:val="Italic"/>
        </w:rPr>
        <w:t>Freedom of Information Act 1982</w:t>
      </w:r>
      <w:r>
        <w:t xml:space="preserve"> (FOI Act) are required to publish information to the public as part of the Information Publication Scheme (IPS). This requirement is in Part II of the FOI Act and has replaced the former requirement to publish a section 8 statement in an annual report. Each agency must display on its website a plan showing what information it publishes in accordance with the IPS requirements. For information about Services Australia’s IPS Plan see our website at </w:t>
      </w:r>
      <w:r w:rsidRPr="001A17C8">
        <w:rPr>
          <w:b/>
        </w:rPr>
        <w:t>servicesaustralia.gov.au</w:t>
      </w:r>
      <w:r w:rsidRPr="00AC4959">
        <w:t xml:space="preserve"> </w:t>
      </w:r>
    </w:p>
    <w:p w:rsidR="008E273C" w:rsidRDefault="008E273C" w:rsidP="008E273C">
      <w:pPr>
        <w:pStyle w:val="Heading2"/>
      </w:pPr>
      <w:r>
        <w:t>Work health and safety</w:t>
      </w:r>
    </w:p>
    <w:p w:rsidR="008E273C" w:rsidRDefault="008E273C" w:rsidP="008E273C">
      <w:pPr>
        <w:pStyle w:val="Heading3"/>
      </w:pPr>
      <w:r>
        <w:t xml:space="preserve">Injury management, work health and safety </w:t>
      </w:r>
    </w:p>
    <w:p w:rsidR="008E273C" w:rsidRDefault="008E273C" w:rsidP="008E273C">
      <w:pPr>
        <w:pStyle w:val="BodyText"/>
      </w:pPr>
      <w:r>
        <w:t xml:space="preserve">Services Australia complies with its obligations under the </w:t>
      </w:r>
      <w:r>
        <w:rPr>
          <w:rStyle w:val="Italic"/>
        </w:rPr>
        <w:t>Work Health and Safety Act 2011</w:t>
      </w:r>
      <w:r>
        <w:t xml:space="preserve">. </w:t>
      </w:r>
    </w:p>
    <w:p w:rsidR="008E273C" w:rsidRDefault="008E273C" w:rsidP="008E273C">
      <w:pPr>
        <w:pStyle w:val="BodyText"/>
      </w:pPr>
      <w:r>
        <w:t xml:space="preserve">The agency’s </w:t>
      </w:r>
      <w:r>
        <w:rPr>
          <w:rStyle w:val="Italic"/>
        </w:rPr>
        <w:t>Work Health and Safety Strategy</w:t>
      </w:r>
      <w:r>
        <w:t xml:space="preserve"> contains a commitment to reduce serious injury rates (claims resulting in one or more weeks of absence) by 30 per cent by 2022. The rate of serious injury for 2019–20 was a reduction of 87 per cent from the 2011–12 rate. </w:t>
      </w:r>
    </w:p>
    <w:p w:rsidR="008E273C" w:rsidRDefault="008E273C" w:rsidP="008E273C">
      <w:pPr>
        <w:pStyle w:val="BodyText"/>
      </w:pPr>
      <w:r>
        <w:t xml:space="preserve">Supporting mental health and wellbeing at work remains a strong focus for the agency. We have a Mental Health Safety Policy to ensure the implementation of effective risk management and controls in relation to psychological health. </w:t>
      </w:r>
    </w:p>
    <w:p w:rsidR="008E273C" w:rsidRDefault="008E273C" w:rsidP="008E273C">
      <w:pPr>
        <w:pStyle w:val="BodyText"/>
      </w:pPr>
      <w:r>
        <w:rPr>
          <w:spacing w:val="-2"/>
        </w:rPr>
        <w:t xml:space="preserve">The agency has a number of initiatives to enable early return to work and, in turn, reduce the likelihood of matters progressing to a claim for workers compensation. Work health and safety outcomes in 2019–20 included a 52 per cent reduction in </w:t>
      </w:r>
      <w:r>
        <w:t>the number of workers compensation claims and a 65 per cent reduction in the number of body stress injury claims (compared with 2011–12).</w:t>
      </w:r>
    </w:p>
    <w:p w:rsidR="008E273C" w:rsidRDefault="008E273C" w:rsidP="00E42522">
      <w:pPr>
        <w:pStyle w:val="BodyText"/>
      </w:pPr>
      <w:r>
        <w:t xml:space="preserve">The breakdown of injury claims in the agency that were accepted in 2019–20 were: </w:t>
      </w:r>
    </w:p>
    <w:p w:rsidR="008E273C" w:rsidRDefault="008E273C" w:rsidP="00E42522">
      <w:pPr>
        <w:pStyle w:val="ListBullet"/>
      </w:pPr>
      <w:r>
        <w:t xml:space="preserve">falls, trips and slips 33% </w:t>
      </w:r>
    </w:p>
    <w:p w:rsidR="008E273C" w:rsidRDefault="008E273C" w:rsidP="00E42522">
      <w:pPr>
        <w:pStyle w:val="ListBullet"/>
      </w:pPr>
      <w:r>
        <w:t>hitting objects with part of the body 1%</w:t>
      </w:r>
    </w:p>
    <w:p w:rsidR="008E273C" w:rsidRDefault="008E273C" w:rsidP="00E42522">
      <w:pPr>
        <w:pStyle w:val="ListBullet"/>
      </w:pPr>
      <w:r>
        <w:t>being hit by moving object 12%</w:t>
      </w:r>
    </w:p>
    <w:p w:rsidR="008E273C" w:rsidRDefault="008E273C" w:rsidP="00E42522">
      <w:pPr>
        <w:pStyle w:val="ListBullet"/>
      </w:pPr>
      <w:r>
        <w:t>sound and pressure 1%</w:t>
      </w:r>
    </w:p>
    <w:p w:rsidR="008E273C" w:rsidRDefault="008E273C" w:rsidP="00E42522">
      <w:pPr>
        <w:pStyle w:val="ListBullet"/>
      </w:pPr>
      <w:r>
        <w:t>body stressing 33%</w:t>
      </w:r>
    </w:p>
    <w:p w:rsidR="008E273C" w:rsidRDefault="008E273C" w:rsidP="00E42522">
      <w:pPr>
        <w:pStyle w:val="ListBullet"/>
      </w:pPr>
      <w:r>
        <w:t>heat, electricity and environment 3%</w:t>
      </w:r>
    </w:p>
    <w:p w:rsidR="008E273C" w:rsidRDefault="008E273C" w:rsidP="00E42522">
      <w:pPr>
        <w:pStyle w:val="ListBullet"/>
      </w:pPr>
      <w:r>
        <w:t>chemicals and other substances 0%</w:t>
      </w:r>
    </w:p>
    <w:p w:rsidR="008E273C" w:rsidRDefault="008E273C" w:rsidP="00E42522">
      <w:pPr>
        <w:pStyle w:val="ListBullet"/>
      </w:pPr>
      <w:r>
        <w:t>biological factors 0%</w:t>
      </w:r>
    </w:p>
    <w:p w:rsidR="008E273C" w:rsidRDefault="008E273C" w:rsidP="00E42522">
      <w:pPr>
        <w:pStyle w:val="ListBullet"/>
      </w:pPr>
      <w:r>
        <w:t>mental stress 13%</w:t>
      </w:r>
    </w:p>
    <w:p w:rsidR="008E273C" w:rsidRDefault="008E273C" w:rsidP="00E42522">
      <w:pPr>
        <w:pStyle w:val="ListBullet"/>
      </w:pPr>
      <w:proofErr w:type="gramStart"/>
      <w:r>
        <w:t>vehicle</w:t>
      </w:r>
      <w:proofErr w:type="gramEnd"/>
      <w:r>
        <w:t xml:space="preserve"> incidents and other 3%.</w:t>
      </w:r>
    </w:p>
    <w:p w:rsidR="008E273C" w:rsidRDefault="008E273C" w:rsidP="008E273C">
      <w:pPr>
        <w:pStyle w:val="BodyText"/>
      </w:pPr>
      <w:r>
        <w:lastRenderedPageBreak/>
        <w:t>In 2019–20 Services Australia responded quickly to assure the safety and wellbeing of our staff and customers during the COVID-19 pandemic (s</w:t>
      </w:r>
      <w:r>
        <w:rPr>
          <w:rStyle w:val="NoBreak"/>
        </w:rPr>
        <w:t xml:space="preserve">ee </w:t>
      </w:r>
      <w:r>
        <w:rPr>
          <w:rStyle w:val="Italic"/>
        </w:rPr>
        <w:t>COVID-19 pandemic</w:t>
      </w:r>
      <w:r>
        <w:t xml:space="preserve"> on page xv). </w:t>
      </w:r>
    </w:p>
    <w:p w:rsidR="008E273C" w:rsidRDefault="008E273C" w:rsidP="008E273C">
      <w:pPr>
        <w:pStyle w:val="Heading3"/>
      </w:pPr>
      <w:r>
        <w:t>Work Health and Safety Act 2011—reporting for 2019–20</w:t>
      </w:r>
    </w:p>
    <w:p w:rsidR="008E273C" w:rsidRDefault="008E273C" w:rsidP="008E273C">
      <w:pPr>
        <w:pStyle w:val="BodyText"/>
      </w:pPr>
      <w:r>
        <w:t xml:space="preserve">In 2019–20 </w:t>
      </w:r>
      <w:proofErr w:type="spellStart"/>
      <w:r>
        <w:t>Comcare</w:t>
      </w:r>
      <w:proofErr w:type="spellEnd"/>
      <w:r>
        <w:t xml:space="preserve"> undertook three reactive workplace inspections in the agency. One was made in response to a dangerous incident, one was determined not to be a work-related incident and one was made in response to a request for assistance. Further contact was made in response to five complaints relating to COVID-19 pandemic measures. </w:t>
      </w:r>
    </w:p>
    <w:p w:rsidR="008E273C" w:rsidRDefault="008E273C" w:rsidP="008E273C">
      <w:pPr>
        <w:pStyle w:val="BodyText"/>
      </w:pPr>
      <w:proofErr w:type="spellStart"/>
      <w:r>
        <w:t>Comcare</w:t>
      </w:r>
      <w:proofErr w:type="spellEnd"/>
      <w:r>
        <w:t xml:space="preserve"> identified no contraventions of the </w:t>
      </w:r>
      <w:r>
        <w:rPr>
          <w:rStyle w:val="Italic"/>
        </w:rPr>
        <w:t>Work Health and Safety Act 2011</w:t>
      </w:r>
      <w:r>
        <w:t xml:space="preserve"> and issued nil improvement notices under the Act. </w:t>
      </w:r>
    </w:p>
    <w:p w:rsidR="008E273C" w:rsidRDefault="008E273C" w:rsidP="008E273C">
      <w:pPr>
        <w:pStyle w:val="BodyText"/>
      </w:pPr>
      <w:r>
        <w:t xml:space="preserve">A total of 27 incidents in the agency were notified to </w:t>
      </w:r>
      <w:proofErr w:type="spellStart"/>
      <w:r>
        <w:t>Comcare</w:t>
      </w:r>
      <w:proofErr w:type="spellEnd"/>
      <w:r>
        <w:t xml:space="preserve"> in 2019–20 (compared with 34 in 2018–19). </w:t>
      </w:r>
    </w:p>
    <w:p w:rsidR="008E273C" w:rsidRPr="00BD07FC" w:rsidRDefault="00BD07FC" w:rsidP="00BD07FC">
      <w:pPr>
        <w:pStyle w:val="BodyText"/>
        <w:rPr>
          <w:b/>
        </w:rPr>
      </w:pPr>
      <w:r w:rsidRPr="00BD07FC">
        <w:rPr>
          <w:b/>
        </w:rPr>
        <w:t>Table 49:</w:t>
      </w:r>
      <w:r w:rsidR="008E273C" w:rsidRPr="00BD07FC">
        <w:rPr>
          <w:b/>
        </w:rPr>
        <w:t xml:space="preserve"> Incidents notified to </w:t>
      </w:r>
      <w:proofErr w:type="spellStart"/>
      <w:r w:rsidR="008E273C" w:rsidRPr="00BD07FC">
        <w:rPr>
          <w:b/>
        </w:rPr>
        <w:t>Comcare</w:t>
      </w:r>
      <w:proofErr w:type="spellEnd"/>
      <w:r w:rsidR="008E273C" w:rsidRPr="00BD07FC">
        <w:rPr>
          <w:b/>
        </w:rPr>
        <w:t xml:space="preserve"> in 2019–20</w:t>
      </w:r>
    </w:p>
    <w:tbl>
      <w:tblPr>
        <w:tblStyle w:val="TableGrid"/>
        <w:tblW w:w="5000" w:type="pct"/>
        <w:tblLook w:val="0000" w:firstRow="0" w:lastRow="0" w:firstColumn="0" w:lastColumn="0" w:noHBand="0" w:noVBand="0"/>
        <w:tblCaption w:val="Table 49: Incidents notified to Comcare in 2019–20"/>
        <w:tblDescription w:val="Table 49: Incidents notified to Comcare in 2019–20"/>
      </w:tblPr>
      <w:tblGrid>
        <w:gridCol w:w="5548"/>
        <w:gridCol w:w="5548"/>
      </w:tblGrid>
      <w:tr w:rsidR="008E273C" w:rsidTr="00BD07FC">
        <w:trPr>
          <w:trHeight w:val="60"/>
          <w:tblHeader/>
        </w:trPr>
        <w:tc>
          <w:tcPr>
            <w:tcW w:w="2500" w:type="pct"/>
          </w:tcPr>
          <w:p w:rsidR="008E273C" w:rsidRPr="00BD07FC" w:rsidRDefault="008E273C" w:rsidP="00BD07FC">
            <w:pPr>
              <w:pStyle w:val="BodyText"/>
              <w:rPr>
                <w:b/>
              </w:rPr>
            </w:pPr>
            <w:r w:rsidRPr="00BD07FC">
              <w:rPr>
                <w:b/>
              </w:rPr>
              <w:t>Type of incident</w:t>
            </w:r>
          </w:p>
        </w:tc>
        <w:tc>
          <w:tcPr>
            <w:tcW w:w="2500" w:type="pct"/>
          </w:tcPr>
          <w:p w:rsidR="008E273C" w:rsidRPr="00BD07FC" w:rsidRDefault="008E273C" w:rsidP="00BD07FC">
            <w:pPr>
              <w:pStyle w:val="BodyText"/>
              <w:rPr>
                <w:b/>
              </w:rPr>
            </w:pPr>
            <w:r w:rsidRPr="00BD07FC">
              <w:rPr>
                <w:b/>
              </w:rPr>
              <w:t>Number</w:t>
            </w:r>
          </w:p>
        </w:tc>
      </w:tr>
      <w:tr w:rsidR="008E273C" w:rsidTr="00BD07FC">
        <w:trPr>
          <w:trHeight w:val="60"/>
        </w:trPr>
        <w:tc>
          <w:tcPr>
            <w:tcW w:w="2500" w:type="pct"/>
          </w:tcPr>
          <w:p w:rsidR="008E273C" w:rsidRDefault="008E273C" w:rsidP="00BD07FC">
            <w:pPr>
              <w:pStyle w:val="BodyText"/>
            </w:pPr>
            <w:r>
              <w:t>Death</w:t>
            </w:r>
          </w:p>
        </w:tc>
        <w:tc>
          <w:tcPr>
            <w:tcW w:w="2500" w:type="pct"/>
          </w:tcPr>
          <w:p w:rsidR="008E273C" w:rsidRDefault="008E273C" w:rsidP="00BD07FC">
            <w:pPr>
              <w:pStyle w:val="BodyText"/>
            </w:pPr>
            <w:r>
              <w:t>0</w:t>
            </w:r>
          </w:p>
        </w:tc>
      </w:tr>
      <w:tr w:rsidR="008E273C" w:rsidTr="00BD07FC">
        <w:trPr>
          <w:trHeight w:val="60"/>
        </w:trPr>
        <w:tc>
          <w:tcPr>
            <w:tcW w:w="2500" w:type="pct"/>
          </w:tcPr>
          <w:p w:rsidR="008E273C" w:rsidRDefault="008E273C" w:rsidP="00BD07FC">
            <w:pPr>
              <w:pStyle w:val="BodyText"/>
            </w:pPr>
            <w:r>
              <w:t>Serious injury or illness</w:t>
            </w:r>
          </w:p>
        </w:tc>
        <w:tc>
          <w:tcPr>
            <w:tcW w:w="2500" w:type="pct"/>
          </w:tcPr>
          <w:p w:rsidR="008E273C" w:rsidRDefault="008E273C" w:rsidP="00BD07FC">
            <w:pPr>
              <w:pStyle w:val="BodyText"/>
            </w:pPr>
            <w:r>
              <w:t>11</w:t>
            </w:r>
          </w:p>
        </w:tc>
      </w:tr>
      <w:tr w:rsidR="008E273C" w:rsidTr="00BD07FC">
        <w:trPr>
          <w:trHeight w:val="60"/>
        </w:trPr>
        <w:tc>
          <w:tcPr>
            <w:tcW w:w="2500" w:type="pct"/>
          </w:tcPr>
          <w:p w:rsidR="008E273C" w:rsidRDefault="008E273C" w:rsidP="00BD07FC">
            <w:pPr>
              <w:pStyle w:val="BodyText"/>
            </w:pPr>
            <w:r>
              <w:t>Dangerous incidents</w:t>
            </w:r>
          </w:p>
        </w:tc>
        <w:tc>
          <w:tcPr>
            <w:tcW w:w="2500" w:type="pct"/>
          </w:tcPr>
          <w:p w:rsidR="008E273C" w:rsidRDefault="008E273C" w:rsidP="00BD07FC">
            <w:pPr>
              <w:pStyle w:val="BodyText"/>
            </w:pPr>
            <w:r>
              <w:t>16</w:t>
            </w:r>
          </w:p>
        </w:tc>
      </w:tr>
      <w:tr w:rsidR="008E273C" w:rsidTr="00BD07FC">
        <w:trPr>
          <w:trHeight w:val="60"/>
        </w:trPr>
        <w:tc>
          <w:tcPr>
            <w:tcW w:w="2500" w:type="pct"/>
          </w:tcPr>
          <w:p w:rsidR="008E273C" w:rsidRDefault="008E273C" w:rsidP="00BD07FC">
            <w:pPr>
              <w:pStyle w:val="BodyText"/>
            </w:pPr>
            <w:r>
              <w:rPr>
                <w:rStyle w:val="Bold"/>
              </w:rPr>
              <w:t>Total</w:t>
            </w:r>
          </w:p>
        </w:tc>
        <w:tc>
          <w:tcPr>
            <w:tcW w:w="2500" w:type="pct"/>
          </w:tcPr>
          <w:p w:rsidR="008E273C" w:rsidRDefault="008E273C" w:rsidP="00BD07FC">
            <w:pPr>
              <w:pStyle w:val="BodyText"/>
            </w:pPr>
            <w:r>
              <w:rPr>
                <w:rStyle w:val="Bold"/>
              </w:rPr>
              <w:t>27</w:t>
            </w:r>
          </w:p>
        </w:tc>
      </w:tr>
    </w:tbl>
    <w:p w:rsidR="008E273C" w:rsidRDefault="008E273C" w:rsidP="008E273C">
      <w:pPr>
        <w:pStyle w:val="Heading1"/>
      </w:pPr>
      <w:r>
        <w:t>4.7 Information required by other legislation</w:t>
      </w:r>
    </w:p>
    <w:p w:rsidR="008E273C" w:rsidRDefault="008E273C" w:rsidP="008E273C">
      <w:pPr>
        <w:pStyle w:val="Heading2"/>
      </w:pPr>
      <w:r>
        <w:t>Report under the Data-matching Program (Assistance and Tax) Act 1990</w:t>
      </w:r>
    </w:p>
    <w:p w:rsidR="008E273C" w:rsidRDefault="008E273C" w:rsidP="008E273C">
      <w:pPr>
        <w:pStyle w:val="BodyText"/>
      </w:pPr>
      <w:r>
        <w:t>The agency performed Data-matching Program activities in 2019–20 solely on behalf of the Department of Veterans’ Affairs (DVA).</w:t>
      </w:r>
    </w:p>
    <w:p w:rsidR="008E273C" w:rsidRDefault="008E273C" w:rsidP="008E273C">
      <w:pPr>
        <w:pStyle w:val="BodyText"/>
      </w:pPr>
      <w:r>
        <w:rPr>
          <w:spacing w:val="-2"/>
        </w:rPr>
        <w:t xml:space="preserve">For results of </w:t>
      </w:r>
      <w:r>
        <w:rPr>
          <w:rStyle w:val="Italic"/>
          <w:spacing w:val="-2"/>
        </w:rPr>
        <w:t>Data-matching Program (Assistance and Tax) Act 1990</w:t>
      </w:r>
      <w:r>
        <w:rPr>
          <w:spacing w:val="-2"/>
        </w:rPr>
        <w:t xml:space="preserve"> (DMP Act) </w:t>
      </w:r>
      <w:r>
        <w:t xml:space="preserve">activities required under guideline 12 of the Schedule to the DMP Act, see the Department of Veterans’ Affairs annual report for 2019–20 at </w:t>
      </w:r>
      <w:r w:rsidRPr="00BD07FC">
        <w:rPr>
          <w:b/>
        </w:rPr>
        <w:t>dva.gov.au</w:t>
      </w:r>
    </w:p>
    <w:p w:rsidR="008E273C" w:rsidRDefault="008E273C" w:rsidP="008E273C">
      <w:pPr>
        <w:pStyle w:val="BodyText"/>
      </w:pPr>
      <w:r>
        <w:t>Table 50 shows the number of residual debts raised under the DMP Act in previous financial years that were paid in full or commenced a repayment arrangement in 2019–20.</w:t>
      </w:r>
    </w:p>
    <w:p w:rsidR="008E273C" w:rsidRPr="00BD07FC" w:rsidRDefault="00BD07FC" w:rsidP="00BD07FC">
      <w:pPr>
        <w:pStyle w:val="BodyText"/>
        <w:rPr>
          <w:b/>
        </w:rPr>
      </w:pPr>
      <w:r w:rsidRPr="00BD07FC">
        <w:rPr>
          <w:b/>
        </w:rPr>
        <w:t>Table 50:</w:t>
      </w:r>
      <w:r w:rsidR="008E273C" w:rsidRPr="00BD07FC">
        <w:rPr>
          <w:b/>
        </w:rPr>
        <w:t xml:space="preserve"> Results of debt recovery activity in 2019–20</w:t>
      </w:r>
    </w:p>
    <w:tbl>
      <w:tblPr>
        <w:tblStyle w:val="TableGrid"/>
        <w:tblW w:w="5000" w:type="pct"/>
        <w:tblLook w:val="0000" w:firstRow="0" w:lastRow="0" w:firstColumn="0" w:lastColumn="0" w:noHBand="0" w:noVBand="0"/>
        <w:tblCaption w:val="Table 50: Results of debt recovery activity in 2019–20"/>
        <w:tblDescription w:val="Table 50: Results of debt recovery activity in 2019–20"/>
      </w:tblPr>
      <w:tblGrid>
        <w:gridCol w:w="6700"/>
        <w:gridCol w:w="4396"/>
      </w:tblGrid>
      <w:tr w:rsidR="008E273C" w:rsidTr="00BD07FC">
        <w:trPr>
          <w:trHeight w:val="60"/>
          <w:tblHeader/>
        </w:trPr>
        <w:tc>
          <w:tcPr>
            <w:tcW w:w="3019" w:type="pct"/>
          </w:tcPr>
          <w:p w:rsidR="008E273C" w:rsidRPr="00BD07FC" w:rsidRDefault="008E273C" w:rsidP="00BD07FC">
            <w:pPr>
              <w:pStyle w:val="BodyText"/>
              <w:rPr>
                <w:b/>
              </w:rPr>
            </w:pPr>
            <w:r w:rsidRPr="00BD07FC">
              <w:rPr>
                <w:b/>
              </w:rPr>
              <w:t>Cases</w:t>
            </w:r>
          </w:p>
        </w:tc>
        <w:tc>
          <w:tcPr>
            <w:tcW w:w="1981" w:type="pct"/>
          </w:tcPr>
          <w:p w:rsidR="008E273C" w:rsidRPr="00BD07FC" w:rsidRDefault="008E273C" w:rsidP="00BD07FC">
            <w:pPr>
              <w:pStyle w:val="BodyText"/>
              <w:rPr>
                <w:b/>
              </w:rPr>
            </w:pPr>
            <w:r w:rsidRPr="00BD07FC">
              <w:rPr>
                <w:b/>
              </w:rPr>
              <w:t xml:space="preserve">Number </w:t>
            </w:r>
          </w:p>
        </w:tc>
      </w:tr>
      <w:tr w:rsidR="008E273C" w:rsidTr="00BD07FC">
        <w:trPr>
          <w:trHeight w:val="60"/>
        </w:trPr>
        <w:tc>
          <w:tcPr>
            <w:tcW w:w="3019" w:type="pct"/>
          </w:tcPr>
          <w:p w:rsidR="008E273C" w:rsidRDefault="008E273C" w:rsidP="00BD07FC">
            <w:pPr>
              <w:pStyle w:val="BodyText"/>
            </w:pPr>
            <w:r>
              <w:t>Cases where recovery action was initiated</w:t>
            </w:r>
            <w:r>
              <w:rPr>
                <w:vertAlign w:val="superscript"/>
              </w:rPr>
              <w:t>(a)</w:t>
            </w:r>
          </w:p>
        </w:tc>
        <w:tc>
          <w:tcPr>
            <w:tcW w:w="1981" w:type="pct"/>
          </w:tcPr>
          <w:p w:rsidR="008E273C" w:rsidRDefault="008E273C" w:rsidP="00BD07FC">
            <w:pPr>
              <w:pStyle w:val="BodyText"/>
            </w:pPr>
            <w:r>
              <w:t>7,058</w:t>
            </w:r>
          </w:p>
        </w:tc>
      </w:tr>
      <w:tr w:rsidR="008E273C" w:rsidTr="00BD07FC">
        <w:trPr>
          <w:trHeight w:val="60"/>
        </w:trPr>
        <w:tc>
          <w:tcPr>
            <w:tcW w:w="3019" w:type="pct"/>
          </w:tcPr>
          <w:p w:rsidR="008E273C" w:rsidRDefault="008E273C" w:rsidP="00BD07FC">
            <w:pPr>
              <w:pStyle w:val="BodyText"/>
            </w:pPr>
            <w:r>
              <w:lastRenderedPageBreak/>
              <w:t>Cases where the debt was fully recovered</w:t>
            </w:r>
            <w:r>
              <w:rPr>
                <w:vertAlign w:val="superscript"/>
              </w:rPr>
              <w:t>(b)</w:t>
            </w:r>
          </w:p>
        </w:tc>
        <w:tc>
          <w:tcPr>
            <w:tcW w:w="1981" w:type="pct"/>
          </w:tcPr>
          <w:p w:rsidR="008E273C" w:rsidRDefault="008E273C" w:rsidP="00BD07FC">
            <w:pPr>
              <w:pStyle w:val="BodyText"/>
            </w:pPr>
            <w:r>
              <w:t>1,781</w:t>
            </w:r>
          </w:p>
        </w:tc>
      </w:tr>
    </w:tbl>
    <w:p w:rsidR="008E273C" w:rsidRDefault="008E273C" w:rsidP="00BD07FC">
      <w:pPr>
        <w:pStyle w:val="BodyText"/>
      </w:pPr>
      <w:r>
        <w:t>(a)</w:t>
      </w:r>
      <w:r w:rsidR="00BD07FC">
        <w:t xml:space="preserve"> </w:t>
      </w:r>
      <w:r>
        <w:t>The number of cases where recovery action commenced on a debt. The executive agency recovers debts through withholding part of a customer’s payment or cash repayments.</w:t>
      </w:r>
    </w:p>
    <w:p w:rsidR="008E273C" w:rsidRDefault="008E273C" w:rsidP="00BD07FC">
      <w:pPr>
        <w:pStyle w:val="BodyText"/>
      </w:pPr>
      <w:r>
        <w:t>(b)</w:t>
      </w:r>
      <w:r w:rsidR="00BD07FC">
        <w:t xml:space="preserve"> </w:t>
      </w:r>
      <w:r>
        <w:t>Recovery of a debt can take place over a number of years, so the number and value of debts raised in a year does not necessarily correspond to the number and value of recoveries.</w:t>
      </w:r>
    </w:p>
    <w:p w:rsidR="008E273C" w:rsidRDefault="008E273C" w:rsidP="008E273C">
      <w:pPr>
        <w:pStyle w:val="Heading3"/>
      </w:pPr>
      <w:r>
        <w:t xml:space="preserve">Program savings and costs </w:t>
      </w:r>
    </w:p>
    <w:p w:rsidR="008E273C" w:rsidRDefault="008E273C" w:rsidP="00E42522">
      <w:pPr>
        <w:pStyle w:val="BodyText"/>
      </w:pPr>
      <w:r>
        <w:t>The program has three direct savings components:</w:t>
      </w:r>
    </w:p>
    <w:p w:rsidR="008E273C" w:rsidRDefault="008E273C" w:rsidP="00E42522">
      <w:pPr>
        <w:pStyle w:val="ListBullet"/>
      </w:pPr>
      <w:r>
        <w:t>downward variations in rate or stopping payments</w:t>
      </w:r>
    </w:p>
    <w:p w:rsidR="008E273C" w:rsidRDefault="008E273C" w:rsidP="00E42522">
      <w:pPr>
        <w:pStyle w:val="ListBullet"/>
      </w:pPr>
      <w:r>
        <w:t>raised debts</w:t>
      </w:r>
    </w:p>
    <w:p w:rsidR="008E273C" w:rsidRDefault="008E273C" w:rsidP="00E42522">
      <w:pPr>
        <w:pStyle w:val="ListBullet"/>
      </w:pPr>
      <w:proofErr w:type="gramStart"/>
      <w:r>
        <w:t>ceasing</w:t>
      </w:r>
      <w:proofErr w:type="gramEnd"/>
      <w:r>
        <w:t xml:space="preserve"> payments to new recipients for failure to comply with Tax File Number requirements.</w:t>
      </w:r>
    </w:p>
    <w:p w:rsidR="008E273C" w:rsidRDefault="008E273C" w:rsidP="008E273C">
      <w:pPr>
        <w:pStyle w:val="BodyText"/>
      </w:pPr>
      <w:r>
        <w:t>Savings from the program are generated solely from new recipients failing to comply with Tax File Number requirements.</w:t>
      </w:r>
    </w:p>
    <w:p w:rsidR="008E273C" w:rsidRDefault="008E273C" w:rsidP="008E273C">
      <w:pPr>
        <w:pStyle w:val="BodyText"/>
      </w:pPr>
      <w:r>
        <w:t xml:space="preserve">Repaid debts of former recipients of each assistance agency also contribute to savings. </w:t>
      </w:r>
    </w:p>
    <w:p w:rsidR="008E273C" w:rsidRDefault="008E273C" w:rsidP="008E273C">
      <w:pPr>
        <w:pStyle w:val="BodyText"/>
      </w:pPr>
      <w:r>
        <w:t>In 2019–20 the Data-matching Program achieved $9.08 million in savings.</w:t>
      </w:r>
    </w:p>
    <w:p w:rsidR="008E273C" w:rsidRDefault="008E273C" w:rsidP="008E273C">
      <w:pPr>
        <w:pStyle w:val="BodyText"/>
      </w:pPr>
      <w:r w:rsidRPr="00AC4959">
        <w:t>Administrative costs</w:t>
      </w:r>
      <w:r>
        <w:t>—Administrative costs include computer and associated costs. The equipment used to run the program cycles has some ongoing administrative costs associated with computer hardware and software maintenance.</w:t>
      </w:r>
    </w:p>
    <w:p w:rsidR="008E273C" w:rsidRDefault="008E273C" w:rsidP="00E42522">
      <w:pPr>
        <w:pStyle w:val="BodyText"/>
      </w:pPr>
      <w:r w:rsidRPr="00AC4959">
        <w:t>Salary costs</w:t>
      </w:r>
      <w:r>
        <w:t>—</w:t>
      </w:r>
      <w:proofErr w:type="gramStart"/>
      <w:r>
        <w:t>The</w:t>
      </w:r>
      <w:proofErr w:type="gramEnd"/>
      <w:r>
        <w:t xml:space="preserve"> program’s main salary costs were associated with:</w:t>
      </w:r>
    </w:p>
    <w:p w:rsidR="008E273C" w:rsidRDefault="008E273C" w:rsidP="00E42522">
      <w:pPr>
        <w:pStyle w:val="ListBullet"/>
      </w:pPr>
      <w:r>
        <w:t>managing and supporting the program within the agency</w:t>
      </w:r>
    </w:p>
    <w:p w:rsidR="008E273C" w:rsidRDefault="008E273C" w:rsidP="00E42522">
      <w:pPr>
        <w:pStyle w:val="ListBullet"/>
      </w:pPr>
      <w:proofErr w:type="gramStart"/>
      <w:r>
        <w:t>the</w:t>
      </w:r>
      <w:proofErr w:type="gramEnd"/>
      <w:r>
        <w:t xml:space="preserve"> agency’s network review activity, including its management and coordination.</w:t>
      </w:r>
    </w:p>
    <w:p w:rsidR="008E273C" w:rsidRDefault="008E273C" w:rsidP="008E273C">
      <w:pPr>
        <w:pStyle w:val="BodyText"/>
      </w:pPr>
      <w:r w:rsidRPr="00AC4959">
        <w:t>Direct cost–benefit summary</w:t>
      </w:r>
      <w:r>
        <w:t>—</w:t>
      </w:r>
      <w:proofErr w:type="gramStart"/>
      <w:r>
        <w:t>When</w:t>
      </w:r>
      <w:proofErr w:type="gramEnd"/>
      <w:r>
        <w:t xml:space="preserve"> the costs and benefits (direct savings) are compared, the net benefits of the program are significant. In 2019–20 the net benefit of the program was $8.06 million.</w:t>
      </w:r>
    </w:p>
    <w:p w:rsidR="008E273C" w:rsidRPr="00BD07FC" w:rsidRDefault="00BD07FC" w:rsidP="00BD07FC">
      <w:pPr>
        <w:pStyle w:val="BodyText"/>
        <w:rPr>
          <w:b/>
        </w:rPr>
      </w:pPr>
      <w:r w:rsidRPr="00BD07FC">
        <w:rPr>
          <w:b/>
        </w:rPr>
        <w:t>Table 51:</w:t>
      </w:r>
      <w:r w:rsidR="008E273C" w:rsidRPr="00BD07FC">
        <w:rPr>
          <w:b/>
        </w:rPr>
        <w:t xml:space="preserve"> Direct cost–benefit summary</w:t>
      </w:r>
    </w:p>
    <w:tbl>
      <w:tblPr>
        <w:tblStyle w:val="TableGrid"/>
        <w:tblW w:w="5000" w:type="pct"/>
        <w:tblLook w:val="0000" w:firstRow="0" w:lastRow="0" w:firstColumn="0" w:lastColumn="0" w:noHBand="0" w:noVBand="0"/>
        <w:tblCaption w:val="Table 51: Direct cost–benefit summary"/>
        <w:tblDescription w:val="Table 51: Direct cost–benefit summary"/>
      </w:tblPr>
      <w:tblGrid>
        <w:gridCol w:w="6700"/>
        <w:gridCol w:w="4396"/>
      </w:tblGrid>
      <w:tr w:rsidR="008E273C" w:rsidTr="00BD07FC">
        <w:trPr>
          <w:trHeight w:val="60"/>
          <w:tblHeader/>
        </w:trPr>
        <w:tc>
          <w:tcPr>
            <w:tcW w:w="3019" w:type="pct"/>
          </w:tcPr>
          <w:p w:rsidR="008E273C" w:rsidRPr="00BD07FC" w:rsidRDefault="008E273C" w:rsidP="00BD07FC">
            <w:pPr>
              <w:pStyle w:val="BodyText"/>
              <w:rPr>
                <w:b/>
              </w:rPr>
            </w:pPr>
          </w:p>
        </w:tc>
        <w:tc>
          <w:tcPr>
            <w:tcW w:w="1981" w:type="pct"/>
          </w:tcPr>
          <w:p w:rsidR="008E273C" w:rsidRPr="00BD07FC" w:rsidRDefault="008E273C" w:rsidP="00BD07FC">
            <w:pPr>
              <w:pStyle w:val="BodyText"/>
              <w:rPr>
                <w:b/>
              </w:rPr>
            </w:pPr>
            <w:r w:rsidRPr="00BD07FC">
              <w:rPr>
                <w:b/>
              </w:rPr>
              <w:t>2019–20 actual</w:t>
            </w:r>
          </w:p>
        </w:tc>
      </w:tr>
      <w:tr w:rsidR="008E273C" w:rsidTr="00BD07FC">
        <w:trPr>
          <w:trHeight w:val="60"/>
        </w:trPr>
        <w:tc>
          <w:tcPr>
            <w:tcW w:w="3019" w:type="pct"/>
          </w:tcPr>
          <w:p w:rsidR="008E273C" w:rsidRDefault="008E273C" w:rsidP="00BD07FC">
            <w:pPr>
              <w:pStyle w:val="BodyText"/>
            </w:pPr>
            <w:r>
              <w:t>Benefits</w:t>
            </w:r>
            <w:r>
              <w:rPr>
                <w:vertAlign w:val="superscript"/>
              </w:rPr>
              <w:t>(a)</w:t>
            </w:r>
          </w:p>
        </w:tc>
        <w:tc>
          <w:tcPr>
            <w:tcW w:w="1981" w:type="pct"/>
          </w:tcPr>
          <w:p w:rsidR="008E273C" w:rsidRDefault="008E273C" w:rsidP="00BD07FC">
            <w:pPr>
              <w:pStyle w:val="BodyText"/>
            </w:pPr>
            <w:r>
              <w:t>$9,079,800</w:t>
            </w:r>
          </w:p>
        </w:tc>
      </w:tr>
      <w:tr w:rsidR="008E273C" w:rsidTr="00BD07FC">
        <w:trPr>
          <w:trHeight w:val="60"/>
        </w:trPr>
        <w:tc>
          <w:tcPr>
            <w:tcW w:w="3019" w:type="pct"/>
          </w:tcPr>
          <w:p w:rsidR="008E273C" w:rsidRDefault="008E273C" w:rsidP="00BD07FC">
            <w:pPr>
              <w:pStyle w:val="BodyText"/>
            </w:pPr>
            <w:r>
              <w:t>Costs</w:t>
            </w:r>
          </w:p>
        </w:tc>
        <w:tc>
          <w:tcPr>
            <w:tcW w:w="1981" w:type="pct"/>
          </w:tcPr>
          <w:p w:rsidR="008E273C" w:rsidRDefault="008E273C" w:rsidP="00BD07FC">
            <w:pPr>
              <w:pStyle w:val="BodyText"/>
            </w:pPr>
            <w:r>
              <w:t>$1,023,400</w:t>
            </w:r>
          </w:p>
        </w:tc>
      </w:tr>
      <w:tr w:rsidR="008E273C" w:rsidTr="00BD07FC">
        <w:trPr>
          <w:trHeight w:val="60"/>
        </w:trPr>
        <w:tc>
          <w:tcPr>
            <w:tcW w:w="3019" w:type="pct"/>
          </w:tcPr>
          <w:p w:rsidR="008E273C" w:rsidRDefault="008E273C" w:rsidP="00BD07FC">
            <w:pPr>
              <w:pStyle w:val="BodyText"/>
            </w:pPr>
            <w:r>
              <w:t>Net benefits</w:t>
            </w:r>
            <w:r>
              <w:rPr>
                <w:vertAlign w:val="superscript"/>
              </w:rPr>
              <w:t>(b)</w:t>
            </w:r>
          </w:p>
        </w:tc>
        <w:tc>
          <w:tcPr>
            <w:tcW w:w="1981" w:type="pct"/>
          </w:tcPr>
          <w:p w:rsidR="008E273C" w:rsidRDefault="008E273C" w:rsidP="00BD07FC">
            <w:pPr>
              <w:pStyle w:val="BodyText"/>
            </w:pPr>
            <w:r>
              <w:t>$8,056,400</w:t>
            </w:r>
          </w:p>
        </w:tc>
      </w:tr>
      <w:tr w:rsidR="008E273C" w:rsidTr="00BD07FC">
        <w:trPr>
          <w:trHeight w:val="60"/>
        </w:trPr>
        <w:tc>
          <w:tcPr>
            <w:tcW w:w="3019" w:type="pct"/>
          </w:tcPr>
          <w:p w:rsidR="008E273C" w:rsidRDefault="008E273C" w:rsidP="00BD07FC">
            <w:pPr>
              <w:pStyle w:val="BodyText"/>
            </w:pPr>
            <w:r>
              <w:t>Cost–benefit ratio</w:t>
            </w:r>
            <w:r>
              <w:rPr>
                <w:vertAlign w:val="superscript"/>
              </w:rPr>
              <w:t>(c)</w:t>
            </w:r>
          </w:p>
        </w:tc>
        <w:tc>
          <w:tcPr>
            <w:tcW w:w="1981" w:type="pct"/>
          </w:tcPr>
          <w:p w:rsidR="008E273C" w:rsidRDefault="008E273C" w:rsidP="00BD07FC">
            <w:pPr>
              <w:pStyle w:val="BodyText"/>
            </w:pPr>
            <w:r>
              <w:t>1:8.9</w:t>
            </w:r>
          </w:p>
        </w:tc>
      </w:tr>
    </w:tbl>
    <w:p w:rsidR="008E273C" w:rsidRDefault="008E273C" w:rsidP="00BD07FC">
      <w:pPr>
        <w:pStyle w:val="BodyText"/>
      </w:pPr>
      <w:r>
        <w:lastRenderedPageBreak/>
        <w:t>(a)</w:t>
      </w:r>
      <w:r w:rsidR="00BD07FC">
        <w:t xml:space="preserve"> </w:t>
      </w:r>
      <w:r>
        <w:t>Net savings, including the effect of upward variations.</w:t>
      </w:r>
    </w:p>
    <w:p w:rsidR="008E273C" w:rsidRDefault="008E273C" w:rsidP="00BD07FC">
      <w:pPr>
        <w:pStyle w:val="BodyText"/>
      </w:pPr>
      <w:r>
        <w:t>(b)</w:t>
      </w:r>
      <w:r w:rsidR="00BD07FC">
        <w:t xml:space="preserve"> </w:t>
      </w:r>
      <w:r>
        <w:t>Calculated by subtracting costs from benefits.</w:t>
      </w:r>
    </w:p>
    <w:p w:rsidR="008E273C" w:rsidRDefault="008E273C" w:rsidP="00BD07FC">
      <w:pPr>
        <w:pStyle w:val="BodyText"/>
      </w:pPr>
      <w:r>
        <w:t>(c)</w:t>
      </w:r>
      <w:r w:rsidR="00BD07FC">
        <w:t xml:space="preserve"> </w:t>
      </w:r>
      <w:r>
        <w:t>Calculated by dividing benefits by costs.</w:t>
      </w:r>
    </w:p>
    <w:p w:rsidR="008E273C" w:rsidRDefault="008E273C" w:rsidP="008E273C">
      <w:pPr>
        <w:pStyle w:val="Heading3"/>
      </w:pPr>
      <w:r>
        <w:t>Chronology</w:t>
      </w:r>
    </w:p>
    <w:p w:rsidR="008E273C" w:rsidRDefault="008E273C" w:rsidP="008E273C">
      <w:pPr>
        <w:pStyle w:val="BodyText"/>
        <w:spacing w:after="57"/>
      </w:pPr>
      <w:r>
        <w:t>The events listed below include data-matching cycles run in accordance with the DMP Act with the Office of the Australian Information Commissioner during 2019–20.</w:t>
      </w:r>
    </w:p>
    <w:p w:rsidR="008E273C" w:rsidRDefault="008E273C" w:rsidP="00E42522">
      <w:pPr>
        <w:pStyle w:val="ListBullet"/>
      </w:pPr>
      <w:r>
        <w:t>24 July 2019 Cycle 3/2019 commenced</w:t>
      </w:r>
    </w:p>
    <w:p w:rsidR="008E273C" w:rsidRDefault="008E273C" w:rsidP="00E42522">
      <w:pPr>
        <w:pStyle w:val="ListBullet"/>
      </w:pPr>
      <w:r>
        <w:t>23 August 2019 Cycle 3/2019 completed</w:t>
      </w:r>
    </w:p>
    <w:p w:rsidR="008E273C" w:rsidRDefault="008E273C" w:rsidP="00E42522">
      <w:pPr>
        <w:pStyle w:val="ListBullet"/>
      </w:pPr>
      <w:r>
        <w:t>24 October 2019 Cycle 4/2019 commenced</w:t>
      </w:r>
    </w:p>
    <w:p w:rsidR="008E273C" w:rsidRDefault="008E273C" w:rsidP="00E42522">
      <w:pPr>
        <w:pStyle w:val="ListBullet"/>
      </w:pPr>
      <w:r>
        <w:t>08 November 2019 Cycle 4/2019 completed</w:t>
      </w:r>
    </w:p>
    <w:p w:rsidR="008E273C" w:rsidRDefault="008E273C" w:rsidP="00E42522">
      <w:pPr>
        <w:pStyle w:val="ListBullet"/>
      </w:pPr>
      <w:r>
        <w:t>04 February 2020 Cycle 1/2020 commenced</w:t>
      </w:r>
    </w:p>
    <w:p w:rsidR="008E273C" w:rsidRDefault="008E273C" w:rsidP="00E42522">
      <w:pPr>
        <w:pStyle w:val="ListBullet"/>
      </w:pPr>
      <w:r>
        <w:t>28 February 2020 Cycle 1/2020 completed.</w:t>
      </w:r>
    </w:p>
    <w:p w:rsidR="008E273C" w:rsidRDefault="008E273C" w:rsidP="008E273C">
      <w:pPr>
        <w:pStyle w:val="Heading3"/>
      </w:pPr>
      <w:r>
        <w:t xml:space="preserve">Data management </w:t>
      </w:r>
    </w:p>
    <w:p w:rsidR="008E273C" w:rsidRDefault="008E273C" w:rsidP="008E273C">
      <w:pPr>
        <w:pStyle w:val="BodyText"/>
      </w:pPr>
      <w:r>
        <w:t xml:space="preserve">During the year our Chief Data Officer continued to lead the governance and use of the agency’s data. This includes building data and analytics capabilities to help drive better service delivery. </w:t>
      </w:r>
    </w:p>
    <w:p w:rsidR="008E273C" w:rsidRDefault="008E273C" w:rsidP="008E273C">
      <w:pPr>
        <w:pStyle w:val="Heading3"/>
      </w:pPr>
      <w:r>
        <w:t>Information assets</w:t>
      </w:r>
    </w:p>
    <w:p w:rsidR="008E273C" w:rsidRDefault="008E273C" w:rsidP="008E273C">
      <w:pPr>
        <w:pStyle w:val="BodyText"/>
        <w:spacing w:after="57"/>
      </w:pPr>
      <w:r>
        <w:t xml:space="preserve">As the Government’s primary service delivery agency, we collect, store, create, use and release large amounts of data. We have to ensure that the data we collect is stored securely and used appropriately and effectively in accordance </w:t>
      </w:r>
      <w:r>
        <w:rPr>
          <w:spacing w:val="-2"/>
        </w:rPr>
        <w:t>with the Australian Government Public Data Policy Statement. To protect its data,</w:t>
      </w:r>
      <w:r>
        <w:t xml:space="preserve"> Services Australia uses its:</w:t>
      </w:r>
    </w:p>
    <w:p w:rsidR="008E273C" w:rsidRDefault="008E273C" w:rsidP="00E42522">
      <w:pPr>
        <w:pStyle w:val="ListBullet"/>
      </w:pPr>
      <w:r>
        <w:t xml:space="preserve">Data Governance Framework to support legislative requirements and the whole-of-government data agenda, and ensure that the agency only provides data in ways that comply with legislation and safeguard customer privacy </w:t>
      </w:r>
    </w:p>
    <w:p w:rsidR="008E273C" w:rsidRDefault="008E273C" w:rsidP="00E42522">
      <w:pPr>
        <w:pStyle w:val="ListBullet"/>
      </w:pPr>
      <w:r>
        <w:t xml:space="preserve">Data and Analytics Strategy which sets out how the agency will use better governance practices, new technologies and analytical advances to increase appropriate and lawful access to data. </w:t>
      </w:r>
    </w:p>
    <w:p w:rsidR="008E273C" w:rsidRDefault="008E273C" w:rsidP="008E273C">
      <w:pPr>
        <w:pStyle w:val="BodyText"/>
      </w:pPr>
      <w:r>
        <w:t xml:space="preserve">For more information on statistical information and data see </w:t>
      </w:r>
      <w:r w:rsidRPr="00BD07FC">
        <w:rPr>
          <w:b/>
        </w:rPr>
        <w:t>servicesaustralia.gov.au</w:t>
      </w:r>
    </w:p>
    <w:p w:rsidR="008E273C" w:rsidRDefault="008E273C" w:rsidP="008E273C">
      <w:pPr>
        <w:pStyle w:val="Heading3"/>
      </w:pPr>
      <w:r>
        <w:t xml:space="preserve">Corporate record keeping </w:t>
      </w:r>
    </w:p>
    <w:p w:rsidR="008E273C" w:rsidRDefault="008E273C" w:rsidP="008E273C">
      <w:pPr>
        <w:pStyle w:val="BodyText"/>
      </w:pPr>
      <w:r>
        <w:t xml:space="preserve">The Australian Government’s </w:t>
      </w:r>
      <w:r>
        <w:rPr>
          <w:rStyle w:val="Italic"/>
        </w:rPr>
        <w:t>Digital Continuity 2020 Policy</w:t>
      </w:r>
      <w:r>
        <w:t xml:space="preserve"> promotes a consistent approach to information governance. See the policy on the National Archives of Australia website at </w:t>
      </w:r>
      <w:r w:rsidRPr="00BD07FC">
        <w:rPr>
          <w:b/>
        </w:rPr>
        <w:t>naa.gov.au/information-management/information-management-policies/digital-continuity-2020-policy</w:t>
      </w:r>
    </w:p>
    <w:p w:rsidR="008E273C" w:rsidRDefault="008E273C" w:rsidP="008E273C">
      <w:pPr>
        <w:pStyle w:val="BodyText"/>
      </w:pPr>
      <w:r>
        <w:t>Services Australia prefers to create and maintain administrative records digitally, thus reducing paper records. This is in line with our goal to transition to a complete digital record keeping model, including converting incoming paper to digital records whenever possible. The continued focus on online and self-</w:t>
      </w:r>
      <w:r>
        <w:lastRenderedPageBreak/>
        <w:t>service capabilities for customers has further reduced the volume of paper received and stored in 2019–20.</w:t>
      </w:r>
    </w:p>
    <w:p w:rsidR="008E273C" w:rsidRDefault="008E273C" w:rsidP="008E273C">
      <w:pPr>
        <w:pStyle w:val="Heading2"/>
      </w:pPr>
      <w:r>
        <w:t>Environmental management</w:t>
      </w:r>
    </w:p>
    <w:p w:rsidR="008E273C" w:rsidRDefault="008E273C" w:rsidP="008E273C">
      <w:pPr>
        <w:pStyle w:val="BodyText"/>
      </w:pPr>
      <w:r>
        <w:t xml:space="preserve">Services Australia’s environmental management system aligns with international standard ISO 14001:2015. The standard allows Services Australia to manage and report on greenhouse gas emissions, energy use, resource use and waste arising from building operations, motor vehicle and air travel, </w:t>
      </w:r>
      <w:proofErr w:type="gramStart"/>
      <w:r>
        <w:t>ICT</w:t>
      </w:r>
      <w:proofErr w:type="gramEnd"/>
      <w:r>
        <w:t xml:space="preserve"> and stationery supplies.</w:t>
      </w:r>
    </w:p>
    <w:p w:rsidR="008E273C" w:rsidRDefault="008E273C" w:rsidP="008E273C">
      <w:pPr>
        <w:pStyle w:val="BodyText"/>
      </w:pPr>
      <w:r>
        <w:t xml:space="preserve">Section 516A of the </w:t>
      </w:r>
      <w:r>
        <w:rPr>
          <w:rStyle w:val="Italic"/>
        </w:rPr>
        <w:t>Environment Protection and Biodiversity Conservation Act 1999</w:t>
      </w:r>
      <w:r>
        <w:t xml:space="preserve"> requires Australian Government agencies to report annually on their contribution to the principles of ecologically sustainable development (ESD) and the measures taken to minimise their effect on the environment.</w:t>
      </w:r>
    </w:p>
    <w:p w:rsidR="008E273C" w:rsidRDefault="008E273C" w:rsidP="008E273C">
      <w:pPr>
        <w:pStyle w:val="BodyText"/>
      </w:pPr>
      <w:r>
        <w:t xml:space="preserve">The ecologically sustainable development principles are set out in section 3A of the </w:t>
      </w:r>
      <w:r>
        <w:rPr>
          <w:rStyle w:val="Italic"/>
        </w:rPr>
        <w:t>Environment Protection and Biodiversity Conservation Act 1999</w:t>
      </w:r>
      <w:r>
        <w:t>.</w:t>
      </w:r>
    </w:p>
    <w:p w:rsidR="008E273C" w:rsidRDefault="008E273C" w:rsidP="008E273C">
      <w:pPr>
        <w:pStyle w:val="Heading3"/>
      </w:pPr>
      <w:r>
        <w:t xml:space="preserve">How administered programs accord with ESD principles—Section </w:t>
      </w:r>
      <w:proofErr w:type="gramStart"/>
      <w:r>
        <w:t>516a(</w:t>
      </w:r>
      <w:proofErr w:type="gramEnd"/>
      <w:r>
        <w:t>6)(a)</w:t>
      </w:r>
    </w:p>
    <w:p w:rsidR="008E273C" w:rsidRDefault="008E273C" w:rsidP="008E273C">
      <w:pPr>
        <w:pStyle w:val="BodyText"/>
      </w:pPr>
      <w:r>
        <w:t>In 2019–20 Services Australia administered the Centrelink, Medicare and Child Support programs in accordance with the principles of ESD.</w:t>
      </w:r>
    </w:p>
    <w:p w:rsidR="008E273C" w:rsidRDefault="008E273C" w:rsidP="008E273C">
      <w:pPr>
        <w:pStyle w:val="BodyText"/>
      </w:pPr>
      <w:r>
        <w:t>Fundamental considerations in administering these programs are the economic, environmental, equity and social consequences in short-term and long-term decision making.</w:t>
      </w:r>
    </w:p>
    <w:p w:rsidR="008E273C" w:rsidRDefault="008E273C" w:rsidP="008E273C">
      <w:pPr>
        <w:pStyle w:val="Heading3"/>
      </w:pPr>
      <w:r>
        <w:t xml:space="preserve">How Outcome 1 contributed to ESD principles—Section </w:t>
      </w:r>
      <w:proofErr w:type="gramStart"/>
      <w:r>
        <w:t>516a(</w:t>
      </w:r>
      <w:proofErr w:type="gramEnd"/>
      <w:r>
        <w:t>6)(b)</w:t>
      </w:r>
    </w:p>
    <w:p w:rsidR="008E273C" w:rsidRDefault="008E273C" w:rsidP="008E273C">
      <w:pPr>
        <w:pStyle w:val="BodyText"/>
        <w:spacing w:after="57"/>
      </w:pPr>
      <w:r>
        <w:t>In 2019–20 Services Australia continued to contribute to the principles of ecologically sustainable development in delivering efficient and convenient services. Our activities that made a direct contribution to ecologically sustainable development included:</w:t>
      </w:r>
    </w:p>
    <w:p w:rsidR="008E273C" w:rsidRDefault="008E273C" w:rsidP="00E42522">
      <w:pPr>
        <w:pStyle w:val="ListBullet"/>
      </w:pPr>
      <w:r>
        <w:t xml:space="preserve">increasing the number of online </w:t>
      </w:r>
      <w:proofErr w:type="spellStart"/>
      <w:r>
        <w:t>self services</w:t>
      </w:r>
      <w:proofErr w:type="spellEnd"/>
    </w:p>
    <w:p w:rsidR="008E273C" w:rsidRDefault="008E273C" w:rsidP="00E42522">
      <w:pPr>
        <w:pStyle w:val="ListBullet"/>
      </w:pPr>
      <w:r>
        <w:t>improving the functionality of Express Plus mobile apps</w:t>
      </w:r>
    </w:p>
    <w:p w:rsidR="008E273C" w:rsidRDefault="008E273C" w:rsidP="00E42522">
      <w:pPr>
        <w:pStyle w:val="ListBullet"/>
      </w:pPr>
      <w:proofErr w:type="gramStart"/>
      <w:r>
        <w:t>exploring</w:t>
      </w:r>
      <w:proofErr w:type="gramEnd"/>
      <w:r>
        <w:t xml:space="preserve"> new ways of providing digital services through a technology innovation centre.</w:t>
      </w:r>
    </w:p>
    <w:p w:rsidR="008E273C" w:rsidRDefault="008E273C" w:rsidP="008E273C">
      <w:pPr>
        <w:pStyle w:val="Heading3"/>
      </w:pPr>
      <w:r>
        <w:t xml:space="preserve">Effect of activities on the environment—Section </w:t>
      </w:r>
      <w:proofErr w:type="gramStart"/>
      <w:r>
        <w:t>516a(</w:t>
      </w:r>
      <w:proofErr w:type="gramEnd"/>
      <w:r>
        <w:t>6)(c)</w:t>
      </w:r>
    </w:p>
    <w:p w:rsidR="008E273C" w:rsidRDefault="008E273C" w:rsidP="008E273C">
      <w:pPr>
        <w:pStyle w:val="BodyText"/>
      </w:pPr>
      <w:r>
        <w:t xml:space="preserve">To assess the risk of our activities affecting the environment, Services Australia uses the international standard </w:t>
      </w:r>
      <w:r>
        <w:rPr>
          <w:rStyle w:val="Italic"/>
        </w:rPr>
        <w:t>Risk Management ISO 31000:2018</w:t>
      </w:r>
      <w:r>
        <w:t xml:space="preserve"> and the Standards Australia handbook </w:t>
      </w:r>
      <w:r>
        <w:rPr>
          <w:rStyle w:val="Italic"/>
        </w:rPr>
        <w:t>Managing environment-related risk HB203:2012</w:t>
      </w:r>
      <w:r>
        <w:t xml:space="preserve">. We manage activities that pose the most significant risk through the agency’s environmental management system, which aligns with the international standard </w:t>
      </w:r>
      <w:r>
        <w:rPr>
          <w:rStyle w:val="Italic"/>
        </w:rPr>
        <w:t>EMS ISO 14001:2015</w:t>
      </w:r>
      <w:r>
        <w:t>.</w:t>
      </w:r>
    </w:p>
    <w:p w:rsidR="008E273C" w:rsidRDefault="008E273C" w:rsidP="00E42522">
      <w:pPr>
        <w:pStyle w:val="BodyText"/>
      </w:pPr>
      <w:r>
        <w:t>In general, our activities that most affect the environment are those that consume considerable resources and generate significant waste. They include:</w:t>
      </w:r>
    </w:p>
    <w:p w:rsidR="008E273C" w:rsidRDefault="008E273C" w:rsidP="00E42522">
      <w:pPr>
        <w:pStyle w:val="ListBullet"/>
      </w:pPr>
      <w:r>
        <w:t>building operations and refurbishments</w:t>
      </w:r>
    </w:p>
    <w:p w:rsidR="008E273C" w:rsidRDefault="008E273C" w:rsidP="00E42522">
      <w:pPr>
        <w:pStyle w:val="ListBullet"/>
      </w:pPr>
      <w:r>
        <w:t>use of information and communications technology</w:t>
      </w:r>
    </w:p>
    <w:p w:rsidR="008E273C" w:rsidRDefault="008E273C" w:rsidP="00E42522">
      <w:pPr>
        <w:pStyle w:val="ListBullet"/>
      </w:pPr>
      <w:r>
        <w:lastRenderedPageBreak/>
        <w:t>use and disposal of stationery supplies, including paper</w:t>
      </w:r>
    </w:p>
    <w:p w:rsidR="008E273C" w:rsidRDefault="008E273C" w:rsidP="00E42522">
      <w:pPr>
        <w:pStyle w:val="ListBullet"/>
      </w:pPr>
      <w:proofErr w:type="gramStart"/>
      <w:r>
        <w:t>operating</w:t>
      </w:r>
      <w:proofErr w:type="gramEnd"/>
      <w:r>
        <w:t xml:space="preserve"> vehicles.</w:t>
      </w:r>
    </w:p>
    <w:p w:rsidR="008E273C" w:rsidRPr="00BD07FC" w:rsidRDefault="00BD07FC" w:rsidP="00BD07FC">
      <w:pPr>
        <w:pStyle w:val="BodyText"/>
        <w:rPr>
          <w:b/>
        </w:rPr>
      </w:pPr>
      <w:r w:rsidRPr="00BD07FC">
        <w:rPr>
          <w:b/>
        </w:rPr>
        <w:t>Table 52:</w:t>
      </w:r>
      <w:r w:rsidR="008E273C" w:rsidRPr="00BD07FC">
        <w:rPr>
          <w:b/>
        </w:rPr>
        <w:t xml:space="preserve"> Resources use</w:t>
      </w:r>
    </w:p>
    <w:tbl>
      <w:tblPr>
        <w:tblStyle w:val="TableGrid"/>
        <w:tblW w:w="5000" w:type="pct"/>
        <w:tblLook w:val="0000" w:firstRow="0" w:lastRow="0" w:firstColumn="0" w:lastColumn="0" w:noHBand="0" w:noVBand="0"/>
        <w:tblCaption w:val="Table 52: Resources use"/>
        <w:tblDescription w:val="Table 52: Resources use"/>
      </w:tblPr>
      <w:tblGrid>
        <w:gridCol w:w="2996"/>
        <w:gridCol w:w="2024"/>
        <w:gridCol w:w="2026"/>
        <w:gridCol w:w="2026"/>
        <w:gridCol w:w="2024"/>
      </w:tblGrid>
      <w:tr w:rsidR="008E273C" w:rsidTr="00BD07FC">
        <w:trPr>
          <w:trHeight w:val="60"/>
          <w:tblHeader/>
        </w:trPr>
        <w:tc>
          <w:tcPr>
            <w:tcW w:w="1350" w:type="pct"/>
          </w:tcPr>
          <w:p w:rsidR="008E273C" w:rsidRPr="00BD07FC" w:rsidRDefault="008E273C" w:rsidP="00BD07FC">
            <w:pPr>
              <w:pStyle w:val="BodyText"/>
              <w:rPr>
                <w:b/>
              </w:rPr>
            </w:pPr>
          </w:p>
        </w:tc>
        <w:tc>
          <w:tcPr>
            <w:tcW w:w="912" w:type="pct"/>
          </w:tcPr>
          <w:p w:rsidR="008E273C" w:rsidRPr="00BD07FC" w:rsidRDefault="008E273C" w:rsidP="00BD07FC">
            <w:pPr>
              <w:pStyle w:val="BodyText"/>
              <w:rPr>
                <w:b/>
              </w:rPr>
            </w:pPr>
            <w:r w:rsidRPr="00BD07FC">
              <w:rPr>
                <w:b/>
              </w:rPr>
              <w:t>Units</w:t>
            </w:r>
          </w:p>
        </w:tc>
        <w:tc>
          <w:tcPr>
            <w:tcW w:w="913" w:type="pct"/>
          </w:tcPr>
          <w:p w:rsidR="008E273C" w:rsidRPr="00BD07FC" w:rsidRDefault="008E273C" w:rsidP="00BD07FC">
            <w:pPr>
              <w:pStyle w:val="BodyText"/>
              <w:rPr>
                <w:b/>
              </w:rPr>
            </w:pPr>
            <w:r w:rsidRPr="00BD07FC">
              <w:rPr>
                <w:b/>
              </w:rPr>
              <w:t>2017–18</w:t>
            </w:r>
          </w:p>
        </w:tc>
        <w:tc>
          <w:tcPr>
            <w:tcW w:w="913" w:type="pct"/>
          </w:tcPr>
          <w:p w:rsidR="008E273C" w:rsidRPr="00BD07FC" w:rsidRDefault="008E273C" w:rsidP="00BD07FC">
            <w:pPr>
              <w:pStyle w:val="BodyText"/>
              <w:rPr>
                <w:b/>
              </w:rPr>
            </w:pPr>
            <w:r w:rsidRPr="00BD07FC">
              <w:rPr>
                <w:b/>
              </w:rPr>
              <w:t>2018–19</w:t>
            </w:r>
          </w:p>
        </w:tc>
        <w:tc>
          <w:tcPr>
            <w:tcW w:w="913" w:type="pct"/>
          </w:tcPr>
          <w:p w:rsidR="008E273C" w:rsidRPr="00BD07FC" w:rsidRDefault="008E273C" w:rsidP="00BD07FC">
            <w:pPr>
              <w:pStyle w:val="BodyText"/>
              <w:rPr>
                <w:b/>
              </w:rPr>
            </w:pPr>
            <w:r w:rsidRPr="00BD07FC">
              <w:rPr>
                <w:b/>
              </w:rPr>
              <w:t>2019–20</w:t>
            </w:r>
          </w:p>
        </w:tc>
      </w:tr>
      <w:tr w:rsidR="008E273C" w:rsidTr="00BD07FC">
        <w:trPr>
          <w:trHeight w:val="60"/>
        </w:trPr>
        <w:tc>
          <w:tcPr>
            <w:tcW w:w="1350" w:type="pct"/>
          </w:tcPr>
          <w:p w:rsidR="008E273C" w:rsidRDefault="008E273C" w:rsidP="00BD07FC">
            <w:pPr>
              <w:pStyle w:val="BodyText"/>
            </w:pPr>
            <w:r>
              <w:t xml:space="preserve">Stationary energy </w:t>
            </w:r>
            <w:r>
              <w:rPr>
                <w:spacing w:val="-4"/>
              </w:rPr>
              <w:t>(electricity and gas)</w:t>
            </w:r>
          </w:p>
        </w:tc>
        <w:tc>
          <w:tcPr>
            <w:tcW w:w="912" w:type="pct"/>
          </w:tcPr>
          <w:p w:rsidR="008E273C" w:rsidRDefault="008E273C" w:rsidP="00BD07FC">
            <w:pPr>
              <w:pStyle w:val="BodyText"/>
            </w:pPr>
            <w:r>
              <w:t>gigajoules</w:t>
            </w:r>
          </w:p>
        </w:tc>
        <w:tc>
          <w:tcPr>
            <w:tcW w:w="913" w:type="pct"/>
          </w:tcPr>
          <w:p w:rsidR="008E273C" w:rsidRDefault="008E273C" w:rsidP="00BD07FC">
            <w:pPr>
              <w:pStyle w:val="BodyText"/>
            </w:pPr>
            <w:r>
              <w:t>313,955</w:t>
            </w:r>
          </w:p>
        </w:tc>
        <w:tc>
          <w:tcPr>
            <w:tcW w:w="913" w:type="pct"/>
          </w:tcPr>
          <w:p w:rsidR="008E273C" w:rsidRDefault="008E273C" w:rsidP="00BD07FC">
            <w:pPr>
              <w:pStyle w:val="BodyText"/>
            </w:pPr>
            <w:r>
              <w:t>328,674</w:t>
            </w:r>
          </w:p>
        </w:tc>
        <w:tc>
          <w:tcPr>
            <w:tcW w:w="913" w:type="pct"/>
          </w:tcPr>
          <w:p w:rsidR="008E273C" w:rsidRDefault="008E273C" w:rsidP="00BD07FC">
            <w:pPr>
              <w:pStyle w:val="BodyText"/>
            </w:pPr>
            <w:r>
              <w:t>NA</w:t>
            </w:r>
            <w:r>
              <w:rPr>
                <w:vertAlign w:val="superscript"/>
              </w:rPr>
              <w:t>(a)</w:t>
            </w:r>
          </w:p>
        </w:tc>
      </w:tr>
      <w:tr w:rsidR="008E273C" w:rsidTr="00BD07FC">
        <w:trPr>
          <w:trHeight w:val="60"/>
        </w:trPr>
        <w:tc>
          <w:tcPr>
            <w:tcW w:w="1350" w:type="pct"/>
          </w:tcPr>
          <w:p w:rsidR="008E273C" w:rsidRDefault="008E273C" w:rsidP="00BD07FC">
            <w:pPr>
              <w:pStyle w:val="BodyText"/>
            </w:pPr>
            <w:r>
              <w:t>Transport energy (fuels)</w:t>
            </w:r>
          </w:p>
        </w:tc>
        <w:tc>
          <w:tcPr>
            <w:tcW w:w="912" w:type="pct"/>
          </w:tcPr>
          <w:p w:rsidR="008E273C" w:rsidRDefault="008E273C" w:rsidP="00BD07FC">
            <w:pPr>
              <w:pStyle w:val="BodyText"/>
            </w:pPr>
            <w:r>
              <w:t>gigajoules</w:t>
            </w:r>
          </w:p>
        </w:tc>
        <w:tc>
          <w:tcPr>
            <w:tcW w:w="913" w:type="pct"/>
          </w:tcPr>
          <w:p w:rsidR="008E273C" w:rsidRDefault="008E273C" w:rsidP="00BD07FC">
            <w:pPr>
              <w:pStyle w:val="BodyText"/>
            </w:pPr>
            <w:r>
              <w:t>21,060</w:t>
            </w:r>
          </w:p>
        </w:tc>
        <w:tc>
          <w:tcPr>
            <w:tcW w:w="913" w:type="pct"/>
          </w:tcPr>
          <w:p w:rsidR="008E273C" w:rsidRDefault="008E273C" w:rsidP="00BD07FC">
            <w:pPr>
              <w:pStyle w:val="BodyText"/>
            </w:pPr>
            <w:r>
              <w:t>19,574</w:t>
            </w:r>
          </w:p>
        </w:tc>
        <w:tc>
          <w:tcPr>
            <w:tcW w:w="913" w:type="pct"/>
          </w:tcPr>
          <w:p w:rsidR="008E273C" w:rsidRDefault="008E273C" w:rsidP="00BD07FC">
            <w:pPr>
              <w:pStyle w:val="BodyText"/>
            </w:pPr>
            <w:r>
              <w:t>NA</w:t>
            </w:r>
            <w:r>
              <w:rPr>
                <w:vertAlign w:val="superscript"/>
              </w:rPr>
              <w:t>(a)</w:t>
            </w:r>
          </w:p>
        </w:tc>
      </w:tr>
      <w:tr w:rsidR="008E273C" w:rsidTr="00BD07FC">
        <w:trPr>
          <w:trHeight w:val="60"/>
        </w:trPr>
        <w:tc>
          <w:tcPr>
            <w:tcW w:w="1350" w:type="pct"/>
          </w:tcPr>
          <w:p w:rsidR="008E273C" w:rsidRDefault="008E273C" w:rsidP="00BD07FC">
            <w:pPr>
              <w:pStyle w:val="BodyText"/>
            </w:pPr>
            <w:r>
              <w:rPr>
                <w:rStyle w:val="Bold"/>
              </w:rPr>
              <w:t>Total energy use</w:t>
            </w:r>
          </w:p>
        </w:tc>
        <w:tc>
          <w:tcPr>
            <w:tcW w:w="912" w:type="pct"/>
          </w:tcPr>
          <w:p w:rsidR="008E273C" w:rsidRDefault="00AC4959" w:rsidP="00BD07FC">
            <w:pPr>
              <w:pStyle w:val="BodyText"/>
            </w:pPr>
            <w:r>
              <w:rPr>
                <w:rStyle w:val="Bold"/>
              </w:rPr>
              <w:t>Gigajoules</w:t>
            </w:r>
          </w:p>
        </w:tc>
        <w:tc>
          <w:tcPr>
            <w:tcW w:w="913" w:type="pct"/>
          </w:tcPr>
          <w:p w:rsidR="008E273C" w:rsidRDefault="008E273C" w:rsidP="00BD07FC">
            <w:pPr>
              <w:pStyle w:val="BodyText"/>
            </w:pPr>
            <w:r>
              <w:rPr>
                <w:rStyle w:val="Bold"/>
              </w:rPr>
              <w:t>335,015</w:t>
            </w:r>
          </w:p>
        </w:tc>
        <w:tc>
          <w:tcPr>
            <w:tcW w:w="913" w:type="pct"/>
          </w:tcPr>
          <w:p w:rsidR="008E273C" w:rsidRDefault="008E273C" w:rsidP="00BD07FC">
            <w:pPr>
              <w:pStyle w:val="BodyText"/>
            </w:pPr>
            <w:r>
              <w:rPr>
                <w:rStyle w:val="Bold"/>
              </w:rPr>
              <w:t>348,248</w:t>
            </w:r>
          </w:p>
        </w:tc>
        <w:tc>
          <w:tcPr>
            <w:tcW w:w="913" w:type="pct"/>
          </w:tcPr>
          <w:p w:rsidR="008E273C" w:rsidRDefault="008E273C" w:rsidP="00BD07FC">
            <w:pPr>
              <w:pStyle w:val="BodyText"/>
            </w:pPr>
            <w:r>
              <w:rPr>
                <w:rStyle w:val="Bold"/>
              </w:rPr>
              <w:t>NA</w:t>
            </w:r>
            <w:r>
              <w:rPr>
                <w:rStyle w:val="Bold"/>
                <w:vertAlign w:val="superscript"/>
              </w:rPr>
              <w:t>(a)</w:t>
            </w:r>
          </w:p>
        </w:tc>
      </w:tr>
      <w:tr w:rsidR="008E273C" w:rsidTr="00BD07FC">
        <w:trPr>
          <w:trHeight w:val="60"/>
        </w:trPr>
        <w:tc>
          <w:tcPr>
            <w:tcW w:w="1350" w:type="pct"/>
          </w:tcPr>
          <w:p w:rsidR="008E273C" w:rsidRDefault="008E273C" w:rsidP="00BD07FC">
            <w:pPr>
              <w:pStyle w:val="BodyText"/>
            </w:pPr>
            <w:r>
              <w:t>Internal paper use</w:t>
            </w:r>
          </w:p>
        </w:tc>
        <w:tc>
          <w:tcPr>
            <w:tcW w:w="912" w:type="pct"/>
          </w:tcPr>
          <w:p w:rsidR="008E273C" w:rsidRDefault="008E273C" w:rsidP="00BD07FC">
            <w:pPr>
              <w:pStyle w:val="BodyText"/>
            </w:pPr>
            <w:r>
              <w:t>tonnes</w:t>
            </w:r>
          </w:p>
        </w:tc>
        <w:tc>
          <w:tcPr>
            <w:tcW w:w="913" w:type="pct"/>
          </w:tcPr>
          <w:p w:rsidR="008E273C" w:rsidRDefault="008E273C" w:rsidP="00BD07FC">
            <w:pPr>
              <w:pStyle w:val="BodyText"/>
            </w:pPr>
            <w:r>
              <w:t>571</w:t>
            </w:r>
          </w:p>
        </w:tc>
        <w:tc>
          <w:tcPr>
            <w:tcW w:w="913" w:type="pct"/>
          </w:tcPr>
          <w:p w:rsidR="008E273C" w:rsidRDefault="008E273C" w:rsidP="00BD07FC">
            <w:pPr>
              <w:pStyle w:val="BodyText"/>
            </w:pPr>
            <w:r>
              <w:t>538</w:t>
            </w:r>
          </w:p>
        </w:tc>
        <w:tc>
          <w:tcPr>
            <w:tcW w:w="913" w:type="pct"/>
          </w:tcPr>
          <w:p w:rsidR="008E273C" w:rsidRDefault="008E273C" w:rsidP="00BD07FC">
            <w:pPr>
              <w:pStyle w:val="BodyText"/>
            </w:pPr>
            <w:r>
              <w:t>462</w:t>
            </w:r>
          </w:p>
        </w:tc>
      </w:tr>
      <w:tr w:rsidR="008E273C" w:rsidTr="00BD07FC">
        <w:trPr>
          <w:trHeight w:val="60"/>
        </w:trPr>
        <w:tc>
          <w:tcPr>
            <w:tcW w:w="1350" w:type="pct"/>
          </w:tcPr>
          <w:p w:rsidR="008E273C" w:rsidRDefault="008E273C" w:rsidP="00BD07FC">
            <w:pPr>
              <w:pStyle w:val="BodyText"/>
            </w:pPr>
            <w:r>
              <w:t>Letters to customers</w:t>
            </w:r>
            <w:r>
              <w:rPr>
                <w:vertAlign w:val="superscript"/>
              </w:rPr>
              <w:t>(b)</w:t>
            </w:r>
          </w:p>
        </w:tc>
        <w:tc>
          <w:tcPr>
            <w:tcW w:w="912" w:type="pct"/>
          </w:tcPr>
          <w:p w:rsidR="008E273C" w:rsidRDefault="008E273C" w:rsidP="00BD07FC">
            <w:pPr>
              <w:pStyle w:val="BodyText"/>
            </w:pPr>
            <w:r>
              <w:t>A4 sheets</w:t>
            </w:r>
          </w:p>
        </w:tc>
        <w:tc>
          <w:tcPr>
            <w:tcW w:w="913" w:type="pct"/>
          </w:tcPr>
          <w:p w:rsidR="008E273C" w:rsidRDefault="008E273C" w:rsidP="00BD07FC">
            <w:pPr>
              <w:pStyle w:val="BodyText"/>
            </w:pPr>
            <w:r>
              <w:t>89,212,087</w:t>
            </w:r>
          </w:p>
        </w:tc>
        <w:tc>
          <w:tcPr>
            <w:tcW w:w="913" w:type="pct"/>
          </w:tcPr>
          <w:p w:rsidR="008E273C" w:rsidRDefault="008E273C" w:rsidP="00BD07FC">
            <w:pPr>
              <w:pStyle w:val="BodyText"/>
            </w:pPr>
            <w:r>
              <w:t>87,887,078</w:t>
            </w:r>
          </w:p>
        </w:tc>
        <w:tc>
          <w:tcPr>
            <w:tcW w:w="913" w:type="pct"/>
          </w:tcPr>
          <w:p w:rsidR="008E273C" w:rsidRDefault="008E273C" w:rsidP="00BD07FC">
            <w:pPr>
              <w:pStyle w:val="BodyText"/>
            </w:pPr>
            <w:r>
              <w:t>73,978,608</w:t>
            </w:r>
          </w:p>
        </w:tc>
      </w:tr>
      <w:tr w:rsidR="008E273C" w:rsidTr="00BD07FC">
        <w:trPr>
          <w:trHeight w:val="60"/>
        </w:trPr>
        <w:tc>
          <w:tcPr>
            <w:tcW w:w="1350" w:type="pct"/>
          </w:tcPr>
          <w:p w:rsidR="008E273C" w:rsidRDefault="008E273C" w:rsidP="00BD07FC">
            <w:pPr>
              <w:pStyle w:val="BodyText"/>
            </w:pPr>
            <w:r>
              <w:t>Property use</w:t>
            </w:r>
          </w:p>
        </w:tc>
        <w:tc>
          <w:tcPr>
            <w:tcW w:w="912" w:type="pct"/>
          </w:tcPr>
          <w:p w:rsidR="008E273C" w:rsidRDefault="008E273C" w:rsidP="00BD07FC">
            <w:pPr>
              <w:pStyle w:val="BodyText"/>
            </w:pPr>
            <w:r>
              <w:t>square metres</w:t>
            </w:r>
          </w:p>
        </w:tc>
        <w:tc>
          <w:tcPr>
            <w:tcW w:w="913" w:type="pct"/>
          </w:tcPr>
          <w:p w:rsidR="008E273C" w:rsidRDefault="008E273C" w:rsidP="00BD07FC">
            <w:pPr>
              <w:pStyle w:val="BodyText"/>
            </w:pPr>
            <w:r>
              <w:t>722,799</w:t>
            </w:r>
          </w:p>
        </w:tc>
        <w:tc>
          <w:tcPr>
            <w:tcW w:w="913" w:type="pct"/>
          </w:tcPr>
          <w:p w:rsidR="008E273C" w:rsidRDefault="008E273C" w:rsidP="00BD07FC">
            <w:pPr>
              <w:pStyle w:val="BodyText"/>
            </w:pPr>
            <w:r>
              <w:t>741,694</w:t>
            </w:r>
          </w:p>
        </w:tc>
        <w:tc>
          <w:tcPr>
            <w:tcW w:w="913" w:type="pct"/>
          </w:tcPr>
          <w:p w:rsidR="008E273C" w:rsidRDefault="008E273C" w:rsidP="00BD07FC">
            <w:pPr>
              <w:pStyle w:val="BodyText"/>
            </w:pPr>
            <w:r>
              <w:t>730,385</w:t>
            </w:r>
            <w:r>
              <w:rPr>
                <w:vertAlign w:val="superscript"/>
              </w:rPr>
              <w:t>(c)</w:t>
            </w:r>
          </w:p>
        </w:tc>
      </w:tr>
    </w:tbl>
    <w:p w:rsidR="008E273C" w:rsidRDefault="008E273C" w:rsidP="00F21074">
      <w:pPr>
        <w:pStyle w:val="BodyText"/>
      </w:pPr>
      <w:r>
        <w:t>(a)</w:t>
      </w:r>
      <w:r w:rsidR="00F21074">
        <w:t xml:space="preserve"> </w:t>
      </w:r>
      <w:r>
        <w:t xml:space="preserve">Stationary and transport energy reporting for 2019–20 is unavailable prior to finalising the annual report. Services Australia’s energy reporting is in line with the </w:t>
      </w:r>
      <w:r>
        <w:rPr>
          <w:rStyle w:val="Italic"/>
        </w:rPr>
        <w:t>National Greenhouse and Energy Reporting Act 2007</w:t>
      </w:r>
      <w:r>
        <w:t xml:space="preserve">. </w:t>
      </w:r>
    </w:p>
    <w:p w:rsidR="008E273C" w:rsidRDefault="008E273C" w:rsidP="00F21074">
      <w:pPr>
        <w:pStyle w:val="BodyText"/>
      </w:pPr>
      <w:r>
        <w:t>(b)</w:t>
      </w:r>
      <w:r w:rsidR="00F21074">
        <w:t xml:space="preserve"> </w:t>
      </w:r>
      <w:r>
        <w:t>Paper procured by Services Australia and letters printed by an external print provider.</w:t>
      </w:r>
    </w:p>
    <w:p w:rsidR="008E273C" w:rsidRDefault="008E273C" w:rsidP="00F21074">
      <w:pPr>
        <w:pStyle w:val="BodyText"/>
      </w:pPr>
      <w:r>
        <w:t>(c)</w:t>
      </w:r>
      <w:r w:rsidR="00F21074">
        <w:t xml:space="preserve"> </w:t>
      </w:r>
      <w:r>
        <w:t xml:space="preserve">Figures are for the commercial lease portfolio only and exclude car parking licences and staff housing leases. </w:t>
      </w:r>
    </w:p>
    <w:p w:rsidR="008E273C" w:rsidRPr="00523070" w:rsidRDefault="00523070" w:rsidP="00523070">
      <w:pPr>
        <w:pStyle w:val="BodyText"/>
        <w:rPr>
          <w:b/>
        </w:rPr>
      </w:pPr>
      <w:r w:rsidRPr="00523070">
        <w:rPr>
          <w:b/>
        </w:rPr>
        <w:t>Table 53:</w:t>
      </w:r>
      <w:r w:rsidR="008E273C" w:rsidRPr="00523070">
        <w:rPr>
          <w:b/>
        </w:rPr>
        <w:t xml:space="preserve"> Waste, resource recovery and pollution</w:t>
      </w:r>
    </w:p>
    <w:tbl>
      <w:tblPr>
        <w:tblStyle w:val="TableGrid"/>
        <w:tblW w:w="5000" w:type="pct"/>
        <w:tblLook w:val="0000" w:firstRow="0" w:lastRow="0" w:firstColumn="0" w:lastColumn="0" w:noHBand="0" w:noVBand="0"/>
        <w:tblCaption w:val="Table 53: Waste, resource recovery and pollution"/>
        <w:tblDescription w:val="Table 53: Waste, resource recovery and pollution"/>
      </w:tblPr>
      <w:tblGrid>
        <w:gridCol w:w="2996"/>
        <w:gridCol w:w="2024"/>
        <w:gridCol w:w="2026"/>
        <w:gridCol w:w="2026"/>
        <w:gridCol w:w="2024"/>
      </w:tblGrid>
      <w:tr w:rsidR="008E273C" w:rsidTr="00523070">
        <w:trPr>
          <w:trHeight w:val="60"/>
          <w:tblHeader/>
        </w:trPr>
        <w:tc>
          <w:tcPr>
            <w:tcW w:w="1350" w:type="pct"/>
          </w:tcPr>
          <w:p w:rsidR="008E273C" w:rsidRPr="00523070" w:rsidRDefault="008E273C" w:rsidP="00523070">
            <w:pPr>
              <w:pStyle w:val="BodyText"/>
              <w:rPr>
                <w:b/>
              </w:rPr>
            </w:pPr>
          </w:p>
        </w:tc>
        <w:tc>
          <w:tcPr>
            <w:tcW w:w="912" w:type="pct"/>
          </w:tcPr>
          <w:p w:rsidR="008E273C" w:rsidRPr="00523070" w:rsidRDefault="008E273C" w:rsidP="00523070">
            <w:pPr>
              <w:pStyle w:val="BodyText"/>
              <w:rPr>
                <w:b/>
              </w:rPr>
            </w:pPr>
            <w:r w:rsidRPr="00523070">
              <w:rPr>
                <w:b/>
              </w:rPr>
              <w:t>Measure</w:t>
            </w:r>
          </w:p>
        </w:tc>
        <w:tc>
          <w:tcPr>
            <w:tcW w:w="913" w:type="pct"/>
          </w:tcPr>
          <w:p w:rsidR="008E273C" w:rsidRPr="00523070" w:rsidRDefault="008E273C" w:rsidP="00523070">
            <w:pPr>
              <w:pStyle w:val="BodyText"/>
              <w:rPr>
                <w:b/>
              </w:rPr>
            </w:pPr>
            <w:r w:rsidRPr="00523070">
              <w:rPr>
                <w:b/>
              </w:rPr>
              <w:t>2017–18</w:t>
            </w:r>
          </w:p>
        </w:tc>
        <w:tc>
          <w:tcPr>
            <w:tcW w:w="913" w:type="pct"/>
          </w:tcPr>
          <w:p w:rsidR="008E273C" w:rsidRPr="00523070" w:rsidRDefault="008E273C" w:rsidP="00523070">
            <w:pPr>
              <w:pStyle w:val="BodyText"/>
              <w:rPr>
                <w:b/>
              </w:rPr>
            </w:pPr>
            <w:r w:rsidRPr="00523070">
              <w:rPr>
                <w:b/>
              </w:rPr>
              <w:t>2018–19</w:t>
            </w:r>
          </w:p>
        </w:tc>
        <w:tc>
          <w:tcPr>
            <w:tcW w:w="913" w:type="pct"/>
          </w:tcPr>
          <w:p w:rsidR="008E273C" w:rsidRPr="00523070" w:rsidRDefault="008E273C" w:rsidP="00523070">
            <w:pPr>
              <w:pStyle w:val="BodyText"/>
              <w:rPr>
                <w:b/>
              </w:rPr>
            </w:pPr>
            <w:r w:rsidRPr="00523070">
              <w:rPr>
                <w:b/>
              </w:rPr>
              <w:t>2019–20</w:t>
            </w:r>
          </w:p>
        </w:tc>
      </w:tr>
      <w:tr w:rsidR="008E273C" w:rsidTr="00523070">
        <w:trPr>
          <w:trHeight w:val="60"/>
        </w:trPr>
        <w:tc>
          <w:tcPr>
            <w:tcW w:w="1350" w:type="pct"/>
          </w:tcPr>
          <w:p w:rsidR="008E273C" w:rsidRDefault="008E273C" w:rsidP="00523070">
            <w:pPr>
              <w:pStyle w:val="BodyText"/>
            </w:pPr>
            <w:r>
              <w:t>Net greenhouse gas emissions—energy use</w:t>
            </w:r>
          </w:p>
        </w:tc>
        <w:tc>
          <w:tcPr>
            <w:tcW w:w="912" w:type="pct"/>
          </w:tcPr>
          <w:p w:rsidR="008E273C" w:rsidRDefault="008E273C" w:rsidP="00523070">
            <w:pPr>
              <w:pStyle w:val="BodyText"/>
            </w:pPr>
            <w:r>
              <w:t>tonnes of carbon dioxide equivalents</w:t>
            </w:r>
          </w:p>
        </w:tc>
        <w:tc>
          <w:tcPr>
            <w:tcW w:w="913" w:type="pct"/>
          </w:tcPr>
          <w:p w:rsidR="008E273C" w:rsidRDefault="008E273C" w:rsidP="00523070">
            <w:pPr>
              <w:pStyle w:val="BodyText"/>
            </w:pPr>
            <w:r>
              <w:t>80,619</w:t>
            </w:r>
          </w:p>
        </w:tc>
        <w:tc>
          <w:tcPr>
            <w:tcW w:w="913" w:type="pct"/>
          </w:tcPr>
          <w:p w:rsidR="008E273C" w:rsidRDefault="008E273C" w:rsidP="00523070">
            <w:pPr>
              <w:pStyle w:val="BodyText"/>
            </w:pPr>
            <w:r>
              <w:t>84,312</w:t>
            </w:r>
          </w:p>
        </w:tc>
        <w:tc>
          <w:tcPr>
            <w:tcW w:w="913" w:type="pct"/>
          </w:tcPr>
          <w:p w:rsidR="008E273C" w:rsidRDefault="008E273C" w:rsidP="00523070">
            <w:pPr>
              <w:pStyle w:val="BodyText"/>
            </w:pPr>
            <w:r>
              <w:t>NA</w:t>
            </w:r>
            <w:r>
              <w:rPr>
                <w:vertAlign w:val="superscript"/>
              </w:rPr>
              <w:t>(a)</w:t>
            </w:r>
          </w:p>
        </w:tc>
      </w:tr>
      <w:tr w:rsidR="008E273C" w:rsidTr="00523070">
        <w:trPr>
          <w:trHeight w:val="60"/>
        </w:trPr>
        <w:tc>
          <w:tcPr>
            <w:tcW w:w="1350" w:type="pct"/>
          </w:tcPr>
          <w:p w:rsidR="008E273C" w:rsidRDefault="008E273C" w:rsidP="00523070">
            <w:pPr>
              <w:pStyle w:val="BodyText"/>
            </w:pPr>
            <w:r>
              <w:t>Office copy paper recycling</w:t>
            </w:r>
          </w:p>
        </w:tc>
        <w:tc>
          <w:tcPr>
            <w:tcW w:w="912" w:type="pct"/>
          </w:tcPr>
          <w:p w:rsidR="008E273C" w:rsidRDefault="008E273C" w:rsidP="00523070">
            <w:pPr>
              <w:pStyle w:val="BodyText"/>
            </w:pPr>
            <w:r>
              <w:t>% coverage (square metres)</w:t>
            </w:r>
          </w:p>
        </w:tc>
        <w:tc>
          <w:tcPr>
            <w:tcW w:w="913" w:type="pct"/>
          </w:tcPr>
          <w:p w:rsidR="008E273C" w:rsidRDefault="008E273C" w:rsidP="00523070">
            <w:pPr>
              <w:pStyle w:val="BodyText"/>
            </w:pPr>
            <w:r>
              <w:t>98</w:t>
            </w:r>
          </w:p>
        </w:tc>
        <w:tc>
          <w:tcPr>
            <w:tcW w:w="913" w:type="pct"/>
          </w:tcPr>
          <w:p w:rsidR="008E273C" w:rsidRDefault="008E273C" w:rsidP="00523070">
            <w:pPr>
              <w:pStyle w:val="BodyText"/>
            </w:pPr>
            <w:r>
              <w:t>98</w:t>
            </w:r>
          </w:p>
        </w:tc>
        <w:tc>
          <w:tcPr>
            <w:tcW w:w="913" w:type="pct"/>
          </w:tcPr>
          <w:p w:rsidR="008E273C" w:rsidRDefault="008E273C" w:rsidP="00523070">
            <w:pPr>
              <w:pStyle w:val="BodyText"/>
            </w:pPr>
            <w:r>
              <w:t>98</w:t>
            </w:r>
          </w:p>
        </w:tc>
      </w:tr>
      <w:tr w:rsidR="008E273C" w:rsidTr="00523070">
        <w:trPr>
          <w:trHeight w:val="60"/>
        </w:trPr>
        <w:tc>
          <w:tcPr>
            <w:tcW w:w="1350" w:type="pct"/>
          </w:tcPr>
          <w:p w:rsidR="008E273C" w:rsidRDefault="008E273C" w:rsidP="00523070">
            <w:pPr>
              <w:pStyle w:val="BodyText"/>
            </w:pPr>
            <w:r>
              <w:t>Mobile phone recycling</w:t>
            </w:r>
          </w:p>
        </w:tc>
        <w:tc>
          <w:tcPr>
            <w:tcW w:w="912" w:type="pct"/>
          </w:tcPr>
          <w:p w:rsidR="008E273C" w:rsidRDefault="008E273C" w:rsidP="00523070">
            <w:pPr>
              <w:pStyle w:val="BodyText"/>
            </w:pPr>
            <w:r>
              <w:t>kilograms</w:t>
            </w:r>
          </w:p>
        </w:tc>
        <w:tc>
          <w:tcPr>
            <w:tcW w:w="913" w:type="pct"/>
          </w:tcPr>
          <w:p w:rsidR="008E273C" w:rsidRDefault="008E273C" w:rsidP="00523070">
            <w:pPr>
              <w:pStyle w:val="BodyText"/>
            </w:pPr>
            <w:r>
              <w:t>155</w:t>
            </w:r>
          </w:p>
        </w:tc>
        <w:tc>
          <w:tcPr>
            <w:tcW w:w="913" w:type="pct"/>
          </w:tcPr>
          <w:p w:rsidR="008E273C" w:rsidRDefault="008E273C" w:rsidP="00523070">
            <w:pPr>
              <w:pStyle w:val="BodyText"/>
            </w:pPr>
            <w:r>
              <w:t>145</w:t>
            </w:r>
          </w:p>
        </w:tc>
        <w:tc>
          <w:tcPr>
            <w:tcW w:w="913" w:type="pct"/>
          </w:tcPr>
          <w:p w:rsidR="008E273C" w:rsidRDefault="008E273C" w:rsidP="00523070">
            <w:pPr>
              <w:pStyle w:val="BodyText"/>
            </w:pPr>
            <w:r>
              <w:t>108</w:t>
            </w:r>
          </w:p>
        </w:tc>
      </w:tr>
      <w:tr w:rsidR="008E273C" w:rsidTr="00523070">
        <w:trPr>
          <w:trHeight w:val="60"/>
        </w:trPr>
        <w:tc>
          <w:tcPr>
            <w:tcW w:w="1350" w:type="pct"/>
          </w:tcPr>
          <w:p w:rsidR="008E273C" w:rsidRDefault="008E273C" w:rsidP="00523070">
            <w:pPr>
              <w:pStyle w:val="BodyText"/>
            </w:pPr>
            <w:r>
              <w:t>Fluorescent and other lamps recycled</w:t>
            </w:r>
          </w:p>
        </w:tc>
        <w:tc>
          <w:tcPr>
            <w:tcW w:w="912" w:type="pct"/>
          </w:tcPr>
          <w:p w:rsidR="008E273C" w:rsidRDefault="008E273C" w:rsidP="00523070">
            <w:pPr>
              <w:pStyle w:val="BodyText"/>
            </w:pPr>
            <w:r>
              <w:t>units</w:t>
            </w:r>
          </w:p>
        </w:tc>
        <w:tc>
          <w:tcPr>
            <w:tcW w:w="913" w:type="pct"/>
          </w:tcPr>
          <w:p w:rsidR="008E273C" w:rsidRDefault="008E273C" w:rsidP="00523070">
            <w:pPr>
              <w:pStyle w:val="BodyText"/>
            </w:pPr>
            <w:r>
              <w:t>6,334</w:t>
            </w:r>
          </w:p>
        </w:tc>
        <w:tc>
          <w:tcPr>
            <w:tcW w:w="913" w:type="pct"/>
          </w:tcPr>
          <w:p w:rsidR="008E273C" w:rsidRDefault="008E273C" w:rsidP="00523070">
            <w:pPr>
              <w:pStyle w:val="BodyText"/>
            </w:pPr>
            <w:r>
              <w:t>4,795</w:t>
            </w:r>
          </w:p>
        </w:tc>
        <w:tc>
          <w:tcPr>
            <w:tcW w:w="913" w:type="pct"/>
          </w:tcPr>
          <w:p w:rsidR="008E273C" w:rsidRDefault="008E273C" w:rsidP="00523070">
            <w:pPr>
              <w:pStyle w:val="BodyText"/>
            </w:pPr>
            <w:r>
              <w:t>5,100</w:t>
            </w:r>
          </w:p>
        </w:tc>
      </w:tr>
    </w:tbl>
    <w:p w:rsidR="008E273C" w:rsidRDefault="00523070" w:rsidP="00523070">
      <w:pPr>
        <w:pStyle w:val="BodyText"/>
      </w:pPr>
      <w:r>
        <w:t xml:space="preserve">(a) </w:t>
      </w:r>
      <w:r w:rsidR="008E273C">
        <w:t xml:space="preserve">Stationary and transport net greenhouse gas emissions for 2019–20 is unavailable prior to finalising the annual report. Services Australia’s energy reporting is in line with the </w:t>
      </w:r>
      <w:r w:rsidR="008E273C">
        <w:rPr>
          <w:rStyle w:val="Italic"/>
        </w:rPr>
        <w:t>National Greenhouse and Energy Reporting Act 2007</w:t>
      </w:r>
      <w:r w:rsidR="008E273C">
        <w:t>.</w:t>
      </w:r>
    </w:p>
    <w:p w:rsidR="008E273C" w:rsidRDefault="008E273C" w:rsidP="008E273C">
      <w:pPr>
        <w:pStyle w:val="Heading3"/>
      </w:pPr>
      <w:r>
        <w:lastRenderedPageBreak/>
        <w:t>Measures taken to minimise the effect of activities on the environment—Section 516(6</w:t>
      </w:r>
      <w:proofErr w:type="gramStart"/>
      <w:r>
        <w:t>)(</w:t>
      </w:r>
      <w:proofErr w:type="gramEnd"/>
      <w:r>
        <w:t>d)</w:t>
      </w:r>
    </w:p>
    <w:p w:rsidR="008E273C" w:rsidRDefault="008E273C" w:rsidP="008E273C">
      <w:pPr>
        <w:pStyle w:val="BodyText"/>
      </w:pPr>
      <w:r>
        <w:t xml:space="preserve">Services Australia’s Environmental Sustainability Policy (available at </w:t>
      </w:r>
      <w:r w:rsidRPr="00BD07FC">
        <w:rPr>
          <w:b/>
        </w:rPr>
        <w:t>servicesaustralia.gov.au</w:t>
      </w:r>
      <w:r>
        <w:rPr>
          <w:spacing w:val="-4"/>
        </w:rPr>
        <w:t>) guides our efforts to minimise the effect of our activities on the environment and to drive better practice, performance and accountability.</w:t>
      </w:r>
    </w:p>
    <w:p w:rsidR="008E273C" w:rsidRDefault="008E273C" w:rsidP="008E273C">
      <w:pPr>
        <w:pStyle w:val="BodyText"/>
      </w:pPr>
      <w:r>
        <w:t>We assess any proposed environmental initiative or measure by conducting a cost–benefit analysis that includes other business benefits associated with the initiative.</w:t>
      </w:r>
    </w:p>
    <w:p w:rsidR="008E273C" w:rsidRPr="00523070" w:rsidRDefault="00523070" w:rsidP="00523070">
      <w:pPr>
        <w:pStyle w:val="BodyText"/>
        <w:rPr>
          <w:b/>
        </w:rPr>
      </w:pPr>
      <w:r w:rsidRPr="00523070">
        <w:rPr>
          <w:b/>
        </w:rPr>
        <w:t>Table 54:</w:t>
      </w:r>
      <w:r w:rsidR="008E273C" w:rsidRPr="00523070">
        <w:rPr>
          <w:b/>
        </w:rPr>
        <w:t xml:space="preserve"> Measures taken to minimise effect on the environment</w:t>
      </w:r>
    </w:p>
    <w:tbl>
      <w:tblPr>
        <w:tblStyle w:val="TableGrid"/>
        <w:tblW w:w="5000" w:type="pct"/>
        <w:tblLook w:val="0000" w:firstRow="0" w:lastRow="0" w:firstColumn="0" w:lastColumn="0" w:noHBand="0" w:noVBand="0"/>
        <w:tblCaption w:val="Table 54: Measures taken to minimise effect on the environment"/>
        <w:tblDescription w:val="Table 54: Measures taken to minimise effect on the environment"/>
      </w:tblPr>
      <w:tblGrid>
        <w:gridCol w:w="2585"/>
        <w:gridCol w:w="8511"/>
      </w:tblGrid>
      <w:tr w:rsidR="008E273C" w:rsidTr="00523070">
        <w:trPr>
          <w:trHeight w:val="60"/>
          <w:tblHeader/>
        </w:trPr>
        <w:tc>
          <w:tcPr>
            <w:tcW w:w="1165" w:type="pct"/>
          </w:tcPr>
          <w:p w:rsidR="008E273C" w:rsidRPr="00523070" w:rsidRDefault="008E273C" w:rsidP="00523070">
            <w:pPr>
              <w:pStyle w:val="BodyText"/>
              <w:rPr>
                <w:b/>
              </w:rPr>
            </w:pPr>
            <w:r w:rsidRPr="00523070">
              <w:rPr>
                <w:b/>
              </w:rPr>
              <w:t>Activity</w:t>
            </w:r>
          </w:p>
        </w:tc>
        <w:tc>
          <w:tcPr>
            <w:tcW w:w="3835" w:type="pct"/>
          </w:tcPr>
          <w:p w:rsidR="008E273C" w:rsidRPr="00523070" w:rsidRDefault="008E273C" w:rsidP="00523070">
            <w:pPr>
              <w:pStyle w:val="BodyText"/>
              <w:rPr>
                <w:b/>
              </w:rPr>
            </w:pPr>
            <w:r w:rsidRPr="00523070">
              <w:rPr>
                <w:b/>
              </w:rPr>
              <w:t xml:space="preserve">Measures </w:t>
            </w:r>
          </w:p>
        </w:tc>
      </w:tr>
      <w:tr w:rsidR="008E273C" w:rsidTr="00523070">
        <w:trPr>
          <w:trHeight w:val="60"/>
        </w:trPr>
        <w:tc>
          <w:tcPr>
            <w:tcW w:w="1165" w:type="pct"/>
          </w:tcPr>
          <w:p w:rsidR="008E273C" w:rsidRDefault="008E273C" w:rsidP="00523070">
            <w:pPr>
              <w:pStyle w:val="BodyText"/>
            </w:pPr>
            <w:r>
              <w:t>Air travel</w:t>
            </w:r>
          </w:p>
        </w:tc>
        <w:tc>
          <w:tcPr>
            <w:tcW w:w="3835" w:type="pct"/>
          </w:tcPr>
          <w:p w:rsidR="008E273C" w:rsidRDefault="008E273C" w:rsidP="00523070">
            <w:pPr>
              <w:pStyle w:val="BodyText"/>
            </w:pPr>
            <w:r>
              <w:t>Services Australia encourages staff to use online conferencing rather than air travel to attend meetings.</w:t>
            </w:r>
          </w:p>
        </w:tc>
      </w:tr>
      <w:tr w:rsidR="008E273C" w:rsidTr="00523070">
        <w:trPr>
          <w:trHeight w:val="60"/>
        </w:trPr>
        <w:tc>
          <w:tcPr>
            <w:tcW w:w="1165" w:type="pct"/>
          </w:tcPr>
          <w:p w:rsidR="008E273C" w:rsidRDefault="008E273C" w:rsidP="00523070">
            <w:pPr>
              <w:pStyle w:val="BodyText"/>
            </w:pPr>
            <w:r>
              <w:t>Building operations</w:t>
            </w:r>
          </w:p>
        </w:tc>
        <w:tc>
          <w:tcPr>
            <w:tcW w:w="3835" w:type="pct"/>
          </w:tcPr>
          <w:p w:rsidR="008E273C" w:rsidRDefault="008E273C" w:rsidP="00523070">
            <w:pPr>
              <w:pStyle w:val="BodyText"/>
            </w:pPr>
            <w:r>
              <w:t xml:space="preserve">The Green Lease Schedule requirements for landlords and tenants have improved overall energy efficiency in our large offices. </w:t>
            </w:r>
          </w:p>
          <w:p w:rsidR="008E273C" w:rsidRDefault="008E273C" w:rsidP="00523070">
            <w:pPr>
              <w:pStyle w:val="BodyText"/>
            </w:pPr>
            <w:r>
              <w:t>National Australian Built Environment Rating System (NABERS) energy assessments are undertaken at offices over 2000m</w:t>
            </w:r>
            <w:r>
              <w:rPr>
                <w:vertAlign w:val="superscript"/>
              </w:rPr>
              <w:t>2</w:t>
            </w:r>
            <w:r>
              <w:t xml:space="preserve"> with Green Leases. </w:t>
            </w:r>
          </w:p>
          <w:p w:rsidR="008E273C" w:rsidRDefault="008E273C" w:rsidP="00523070">
            <w:pPr>
              <w:pStyle w:val="BodyText"/>
            </w:pPr>
            <w:r>
              <w:t>Services Australia continued to consider sites to roll out a photovoltaic solar installation program to reduce greenhouse emissions and energy costs and to support local electricity grid stability.</w:t>
            </w:r>
          </w:p>
          <w:p w:rsidR="008E273C" w:rsidRDefault="008E273C" w:rsidP="00523070">
            <w:pPr>
              <w:pStyle w:val="BodyText"/>
            </w:pPr>
            <w:r>
              <w:t>Services Australia uses reputable eco-labels and other environmental standards to improve environmental performance—such as Green Star for selected building designs and fit-out, and the Energy Rating Label star system for electrical appliances.</w:t>
            </w:r>
          </w:p>
          <w:p w:rsidR="008E273C" w:rsidRDefault="008E273C" w:rsidP="00523070">
            <w:pPr>
              <w:pStyle w:val="BodyText"/>
            </w:pPr>
            <w:r>
              <w:t xml:space="preserve">Services Australia supports the </w:t>
            </w:r>
            <w:proofErr w:type="spellStart"/>
            <w:r>
              <w:t>FluoroCycle</w:t>
            </w:r>
            <w:proofErr w:type="spellEnd"/>
            <w:r>
              <w:t xml:space="preserve"> scheme to ensure that hazardous fluorescent lamps are recycled on disposal.</w:t>
            </w:r>
          </w:p>
          <w:p w:rsidR="008E273C" w:rsidRDefault="008E273C" w:rsidP="00523070">
            <w:pPr>
              <w:pStyle w:val="BodyText"/>
            </w:pPr>
            <w:r>
              <w:t>Services Australia participates in Earth Hour each year to promote sustainability.</w:t>
            </w:r>
          </w:p>
        </w:tc>
      </w:tr>
      <w:tr w:rsidR="008E273C" w:rsidTr="00523070">
        <w:trPr>
          <w:trHeight w:val="60"/>
        </w:trPr>
        <w:tc>
          <w:tcPr>
            <w:tcW w:w="1165" w:type="pct"/>
          </w:tcPr>
          <w:p w:rsidR="008E273C" w:rsidRDefault="008E273C" w:rsidP="00523070">
            <w:pPr>
              <w:pStyle w:val="BodyText"/>
            </w:pPr>
            <w:r>
              <w:t>ICT</w:t>
            </w:r>
          </w:p>
        </w:tc>
        <w:tc>
          <w:tcPr>
            <w:tcW w:w="3835" w:type="pct"/>
          </w:tcPr>
          <w:p w:rsidR="008E273C" w:rsidRDefault="008E273C" w:rsidP="00523070">
            <w:pPr>
              <w:pStyle w:val="BodyText"/>
            </w:pPr>
            <w:r>
              <w:t>Data centres are located in highly energy-efficient premises.</w:t>
            </w:r>
          </w:p>
          <w:p w:rsidR="008E273C" w:rsidRDefault="008E273C" w:rsidP="00523070">
            <w:pPr>
              <w:pStyle w:val="BodyText"/>
            </w:pPr>
            <w:r>
              <w:t>Services Australia continues to virtualise server applications, which avoids the need to purchase additional servers.</w:t>
            </w:r>
          </w:p>
          <w:p w:rsidR="008E273C" w:rsidRDefault="008E273C" w:rsidP="00523070">
            <w:pPr>
              <w:pStyle w:val="BodyText"/>
            </w:pPr>
            <w:r>
              <w:t xml:space="preserve">Services Australia continues to roll out docked tablets to enable better workforce mobility. </w:t>
            </w:r>
          </w:p>
          <w:p w:rsidR="008E273C" w:rsidRDefault="008E273C" w:rsidP="00523070">
            <w:pPr>
              <w:pStyle w:val="BodyText"/>
            </w:pPr>
            <w:r>
              <w:t>Desktop computers automatically shut down after three hours of inactivity.</w:t>
            </w:r>
          </w:p>
          <w:p w:rsidR="008E273C" w:rsidRDefault="008E273C" w:rsidP="00523070">
            <w:pPr>
              <w:pStyle w:val="BodyText"/>
            </w:pPr>
            <w:r>
              <w:t>Services Australia uses the Electronic Product Environmental Assessment Tool eco-label in making decisions on ICT equipment purchasing.</w:t>
            </w:r>
          </w:p>
          <w:p w:rsidR="008E273C" w:rsidRDefault="008E273C" w:rsidP="00523070">
            <w:pPr>
              <w:pStyle w:val="BodyText"/>
            </w:pPr>
            <w:r>
              <w:lastRenderedPageBreak/>
              <w:t>Printers and multifunction devices are allocated to maximise resource efficiency.</w:t>
            </w:r>
          </w:p>
          <w:p w:rsidR="008E273C" w:rsidRDefault="008E273C" w:rsidP="00523070">
            <w:pPr>
              <w:pStyle w:val="BodyText"/>
            </w:pPr>
            <w:r>
              <w:t>Relevant contracts contain better practice e-waste clauses.</w:t>
            </w:r>
          </w:p>
        </w:tc>
      </w:tr>
      <w:tr w:rsidR="008E273C" w:rsidTr="00523070">
        <w:trPr>
          <w:trHeight w:val="60"/>
        </w:trPr>
        <w:tc>
          <w:tcPr>
            <w:tcW w:w="1165" w:type="pct"/>
          </w:tcPr>
          <w:p w:rsidR="008E273C" w:rsidRDefault="008E273C" w:rsidP="00523070">
            <w:pPr>
              <w:pStyle w:val="BodyText"/>
            </w:pPr>
            <w:r>
              <w:lastRenderedPageBreak/>
              <w:t>Management and communication</w:t>
            </w:r>
          </w:p>
        </w:tc>
        <w:tc>
          <w:tcPr>
            <w:tcW w:w="3835" w:type="pct"/>
          </w:tcPr>
          <w:p w:rsidR="008E273C" w:rsidRDefault="008E273C" w:rsidP="00523070">
            <w:pPr>
              <w:pStyle w:val="BodyText"/>
            </w:pPr>
            <w:r>
              <w:t>Services Australia’s Environmental Sustainability Policy continues to strengthen our environmental management program.</w:t>
            </w:r>
          </w:p>
          <w:p w:rsidR="008E273C" w:rsidRDefault="008E273C" w:rsidP="00523070">
            <w:pPr>
              <w:pStyle w:val="BodyText"/>
            </w:pPr>
            <w:r>
              <w:t>Services Australia uses an online sustainability reporting system to improve reporting and performance capability.</w:t>
            </w:r>
          </w:p>
          <w:p w:rsidR="008E273C" w:rsidRDefault="008E273C" w:rsidP="00523070">
            <w:pPr>
              <w:pStyle w:val="BodyText"/>
            </w:pPr>
            <w:r>
              <w:t>Clauses in the Services Australia Leasing Heads of Agreement require lessors to consider installing photovoltaic solar systems and/or upgrading to LED lighting.</w:t>
            </w:r>
          </w:p>
          <w:p w:rsidR="008E273C" w:rsidRDefault="008E273C" w:rsidP="00523070">
            <w:pPr>
              <w:pStyle w:val="BodyText"/>
            </w:pPr>
            <w:r>
              <w:t>Services Australia continues to promote and communicate environmental initiatives within our offices.</w:t>
            </w:r>
          </w:p>
          <w:p w:rsidR="008E273C" w:rsidRDefault="008E273C" w:rsidP="00523070">
            <w:pPr>
              <w:pStyle w:val="BodyText"/>
            </w:pPr>
            <w:r>
              <w:t>Services Australia uses reputable eco-labels and environmental standards in making relevant procurement decisions, to improve environmental performance at product and supplier levels.</w:t>
            </w:r>
          </w:p>
        </w:tc>
      </w:tr>
      <w:tr w:rsidR="008E273C" w:rsidTr="00523070">
        <w:trPr>
          <w:trHeight w:val="60"/>
        </w:trPr>
        <w:tc>
          <w:tcPr>
            <w:tcW w:w="1165" w:type="pct"/>
          </w:tcPr>
          <w:p w:rsidR="008E273C" w:rsidRDefault="008E273C" w:rsidP="00523070">
            <w:pPr>
              <w:pStyle w:val="BodyText"/>
            </w:pPr>
            <w:r>
              <w:t>Motor vehicle travel</w:t>
            </w:r>
          </w:p>
        </w:tc>
        <w:tc>
          <w:tcPr>
            <w:tcW w:w="3835" w:type="pct"/>
          </w:tcPr>
          <w:p w:rsidR="008E273C" w:rsidRDefault="008E273C" w:rsidP="00523070">
            <w:pPr>
              <w:pStyle w:val="BodyText"/>
            </w:pPr>
            <w:r>
              <w:t>Services Australia procures energy-efficient vehicles in accordance with the Australian Government Fleet Vehicle Selection Policy.</w:t>
            </w:r>
          </w:p>
          <w:p w:rsidR="008E273C" w:rsidRDefault="008E273C" w:rsidP="00523070">
            <w:pPr>
              <w:pStyle w:val="BodyText"/>
            </w:pPr>
            <w:r>
              <w:t>An electronic log book system continues to accurately monitor and manage vehicle use and to improve reporting quality.</w:t>
            </w:r>
          </w:p>
        </w:tc>
      </w:tr>
      <w:tr w:rsidR="008E273C" w:rsidTr="00523070">
        <w:trPr>
          <w:trHeight w:val="60"/>
        </w:trPr>
        <w:tc>
          <w:tcPr>
            <w:tcW w:w="1165" w:type="pct"/>
          </w:tcPr>
          <w:p w:rsidR="008E273C" w:rsidRDefault="008E273C" w:rsidP="00523070">
            <w:pPr>
              <w:pStyle w:val="BodyText"/>
            </w:pPr>
            <w:r>
              <w:t>Stationery (including paper)</w:t>
            </w:r>
          </w:p>
        </w:tc>
        <w:tc>
          <w:tcPr>
            <w:tcW w:w="3835" w:type="pct"/>
          </w:tcPr>
          <w:p w:rsidR="008E273C" w:rsidRDefault="008E273C" w:rsidP="00523070">
            <w:pPr>
              <w:pStyle w:val="BodyText"/>
            </w:pPr>
            <w:r>
              <w:t>90 per cent of the paper purchased for internal printers, photocopiers and multifunction devices was 100 per cent recycled content paper.</w:t>
            </w:r>
          </w:p>
          <w:p w:rsidR="008E273C" w:rsidRDefault="008E273C" w:rsidP="00523070">
            <w:pPr>
              <w:pStyle w:val="BodyText"/>
            </w:pPr>
            <w:r>
              <w:t>Services Australia has increased its digital record-keeping capability and has significantly reduced the number of paper-based files.</w:t>
            </w:r>
          </w:p>
        </w:tc>
      </w:tr>
      <w:tr w:rsidR="008E273C" w:rsidTr="00523070">
        <w:trPr>
          <w:trHeight w:val="60"/>
        </w:trPr>
        <w:tc>
          <w:tcPr>
            <w:tcW w:w="1165" w:type="pct"/>
          </w:tcPr>
          <w:p w:rsidR="008E273C" w:rsidRDefault="008E273C" w:rsidP="00523070">
            <w:pPr>
              <w:pStyle w:val="BodyText"/>
            </w:pPr>
            <w:r>
              <w:t>Waste</w:t>
            </w:r>
          </w:p>
        </w:tc>
        <w:tc>
          <w:tcPr>
            <w:tcW w:w="3835" w:type="pct"/>
          </w:tcPr>
          <w:p w:rsidR="008E273C" w:rsidRDefault="008E273C" w:rsidP="00523070">
            <w:pPr>
              <w:pStyle w:val="BodyText"/>
            </w:pPr>
            <w:r>
              <w:t>Services Australia supports Mobile Muster to transform the components from mobile phone waste into valuable materials for reuse.</w:t>
            </w:r>
          </w:p>
          <w:p w:rsidR="008E273C" w:rsidRDefault="008E273C" w:rsidP="00523070">
            <w:pPr>
              <w:pStyle w:val="BodyText"/>
              <w:rPr>
                <w:spacing w:val="-4"/>
              </w:rPr>
            </w:pPr>
            <w:r>
              <w:t xml:space="preserve">Services Australia supports MRI E-cycle Solutions to recover and recycle non-renewable resources from all </w:t>
            </w:r>
            <w:r>
              <w:rPr>
                <w:spacing w:val="-4"/>
              </w:rPr>
              <w:t>battery types. This keeps toxic substances out of landfill.</w:t>
            </w:r>
          </w:p>
          <w:p w:rsidR="008E273C" w:rsidRDefault="008E273C" w:rsidP="00523070">
            <w:pPr>
              <w:pStyle w:val="BodyText"/>
            </w:pPr>
            <w:r>
              <w:t>Services Australia is trialling organics waste bins in an ACT tenancy. A local ACT business collects the organic waste to feed to insects. This process of ‘insect biomass conversion’ results in the production of a nutritious soil conditioner and a high protein insect meal. This initiative has diverted 1.2 tonnes of waste from landfill.</w:t>
            </w:r>
          </w:p>
        </w:tc>
      </w:tr>
    </w:tbl>
    <w:p w:rsidR="008E273C" w:rsidRDefault="008E273C" w:rsidP="008E273C">
      <w:pPr>
        <w:pStyle w:val="Heading3"/>
      </w:pPr>
      <w:r>
        <w:lastRenderedPageBreak/>
        <w:t>Mechanisms to review and increase the effectiveness of those measures—Section 516(6</w:t>
      </w:r>
      <w:proofErr w:type="gramStart"/>
      <w:r>
        <w:t>)(</w:t>
      </w:r>
      <w:proofErr w:type="gramEnd"/>
      <w:r>
        <w:t>e)</w:t>
      </w:r>
    </w:p>
    <w:p w:rsidR="008E273C" w:rsidRDefault="008E273C" w:rsidP="008E273C">
      <w:pPr>
        <w:pStyle w:val="BodyText"/>
      </w:pPr>
      <w:r>
        <w:t>In 2019–20 Services Australia continued to review and report on our environmental performance and seek ways to achieve further improvements. Table 55 below outlines our performance against the</w:t>
      </w:r>
      <w:r>
        <w:rPr>
          <w:rStyle w:val="Italic"/>
        </w:rPr>
        <w:t xml:space="preserve"> Energy Efficiency in Government Operations (EEGO) policy</w:t>
      </w:r>
      <w:r>
        <w:t xml:space="preserve"> targets.</w:t>
      </w:r>
    </w:p>
    <w:p w:rsidR="008E273C" w:rsidRPr="00523070" w:rsidRDefault="00523070" w:rsidP="00523070">
      <w:pPr>
        <w:pStyle w:val="BodyText"/>
        <w:rPr>
          <w:b/>
        </w:rPr>
      </w:pPr>
      <w:r w:rsidRPr="00523070">
        <w:rPr>
          <w:b/>
        </w:rPr>
        <w:t>Table 55:</w:t>
      </w:r>
      <w:r w:rsidR="008E273C" w:rsidRPr="00523070">
        <w:rPr>
          <w:b/>
        </w:rPr>
        <w:t xml:space="preserve"> Office energy performance</w:t>
      </w:r>
    </w:p>
    <w:tbl>
      <w:tblPr>
        <w:tblStyle w:val="TableGrid"/>
        <w:tblW w:w="5000" w:type="pct"/>
        <w:tblLook w:val="0000" w:firstRow="0" w:lastRow="0" w:firstColumn="0" w:lastColumn="0" w:noHBand="0" w:noVBand="0"/>
        <w:tblCaption w:val="Table 55: Office energy performance"/>
        <w:tblDescription w:val="Table 55: Office energy performance"/>
      </w:tblPr>
      <w:tblGrid>
        <w:gridCol w:w="3524"/>
        <w:gridCol w:w="1893"/>
        <w:gridCol w:w="1893"/>
        <w:gridCol w:w="1893"/>
        <w:gridCol w:w="1893"/>
      </w:tblGrid>
      <w:tr w:rsidR="008E273C" w:rsidTr="00523070">
        <w:trPr>
          <w:trHeight w:val="60"/>
          <w:tblHeader/>
        </w:trPr>
        <w:tc>
          <w:tcPr>
            <w:tcW w:w="1588" w:type="pct"/>
          </w:tcPr>
          <w:p w:rsidR="008E273C" w:rsidRPr="00523070" w:rsidRDefault="008E273C" w:rsidP="00523070">
            <w:pPr>
              <w:pStyle w:val="BodyText"/>
              <w:rPr>
                <w:b/>
              </w:rPr>
            </w:pPr>
            <w:r w:rsidRPr="00523070">
              <w:rPr>
                <w:b/>
              </w:rPr>
              <w:t>Measures</w:t>
            </w:r>
          </w:p>
        </w:tc>
        <w:tc>
          <w:tcPr>
            <w:tcW w:w="853" w:type="pct"/>
          </w:tcPr>
          <w:p w:rsidR="008E273C" w:rsidRPr="00523070" w:rsidRDefault="008E273C" w:rsidP="00523070">
            <w:pPr>
              <w:pStyle w:val="BodyText"/>
              <w:rPr>
                <w:b/>
              </w:rPr>
            </w:pPr>
            <w:r w:rsidRPr="00523070">
              <w:rPr>
                <w:b/>
              </w:rPr>
              <w:t>EEGO target</w:t>
            </w:r>
          </w:p>
        </w:tc>
        <w:tc>
          <w:tcPr>
            <w:tcW w:w="853" w:type="pct"/>
          </w:tcPr>
          <w:p w:rsidR="008E273C" w:rsidRPr="00523070" w:rsidRDefault="008E273C" w:rsidP="00523070">
            <w:pPr>
              <w:pStyle w:val="BodyText"/>
              <w:rPr>
                <w:b/>
              </w:rPr>
            </w:pPr>
            <w:r w:rsidRPr="00523070">
              <w:rPr>
                <w:b/>
              </w:rPr>
              <w:t>Actual 2017–18</w:t>
            </w:r>
          </w:p>
        </w:tc>
        <w:tc>
          <w:tcPr>
            <w:tcW w:w="853" w:type="pct"/>
          </w:tcPr>
          <w:p w:rsidR="008E273C" w:rsidRPr="00523070" w:rsidRDefault="008E273C" w:rsidP="00523070">
            <w:pPr>
              <w:pStyle w:val="BodyText"/>
              <w:rPr>
                <w:b/>
              </w:rPr>
            </w:pPr>
            <w:r w:rsidRPr="00523070">
              <w:rPr>
                <w:b/>
              </w:rPr>
              <w:t>Actual 2018–19</w:t>
            </w:r>
            <w:r w:rsidRPr="00523070">
              <w:rPr>
                <w:b/>
                <w:vertAlign w:val="superscript"/>
              </w:rPr>
              <w:t>(a)</w:t>
            </w:r>
          </w:p>
        </w:tc>
        <w:tc>
          <w:tcPr>
            <w:tcW w:w="853" w:type="pct"/>
          </w:tcPr>
          <w:p w:rsidR="008E273C" w:rsidRPr="00523070" w:rsidRDefault="008E273C" w:rsidP="00523070">
            <w:pPr>
              <w:pStyle w:val="BodyText"/>
              <w:rPr>
                <w:b/>
              </w:rPr>
            </w:pPr>
            <w:r w:rsidRPr="00523070">
              <w:rPr>
                <w:b/>
              </w:rPr>
              <w:t>2019–20</w:t>
            </w:r>
          </w:p>
        </w:tc>
      </w:tr>
      <w:tr w:rsidR="008E273C" w:rsidTr="00523070">
        <w:trPr>
          <w:trHeight w:val="60"/>
        </w:trPr>
        <w:tc>
          <w:tcPr>
            <w:tcW w:w="1588" w:type="pct"/>
          </w:tcPr>
          <w:p w:rsidR="008E273C" w:rsidRDefault="008E273C" w:rsidP="00523070">
            <w:pPr>
              <w:pStyle w:val="BodyText"/>
            </w:pPr>
            <w:r>
              <w:rPr>
                <w:spacing w:val="-4"/>
              </w:rPr>
              <w:t>Office—tenant light and power (</w:t>
            </w:r>
            <w:proofErr w:type="spellStart"/>
            <w:r>
              <w:rPr>
                <w:spacing w:val="-4"/>
              </w:rPr>
              <w:t>megajoules</w:t>
            </w:r>
            <w:proofErr w:type="spellEnd"/>
            <w:r>
              <w:rPr>
                <w:spacing w:val="-4"/>
              </w:rPr>
              <w:t xml:space="preserve"> per person)</w:t>
            </w:r>
          </w:p>
        </w:tc>
        <w:tc>
          <w:tcPr>
            <w:tcW w:w="853" w:type="pct"/>
          </w:tcPr>
          <w:p w:rsidR="008E273C" w:rsidRDefault="008E273C" w:rsidP="00523070">
            <w:pPr>
              <w:pStyle w:val="BodyText"/>
            </w:pPr>
            <w:r>
              <w:t>7,500</w:t>
            </w:r>
          </w:p>
        </w:tc>
        <w:tc>
          <w:tcPr>
            <w:tcW w:w="853" w:type="pct"/>
          </w:tcPr>
          <w:p w:rsidR="008E273C" w:rsidRDefault="008E273C" w:rsidP="00523070">
            <w:pPr>
              <w:pStyle w:val="BodyText"/>
            </w:pPr>
            <w:r>
              <w:t>4,994</w:t>
            </w:r>
          </w:p>
        </w:tc>
        <w:tc>
          <w:tcPr>
            <w:tcW w:w="853" w:type="pct"/>
          </w:tcPr>
          <w:p w:rsidR="008E273C" w:rsidRDefault="008E273C" w:rsidP="00523070">
            <w:pPr>
              <w:pStyle w:val="BodyText"/>
            </w:pPr>
            <w:r>
              <w:t>6,649</w:t>
            </w:r>
          </w:p>
        </w:tc>
        <w:tc>
          <w:tcPr>
            <w:tcW w:w="853" w:type="pct"/>
          </w:tcPr>
          <w:p w:rsidR="008E273C" w:rsidRDefault="008E273C" w:rsidP="00523070">
            <w:pPr>
              <w:pStyle w:val="BodyText"/>
            </w:pPr>
            <w:r>
              <w:t>NA</w:t>
            </w:r>
            <w:r>
              <w:rPr>
                <w:vertAlign w:val="superscript"/>
              </w:rPr>
              <w:t>(b)</w:t>
            </w:r>
          </w:p>
        </w:tc>
      </w:tr>
      <w:tr w:rsidR="008E273C" w:rsidTr="00523070">
        <w:trPr>
          <w:trHeight w:val="60"/>
        </w:trPr>
        <w:tc>
          <w:tcPr>
            <w:tcW w:w="1588" w:type="pct"/>
          </w:tcPr>
          <w:p w:rsidR="008E273C" w:rsidRDefault="008E273C" w:rsidP="00523070">
            <w:pPr>
              <w:pStyle w:val="BodyText"/>
            </w:pPr>
            <w:r>
              <w:t>Office—central services (</w:t>
            </w:r>
            <w:proofErr w:type="spellStart"/>
            <w:r>
              <w:t>megajoules</w:t>
            </w:r>
            <w:proofErr w:type="spellEnd"/>
            <w:r>
              <w:t xml:space="preserve"> per square metre)</w:t>
            </w:r>
          </w:p>
        </w:tc>
        <w:tc>
          <w:tcPr>
            <w:tcW w:w="853" w:type="pct"/>
          </w:tcPr>
          <w:p w:rsidR="008E273C" w:rsidRDefault="008E273C" w:rsidP="00523070">
            <w:pPr>
              <w:pStyle w:val="BodyText"/>
            </w:pPr>
            <w:r>
              <w:t>400</w:t>
            </w:r>
          </w:p>
        </w:tc>
        <w:tc>
          <w:tcPr>
            <w:tcW w:w="853" w:type="pct"/>
          </w:tcPr>
          <w:p w:rsidR="008E273C" w:rsidRDefault="008E273C" w:rsidP="00523070">
            <w:pPr>
              <w:pStyle w:val="BodyText"/>
            </w:pPr>
            <w:r>
              <w:t>323</w:t>
            </w:r>
          </w:p>
        </w:tc>
        <w:tc>
          <w:tcPr>
            <w:tcW w:w="853" w:type="pct"/>
          </w:tcPr>
          <w:p w:rsidR="008E273C" w:rsidRDefault="008E273C" w:rsidP="00523070">
            <w:pPr>
              <w:pStyle w:val="BodyText"/>
            </w:pPr>
            <w:r>
              <w:t>294</w:t>
            </w:r>
          </w:p>
        </w:tc>
        <w:tc>
          <w:tcPr>
            <w:tcW w:w="853" w:type="pct"/>
          </w:tcPr>
          <w:p w:rsidR="008E273C" w:rsidRDefault="008E273C" w:rsidP="00523070">
            <w:pPr>
              <w:pStyle w:val="BodyText"/>
            </w:pPr>
            <w:r>
              <w:t>NA</w:t>
            </w:r>
            <w:r>
              <w:rPr>
                <w:vertAlign w:val="superscript"/>
              </w:rPr>
              <w:t>(b)</w:t>
            </w:r>
          </w:p>
        </w:tc>
      </w:tr>
    </w:tbl>
    <w:p w:rsidR="008E273C" w:rsidRDefault="00523070" w:rsidP="00523070">
      <w:pPr>
        <w:pStyle w:val="BodyText"/>
      </w:pPr>
      <w:r>
        <w:t xml:space="preserve">(a) </w:t>
      </w:r>
      <w:r w:rsidR="008E273C">
        <w:t>The decrease in office energy performance is due to the reclassification of data.</w:t>
      </w:r>
    </w:p>
    <w:p w:rsidR="008E273C" w:rsidRDefault="008E273C" w:rsidP="00523070">
      <w:pPr>
        <w:pStyle w:val="BodyText"/>
      </w:pPr>
      <w:r>
        <w:t>(b)</w:t>
      </w:r>
      <w:r w:rsidR="00523070">
        <w:t xml:space="preserve"> </w:t>
      </w:r>
      <w:r>
        <w:t xml:space="preserve">Stationary energy reporting for 2019–20 is unavailable prior to finalising the annual report. Services Australia’s energy reporting is in line with the </w:t>
      </w:r>
      <w:r>
        <w:rPr>
          <w:rStyle w:val="Italic"/>
        </w:rPr>
        <w:t>National Greenhouse and Energy Reporting Act 2007</w:t>
      </w:r>
      <w:r>
        <w:t>.</w:t>
      </w:r>
    </w:p>
    <w:p w:rsidR="00F708F0" w:rsidRDefault="00F708F0" w:rsidP="008E273C">
      <w:pPr>
        <w:pStyle w:val="Heading1"/>
      </w:pPr>
      <w:r>
        <w:t>Part 5: Appendices</w:t>
      </w:r>
    </w:p>
    <w:p w:rsidR="008E273C" w:rsidRDefault="008E273C" w:rsidP="008E273C">
      <w:pPr>
        <w:pStyle w:val="Heading1"/>
      </w:pPr>
      <w:r>
        <w:t>Appendix A: Statements and expenses for Outcome 1</w:t>
      </w:r>
    </w:p>
    <w:p w:rsidR="008E273C" w:rsidRDefault="008E273C" w:rsidP="008E273C">
      <w:pPr>
        <w:pStyle w:val="BodyText"/>
        <w:rPr>
          <w:rFonts w:ascii="Roboto-Bold" w:hAnsi="Roboto-Bold" w:cs="Roboto-Bold"/>
          <w:b/>
          <w:bCs/>
        </w:rPr>
      </w:pPr>
      <w:r>
        <w:t>Outcome 1: Support individuals, families and communities to achieve greater self-sufficiency; through the delivery of advice and high quality accessible social, health and child support services and other payments; and support providers and businesses through convenient and efficient service delivery.</w:t>
      </w:r>
    </w:p>
    <w:p w:rsidR="008E273C" w:rsidRPr="00F708F0" w:rsidRDefault="00F708F0" w:rsidP="00F708F0">
      <w:pPr>
        <w:pStyle w:val="BodyText"/>
        <w:rPr>
          <w:b/>
        </w:rPr>
      </w:pPr>
      <w:r w:rsidRPr="00F708F0">
        <w:rPr>
          <w:b/>
        </w:rPr>
        <w:t>Table 56:</w:t>
      </w:r>
      <w:r w:rsidR="008E273C" w:rsidRPr="00F708F0">
        <w:rPr>
          <w:b/>
        </w:rPr>
        <w:t xml:space="preserve"> Services Australia resource statement 2019–20</w:t>
      </w:r>
    </w:p>
    <w:tbl>
      <w:tblPr>
        <w:tblStyle w:val="TableGrid"/>
        <w:tblW w:w="5000" w:type="pct"/>
        <w:tblLook w:val="0000" w:firstRow="0" w:lastRow="0" w:firstColumn="0" w:lastColumn="0" w:noHBand="0" w:noVBand="0"/>
        <w:tblCaption w:val="Table 56: Services Australia resource statement 2019–20"/>
        <w:tblDescription w:val="Table 56: Services Australia resource statement 2019–20"/>
      </w:tblPr>
      <w:tblGrid>
        <w:gridCol w:w="4899"/>
        <w:gridCol w:w="2302"/>
        <w:gridCol w:w="1947"/>
        <w:gridCol w:w="1948"/>
      </w:tblGrid>
      <w:tr w:rsidR="008E273C" w:rsidTr="00F708F0">
        <w:trPr>
          <w:trHeight w:val="521"/>
          <w:tblHeader/>
        </w:trPr>
        <w:tc>
          <w:tcPr>
            <w:tcW w:w="2207" w:type="pct"/>
            <w:vMerge w:val="restart"/>
          </w:tcPr>
          <w:p w:rsidR="008E273C" w:rsidRDefault="008E273C" w:rsidP="00F708F0">
            <w:pPr>
              <w:pStyle w:val="BodyText"/>
            </w:pPr>
          </w:p>
        </w:tc>
        <w:tc>
          <w:tcPr>
            <w:tcW w:w="1037" w:type="pct"/>
          </w:tcPr>
          <w:p w:rsidR="008E273C" w:rsidRDefault="008E273C" w:rsidP="00F708F0">
            <w:pPr>
              <w:pStyle w:val="BodyText"/>
            </w:pPr>
            <w:r>
              <w:rPr>
                <w:rStyle w:val="Bold"/>
              </w:rPr>
              <w:t>Actual available appropriation</w:t>
            </w:r>
          </w:p>
        </w:tc>
        <w:tc>
          <w:tcPr>
            <w:tcW w:w="877" w:type="pct"/>
          </w:tcPr>
          <w:p w:rsidR="008E273C" w:rsidRDefault="008E273C" w:rsidP="00F708F0">
            <w:pPr>
              <w:pStyle w:val="BodyText"/>
            </w:pPr>
            <w:r>
              <w:rPr>
                <w:rStyle w:val="Bold"/>
              </w:rPr>
              <w:t>Payments made</w:t>
            </w:r>
          </w:p>
        </w:tc>
        <w:tc>
          <w:tcPr>
            <w:tcW w:w="878" w:type="pct"/>
          </w:tcPr>
          <w:p w:rsidR="008E273C" w:rsidRDefault="008E273C" w:rsidP="00F708F0">
            <w:pPr>
              <w:pStyle w:val="BodyText"/>
            </w:pPr>
            <w:r>
              <w:rPr>
                <w:rStyle w:val="Bold"/>
              </w:rPr>
              <w:t>Balance remaining</w:t>
            </w:r>
          </w:p>
        </w:tc>
      </w:tr>
      <w:tr w:rsidR="008E273C" w:rsidTr="00F708F0">
        <w:trPr>
          <w:trHeight w:val="376"/>
          <w:tblHeader/>
        </w:trPr>
        <w:tc>
          <w:tcPr>
            <w:tcW w:w="2207" w:type="pct"/>
            <w:vMerge/>
          </w:tcPr>
          <w:p w:rsidR="008E273C" w:rsidRDefault="008E273C" w:rsidP="00F708F0">
            <w:pPr>
              <w:pStyle w:val="BodyText"/>
            </w:pPr>
          </w:p>
        </w:tc>
        <w:tc>
          <w:tcPr>
            <w:tcW w:w="1037" w:type="pct"/>
          </w:tcPr>
          <w:p w:rsidR="008E273C" w:rsidRDefault="008E273C" w:rsidP="00F708F0">
            <w:pPr>
              <w:pStyle w:val="BodyText"/>
            </w:pPr>
            <w:r>
              <w:rPr>
                <w:rStyle w:val="Bold"/>
              </w:rPr>
              <w:t>$'000</w:t>
            </w:r>
          </w:p>
        </w:tc>
        <w:tc>
          <w:tcPr>
            <w:tcW w:w="877" w:type="pct"/>
          </w:tcPr>
          <w:p w:rsidR="008E273C" w:rsidRDefault="008E273C" w:rsidP="00F708F0">
            <w:pPr>
              <w:pStyle w:val="BodyText"/>
            </w:pPr>
            <w:r>
              <w:rPr>
                <w:rStyle w:val="Bold"/>
              </w:rPr>
              <w:t>$'000</w:t>
            </w:r>
          </w:p>
        </w:tc>
        <w:tc>
          <w:tcPr>
            <w:tcW w:w="878" w:type="pct"/>
          </w:tcPr>
          <w:p w:rsidR="008E273C" w:rsidRDefault="008E273C" w:rsidP="00F708F0">
            <w:pPr>
              <w:pStyle w:val="BodyText"/>
            </w:pPr>
            <w:r>
              <w:rPr>
                <w:rStyle w:val="Bold"/>
              </w:rPr>
              <w:t>$'000</w:t>
            </w:r>
          </w:p>
        </w:tc>
      </w:tr>
      <w:tr w:rsidR="008E273C" w:rsidTr="00F708F0">
        <w:trPr>
          <w:trHeight w:val="229"/>
          <w:tblHeader/>
        </w:trPr>
        <w:tc>
          <w:tcPr>
            <w:tcW w:w="2207" w:type="pct"/>
          </w:tcPr>
          <w:p w:rsidR="008E273C" w:rsidRDefault="008E273C" w:rsidP="00F708F0">
            <w:pPr>
              <w:pStyle w:val="BodyText"/>
            </w:pPr>
          </w:p>
        </w:tc>
        <w:tc>
          <w:tcPr>
            <w:tcW w:w="1037" w:type="pct"/>
          </w:tcPr>
          <w:p w:rsidR="008E273C" w:rsidRDefault="008E273C" w:rsidP="00F708F0">
            <w:pPr>
              <w:pStyle w:val="BodyText"/>
            </w:pPr>
            <w:r>
              <w:t>(a)</w:t>
            </w:r>
          </w:p>
        </w:tc>
        <w:tc>
          <w:tcPr>
            <w:tcW w:w="877" w:type="pct"/>
          </w:tcPr>
          <w:p w:rsidR="008E273C" w:rsidRDefault="008E273C" w:rsidP="00F708F0">
            <w:pPr>
              <w:pStyle w:val="BodyText"/>
            </w:pPr>
            <w:r>
              <w:t>(b)</w:t>
            </w:r>
          </w:p>
        </w:tc>
        <w:tc>
          <w:tcPr>
            <w:tcW w:w="878" w:type="pct"/>
          </w:tcPr>
          <w:p w:rsidR="008E273C" w:rsidRDefault="008E273C" w:rsidP="00F708F0">
            <w:pPr>
              <w:pStyle w:val="BodyText"/>
            </w:pPr>
            <w:r>
              <w:t>(a)–(b)</w:t>
            </w:r>
          </w:p>
        </w:tc>
      </w:tr>
      <w:tr w:rsidR="008E273C" w:rsidTr="00F708F0">
        <w:trPr>
          <w:trHeight w:val="229"/>
        </w:trPr>
        <w:tc>
          <w:tcPr>
            <w:tcW w:w="2207" w:type="pct"/>
          </w:tcPr>
          <w:p w:rsidR="008E273C" w:rsidRDefault="008E273C" w:rsidP="00F708F0">
            <w:pPr>
              <w:pStyle w:val="BodyText"/>
            </w:pPr>
            <w:r>
              <w:rPr>
                <w:rStyle w:val="Bold"/>
              </w:rPr>
              <w:t>Departmental</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t>Annual appropriations—ordinary annual services</w:t>
            </w:r>
            <w:r>
              <w:rPr>
                <w:vertAlign w:val="superscript"/>
              </w:rPr>
              <w:t>1</w:t>
            </w:r>
          </w:p>
        </w:tc>
        <w:tc>
          <w:tcPr>
            <w:tcW w:w="1037" w:type="pct"/>
          </w:tcPr>
          <w:p w:rsidR="008E273C" w:rsidRDefault="008E273C" w:rsidP="00F708F0">
            <w:pPr>
              <w:pStyle w:val="BodyText"/>
            </w:pPr>
            <w:r>
              <w:t>6,517,273</w:t>
            </w:r>
          </w:p>
        </w:tc>
        <w:tc>
          <w:tcPr>
            <w:tcW w:w="877" w:type="pct"/>
          </w:tcPr>
          <w:p w:rsidR="008E273C" w:rsidRDefault="008E273C" w:rsidP="00F708F0">
            <w:pPr>
              <w:pStyle w:val="BodyText"/>
            </w:pPr>
            <w:r>
              <w:t>5,230,223</w:t>
            </w:r>
          </w:p>
        </w:tc>
        <w:tc>
          <w:tcPr>
            <w:tcW w:w="878" w:type="pct"/>
          </w:tcPr>
          <w:p w:rsidR="008E273C" w:rsidRDefault="008E273C" w:rsidP="00F708F0">
            <w:pPr>
              <w:pStyle w:val="BodyText"/>
            </w:pPr>
            <w:r>
              <w:t>1,287,050</w:t>
            </w:r>
          </w:p>
        </w:tc>
      </w:tr>
      <w:tr w:rsidR="008E273C" w:rsidTr="00F708F0">
        <w:trPr>
          <w:trHeight w:val="229"/>
        </w:trPr>
        <w:tc>
          <w:tcPr>
            <w:tcW w:w="2207" w:type="pct"/>
          </w:tcPr>
          <w:p w:rsidR="008E273C" w:rsidRDefault="008E273C" w:rsidP="00F708F0">
            <w:pPr>
              <w:pStyle w:val="BodyText"/>
            </w:pPr>
            <w:r>
              <w:lastRenderedPageBreak/>
              <w:t>Annual appropriations—capital budget</w:t>
            </w:r>
            <w:r>
              <w:rPr>
                <w:vertAlign w:val="superscript"/>
              </w:rPr>
              <w:t>2</w:t>
            </w:r>
          </w:p>
        </w:tc>
        <w:tc>
          <w:tcPr>
            <w:tcW w:w="1037" w:type="pct"/>
          </w:tcPr>
          <w:p w:rsidR="008E273C" w:rsidRDefault="008E273C" w:rsidP="00F708F0">
            <w:pPr>
              <w:pStyle w:val="BodyText"/>
            </w:pPr>
            <w:r>
              <w:t>196,936</w:t>
            </w:r>
          </w:p>
        </w:tc>
        <w:tc>
          <w:tcPr>
            <w:tcW w:w="877" w:type="pct"/>
          </w:tcPr>
          <w:p w:rsidR="008E273C" w:rsidRDefault="008E273C" w:rsidP="00F708F0">
            <w:pPr>
              <w:pStyle w:val="BodyText"/>
            </w:pPr>
            <w:r>
              <w:t>195,936</w:t>
            </w:r>
          </w:p>
        </w:tc>
        <w:tc>
          <w:tcPr>
            <w:tcW w:w="878" w:type="pct"/>
          </w:tcPr>
          <w:p w:rsidR="008E273C" w:rsidRDefault="008E273C" w:rsidP="00F708F0">
            <w:pPr>
              <w:pStyle w:val="BodyText"/>
            </w:pPr>
            <w:r>
              <w:t>1,000</w:t>
            </w:r>
          </w:p>
        </w:tc>
      </w:tr>
      <w:tr w:rsidR="008E273C" w:rsidTr="00F708F0">
        <w:trPr>
          <w:trHeight w:val="229"/>
        </w:trPr>
        <w:tc>
          <w:tcPr>
            <w:tcW w:w="2207" w:type="pct"/>
          </w:tcPr>
          <w:p w:rsidR="008E273C" w:rsidRDefault="008E273C" w:rsidP="00F708F0">
            <w:pPr>
              <w:pStyle w:val="BodyText"/>
            </w:pPr>
            <w:r>
              <w:rPr>
                <w:rStyle w:val="Bold"/>
              </w:rPr>
              <w:t>Total annual appropriations—ordinary annual services</w:t>
            </w:r>
          </w:p>
        </w:tc>
        <w:tc>
          <w:tcPr>
            <w:tcW w:w="1037" w:type="pct"/>
          </w:tcPr>
          <w:p w:rsidR="008E273C" w:rsidRDefault="008E273C" w:rsidP="00F708F0">
            <w:pPr>
              <w:pStyle w:val="BodyText"/>
            </w:pPr>
            <w:r>
              <w:rPr>
                <w:rStyle w:val="Bold"/>
              </w:rPr>
              <w:t>6,714,209</w:t>
            </w:r>
          </w:p>
        </w:tc>
        <w:tc>
          <w:tcPr>
            <w:tcW w:w="877" w:type="pct"/>
          </w:tcPr>
          <w:p w:rsidR="008E273C" w:rsidRDefault="008E273C" w:rsidP="00F708F0">
            <w:pPr>
              <w:pStyle w:val="BodyText"/>
            </w:pPr>
            <w:r>
              <w:rPr>
                <w:rStyle w:val="Bold"/>
              </w:rPr>
              <w:t>5,426,159</w:t>
            </w:r>
          </w:p>
        </w:tc>
        <w:tc>
          <w:tcPr>
            <w:tcW w:w="878" w:type="pct"/>
          </w:tcPr>
          <w:p w:rsidR="008E273C" w:rsidRDefault="008E273C" w:rsidP="00F708F0">
            <w:pPr>
              <w:pStyle w:val="BodyText"/>
            </w:pPr>
            <w:r>
              <w:rPr>
                <w:rStyle w:val="Bold"/>
              </w:rPr>
              <w:t>1,288,050</w:t>
            </w:r>
          </w:p>
        </w:tc>
      </w:tr>
      <w:tr w:rsidR="008E273C" w:rsidTr="00F708F0">
        <w:trPr>
          <w:trHeight w:val="229"/>
        </w:trPr>
        <w:tc>
          <w:tcPr>
            <w:tcW w:w="2207" w:type="pct"/>
          </w:tcPr>
          <w:p w:rsidR="008E273C" w:rsidRDefault="008E273C" w:rsidP="00F708F0">
            <w:pPr>
              <w:pStyle w:val="BodyText"/>
            </w:pPr>
            <w:r>
              <w:t>Annual appropriations—other services—non-operating</w:t>
            </w:r>
            <w:r>
              <w:rPr>
                <w:vertAlign w:val="superscript"/>
              </w:rPr>
              <w:t>3</w:t>
            </w:r>
          </w:p>
        </w:tc>
        <w:tc>
          <w:tcPr>
            <w:tcW w:w="1037" w:type="pct"/>
          </w:tcPr>
          <w:p w:rsidR="008E273C" w:rsidRDefault="008E273C" w:rsidP="00F708F0">
            <w:pPr>
              <w:pStyle w:val="BodyText"/>
            </w:pPr>
            <w:r>
              <w:t>155,140</w:t>
            </w:r>
          </w:p>
        </w:tc>
        <w:tc>
          <w:tcPr>
            <w:tcW w:w="877" w:type="pct"/>
          </w:tcPr>
          <w:p w:rsidR="008E273C" w:rsidRDefault="008E273C" w:rsidP="00F708F0">
            <w:pPr>
              <w:pStyle w:val="BodyText"/>
            </w:pPr>
            <w:r>
              <w:t>148,115</w:t>
            </w:r>
          </w:p>
        </w:tc>
        <w:tc>
          <w:tcPr>
            <w:tcW w:w="878" w:type="pct"/>
          </w:tcPr>
          <w:p w:rsidR="008E273C" w:rsidRDefault="008E273C" w:rsidP="00F708F0">
            <w:pPr>
              <w:pStyle w:val="BodyText"/>
            </w:pPr>
            <w:r>
              <w:t>7,025</w:t>
            </w:r>
          </w:p>
        </w:tc>
      </w:tr>
      <w:tr w:rsidR="008E273C" w:rsidTr="00F708F0">
        <w:trPr>
          <w:trHeight w:val="229"/>
        </w:trPr>
        <w:tc>
          <w:tcPr>
            <w:tcW w:w="2207" w:type="pct"/>
          </w:tcPr>
          <w:p w:rsidR="008E273C" w:rsidRDefault="008E273C" w:rsidP="00F708F0">
            <w:pPr>
              <w:pStyle w:val="BodyText"/>
            </w:pPr>
            <w:r>
              <w:rPr>
                <w:rStyle w:val="Bold"/>
              </w:rPr>
              <w:t>Total departmental annual appropriations</w:t>
            </w:r>
          </w:p>
        </w:tc>
        <w:tc>
          <w:tcPr>
            <w:tcW w:w="1037" w:type="pct"/>
          </w:tcPr>
          <w:p w:rsidR="008E273C" w:rsidRDefault="008E273C" w:rsidP="00F708F0">
            <w:pPr>
              <w:pStyle w:val="BodyText"/>
            </w:pPr>
            <w:r>
              <w:rPr>
                <w:rStyle w:val="Bold"/>
              </w:rPr>
              <w:t>6,869,349</w:t>
            </w:r>
          </w:p>
        </w:tc>
        <w:tc>
          <w:tcPr>
            <w:tcW w:w="877" w:type="pct"/>
          </w:tcPr>
          <w:p w:rsidR="008E273C" w:rsidRDefault="008E273C" w:rsidP="00F708F0">
            <w:pPr>
              <w:pStyle w:val="BodyText"/>
            </w:pPr>
            <w:r>
              <w:rPr>
                <w:rStyle w:val="Bold"/>
              </w:rPr>
              <w:t>5,574,274</w:t>
            </w:r>
          </w:p>
        </w:tc>
        <w:tc>
          <w:tcPr>
            <w:tcW w:w="878" w:type="pct"/>
          </w:tcPr>
          <w:p w:rsidR="008E273C" w:rsidRDefault="008E273C" w:rsidP="00F708F0">
            <w:pPr>
              <w:pStyle w:val="BodyText"/>
            </w:pPr>
            <w:r>
              <w:rPr>
                <w:rStyle w:val="Bold"/>
              </w:rPr>
              <w:t>1,295,075</w:t>
            </w:r>
          </w:p>
        </w:tc>
      </w:tr>
      <w:tr w:rsidR="008E273C" w:rsidTr="00F708F0">
        <w:trPr>
          <w:trHeight w:val="229"/>
        </w:trPr>
        <w:tc>
          <w:tcPr>
            <w:tcW w:w="2207" w:type="pct"/>
          </w:tcPr>
          <w:p w:rsidR="008E273C" w:rsidRDefault="008E273C" w:rsidP="00F708F0">
            <w:pPr>
              <w:pStyle w:val="BodyText"/>
            </w:pPr>
            <w:r>
              <w:rPr>
                <w:rStyle w:val="Bold"/>
              </w:rPr>
              <w:t>Total departmental resourcing</w:t>
            </w:r>
          </w:p>
        </w:tc>
        <w:tc>
          <w:tcPr>
            <w:tcW w:w="1037" w:type="pct"/>
          </w:tcPr>
          <w:p w:rsidR="008E273C" w:rsidRDefault="008E273C" w:rsidP="00F708F0">
            <w:pPr>
              <w:pStyle w:val="BodyText"/>
            </w:pPr>
            <w:r>
              <w:rPr>
                <w:rStyle w:val="Bold"/>
              </w:rPr>
              <w:t>6,869,349</w:t>
            </w:r>
          </w:p>
        </w:tc>
        <w:tc>
          <w:tcPr>
            <w:tcW w:w="877" w:type="pct"/>
          </w:tcPr>
          <w:p w:rsidR="008E273C" w:rsidRDefault="008E273C" w:rsidP="00F708F0">
            <w:pPr>
              <w:pStyle w:val="BodyText"/>
            </w:pPr>
            <w:r>
              <w:rPr>
                <w:rStyle w:val="Bold"/>
              </w:rPr>
              <w:t>5,574,274</w:t>
            </w:r>
          </w:p>
        </w:tc>
        <w:tc>
          <w:tcPr>
            <w:tcW w:w="878" w:type="pct"/>
          </w:tcPr>
          <w:p w:rsidR="008E273C" w:rsidRDefault="008E273C" w:rsidP="00F708F0">
            <w:pPr>
              <w:pStyle w:val="BodyText"/>
            </w:pPr>
            <w:r>
              <w:rPr>
                <w:rStyle w:val="Bold"/>
              </w:rPr>
              <w:t>1,295,075</w:t>
            </w:r>
          </w:p>
        </w:tc>
      </w:tr>
      <w:tr w:rsidR="008E273C" w:rsidTr="00F708F0">
        <w:trPr>
          <w:trHeight w:val="229"/>
        </w:trPr>
        <w:tc>
          <w:tcPr>
            <w:tcW w:w="2207" w:type="pct"/>
          </w:tcPr>
          <w:p w:rsidR="008E273C" w:rsidRDefault="008E273C" w:rsidP="00F708F0">
            <w:pPr>
              <w:pStyle w:val="BodyText"/>
            </w:pPr>
            <w:r>
              <w:rPr>
                <w:rStyle w:val="Bold"/>
              </w:rPr>
              <w:t>Administered</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t>Annual appropriations—ordinary annual services</w:t>
            </w:r>
            <w:r>
              <w:rPr>
                <w:vertAlign w:val="superscript"/>
              </w:rPr>
              <w:t>1</w:t>
            </w:r>
          </w:p>
        </w:tc>
        <w:tc>
          <w:tcPr>
            <w:tcW w:w="1037" w:type="pct"/>
          </w:tcPr>
          <w:p w:rsidR="008E273C" w:rsidRDefault="008E273C" w:rsidP="00F708F0">
            <w:pPr>
              <w:pStyle w:val="BodyText"/>
            </w:pPr>
            <w:r>
              <w:t>2,894</w:t>
            </w:r>
          </w:p>
        </w:tc>
        <w:tc>
          <w:tcPr>
            <w:tcW w:w="877" w:type="pct"/>
          </w:tcPr>
          <w:p w:rsidR="008E273C" w:rsidRDefault="008E273C" w:rsidP="00F708F0">
            <w:pPr>
              <w:pStyle w:val="BodyText"/>
            </w:pPr>
            <w:r>
              <w:t>1,251</w:t>
            </w: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rPr>
                <w:rStyle w:val="Bold"/>
              </w:rPr>
              <w:t>Total administered annual appropriations</w:t>
            </w:r>
          </w:p>
        </w:tc>
        <w:tc>
          <w:tcPr>
            <w:tcW w:w="1037" w:type="pct"/>
          </w:tcPr>
          <w:p w:rsidR="008E273C" w:rsidRDefault="008E273C" w:rsidP="00F708F0">
            <w:pPr>
              <w:pStyle w:val="BodyText"/>
            </w:pPr>
            <w:r>
              <w:rPr>
                <w:rStyle w:val="Bold"/>
              </w:rPr>
              <w:t>2,894</w:t>
            </w:r>
          </w:p>
        </w:tc>
        <w:tc>
          <w:tcPr>
            <w:tcW w:w="877" w:type="pct"/>
          </w:tcPr>
          <w:p w:rsidR="008E273C" w:rsidRDefault="008E273C" w:rsidP="00F708F0">
            <w:pPr>
              <w:pStyle w:val="BodyText"/>
            </w:pPr>
            <w:r>
              <w:rPr>
                <w:rStyle w:val="Bold"/>
              </w:rPr>
              <w:t>1,251</w:t>
            </w: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t>Special accounts</w:t>
            </w:r>
          </w:p>
        </w:tc>
        <w:tc>
          <w:tcPr>
            <w:tcW w:w="1037" w:type="pct"/>
          </w:tcPr>
          <w:p w:rsidR="008E273C" w:rsidRDefault="008E273C" w:rsidP="00F708F0">
            <w:pPr>
              <w:pStyle w:val="BodyText"/>
            </w:pPr>
            <w:r>
              <w:t>2,168,264</w:t>
            </w:r>
          </w:p>
        </w:tc>
        <w:tc>
          <w:tcPr>
            <w:tcW w:w="877" w:type="pct"/>
          </w:tcPr>
          <w:p w:rsidR="008E273C" w:rsidRDefault="008E273C" w:rsidP="00F708F0">
            <w:pPr>
              <w:pStyle w:val="BodyText"/>
            </w:pPr>
            <w:r>
              <w:t>1,977,696</w:t>
            </w:r>
          </w:p>
        </w:tc>
        <w:tc>
          <w:tcPr>
            <w:tcW w:w="878" w:type="pct"/>
          </w:tcPr>
          <w:p w:rsidR="008E273C" w:rsidRDefault="008E273C" w:rsidP="00F708F0">
            <w:pPr>
              <w:pStyle w:val="BodyText"/>
            </w:pPr>
            <w:r>
              <w:t>190,568</w:t>
            </w:r>
          </w:p>
        </w:tc>
      </w:tr>
      <w:tr w:rsidR="008E273C" w:rsidTr="00F708F0">
        <w:trPr>
          <w:trHeight w:val="229"/>
        </w:trPr>
        <w:tc>
          <w:tcPr>
            <w:tcW w:w="2207" w:type="pct"/>
          </w:tcPr>
          <w:p w:rsidR="008E273C" w:rsidRDefault="008E273C" w:rsidP="00F708F0">
            <w:pPr>
              <w:pStyle w:val="BodyText"/>
            </w:pPr>
            <w:r>
              <w:rPr>
                <w:rStyle w:val="Bold"/>
              </w:rPr>
              <w:t>Total special accounts</w:t>
            </w:r>
          </w:p>
        </w:tc>
        <w:tc>
          <w:tcPr>
            <w:tcW w:w="1037" w:type="pct"/>
          </w:tcPr>
          <w:p w:rsidR="008E273C" w:rsidRDefault="008E273C" w:rsidP="00F708F0">
            <w:pPr>
              <w:pStyle w:val="BodyText"/>
            </w:pPr>
            <w:r>
              <w:rPr>
                <w:rStyle w:val="Bold"/>
              </w:rPr>
              <w:t>2,168,264</w:t>
            </w:r>
          </w:p>
        </w:tc>
        <w:tc>
          <w:tcPr>
            <w:tcW w:w="877" w:type="pct"/>
          </w:tcPr>
          <w:p w:rsidR="008E273C" w:rsidRDefault="008E273C" w:rsidP="00F708F0">
            <w:pPr>
              <w:pStyle w:val="BodyText"/>
            </w:pPr>
            <w:r>
              <w:rPr>
                <w:rStyle w:val="Bold"/>
              </w:rPr>
              <w:t>1,977,696</w:t>
            </w:r>
          </w:p>
        </w:tc>
        <w:tc>
          <w:tcPr>
            <w:tcW w:w="878" w:type="pct"/>
          </w:tcPr>
          <w:p w:rsidR="008E273C" w:rsidRDefault="008E273C" w:rsidP="00F708F0">
            <w:pPr>
              <w:pStyle w:val="BodyText"/>
            </w:pPr>
            <w:r>
              <w:rPr>
                <w:rStyle w:val="Bold"/>
              </w:rPr>
              <w:t>190,568</w:t>
            </w:r>
          </w:p>
        </w:tc>
      </w:tr>
      <w:tr w:rsidR="008E273C" w:rsidTr="00F708F0">
        <w:trPr>
          <w:trHeight w:val="229"/>
        </w:trPr>
        <w:tc>
          <w:tcPr>
            <w:tcW w:w="2207" w:type="pct"/>
          </w:tcPr>
          <w:p w:rsidR="008E273C" w:rsidRDefault="008E273C" w:rsidP="00F708F0">
            <w:pPr>
              <w:pStyle w:val="BodyText"/>
            </w:pPr>
            <w:r>
              <w:t>less administered appropriations drawn from annual/special appropriations and credited to special accounts</w:t>
            </w:r>
          </w:p>
        </w:tc>
        <w:tc>
          <w:tcPr>
            <w:tcW w:w="1037" w:type="pct"/>
          </w:tcPr>
          <w:p w:rsidR="008E273C" w:rsidRDefault="008E273C" w:rsidP="00F708F0">
            <w:pPr>
              <w:pStyle w:val="BodyText"/>
            </w:pPr>
            <w:r>
              <w:t>1,101</w:t>
            </w:r>
          </w:p>
        </w:tc>
        <w:tc>
          <w:tcPr>
            <w:tcW w:w="877" w:type="pct"/>
          </w:tcPr>
          <w:p w:rsidR="008E273C" w:rsidRDefault="008E273C" w:rsidP="00F708F0">
            <w:pPr>
              <w:pStyle w:val="BodyText"/>
            </w:pPr>
            <w:r>
              <w:t>1,101</w:t>
            </w: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rPr>
                <w:rStyle w:val="Bold"/>
              </w:rPr>
              <w:t>Total administered resourcing</w:t>
            </w:r>
          </w:p>
        </w:tc>
        <w:tc>
          <w:tcPr>
            <w:tcW w:w="1037" w:type="pct"/>
          </w:tcPr>
          <w:p w:rsidR="008E273C" w:rsidRDefault="008E273C" w:rsidP="00F708F0">
            <w:pPr>
              <w:pStyle w:val="BodyText"/>
            </w:pPr>
            <w:r>
              <w:rPr>
                <w:rStyle w:val="Bold"/>
              </w:rPr>
              <w:t>2,170,057</w:t>
            </w:r>
          </w:p>
        </w:tc>
        <w:tc>
          <w:tcPr>
            <w:tcW w:w="877" w:type="pct"/>
          </w:tcPr>
          <w:p w:rsidR="008E273C" w:rsidRDefault="008E273C" w:rsidP="00F708F0">
            <w:pPr>
              <w:pStyle w:val="BodyText"/>
            </w:pPr>
            <w:r>
              <w:rPr>
                <w:rStyle w:val="Bold"/>
              </w:rPr>
              <w:t>1,977,846</w:t>
            </w: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rPr>
                <w:rStyle w:val="Bold"/>
              </w:rPr>
              <w:t>Total resourcing and payments for Services Australia</w:t>
            </w:r>
          </w:p>
        </w:tc>
        <w:tc>
          <w:tcPr>
            <w:tcW w:w="1037" w:type="pct"/>
          </w:tcPr>
          <w:p w:rsidR="008E273C" w:rsidRDefault="008E273C" w:rsidP="00F708F0">
            <w:pPr>
              <w:pStyle w:val="BodyText"/>
            </w:pPr>
            <w:r>
              <w:rPr>
                <w:rStyle w:val="Bold"/>
              </w:rPr>
              <w:t>9,039,406</w:t>
            </w:r>
          </w:p>
        </w:tc>
        <w:tc>
          <w:tcPr>
            <w:tcW w:w="877" w:type="pct"/>
          </w:tcPr>
          <w:p w:rsidR="008E273C" w:rsidRDefault="008E273C" w:rsidP="00F708F0">
            <w:pPr>
              <w:pStyle w:val="BodyText"/>
            </w:pPr>
            <w:r>
              <w:rPr>
                <w:rStyle w:val="Bold"/>
              </w:rPr>
              <w:t>7,552,120</w:t>
            </w:r>
          </w:p>
        </w:tc>
        <w:tc>
          <w:tcPr>
            <w:tcW w:w="878" w:type="pct"/>
          </w:tcPr>
          <w:p w:rsidR="008E273C" w:rsidRDefault="008E273C" w:rsidP="00F708F0">
            <w:pPr>
              <w:pStyle w:val="BodyText"/>
            </w:pPr>
          </w:p>
        </w:tc>
      </w:tr>
    </w:tbl>
    <w:p w:rsidR="008E273C" w:rsidRDefault="008E273C" w:rsidP="00F708F0">
      <w:pPr>
        <w:pStyle w:val="ListNumber"/>
        <w:numPr>
          <w:ilvl w:val="0"/>
          <w:numId w:val="15"/>
        </w:numPr>
      </w:pPr>
      <w:r>
        <w:rPr>
          <w:rStyle w:val="Italic"/>
        </w:rPr>
        <w:t>Supply Act (No. 1) 2019–2020, Appropriation Act (No. 1) 2019–2020, Appropriation Act (No. 3) 2019–2020</w:t>
      </w:r>
      <w:r>
        <w:t xml:space="preserve"> and </w:t>
      </w:r>
      <w:r>
        <w:rPr>
          <w:rStyle w:val="Italic"/>
        </w:rPr>
        <w:t>Appropriation Act (No. 5) 2019–2020</w:t>
      </w:r>
      <w:r>
        <w:t>. This may also include prior year departmental appropriation and external revenue under section 74 of the PGPA Act.</w:t>
      </w:r>
    </w:p>
    <w:p w:rsidR="008E273C" w:rsidRDefault="008E273C" w:rsidP="00F708F0">
      <w:pPr>
        <w:pStyle w:val="ListNumber"/>
      </w:pPr>
      <w:r>
        <w:lastRenderedPageBreak/>
        <w:t>Departmental capital budgets are not separately identified in the Appropriation Act (Nos. 1, 3, 5) and Supply Act (No. 1) and form part of ordinary annual services items. For accounting purposes, this amount has been designated as ‘contribution by owner’.</w:t>
      </w:r>
    </w:p>
    <w:p w:rsidR="008E273C" w:rsidRDefault="008E273C" w:rsidP="00F708F0">
      <w:pPr>
        <w:pStyle w:val="ListNumber"/>
      </w:pPr>
      <w:r>
        <w:rPr>
          <w:rStyle w:val="Italic"/>
        </w:rPr>
        <w:t>Supply Act (No. 2) 2019–2020, Appropriation Act (No. 2) 2019–2020</w:t>
      </w:r>
      <w:r>
        <w:t xml:space="preserve"> and </w:t>
      </w:r>
      <w:r>
        <w:rPr>
          <w:rStyle w:val="Italic"/>
        </w:rPr>
        <w:t>Appropriation Act (No. 4) 2019–2020</w:t>
      </w:r>
      <w:r>
        <w:t xml:space="preserve">. </w:t>
      </w:r>
    </w:p>
    <w:p w:rsidR="008E273C" w:rsidRPr="00F708F0" w:rsidRDefault="00F708F0" w:rsidP="00F708F0">
      <w:pPr>
        <w:pStyle w:val="BodyText"/>
        <w:rPr>
          <w:b/>
        </w:rPr>
      </w:pPr>
      <w:r w:rsidRPr="00F708F0">
        <w:rPr>
          <w:b/>
        </w:rPr>
        <w:t>Table 57:</w:t>
      </w:r>
      <w:r w:rsidR="008E273C" w:rsidRPr="00F708F0">
        <w:rPr>
          <w:b/>
        </w:rPr>
        <w:t xml:space="preserve"> Services Australia expenses by Outcome 2019–20</w:t>
      </w:r>
    </w:p>
    <w:tbl>
      <w:tblPr>
        <w:tblStyle w:val="TableGrid"/>
        <w:tblW w:w="5000" w:type="pct"/>
        <w:tblLook w:val="0000" w:firstRow="0" w:lastRow="0" w:firstColumn="0" w:lastColumn="0" w:noHBand="0" w:noVBand="0"/>
        <w:tblCaption w:val="Table 57: Services Australia expenses by Outcome 2019–20"/>
        <w:tblDescription w:val="Table 57: Services Australia expenses by Outcome 2019–20"/>
      </w:tblPr>
      <w:tblGrid>
        <w:gridCol w:w="4898"/>
        <w:gridCol w:w="2301"/>
        <w:gridCol w:w="1946"/>
        <w:gridCol w:w="1951"/>
      </w:tblGrid>
      <w:tr w:rsidR="008E273C" w:rsidTr="00F708F0">
        <w:trPr>
          <w:trHeight w:val="521"/>
          <w:tblHeader/>
        </w:trPr>
        <w:tc>
          <w:tcPr>
            <w:tcW w:w="2207" w:type="pct"/>
            <w:vMerge w:val="restart"/>
          </w:tcPr>
          <w:p w:rsidR="008E273C" w:rsidRDefault="008E273C" w:rsidP="00F708F0">
            <w:pPr>
              <w:pStyle w:val="BodyText"/>
            </w:pPr>
          </w:p>
        </w:tc>
        <w:tc>
          <w:tcPr>
            <w:tcW w:w="1037" w:type="pct"/>
          </w:tcPr>
          <w:p w:rsidR="008E273C" w:rsidRDefault="008E273C" w:rsidP="00F708F0">
            <w:pPr>
              <w:pStyle w:val="BodyText"/>
            </w:pPr>
            <w:r>
              <w:rPr>
                <w:rStyle w:val="Bold"/>
              </w:rPr>
              <w:t>Budget</w:t>
            </w:r>
            <w:r>
              <w:rPr>
                <w:rStyle w:val="Bold"/>
                <w:vertAlign w:val="superscript"/>
              </w:rPr>
              <w:t>1</w:t>
            </w:r>
          </w:p>
        </w:tc>
        <w:tc>
          <w:tcPr>
            <w:tcW w:w="877" w:type="pct"/>
          </w:tcPr>
          <w:p w:rsidR="008E273C" w:rsidRDefault="008E273C" w:rsidP="00F708F0">
            <w:pPr>
              <w:pStyle w:val="BodyText"/>
            </w:pPr>
            <w:r>
              <w:rPr>
                <w:rStyle w:val="Bold"/>
              </w:rPr>
              <w:t>Actual expenses</w:t>
            </w:r>
          </w:p>
        </w:tc>
        <w:tc>
          <w:tcPr>
            <w:tcW w:w="878" w:type="pct"/>
          </w:tcPr>
          <w:p w:rsidR="008E273C" w:rsidRDefault="008E273C" w:rsidP="00F708F0">
            <w:pPr>
              <w:pStyle w:val="BodyText"/>
            </w:pPr>
            <w:r>
              <w:rPr>
                <w:rStyle w:val="Bold"/>
              </w:rPr>
              <w:t>Variation</w:t>
            </w:r>
          </w:p>
        </w:tc>
      </w:tr>
      <w:tr w:rsidR="008E273C" w:rsidTr="00F708F0">
        <w:trPr>
          <w:trHeight w:val="229"/>
          <w:tblHeader/>
        </w:trPr>
        <w:tc>
          <w:tcPr>
            <w:tcW w:w="2207" w:type="pct"/>
            <w:vMerge/>
          </w:tcPr>
          <w:p w:rsidR="008E273C" w:rsidRDefault="008E273C" w:rsidP="00F708F0">
            <w:pPr>
              <w:pStyle w:val="BodyText"/>
            </w:pPr>
          </w:p>
        </w:tc>
        <w:tc>
          <w:tcPr>
            <w:tcW w:w="1037" w:type="pct"/>
          </w:tcPr>
          <w:p w:rsidR="008E273C" w:rsidRDefault="008E273C" w:rsidP="00F708F0">
            <w:pPr>
              <w:pStyle w:val="BodyText"/>
            </w:pPr>
            <w:r>
              <w:rPr>
                <w:rStyle w:val="Bold"/>
              </w:rPr>
              <w:t>$'000</w:t>
            </w:r>
          </w:p>
        </w:tc>
        <w:tc>
          <w:tcPr>
            <w:tcW w:w="877" w:type="pct"/>
          </w:tcPr>
          <w:p w:rsidR="008E273C" w:rsidRDefault="008E273C" w:rsidP="00F708F0">
            <w:pPr>
              <w:pStyle w:val="BodyText"/>
            </w:pPr>
            <w:r>
              <w:rPr>
                <w:rStyle w:val="Bold"/>
              </w:rPr>
              <w:t>$'000</w:t>
            </w:r>
          </w:p>
        </w:tc>
        <w:tc>
          <w:tcPr>
            <w:tcW w:w="878" w:type="pct"/>
          </w:tcPr>
          <w:p w:rsidR="008E273C" w:rsidRDefault="008E273C" w:rsidP="00F708F0">
            <w:pPr>
              <w:pStyle w:val="BodyText"/>
            </w:pPr>
            <w:r>
              <w:rPr>
                <w:rStyle w:val="Bold"/>
              </w:rPr>
              <w:t>$'000</w:t>
            </w:r>
          </w:p>
        </w:tc>
      </w:tr>
      <w:tr w:rsidR="008E273C" w:rsidTr="00F708F0">
        <w:trPr>
          <w:trHeight w:val="229"/>
          <w:tblHeader/>
        </w:trPr>
        <w:tc>
          <w:tcPr>
            <w:tcW w:w="2207" w:type="pct"/>
          </w:tcPr>
          <w:p w:rsidR="008E273C" w:rsidRDefault="008E273C" w:rsidP="00F708F0">
            <w:pPr>
              <w:pStyle w:val="BodyText"/>
            </w:pPr>
          </w:p>
        </w:tc>
        <w:tc>
          <w:tcPr>
            <w:tcW w:w="1037" w:type="pct"/>
          </w:tcPr>
          <w:p w:rsidR="008E273C" w:rsidRDefault="008E273C" w:rsidP="00F708F0">
            <w:pPr>
              <w:pStyle w:val="BodyText"/>
            </w:pPr>
            <w:r>
              <w:t>(a)</w:t>
            </w:r>
          </w:p>
        </w:tc>
        <w:tc>
          <w:tcPr>
            <w:tcW w:w="877" w:type="pct"/>
          </w:tcPr>
          <w:p w:rsidR="008E273C" w:rsidRDefault="008E273C" w:rsidP="00F708F0">
            <w:pPr>
              <w:pStyle w:val="BodyText"/>
            </w:pPr>
            <w:r>
              <w:t>(b)</w:t>
            </w:r>
          </w:p>
        </w:tc>
        <w:tc>
          <w:tcPr>
            <w:tcW w:w="878" w:type="pct"/>
          </w:tcPr>
          <w:p w:rsidR="008E273C" w:rsidRDefault="008E273C" w:rsidP="00F708F0">
            <w:pPr>
              <w:pStyle w:val="BodyText"/>
            </w:pPr>
            <w:r>
              <w:t>(a)–(b)</w:t>
            </w:r>
          </w:p>
        </w:tc>
      </w:tr>
      <w:tr w:rsidR="008E273C" w:rsidTr="00F708F0">
        <w:trPr>
          <w:trHeight w:val="229"/>
        </w:trPr>
        <w:tc>
          <w:tcPr>
            <w:tcW w:w="5000" w:type="pct"/>
            <w:gridSpan w:val="4"/>
          </w:tcPr>
          <w:p w:rsidR="008E273C" w:rsidRDefault="008E273C" w:rsidP="00F708F0">
            <w:pPr>
              <w:pStyle w:val="BodyText"/>
            </w:pPr>
            <w:r>
              <w:rPr>
                <w:rStyle w:val="Bold"/>
              </w:rPr>
              <w:t>Program 1.1: Services to the Community–Social Security and Welfare</w:t>
            </w:r>
          </w:p>
        </w:tc>
      </w:tr>
      <w:tr w:rsidR="008E273C" w:rsidTr="00F708F0">
        <w:trPr>
          <w:trHeight w:val="229"/>
        </w:trPr>
        <w:tc>
          <w:tcPr>
            <w:tcW w:w="2207" w:type="pct"/>
          </w:tcPr>
          <w:p w:rsidR="008E273C" w:rsidRDefault="008E273C" w:rsidP="00F708F0">
            <w:pPr>
              <w:pStyle w:val="BodyText"/>
            </w:pPr>
            <w:r>
              <w:rPr>
                <w:rStyle w:val="Bold"/>
              </w:rPr>
              <w:t>Administered expenses</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t>Expenses not requiring appropriation in the Budget year</w:t>
            </w:r>
          </w:p>
        </w:tc>
        <w:tc>
          <w:tcPr>
            <w:tcW w:w="1037" w:type="pct"/>
          </w:tcPr>
          <w:p w:rsidR="008E273C" w:rsidRDefault="008E273C" w:rsidP="00F708F0">
            <w:pPr>
              <w:pStyle w:val="BodyText"/>
            </w:pPr>
            <w:r>
              <w:t>–</w:t>
            </w:r>
          </w:p>
        </w:tc>
        <w:tc>
          <w:tcPr>
            <w:tcW w:w="877" w:type="pct"/>
          </w:tcPr>
          <w:p w:rsidR="008E273C" w:rsidRDefault="008E273C" w:rsidP="00F708F0">
            <w:pPr>
              <w:pStyle w:val="BodyText"/>
            </w:pPr>
            <w:r>
              <w:t>172</w:t>
            </w:r>
          </w:p>
        </w:tc>
        <w:tc>
          <w:tcPr>
            <w:tcW w:w="878" w:type="pct"/>
          </w:tcPr>
          <w:p w:rsidR="008E273C" w:rsidRDefault="008E273C" w:rsidP="00F708F0">
            <w:pPr>
              <w:pStyle w:val="BodyText"/>
            </w:pPr>
            <w:r>
              <w:t>(172)</w:t>
            </w:r>
          </w:p>
        </w:tc>
      </w:tr>
      <w:tr w:rsidR="008E273C" w:rsidTr="00F708F0">
        <w:trPr>
          <w:trHeight w:val="229"/>
        </w:trPr>
        <w:tc>
          <w:tcPr>
            <w:tcW w:w="2207" w:type="pct"/>
          </w:tcPr>
          <w:p w:rsidR="008E273C" w:rsidRDefault="008E273C" w:rsidP="00F708F0">
            <w:pPr>
              <w:pStyle w:val="BodyText"/>
            </w:pPr>
            <w:r>
              <w:rPr>
                <w:rStyle w:val="Bold"/>
              </w:rPr>
              <w:t>Administered total</w:t>
            </w:r>
          </w:p>
        </w:tc>
        <w:tc>
          <w:tcPr>
            <w:tcW w:w="1037" w:type="pct"/>
          </w:tcPr>
          <w:p w:rsidR="008E273C" w:rsidRDefault="008E273C" w:rsidP="00F708F0">
            <w:pPr>
              <w:pStyle w:val="BodyText"/>
            </w:pPr>
            <w:r>
              <w:rPr>
                <w:rStyle w:val="Bold"/>
              </w:rPr>
              <w:t>–</w:t>
            </w:r>
          </w:p>
        </w:tc>
        <w:tc>
          <w:tcPr>
            <w:tcW w:w="877" w:type="pct"/>
          </w:tcPr>
          <w:p w:rsidR="008E273C" w:rsidRDefault="008E273C" w:rsidP="00F708F0">
            <w:pPr>
              <w:pStyle w:val="BodyText"/>
            </w:pPr>
            <w:r>
              <w:rPr>
                <w:rStyle w:val="Bold"/>
              </w:rPr>
              <w:t>172</w:t>
            </w:r>
          </w:p>
        </w:tc>
        <w:tc>
          <w:tcPr>
            <w:tcW w:w="878" w:type="pct"/>
          </w:tcPr>
          <w:p w:rsidR="008E273C" w:rsidRDefault="008E273C" w:rsidP="00F708F0">
            <w:pPr>
              <w:pStyle w:val="BodyText"/>
            </w:pPr>
            <w:r>
              <w:rPr>
                <w:rStyle w:val="Bold"/>
              </w:rPr>
              <w:t>(172)</w:t>
            </w:r>
          </w:p>
        </w:tc>
      </w:tr>
      <w:tr w:rsidR="008E273C" w:rsidTr="00F708F0">
        <w:trPr>
          <w:trHeight w:val="229"/>
        </w:trPr>
        <w:tc>
          <w:tcPr>
            <w:tcW w:w="2207" w:type="pct"/>
          </w:tcPr>
          <w:p w:rsidR="008E273C" w:rsidRDefault="008E273C" w:rsidP="00F708F0">
            <w:pPr>
              <w:pStyle w:val="BodyText"/>
            </w:pPr>
            <w:r>
              <w:rPr>
                <w:rStyle w:val="Bold"/>
              </w:rPr>
              <w:t>Departmental expenses</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t>Departmental appropriation</w:t>
            </w:r>
            <w:r>
              <w:rPr>
                <w:vertAlign w:val="superscript"/>
              </w:rPr>
              <w:t>2</w:t>
            </w:r>
          </w:p>
        </w:tc>
        <w:tc>
          <w:tcPr>
            <w:tcW w:w="1037" w:type="pct"/>
          </w:tcPr>
          <w:p w:rsidR="008E273C" w:rsidRDefault="008E273C" w:rsidP="00F708F0">
            <w:pPr>
              <w:pStyle w:val="BodyText"/>
            </w:pPr>
            <w:r>
              <w:t>3,839,191</w:t>
            </w:r>
          </w:p>
        </w:tc>
        <w:tc>
          <w:tcPr>
            <w:tcW w:w="877" w:type="pct"/>
          </w:tcPr>
          <w:p w:rsidR="008E273C" w:rsidRDefault="008E273C" w:rsidP="00F708F0">
            <w:pPr>
              <w:pStyle w:val="BodyText"/>
            </w:pPr>
            <w:r>
              <w:t>4,052,157</w:t>
            </w:r>
          </w:p>
        </w:tc>
        <w:tc>
          <w:tcPr>
            <w:tcW w:w="878" w:type="pct"/>
          </w:tcPr>
          <w:p w:rsidR="008E273C" w:rsidRDefault="008E273C" w:rsidP="00F708F0">
            <w:pPr>
              <w:pStyle w:val="BodyText"/>
            </w:pPr>
            <w:r>
              <w:t>(212,966)</w:t>
            </w:r>
          </w:p>
        </w:tc>
      </w:tr>
      <w:tr w:rsidR="008E273C" w:rsidTr="00F708F0">
        <w:trPr>
          <w:trHeight w:val="229"/>
        </w:trPr>
        <w:tc>
          <w:tcPr>
            <w:tcW w:w="2207" w:type="pct"/>
          </w:tcPr>
          <w:p w:rsidR="008E273C" w:rsidRDefault="008E273C" w:rsidP="00F708F0">
            <w:pPr>
              <w:pStyle w:val="BodyText"/>
            </w:pPr>
            <w:r>
              <w:t xml:space="preserve">Expenses not requiring </w:t>
            </w:r>
            <w:r>
              <w:rPr>
                <w:spacing w:val="-2"/>
              </w:rPr>
              <w:t>appropriation in the Budget year</w:t>
            </w:r>
            <w:r>
              <w:rPr>
                <w:spacing w:val="-2"/>
                <w:vertAlign w:val="superscript"/>
              </w:rPr>
              <w:t>3</w:t>
            </w:r>
          </w:p>
        </w:tc>
        <w:tc>
          <w:tcPr>
            <w:tcW w:w="1037" w:type="pct"/>
          </w:tcPr>
          <w:p w:rsidR="008E273C" w:rsidRDefault="008E273C" w:rsidP="00F708F0">
            <w:pPr>
              <w:pStyle w:val="BodyText"/>
            </w:pPr>
            <w:r>
              <w:t>227,801</w:t>
            </w:r>
          </w:p>
        </w:tc>
        <w:tc>
          <w:tcPr>
            <w:tcW w:w="877" w:type="pct"/>
          </w:tcPr>
          <w:p w:rsidR="008E273C" w:rsidRDefault="008E273C" w:rsidP="00F708F0">
            <w:pPr>
              <w:pStyle w:val="BodyText"/>
            </w:pPr>
            <w:r>
              <w:t>268,151</w:t>
            </w:r>
          </w:p>
        </w:tc>
        <w:tc>
          <w:tcPr>
            <w:tcW w:w="878" w:type="pct"/>
          </w:tcPr>
          <w:p w:rsidR="008E273C" w:rsidRDefault="008E273C" w:rsidP="00F708F0">
            <w:pPr>
              <w:pStyle w:val="BodyText"/>
            </w:pPr>
            <w:r>
              <w:t>(40,350)</w:t>
            </w:r>
          </w:p>
        </w:tc>
      </w:tr>
      <w:tr w:rsidR="008E273C" w:rsidTr="00F708F0">
        <w:trPr>
          <w:trHeight w:val="229"/>
        </w:trPr>
        <w:tc>
          <w:tcPr>
            <w:tcW w:w="2207" w:type="pct"/>
          </w:tcPr>
          <w:p w:rsidR="008E273C" w:rsidRDefault="008E273C" w:rsidP="00F708F0">
            <w:pPr>
              <w:pStyle w:val="BodyText"/>
            </w:pPr>
            <w:r>
              <w:rPr>
                <w:rStyle w:val="Bold"/>
              </w:rPr>
              <w:t>Departmental total</w:t>
            </w:r>
          </w:p>
        </w:tc>
        <w:tc>
          <w:tcPr>
            <w:tcW w:w="1037" w:type="pct"/>
          </w:tcPr>
          <w:p w:rsidR="008E273C" w:rsidRDefault="008E273C" w:rsidP="00F708F0">
            <w:pPr>
              <w:pStyle w:val="BodyText"/>
            </w:pPr>
            <w:r>
              <w:rPr>
                <w:rStyle w:val="Bold"/>
              </w:rPr>
              <w:t>4,066,992</w:t>
            </w:r>
          </w:p>
        </w:tc>
        <w:tc>
          <w:tcPr>
            <w:tcW w:w="877" w:type="pct"/>
          </w:tcPr>
          <w:p w:rsidR="008E273C" w:rsidRDefault="008E273C" w:rsidP="00F708F0">
            <w:pPr>
              <w:pStyle w:val="BodyText"/>
            </w:pPr>
            <w:r>
              <w:rPr>
                <w:rStyle w:val="Bold"/>
              </w:rPr>
              <w:t>4,320,308</w:t>
            </w:r>
          </w:p>
        </w:tc>
        <w:tc>
          <w:tcPr>
            <w:tcW w:w="878" w:type="pct"/>
          </w:tcPr>
          <w:p w:rsidR="008E273C" w:rsidRDefault="008E273C" w:rsidP="00F708F0">
            <w:pPr>
              <w:pStyle w:val="BodyText"/>
            </w:pPr>
            <w:r>
              <w:rPr>
                <w:rStyle w:val="Bold"/>
              </w:rPr>
              <w:t>(253,316)</w:t>
            </w:r>
          </w:p>
        </w:tc>
      </w:tr>
      <w:tr w:rsidR="008E273C" w:rsidTr="00F708F0">
        <w:trPr>
          <w:trHeight w:val="229"/>
        </w:trPr>
        <w:tc>
          <w:tcPr>
            <w:tcW w:w="2207" w:type="pct"/>
          </w:tcPr>
          <w:p w:rsidR="008E273C" w:rsidRDefault="008E273C" w:rsidP="00F708F0">
            <w:pPr>
              <w:pStyle w:val="BodyText"/>
            </w:pPr>
            <w:r>
              <w:rPr>
                <w:rStyle w:val="Bold"/>
              </w:rPr>
              <w:t>Total expenses for Program 1.1</w:t>
            </w:r>
          </w:p>
        </w:tc>
        <w:tc>
          <w:tcPr>
            <w:tcW w:w="1037" w:type="pct"/>
          </w:tcPr>
          <w:p w:rsidR="008E273C" w:rsidRDefault="008E273C" w:rsidP="00F708F0">
            <w:pPr>
              <w:pStyle w:val="BodyText"/>
            </w:pPr>
            <w:r>
              <w:rPr>
                <w:rStyle w:val="Bold"/>
              </w:rPr>
              <w:t>4,066,992</w:t>
            </w:r>
          </w:p>
        </w:tc>
        <w:tc>
          <w:tcPr>
            <w:tcW w:w="877" w:type="pct"/>
          </w:tcPr>
          <w:p w:rsidR="008E273C" w:rsidRDefault="008E273C" w:rsidP="00F708F0">
            <w:pPr>
              <w:pStyle w:val="BodyText"/>
            </w:pPr>
            <w:r>
              <w:rPr>
                <w:rStyle w:val="Bold"/>
              </w:rPr>
              <w:t>4,320,480</w:t>
            </w:r>
          </w:p>
        </w:tc>
        <w:tc>
          <w:tcPr>
            <w:tcW w:w="878" w:type="pct"/>
          </w:tcPr>
          <w:p w:rsidR="008E273C" w:rsidRDefault="008E273C" w:rsidP="00F708F0">
            <w:pPr>
              <w:pStyle w:val="BodyText"/>
            </w:pPr>
            <w:r>
              <w:rPr>
                <w:rStyle w:val="Bold"/>
              </w:rPr>
              <w:t>(253,488)</w:t>
            </w:r>
          </w:p>
        </w:tc>
      </w:tr>
      <w:tr w:rsidR="008E273C" w:rsidTr="00F708F0">
        <w:trPr>
          <w:trHeight w:val="229"/>
        </w:trPr>
        <w:tc>
          <w:tcPr>
            <w:tcW w:w="5000" w:type="pct"/>
            <w:gridSpan w:val="4"/>
          </w:tcPr>
          <w:p w:rsidR="008E273C" w:rsidRDefault="008E273C" w:rsidP="00F708F0">
            <w:pPr>
              <w:pStyle w:val="BodyText"/>
            </w:pPr>
            <w:r>
              <w:rPr>
                <w:rStyle w:val="Bold"/>
              </w:rPr>
              <w:t>Program 1.2: Services to the Community—Health</w:t>
            </w:r>
          </w:p>
        </w:tc>
      </w:tr>
      <w:tr w:rsidR="008E273C" w:rsidTr="00F708F0">
        <w:trPr>
          <w:trHeight w:val="229"/>
        </w:trPr>
        <w:tc>
          <w:tcPr>
            <w:tcW w:w="2207" w:type="pct"/>
          </w:tcPr>
          <w:p w:rsidR="008E273C" w:rsidRDefault="008E273C" w:rsidP="00F708F0">
            <w:pPr>
              <w:pStyle w:val="BodyText"/>
            </w:pPr>
            <w:r>
              <w:rPr>
                <w:rStyle w:val="Bold"/>
              </w:rPr>
              <w:t>Departmental expenses</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t>Departmental appropriation</w:t>
            </w:r>
            <w:r>
              <w:rPr>
                <w:vertAlign w:val="superscript"/>
              </w:rPr>
              <w:t>2</w:t>
            </w:r>
          </w:p>
        </w:tc>
        <w:tc>
          <w:tcPr>
            <w:tcW w:w="1037" w:type="pct"/>
          </w:tcPr>
          <w:p w:rsidR="008E273C" w:rsidRDefault="008E273C" w:rsidP="00F708F0">
            <w:pPr>
              <w:pStyle w:val="BodyText"/>
            </w:pPr>
            <w:r>
              <w:t>622,680</w:t>
            </w:r>
          </w:p>
        </w:tc>
        <w:tc>
          <w:tcPr>
            <w:tcW w:w="877" w:type="pct"/>
          </w:tcPr>
          <w:p w:rsidR="008E273C" w:rsidRDefault="008E273C" w:rsidP="00F708F0">
            <w:pPr>
              <w:pStyle w:val="BodyText"/>
            </w:pPr>
            <w:r>
              <w:t>606,169</w:t>
            </w:r>
          </w:p>
        </w:tc>
        <w:tc>
          <w:tcPr>
            <w:tcW w:w="878" w:type="pct"/>
          </w:tcPr>
          <w:p w:rsidR="008E273C" w:rsidRDefault="008E273C" w:rsidP="00F708F0">
            <w:pPr>
              <w:pStyle w:val="BodyText"/>
            </w:pPr>
            <w:r>
              <w:t>16,511</w:t>
            </w:r>
          </w:p>
        </w:tc>
      </w:tr>
      <w:tr w:rsidR="008E273C" w:rsidTr="00F708F0">
        <w:trPr>
          <w:trHeight w:val="229"/>
        </w:trPr>
        <w:tc>
          <w:tcPr>
            <w:tcW w:w="2207" w:type="pct"/>
          </w:tcPr>
          <w:p w:rsidR="008E273C" w:rsidRDefault="008E273C" w:rsidP="00F708F0">
            <w:pPr>
              <w:pStyle w:val="BodyText"/>
            </w:pPr>
            <w:r>
              <w:t xml:space="preserve">Expenses not requiring </w:t>
            </w:r>
            <w:r>
              <w:rPr>
                <w:spacing w:val="-2"/>
              </w:rPr>
              <w:t>appropriation in the Budget year</w:t>
            </w:r>
            <w:r>
              <w:rPr>
                <w:spacing w:val="-2"/>
                <w:vertAlign w:val="superscript"/>
              </w:rPr>
              <w:t>3</w:t>
            </w:r>
          </w:p>
        </w:tc>
        <w:tc>
          <w:tcPr>
            <w:tcW w:w="1037" w:type="pct"/>
          </w:tcPr>
          <w:p w:rsidR="008E273C" w:rsidRDefault="008E273C" w:rsidP="00F708F0">
            <w:pPr>
              <w:pStyle w:val="BodyText"/>
            </w:pPr>
            <w:r>
              <w:t>52,856</w:t>
            </w:r>
          </w:p>
        </w:tc>
        <w:tc>
          <w:tcPr>
            <w:tcW w:w="877" w:type="pct"/>
          </w:tcPr>
          <w:p w:rsidR="008E273C" w:rsidRDefault="008E273C" w:rsidP="00F708F0">
            <w:pPr>
              <w:pStyle w:val="BodyText"/>
            </w:pPr>
            <w:r>
              <w:t>55,803</w:t>
            </w:r>
          </w:p>
        </w:tc>
        <w:tc>
          <w:tcPr>
            <w:tcW w:w="878" w:type="pct"/>
          </w:tcPr>
          <w:p w:rsidR="008E273C" w:rsidRDefault="008E273C" w:rsidP="00F708F0">
            <w:pPr>
              <w:pStyle w:val="BodyText"/>
            </w:pPr>
            <w:r>
              <w:t>(2,947)</w:t>
            </w:r>
          </w:p>
        </w:tc>
      </w:tr>
      <w:tr w:rsidR="008E273C" w:rsidTr="00F708F0">
        <w:trPr>
          <w:trHeight w:val="229"/>
        </w:trPr>
        <w:tc>
          <w:tcPr>
            <w:tcW w:w="2207" w:type="pct"/>
          </w:tcPr>
          <w:p w:rsidR="008E273C" w:rsidRDefault="008E273C" w:rsidP="00F708F0">
            <w:pPr>
              <w:pStyle w:val="BodyText"/>
            </w:pPr>
            <w:r>
              <w:rPr>
                <w:rStyle w:val="Bold"/>
              </w:rPr>
              <w:t>Departmental total</w:t>
            </w:r>
          </w:p>
        </w:tc>
        <w:tc>
          <w:tcPr>
            <w:tcW w:w="1037" w:type="pct"/>
          </w:tcPr>
          <w:p w:rsidR="008E273C" w:rsidRDefault="008E273C" w:rsidP="00F708F0">
            <w:pPr>
              <w:pStyle w:val="BodyText"/>
            </w:pPr>
            <w:r>
              <w:rPr>
                <w:rStyle w:val="Bold"/>
              </w:rPr>
              <w:t>675,536</w:t>
            </w:r>
          </w:p>
        </w:tc>
        <w:tc>
          <w:tcPr>
            <w:tcW w:w="877" w:type="pct"/>
          </w:tcPr>
          <w:p w:rsidR="008E273C" w:rsidRDefault="008E273C" w:rsidP="00F708F0">
            <w:pPr>
              <w:pStyle w:val="BodyText"/>
            </w:pPr>
            <w:r>
              <w:rPr>
                <w:rStyle w:val="Bold"/>
              </w:rPr>
              <w:t>661,972</w:t>
            </w:r>
          </w:p>
        </w:tc>
        <w:tc>
          <w:tcPr>
            <w:tcW w:w="878" w:type="pct"/>
          </w:tcPr>
          <w:p w:rsidR="008E273C" w:rsidRDefault="008E273C" w:rsidP="00F708F0">
            <w:pPr>
              <w:pStyle w:val="BodyText"/>
            </w:pPr>
            <w:r>
              <w:rPr>
                <w:rStyle w:val="Bold"/>
              </w:rPr>
              <w:t>13,564</w:t>
            </w:r>
          </w:p>
        </w:tc>
      </w:tr>
      <w:tr w:rsidR="008E273C" w:rsidTr="00F708F0">
        <w:trPr>
          <w:trHeight w:val="229"/>
        </w:trPr>
        <w:tc>
          <w:tcPr>
            <w:tcW w:w="2207" w:type="pct"/>
          </w:tcPr>
          <w:p w:rsidR="008E273C" w:rsidRDefault="008E273C" w:rsidP="00F708F0">
            <w:pPr>
              <w:pStyle w:val="BodyText"/>
            </w:pPr>
            <w:r>
              <w:rPr>
                <w:rStyle w:val="Bold"/>
              </w:rPr>
              <w:lastRenderedPageBreak/>
              <w:t>Total expenses for Program 1.2</w:t>
            </w:r>
          </w:p>
        </w:tc>
        <w:tc>
          <w:tcPr>
            <w:tcW w:w="1037" w:type="pct"/>
          </w:tcPr>
          <w:p w:rsidR="008E273C" w:rsidRDefault="008E273C" w:rsidP="00F708F0">
            <w:pPr>
              <w:pStyle w:val="BodyText"/>
            </w:pPr>
            <w:r>
              <w:rPr>
                <w:rStyle w:val="Bold"/>
              </w:rPr>
              <w:t>675,536</w:t>
            </w:r>
          </w:p>
        </w:tc>
        <w:tc>
          <w:tcPr>
            <w:tcW w:w="877" w:type="pct"/>
          </w:tcPr>
          <w:p w:rsidR="008E273C" w:rsidRDefault="008E273C" w:rsidP="00F708F0">
            <w:pPr>
              <w:pStyle w:val="BodyText"/>
            </w:pPr>
            <w:r>
              <w:rPr>
                <w:rStyle w:val="Bold"/>
              </w:rPr>
              <w:t>661,972</w:t>
            </w:r>
          </w:p>
        </w:tc>
        <w:tc>
          <w:tcPr>
            <w:tcW w:w="878" w:type="pct"/>
          </w:tcPr>
          <w:p w:rsidR="008E273C" w:rsidRDefault="008E273C" w:rsidP="00F708F0">
            <w:pPr>
              <w:pStyle w:val="BodyText"/>
            </w:pPr>
            <w:r>
              <w:rPr>
                <w:rStyle w:val="Bold"/>
              </w:rPr>
              <w:t>13,564</w:t>
            </w:r>
          </w:p>
        </w:tc>
      </w:tr>
      <w:tr w:rsidR="008E273C" w:rsidTr="00F708F0">
        <w:trPr>
          <w:trHeight w:val="229"/>
        </w:trPr>
        <w:tc>
          <w:tcPr>
            <w:tcW w:w="2207" w:type="pct"/>
          </w:tcPr>
          <w:p w:rsidR="008E273C" w:rsidRDefault="00AC4959" w:rsidP="00F708F0">
            <w:pPr>
              <w:pStyle w:val="BodyText"/>
            </w:pPr>
            <w:r>
              <w:rPr>
                <w:rStyle w:val="Bold"/>
              </w:rPr>
              <w:t>Program 1.3: child support</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rPr>
                <w:rStyle w:val="Bold"/>
              </w:rPr>
              <w:t>Administered expenses</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t>Ordinary annual services (Appropriation Act Nos. 1 and 3)</w:t>
            </w:r>
          </w:p>
        </w:tc>
        <w:tc>
          <w:tcPr>
            <w:tcW w:w="1037" w:type="pct"/>
          </w:tcPr>
          <w:p w:rsidR="008E273C" w:rsidRDefault="008E273C" w:rsidP="00F708F0">
            <w:pPr>
              <w:pStyle w:val="BodyText"/>
            </w:pPr>
            <w:r>
              <w:t>1,642</w:t>
            </w:r>
          </w:p>
        </w:tc>
        <w:tc>
          <w:tcPr>
            <w:tcW w:w="877" w:type="pct"/>
          </w:tcPr>
          <w:p w:rsidR="008E273C" w:rsidRDefault="008E273C" w:rsidP="00F708F0">
            <w:pPr>
              <w:pStyle w:val="BodyText"/>
            </w:pPr>
            <w:r>
              <w:t>1,101</w:t>
            </w:r>
          </w:p>
        </w:tc>
        <w:tc>
          <w:tcPr>
            <w:tcW w:w="878" w:type="pct"/>
          </w:tcPr>
          <w:p w:rsidR="008E273C" w:rsidRDefault="008E273C" w:rsidP="00F708F0">
            <w:pPr>
              <w:pStyle w:val="BodyText"/>
            </w:pPr>
            <w:r>
              <w:t>541</w:t>
            </w:r>
          </w:p>
        </w:tc>
      </w:tr>
      <w:tr w:rsidR="008E273C" w:rsidTr="00F708F0">
        <w:trPr>
          <w:trHeight w:val="229"/>
        </w:trPr>
        <w:tc>
          <w:tcPr>
            <w:tcW w:w="2207" w:type="pct"/>
          </w:tcPr>
          <w:p w:rsidR="008E273C" w:rsidRDefault="008E273C" w:rsidP="00F708F0">
            <w:pPr>
              <w:pStyle w:val="BodyText"/>
            </w:pPr>
            <w:r>
              <w:t>Special accounts</w:t>
            </w:r>
          </w:p>
        </w:tc>
        <w:tc>
          <w:tcPr>
            <w:tcW w:w="1037" w:type="pct"/>
          </w:tcPr>
          <w:p w:rsidR="008E273C" w:rsidRDefault="008E273C" w:rsidP="00F708F0">
            <w:pPr>
              <w:pStyle w:val="BodyText"/>
            </w:pPr>
            <w:r>
              <w:t>1,636,510</w:t>
            </w:r>
          </w:p>
        </w:tc>
        <w:tc>
          <w:tcPr>
            <w:tcW w:w="877" w:type="pct"/>
          </w:tcPr>
          <w:p w:rsidR="008E273C" w:rsidRDefault="008E273C" w:rsidP="00F708F0">
            <w:pPr>
              <w:pStyle w:val="BodyText"/>
            </w:pPr>
            <w:r>
              <w:t>1,914,645</w:t>
            </w:r>
          </w:p>
        </w:tc>
        <w:tc>
          <w:tcPr>
            <w:tcW w:w="878" w:type="pct"/>
          </w:tcPr>
          <w:p w:rsidR="008E273C" w:rsidRDefault="008E273C" w:rsidP="00F708F0">
            <w:pPr>
              <w:pStyle w:val="BodyText"/>
            </w:pPr>
            <w:r>
              <w:t>(278,135)</w:t>
            </w:r>
          </w:p>
        </w:tc>
      </w:tr>
      <w:tr w:rsidR="008E273C" w:rsidTr="00F708F0">
        <w:trPr>
          <w:trHeight w:val="229"/>
        </w:trPr>
        <w:tc>
          <w:tcPr>
            <w:tcW w:w="2207" w:type="pct"/>
          </w:tcPr>
          <w:p w:rsidR="008E273C" w:rsidRDefault="008E273C" w:rsidP="00F708F0">
            <w:pPr>
              <w:pStyle w:val="BodyText"/>
            </w:pPr>
            <w:r>
              <w:t>Expenses not requiring appropriation in the Budget year</w:t>
            </w:r>
          </w:p>
        </w:tc>
        <w:tc>
          <w:tcPr>
            <w:tcW w:w="1037" w:type="pct"/>
          </w:tcPr>
          <w:p w:rsidR="008E273C" w:rsidRDefault="008E273C" w:rsidP="00F708F0">
            <w:pPr>
              <w:pStyle w:val="BodyText"/>
            </w:pPr>
            <w:r>
              <w:t>102,565</w:t>
            </w:r>
          </w:p>
        </w:tc>
        <w:tc>
          <w:tcPr>
            <w:tcW w:w="877" w:type="pct"/>
          </w:tcPr>
          <w:p w:rsidR="008E273C" w:rsidRDefault="008E273C" w:rsidP="00F708F0">
            <w:pPr>
              <w:pStyle w:val="BodyText"/>
            </w:pPr>
            <w:r>
              <w:t>51,204</w:t>
            </w:r>
          </w:p>
        </w:tc>
        <w:tc>
          <w:tcPr>
            <w:tcW w:w="878" w:type="pct"/>
          </w:tcPr>
          <w:p w:rsidR="008E273C" w:rsidRDefault="008E273C" w:rsidP="00F708F0">
            <w:pPr>
              <w:pStyle w:val="BodyText"/>
            </w:pPr>
            <w:r>
              <w:t>51,361</w:t>
            </w:r>
          </w:p>
        </w:tc>
      </w:tr>
      <w:tr w:rsidR="008E273C" w:rsidTr="00F708F0">
        <w:trPr>
          <w:trHeight w:val="229"/>
        </w:trPr>
        <w:tc>
          <w:tcPr>
            <w:tcW w:w="2207" w:type="pct"/>
          </w:tcPr>
          <w:p w:rsidR="008E273C" w:rsidRDefault="008E273C" w:rsidP="00F708F0">
            <w:pPr>
              <w:pStyle w:val="BodyText"/>
            </w:pPr>
            <w:r>
              <w:rPr>
                <w:rStyle w:val="Bold"/>
              </w:rPr>
              <w:t>Administered total</w:t>
            </w:r>
          </w:p>
        </w:tc>
        <w:tc>
          <w:tcPr>
            <w:tcW w:w="1037" w:type="pct"/>
          </w:tcPr>
          <w:p w:rsidR="008E273C" w:rsidRDefault="008E273C" w:rsidP="00F708F0">
            <w:pPr>
              <w:pStyle w:val="BodyText"/>
            </w:pPr>
            <w:r>
              <w:rPr>
                <w:rStyle w:val="Bold"/>
              </w:rPr>
              <w:t>1,740,717</w:t>
            </w:r>
          </w:p>
        </w:tc>
        <w:tc>
          <w:tcPr>
            <w:tcW w:w="877" w:type="pct"/>
          </w:tcPr>
          <w:p w:rsidR="008E273C" w:rsidRDefault="008E273C" w:rsidP="00F708F0">
            <w:pPr>
              <w:pStyle w:val="BodyText"/>
            </w:pPr>
            <w:r>
              <w:rPr>
                <w:rStyle w:val="Bold"/>
              </w:rPr>
              <w:t>1,966,950</w:t>
            </w:r>
          </w:p>
        </w:tc>
        <w:tc>
          <w:tcPr>
            <w:tcW w:w="878" w:type="pct"/>
          </w:tcPr>
          <w:p w:rsidR="008E273C" w:rsidRDefault="008E273C" w:rsidP="00F708F0">
            <w:pPr>
              <w:pStyle w:val="BodyText"/>
            </w:pPr>
            <w:r>
              <w:rPr>
                <w:rStyle w:val="Bold"/>
              </w:rPr>
              <w:t>(226,233)</w:t>
            </w:r>
          </w:p>
        </w:tc>
      </w:tr>
      <w:tr w:rsidR="008E273C" w:rsidTr="00F708F0">
        <w:trPr>
          <w:trHeight w:val="229"/>
        </w:trPr>
        <w:tc>
          <w:tcPr>
            <w:tcW w:w="2207" w:type="pct"/>
          </w:tcPr>
          <w:p w:rsidR="008E273C" w:rsidRDefault="008E273C" w:rsidP="00F708F0">
            <w:pPr>
              <w:pStyle w:val="BodyText"/>
            </w:pPr>
            <w:r>
              <w:rPr>
                <w:rStyle w:val="Bold"/>
              </w:rPr>
              <w:t>Departmental expenses</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t>Departmental appropriation</w:t>
            </w:r>
            <w:r>
              <w:rPr>
                <w:vertAlign w:val="superscript"/>
              </w:rPr>
              <w:t>2</w:t>
            </w:r>
          </w:p>
        </w:tc>
        <w:tc>
          <w:tcPr>
            <w:tcW w:w="1037" w:type="pct"/>
          </w:tcPr>
          <w:p w:rsidR="008E273C" w:rsidRDefault="008E273C" w:rsidP="00F708F0">
            <w:pPr>
              <w:pStyle w:val="BodyText"/>
            </w:pPr>
            <w:r>
              <w:t>416,218</w:t>
            </w:r>
          </w:p>
        </w:tc>
        <w:tc>
          <w:tcPr>
            <w:tcW w:w="877" w:type="pct"/>
          </w:tcPr>
          <w:p w:rsidR="008E273C" w:rsidRDefault="008E273C" w:rsidP="00F708F0">
            <w:pPr>
              <w:pStyle w:val="BodyText"/>
            </w:pPr>
            <w:r>
              <w:t>405,922</w:t>
            </w:r>
          </w:p>
        </w:tc>
        <w:tc>
          <w:tcPr>
            <w:tcW w:w="878" w:type="pct"/>
          </w:tcPr>
          <w:p w:rsidR="008E273C" w:rsidRDefault="008E273C" w:rsidP="00F708F0">
            <w:pPr>
              <w:pStyle w:val="BodyText"/>
            </w:pPr>
            <w:r>
              <w:t>10,296</w:t>
            </w:r>
          </w:p>
        </w:tc>
      </w:tr>
      <w:tr w:rsidR="008E273C" w:rsidTr="00F708F0">
        <w:trPr>
          <w:trHeight w:val="229"/>
        </w:trPr>
        <w:tc>
          <w:tcPr>
            <w:tcW w:w="2207" w:type="pct"/>
          </w:tcPr>
          <w:p w:rsidR="008E273C" w:rsidRDefault="008E273C" w:rsidP="00F708F0">
            <w:pPr>
              <w:pStyle w:val="BodyText"/>
            </w:pPr>
            <w:r>
              <w:t xml:space="preserve">Expenses not requiring </w:t>
            </w:r>
            <w:r>
              <w:rPr>
                <w:spacing w:val="-2"/>
              </w:rPr>
              <w:t>appropriation in the Budget year</w:t>
            </w:r>
            <w:r>
              <w:rPr>
                <w:spacing w:val="-2"/>
                <w:vertAlign w:val="superscript"/>
              </w:rPr>
              <w:t>3</w:t>
            </w:r>
          </w:p>
        </w:tc>
        <w:tc>
          <w:tcPr>
            <w:tcW w:w="1037" w:type="pct"/>
          </w:tcPr>
          <w:p w:rsidR="008E273C" w:rsidRDefault="008E273C" w:rsidP="00F708F0">
            <w:pPr>
              <w:pStyle w:val="BodyText"/>
            </w:pPr>
            <w:r>
              <w:t>26,118</w:t>
            </w:r>
          </w:p>
        </w:tc>
        <w:tc>
          <w:tcPr>
            <w:tcW w:w="877" w:type="pct"/>
          </w:tcPr>
          <w:p w:rsidR="008E273C" w:rsidRDefault="008E273C" w:rsidP="00F708F0">
            <w:pPr>
              <w:pStyle w:val="BodyText"/>
            </w:pPr>
            <w:r>
              <w:t>27,700</w:t>
            </w:r>
          </w:p>
        </w:tc>
        <w:tc>
          <w:tcPr>
            <w:tcW w:w="878" w:type="pct"/>
          </w:tcPr>
          <w:p w:rsidR="008E273C" w:rsidRDefault="008E273C" w:rsidP="00F708F0">
            <w:pPr>
              <w:pStyle w:val="BodyText"/>
            </w:pPr>
            <w:r>
              <w:t>(1,582)</w:t>
            </w:r>
          </w:p>
        </w:tc>
      </w:tr>
      <w:tr w:rsidR="008E273C" w:rsidTr="00F708F0">
        <w:trPr>
          <w:trHeight w:val="229"/>
        </w:trPr>
        <w:tc>
          <w:tcPr>
            <w:tcW w:w="2207" w:type="pct"/>
          </w:tcPr>
          <w:p w:rsidR="008E273C" w:rsidRDefault="008E273C" w:rsidP="00F708F0">
            <w:pPr>
              <w:pStyle w:val="BodyText"/>
            </w:pPr>
            <w:r>
              <w:rPr>
                <w:rStyle w:val="Bold"/>
              </w:rPr>
              <w:t>Departmental total</w:t>
            </w:r>
          </w:p>
        </w:tc>
        <w:tc>
          <w:tcPr>
            <w:tcW w:w="1037" w:type="pct"/>
          </w:tcPr>
          <w:p w:rsidR="008E273C" w:rsidRDefault="008E273C" w:rsidP="00F708F0">
            <w:pPr>
              <w:pStyle w:val="BodyText"/>
            </w:pPr>
            <w:r>
              <w:rPr>
                <w:rStyle w:val="Bold"/>
              </w:rPr>
              <w:t>442,336</w:t>
            </w:r>
          </w:p>
        </w:tc>
        <w:tc>
          <w:tcPr>
            <w:tcW w:w="877" w:type="pct"/>
          </w:tcPr>
          <w:p w:rsidR="008E273C" w:rsidRDefault="008E273C" w:rsidP="00F708F0">
            <w:pPr>
              <w:pStyle w:val="BodyText"/>
            </w:pPr>
            <w:r>
              <w:rPr>
                <w:rStyle w:val="Bold"/>
              </w:rPr>
              <w:t>433,622</w:t>
            </w:r>
          </w:p>
        </w:tc>
        <w:tc>
          <w:tcPr>
            <w:tcW w:w="878" w:type="pct"/>
          </w:tcPr>
          <w:p w:rsidR="008E273C" w:rsidRDefault="008E273C" w:rsidP="00F708F0">
            <w:pPr>
              <w:pStyle w:val="BodyText"/>
            </w:pPr>
            <w:r>
              <w:rPr>
                <w:rStyle w:val="Bold"/>
              </w:rPr>
              <w:t>8,714</w:t>
            </w:r>
          </w:p>
        </w:tc>
      </w:tr>
      <w:tr w:rsidR="008E273C" w:rsidTr="00F708F0">
        <w:trPr>
          <w:trHeight w:val="229"/>
        </w:trPr>
        <w:tc>
          <w:tcPr>
            <w:tcW w:w="2207" w:type="pct"/>
          </w:tcPr>
          <w:p w:rsidR="008E273C" w:rsidRDefault="008E273C" w:rsidP="00F708F0">
            <w:pPr>
              <w:pStyle w:val="BodyText"/>
            </w:pPr>
            <w:r>
              <w:rPr>
                <w:rStyle w:val="Bold"/>
              </w:rPr>
              <w:t>Total expenses for Program 1.3</w:t>
            </w:r>
          </w:p>
        </w:tc>
        <w:tc>
          <w:tcPr>
            <w:tcW w:w="1037" w:type="pct"/>
          </w:tcPr>
          <w:p w:rsidR="008E273C" w:rsidRDefault="008E273C" w:rsidP="00F708F0">
            <w:pPr>
              <w:pStyle w:val="BodyText"/>
            </w:pPr>
            <w:r>
              <w:rPr>
                <w:rStyle w:val="Bold"/>
              </w:rPr>
              <w:t>2,183,053</w:t>
            </w:r>
          </w:p>
        </w:tc>
        <w:tc>
          <w:tcPr>
            <w:tcW w:w="877" w:type="pct"/>
          </w:tcPr>
          <w:p w:rsidR="008E273C" w:rsidRDefault="008E273C" w:rsidP="00F708F0">
            <w:pPr>
              <w:pStyle w:val="BodyText"/>
            </w:pPr>
            <w:r>
              <w:rPr>
                <w:rStyle w:val="Bold"/>
              </w:rPr>
              <w:t>2,400,572</w:t>
            </w:r>
          </w:p>
        </w:tc>
        <w:tc>
          <w:tcPr>
            <w:tcW w:w="878" w:type="pct"/>
          </w:tcPr>
          <w:p w:rsidR="008E273C" w:rsidRDefault="008E273C" w:rsidP="00F708F0">
            <w:pPr>
              <w:pStyle w:val="BodyText"/>
            </w:pPr>
            <w:r>
              <w:rPr>
                <w:rStyle w:val="Bold"/>
              </w:rPr>
              <w:t>(217,519)</w:t>
            </w:r>
          </w:p>
        </w:tc>
      </w:tr>
      <w:tr w:rsidR="008E273C" w:rsidTr="00F708F0">
        <w:trPr>
          <w:trHeight w:val="229"/>
        </w:trPr>
        <w:tc>
          <w:tcPr>
            <w:tcW w:w="2207" w:type="pct"/>
          </w:tcPr>
          <w:p w:rsidR="008E273C" w:rsidRDefault="008E273C" w:rsidP="00F708F0">
            <w:pPr>
              <w:pStyle w:val="BodyText"/>
            </w:pPr>
            <w:r>
              <w:rPr>
                <w:rStyle w:val="Bold"/>
              </w:rPr>
              <w:t>Outcome 1 totals by appropriation type</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rPr>
                <w:rStyle w:val="Bold"/>
              </w:rPr>
              <w:t>Administered expenses</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t>Ordinary annual services (Appropriation Act Nos. 1 and 3)</w:t>
            </w:r>
          </w:p>
        </w:tc>
        <w:tc>
          <w:tcPr>
            <w:tcW w:w="1037" w:type="pct"/>
          </w:tcPr>
          <w:p w:rsidR="008E273C" w:rsidRDefault="008E273C" w:rsidP="00F708F0">
            <w:pPr>
              <w:pStyle w:val="BodyText"/>
            </w:pPr>
            <w:r>
              <w:t>1,642</w:t>
            </w:r>
          </w:p>
        </w:tc>
        <w:tc>
          <w:tcPr>
            <w:tcW w:w="877" w:type="pct"/>
          </w:tcPr>
          <w:p w:rsidR="008E273C" w:rsidRDefault="008E273C" w:rsidP="00F708F0">
            <w:pPr>
              <w:pStyle w:val="BodyText"/>
            </w:pPr>
            <w:r>
              <w:t>1,101</w:t>
            </w:r>
          </w:p>
        </w:tc>
        <w:tc>
          <w:tcPr>
            <w:tcW w:w="878" w:type="pct"/>
          </w:tcPr>
          <w:p w:rsidR="008E273C" w:rsidRDefault="008E273C" w:rsidP="00F708F0">
            <w:pPr>
              <w:pStyle w:val="BodyText"/>
            </w:pPr>
            <w:r>
              <w:t>541</w:t>
            </w:r>
          </w:p>
        </w:tc>
      </w:tr>
      <w:tr w:rsidR="008E273C" w:rsidTr="00F708F0">
        <w:trPr>
          <w:trHeight w:val="229"/>
        </w:trPr>
        <w:tc>
          <w:tcPr>
            <w:tcW w:w="2207" w:type="pct"/>
          </w:tcPr>
          <w:p w:rsidR="008E273C" w:rsidRDefault="008E273C" w:rsidP="00F708F0">
            <w:pPr>
              <w:pStyle w:val="BodyText"/>
            </w:pPr>
            <w:r>
              <w:t>Special accounts</w:t>
            </w:r>
          </w:p>
        </w:tc>
        <w:tc>
          <w:tcPr>
            <w:tcW w:w="1037" w:type="pct"/>
          </w:tcPr>
          <w:p w:rsidR="008E273C" w:rsidRDefault="008E273C" w:rsidP="00F708F0">
            <w:pPr>
              <w:pStyle w:val="BodyText"/>
            </w:pPr>
            <w:r>
              <w:t>1,636,510</w:t>
            </w:r>
          </w:p>
        </w:tc>
        <w:tc>
          <w:tcPr>
            <w:tcW w:w="877" w:type="pct"/>
          </w:tcPr>
          <w:p w:rsidR="008E273C" w:rsidRDefault="008E273C" w:rsidP="00F708F0">
            <w:pPr>
              <w:pStyle w:val="BodyText"/>
            </w:pPr>
            <w:r>
              <w:t>1,914,645</w:t>
            </w:r>
          </w:p>
        </w:tc>
        <w:tc>
          <w:tcPr>
            <w:tcW w:w="878" w:type="pct"/>
          </w:tcPr>
          <w:p w:rsidR="008E273C" w:rsidRDefault="008E273C" w:rsidP="00F708F0">
            <w:pPr>
              <w:pStyle w:val="BodyText"/>
            </w:pPr>
            <w:r>
              <w:t>(278,135)</w:t>
            </w:r>
          </w:p>
        </w:tc>
      </w:tr>
      <w:tr w:rsidR="008E273C" w:rsidTr="00F708F0">
        <w:trPr>
          <w:trHeight w:val="229"/>
        </w:trPr>
        <w:tc>
          <w:tcPr>
            <w:tcW w:w="2207" w:type="pct"/>
          </w:tcPr>
          <w:p w:rsidR="008E273C" w:rsidRDefault="008E273C" w:rsidP="00F708F0">
            <w:pPr>
              <w:pStyle w:val="BodyText"/>
            </w:pPr>
            <w:r>
              <w:t>Expenses not requiring appropriation in the Budget year</w:t>
            </w:r>
          </w:p>
        </w:tc>
        <w:tc>
          <w:tcPr>
            <w:tcW w:w="1037" w:type="pct"/>
          </w:tcPr>
          <w:p w:rsidR="008E273C" w:rsidRDefault="008E273C" w:rsidP="00F708F0">
            <w:pPr>
              <w:pStyle w:val="BodyText"/>
            </w:pPr>
            <w:r>
              <w:t>102,565</w:t>
            </w:r>
          </w:p>
        </w:tc>
        <w:tc>
          <w:tcPr>
            <w:tcW w:w="877" w:type="pct"/>
          </w:tcPr>
          <w:p w:rsidR="008E273C" w:rsidRDefault="008E273C" w:rsidP="00F708F0">
            <w:pPr>
              <w:pStyle w:val="BodyText"/>
            </w:pPr>
            <w:r>
              <w:t>51,376</w:t>
            </w:r>
          </w:p>
        </w:tc>
        <w:tc>
          <w:tcPr>
            <w:tcW w:w="878" w:type="pct"/>
          </w:tcPr>
          <w:p w:rsidR="008E273C" w:rsidRDefault="008E273C" w:rsidP="00F708F0">
            <w:pPr>
              <w:pStyle w:val="BodyText"/>
            </w:pPr>
            <w:r>
              <w:t>51,189</w:t>
            </w:r>
          </w:p>
        </w:tc>
      </w:tr>
      <w:tr w:rsidR="008E273C" w:rsidTr="00F708F0">
        <w:trPr>
          <w:trHeight w:val="229"/>
        </w:trPr>
        <w:tc>
          <w:tcPr>
            <w:tcW w:w="2207" w:type="pct"/>
          </w:tcPr>
          <w:p w:rsidR="008E273C" w:rsidRDefault="008E273C" w:rsidP="00F708F0">
            <w:pPr>
              <w:pStyle w:val="BodyText"/>
            </w:pPr>
            <w:r>
              <w:rPr>
                <w:rStyle w:val="Bold"/>
              </w:rPr>
              <w:lastRenderedPageBreak/>
              <w:t>Administered total</w:t>
            </w:r>
          </w:p>
        </w:tc>
        <w:tc>
          <w:tcPr>
            <w:tcW w:w="1037" w:type="pct"/>
          </w:tcPr>
          <w:p w:rsidR="008E273C" w:rsidRDefault="008E273C" w:rsidP="00F708F0">
            <w:pPr>
              <w:pStyle w:val="BodyText"/>
            </w:pPr>
            <w:r>
              <w:rPr>
                <w:rStyle w:val="Bold"/>
              </w:rPr>
              <w:t>1,740,717</w:t>
            </w:r>
          </w:p>
        </w:tc>
        <w:tc>
          <w:tcPr>
            <w:tcW w:w="877" w:type="pct"/>
          </w:tcPr>
          <w:p w:rsidR="008E273C" w:rsidRDefault="008E273C" w:rsidP="00F708F0">
            <w:pPr>
              <w:pStyle w:val="BodyText"/>
            </w:pPr>
            <w:r>
              <w:rPr>
                <w:rStyle w:val="Bold"/>
              </w:rPr>
              <w:t>1,967,122</w:t>
            </w:r>
          </w:p>
        </w:tc>
        <w:tc>
          <w:tcPr>
            <w:tcW w:w="878" w:type="pct"/>
          </w:tcPr>
          <w:p w:rsidR="008E273C" w:rsidRDefault="008E273C" w:rsidP="00F708F0">
            <w:pPr>
              <w:pStyle w:val="BodyText"/>
            </w:pPr>
            <w:r>
              <w:rPr>
                <w:rStyle w:val="Bold"/>
              </w:rPr>
              <w:t>(226,405)</w:t>
            </w:r>
          </w:p>
        </w:tc>
      </w:tr>
      <w:tr w:rsidR="008E273C" w:rsidTr="00F708F0">
        <w:trPr>
          <w:trHeight w:val="229"/>
        </w:trPr>
        <w:tc>
          <w:tcPr>
            <w:tcW w:w="2207" w:type="pct"/>
          </w:tcPr>
          <w:p w:rsidR="008E273C" w:rsidRDefault="008E273C" w:rsidP="00F708F0">
            <w:pPr>
              <w:pStyle w:val="BodyText"/>
            </w:pPr>
            <w:r>
              <w:rPr>
                <w:rStyle w:val="Bold"/>
              </w:rPr>
              <w:t>Departmental expenses</w:t>
            </w:r>
          </w:p>
        </w:tc>
        <w:tc>
          <w:tcPr>
            <w:tcW w:w="1037" w:type="pct"/>
          </w:tcPr>
          <w:p w:rsidR="008E273C" w:rsidRDefault="008E273C" w:rsidP="00F708F0">
            <w:pPr>
              <w:pStyle w:val="BodyText"/>
            </w:pPr>
          </w:p>
        </w:tc>
        <w:tc>
          <w:tcPr>
            <w:tcW w:w="877" w:type="pct"/>
          </w:tcPr>
          <w:p w:rsidR="008E273C" w:rsidRDefault="008E273C" w:rsidP="00F708F0">
            <w:pPr>
              <w:pStyle w:val="BodyText"/>
            </w:pPr>
          </w:p>
        </w:tc>
        <w:tc>
          <w:tcPr>
            <w:tcW w:w="878" w:type="pct"/>
          </w:tcPr>
          <w:p w:rsidR="008E273C" w:rsidRDefault="008E273C" w:rsidP="00F708F0">
            <w:pPr>
              <w:pStyle w:val="BodyText"/>
            </w:pPr>
          </w:p>
        </w:tc>
      </w:tr>
      <w:tr w:rsidR="008E273C" w:rsidTr="00F708F0">
        <w:trPr>
          <w:trHeight w:val="229"/>
        </w:trPr>
        <w:tc>
          <w:tcPr>
            <w:tcW w:w="2207" w:type="pct"/>
          </w:tcPr>
          <w:p w:rsidR="008E273C" w:rsidRDefault="008E273C" w:rsidP="00F708F0">
            <w:pPr>
              <w:pStyle w:val="BodyText"/>
            </w:pPr>
            <w:r>
              <w:t>Departmental appropriation</w:t>
            </w:r>
            <w:r>
              <w:rPr>
                <w:vertAlign w:val="superscript"/>
              </w:rPr>
              <w:t>2</w:t>
            </w:r>
          </w:p>
        </w:tc>
        <w:tc>
          <w:tcPr>
            <w:tcW w:w="1037" w:type="pct"/>
          </w:tcPr>
          <w:p w:rsidR="008E273C" w:rsidRDefault="008E273C" w:rsidP="00F708F0">
            <w:pPr>
              <w:pStyle w:val="BodyText"/>
            </w:pPr>
            <w:r>
              <w:t>4,878,089</w:t>
            </w:r>
          </w:p>
        </w:tc>
        <w:tc>
          <w:tcPr>
            <w:tcW w:w="877" w:type="pct"/>
          </w:tcPr>
          <w:p w:rsidR="008E273C" w:rsidRDefault="008E273C" w:rsidP="00F708F0">
            <w:pPr>
              <w:pStyle w:val="BodyText"/>
            </w:pPr>
            <w:r>
              <w:t>5,064,248</w:t>
            </w:r>
          </w:p>
        </w:tc>
        <w:tc>
          <w:tcPr>
            <w:tcW w:w="878" w:type="pct"/>
          </w:tcPr>
          <w:p w:rsidR="008E273C" w:rsidRDefault="008E273C" w:rsidP="00F708F0">
            <w:pPr>
              <w:pStyle w:val="BodyText"/>
            </w:pPr>
            <w:r>
              <w:t>(186,159)</w:t>
            </w:r>
          </w:p>
        </w:tc>
      </w:tr>
      <w:tr w:rsidR="008E273C" w:rsidTr="00F708F0">
        <w:trPr>
          <w:trHeight w:val="229"/>
        </w:trPr>
        <w:tc>
          <w:tcPr>
            <w:tcW w:w="2207" w:type="pct"/>
          </w:tcPr>
          <w:p w:rsidR="008E273C" w:rsidRDefault="008E273C" w:rsidP="00F708F0">
            <w:pPr>
              <w:pStyle w:val="BodyText"/>
            </w:pPr>
            <w:r>
              <w:rPr>
                <w:spacing w:val="-2"/>
              </w:rPr>
              <w:t>Expenses not requiring appropriation in the Budget year</w:t>
            </w:r>
            <w:r>
              <w:rPr>
                <w:spacing w:val="-2"/>
                <w:vertAlign w:val="superscript"/>
              </w:rPr>
              <w:t>3</w:t>
            </w:r>
          </w:p>
        </w:tc>
        <w:tc>
          <w:tcPr>
            <w:tcW w:w="1037" w:type="pct"/>
          </w:tcPr>
          <w:p w:rsidR="008E273C" w:rsidRDefault="008E273C" w:rsidP="00F708F0">
            <w:pPr>
              <w:pStyle w:val="BodyText"/>
            </w:pPr>
            <w:r>
              <w:t>306,775</w:t>
            </w:r>
          </w:p>
        </w:tc>
        <w:tc>
          <w:tcPr>
            <w:tcW w:w="877" w:type="pct"/>
          </w:tcPr>
          <w:p w:rsidR="008E273C" w:rsidRDefault="008E273C" w:rsidP="00F708F0">
            <w:pPr>
              <w:pStyle w:val="BodyText"/>
            </w:pPr>
            <w:r>
              <w:t>351,654</w:t>
            </w:r>
          </w:p>
        </w:tc>
        <w:tc>
          <w:tcPr>
            <w:tcW w:w="878" w:type="pct"/>
          </w:tcPr>
          <w:p w:rsidR="008E273C" w:rsidRDefault="008E273C" w:rsidP="00F708F0">
            <w:pPr>
              <w:pStyle w:val="BodyText"/>
            </w:pPr>
            <w:r>
              <w:t>(44,879)</w:t>
            </w:r>
          </w:p>
        </w:tc>
      </w:tr>
      <w:tr w:rsidR="008E273C" w:rsidTr="00F708F0">
        <w:trPr>
          <w:trHeight w:val="229"/>
        </w:trPr>
        <w:tc>
          <w:tcPr>
            <w:tcW w:w="2207" w:type="pct"/>
          </w:tcPr>
          <w:p w:rsidR="008E273C" w:rsidRDefault="008E273C" w:rsidP="00F708F0">
            <w:pPr>
              <w:pStyle w:val="BodyText"/>
            </w:pPr>
            <w:r>
              <w:rPr>
                <w:rStyle w:val="Bold"/>
              </w:rPr>
              <w:t>Departmental total</w:t>
            </w:r>
          </w:p>
        </w:tc>
        <w:tc>
          <w:tcPr>
            <w:tcW w:w="1037" w:type="pct"/>
          </w:tcPr>
          <w:p w:rsidR="008E273C" w:rsidRDefault="008E273C" w:rsidP="00F708F0">
            <w:pPr>
              <w:pStyle w:val="BodyText"/>
            </w:pPr>
            <w:r>
              <w:rPr>
                <w:rStyle w:val="Bold"/>
              </w:rPr>
              <w:t>5,184,864</w:t>
            </w:r>
          </w:p>
        </w:tc>
        <w:tc>
          <w:tcPr>
            <w:tcW w:w="877" w:type="pct"/>
          </w:tcPr>
          <w:p w:rsidR="008E273C" w:rsidRDefault="008E273C" w:rsidP="00F708F0">
            <w:pPr>
              <w:pStyle w:val="BodyText"/>
            </w:pPr>
            <w:r>
              <w:rPr>
                <w:rStyle w:val="Bold"/>
              </w:rPr>
              <w:t>5,415,902</w:t>
            </w:r>
          </w:p>
        </w:tc>
        <w:tc>
          <w:tcPr>
            <w:tcW w:w="878" w:type="pct"/>
          </w:tcPr>
          <w:p w:rsidR="008E273C" w:rsidRDefault="008E273C" w:rsidP="00F708F0">
            <w:pPr>
              <w:pStyle w:val="BodyText"/>
            </w:pPr>
            <w:r>
              <w:rPr>
                <w:rStyle w:val="Bold"/>
              </w:rPr>
              <w:t>(231,038)</w:t>
            </w:r>
          </w:p>
        </w:tc>
      </w:tr>
      <w:tr w:rsidR="008E273C" w:rsidTr="00F708F0">
        <w:trPr>
          <w:trHeight w:val="229"/>
        </w:trPr>
        <w:tc>
          <w:tcPr>
            <w:tcW w:w="2207" w:type="pct"/>
          </w:tcPr>
          <w:p w:rsidR="008E273C" w:rsidRDefault="008E273C" w:rsidP="00F708F0">
            <w:pPr>
              <w:pStyle w:val="BodyText"/>
            </w:pPr>
            <w:r>
              <w:rPr>
                <w:rStyle w:val="Bold"/>
              </w:rPr>
              <w:t>Total expenses for Outcome 1</w:t>
            </w:r>
          </w:p>
        </w:tc>
        <w:tc>
          <w:tcPr>
            <w:tcW w:w="1037" w:type="pct"/>
          </w:tcPr>
          <w:p w:rsidR="008E273C" w:rsidRDefault="008E273C" w:rsidP="00F708F0">
            <w:pPr>
              <w:pStyle w:val="BodyText"/>
            </w:pPr>
            <w:r>
              <w:rPr>
                <w:rStyle w:val="Bold"/>
              </w:rPr>
              <w:t>6,925,581</w:t>
            </w:r>
          </w:p>
        </w:tc>
        <w:tc>
          <w:tcPr>
            <w:tcW w:w="877" w:type="pct"/>
          </w:tcPr>
          <w:p w:rsidR="008E273C" w:rsidRDefault="008E273C" w:rsidP="00F708F0">
            <w:pPr>
              <w:pStyle w:val="BodyText"/>
            </w:pPr>
            <w:r>
              <w:rPr>
                <w:rStyle w:val="Bold"/>
              </w:rPr>
              <w:t>7,383,024</w:t>
            </w:r>
          </w:p>
        </w:tc>
        <w:tc>
          <w:tcPr>
            <w:tcW w:w="878" w:type="pct"/>
          </w:tcPr>
          <w:p w:rsidR="008E273C" w:rsidRDefault="008E273C" w:rsidP="00F708F0">
            <w:pPr>
              <w:pStyle w:val="BodyText"/>
            </w:pPr>
            <w:r>
              <w:rPr>
                <w:rStyle w:val="Bold"/>
              </w:rPr>
              <w:t>(457,443)</w:t>
            </w:r>
          </w:p>
        </w:tc>
      </w:tr>
      <w:tr w:rsidR="008E273C" w:rsidTr="00F708F0">
        <w:trPr>
          <w:trHeight w:val="229"/>
        </w:trPr>
        <w:tc>
          <w:tcPr>
            <w:tcW w:w="2207" w:type="pct"/>
          </w:tcPr>
          <w:p w:rsidR="008E273C" w:rsidRDefault="008E273C" w:rsidP="00F708F0">
            <w:pPr>
              <w:pStyle w:val="BodyText"/>
            </w:pPr>
          </w:p>
        </w:tc>
        <w:tc>
          <w:tcPr>
            <w:tcW w:w="1037" w:type="pct"/>
          </w:tcPr>
          <w:p w:rsidR="008E273C" w:rsidRDefault="008E273C" w:rsidP="00F708F0">
            <w:pPr>
              <w:pStyle w:val="BodyText"/>
            </w:pPr>
            <w:r>
              <w:t>Budget</w:t>
            </w:r>
            <w:r>
              <w:rPr>
                <w:vertAlign w:val="superscript"/>
              </w:rPr>
              <w:t>1</w:t>
            </w:r>
          </w:p>
        </w:tc>
        <w:tc>
          <w:tcPr>
            <w:tcW w:w="877" w:type="pct"/>
          </w:tcPr>
          <w:p w:rsidR="008E273C" w:rsidRDefault="008E273C" w:rsidP="00F708F0">
            <w:pPr>
              <w:pStyle w:val="BodyText"/>
            </w:pPr>
            <w:r>
              <w:t>Actual</w:t>
            </w:r>
          </w:p>
        </w:tc>
        <w:tc>
          <w:tcPr>
            <w:tcW w:w="878" w:type="pct"/>
          </w:tcPr>
          <w:p w:rsidR="008E273C" w:rsidRDefault="008E273C" w:rsidP="00F708F0">
            <w:pPr>
              <w:pStyle w:val="BodyText"/>
            </w:pPr>
            <w:r>
              <w:t>Variation</w:t>
            </w:r>
          </w:p>
        </w:tc>
      </w:tr>
      <w:tr w:rsidR="008E273C" w:rsidTr="00F708F0">
        <w:trPr>
          <w:trHeight w:val="229"/>
        </w:trPr>
        <w:tc>
          <w:tcPr>
            <w:tcW w:w="2207" w:type="pct"/>
          </w:tcPr>
          <w:p w:rsidR="008E273C" w:rsidRDefault="008E273C" w:rsidP="00F708F0">
            <w:pPr>
              <w:pStyle w:val="BodyText"/>
            </w:pPr>
            <w:r>
              <w:t>Average staffing level (number)</w:t>
            </w:r>
          </w:p>
        </w:tc>
        <w:tc>
          <w:tcPr>
            <w:tcW w:w="1037" w:type="pct"/>
          </w:tcPr>
          <w:p w:rsidR="008E273C" w:rsidRDefault="008E273C" w:rsidP="00F708F0">
            <w:pPr>
              <w:pStyle w:val="BodyText"/>
            </w:pPr>
            <w:r>
              <w:rPr>
                <w:rStyle w:val="Bold"/>
              </w:rPr>
              <w:t>27,325</w:t>
            </w:r>
          </w:p>
        </w:tc>
        <w:tc>
          <w:tcPr>
            <w:tcW w:w="877" w:type="pct"/>
          </w:tcPr>
          <w:p w:rsidR="008E273C" w:rsidRDefault="008E273C" w:rsidP="00F708F0">
            <w:pPr>
              <w:pStyle w:val="BodyText"/>
            </w:pPr>
            <w:r>
              <w:rPr>
                <w:rStyle w:val="Bold"/>
              </w:rPr>
              <w:t>26,682</w:t>
            </w:r>
          </w:p>
        </w:tc>
        <w:tc>
          <w:tcPr>
            <w:tcW w:w="878" w:type="pct"/>
          </w:tcPr>
          <w:p w:rsidR="008E273C" w:rsidRDefault="008E273C" w:rsidP="00F708F0">
            <w:pPr>
              <w:pStyle w:val="BodyText"/>
            </w:pPr>
            <w:r>
              <w:rPr>
                <w:rStyle w:val="Bold"/>
              </w:rPr>
              <w:t>643</w:t>
            </w:r>
          </w:p>
        </w:tc>
      </w:tr>
    </w:tbl>
    <w:p w:rsidR="008E273C" w:rsidRDefault="008E273C" w:rsidP="00F708F0">
      <w:pPr>
        <w:pStyle w:val="ListNumber"/>
        <w:numPr>
          <w:ilvl w:val="0"/>
          <w:numId w:val="16"/>
        </w:numPr>
      </w:pPr>
      <w:r>
        <w:t>2019–20 Budget, including any subsequent adjustment made at Additional Estimates.</w:t>
      </w:r>
    </w:p>
    <w:p w:rsidR="008E273C" w:rsidRDefault="008E273C" w:rsidP="00F708F0">
      <w:pPr>
        <w:pStyle w:val="ListNumber"/>
      </w:pPr>
      <w:r>
        <w:t>Departmental appropriation combines ordinary annual services (Appropriation Acts No.1 and No.3) and revenue from independent sources (section 74).</w:t>
      </w:r>
    </w:p>
    <w:p w:rsidR="008E273C" w:rsidRDefault="008E273C" w:rsidP="00F708F0">
      <w:pPr>
        <w:pStyle w:val="ListNumber"/>
      </w:pPr>
      <w:r>
        <w:t>Includes unfunded depreciation and amortisation expenses (excluding depreciation of right-of-use assets) and resources received free of charge.</w:t>
      </w:r>
    </w:p>
    <w:p w:rsidR="008E273C" w:rsidRDefault="008E273C" w:rsidP="008E273C">
      <w:pPr>
        <w:pStyle w:val="Heading1"/>
      </w:pPr>
      <w:r>
        <w:t>Appendix B: Staffing statistics and remuneration</w:t>
      </w:r>
    </w:p>
    <w:p w:rsidR="008E273C" w:rsidRDefault="008E273C" w:rsidP="008E273C">
      <w:pPr>
        <w:pStyle w:val="Heading2"/>
      </w:pPr>
      <w:r>
        <w:t>Staff profile</w:t>
      </w:r>
    </w:p>
    <w:p w:rsidR="008E273C" w:rsidRDefault="008E273C" w:rsidP="008E273C">
      <w:pPr>
        <w:pStyle w:val="BodyText"/>
      </w:pPr>
      <w:r>
        <w:t>This section includes staffing statistics for 30 June 2020 and 2019. It has statistics on ongoing and non-ongoing employees by full-time, part-time, gender and location and employees who identify as Indigenous. There is no table for performance pay as this was not paid to any Services Australia employees during the reporting year.</w:t>
      </w:r>
    </w:p>
    <w:p w:rsidR="008E273C" w:rsidRPr="00F708F0" w:rsidRDefault="00F708F0" w:rsidP="00F708F0">
      <w:pPr>
        <w:pStyle w:val="BodyText"/>
        <w:rPr>
          <w:b/>
        </w:rPr>
      </w:pPr>
      <w:r w:rsidRPr="00F708F0">
        <w:rPr>
          <w:b/>
        </w:rPr>
        <w:t>Table 58:</w:t>
      </w:r>
      <w:r w:rsidR="008E273C" w:rsidRPr="00F708F0">
        <w:rPr>
          <w:b/>
        </w:rPr>
        <w:t xml:space="preserve"> Australian Public Service Act ongoing employees at 30 June 2020</w:t>
      </w:r>
    </w:p>
    <w:tbl>
      <w:tblPr>
        <w:tblStyle w:val="TableGrid"/>
        <w:tblW w:w="5000" w:type="pct"/>
        <w:tblLook w:val="0000" w:firstRow="0" w:lastRow="0" w:firstColumn="0" w:lastColumn="0" w:noHBand="0" w:noVBand="0"/>
        <w:tblCaption w:val="Table 58: Australian Public Service Act ongoing employees at 30 June 2020"/>
        <w:tblDescription w:val="Table 58: Australian Public Service Act ongoing employees at 30 June 2020"/>
      </w:tblPr>
      <w:tblGrid>
        <w:gridCol w:w="1244"/>
        <w:gridCol w:w="958"/>
        <w:gridCol w:w="958"/>
        <w:gridCol w:w="960"/>
        <w:gridCol w:w="958"/>
        <w:gridCol w:w="959"/>
        <w:gridCol w:w="977"/>
        <w:gridCol w:w="961"/>
        <w:gridCol w:w="959"/>
        <w:gridCol w:w="1201"/>
        <w:gridCol w:w="961"/>
      </w:tblGrid>
      <w:tr w:rsidR="008E273C" w:rsidTr="00F708F0">
        <w:trPr>
          <w:trHeight w:val="60"/>
          <w:tblHeader/>
        </w:trPr>
        <w:tc>
          <w:tcPr>
            <w:tcW w:w="517" w:type="pct"/>
          </w:tcPr>
          <w:p w:rsidR="008E273C" w:rsidRDefault="008E273C" w:rsidP="00F708F0">
            <w:pPr>
              <w:pStyle w:val="BodyText"/>
            </w:pPr>
          </w:p>
        </w:tc>
        <w:tc>
          <w:tcPr>
            <w:tcW w:w="1312" w:type="pct"/>
            <w:gridSpan w:val="3"/>
          </w:tcPr>
          <w:p w:rsidR="008E273C" w:rsidRDefault="008E273C" w:rsidP="00F708F0">
            <w:pPr>
              <w:pStyle w:val="BodyText"/>
            </w:pPr>
            <w:r>
              <w:t>Male</w:t>
            </w:r>
          </w:p>
        </w:tc>
        <w:tc>
          <w:tcPr>
            <w:tcW w:w="1312" w:type="pct"/>
            <w:gridSpan w:val="3"/>
          </w:tcPr>
          <w:p w:rsidR="008E273C" w:rsidRDefault="008E273C" w:rsidP="00F708F0">
            <w:pPr>
              <w:pStyle w:val="BodyText"/>
            </w:pPr>
            <w:r>
              <w:t>Female</w:t>
            </w:r>
          </w:p>
        </w:tc>
        <w:tc>
          <w:tcPr>
            <w:tcW w:w="1421" w:type="pct"/>
            <w:gridSpan w:val="3"/>
          </w:tcPr>
          <w:p w:rsidR="008E273C" w:rsidRDefault="008E273C" w:rsidP="00F708F0">
            <w:pPr>
              <w:pStyle w:val="BodyText"/>
            </w:pPr>
            <w:r>
              <w:t>Non-binary</w:t>
            </w:r>
          </w:p>
        </w:tc>
        <w:tc>
          <w:tcPr>
            <w:tcW w:w="438" w:type="pct"/>
          </w:tcPr>
          <w:p w:rsidR="008E273C" w:rsidRDefault="008E273C" w:rsidP="00F708F0">
            <w:pPr>
              <w:pStyle w:val="BodyText"/>
            </w:pPr>
          </w:p>
        </w:tc>
      </w:tr>
      <w:tr w:rsidR="008E273C" w:rsidTr="00F708F0">
        <w:trPr>
          <w:trHeight w:val="60"/>
          <w:tblHeader/>
        </w:trPr>
        <w:tc>
          <w:tcPr>
            <w:tcW w:w="517" w:type="pct"/>
          </w:tcPr>
          <w:p w:rsidR="008E273C" w:rsidRDefault="008E273C" w:rsidP="00F708F0">
            <w:pPr>
              <w:pStyle w:val="BodyText"/>
            </w:pPr>
          </w:p>
        </w:tc>
        <w:tc>
          <w:tcPr>
            <w:tcW w:w="437" w:type="pct"/>
          </w:tcPr>
          <w:p w:rsidR="008E273C" w:rsidRDefault="008E273C" w:rsidP="00F708F0">
            <w:pPr>
              <w:pStyle w:val="BodyText"/>
            </w:pPr>
            <w:r>
              <w:rPr>
                <w:rStyle w:val="Bold"/>
              </w:rPr>
              <w:t>Full-time</w:t>
            </w:r>
          </w:p>
        </w:tc>
        <w:tc>
          <w:tcPr>
            <w:tcW w:w="437" w:type="pct"/>
          </w:tcPr>
          <w:p w:rsidR="008E273C" w:rsidRDefault="008E273C" w:rsidP="00F708F0">
            <w:pPr>
              <w:pStyle w:val="BodyText"/>
            </w:pPr>
            <w:r>
              <w:rPr>
                <w:rStyle w:val="Bold"/>
              </w:rPr>
              <w:t>Part-time</w:t>
            </w:r>
          </w:p>
        </w:tc>
        <w:tc>
          <w:tcPr>
            <w:tcW w:w="437" w:type="pct"/>
          </w:tcPr>
          <w:p w:rsidR="008E273C" w:rsidRDefault="00AC4959" w:rsidP="00F708F0">
            <w:pPr>
              <w:pStyle w:val="BodyText"/>
            </w:pPr>
            <w:r>
              <w:rPr>
                <w:rStyle w:val="Bold"/>
              </w:rPr>
              <w:t>Total male</w:t>
            </w:r>
          </w:p>
        </w:tc>
        <w:tc>
          <w:tcPr>
            <w:tcW w:w="437" w:type="pct"/>
          </w:tcPr>
          <w:p w:rsidR="008E273C" w:rsidRDefault="008E273C" w:rsidP="00F708F0">
            <w:pPr>
              <w:pStyle w:val="BodyText"/>
            </w:pPr>
            <w:r>
              <w:rPr>
                <w:rStyle w:val="Bold"/>
              </w:rPr>
              <w:t>Full-time</w:t>
            </w:r>
          </w:p>
        </w:tc>
        <w:tc>
          <w:tcPr>
            <w:tcW w:w="437" w:type="pct"/>
          </w:tcPr>
          <w:p w:rsidR="008E273C" w:rsidRDefault="008E273C" w:rsidP="00F708F0">
            <w:pPr>
              <w:pStyle w:val="BodyText"/>
            </w:pPr>
            <w:r>
              <w:rPr>
                <w:rStyle w:val="Bold"/>
              </w:rPr>
              <w:t>Part-time</w:t>
            </w:r>
          </w:p>
        </w:tc>
        <w:tc>
          <w:tcPr>
            <w:tcW w:w="437" w:type="pct"/>
          </w:tcPr>
          <w:p w:rsidR="008E273C" w:rsidRDefault="00AC4959" w:rsidP="00F708F0">
            <w:pPr>
              <w:pStyle w:val="BodyText"/>
            </w:pPr>
            <w:r>
              <w:rPr>
                <w:rStyle w:val="Bold"/>
              </w:rPr>
              <w:t>Total female</w:t>
            </w:r>
          </w:p>
        </w:tc>
        <w:tc>
          <w:tcPr>
            <w:tcW w:w="438" w:type="pct"/>
          </w:tcPr>
          <w:p w:rsidR="008E273C" w:rsidRDefault="008E273C" w:rsidP="00F708F0">
            <w:pPr>
              <w:pStyle w:val="BodyText"/>
            </w:pPr>
            <w:r>
              <w:rPr>
                <w:rStyle w:val="Bold"/>
              </w:rPr>
              <w:t>Full-time</w:t>
            </w:r>
          </w:p>
        </w:tc>
        <w:tc>
          <w:tcPr>
            <w:tcW w:w="437" w:type="pct"/>
          </w:tcPr>
          <w:p w:rsidR="008E273C" w:rsidRDefault="008E273C" w:rsidP="00F708F0">
            <w:pPr>
              <w:pStyle w:val="BodyText"/>
            </w:pPr>
            <w:r>
              <w:rPr>
                <w:rStyle w:val="Bold"/>
              </w:rPr>
              <w:t>Part-time</w:t>
            </w:r>
          </w:p>
        </w:tc>
        <w:tc>
          <w:tcPr>
            <w:tcW w:w="545" w:type="pct"/>
          </w:tcPr>
          <w:p w:rsidR="008E273C" w:rsidRDefault="008E273C" w:rsidP="00F708F0">
            <w:pPr>
              <w:pStyle w:val="BodyText"/>
            </w:pPr>
            <w:r>
              <w:rPr>
                <w:rStyle w:val="Bold"/>
              </w:rPr>
              <w:t xml:space="preserve">Total </w:t>
            </w:r>
            <w:r>
              <w:rPr>
                <w:rStyle w:val="Bold"/>
                <w:spacing w:val="-4"/>
              </w:rPr>
              <w:t>Non-binary</w:t>
            </w:r>
          </w:p>
        </w:tc>
        <w:tc>
          <w:tcPr>
            <w:tcW w:w="438" w:type="pct"/>
          </w:tcPr>
          <w:p w:rsidR="008E273C" w:rsidRDefault="008E273C" w:rsidP="00F708F0">
            <w:pPr>
              <w:pStyle w:val="BodyText"/>
            </w:pPr>
            <w:r>
              <w:rPr>
                <w:rStyle w:val="Bold"/>
              </w:rPr>
              <w:t>Total</w:t>
            </w:r>
          </w:p>
        </w:tc>
      </w:tr>
      <w:tr w:rsidR="008E273C" w:rsidTr="00F708F0">
        <w:trPr>
          <w:trHeight w:val="60"/>
        </w:trPr>
        <w:tc>
          <w:tcPr>
            <w:tcW w:w="517" w:type="pct"/>
          </w:tcPr>
          <w:p w:rsidR="008E273C" w:rsidRDefault="008E273C" w:rsidP="00F708F0">
            <w:pPr>
              <w:pStyle w:val="BodyText"/>
            </w:pPr>
            <w:r>
              <w:t>NSW</w:t>
            </w:r>
          </w:p>
        </w:tc>
        <w:tc>
          <w:tcPr>
            <w:tcW w:w="437" w:type="pct"/>
          </w:tcPr>
          <w:p w:rsidR="008E273C" w:rsidRDefault="008E273C" w:rsidP="00F708F0">
            <w:pPr>
              <w:pStyle w:val="BodyText"/>
            </w:pPr>
            <w:r>
              <w:t>1,340</w:t>
            </w:r>
          </w:p>
        </w:tc>
        <w:tc>
          <w:tcPr>
            <w:tcW w:w="437" w:type="pct"/>
          </w:tcPr>
          <w:p w:rsidR="008E273C" w:rsidRDefault="008E273C" w:rsidP="00F708F0">
            <w:pPr>
              <w:pStyle w:val="BodyText"/>
            </w:pPr>
            <w:r>
              <w:t>190</w:t>
            </w:r>
          </w:p>
        </w:tc>
        <w:tc>
          <w:tcPr>
            <w:tcW w:w="437" w:type="pct"/>
          </w:tcPr>
          <w:p w:rsidR="008E273C" w:rsidRDefault="008E273C" w:rsidP="00F708F0">
            <w:pPr>
              <w:pStyle w:val="BodyText"/>
            </w:pPr>
            <w:r>
              <w:t>1,530</w:t>
            </w:r>
          </w:p>
        </w:tc>
        <w:tc>
          <w:tcPr>
            <w:tcW w:w="437" w:type="pct"/>
          </w:tcPr>
          <w:p w:rsidR="008E273C" w:rsidRDefault="008E273C" w:rsidP="00F708F0">
            <w:pPr>
              <w:pStyle w:val="BodyText"/>
            </w:pPr>
            <w:r>
              <w:t>3,246</w:t>
            </w:r>
          </w:p>
        </w:tc>
        <w:tc>
          <w:tcPr>
            <w:tcW w:w="437" w:type="pct"/>
          </w:tcPr>
          <w:p w:rsidR="008E273C" w:rsidRDefault="008E273C" w:rsidP="00F708F0">
            <w:pPr>
              <w:pStyle w:val="BodyText"/>
            </w:pPr>
            <w:r>
              <w:t>2,097</w:t>
            </w:r>
          </w:p>
        </w:tc>
        <w:tc>
          <w:tcPr>
            <w:tcW w:w="437" w:type="pct"/>
          </w:tcPr>
          <w:p w:rsidR="008E273C" w:rsidRDefault="008E273C" w:rsidP="00F708F0">
            <w:pPr>
              <w:pStyle w:val="BodyText"/>
            </w:pPr>
            <w:r>
              <w:t>5,343</w:t>
            </w:r>
          </w:p>
        </w:tc>
        <w:tc>
          <w:tcPr>
            <w:tcW w:w="438" w:type="pct"/>
          </w:tcPr>
          <w:p w:rsidR="008E273C" w:rsidRDefault="008E273C" w:rsidP="00F708F0">
            <w:pPr>
              <w:pStyle w:val="BodyText"/>
            </w:pPr>
            <w:r>
              <w:t>4</w:t>
            </w:r>
          </w:p>
        </w:tc>
        <w:tc>
          <w:tcPr>
            <w:tcW w:w="437" w:type="pct"/>
          </w:tcPr>
          <w:p w:rsidR="008E273C" w:rsidRDefault="008E273C" w:rsidP="00F708F0">
            <w:pPr>
              <w:pStyle w:val="BodyText"/>
            </w:pPr>
            <w:r>
              <w:t>1</w:t>
            </w:r>
          </w:p>
        </w:tc>
        <w:tc>
          <w:tcPr>
            <w:tcW w:w="545" w:type="pct"/>
          </w:tcPr>
          <w:p w:rsidR="008E273C" w:rsidRDefault="008E273C" w:rsidP="00F708F0">
            <w:pPr>
              <w:pStyle w:val="BodyText"/>
            </w:pPr>
            <w:r>
              <w:t>5</w:t>
            </w:r>
          </w:p>
        </w:tc>
        <w:tc>
          <w:tcPr>
            <w:tcW w:w="438" w:type="pct"/>
          </w:tcPr>
          <w:p w:rsidR="008E273C" w:rsidRDefault="008E273C" w:rsidP="00F708F0">
            <w:pPr>
              <w:pStyle w:val="BodyText"/>
            </w:pPr>
            <w:r>
              <w:rPr>
                <w:rStyle w:val="01bodybold"/>
              </w:rPr>
              <w:t>6,878</w:t>
            </w:r>
          </w:p>
        </w:tc>
      </w:tr>
      <w:tr w:rsidR="008E273C" w:rsidTr="00F708F0">
        <w:trPr>
          <w:trHeight w:val="305"/>
        </w:trPr>
        <w:tc>
          <w:tcPr>
            <w:tcW w:w="517" w:type="pct"/>
          </w:tcPr>
          <w:p w:rsidR="008E273C" w:rsidRDefault="008E273C" w:rsidP="00F708F0">
            <w:pPr>
              <w:pStyle w:val="BodyText"/>
            </w:pPr>
            <w:r>
              <w:t>QLD</w:t>
            </w:r>
          </w:p>
        </w:tc>
        <w:tc>
          <w:tcPr>
            <w:tcW w:w="437" w:type="pct"/>
          </w:tcPr>
          <w:p w:rsidR="008E273C" w:rsidRDefault="008E273C" w:rsidP="00F708F0">
            <w:pPr>
              <w:pStyle w:val="BodyText"/>
            </w:pPr>
            <w:r>
              <w:t>1,328</w:t>
            </w:r>
          </w:p>
        </w:tc>
        <w:tc>
          <w:tcPr>
            <w:tcW w:w="437" w:type="pct"/>
          </w:tcPr>
          <w:p w:rsidR="008E273C" w:rsidRDefault="008E273C" w:rsidP="00F708F0">
            <w:pPr>
              <w:pStyle w:val="BodyText"/>
            </w:pPr>
            <w:r>
              <w:t>97</w:t>
            </w:r>
          </w:p>
        </w:tc>
        <w:tc>
          <w:tcPr>
            <w:tcW w:w="437" w:type="pct"/>
          </w:tcPr>
          <w:p w:rsidR="008E273C" w:rsidRDefault="008E273C" w:rsidP="00F708F0">
            <w:pPr>
              <w:pStyle w:val="BodyText"/>
            </w:pPr>
            <w:r>
              <w:t>1,425</w:t>
            </w:r>
          </w:p>
        </w:tc>
        <w:tc>
          <w:tcPr>
            <w:tcW w:w="437" w:type="pct"/>
          </w:tcPr>
          <w:p w:rsidR="008E273C" w:rsidRDefault="008E273C" w:rsidP="00F708F0">
            <w:pPr>
              <w:pStyle w:val="BodyText"/>
            </w:pPr>
            <w:r>
              <w:t>2,754</w:t>
            </w:r>
          </w:p>
        </w:tc>
        <w:tc>
          <w:tcPr>
            <w:tcW w:w="437" w:type="pct"/>
          </w:tcPr>
          <w:p w:rsidR="008E273C" w:rsidRDefault="008E273C" w:rsidP="00F708F0">
            <w:pPr>
              <w:pStyle w:val="BodyText"/>
            </w:pPr>
            <w:r>
              <w:t>1,245</w:t>
            </w:r>
          </w:p>
        </w:tc>
        <w:tc>
          <w:tcPr>
            <w:tcW w:w="437" w:type="pct"/>
          </w:tcPr>
          <w:p w:rsidR="008E273C" w:rsidRDefault="008E273C" w:rsidP="00F708F0">
            <w:pPr>
              <w:pStyle w:val="BodyText"/>
            </w:pPr>
            <w:r>
              <w:t>3,999</w:t>
            </w:r>
          </w:p>
        </w:tc>
        <w:tc>
          <w:tcPr>
            <w:tcW w:w="438" w:type="pct"/>
          </w:tcPr>
          <w:p w:rsidR="008E273C" w:rsidRDefault="008E273C" w:rsidP="00F708F0">
            <w:pPr>
              <w:pStyle w:val="BodyText"/>
            </w:pPr>
            <w:r>
              <w:t>4</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4</w:t>
            </w:r>
          </w:p>
        </w:tc>
        <w:tc>
          <w:tcPr>
            <w:tcW w:w="438" w:type="pct"/>
          </w:tcPr>
          <w:p w:rsidR="008E273C" w:rsidRDefault="008E273C" w:rsidP="00F708F0">
            <w:pPr>
              <w:pStyle w:val="BodyText"/>
            </w:pPr>
            <w:r>
              <w:rPr>
                <w:rStyle w:val="01bodybold"/>
              </w:rPr>
              <w:t>5,428</w:t>
            </w:r>
          </w:p>
        </w:tc>
      </w:tr>
      <w:tr w:rsidR="008E273C" w:rsidTr="00F708F0">
        <w:trPr>
          <w:trHeight w:val="60"/>
        </w:trPr>
        <w:tc>
          <w:tcPr>
            <w:tcW w:w="517" w:type="pct"/>
          </w:tcPr>
          <w:p w:rsidR="008E273C" w:rsidRDefault="008E273C" w:rsidP="00F708F0">
            <w:pPr>
              <w:pStyle w:val="BodyText"/>
            </w:pPr>
            <w:r>
              <w:t>SA</w:t>
            </w:r>
          </w:p>
        </w:tc>
        <w:tc>
          <w:tcPr>
            <w:tcW w:w="437" w:type="pct"/>
          </w:tcPr>
          <w:p w:rsidR="008E273C" w:rsidRDefault="008E273C" w:rsidP="00F708F0">
            <w:pPr>
              <w:pStyle w:val="BodyText"/>
            </w:pPr>
            <w:r>
              <w:t>716</w:t>
            </w:r>
          </w:p>
        </w:tc>
        <w:tc>
          <w:tcPr>
            <w:tcW w:w="437" w:type="pct"/>
          </w:tcPr>
          <w:p w:rsidR="008E273C" w:rsidRDefault="008E273C" w:rsidP="00F708F0">
            <w:pPr>
              <w:pStyle w:val="BodyText"/>
            </w:pPr>
            <w:r>
              <w:t>78</w:t>
            </w:r>
          </w:p>
        </w:tc>
        <w:tc>
          <w:tcPr>
            <w:tcW w:w="437" w:type="pct"/>
          </w:tcPr>
          <w:p w:rsidR="008E273C" w:rsidRDefault="008E273C" w:rsidP="00F708F0">
            <w:pPr>
              <w:pStyle w:val="BodyText"/>
            </w:pPr>
            <w:r>
              <w:t>794</w:t>
            </w:r>
          </w:p>
        </w:tc>
        <w:tc>
          <w:tcPr>
            <w:tcW w:w="437" w:type="pct"/>
          </w:tcPr>
          <w:p w:rsidR="008E273C" w:rsidRDefault="008E273C" w:rsidP="00F708F0">
            <w:pPr>
              <w:pStyle w:val="BodyText"/>
            </w:pPr>
            <w:r>
              <w:t>945</w:t>
            </w:r>
          </w:p>
        </w:tc>
        <w:tc>
          <w:tcPr>
            <w:tcW w:w="437" w:type="pct"/>
          </w:tcPr>
          <w:p w:rsidR="008E273C" w:rsidRDefault="008E273C" w:rsidP="00F708F0">
            <w:pPr>
              <w:pStyle w:val="BodyText"/>
            </w:pPr>
            <w:r>
              <w:t>568</w:t>
            </w:r>
          </w:p>
        </w:tc>
        <w:tc>
          <w:tcPr>
            <w:tcW w:w="437" w:type="pct"/>
          </w:tcPr>
          <w:p w:rsidR="008E273C" w:rsidRDefault="008E273C" w:rsidP="00F708F0">
            <w:pPr>
              <w:pStyle w:val="BodyText"/>
            </w:pPr>
            <w:r>
              <w:t>1,513</w:t>
            </w:r>
          </w:p>
        </w:tc>
        <w:tc>
          <w:tcPr>
            <w:tcW w:w="438" w:type="pct"/>
          </w:tcPr>
          <w:p w:rsidR="008E273C" w:rsidRDefault="008E273C" w:rsidP="00F708F0">
            <w:pPr>
              <w:pStyle w:val="BodyText"/>
            </w:pPr>
            <w:r>
              <w:t>5</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5</w:t>
            </w:r>
          </w:p>
        </w:tc>
        <w:tc>
          <w:tcPr>
            <w:tcW w:w="438" w:type="pct"/>
          </w:tcPr>
          <w:p w:rsidR="008E273C" w:rsidRDefault="008E273C" w:rsidP="00F708F0">
            <w:pPr>
              <w:pStyle w:val="BodyText"/>
            </w:pPr>
            <w:r>
              <w:rPr>
                <w:rStyle w:val="01bodybold"/>
              </w:rPr>
              <w:t>2,312</w:t>
            </w:r>
          </w:p>
        </w:tc>
      </w:tr>
      <w:tr w:rsidR="008E273C" w:rsidTr="00F708F0">
        <w:trPr>
          <w:trHeight w:val="60"/>
        </w:trPr>
        <w:tc>
          <w:tcPr>
            <w:tcW w:w="517" w:type="pct"/>
          </w:tcPr>
          <w:p w:rsidR="008E273C" w:rsidRDefault="008E273C" w:rsidP="00F708F0">
            <w:pPr>
              <w:pStyle w:val="BodyText"/>
            </w:pPr>
            <w:r>
              <w:t>TAS</w:t>
            </w:r>
          </w:p>
        </w:tc>
        <w:tc>
          <w:tcPr>
            <w:tcW w:w="437" w:type="pct"/>
          </w:tcPr>
          <w:p w:rsidR="008E273C" w:rsidRDefault="008E273C" w:rsidP="00F708F0">
            <w:pPr>
              <w:pStyle w:val="BodyText"/>
            </w:pPr>
            <w:r>
              <w:t>387</w:t>
            </w:r>
          </w:p>
        </w:tc>
        <w:tc>
          <w:tcPr>
            <w:tcW w:w="437" w:type="pct"/>
          </w:tcPr>
          <w:p w:rsidR="008E273C" w:rsidRDefault="008E273C" w:rsidP="00F708F0">
            <w:pPr>
              <w:pStyle w:val="BodyText"/>
            </w:pPr>
            <w:r>
              <w:t>70</w:t>
            </w:r>
          </w:p>
        </w:tc>
        <w:tc>
          <w:tcPr>
            <w:tcW w:w="437" w:type="pct"/>
          </w:tcPr>
          <w:p w:rsidR="008E273C" w:rsidRDefault="008E273C" w:rsidP="00F708F0">
            <w:pPr>
              <w:pStyle w:val="BodyText"/>
            </w:pPr>
            <w:r>
              <w:t>457</w:t>
            </w:r>
          </w:p>
        </w:tc>
        <w:tc>
          <w:tcPr>
            <w:tcW w:w="437" w:type="pct"/>
          </w:tcPr>
          <w:p w:rsidR="008E273C" w:rsidRDefault="008E273C" w:rsidP="00F708F0">
            <w:pPr>
              <w:pStyle w:val="BodyText"/>
            </w:pPr>
            <w:r>
              <w:t>564</w:t>
            </w:r>
          </w:p>
        </w:tc>
        <w:tc>
          <w:tcPr>
            <w:tcW w:w="437" w:type="pct"/>
          </w:tcPr>
          <w:p w:rsidR="008E273C" w:rsidRDefault="008E273C" w:rsidP="00F708F0">
            <w:pPr>
              <w:pStyle w:val="BodyText"/>
            </w:pPr>
            <w:r>
              <w:t>496</w:t>
            </w:r>
          </w:p>
        </w:tc>
        <w:tc>
          <w:tcPr>
            <w:tcW w:w="437" w:type="pct"/>
          </w:tcPr>
          <w:p w:rsidR="008E273C" w:rsidRDefault="008E273C" w:rsidP="00F708F0">
            <w:pPr>
              <w:pStyle w:val="BodyText"/>
            </w:pPr>
            <w:r>
              <w:t>1,060</w:t>
            </w:r>
          </w:p>
        </w:tc>
        <w:tc>
          <w:tcPr>
            <w:tcW w:w="438" w:type="pct"/>
          </w:tcPr>
          <w:p w:rsidR="008E273C" w:rsidRDefault="008E273C" w:rsidP="00F708F0">
            <w:pPr>
              <w:pStyle w:val="BodyText"/>
            </w:pPr>
            <w:r>
              <w:t>4</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4</w:t>
            </w:r>
          </w:p>
        </w:tc>
        <w:tc>
          <w:tcPr>
            <w:tcW w:w="438" w:type="pct"/>
          </w:tcPr>
          <w:p w:rsidR="008E273C" w:rsidRDefault="008E273C" w:rsidP="00F708F0">
            <w:pPr>
              <w:pStyle w:val="BodyText"/>
            </w:pPr>
            <w:r>
              <w:rPr>
                <w:rStyle w:val="01bodybold"/>
              </w:rPr>
              <w:t>1,521</w:t>
            </w:r>
          </w:p>
        </w:tc>
      </w:tr>
      <w:tr w:rsidR="008E273C" w:rsidTr="00F708F0">
        <w:trPr>
          <w:trHeight w:val="60"/>
        </w:trPr>
        <w:tc>
          <w:tcPr>
            <w:tcW w:w="517" w:type="pct"/>
          </w:tcPr>
          <w:p w:rsidR="008E273C" w:rsidRDefault="008E273C" w:rsidP="00F708F0">
            <w:pPr>
              <w:pStyle w:val="BodyText"/>
            </w:pPr>
            <w:r>
              <w:t>VIC</w:t>
            </w:r>
          </w:p>
        </w:tc>
        <w:tc>
          <w:tcPr>
            <w:tcW w:w="437" w:type="pct"/>
          </w:tcPr>
          <w:p w:rsidR="008E273C" w:rsidRDefault="008E273C" w:rsidP="00F708F0">
            <w:pPr>
              <w:pStyle w:val="BodyText"/>
            </w:pPr>
            <w:r>
              <w:t>1,308</w:t>
            </w:r>
          </w:p>
        </w:tc>
        <w:tc>
          <w:tcPr>
            <w:tcW w:w="437" w:type="pct"/>
          </w:tcPr>
          <w:p w:rsidR="008E273C" w:rsidRDefault="008E273C" w:rsidP="00F708F0">
            <w:pPr>
              <w:pStyle w:val="BodyText"/>
            </w:pPr>
            <w:r>
              <w:t>140</w:t>
            </w:r>
          </w:p>
        </w:tc>
        <w:tc>
          <w:tcPr>
            <w:tcW w:w="437" w:type="pct"/>
          </w:tcPr>
          <w:p w:rsidR="008E273C" w:rsidRDefault="008E273C" w:rsidP="00F708F0">
            <w:pPr>
              <w:pStyle w:val="BodyText"/>
            </w:pPr>
            <w:r>
              <w:t>1,448</w:t>
            </w:r>
          </w:p>
        </w:tc>
        <w:tc>
          <w:tcPr>
            <w:tcW w:w="437" w:type="pct"/>
          </w:tcPr>
          <w:p w:rsidR="008E273C" w:rsidRDefault="008E273C" w:rsidP="00F708F0">
            <w:pPr>
              <w:pStyle w:val="BodyText"/>
            </w:pPr>
            <w:r>
              <w:t>2,327</w:t>
            </w:r>
          </w:p>
        </w:tc>
        <w:tc>
          <w:tcPr>
            <w:tcW w:w="437" w:type="pct"/>
          </w:tcPr>
          <w:p w:rsidR="008E273C" w:rsidRDefault="008E273C" w:rsidP="00F708F0">
            <w:pPr>
              <w:pStyle w:val="BodyText"/>
            </w:pPr>
            <w:r>
              <w:t>1,467</w:t>
            </w:r>
          </w:p>
        </w:tc>
        <w:tc>
          <w:tcPr>
            <w:tcW w:w="437" w:type="pct"/>
          </w:tcPr>
          <w:p w:rsidR="008E273C" w:rsidRDefault="008E273C" w:rsidP="00F708F0">
            <w:pPr>
              <w:pStyle w:val="BodyText"/>
            </w:pPr>
            <w:r>
              <w:t>3,794</w:t>
            </w:r>
          </w:p>
        </w:tc>
        <w:tc>
          <w:tcPr>
            <w:tcW w:w="438" w:type="pct"/>
          </w:tcPr>
          <w:p w:rsidR="008E273C" w:rsidRDefault="008E273C" w:rsidP="00F708F0">
            <w:pPr>
              <w:pStyle w:val="BodyText"/>
            </w:pPr>
            <w:r>
              <w:t>4</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4</w:t>
            </w:r>
          </w:p>
        </w:tc>
        <w:tc>
          <w:tcPr>
            <w:tcW w:w="438" w:type="pct"/>
          </w:tcPr>
          <w:p w:rsidR="008E273C" w:rsidRDefault="008E273C" w:rsidP="00F708F0">
            <w:pPr>
              <w:pStyle w:val="BodyText"/>
            </w:pPr>
            <w:r>
              <w:rPr>
                <w:rStyle w:val="01bodybold"/>
              </w:rPr>
              <w:t>5,246</w:t>
            </w:r>
          </w:p>
        </w:tc>
      </w:tr>
      <w:tr w:rsidR="008E273C" w:rsidTr="00F708F0">
        <w:trPr>
          <w:trHeight w:val="60"/>
        </w:trPr>
        <w:tc>
          <w:tcPr>
            <w:tcW w:w="517" w:type="pct"/>
          </w:tcPr>
          <w:p w:rsidR="008E273C" w:rsidRDefault="008E273C" w:rsidP="00F708F0">
            <w:pPr>
              <w:pStyle w:val="BodyText"/>
            </w:pPr>
            <w:r>
              <w:t>WA</w:t>
            </w:r>
          </w:p>
        </w:tc>
        <w:tc>
          <w:tcPr>
            <w:tcW w:w="437" w:type="pct"/>
          </w:tcPr>
          <w:p w:rsidR="008E273C" w:rsidRDefault="008E273C" w:rsidP="00F708F0">
            <w:pPr>
              <w:pStyle w:val="BodyText"/>
            </w:pPr>
            <w:r>
              <w:t>388</w:t>
            </w:r>
          </w:p>
        </w:tc>
        <w:tc>
          <w:tcPr>
            <w:tcW w:w="437" w:type="pct"/>
          </w:tcPr>
          <w:p w:rsidR="008E273C" w:rsidRDefault="008E273C" w:rsidP="00F708F0">
            <w:pPr>
              <w:pStyle w:val="BodyText"/>
            </w:pPr>
            <w:r>
              <w:t>29</w:t>
            </w:r>
          </w:p>
        </w:tc>
        <w:tc>
          <w:tcPr>
            <w:tcW w:w="437" w:type="pct"/>
          </w:tcPr>
          <w:p w:rsidR="008E273C" w:rsidRDefault="008E273C" w:rsidP="00F708F0">
            <w:pPr>
              <w:pStyle w:val="BodyText"/>
            </w:pPr>
            <w:r>
              <w:t>417</w:t>
            </w:r>
          </w:p>
        </w:tc>
        <w:tc>
          <w:tcPr>
            <w:tcW w:w="437" w:type="pct"/>
          </w:tcPr>
          <w:p w:rsidR="008E273C" w:rsidRDefault="008E273C" w:rsidP="00F708F0">
            <w:pPr>
              <w:pStyle w:val="BodyText"/>
            </w:pPr>
            <w:r>
              <w:t>865</w:t>
            </w:r>
          </w:p>
        </w:tc>
        <w:tc>
          <w:tcPr>
            <w:tcW w:w="437" w:type="pct"/>
          </w:tcPr>
          <w:p w:rsidR="008E273C" w:rsidRDefault="008E273C" w:rsidP="00F708F0">
            <w:pPr>
              <w:pStyle w:val="BodyText"/>
            </w:pPr>
            <w:r>
              <w:t>481</w:t>
            </w:r>
          </w:p>
        </w:tc>
        <w:tc>
          <w:tcPr>
            <w:tcW w:w="437" w:type="pct"/>
          </w:tcPr>
          <w:p w:rsidR="008E273C" w:rsidRDefault="008E273C" w:rsidP="00F708F0">
            <w:pPr>
              <w:pStyle w:val="BodyText"/>
            </w:pPr>
            <w:r>
              <w:t>1,346</w:t>
            </w:r>
          </w:p>
        </w:tc>
        <w:tc>
          <w:tcPr>
            <w:tcW w:w="438" w:type="pct"/>
          </w:tcPr>
          <w:p w:rsidR="008E273C" w:rsidRDefault="008E273C" w:rsidP="00F708F0">
            <w:pPr>
              <w:pStyle w:val="BodyText"/>
            </w:pPr>
            <w:r>
              <w:t>2</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2</w:t>
            </w:r>
          </w:p>
        </w:tc>
        <w:tc>
          <w:tcPr>
            <w:tcW w:w="438" w:type="pct"/>
          </w:tcPr>
          <w:p w:rsidR="008E273C" w:rsidRDefault="008E273C" w:rsidP="00F708F0">
            <w:pPr>
              <w:pStyle w:val="BodyText"/>
            </w:pPr>
            <w:r>
              <w:rPr>
                <w:rStyle w:val="01bodybold"/>
              </w:rPr>
              <w:t>1,765</w:t>
            </w:r>
          </w:p>
        </w:tc>
      </w:tr>
      <w:tr w:rsidR="008E273C" w:rsidTr="00F708F0">
        <w:trPr>
          <w:trHeight w:val="60"/>
        </w:trPr>
        <w:tc>
          <w:tcPr>
            <w:tcW w:w="517" w:type="pct"/>
          </w:tcPr>
          <w:p w:rsidR="008E273C" w:rsidRDefault="008E273C" w:rsidP="00F708F0">
            <w:pPr>
              <w:pStyle w:val="BodyText"/>
            </w:pPr>
            <w:r>
              <w:t>ACT</w:t>
            </w:r>
          </w:p>
        </w:tc>
        <w:tc>
          <w:tcPr>
            <w:tcW w:w="437" w:type="pct"/>
          </w:tcPr>
          <w:p w:rsidR="008E273C" w:rsidRDefault="008E273C" w:rsidP="00F708F0">
            <w:pPr>
              <w:pStyle w:val="BodyText"/>
            </w:pPr>
            <w:r>
              <w:t>1,726</w:t>
            </w:r>
          </w:p>
        </w:tc>
        <w:tc>
          <w:tcPr>
            <w:tcW w:w="437" w:type="pct"/>
          </w:tcPr>
          <w:p w:rsidR="008E273C" w:rsidRDefault="008E273C" w:rsidP="00F708F0">
            <w:pPr>
              <w:pStyle w:val="BodyText"/>
            </w:pPr>
            <w:r>
              <w:t>98</w:t>
            </w:r>
          </w:p>
        </w:tc>
        <w:tc>
          <w:tcPr>
            <w:tcW w:w="437" w:type="pct"/>
          </w:tcPr>
          <w:p w:rsidR="008E273C" w:rsidRDefault="008E273C" w:rsidP="00F708F0">
            <w:pPr>
              <w:pStyle w:val="BodyText"/>
            </w:pPr>
            <w:r>
              <w:t>1,824</w:t>
            </w:r>
          </w:p>
        </w:tc>
        <w:tc>
          <w:tcPr>
            <w:tcW w:w="437" w:type="pct"/>
          </w:tcPr>
          <w:p w:rsidR="008E273C" w:rsidRDefault="008E273C" w:rsidP="00F708F0">
            <w:pPr>
              <w:pStyle w:val="BodyText"/>
            </w:pPr>
            <w:r>
              <w:t>1,730</w:t>
            </w:r>
          </w:p>
        </w:tc>
        <w:tc>
          <w:tcPr>
            <w:tcW w:w="437" w:type="pct"/>
          </w:tcPr>
          <w:p w:rsidR="008E273C" w:rsidRDefault="008E273C" w:rsidP="00F708F0">
            <w:pPr>
              <w:pStyle w:val="BodyText"/>
            </w:pPr>
            <w:r>
              <w:t>444</w:t>
            </w:r>
          </w:p>
        </w:tc>
        <w:tc>
          <w:tcPr>
            <w:tcW w:w="437" w:type="pct"/>
          </w:tcPr>
          <w:p w:rsidR="008E273C" w:rsidRDefault="008E273C" w:rsidP="00F708F0">
            <w:pPr>
              <w:pStyle w:val="BodyText"/>
            </w:pPr>
            <w:r>
              <w:t>2,174</w:t>
            </w:r>
          </w:p>
        </w:tc>
        <w:tc>
          <w:tcPr>
            <w:tcW w:w="438" w:type="pct"/>
          </w:tcPr>
          <w:p w:rsidR="008E273C" w:rsidRDefault="008E273C" w:rsidP="00F708F0">
            <w:pPr>
              <w:pStyle w:val="BodyText"/>
            </w:pPr>
            <w:r>
              <w:t>13</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13</w:t>
            </w:r>
          </w:p>
        </w:tc>
        <w:tc>
          <w:tcPr>
            <w:tcW w:w="438" w:type="pct"/>
          </w:tcPr>
          <w:p w:rsidR="008E273C" w:rsidRDefault="008E273C" w:rsidP="00F708F0">
            <w:pPr>
              <w:pStyle w:val="BodyText"/>
            </w:pPr>
            <w:r>
              <w:rPr>
                <w:rStyle w:val="01bodybold"/>
              </w:rPr>
              <w:t>4,011</w:t>
            </w:r>
          </w:p>
        </w:tc>
      </w:tr>
      <w:tr w:rsidR="008E273C" w:rsidTr="00F708F0">
        <w:trPr>
          <w:trHeight w:val="60"/>
        </w:trPr>
        <w:tc>
          <w:tcPr>
            <w:tcW w:w="517" w:type="pct"/>
          </w:tcPr>
          <w:p w:rsidR="008E273C" w:rsidRDefault="008E273C" w:rsidP="00F708F0">
            <w:pPr>
              <w:pStyle w:val="BodyText"/>
            </w:pPr>
            <w:r>
              <w:t>NT</w:t>
            </w:r>
          </w:p>
        </w:tc>
        <w:tc>
          <w:tcPr>
            <w:tcW w:w="437" w:type="pct"/>
          </w:tcPr>
          <w:p w:rsidR="008E273C" w:rsidRDefault="008E273C" w:rsidP="00F708F0">
            <w:pPr>
              <w:pStyle w:val="BodyText"/>
            </w:pPr>
            <w:r>
              <w:t>75</w:t>
            </w:r>
          </w:p>
        </w:tc>
        <w:tc>
          <w:tcPr>
            <w:tcW w:w="437" w:type="pct"/>
          </w:tcPr>
          <w:p w:rsidR="008E273C" w:rsidRDefault="008E273C" w:rsidP="00F708F0">
            <w:pPr>
              <w:pStyle w:val="BodyText"/>
            </w:pPr>
            <w:r>
              <w:t>3</w:t>
            </w:r>
          </w:p>
        </w:tc>
        <w:tc>
          <w:tcPr>
            <w:tcW w:w="437" w:type="pct"/>
          </w:tcPr>
          <w:p w:rsidR="008E273C" w:rsidRDefault="008E273C" w:rsidP="00F708F0">
            <w:pPr>
              <w:pStyle w:val="BodyText"/>
            </w:pPr>
            <w:r>
              <w:t>78</w:t>
            </w:r>
          </w:p>
        </w:tc>
        <w:tc>
          <w:tcPr>
            <w:tcW w:w="437" w:type="pct"/>
          </w:tcPr>
          <w:p w:rsidR="008E273C" w:rsidRDefault="008E273C" w:rsidP="00F708F0">
            <w:pPr>
              <w:pStyle w:val="BodyText"/>
            </w:pPr>
            <w:r>
              <w:t>241</w:t>
            </w:r>
          </w:p>
        </w:tc>
        <w:tc>
          <w:tcPr>
            <w:tcW w:w="437" w:type="pct"/>
          </w:tcPr>
          <w:p w:rsidR="008E273C" w:rsidRDefault="008E273C" w:rsidP="00F708F0">
            <w:pPr>
              <w:pStyle w:val="BodyText"/>
            </w:pPr>
            <w:r>
              <w:t>69</w:t>
            </w:r>
          </w:p>
        </w:tc>
        <w:tc>
          <w:tcPr>
            <w:tcW w:w="437" w:type="pct"/>
          </w:tcPr>
          <w:p w:rsidR="008E273C" w:rsidRDefault="008E273C" w:rsidP="00F708F0">
            <w:pPr>
              <w:pStyle w:val="BodyText"/>
            </w:pPr>
            <w:r>
              <w:t>310</w:t>
            </w:r>
          </w:p>
        </w:tc>
        <w:tc>
          <w:tcPr>
            <w:tcW w:w="438" w:type="pct"/>
          </w:tcPr>
          <w:p w:rsidR="008E273C" w:rsidRDefault="008E273C" w:rsidP="00F708F0">
            <w:pPr>
              <w:pStyle w:val="BodyText"/>
            </w:pPr>
            <w:r>
              <w:t>0</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388</w:t>
            </w:r>
          </w:p>
        </w:tc>
      </w:tr>
      <w:tr w:rsidR="008E273C" w:rsidTr="00F708F0">
        <w:trPr>
          <w:trHeight w:val="616"/>
        </w:trPr>
        <w:tc>
          <w:tcPr>
            <w:tcW w:w="517" w:type="pct"/>
          </w:tcPr>
          <w:p w:rsidR="008E273C" w:rsidRDefault="008E273C" w:rsidP="00F708F0">
            <w:pPr>
              <w:pStyle w:val="BodyText"/>
            </w:pPr>
            <w:r>
              <w:t>External territories</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0</w:t>
            </w:r>
          </w:p>
        </w:tc>
      </w:tr>
      <w:tr w:rsidR="008E273C" w:rsidTr="00F708F0">
        <w:trPr>
          <w:trHeight w:val="60"/>
        </w:trPr>
        <w:tc>
          <w:tcPr>
            <w:tcW w:w="517" w:type="pct"/>
          </w:tcPr>
          <w:p w:rsidR="008E273C" w:rsidRDefault="008E273C" w:rsidP="00F708F0">
            <w:pPr>
              <w:pStyle w:val="BodyText"/>
            </w:pPr>
            <w:r>
              <w:t>Overseas</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0</w:t>
            </w:r>
          </w:p>
        </w:tc>
      </w:tr>
      <w:tr w:rsidR="008E273C" w:rsidTr="00F708F0">
        <w:trPr>
          <w:trHeight w:val="60"/>
        </w:trPr>
        <w:tc>
          <w:tcPr>
            <w:tcW w:w="517" w:type="pct"/>
          </w:tcPr>
          <w:p w:rsidR="008E273C" w:rsidRDefault="008E273C" w:rsidP="00F708F0">
            <w:pPr>
              <w:pStyle w:val="BodyText"/>
            </w:pPr>
            <w:r>
              <w:rPr>
                <w:rStyle w:val="01bodybold"/>
              </w:rPr>
              <w:t>Total</w:t>
            </w:r>
          </w:p>
        </w:tc>
        <w:tc>
          <w:tcPr>
            <w:tcW w:w="437" w:type="pct"/>
          </w:tcPr>
          <w:p w:rsidR="008E273C" w:rsidRDefault="008E273C" w:rsidP="00F708F0">
            <w:pPr>
              <w:pStyle w:val="BodyText"/>
            </w:pPr>
            <w:r>
              <w:rPr>
                <w:rStyle w:val="01bodybold"/>
              </w:rPr>
              <w:t>7,268</w:t>
            </w:r>
          </w:p>
        </w:tc>
        <w:tc>
          <w:tcPr>
            <w:tcW w:w="437" w:type="pct"/>
          </w:tcPr>
          <w:p w:rsidR="008E273C" w:rsidRDefault="008E273C" w:rsidP="00F708F0">
            <w:pPr>
              <w:pStyle w:val="BodyText"/>
            </w:pPr>
            <w:r>
              <w:rPr>
                <w:rStyle w:val="01bodybold"/>
              </w:rPr>
              <w:t>705</w:t>
            </w:r>
          </w:p>
        </w:tc>
        <w:tc>
          <w:tcPr>
            <w:tcW w:w="437" w:type="pct"/>
          </w:tcPr>
          <w:p w:rsidR="008E273C" w:rsidRDefault="008E273C" w:rsidP="00F708F0">
            <w:pPr>
              <w:pStyle w:val="BodyText"/>
            </w:pPr>
            <w:r>
              <w:rPr>
                <w:rStyle w:val="01bodybold"/>
              </w:rPr>
              <w:t>7,973</w:t>
            </w:r>
          </w:p>
        </w:tc>
        <w:tc>
          <w:tcPr>
            <w:tcW w:w="437" w:type="pct"/>
          </w:tcPr>
          <w:p w:rsidR="008E273C" w:rsidRDefault="008E273C" w:rsidP="00F708F0">
            <w:pPr>
              <w:pStyle w:val="BodyText"/>
            </w:pPr>
            <w:r>
              <w:rPr>
                <w:rStyle w:val="01bodybold"/>
              </w:rPr>
              <w:t>12,672</w:t>
            </w:r>
          </w:p>
        </w:tc>
        <w:tc>
          <w:tcPr>
            <w:tcW w:w="437" w:type="pct"/>
          </w:tcPr>
          <w:p w:rsidR="008E273C" w:rsidRDefault="008E273C" w:rsidP="00F708F0">
            <w:pPr>
              <w:pStyle w:val="BodyText"/>
            </w:pPr>
            <w:r>
              <w:rPr>
                <w:rStyle w:val="01bodybold"/>
              </w:rPr>
              <w:t>6,867</w:t>
            </w:r>
          </w:p>
        </w:tc>
        <w:tc>
          <w:tcPr>
            <w:tcW w:w="437" w:type="pct"/>
          </w:tcPr>
          <w:p w:rsidR="008E273C" w:rsidRDefault="008E273C" w:rsidP="00F708F0">
            <w:pPr>
              <w:pStyle w:val="BodyText"/>
            </w:pPr>
            <w:r>
              <w:rPr>
                <w:rStyle w:val="01bodybold"/>
              </w:rPr>
              <w:t>19,539</w:t>
            </w:r>
          </w:p>
        </w:tc>
        <w:tc>
          <w:tcPr>
            <w:tcW w:w="438" w:type="pct"/>
          </w:tcPr>
          <w:p w:rsidR="008E273C" w:rsidRDefault="008E273C" w:rsidP="00F708F0">
            <w:pPr>
              <w:pStyle w:val="BodyText"/>
            </w:pPr>
            <w:r>
              <w:rPr>
                <w:rStyle w:val="01bodybold"/>
              </w:rPr>
              <w:t>36</w:t>
            </w:r>
          </w:p>
        </w:tc>
        <w:tc>
          <w:tcPr>
            <w:tcW w:w="437" w:type="pct"/>
          </w:tcPr>
          <w:p w:rsidR="008E273C" w:rsidRDefault="008E273C" w:rsidP="00F708F0">
            <w:pPr>
              <w:pStyle w:val="BodyText"/>
            </w:pPr>
            <w:r>
              <w:rPr>
                <w:rStyle w:val="01bodybold"/>
              </w:rPr>
              <w:t>1</w:t>
            </w:r>
          </w:p>
        </w:tc>
        <w:tc>
          <w:tcPr>
            <w:tcW w:w="545" w:type="pct"/>
          </w:tcPr>
          <w:p w:rsidR="008E273C" w:rsidRDefault="008E273C" w:rsidP="00F708F0">
            <w:pPr>
              <w:pStyle w:val="BodyText"/>
            </w:pPr>
            <w:r>
              <w:rPr>
                <w:rStyle w:val="01bodybold"/>
              </w:rPr>
              <w:t>37</w:t>
            </w:r>
          </w:p>
        </w:tc>
        <w:tc>
          <w:tcPr>
            <w:tcW w:w="438" w:type="pct"/>
          </w:tcPr>
          <w:p w:rsidR="008E273C" w:rsidRDefault="008E273C" w:rsidP="00F708F0">
            <w:pPr>
              <w:pStyle w:val="BodyText"/>
            </w:pPr>
            <w:r>
              <w:rPr>
                <w:rStyle w:val="01bodybold"/>
              </w:rPr>
              <w:t>27,549</w:t>
            </w:r>
          </w:p>
        </w:tc>
      </w:tr>
    </w:tbl>
    <w:p w:rsidR="008E273C" w:rsidRPr="00F708F0" w:rsidRDefault="00F708F0" w:rsidP="00F708F0">
      <w:pPr>
        <w:pStyle w:val="BodyText"/>
        <w:rPr>
          <w:b/>
        </w:rPr>
      </w:pPr>
      <w:r w:rsidRPr="00F708F0">
        <w:rPr>
          <w:b/>
        </w:rPr>
        <w:t xml:space="preserve">Table 59: </w:t>
      </w:r>
      <w:r w:rsidR="008E273C" w:rsidRPr="00F708F0">
        <w:rPr>
          <w:b/>
        </w:rPr>
        <w:t>Australian Public Service Act ongoing employees at 30 June 2019</w:t>
      </w:r>
    </w:p>
    <w:tbl>
      <w:tblPr>
        <w:tblStyle w:val="TableGrid"/>
        <w:tblW w:w="5000" w:type="pct"/>
        <w:tblLook w:val="0000" w:firstRow="0" w:lastRow="0" w:firstColumn="0" w:lastColumn="0" w:noHBand="0" w:noVBand="0"/>
        <w:tblCaption w:val="Table 59: Australian Public Service Act ongoing employees at 30 June 2019"/>
        <w:tblDescription w:val="Table 59: Australian Public Service Act ongoing employees at 30 June 2019"/>
      </w:tblPr>
      <w:tblGrid>
        <w:gridCol w:w="1244"/>
        <w:gridCol w:w="960"/>
        <w:gridCol w:w="960"/>
        <w:gridCol w:w="960"/>
        <w:gridCol w:w="961"/>
        <w:gridCol w:w="961"/>
        <w:gridCol w:w="977"/>
        <w:gridCol w:w="961"/>
        <w:gridCol w:w="961"/>
        <w:gridCol w:w="1192"/>
        <w:gridCol w:w="959"/>
      </w:tblGrid>
      <w:tr w:rsidR="008E273C" w:rsidTr="00F708F0">
        <w:trPr>
          <w:trHeight w:val="60"/>
          <w:tblHeader/>
        </w:trPr>
        <w:tc>
          <w:tcPr>
            <w:tcW w:w="517" w:type="pct"/>
          </w:tcPr>
          <w:p w:rsidR="008E273C" w:rsidRDefault="008E273C" w:rsidP="00F708F0">
            <w:pPr>
              <w:pStyle w:val="BodyText"/>
            </w:pPr>
          </w:p>
        </w:tc>
        <w:tc>
          <w:tcPr>
            <w:tcW w:w="1313" w:type="pct"/>
            <w:gridSpan w:val="3"/>
          </w:tcPr>
          <w:p w:rsidR="008E273C" w:rsidRDefault="008E273C" w:rsidP="00F708F0">
            <w:pPr>
              <w:pStyle w:val="BodyText"/>
            </w:pPr>
            <w:r>
              <w:t>Male</w:t>
            </w:r>
          </w:p>
        </w:tc>
        <w:tc>
          <w:tcPr>
            <w:tcW w:w="1313" w:type="pct"/>
            <w:gridSpan w:val="3"/>
          </w:tcPr>
          <w:p w:rsidR="008E273C" w:rsidRDefault="008E273C" w:rsidP="00F708F0">
            <w:pPr>
              <w:pStyle w:val="BodyText"/>
            </w:pPr>
            <w:r>
              <w:t>Female</w:t>
            </w:r>
          </w:p>
        </w:tc>
        <w:tc>
          <w:tcPr>
            <w:tcW w:w="1418" w:type="pct"/>
            <w:gridSpan w:val="3"/>
          </w:tcPr>
          <w:p w:rsidR="008E273C" w:rsidRDefault="008E273C" w:rsidP="00F708F0">
            <w:pPr>
              <w:pStyle w:val="BodyText"/>
            </w:pPr>
            <w:r>
              <w:t>Non-binary</w:t>
            </w:r>
          </w:p>
        </w:tc>
        <w:tc>
          <w:tcPr>
            <w:tcW w:w="438" w:type="pct"/>
          </w:tcPr>
          <w:p w:rsidR="008E273C" w:rsidRDefault="008E273C" w:rsidP="00F708F0">
            <w:pPr>
              <w:pStyle w:val="BodyText"/>
            </w:pPr>
          </w:p>
        </w:tc>
      </w:tr>
      <w:tr w:rsidR="008E273C" w:rsidTr="00F708F0">
        <w:trPr>
          <w:trHeight w:val="60"/>
          <w:tblHeader/>
        </w:trPr>
        <w:tc>
          <w:tcPr>
            <w:tcW w:w="517" w:type="pct"/>
          </w:tcPr>
          <w:p w:rsidR="008E273C" w:rsidRDefault="008E273C" w:rsidP="00F708F0">
            <w:pPr>
              <w:pStyle w:val="BodyText"/>
            </w:pPr>
          </w:p>
        </w:tc>
        <w:tc>
          <w:tcPr>
            <w:tcW w:w="438" w:type="pct"/>
          </w:tcPr>
          <w:p w:rsidR="008E273C" w:rsidRDefault="008E273C" w:rsidP="00F708F0">
            <w:pPr>
              <w:pStyle w:val="BodyText"/>
            </w:pPr>
            <w:r>
              <w:rPr>
                <w:rStyle w:val="Bold"/>
              </w:rPr>
              <w:t>Full-time</w:t>
            </w:r>
          </w:p>
        </w:tc>
        <w:tc>
          <w:tcPr>
            <w:tcW w:w="438" w:type="pct"/>
          </w:tcPr>
          <w:p w:rsidR="008E273C" w:rsidRDefault="008E273C" w:rsidP="00F708F0">
            <w:pPr>
              <w:pStyle w:val="BodyText"/>
            </w:pPr>
            <w:r>
              <w:rPr>
                <w:rStyle w:val="Bold"/>
              </w:rPr>
              <w:t>Part-time</w:t>
            </w:r>
          </w:p>
        </w:tc>
        <w:tc>
          <w:tcPr>
            <w:tcW w:w="438" w:type="pct"/>
          </w:tcPr>
          <w:p w:rsidR="008E273C" w:rsidRDefault="00AC4959" w:rsidP="00F708F0">
            <w:pPr>
              <w:pStyle w:val="BodyText"/>
            </w:pPr>
            <w:r>
              <w:rPr>
                <w:rStyle w:val="Bold"/>
              </w:rPr>
              <w:t>Total male</w:t>
            </w:r>
          </w:p>
        </w:tc>
        <w:tc>
          <w:tcPr>
            <w:tcW w:w="438" w:type="pct"/>
          </w:tcPr>
          <w:p w:rsidR="008E273C" w:rsidRDefault="008E273C" w:rsidP="00F708F0">
            <w:pPr>
              <w:pStyle w:val="BodyText"/>
            </w:pPr>
            <w:r>
              <w:rPr>
                <w:rStyle w:val="Bold"/>
              </w:rPr>
              <w:t>Full-time</w:t>
            </w:r>
          </w:p>
        </w:tc>
        <w:tc>
          <w:tcPr>
            <w:tcW w:w="438" w:type="pct"/>
          </w:tcPr>
          <w:p w:rsidR="008E273C" w:rsidRDefault="008E273C" w:rsidP="00F708F0">
            <w:pPr>
              <w:pStyle w:val="BodyText"/>
            </w:pPr>
            <w:r>
              <w:rPr>
                <w:rStyle w:val="Bold"/>
              </w:rPr>
              <w:t>Part-time</w:t>
            </w:r>
          </w:p>
        </w:tc>
        <w:tc>
          <w:tcPr>
            <w:tcW w:w="438" w:type="pct"/>
          </w:tcPr>
          <w:p w:rsidR="008E273C" w:rsidRDefault="00AC4959" w:rsidP="00F708F0">
            <w:pPr>
              <w:pStyle w:val="BodyText"/>
            </w:pPr>
            <w:r>
              <w:rPr>
                <w:rStyle w:val="Bold"/>
              </w:rPr>
              <w:t>Total female</w:t>
            </w:r>
          </w:p>
        </w:tc>
        <w:tc>
          <w:tcPr>
            <w:tcW w:w="438" w:type="pct"/>
          </w:tcPr>
          <w:p w:rsidR="008E273C" w:rsidRDefault="008E273C" w:rsidP="00F708F0">
            <w:pPr>
              <w:pStyle w:val="BodyText"/>
            </w:pPr>
            <w:r>
              <w:rPr>
                <w:rStyle w:val="Bold"/>
              </w:rPr>
              <w:t>Full-time</w:t>
            </w:r>
          </w:p>
        </w:tc>
        <w:tc>
          <w:tcPr>
            <w:tcW w:w="438" w:type="pct"/>
          </w:tcPr>
          <w:p w:rsidR="008E273C" w:rsidRDefault="008E273C" w:rsidP="00F708F0">
            <w:pPr>
              <w:pStyle w:val="BodyText"/>
            </w:pPr>
            <w:r>
              <w:rPr>
                <w:rStyle w:val="Bold"/>
              </w:rPr>
              <w:t>Part-time</w:t>
            </w:r>
          </w:p>
        </w:tc>
        <w:tc>
          <w:tcPr>
            <w:tcW w:w="542" w:type="pct"/>
          </w:tcPr>
          <w:p w:rsidR="008E273C" w:rsidRDefault="008E273C" w:rsidP="00F708F0">
            <w:pPr>
              <w:pStyle w:val="BodyText"/>
            </w:pPr>
            <w:r>
              <w:rPr>
                <w:rStyle w:val="Bold"/>
              </w:rPr>
              <w:t xml:space="preserve">Total </w:t>
            </w:r>
            <w:r>
              <w:rPr>
                <w:rStyle w:val="Bold"/>
                <w:spacing w:val="-4"/>
              </w:rPr>
              <w:t>Non-binary</w:t>
            </w:r>
          </w:p>
        </w:tc>
        <w:tc>
          <w:tcPr>
            <w:tcW w:w="438" w:type="pct"/>
          </w:tcPr>
          <w:p w:rsidR="008E273C" w:rsidRDefault="008E273C" w:rsidP="00F708F0">
            <w:pPr>
              <w:pStyle w:val="BodyText"/>
            </w:pPr>
            <w:r>
              <w:rPr>
                <w:rStyle w:val="Bold"/>
              </w:rPr>
              <w:t>Total</w:t>
            </w:r>
          </w:p>
        </w:tc>
      </w:tr>
      <w:tr w:rsidR="008E273C" w:rsidTr="00F708F0">
        <w:trPr>
          <w:trHeight w:val="60"/>
        </w:trPr>
        <w:tc>
          <w:tcPr>
            <w:tcW w:w="517" w:type="pct"/>
          </w:tcPr>
          <w:p w:rsidR="008E273C" w:rsidRDefault="008E273C" w:rsidP="00F708F0">
            <w:pPr>
              <w:pStyle w:val="BodyText"/>
            </w:pPr>
            <w:r>
              <w:t>NSW</w:t>
            </w:r>
          </w:p>
        </w:tc>
        <w:tc>
          <w:tcPr>
            <w:tcW w:w="438" w:type="pct"/>
          </w:tcPr>
          <w:p w:rsidR="008E273C" w:rsidRDefault="008E273C" w:rsidP="00F708F0">
            <w:pPr>
              <w:pStyle w:val="BodyText"/>
            </w:pPr>
            <w:r>
              <w:t>1,402</w:t>
            </w:r>
          </w:p>
        </w:tc>
        <w:tc>
          <w:tcPr>
            <w:tcW w:w="438" w:type="pct"/>
          </w:tcPr>
          <w:p w:rsidR="008E273C" w:rsidRDefault="008E273C" w:rsidP="00F708F0">
            <w:pPr>
              <w:pStyle w:val="BodyText"/>
            </w:pPr>
            <w:r>
              <w:t>189</w:t>
            </w:r>
          </w:p>
        </w:tc>
        <w:tc>
          <w:tcPr>
            <w:tcW w:w="438" w:type="pct"/>
          </w:tcPr>
          <w:p w:rsidR="008E273C" w:rsidRDefault="008E273C" w:rsidP="00F708F0">
            <w:pPr>
              <w:pStyle w:val="BodyText"/>
            </w:pPr>
            <w:r>
              <w:t>1,591</w:t>
            </w:r>
          </w:p>
        </w:tc>
        <w:tc>
          <w:tcPr>
            <w:tcW w:w="438" w:type="pct"/>
          </w:tcPr>
          <w:p w:rsidR="008E273C" w:rsidRDefault="008E273C" w:rsidP="00F708F0">
            <w:pPr>
              <w:pStyle w:val="BodyText"/>
            </w:pPr>
            <w:r>
              <w:t>3,285</w:t>
            </w:r>
          </w:p>
        </w:tc>
        <w:tc>
          <w:tcPr>
            <w:tcW w:w="438" w:type="pct"/>
          </w:tcPr>
          <w:p w:rsidR="008E273C" w:rsidRDefault="008E273C" w:rsidP="00F708F0">
            <w:pPr>
              <w:pStyle w:val="BodyText"/>
            </w:pPr>
            <w:r>
              <w:t>2,254</w:t>
            </w:r>
          </w:p>
        </w:tc>
        <w:tc>
          <w:tcPr>
            <w:tcW w:w="438" w:type="pct"/>
          </w:tcPr>
          <w:p w:rsidR="008E273C" w:rsidRDefault="008E273C" w:rsidP="00F708F0">
            <w:pPr>
              <w:pStyle w:val="BodyText"/>
            </w:pPr>
            <w:r>
              <w:t>5,539</w:t>
            </w:r>
          </w:p>
        </w:tc>
        <w:tc>
          <w:tcPr>
            <w:tcW w:w="438" w:type="pct"/>
          </w:tcPr>
          <w:p w:rsidR="008E273C" w:rsidRDefault="008E273C" w:rsidP="00F708F0">
            <w:pPr>
              <w:pStyle w:val="BodyText"/>
            </w:pPr>
            <w:r>
              <w:t>3</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3</w:t>
            </w:r>
          </w:p>
        </w:tc>
        <w:tc>
          <w:tcPr>
            <w:tcW w:w="438" w:type="pct"/>
          </w:tcPr>
          <w:p w:rsidR="008E273C" w:rsidRDefault="008E273C" w:rsidP="00F708F0">
            <w:pPr>
              <w:pStyle w:val="BodyText"/>
            </w:pPr>
            <w:r>
              <w:rPr>
                <w:rStyle w:val="01bodybold"/>
              </w:rPr>
              <w:t>7,133</w:t>
            </w:r>
          </w:p>
        </w:tc>
      </w:tr>
      <w:tr w:rsidR="008E273C" w:rsidTr="00F708F0">
        <w:trPr>
          <w:trHeight w:val="305"/>
        </w:trPr>
        <w:tc>
          <w:tcPr>
            <w:tcW w:w="517" w:type="pct"/>
          </w:tcPr>
          <w:p w:rsidR="008E273C" w:rsidRDefault="008E273C" w:rsidP="00F708F0">
            <w:pPr>
              <w:pStyle w:val="BodyText"/>
            </w:pPr>
            <w:r>
              <w:t>QLD</w:t>
            </w:r>
          </w:p>
        </w:tc>
        <w:tc>
          <w:tcPr>
            <w:tcW w:w="438" w:type="pct"/>
          </w:tcPr>
          <w:p w:rsidR="008E273C" w:rsidRDefault="008E273C" w:rsidP="00F708F0">
            <w:pPr>
              <w:pStyle w:val="BodyText"/>
            </w:pPr>
            <w:r>
              <w:t>1,362</w:t>
            </w:r>
          </w:p>
        </w:tc>
        <w:tc>
          <w:tcPr>
            <w:tcW w:w="438" w:type="pct"/>
          </w:tcPr>
          <w:p w:rsidR="008E273C" w:rsidRDefault="008E273C" w:rsidP="00F708F0">
            <w:pPr>
              <w:pStyle w:val="BodyText"/>
            </w:pPr>
            <w:r>
              <w:t>94</w:t>
            </w:r>
          </w:p>
        </w:tc>
        <w:tc>
          <w:tcPr>
            <w:tcW w:w="438" w:type="pct"/>
          </w:tcPr>
          <w:p w:rsidR="008E273C" w:rsidRDefault="008E273C" w:rsidP="00F708F0">
            <w:pPr>
              <w:pStyle w:val="BodyText"/>
            </w:pPr>
            <w:r>
              <w:t>1,456</w:t>
            </w:r>
          </w:p>
        </w:tc>
        <w:tc>
          <w:tcPr>
            <w:tcW w:w="438" w:type="pct"/>
          </w:tcPr>
          <w:p w:rsidR="008E273C" w:rsidRDefault="008E273C" w:rsidP="00F708F0">
            <w:pPr>
              <w:pStyle w:val="BodyText"/>
            </w:pPr>
            <w:r>
              <w:t>2,777</w:t>
            </w:r>
          </w:p>
        </w:tc>
        <w:tc>
          <w:tcPr>
            <w:tcW w:w="438" w:type="pct"/>
          </w:tcPr>
          <w:p w:rsidR="008E273C" w:rsidRDefault="008E273C" w:rsidP="00F708F0">
            <w:pPr>
              <w:pStyle w:val="BodyText"/>
            </w:pPr>
            <w:r>
              <w:t>1,262</w:t>
            </w:r>
          </w:p>
        </w:tc>
        <w:tc>
          <w:tcPr>
            <w:tcW w:w="438" w:type="pct"/>
          </w:tcPr>
          <w:p w:rsidR="008E273C" w:rsidRDefault="008E273C" w:rsidP="00F708F0">
            <w:pPr>
              <w:pStyle w:val="BodyText"/>
            </w:pPr>
            <w:r>
              <w:t>4,039</w:t>
            </w:r>
          </w:p>
        </w:tc>
        <w:tc>
          <w:tcPr>
            <w:tcW w:w="438" w:type="pct"/>
          </w:tcPr>
          <w:p w:rsidR="008E273C" w:rsidRDefault="008E273C" w:rsidP="00F708F0">
            <w:pPr>
              <w:pStyle w:val="BodyText"/>
            </w:pPr>
            <w:r>
              <w:t>4</w:t>
            </w:r>
          </w:p>
        </w:tc>
        <w:tc>
          <w:tcPr>
            <w:tcW w:w="438" w:type="pct"/>
          </w:tcPr>
          <w:p w:rsidR="008E273C" w:rsidRDefault="008E273C" w:rsidP="00F708F0">
            <w:pPr>
              <w:pStyle w:val="BodyText"/>
            </w:pPr>
            <w:r>
              <w:t>1</w:t>
            </w:r>
          </w:p>
        </w:tc>
        <w:tc>
          <w:tcPr>
            <w:tcW w:w="542" w:type="pct"/>
          </w:tcPr>
          <w:p w:rsidR="008E273C" w:rsidRDefault="008E273C" w:rsidP="00F708F0">
            <w:pPr>
              <w:pStyle w:val="BodyText"/>
            </w:pPr>
            <w:r>
              <w:t>5</w:t>
            </w:r>
          </w:p>
        </w:tc>
        <w:tc>
          <w:tcPr>
            <w:tcW w:w="438" w:type="pct"/>
          </w:tcPr>
          <w:p w:rsidR="008E273C" w:rsidRDefault="008E273C" w:rsidP="00F708F0">
            <w:pPr>
              <w:pStyle w:val="BodyText"/>
            </w:pPr>
            <w:r>
              <w:rPr>
                <w:rStyle w:val="01bodybold"/>
              </w:rPr>
              <w:t>5,500</w:t>
            </w:r>
          </w:p>
        </w:tc>
      </w:tr>
      <w:tr w:rsidR="008E273C" w:rsidTr="00F708F0">
        <w:trPr>
          <w:trHeight w:val="60"/>
        </w:trPr>
        <w:tc>
          <w:tcPr>
            <w:tcW w:w="517" w:type="pct"/>
          </w:tcPr>
          <w:p w:rsidR="008E273C" w:rsidRDefault="008E273C" w:rsidP="00F708F0">
            <w:pPr>
              <w:pStyle w:val="BodyText"/>
            </w:pPr>
            <w:r>
              <w:t>SA</w:t>
            </w:r>
          </w:p>
        </w:tc>
        <w:tc>
          <w:tcPr>
            <w:tcW w:w="438" w:type="pct"/>
          </w:tcPr>
          <w:p w:rsidR="008E273C" w:rsidRDefault="008E273C" w:rsidP="00F708F0">
            <w:pPr>
              <w:pStyle w:val="BodyText"/>
            </w:pPr>
            <w:r>
              <w:t>716</w:t>
            </w:r>
          </w:p>
        </w:tc>
        <w:tc>
          <w:tcPr>
            <w:tcW w:w="438" w:type="pct"/>
          </w:tcPr>
          <w:p w:rsidR="008E273C" w:rsidRDefault="008E273C" w:rsidP="00F708F0">
            <w:pPr>
              <w:pStyle w:val="BodyText"/>
            </w:pPr>
            <w:r>
              <w:t>68</w:t>
            </w:r>
          </w:p>
        </w:tc>
        <w:tc>
          <w:tcPr>
            <w:tcW w:w="438" w:type="pct"/>
          </w:tcPr>
          <w:p w:rsidR="008E273C" w:rsidRDefault="008E273C" w:rsidP="00F708F0">
            <w:pPr>
              <w:pStyle w:val="BodyText"/>
            </w:pPr>
            <w:r>
              <w:t>784</w:t>
            </w:r>
          </w:p>
        </w:tc>
        <w:tc>
          <w:tcPr>
            <w:tcW w:w="438" w:type="pct"/>
          </w:tcPr>
          <w:p w:rsidR="008E273C" w:rsidRDefault="008E273C" w:rsidP="00F708F0">
            <w:pPr>
              <w:pStyle w:val="BodyText"/>
            </w:pPr>
            <w:r>
              <w:t>945</w:t>
            </w:r>
          </w:p>
        </w:tc>
        <w:tc>
          <w:tcPr>
            <w:tcW w:w="438" w:type="pct"/>
          </w:tcPr>
          <w:p w:rsidR="008E273C" w:rsidRDefault="008E273C" w:rsidP="00F708F0">
            <w:pPr>
              <w:pStyle w:val="BodyText"/>
            </w:pPr>
            <w:r>
              <w:t>605</w:t>
            </w:r>
          </w:p>
        </w:tc>
        <w:tc>
          <w:tcPr>
            <w:tcW w:w="438" w:type="pct"/>
          </w:tcPr>
          <w:p w:rsidR="008E273C" w:rsidRDefault="008E273C" w:rsidP="00F708F0">
            <w:pPr>
              <w:pStyle w:val="BodyText"/>
            </w:pPr>
            <w:r>
              <w:t>1,550</w:t>
            </w:r>
          </w:p>
        </w:tc>
        <w:tc>
          <w:tcPr>
            <w:tcW w:w="438" w:type="pct"/>
          </w:tcPr>
          <w:p w:rsidR="008E273C" w:rsidRDefault="008E273C" w:rsidP="00F708F0">
            <w:pPr>
              <w:pStyle w:val="BodyText"/>
            </w:pPr>
            <w:r>
              <w:t>1</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1</w:t>
            </w:r>
          </w:p>
        </w:tc>
        <w:tc>
          <w:tcPr>
            <w:tcW w:w="438" w:type="pct"/>
          </w:tcPr>
          <w:p w:rsidR="008E273C" w:rsidRDefault="008E273C" w:rsidP="00F708F0">
            <w:pPr>
              <w:pStyle w:val="BodyText"/>
            </w:pPr>
            <w:r>
              <w:rPr>
                <w:rStyle w:val="01bodybold"/>
              </w:rPr>
              <w:t>2,335</w:t>
            </w:r>
          </w:p>
        </w:tc>
      </w:tr>
      <w:tr w:rsidR="008E273C" w:rsidTr="00F708F0">
        <w:trPr>
          <w:trHeight w:val="60"/>
        </w:trPr>
        <w:tc>
          <w:tcPr>
            <w:tcW w:w="517" w:type="pct"/>
          </w:tcPr>
          <w:p w:rsidR="008E273C" w:rsidRDefault="008E273C" w:rsidP="00F708F0">
            <w:pPr>
              <w:pStyle w:val="BodyText"/>
            </w:pPr>
            <w:r>
              <w:t>TAS</w:t>
            </w:r>
          </w:p>
        </w:tc>
        <w:tc>
          <w:tcPr>
            <w:tcW w:w="438" w:type="pct"/>
          </w:tcPr>
          <w:p w:rsidR="008E273C" w:rsidRDefault="008E273C" w:rsidP="00F708F0">
            <w:pPr>
              <w:pStyle w:val="BodyText"/>
            </w:pPr>
            <w:r>
              <w:t>390</w:t>
            </w:r>
          </w:p>
        </w:tc>
        <w:tc>
          <w:tcPr>
            <w:tcW w:w="438" w:type="pct"/>
          </w:tcPr>
          <w:p w:rsidR="008E273C" w:rsidRDefault="008E273C" w:rsidP="00F708F0">
            <w:pPr>
              <w:pStyle w:val="BodyText"/>
            </w:pPr>
            <w:r>
              <w:t>67</w:t>
            </w:r>
          </w:p>
        </w:tc>
        <w:tc>
          <w:tcPr>
            <w:tcW w:w="438" w:type="pct"/>
          </w:tcPr>
          <w:p w:rsidR="008E273C" w:rsidRDefault="008E273C" w:rsidP="00F708F0">
            <w:pPr>
              <w:pStyle w:val="BodyText"/>
            </w:pPr>
            <w:r>
              <w:t>457</w:t>
            </w:r>
          </w:p>
        </w:tc>
        <w:tc>
          <w:tcPr>
            <w:tcW w:w="438" w:type="pct"/>
          </w:tcPr>
          <w:p w:rsidR="008E273C" w:rsidRDefault="008E273C" w:rsidP="00F708F0">
            <w:pPr>
              <w:pStyle w:val="BodyText"/>
            </w:pPr>
            <w:r>
              <w:t>584</w:t>
            </w:r>
          </w:p>
        </w:tc>
        <w:tc>
          <w:tcPr>
            <w:tcW w:w="438" w:type="pct"/>
          </w:tcPr>
          <w:p w:rsidR="008E273C" w:rsidRDefault="008E273C" w:rsidP="00F708F0">
            <w:pPr>
              <w:pStyle w:val="BodyText"/>
            </w:pPr>
            <w:r>
              <w:t>505</w:t>
            </w:r>
          </w:p>
        </w:tc>
        <w:tc>
          <w:tcPr>
            <w:tcW w:w="438" w:type="pct"/>
          </w:tcPr>
          <w:p w:rsidR="008E273C" w:rsidRDefault="008E273C" w:rsidP="00F708F0">
            <w:pPr>
              <w:pStyle w:val="BodyText"/>
            </w:pPr>
            <w:r>
              <w:t>1,089</w:t>
            </w:r>
          </w:p>
        </w:tc>
        <w:tc>
          <w:tcPr>
            <w:tcW w:w="438" w:type="pct"/>
          </w:tcPr>
          <w:p w:rsidR="008E273C" w:rsidRDefault="008E273C" w:rsidP="00F708F0">
            <w:pPr>
              <w:pStyle w:val="BodyText"/>
            </w:pPr>
            <w:r>
              <w:t>4</w:t>
            </w:r>
          </w:p>
        </w:tc>
        <w:tc>
          <w:tcPr>
            <w:tcW w:w="438" w:type="pct"/>
          </w:tcPr>
          <w:p w:rsidR="008E273C" w:rsidRDefault="008E273C" w:rsidP="00F708F0">
            <w:pPr>
              <w:pStyle w:val="BodyText"/>
            </w:pPr>
            <w:r>
              <w:t>1</w:t>
            </w:r>
          </w:p>
        </w:tc>
        <w:tc>
          <w:tcPr>
            <w:tcW w:w="542" w:type="pct"/>
          </w:tcPr>
          <w:p w:rsidR="008E273C" w:rsidRDefault="008E273C" w:rsidP="00F708F0">
            <w:pPr>
              <w:pStyle w:val="BodyText"/>
            </w:pPr>
            <w:r>
              <w:t>5</w:t>
            </w:r>
          </w:p>
        </w:tc>
        <w:tc>
          <w:tcPr>
            <w:tcW w:w="438" w:type="pct"/>
          </w:tcPr>
          <w:p w:rsidR="008E273C" w:rsidRDefault="008E273C" w:rsidP="00F708F0">
            <w:pPr>
              <w:pStyle w:val="BodyText"/>
            </w:pPr>
            <w:r>
              <w:rPr>
                <w:rStyle w:val="01bodybold"/>
              </w:rPr>
              <w:t>1,551</w:t>
            </w:r>
          </w:p>
        </w:tc>
      </w:tr>
      <w:tr w:rsidR="008E273C" w:rsidTr="00F708F0">
        <w:trPr>
          <w:trHeight w:val="60"/>
        </w:trPr>
        <w:tc>
          <w:tcPr>
            <w:tcW w:w="517" w:type="pct"/>
          </w:tcPr>
          <w:p w:rsidR="008E273C" w:rsidRDefault="008E273C" w:rsidP="00F708F0">
            <w:pPr>
              <w:pStyle w:val="BodyText"/>
            </w:pPr>
            <w:r>
              <w:lastRenderedPageBreak/>
              <w:t>VIC</w:t>
            </w:r>
          </w:p>
        </w:tc>
        <w:tc>
          <w:tcPr>
            <w:tcW w:w="438" w:type="pct"/>
          </w:tcPr>
          <w:p w:rsidR="008E273C" w:rsidRDefault="008E273C" w:rsidP="00F708F0">
            <w:pPr>
              <w:pStyle w:val="BodyText"/>
            </w:pPr>
            <w:r>
              <w:t>1,318</w:t>
            </w:r>
          </w:p>
        </w:tc>
        <w:tc>
          <w:tcPr>
            <w:tcW w:w="438" w:type="pct"/>
          </w:tcPr>
          <w:p w:rsidR="008E273C" w:rsidRDefault="008E273C" w:rsidP="00F708F0">
            <w:pPr>
              <w:pStyle w:val="BodyText"/>
            </w:pPr>
            <w:r>
              <w:t>142</w:t>
            </w:r>
          </w:p>
        </w:tc>
        <w:tc>
          <w:tcPr>
            <w:tcW w:w="438" w:type="pct"/>
          </w:tcPr>
          <w:p w:rsidR="008E273C" w:rsidRDefault="008E273C" w:rsidP="00F708F0">
            <w:pPr>
              <w:pStyle w:val="BodyText"/>
            </w:pPr>
            <w:r>
              <w:t>1,460</w:t>
            </w:r>
          </w:p>
        </w:tc>
        <w:tc>
          <w:tcPr>
            <w:tcW w:w="438" w:type="pct"/>
          </w:tcPr>
          <w:p w:rsidR="008E273C" w:rsidRDefault="008E273C" w:rsidP="00F708F0">
            <w:pPr>
              <w:pStyle w:val="BodyText"/>
            </w:pPr>
            <w:r>
              <w:t>2,330</w:t>
            </w:r>
          </w:p>
        </w:tc>
        <w:tc>
          <w:tcPr>
            <w:tcW w:w="438" w:type="pct"/>
          </w:tcPr>
          <w:p w:rsidR="008E273C" w:rsidRDefault="008E273C" w:rsidP="00F708F0">
            <w:pPr>
              <w:pStyle w:val="BodyText"/>
            </w:pPr>
            <w:r>
              <w:t>1,562</w:t>
            </w:r>
          </w:p>
        </w:tc>
        <w:tc>
          <w:tcPr>
            <w:tcW w:w="438" w:type="pct"/>
          </w:tcPr>
          <w:p w:rsidR="008E273C" w:rsidRDefault="008E273C" w:rsidP="00F708F0">
            <w:pPr>
              <w:pStyle w:val="BodyText"/>
            </w:pPr>
            <w:r>
              <w:t>3,892</w:t>
            </w:r>
          </w:p>
        </w:tc>
        <w:tc>
          <w:tcPr>
            <w:tcW w:w="438" w:type="pct"/>
          </w:tcPr>
          <w:p w:rsidR="008E273C" w:rsidRDefault="008E273C" w:rsidP="00F708F0">
            <w:pPr>
              <w:pStyle w:val="BodyText"/>
            </w:pPr>
            <w:r>
              <w:t>2</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2</w:t>
            </w:r>
          </w:p>
        </w:tc>
        <w:tc>
          <w:tcPr>
            <w:tcW w:w="438" w:type="pct"/>
          </w:tcPr>
          <w:p w:rsidR="008E273C" w:rsidRDefault="008E273C" w:rsidP="00F708F0">
            <w:pPr>
              <w:pStyle w:val="BodyText"/>
            </w:pPr>
            <w:r>
              <w:rPr>
                <w:rStyle w:val="01bodybold"/>
              </w:rPr>
              <w:t>5,354</w:t>
            </w:r>
          </w:p>
        </w:tc>
      </w:tr>
      <w:tr w:rsidR="008E273C" w:rsidTr="00F708F0">
        <w:trPr>
          <w:trHeight w:val="60"/>
        </w:trPr>
        <w:tc>
          <w:tcPr>
            <w:tcW w:w="517" w:type="pct"/>
          </w:tcPr>
          <w:p w:rsidR="008E273C" w:rsidRDefault="008E273C" w:rsidP="00F708F0">
            <w:pPr>
              <w:pStyle w:val="BodyText"/>
            </w:pPr>
            <w:r>
              <w:t>WA</w:t>
            </w:r>
          </w:p>
        </w:tc>
        <w:tc>
          <w:tcPr>
            <w:tcW w:w="438" w:type="pct"/>
          </w:tcPr>
          <w:p w:rsidR="008E273C" w:rsidRDefault="008E273C" w:rsidP="00F708F0">
            <w:pPr>
              <w:pStyle w:val="BodyText"/>
            </w:pPr>
            <w:r>
              <w:t>389</w:t>
            </w:r>
          </w:p>
        </w:tc>
        <w:tc>
          <w:tcPr>
            <w:tcW w:w="438" w:type="pct"/>
          </w:tcPr>
          <w:p w:rsidR="008E273C" w:rsidRDefault="008E273C" w:rsidP="00F708F0">
            <w:pPr>
              <w:pStyle w:val="BodyText"/>
            </w:pPr>
            <w:r>
              <w:t>31</w:t>
            </w:r>
          </w:p>
        </w:tc>
        <w:tc>
          <w:tcPr>
            <w:tcW w:w="438" w:type="pct"/>
          </w:tcPr>
          <w:p w:rsidR="008E273C" w:rsidRDefault="008E273C" w:rsidP="00F708F0">
            <w:pPr>
              <w:pStyle w:val="BodyText"/>
            </w:pPr>
            <w:r>
              <w:t>420</w:t>
            </w:r>
          </w:p>
        </w:tc>
        <w:tc>
          <w:tcPr>
            <w:tcW w:w="438" w:type="pct"/>
          </w:tcPr>
          <w:p w:rsidR="008E273C" w:rsidRDefault="008E273C" w:rsidP="00F708F0">
            <w:pPr>
              <w:pStyle w:val="BodyText"/>
            </w:pPr>
            <w:r>
              <w:t>887</w:t>
            </w:r>
          </w:p>
        </w:tc>
        <w:tc>
          <w:tcPr>
            <w:tcW w:w="438" w:type="pct"/>
          </w:tcPr>
          <w:p w:rsidR="008E273C" w:rsidRDefault="008E273C" w:rsidP="00F708F0">
            <w:pPr>
              <w:pStyle w:val="BodyText"/>
            </w:pPr>
            <w:r>
              <w:t>488</w:t>
            </w:r>
          </w:p>
        </w:tc>
        <w:tc>
          <w:tcPr>
            <w:tcW w:w="438" w:type="pct"/>
          </w:tcPr>
          <w:p w:rsidR="008E273C" w:rsidRDefault="008E273C" w:rsidP="00F708F0">
            <w:pPr>
              <w:pStyle w:val="BodyText"/>
            </w:pPr>
            <w:r>
              <w:t>1,375</w:t>
            </w:r>
          </w:p>
        </w:tc>
        <w:tc>
          <w:tcPr>
            <w:tcW w:w="438" w:type="pct"/>
          </w:tcPr>
          <w:p w:rsidR="008E273C" w:rsidRDefault="008E273C" w:rsidP="00F708F0">
            <w:pPr>
              <w:pStyle w:val="BodyText"/>
            </w:pPr>
            <w:r>
              <w:t>2</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2</w:t>
            </w:r>
          </w:p>
        </w:tc>
        <w:tc>
          <w:tcPr>
            <w:tcW w:w="438" w:type="pct"/>
          </w:tcPr>
          <w:p w:rsidR="008E273C" w:rsidRDefault="008E273C" w:rsidP="00F708F0">
            <w:pPr>
              <w:pStyle w:val="BodyText"/>
            </w:pPr>
            <w:r>
              <w:rPr>
                <w:rStyle w:val="01bodybold"/>
              </w:rPr>
              <w:t>1,797</w:t>
            </w:r>
          </w:p>
        </w:tc>
      </w:tr>
      <w:tr w:rsidR="008E273C" w:rsidTr="00F708F0">
        <w:trPr>
          <w:trHeight w:val="60"/>
        </w:trPr>
        <w:tc>
          <w:tcPr>
            <w:tcW w:w="517" w:type="pct"/>
          </w:tcPr>
          <w:p w:rsidR="008E273C" w:rsidRDefault="008E273C" w:rsidP="00F708F0">
            <w:pPr>
              <w:pStyle w:val="BodyText"/>
            </w:pPr>
            <w:r>
              <w:t>ACT</w:t>
            </w:r>
          </w:p>
        </w:tc>
        <w:tc>
          <w:tcPr>
            <w:tcW w:w="438" w:type="pct"/>
          </w:tcPr>
          <w:p w:rsidR="008E273C" w:rsidRDefault="008E273C" w:rsidP="00F708F0">
            <w:pPr>
              <w:pStyle w:val="BodyText"/>
            </w:pPr>
            <w:r>
              <w:t>1,693</w:t>
            </w:r>
          </w:p>
        </w:tc>
        <w:tc>
          <w:tcPr>
            <w:tcW w:w="438" w:type="pct"/>
          </w:tcPr>
          <w:p w:rsidR="008E273C" w:rsidRDefault="008E273C" w:rsidP="00F708F0">
            <w:pPr>
              <w:pStyle w:val="BodyText"/>
            </w:pPr>
            <w:r>
              <w:t>93</w:t>
            </w:r>
          </w:p>
        </w:tc>
        <w:tc>
          <w:tcPr>
            <w:tcW w:w="438" w:type="pct"/>
          </w:tcPr>
          <w:p w:rsidR="008E273C" w:rsidRDefault="008E273C" w:rsidP="00F708F0">
            <w:pPr>
              <w:pStyle w:val="BodyText"/>
            </w:pPr>
            <w:r>
              <w:t>1,786</w:t>
            </w:r>
          </w:p>
        </w:tc>
        <w:tc>
          <w:tcPr>
            <w:tcW w:w="438" w:type="pct"/>
          </w:tcPr>
          <w:p w:rsidR="008E273C" w:rsidRDefault="008E273C" w:rsidP="00F708F0">
            <w:pPr>
              <w:pStyle w:val="BodyText"/>
            </w:pPr>
            <w:r>
              <w:t>1,752</w:t>
            </w:r>
          </w:p>
        </w:tc>
        <w:tc>
          <w:tcPr>
            <w:tcW w:w="438" w:type="pct"/>
          </w:tcPr>
          <w:p w:rsidR="008E273C" w:rsidRDefault="008E273C" w:rsidP="00F708F0">
            <w:pPr>
              <w:pStyle w:val="BodyText"/>
            </w:pPr>
            <w:r>
              <w:t>453</w:t>
            </w:r>
          </w:p>
        </w:tc>
        <w:tc>
          <w:tcPr>
            <w:tcW w:w="438" w:type="pct"/>
          </w:tcPr>
          <w:p w:rsidR="008E273C" w:rsidRDefault="008E273C" w:rsidP="00F708F0">
            <w:pPr>
              <w:pStyle w:val="BodyText"/>
            </w:pPr>
            <w:r>
              <w:t>2,205</w:t>
            </w:r>
          </w:p>
        </w:tc>
        <w:tc>
          <w:tcPr>
            <w:tcW w:w="438" w:type="pct"/>
          </w:tcPr>
          <w:p w:rsidR="008E273C" w:rsidRDefault="008E273C" w:rsidP="00F708F0">
            <w:pPr>
              <w:pStyle w:val="BodyText"/>
            </w:pPr>
            <w:r>
              <w:t>9</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9</w:t>
            </w:r>
          </w:p>
        </w:tc>
        <w:tc>
          <w:tcPr>
            <w:tcW w:w="438" w:type="pct"/>
          </w:tcPr>
          <w:p w:rsidR="008E273C" w:rsidRDefault="008E273C" w:rsidP="00F708F0">
            <w:pPr>
              <w:pStyle w:val="BodyText"/>
            </w:pPr>
            <w:r>
              <w:rPr>
                <w:rStyle w:val="01bodybold"/>
              </w:rPr>
              <w:t>4,000</w:t>
            </w:r>
          </w:p>
        </w:tc>
      </w:tr>
      <w:tr w:rsidR="008E273C" w:rsidTr="00F708F0">
        <w:trPr>
          <w:trHeight w:val="60"/>
        </w:trPr>
        <w:tc>
          <w:tcPr>
            <w:tcW w:w="517" w:type="pct"/>
          </w:tcPr>
          <w:p w:rsidR="008E273C" w:rsidRDefault="008E273C" w:rsidP="00F708F0">
            <w:pPr>
              <w:pStyle w:val="BodyText"/>
            </w:pPr>
            <w:r>
              <w:t>NT</w:t>
            </w:r>
          </w:p>
        </w:tc>
        <w:tc>
          <w:tcPr>
            <w:tcW w:w="438" w:type="pct"/>
          </w:tcPr>
          <w:p w:rsidR="008E273C" w:rsidRDefault="008E273C" w:rsidP="00F708F0">
            <w:pPr>
              <w:pStyle w:val="BodyText"/>
            </w:pPr>
            <w:r>
              <w:t>84</w:t>
            </w:r>
          </w:p>
        </w:tc>
        <w:tc>
          <w:tcPr>
            <w:tcW w:w="438" w:type="pct"/>
          </w:tcPr>
          <w:p w:rsidR="008E273C" w:rsidRDefault="008E273C" w:rsidP="00F708F0">
            <w:pPr>
              <w:pStyle w:val="BodyText"/>
            </w:pPr>
            <w:r>
              <w:t>3</w:t>
            </w:r>
          </w:p>
        </w:tc>
        <w:tc>
          <w:tcPr>
            <w:tcW w:w="438" w:type="pct"/>
          </w:tcPr>
          <w:p w:rsidR="008E273C" w:rsidRDefault="008E273C" w:rsidP="00F708F0">
            <w:pPr>
              <w:pStyle w:val="BodyText"/>
            </w:pPr>
            <w:r>
              <w:t>87</w:t>
            </w:r>
          </w:p>
        </w:tc>
        <w:tc>
          <w:tcPr>
            <w:tcW w:w="438" w:type="pct"/>
          </w:tcPr>
          <w:p w:rsidR="008E273C" w:rsidRDefault="008E273C" w:rsidP="00F708F0">
            <w:pPr>
              <w:pStyle w:val="BodyText"/>
            </w:pPr>
            <w:r>
              <w:t>270</w:t>
            </w:r>
          </w:p>
        </w:tc>
        <w:tc>
          <w:tcPr>
            <w:tcW w:w="438" w:type="pct"/>
          </w:tcPr>
          <w:p w:rsidR="008E273C" w:rsidRDefault="008E273C" w:rsidP="00F708F0">
            <w:pPr>
              <w:pStyle w:val="BodyText"/>
            </w:pPr>
            <w:r>
              <w:t>65</w:t>
            </w:r>
          </w:p>
        </w:tc>
        <w:tc>
          <w:tcPr>
            <w:tcW w:w="438" w:type="pct"/>
          </w:tcPr>
          <w:p w:rsidR="008E273C" w:rsidRDefault="008E273C" w:rsidP="00F708F0">
            <w:pPr>
              <w:pStyle w:val="BodyText"/>
            </w:pPr>
            <w:r>
              <w:t>335</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422</w:t>
            </w:r>
          </w:p>
        </w:tc>
      </w:tr>
      <w:tr w:rsidR="008E273C" w:rsidTr="00F708F0">
        <w:trPr>
          <w:trHeight w:val="616"/>
        </w:trPr>
        <w:tc>
          <w:tcPr>
            <w:tcW w:w="517" w:type="pct"/>
          </w:tcPr>
          <w:p w:rsidR="008E273C" w:rsidRDefault="008E273C" w:rsidP="00F708F0">
            <w:pPr>
              <w:pStyle w:val="BodyText"/>
            </w:pPr>
            <w:r>
              <w:t>External territories</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0</w:t>
            </w:r>
          </w:p>
        </w:tc>
      </w:tr>
      <w:tr w:rsidR="008E273C" w:rsidTr="00F708F0">
        <w:trPr>
          <w:trHeight w:val="60"/>
        </w:trPr>
        <w:tc>
          <w:tcPr>
            <w:tcW w:w="517" w:type="pct"/>
          </w:tcPr>
          <w:p w:rsidR="008E273C" w:rsidRDefault="008E273C" w:rsidP="00F708F0">
            <w:pPr>
              <w:pStyle w:val="BodyText"/>
            </w:pPr>
            <w:r>
              <w:t>Overseas</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0</w:t>
            </w:r>
          </w:p>
        </w:tc>
      </w:tr>
      <w:tr w:rsidR="008E273C" w:rsidTr="00F708F0">
        <w:trPr>
          <w:trHeight w:val="60"/>
        </w:trPr>
        <w:tc>
          <w:tcPr>
            <w:tcW w:w="517" w:type="pct"/>
          </w:tcPr>
          <w:p w:rsidR="008E273C" w:rsidRDefault="008E273C" w:rsidP="00F708F0">
            <w:pPr>
              <w:pStyle w:val="BodyText"/>
            </w:pPr>
            <w:r>
              <w:rPr>
                <w:rStyle w:val="01bodybold"/>
              </w:rPr>
              <w:t>Total</w:t>
            </w:r>
          </w:p>
        </w:tc>
        <w:tc>
          <w:tcPr>
            <w:tcW w:w="438" w:type="pct"/>
          </w:tcPr>
          <w:p w:rsidR="008E273C" w:rsidRDefault="008E273C" w:rsidP="00F708F0">
            <w:pPr>
              <w:pStyle w:val="BodyText"/>
            </w:pPr>
            <w:r>
              <w:rPr>
                <w:rStyle w:val="01bodybold"/>
              </w:rPr>
              <w:t>7,354</w:t>
            </w:r>
          </w:p>
        </w:tc>
        <w:tc>
          <w:tcPr>
            <w:tcW w:w="438" w:type="pct"/>
          </w:tcPr>
          <w:p w:rsidR="008E273C" w:rsidRDefault="008E273C" w:rsidP="00F708F0">
            <w:pPr>
              <w:pStyle w:val="BodyText"/>
            </w:pPr>
            <w:r>
              <w:rPr>
                <w:rStyle w:val="01bodybold"/>
              </w:rPr>
              <w:t>687</w:t>
            </w:r>
          </w:p>
        </w:tc>
        <w:tc>
          <w:tcPr>
            <w:tcW w:w="438" w:type="pct"/>
          </w:tcPr>
          <w:p w:rsidR="008E273C" w:rsidRDefault="008E273C" w:rsidP="00F708F0">
            <w:pPr>
              <w:pStyle w:val="BodyText"/>
            </w:pPr>
            <w:r>
              <w:rPr>
                <w:rStyle w:val="01bodybold"/>
              </w:rPr>
              <w:t>8,041</w:t>
            </w:r>
          </w:p>
        </w:tc>
        <w:tc>
          <w:tcPr>
            <w:tcW w:w="438" w:type="pct"/>
          </w:tcPr>
          <w:p w:rsidR="008E273C" w:rsidRDefault="008E273C" w:rsidP="00F708F0">
            <w:pPr>
              <w:pStyle w:val="BodyText"/>
            </w:pPr>
            <w:r>
              <w:rPr>
                <w:rStyle w:val="01bodybold"/>
              </w:rPr>
              <w:t>12,830</w:t>
            </w:r>
          </w:p>
        </w:tc>
        <w:tc>
          <w:tcPr>
            <w:tcW w:w="438" w:type="pct"/>
          </w:tcPr>
          <w:p w:rsidR="008E273C" w:rsidRDefault="008E273C" w:rsidP="00F708F0">
            <w:pPr>
              <w:pStyle w:val="BodyText"/>
            </w:pPr>
            <w:r>
              <w:rPr>
                <w:rStyle w:val="01bodybold"/>
              </w:rPr>
              <w:t>7,194</w:t>
            </w:r>
          </w:p>
        </w:tc>
        <w:tc>
          <w:tcPr>
            <w:tcW w:w="438" w:type="pct"/>
          </w:tcPr>
          <w:p w:rsidR="008E273C" w:rsidRDefault="008E273C" w:rsidP="00F708F0">
            <w:pPr>
              <w:pStyle w:val="BodyText"/>
            </w:pPr>
            <w:r>
              <w:rPr>
                <w:rStyle w:val="01bodybold"/>
              </w:rPr>
              <w:t>20,024</w:t>
            </w:r>
          </w:p>
        </w:tc>
        <w:tc>
          <w:tcPr>
            <w:tcW w:w="438" w:type="pct"/>
          </w:tcPr>
          <w:p w:rsidR="008E273C" w:rsidRDefault="008E273C" w:rsidP="00F708F0">
            <w:pPr>
              <w:pStyle w:val="BodyText"/>
            </w:pPr>
            <w:r>
              <w:rPr>
                <w:rStyle w:val="01bodybold"/>
              </w:rPr>
              <w:t>25</w:t>
            </w:r>
          </w:p>
        </w:tc>
        <w:tc>
          <w:tcPr>
            <w:tcW w:w="438" w:type="pct"/>
          </w:tcPr>
          <w:p w:rsidR="008E273C" w:rsidRDefault="008E273C" w:rsidP="00F708F0">
            <w:pPr>
              <w:pStyle w:val="BodyText"/>
            </w:pPr>
            <w:r>
              <w:rPr>
                <w:rStyle w:val="01bodybold"/>
              </w:rPr>
              <w:t>2</w:t>
            </w:r>
          </w:p>
        </w:tc>
        <w:tc>
          <w:tcPr>
            <w:tcW w:w="542" w:type="pct"/>
          </w:tcPr>
          <w:p w:rsidR="008E273C" w:rsidRDefault="008E273C" w:rsidP="00F708F0">
            <w:pPr>
              <w:pStyle w:val="BodyText"/>
            </w:pPr>
            <w:r>
              <w:rPr>
                <w:rStyle w:val="01bodybold"/>
              </w:rPr>
              <w:t>27</w:t>
            </w:r>
          </w:p>
        </w:tc>
        <w:tc>
          <w:tcPr>
            <w:tcW w:w="438" w:type="pct"/>
          </w:tcPr>
          <w:p w:rsidR="008E273C" w:rsidRDefault="008E273C" w:rsidP="00F708F0">
            <w:pPr>
              <w:pStyle w:val="BodyText"/>
            </w:pPr>
            <w:r>
              <w:rPr>
                <w:rStyle w:val="01bodybold"/>
              </w:rPr>
              <w:t>28,092</w:t>
            </w:r>
          </w:p>
        </w:tc>
      </w:tr>
    </w:tbl>
    <w:p w:rsidR="008E273C" w:rsidRPr="00F708F0" w:rsidRDefault="00F708F0" w:rsidP="00F708F0">
      <w:pPr>
        <w:pStyle w:val="BodyText"/>
        <w:rPr>
          <w:b/>
        </w:rPr>
      </w:pPr>
      <w:r w:rsidRPr="00F708F0">
        <w:rPr>
          <w:b/>
        </w:rPr>
        <w:t xml:space="preserve">Table 60: </w:t>
      </w:r>
      <w:r w:rsidR="008E273C" w:rsidRPr="00F708F0">
        <w:rPr>
          <w:b/>
        </w:rPr>
        <w:t>Australian Public Service Act non-ongoing employees at 30 June 2020</w:t>
      </w:r>
      <w:r w:rsidR="008E273C" w:rsidRPr="00F708F0">
        <w:rPr>
          <w:b/>
          <w:vertAlign w:val="superscript"/>
        </w:rPr>
        <w:t>(a)</w:t>
      </w:r>
    </w:p>
    <w:tbl>
      <w:tblPr>
        <w:tblStyle w:val="TableGrid"/>
        <w:tblW w:w="5000" w:type="pct"/>
        <w:tblLook w:val="0000" w:firstRow="0" w:lastRow="0" w:firstColumn="0" w:lastColumn="0" w:noHBand="0" w:noVBand="0"/>
        <w:tblCaption w:val="Table 60: Australian Public Service Act non-ongoing employees at 30 June 2020(a)"/>
        <w:tblDescription w:val="Table 60: Australian Public Service Act non-ongoing employees at 30 June 2020(a)"/>
      </w:tblPr>
      <w:tblGrid>
        <w:gridCol w:w="1244"/>
        <w:gridCol w:w="960"/>
        <w:gridCol w:w="960"/>
        <w:gridCol w:w="960"/>
        <w:gridCol w:w="961"/>
        <w:gridCol w:w="961"/>
        <w:gridCol w:w="977"/>
        <w:gridCol w:w="961"/>
        <w:gridCol w:w="961"/>
        <w:gridCol w:w="1192"/>
        <w:gridCol w:w="959"/>
      </w:tblGrid>
      <w:tr w:rsidR="008E273C" w:rsidTr="00F708F0">
        <w:trPr>
          <w:trHeight w:val="60"/>
          <w:tblHeader/>
        </w:trPr>
        <w:tc>
          <w:tcPr>
            <w:tcW w:w="517" w:type="pct"/>
          </w:tcPr>
          <w:p w:rsidR="008E273C" w:rsidRDefault="008E273C" w:rsidP="00F708F0">
            <w:pPr>
              <w:pStyle w:val="BodyText"/>
            </w:pPr>
          </w:p>
        </w:tc>
        <w:tc>
          <w:tcPr>
            <w:tcW w:w="1313" w:type="pct"/>
            <w:gridSpan w:val="3"/>
          </w:tcPr>
          <w:p w:rsidR="008E273C" w:rsidRDefault="008E273C" w:rsidP="00F708F0">
            <w:pPr>
              <w:pStyle w:val="BodyText"/>
            </w:pPr>
            <w:r>
              <w:t>Male</w:t>
            </w:r>
          </w:p>
        </w:tc>
        <w:tc>
          <w:tcPr>
            <w:tcW w:w="1313" w:type="pct"/>
            <w:gridSpan w:val="3"/>
          </w:tcPr>
          <w:p w:rsidR="008E273C" w:rsidRDefault="008E273C" w:rsidP="00F708F0">
            <w:pPr>
              <w:pStyle w:val="BodyText"/>
            </w:pPr>
            <w:r>
              <w:t>Female</w:t>
            </w:r>
          </w:p>
        </w:tc>
        <w:tc>
          <w:tcPr>
            <w:tcW w:w="1418" w:type="pct"/>
            <w:gridSpan w:val="3"/>
          </w:tcPr>
          <w:p w:rsidR="008E273C" w:rsidRDefault="008E273C" w:rsidP="00F708F0">
            <w:pPr>
              <w:pStyle w:val="BodyText"/>
            </w:pPr>
            <w:r>
              <w:t>Non-binary</w:t>
            </w:r>
          </w:p>
        </w:tc>
        <w:tc>
          <w:tcPr>
            <w:tcW w:w="438" w:type="pct"/>
          </w:tcPr>
          <w:p w:rsidR="008E273C" w:rsidRDefault="008E273C" w:rsidP="00F708F0">
            <w:pPr>
              <w:pStyle w:val="BodyText"/>
            </w:pPr>
          </w:p>
        </w:tc>
      </w:tr>
      <w:tr w:rsidR="008E273C" w:rsidTr="00F708F0">
        <w:trPr>
          <w:trHeight w:val="60"/>
          <w:tblHeader/>
        </w:trPr>
        <w:tc>
          <w:tcPr>
            <w:tcW w:w="517" w:type="pct"/>
          </w:tcPr>
          <w:p w:rsidR="008E273C" w:rsidRDefault="008E273C" w:rsidP="00F708F0">
            <w:pPr>
              <w:pStyle w:val="BodyText"/>
            </w:pPr>
          </w:p>
        </w:tc>
        <w:tc>
          <w:tcPr>
            <w:tcW w:w="438" w:type="pct"/>
          </w:tcPr>
          <w:p w:rsidR="008E273C" w:rsidRDefault="008E273C" w:rsidP="00F708F0">
            <w:pPr>
              <w:pStyle w:val="BodyText"/>
            </w:pPr>
            <w:r>
              <w:rPr>
                <w:rStyle w:val="Bold"/>
              </w:rPr>
              <w:t>Full-time</w:t>
            </w:r>
          </w:p>
        </w:tc>
        <w:tc>
          <w:tcPr>
            <w:tcW w:w="438" w:type="pct"/>
          </w:tcPr>
          <w:p w:rsidR="008E273C" w:rsidRDefault="008E273C" w:rsidP="00F708F0">
            <w:pPr>
              <w:pStyle w:val="BodyText"/>
            </w:pPr>
            <w:r>
              <w:rPr>
                <w:rStyle w:val="Bold"/>
              </w:rPr>
              <w:t>Part-time</w:t>
            </w:r>
          </w:p>
        </w:tc>
        <w:tc>
          <w:tcPr>
            <w:tcW w:w="438" w:type="pct"/>
          </w:tcPr>
          <w:p w:rsidR="008E273C" w:rsidRDefault="00AC4959" w:rsidP="00F708F0">
            <w:pPr>
              <w:pStyle w:val="BodyText"/>
            </w:pPr>
            <w:r>
              <w:rPr>
                <w:rStyle w:val="Bold"/>
              </w:rPr>
              <w:t>Total male</w:t>
            </w:r>
          </w:p>
        </w:tc>
        <w:tc>
          <w:tcPr>
            <w:tcW w:w="438" w:type="pct"/>
          </w:tcPr>
          <w:p w:rsidR="008E273C" w:rsidRDefault="008E273C" w:rsidP="00F708F0">
            <w:pPr>
              <w:pStyle w:val="BodyText"/>
            </w:pPr>
            <w:r>
              <w:rPr>
                <w:rStyle w:val="Bold"/>
              </w:rPr>
              <w:t>Full-time</w:t>
            </w:r>
          </w:p>
        </w:tc>
        <w:tc>
          <w:tcPr>
            <w:tcW w:w="438" w:type="pct"/>
          </w:tcPr>
          <w:p w:rsidR="008E273C" w:rsidRDefault="008E273C" w:rsidP="00F708F0">
            <w:pPr>
              <w:pStyle w:val="BodyText"/>
            </w:pPr>
            <w:r>
              <w:rPr>
                <w:rStyle w:val="Bold"/>
              </w:rPr>
              <w:t>Part-time</w:t>
            </w:r>
          </w:p>
        </w:tc>
        <w:tc>
          <w:tcPr>
            <w:tcW w:w="438" w:type="pct"/>
          </w:tcPr>
          <w:p w:rsidR="008E273C" w:rsidRDefault="008E273C" w:rsidP="00F708F0">
            <w:pPr>
              <w:pStyle w:val="BodyText"/>
            </w:pPr>
            <w:r>
              <w:rPr>
                <w:rStyle w:val="Bold"/>
              </w:rPr>
              <w:t>Tot</w:t>
            </w:r>
            <w:r w:rsidR="00AC4959">
              <w:rPr>
                <w:rStyle w:val="Bold"/>
              </w:rPr>
              <w:t>al female</w:t>
            </w:r>
          </w:p>
        </w:tc>
        <w:tc>
          <w:tcPr>
            <w:tcW w:w="438" w:type="pct"/>
          </w:tcPr>
          <w:p w:rsidR="008E273C" w:rsidRDefault="008E273C" w:rsidP="00F708F0">
            <w:pPr>
              <w:pStyle w:val="BodyText"/>
            </w:pPr>
            <w:r>
              <w:rPr>
                <w:rStyle w:val="Bold"/>
              </w:rPr>
              <w:t>Full-time</w:t>
            </w:r>
          </w:p>
        </w:tc>
        <w:tc>
          <w:tcPr>
            <w:tcW w:w="438" w:type="pct"/>
          </w:tcPr>
          <w:p w:rsidR="008E273C" w:rsidRDefault="008E273C" w:rsidP="00F708F0">
            <w:pPr>
              <w:pStyle w:val="BodyText"/>
            </w:pPr>
            <w:r>
              <w:rPr>
                <w:rStyle w:val="Bold"/>
              </w:rPr>
              <w:t>Part-time</w:t>
            </w:r>
          </w:p>
        </w:tc>
        <w:tc>
          <w:tcPr>
            <w:tcW w:w="542" w:type="pct"/>
          </w:tcPr>
          <w:p w:rsidR="008E273C" w:rsidRDefault="008E273C" w:rsidP="00F708F0">
            <w:pPr>
              <w:pStyle w:val="BodyText"/>
            </w:pPr>
            <w:r>
              <w:rPr>
                <w:rStyle w:val="Bold"/>
              </w:rPr>
              <w:t xml:space="preserve">Total </w:t>
            </w:r>
            <w:r>
              <w:rPr>
                <w:rStyle w:val="Bold"/>
                <w:spacing w:val="-4"/>
              </w:rPr>
              <w:t>Non-binary</w:t>
            </w:r>
          </w:p>
        </w:tc>
        <w:tc>
          <w:tcPr>
            <w:tcW w:w="438" w:type="pct"/>
          </w:tcPr>
          <w:p w:rsidR="008E273C" w:rsidRDefault="008E273C" w:rsidP="00F708F0">
            <w:pPr>
              <w:pStyle w:val="BodyText"/>
            </w:pPr>
            <w:r>
              <w:rPr>
                <w:rStyle w:val="Bold"/>
              </w:rPr>
              <w:t>Total</w:t>
            </w:r>
          </w:p>
        </w:tc>
      </w:tr>
      <w:tr w:rsidR="008E273C" w:rsidTr="00F708F0">
        <w:trPr>
          <w:trHeight w:val="60"/>
        </w:trPr>
        <w:tc>
          <w:tcPr>
            <w:tcW w:w="517" w:type="pct"/>
          </w:tcPr>
          <w:p w:rsidR="008E273C" w:rsidRDefault="008E273C" w:rsidP="00F708F0">
            <w:pPr>
              <w:pStyle w:val="BodyText"/>
            </w:pPr>
            <w:r>
              <w:t>NSW</w:t>
            </w:r>
          </w:p>
        </w:tc>
        <w:tc>
          <w:tcPr>
            <w:tcW w:w="438" w:type="pct"/>
          </w:tcPr>
          <w:p w:rsidR="008E273C" w:rsidRDefault="008E273C" w:rsidP="00F708F0">
            <w:pPr>
              <w:pStyle w:val="BodyText"/>
            </w:pPr>
            <w:r>
              <w:t>74</w:t>
            </w:r>
          </w:p>
        </w:tc>
        <w:tc>
          <w:tcPr>
            <w:tcW w:w="438" w:type="pct"/>
          </w:tcPr>
          <w:p w:rsidR="008E273C" w:rsidRDefault="008E273C" w:rsidP="00F708F0">
            <w:pPr>
              <w:pStyle w:val="BodyText"/>
            </w:pPr>
            <w:r>
              <w:t>188</w:t>
            </w:r>
          </w:p>
        </w:tc>
        <w:tc>
          <w:tcPr>
            <w:tcW w:w="438" w:type="pct"/>
          </w:tcPr>
          <w:p w:rsidR="008E273C" w:rsidRDefault="008E273C" w:rsidP="00F708F0">
            <w:pPr>
              <w:pStyle w:val="BodyText"/>
            </w:pPr>
            <w:r>
              <w:t>262</w:t>
            </w:r>
          </w:p>
        </w:tc>
        <w:tc>
          <w:tcPr>
            <w:tcW w:w="438" w:type="pct"/>
          </w:tcPr>
          <w:p w:rsidR="008E273C" w:rsidRDefault="008E273C" w:rsidP="00F708F0">
            <w:pPr>
              <w:pStyle w:val="BodyText"/>
            </w:pPr>
            <w:r>
              <w:t>125</w:t>
            </w:r>
          </w:p>
        </w:tc>
        <w:tc>
          <w:tcPr>
            <w:tcW w:w="438" w:type="pct"/>
          </w:tcPr>
          <w:p w:rsidR="008E273C" w:rsidRDefault="008E273C" w:rsidP="00F708F0">
            <w:pPr>
              <w:pStyle w:val="BodyText"/>
            </w:pPr>
            <w:r>
              <w:t>659</w:t>
            </w:r>
          </w:p>
        </w:tc>
        <w:tc>
          <w:tcPr>
            <w:tcW w:w="438" w:type="pct"/>
          </w:tcPr>
          <w:p w:rsidR="008E273C" w:rsidRDefault="008E273C" w:rsidP="00F708F0">
            <w:pPr>
              <w:pStyle w:val="BodyText"/>
            </w:pPr>
            <w:r>
              <w:t>784</w:t>
            </w:r>
          </w:p>
        </w:tc>
        <w:tc>
          <w:tcPr>
            <w:tcW w:w="438" w:type="pct"/>
          </w:tcPr>
          <w:p w:rsidR="008E273C" w:rsidRDefault="008E273C" w:rsidP="00F708F0">
            <w:pPr>
              <w:pStyle w:val="BodyText"/>
            </w:pPr>
            <w:r>
              <w:t>2</w:t>
            </w:r>
          </w:p>
        </w:tc>
        <w:tc>
          <w:tcPr>
            <w:tcW w:w="438" w:type="pct"/>
          </w:tcPr>
          <w:p w:rsidR="008E273C" w:rsidRDefault="008E273C" w:rsidP="00F708F0">
            <w:pPr>
              <w:pStyle w:val="BodyText"/>
            </w:pPr>
            <w:r>
              <w:t>12</w:t>
            </w:r>
          </w:p>
        </w:tc>
        <w:tc>
          <w:tcPr>
            <w:tcW w:w="542" w:type="pct"/>
          </w:tcPr>
          <w:p w:rsidR="008E273C" w:rsidRDefault="008E273C" w:rsidP="00F708F0">
            <w:pPr>
              <w:pStyle w:val="BodyText"/>
            </w:pPr>
            <w:r>
              <w:t>14</w:t>
            </w:r>
          </w:p>
        </w:tc>
        <w:tc>
          <w:tcPr>
            <w:tcW w:w="438" w:type="pct"/>
          </w:tcPr>
          <w:p w:rsidR="008E273C" w:rsidRDefault="008E273C" w:rsidP="00F708F0">
            <w:pPr>
              <w:pStyle w:val="BodyText"/>
            </w:pPr>
            <w:r>
              <w:rPr>
                <w:rStyle w:val="01bodybold"/>
              </w:rPr>
              <w:t>1,060</w:t>
            </w:r>
          </w:p>
        </w:tc>
      </w:tr>
      <w:tr w:rsidR="008E273C" w:rsidTr="00F708F0">
        <w:trPr>
          <w:trHeight w:val="305"/>
        </w:trPr>
        <w:tc>
          <w:tcPr>
            <w:tcW w:w="517" w:type="pct"/>
          </w:tcPr>
          <w:p w:rsidR="008E273C" w:rsidRDefault="008E273C" w:rsidP="00F708F0">
            <w:pPr>
              <w:pStyle w:val="BodyText"/>
            </w:pPr>
            <w:r>
              <w:t>QLD</w:t>
            </w:r>
          </w:p>
        </w:tc>
        <w:tc>
          <w:tcPr>
            <w:tcW w:w="438" w:type="pct"/>
          </w:tcPr>
          <w:p w:rsidR="008E273C" w:rsidRDefault="008E273C" w:rsidP="00F708F0">
            <w:pPr>
              <w:pStyle w:val="BodyText"/>
            </w:pPr>
            <w:r>
              <w:t>56</w:t>
            </w:r>
          </w:p>
        </w:tc>
        <w:tc>
          <w:tcPr>
            <w:tcW w:w="438" w:type="pct"/>
          </w:tcPr>
          <w:p w:rsidR="008E273C" w:rsidRDefault="008E273C" w:rsidP="00F708F0">
            <w:pPr>
              <w:pStyle w:val="BodyText"/>
            </w:pPr>
            <w:r>
              <w:t>265</w:t>
            </w:r>
          </w:p>
        </w:tc>
        <w:tc>
          <w:tcPr>
            <w:tcW w:w="438" w:type="pct"/>
          </w:tcPr>
          <w:p w:rsidR="008E273C" w:rsidRDefault="008E273C" w:rsidP="00F708F0">
            <w:pPr>
              <w:pStyle w:val="BodyText"/>
            </w:pPr>
            <w:r>
              <w:t>321</w:t>
            </w:r>
          </w:p>
        </w:tc>
        <w:tc>
          <w:tcPr>
            <w:tcW w:w="438" w:type="pct"/>
          </w:tcPr>
          <w:p w:rsidR="008E273C" w:rsidRDefault="008E273C" w:rsidP="00F708F0">
            <w:pPr>
              <w:pStyle w:val="BodyText"/>
            </w:pPr>
            <w:r>
              <w:t>124</w:t>
            </w:r>
          </w:p>
        </w:tc>
        <w:tc>
          <w:tcPr>
            <w:tcW w:w="438" w:type="pct"/>
          </w:tcPr>
          <w:p w:rsidR="008E273C" w:rsidRDefault="008E273C" w:rsidP="00F708F0">
            <w:pPr>
              <w:pStyle w:val="BodyText"/>
            </w:pPr>
            <w:r>
              <w:t>641</w:t>
            </w:r>
          </w:p>
        </w:tc>
        <w:tc>
          <w:tcPr>
            <w:tcW w:w="438" w:type="pct"/>
          </w:tcPr>
          <w:p w:rsidR="008E273C" w:rsidRDefault="008E273C" w:rsidP="00F708F0">
            <w:pPr>
              <w:pStyle w:val="BodyText"/>
            </w:pPr>
            <w:r>
              <w:t>765</w:t>
            </w:r>
          </w:p>
        </w:tc>
        <w:tc>
          <w:tcPr>
            <w:tcW w:w="438" w:type="pct"/>
          </w:tcPr>
          <w:p w:rsidR="008E273C" w:rsidRDefault="008E273C" w:rsidP="00F708F0">
            <w:pPr>
              <w:pStyle w:val="BodyText"/>
            </w:pPr>
            <w:r>
              <w:t>2</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2</w:t>
            </w:r>
          </w:p>
        </w:tc>
        <w:tc>
          <w:tcPr>
            <w:tcW w:w="438" w:type="pct"/>
          </w:tcPr>
          <w:p w:rsidR="008E273C" w:rsidRDefault="008E273C" w:rsidP="00F708F0">
            <w:pPr>
              <w:pStyle w:val="BodyText"/>
            </w:pPr>
            <w:r>
              <w:rPr>
                <w:rStyle w:val="01bodybold"/>
              </w:rPr>
              <w:t>1,088</w:t>
            </w:r>
          </w:p>
        </w:tc>
      </w:tr>
      <w:tr w:rsidR="008E273C" w:rsidTr="00F708F0">
        <w:trPr>
          <w:trHeight w:val="60"/>
        </w:trPr>
        <w:tc>
          <w:tcPr>
            <w:tcW w:w="517" w:type="pct"/>
          </w:tcPr>
          <w:p w:rsidR="008E273C" w:rsidRDefault="008E273C" w:rsidP="00F708F0">
            <w:pPr>
              <w:pStyle w:val="BodyText"/>
            </w:pPr>
            <w:r>
              <w:t>SA</w:t>
            </w:r>
          </w:p>
        </w:tc>
        <w:tc>
          <w:tcPr>
            <w:tcW w:w="438" w:type="pct"/>
          </w:tcPr>
          <w:p w:rsidR="008E273C" w:rsidRDefault="008E273C" w:rsidP="00F708F0">
            <w:pPr>
              <w:pStyle w:val="BodyText"/>
            </w:pPr>
            <w:r>
              <w:t>30</w:t>
            </w:r>
          </w:p>
        </w:tc>
        <w:tc>
          <w:tcPr>
            <w:tcW w:w="438" w:type="pct"/>
          </w:tcPr>
          <w:p w:rsidR="008E273C" w:rsidRDefault="008E273C" w:rsidP="00F708F0">
            <w:pPr>
              <w:pStyle w:val="BodyText"/>
            </w:pPr>
            <w:r>
              <w:t>88</w:t>
            </w:r>
          </w:p>
        </w:tc>
        <w:tc>
          <w:tcPr>
            <w:tcW w:w="438" w:type="pct"/>
          </w:tcPr>
          <w:p w:rsidR="008E273C" w:rsidRDefault="008E273C" w:rsidP="00F708F0">
            <w:pPr>
              <w:pStyle w:val="BodyText"/>
            </w:pPr>
            <w:r>
              <w:t>118</w:t>
            </w:r>
          </w:p>
        </w:tc>
        <w:tc>
          <w:tcPr>
            <w:tcW w:w="438" w:type="pct"/>
          </w:tcPr>
          <w:p w:rsidR="008E273C" w:rsidRDefault="008E273C" w:rsidP="00F708F0">
            <w:pPr>
              <w:pStyle w:val="BodyText"/>
            </w:pPr>
            <w:r>
              <w:t>61</w:t>
            </w:r>
          </w:p>
        </w:tc>
        <w:tc>
          <w:tcPr>
            <w:tcW w:w="438" w:type="pct"/>
          </w:tcPr>
          <w:p w:rsidR="008E273C" w:rsidRDefault="008E273C" w:rsidP="00F708F0">
            <w:pPr>
              <w:pStyle w:val="BodyText"/>
            </w:pPr>
            <w:r>
              <w:t>154</w:t>
            </w:r>
          </w:p>
        </w:tc>
        <w:tc>
          <w:tcPr>
            <w:tcW w:w="438" w:type="pct"/>
          </w:tcPr>
          <w:p w:rsidR="008E273C" w:rsidRDefault="008E273C" w:rsidP="00F708F0">
            <w:pPr>
              <w:pStyle w:val="BodyText"/>
            </w:pPr>
            <w:r>
              <w:t>215</w:t>
            </w:r>
          </w:p>
        </w:tc>
        <w:tc>
          <w:tcPr>
            <w:tcW w:w="438" w:type="pct"/>
          </w:tcPr>
          <w:p w:rsidR="008E273C" w:rsidRDefault="008E273C" w:rsidP="00F708F0">
            <w:pPr>
              <w:pStyle w:val="BodyText"/>
            </w:pPr>
            <w:r>
              <w:t>1</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1</w:t>
            </w:r>
          </w:p>
        </w:tc>
        <w:tc>
          <w:tcPr>
            <w:tcW w:w="438" w:type="pct"/>
          </w:tcPr>
          <w:p w:rsidR="008E273C" w:rsidRDefault="008E273C" w:rsidP="00F708F0">
            <w:pPr>
              <w:pStyle w:val="BodyText"/>
            </w:pPr>
            <w:r>
              <w:rPr>
                <w:rStyle w:val="01bodybold"/>
              </w:rPr>
              <w:t>334</w:t>
            </w:r>
          </w:p>
        </w:tc>
      </w:tr>
      <w:tr w:rsidR="008E273C" w:rsidTr="00F708F0">
        <w:trPr>
          <w:trHeight w:val="60"/>
        </w:trPr>
        <w:tc>
          <w:tcPr>
            <w:tcW w:w="517" w:type="pct"/>
          </w:tcPr>
          <w:p w:rsidR="008E273C" w:rsidRDefault="008E273C" w:rsidP="00F708F0">
            <w:pPr>
              <w:pStyle w:val="BodyText"/>
            </w:pPr>
            <w:r>
              <w:t>TAS</w:t>
            </w:r>
          </w:p>
        </w:tc>
        <w:tc>
          <w:tcPr>
            <w:tcW w:w="438" w:type="pct"/>
          </w:tcPr>
          <w:p w:rsidR="008E273C" w:rsidRDefault="008E273C" w:rsidP="00F708F0">
            <w:pPr>
              <w:pStyle w:val="BodyText"/>
            </w:pPr>
            <w:r>
              <w:t>13</w:t>
            </w:r>
          </w:p>
        </w:tc>
        <w:tc>
          <w:tcPr>
            <w:tcW w:w="438" w:type="pct"/>
          </w:tcPr>
          <w:p w:rsidR="008E273C" w:rsidRDefault="008E273C" w:rsidP="00F708F0">
            <w:pPr>
              <w:pStyle w:val="BodyText"/>
            </w:pPr>
            <w:r>
              <w:t>20</w:t>
            </w:r>
          </w:p>
        </w:tc>
        <w:tc>
          <w:tcPr>
            <w:tcW w:w="438" w:type="pct"/>
          </w:tcPr>
          <w:p w:rsidR="008E273C" w:rsidRDefault="008E273C" w:rsidP="00F708F0">
            <w:pPr>
              <w:pStyle w:val="BodyText"/>
            </w:pPr>
            <w:r>
              <w:t>33</w:t>
            </w:r>
          </w:p>
        </w:tc>
        <w:tc>
          <w:tcPr>
            <w:tcW w:w="438" w:type="pct"/>
          </w:tcPr>
          <w:p w:rsidR="008E273C" w:rsidRDefault="008E273C" w:rsidP="00F708F0">
            <w:pPr>
              <w:pStyle w:val="BodyText"/>
            </w:pPr>
            <w:r>
              <w:t>24</w:t>
            </w:r>
          </w:p>
        </w:tc>
        <w:tc>
          <w:tcPr>
            <w:tcW w:w="438" w:type="pct"/>
          </w:tcPr>
          <w:p w:rsidR="008E273C" w:rsidRDefault="008E273C" w:rsidP="00F708F0">
            <w:pPr>
              <w:pStyle w:val="BodyText"/>
            </w:pPr>
            <w:r>
              <w:t>61</w:t>
            </w:r>
          </w:p>
        </w:tc>
        <w:tc>
          <w:tcPr>
            <w:tcW w:w="438" w:type="pct"/>
          </w:tcPr>
          <w:p w:rsidR="008E273C" w:rsidRDefault="008E273C" w:rsidP="00F708F0">
            <w:pPr>
              <w:pStyle w:val="BodyText"/>
            </w:pPr>
            <w:r>
              <w:t>85</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118</w:t>
            </w:r>
          </w:p>
        </w:tc>
      </w:tr>
      <w:tr w:rsidR="008E273C" w:rsidTr="00F708F0">
        <w:trPr>
          <w:trHeight w:val="60"/>
        </w:trPr>
        <w:tc>
          <w:tcPr>
            <w:tcW w:w="517" w:type="pct"/>
          </w:tcPr>
          <w:p w:rsidR="008E273C" w:rsidRDefault="008E273C" w:rsidP="00F708F0">
            <w:pPr>
              <w:pStyle w:val="BodyText"/>
            </w:pPr>
            <w:r>
              <w:t>VIC</w:t>
            </w:r>
          </w:p>
        </w:tc>
        <w:tc>
          <w:tcPr>
            <w:tcW w:w="438" w:type="pct"/>
          </w:tcPr>
          <w:p w:rsidR="008E273C" w:rsidRDefault="008E273C" w:rsidP="00F708F0">
            <w:pPr>
              <w:pStyle w:val="BodyText"/>
            </w:pPr>
            <w:r>
              <w:t>58</w:t>
            </w:r>
          </w:p>
        </w:tc>
        <w:tc>
          <w:tcPr>
            <w:tcW w:w="438" w:type="pct"/>
          </w:tcPr>
          <w:p w:rsidR="008E273C" w:rsidRDefault="008E273C" w:rsidP="00F708F0">
            <w:pPr>
              <w:pStyle w:val="BodyText"/>
            </w:pPr>
            <w:r>
              <w:t>223</w:t>
            </w:r>
          </w:p>
        </w:tc>
        <w:tc>
          <w:tcPr>
            <w:tcW w:w="438" w:type="pct"/>
          </w:tcPr>
          <w:p w:rsidR="008E273C" w:rsidRDefault="008E273C" w:rsidP="00F708F0">
            <w:pPr>
              <w:pStyle w:val="BodyText"/>
            </w:pPr>
            <w:r>
              <w:t>281</w:t>
            </w:r>
          </w:p>
        </w:tc>
        <w:tc>
          <w:tcPr>
            <w:tcW w:w="438" w:type="pct"/>
          </w:tcPr>
          <w:p w:rsidR="008E273C" w:rsidRDefault="008E273C" w:rsidP="00F708F0">
            <w:pPr>
              <w:pStyle w:val="BodyText"/>
            </w:pPr>
            <w:r>
              <w:t>79</w:t>
            </w:r>
          </w:p>
        </w:tc>
        <w:tc>
          <w:tcPr>
            <w:tcW w:w="438" w:type="pct"/>
          </w:tcPr>
          <w:p w:rsidR="008E273C" w:rsidRDefault="008E273C" w:rsidP="00F708F0">
            <w:pPr>
              <w:pStyle w:val="BodyText"/>
            </w:pPr>
            <w:r>
              <w:t>598</w:t>
            </w:r>
          </w:p>
        </w:tc>
        <w:tc>
          <w:tcPr>
            <w:tcW w:w="438" w:type="pct"/>
          </w:tcPr>
          <w:p w:rsidR="008E273C" w:rsidRDefault="008E273C" w:rsidP="00F708F0">
            <w:pPr>
              <w:pStyle w:val="BodyText"/>
            </w:pPr>
            <w:r>
              <w:t>677</w:t>
            </w:r>
          </w:p>
        </w:tc>
        <w:tc>
          <w:tcPr>
            <w:tcW w:w="438" w:type="pct"/>
          </w:tcPr>
          <w:p w:rsidR="008E273C" w:rsidRDefault="008E273C" w:rsidP="00F708F0">
            <w:pPr>
              <w:pStyle w:val="BodyText"/>
            </w:pPr>
            <w:r>
              <w:t>1</w:t>
            </w:r>
          </w:p>
        </w:tc>
        <w:tc>
          <w:tcPr>
            <w:tcW w:w="438" w:type="pct"/>
          </w:tcPr>
          <w:p w:rsidR="008E273C" w:rsidRDefault="008E273C" w:rsidP="00F708F0">
            <w:pPr>
              <w:pStyle w:val="BodyText"/>
            </w:pPr>
            <w:r>
              <w:t>6</w:t>
            </w:r>
          </w:p>
        </w:tc>
        <w:tc>
          <w:tcPr>
            <w:tcW w:w="542" w:type="pct"/>
          </w:tcPr>
          <w:p w:rsidR="008E273C" w:rsidRDefault="008E273C" w:rsidP="00F708F0">
            <w:pPr>
              <w:pStyle w:val="BodyText"/>
            </w:pPr>
            <w:r>
              <w:t>7</w:t>
            </w:r>
          </w:p>
        </w:tc>
        <w:tc>
          <w:tcPr>
            <w:tcW w:w="438" w:type="pct"/>
          </w:tcPr>
          <w:p w:rsidR="008E273C" w:rsidRDefault="008E273C" w:rsidP="00F708F0">
            <w:pPr>
              <w:pStyle w:val="BodyText"/>
            </w:pPr>
            <w:r>
              <w:rPr>
                <w:rStyle w:val="01bodybold"/>
              </w:rPr>
              <w:t>965</w:t>
            </w:r>
          </w:p>
        </w:tc>
      </w:tr>
      <w:tr w:rsidR="008E273C" w:rsidTr="00F708F0">
        <w:trPr>
          <w:trHeight w:val="60"/>
        </w:trPr>
        <w:tc>
          <w:tcPr>
            <w:tcW w:w="517" w:type="pct"/>
          </w:tcPr>
          <w:p w:rsidR="008E273C" w:rsidRDefault="008E273C" w:rsidP="00F708F0">
            <w:pPr>
              <w:pStyle w:val="BodyText"/>
            </w:pPr>
            <w:r>
              <w:t>WA</w:t>
            </w:r>
          </w:p>
        </w:tc>
        <w:tc>
          <w:tcPr>
            <w:tcW w:w="438" w:type="pct"/>
          </w:tcPr>
          <w:p w:rsidR="008E273C" w:rsidRDefault="008E273C" w:rsidP="00F708F0">
            <w:pPr>
              <w:pStyle w:val="BodyText"/>
            </w:pPr>
            <w:r>
              <w:t>15</w:t>
            </w:r>
          </w:p>
        </w:tc>
        <w:tc>
          <w:tcPr>
            <w:tcW w:w="438" w:type="pct"/>
          </w:tcPr>
          <w:p w:rsidR="008E273C" w:rsidRDefault="008E273C" w:rsidP="00F708F0">
            <w:pPr>
              <w:pStyle w:val="BodyText"/>
            </w:pPr>
            <w:r>
              <w:t>68</w:t>
            </w:r>
          </w:p>
        </w:tc>
        <w:tc>
          <w:tcPr>
            <w:tcW w:w="438" w:type="pct"/>
          </w:tcPr>
          <w:p w:rsidR="008E273C" w:rsidRDefault="008E273C" w:rsidP="00F708F0">
            <w:pPr>
              <w:pStyle w:val="BodyText"/>
            </w:pPr>
            <w:r>
              <w:t>83</w:t>
            </w:r>
          </w:p>
        </w:tc>
        <w:tc>
          <w:tcPr>
            <w:tcW w:w="438" w:type="pct"/>
          </w:tcPr>
          <w:p w:rsidR="008E273C" w:rsidRDefault="008E273C" w:rsidP="00F708F0">
            <w:pPr>
              <w:pStyle w:val="BodyText"/>
            </w:pPr>
            <w:r>
              <w:t>34</w:t>
            </w:r>
          </w:p>
        </w:tc>
        <w:tc>
          <w:tcPr>
            <w:tcW w:w="438" w:type="pct"/>
          </w:tcPr>
          <w:p w:rsidR="008E273C" w:rsidRDefault="008E273C" w:rsidP="00F708F0">
            <w:pPr>
              <w:pStyle w:val="BodyText"/>
            </w:pPr>
            <w:r>
              <w:t>293</w:t>
            </w:r>
          </w:p>
        </w:tc>
        <w:tc>
          <w:tcPr>
            <w:tcW w:w="438" w:type="pct"/>
          </w:tcPr>
          <w:p w:rsidR="008E273C" w:rsidRDefault="008E273C" w:rsidP="00F708F0">
            <w:pPr>
              <w:pStyle w:val="BodyText"/>
            </w:pPr>
            <w:r>
              <w:t>327</w:t>
            </w:r>
          </w:p>
        </w:tc>
        <w:tc>
          <w:tcPr>
            <w:tcW w:w="438" w:type="pct"/>
          </w:tcPr>
          <w:p w:rsidR="008E273C" w:rsidRDefault="008E273C" w:rsidP="00F708F0">
            <w:pPr>
              <w:pStyle w:val="BodyText"/>
            </w:pPr>
            <w:r>
              <w:t>1</w:t>
            </w:r>
          </w:p>
        </w:tc>
        <w:tc>
          <w:tcPr>
            <w:tcW w:w="438" w:type="pct"/>
          </w:tcPr>
          <w:p w:rsidR="008E273C" w:rsidRDefault="008E273C" w:rsidP="00F708F0">
            <w:pPr>
              <w:pStyle w:val="BodyText"/>
            </w:pPr>
            <w:r>
              <w:t>4</w:t>
            </w:r>
          </w:p>
        </w:tc>
        <w:tc>
          <w:tcPr>
            <w:tcW w:w="542" w:type="pct"/>
          </w:tcPr>
          <w:p w:rsidR="008E273C" w:rsidRDefault="008E273C" w:rsidP="00F708F0">
            <w:pPr>
              <w:pStyle w:val="BodyText"/>
            </w:pPr>
            <w:r>
              <w:t>5</w:t>
            </w:r>
          </w:p>
        </w:tc>
        <w:tc>
          <w:tcPr>
            <w:tcW w:w="438" w:type="pct"/>
          </w:tcPr>
          <w:p w:rsidR="008E273C" w:rsidRDefault="008E273C" w:rsidP="00F708F0">
            <w:pPr>
              <w:pStyle w:val="BodyText"/>
            </w:pPr>
            <w:r>
              <w:rPr>
                <w:rStyle w:val="01bodybold"/>
              </w:rPr>
              <w:t>415</w:t>
            </w:r>
          </w:p>
        </w:tc>
      </w:tr>
      <w:tr w:rsidR="008E273C" w:rsidTr="00F708F0">
        <w:trPr>
          <w:trHeight w:val="60"/>
        </w:trPr>
        <w:tc>
          <w:tcPr>
            <w:tcW w:w="517" w:type="pct"/>
          </w:tcPr>
          <w:p w:rsidR="008E273C" w:rsidRDefault="008E273C" w:rsidP="00F708F0">
            <w:pPr>
              <w:pStyle w:val="BodyText"/>
            </w:pPr>
            <w:r>
              <w:t>ACT</w:t>
            </w:r>
          </w:p>
        </w:tc>
        <w:tc>
          <w:tcPr>
            <w:tcW w:w="438" w:type="pct"/>
          </w:tcPr>
          <w:p w:rsidR="008E273C" w:rsidRDefault="008E273C" w:rsidP="00F708F0">
            <w:pPr>
              <w:pStyle w:val="BodyText"/>
            </w:pPr>
            <w:r>
              <w:t>14</w:t>
            </w:r>
          </w:p>
        </w:tc>
        <w:tc>
          <w:tcPr>
            <w:tcW w:w="438" w:type="pct"/>
          </w:tcPr>
          <w:p w:rsidR="008E273C" w:rsidRDefault="008E273C" w:rsidP="00F708F0">
            <w:pPr>
              <w:pStyle w:val="BodyText"/>
            </w:pPr>
            <w:r>
              <w:t>52</w:t>
            </w:r>
          </w:p>
        </w:tc>
        <w:tc>
          <w:tcPr>
            <w:tcW w:w="438" w:type="pct"/>
          </w:tcPr>
          <w:p w:rsidR="008E273C" w:rsidRDefault="008E273C" w:rsidP="00F708F0">
            <w:pPr>
              <w:pStyle w:val="BodyText"/>
            </w:pPr>
            <w:r>
              <w:t>66</w:t>
            </w:r>
          </w:p>
        </w:tc>
        <w:tc>
          <w:tcPr>
            <w:tcW w:w="438" w:type="pct"/>
          </w:tcPr>
          <w:p w:rsidR="008E273C" w:rsidRDefault="008E273C" w:rsidP="00F708F0">
            <w:pPr>
              <w:pStyle w:val="BodyText"/>
            </w:pPr>
            <w:r>
              <w:t>24</w:t>
            </w:r>
          </w:p>
        </w:tc>
        <w:tc>
          <w:tcPr>
            <w:tcW w:w="438" w:type="pct"/>
          </w:tcPr>
          <w:p w:rsidR="008E273C" w:rsidRDefault="008E273C" w:rsidP="00F708F0">
            <w:pPr>
              <w:pStyle w:val="BodyText"/>
            </w:pPr>
            <w:r>
              <w:t>86</w:t>
            </w:r>
          </w:p>
        </w:tc>
        <w:tc>
          <w:tcPr>
            <w:tcW w:w="438" w:type="pct"/>
          </w:tcPr>
          <w:p w:rsidR="008E273C" w:rsidRDefault="008E273C" w:rsidP="00F708F0">
            <w:pPr>
              <w:pStyle w:val="BodyText"/>
            </w:pPr>
            <w:r>
              <w:t>110</w:t>
            </w:r>
          </w:p>
        </w:tc>
        <w:tc>
          <w:tcPr>
            <w:tcW w:w="438" w:type="pct"/>
          </w:tcPr>
          <w:p w:rsidR="008E273C" w:rsidRDefault="008E273C" w:rsidP="00F708F0">
            <w:pPr>
              <w:pStyle w:val="BodyText"/>
            </w:pPr>
            <w:r>
              <w:t>2</w:t>
            </w:r>
          </w:p>
        </w:tc>
        <w:tc>
          <w:tcPr>
            <w:tcW w:w="438" w:type="pct"/>
          </w:tcPr>
          <w:p w:rsidR="008E273C" w:rsidRDefault="008E273C" w:rsidP="00F708F0">
            <w:pPr>
              <w:pStyle w:val="BodyText"/>
            </w:pPr>
            <w:r>
              <w:t>1</w:t>
            </w:r>
          </w:p>
        </w:tc>
        <w:tc>
          <w:tcPr>
            <w:tcW w:w="542" w:type="pct"/>
          </w:tcPr>
          <w:p w:rsidR="008E273C" w:rsidRDefault="008E273C" w:rsidP="00F708F0">
            <w:pPr>
              <w:pStyle w:val="BodyText"/>
            </w:pPr>
            <w:r>
              <w:t>3</w:t>
            </w:r>
          </w:p>
        </w:tc>
        <w:tc>
          <w:tcPr>
            <w:tcW w:w="438" w:type="pct"/>
          </w:tcPr>
          <w:p w:rsidR="008E273C" w:rsidRDefault="008E273C" w:rsidP="00F708F0">
            <w:pPr>
              <w:pStyle w:val="BodyText"/>
            </w:pPr>
            <w:r>
              <w:rPr>
                <w:rStyle w:val="01bodybold"/>
              </w:rPr>
              <w:t>179</w:t>
            </w:r>
          </w:p>
        </w:tc>
      </w:tr>
      <w:tr w:rsidR="008E273C" w:rsidTr="00F708F0">
        <w:trPr>
          <w:trHeight w:val="60"/>
        </w:trPr>
        <w:tc>
          <w:tcPr>
            <w:tcW w:w="517" w:type="pct"/>
          </w:tcPr>
          <w:p w:rsidR="008E273C" w:rsidRDefault="008E273C" w:rsidP="00F708F0">
            <w:pPr>
              <w:pStyle w:val="BodyText"/>
            </w:pPr>
            <w:r>
              <w:t>NT</w:t>
            </w:r>
          </w:p>
        </w:tc>
        <w:tc>
          <w:tcPr>
            <w:tcW w:w="438" w:type="pct"/>
          </w:tcPr>
          <w:p w:rsidR="008E273C" w:rsidRDefault="008E273C" w:rsidP="00F708F0">
            <w:pPr>
              <w:pStyle w:val="BodyText"/>
            </w:pPr>
            <w:r>
              <w:t>2</w:t>
            </w:r>
          </w:p>
        </w:tc>
        <w:tc>
          <w:tcPr>
            <w:tcW w:w="438" w:type="pct"/>
          </w:tcPr>
          <w:p w:rsidR="008E273C" w:rsidRDefault="008E273C" w:rsidP="00F708F0">
            <w:pPr>
              <w:pStyle w:val="BodyText"/>
            </w:pPr>
            <w:r>
              <w:t>12</w:t>
            </w:r>
          </w:p>
        </w:tc>
        <w:tc>
          <w:tcPr>
            <w:tcW w:w="438" w:type="pct"/>
          </w:tcPr>
          <w:p w:rsidR="008E273C" w:rsidRDefault="008E273C" w:rsidP="00F708F0">
            <w:pPr>
              <w:pStyle w:val="BodyText"/>
            </w:pPr>
            <w:r>
              <w:t>14</w:t>
            </w:r>
          </w:p>
        </w:tc>
        <w:tc>
          <w:tcPr>
            <w:tcW w:w="438" w:type="pct"/>
          </w:tcPr>
          <w:p w:rsidR="008E273C" w:rsidRDefault="008E273C" w:rsidP="00F708F0">
            <w:pPr>
              <w:pStyle w:val="BodyText"/>
            </w:pPr>
            <w:r>
              <w:t>5</w:t>
            </w:r>
          </w:p>
        </w:tc>
        <w:tc>
          <w:tcPr>
            <w:tcW w:w="438" w:type="pct"/>
          </w:tcPr>
          <w:p w:rsidR="008E273C" w:rsidRDefault="008E273C" w:rsidP="00F708F0">
            <w:pPr>
              <w:pStyle w:val="BodyText"/>
            </w:pPr>
            <w:r>
              <w:t>26</w:t>
            </w:r>
          </w:p>
        </w:tc>
        <w:tc>
          <w:tcPr>
            <w:tcW w:w="438" w:type="pct"/>
          </w:tcPr>
          <w:p w:rsidR="008E273C" w:rsidRDefault="008E273C" w:rsidP="00F708F0">
            <w:pPr>
              <w:pStyle w:val="BodyText"/>
            </w:pPr>
            <w:r>
              <w:t>31</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45</w:t>
            </w:r>
          </w:p>
        </w:tc>
      </w:tr>
      <w:tr w:rsidR="008E273C" w:rsidTr="00F708F0">
        <w:trPr>
          <w:trHeight w:val="616"/>
        </w:trPr>
        <w:tc>
          <w:tcPr>
            <w:tcW w:w="517" w:type="pct"/>
          </w:tcPr>
          <w:p w:rsidR="008E273C" w:rsidRDefault="008E273C" w:rsidP="00F708F0">
            <w:pPr>
              <w:pStyle w:val="BodyText"/>
            </w:pPr>
            <w:r>
              <w:lastRenderedPageBreak/>
              <w:t>External territories</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0</w:t>
            </w:r>
          </w:p>
        </w:tc>
      </w:tr>
      <w:tr w:rsidR="008E273C" w:rsidTr="00F708F0">
        <w:trPr>
          <w:trHeight w:val="60"/>
        </w:trPr>
        <w:tc>
          <w:tcPr>
            <w:tcW w:w="517" w:type="pct"/>
          </w:tcPr>
          <w:p w:rsidR="008E273C" w:rsidRDefault="008E273C" w:rsidP="00F708F0">
            <w:pPr>
              <w:pStyle w:val="BodyText"/>
            </w:pPr>
            <w:r>
              <w:t>Overseas</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8" w:type="pct"/>
          </w:tcPr>
          <w:p w:rsidR="008E273C" w:rsidRDefault="008E273C" w:rsidP="00F708F0">
            <w:pPr>
              <w:pStyle w:val="BodyText"/>
            </w:pPr>
            <w:r>
              <w:t>0</w:t>
            </w:r>
          </w:p>
        </w:tc>
        <w:tc>
          <w:tcPr>
            <w:tcW w:w="542"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0</w:t>
            </w:r>
          </w:p>
        </w:tc>
      </w:tr>
      <w:tr w:rsidR="008E273C" w:rsidTr="00F708F0">
        <w:trPr>
          <w:trHeight w:val="60"/>
        </w:trPr>
        <w:tc>
          <w:tcPr>
            <w:tcW w:w="517" w:type="pct"/>
          </w:tcPr>
          <w:p w:rsidR="008E273C" w:rsidRDefault="008E273C" w:rsidP="00F708F0">
            <w:pPr>
              <w:pStyle w:val="BodyText"/>
            </w:pPr>
            <w:r>
              <w:rPr>
                <w:rStyle w:val="01bodybold"/>
              </w:rPr>
              <w:t>Total</w:t>
            </w:r>
          </w:p>
        </w:tc>
        <w:tc>
          <w:tcPr>
            <w:tcW w:w="438" w:type="pct"/>
          </w:tcPr>
          <w:p w:rsidR="008E273C" w:rsidRDefault="008E273C" w:rsidP="00F708F0">
            <w:pPr>
              <w:pStyle w:val="BodyText"/>
            </w:pPr>
            <w:r>
              <w:rPr>
                <w:rStyle w:val="01bodybold"/>
              </w:rPr>
              <w:t>262</w:t>
            </w:r>
          </w:p>
        </w:tc>
        <w:tc>
          <w:tcPr>
            <w:tcW w:w="438" w:type="pct"/>
          </w:tcPr>
          <w:p w:rsidR="008E273C" w:rsidRDefault="008E273C" w:rsidP="00F708F0">
            <w:pPr>
              <w:pStyle w:val="BodyText"/>
            </w:pPr>
            <w:r>
              <w:rPr>
                <w:rStyle w:val="01bodybold"/>
              </w:rPr>
              <w:t>916</w:t>
            </w:r>
          </w:p>
        </w:tc>
        <w:tc>
          <w:tcPr>
            <w:tcW w:w="438" w:type="pct"/>
          </w:tcPr>
          <w:p w:rsidR="008E273C" w:rsidRDefault="008E273C" w:rsidP="00F708F0">
            <w:pPr>
              <w:pStyle w:val="BodyText"/>
            </w:pPr>
            <w:r>
              <w:rPr>
                <w:rStyle w:val="01bodybold"/>
              </w:rPr>
              <w:t>1,178</w:t>
            </w:r>
          </w:p>
        </w:tc>
        <w:tc>
          <w:tcPr>
            <w:tcW w:w="438" w:type="pct"/>
          </w:tcPr>
          <w:p w:rsidR="008E273C" w:rsidRDefault="008E273C" w:rsidP="00F708F0">
            <w:pPr>
              <w:pStyle w:val="BodyText"/>
            </w:pPr>
            <w:r>
              <w:rPr>
                <w:rStyle w:val="01bodybold"/>
              </w:rPr>
              <w:t>476</w:t>
            </w:r>
          </w:p>
        </w:tc>
        <w:tc>
          <w:tcPr>
            <w:tcW w:w="438" w:type="pct"/>
          </w:tcPr>
          <w:p w:rsidR="008E273C" w:rsidRDefault="008E273C" w:rsidP="00F708F0">
            <w:pPr>
              <w:pStyle w:val="BodyText"/>
            </w:pPr>
            <w:r>
              <w:rPr>
                <w:rStyle w:val="01bodybold"/>
              </w:rPr>
              <w:t>2,518</w:t>
            </w:r>
          </w:p>
        </w:tc>
        <w:tc>
          <w:tcPr>
            <w:tcW w:w="438" w:type="pct"/>
          </w:tcPr>
          <w:p w:rsidR="008E273C" w:rsidRDefault="008E273C" w:rsidP="00F708F0">
            <w:pPr>
              <w:pStyle w:val="BodyText"/>
            </w:pPr>
            <w:r>
              <w:rPr>
                <w:rStyle w:val="01bodybold"/>
              </w:rPr>
              <w:t>2,994</w:t>
            </w:r>
          </w:p>
        </w:tc>
        <w:tc>
          <w:tcPr>
            <w:tcW w:w="438" w:type="pct"/>
          </w:tcPr>
          <w:p w:rsidR="008E273C" w:rsidRDefault="008E273C" w:rsidP="00F708F0">
            <w:pPr>
              <w:pStyle w:val="BodyText"/>
            </w:pPr>
            <w:r>
              <w:rPr>
                <w:rStyle w:val="01bodybold"/>
              </w:rPr>
              <w:t>9</w:t>
            </w:r>
          </w:p>
        </w:tc>
        <w:tc>
          <w:tcPr>
            <w:tcW w:w="438" w:type="pct"/>
          </w:tcPr>
          <w:p w:rsidR="008E273C" w:rsidRDefault="008E273C" w:rsidP="00F708F0">
            <w:pPr>
              <w:pStyle w:val="BodyText"/>
            </w:pPr>
            <w:r>
              <w:rPr>
                <w:rStyle w:val="01bodybold"/>
              </w:rPr>
              <w:t>23</w:t>
            </w:r>
          </w:p>
        </w:tc>
        <w:tc>
          <w:tcPr>
            <w:tcW w:w="542" w:type="pct"/>
          </w:tcPr>
          <w:p w:rsidR="008E273C" w:rsidRDefault="008E273C" w:rsidP="00F708F0">
            <w:pPr>
              <w:pStyle w:val="BodyText"/>
            </w:pPr>
            <w:r>
              <w:rPr>
                <w:rStyle w:val="01bodybold"/>
              </w:rPr>
              <w:t>32</w:t>
            </w:r>
          </w:p>
        </w:tc>
        <w:tc>
          <w:tcPr>
            <w:tcW w:w="438" w:type="pct"/>
          </w:tcPr>
          <w:p w:rsidR="008E273C" w:rsidRDefault="008E273C" w:rsidP="00F708F0">
            <w:pPr>
              <w:pStyle w:val="BodyText"/>
            </w:pPr>
            <w:r>
              <w:rPr>
                <w:rStyle w:val="01bodybold"/>
              </w:rPr>
              <w:t>4,204</w:t>
            </w:r>
          </w:p>
        </w:tc>
      </w:tr>
    </w:tbl>
    <w:p w:rsidR="008E273C" w:rsidRDefault="008E273C" w:rsidP="00F708F0">
      <w:pPr>
        <w:pStyle w:val="BodyText"/>
      </w:pPr>
      <w:r>
        <w:t>(a)</w:t>
      </w:r>
      <w:r w:rsidR="00F708F0">
        <w:t xml:space="preserve"> </w:t>
      </w:r>
      <w:r>
        <w:t>Non-ongoing employees includes irregular/intermittent staff.</w:t>
      </w:r>
    </w:p>
    <w:p w:rsidR="008E273C" w:rsidRPr="00F708F0" w:rsidRDefault="00F708F0" w:rsidP="00F708F0">
      <w:pPr>
        <w:pStyle w:val="BodyText"/>
        <w:rPr>
          <w:b/>
        </w:rPr>
      </w:pPr>
      <w:r w:rsidRPr="00F708F0">
        <w:rPr>
          <w:b/>
        </w:rPr>
        <w:t>Table 61:</w:t>
      </w:r>
      <w:r w:rsidR="008E273C" w:rsidRPr="00F708F0">
        <w:rPr>
          <w:b/>
        </w:rPr>
        <w:t xml:space="preserve"> Australian Public Service Act non-ongoing employees at 30 June 2019</w:t>
      </w:r>
      <w:r w:rsidR="008E273C" w:rsidRPr="00F708F0">
        <w:rPr>
          <w:b/>
          <w:vertAlign w:val="superscript"/>
        </w:rPr>
        <w:t>(a)</w:t>
      </w:r>
    </w:p>
    <w:tbl>
      <w:tblPr>
        <w:tblStyle w:val="TableGrid"/>
        <w:tblW w:w="5000" w:type="pct"/>
        <w:tblLook w:val="0000" w:firstRow="0" w:lastRow="0" w:firstColumn="0" w:lastColumn="0" w:noHBand="0" w:noVBand="0"/>
        <w:tblCaption w:val="Table 61: Australian Public Service Act non-ongoing employees at 30 June 2019(a)"/>
        <w:tblDescription w:val="Table 61: Australian Public Service Act non-ongoing employees at 30 June 2019(a)"/>
      </w:tblPr>
      <w:tblGrid>
        <w:gridCol w:w="1297"/>
        <w:gridCol w:w="952"/>
        <w:gridCol w:w="952"/>
        <w:gridCol w:w="954"/>
        <w:gridCol w:w="953"/>
        <w:gridCol w:w="953"/>
        <w:gridCol w:w="977"/>
        <w:gridCol w:w="955"/>
        <w:gridCol w:w="953"/>
        <w:gridCol w:w="1195"/>
        <w:gridCol w:w="955"/>
      </w:tblGrid>
      <w:tr w:rsidR="008E273C" w:rsidTr="00F708F0">
        <w:trPr>
          <w:trHeight w:val="60"/>
          <w:tblHeader/>
        </w:trPr>
        <w:tc>
          <w:tcPr>
            <w:tcW w:w="517" w:type="pct"/>
          </w:tcPr>
          <w:p w:rsidR="008E273C" w:rsidRDefault="008E273C" w:rsidP="00F708F0">
            <w:pPr>
              <w:pStyle w:val="BodyText"/>
            </w:pPr>
          </w:p>
        </w:tc>
        <w:tc>
          <w:tcPr>
            <w:tcW w:w="1312" w:type="pct"/>
            <w:gridSpan w:val="3"/>
          </w:tcPr>
          <w:p w:rsidR="008E273C" w:rsidRDefault="008E273C" w:rsidP="00F708F0">
            <w:pPr>
              <w:pStyle w:val="BodyText"/>
            </w:pPr>
            <w:r>
              <w:t>Male</w:t>
            </w:r>
          </w:p>
        </w:tc>
        <w:tc>
          <w:tcPr>
            <w:tcW w:w="1312" w:type="pct"/>
            <w:gridSpan w:val="3"/>
          </w:tcPr>
          <w:p w:rsidR="008E273C" w:rsidRDefault="008E273C" w:rsidP="00F708F0">
            <w:pPr>
              <w:pStyle w:val="BodyText"/>
            </w:pPr>
            <w:r>
              <w:t>Female</w:t>
            </w:r>
          </w:p>
        </w:tc>
        <w:tc>
          <w:tcPr>
            <w:tcW w:w="1421" w:type="pct"/>
            <w:gridSpan w:val="3"/>
          </w:tcPr>
          <w:p w:rsidR="008E273C" w:rsidRDefault="008E273C" w:rsidP="00F708F0">
            <w:pPr>
              <w:pStyle w:val="BodyText"/>
            </w:pPr>
            <w:r>
              <w:t>Non-binary</w:t>
            </w:r>
          </w:p>
        </w:tc>
        <w:tc>
          <w:tcPr>
            <w:tcW w:w="438" w:type="pct"/>
          </w:tcPr>
          <w:p w:rsidR="008E273C" w:rsidRDefault="008E273C" w:rsidP="00F708F0">
            <w:pPr>
              <w:pStyle w:val="BodyText"/>
            </w:pPr>
          </w:p>
        </w:tc>
      </w:tr>
      <w:tr w:rsidR="008E273C" w:rsidTr="00F708F0">
        <w:trPr>
          <w:trHeight w:val="60"/>
          <w:tblHeader/>
        </w:trPr>
        <w:tc>
          <w:tcPr>
            <w:tcW w:w="517" w:type="pct"/>
          </w:tcPr>
          <w:p w:rsidR="008E273C" w:rsidRDefault="008E273C" w:rsidP="00F708F0">
            <w:pPr>
              <w:pStyle w:val="BodyText"/>
            </w:pPr>
          </w:p>
        </w:tc>
        <w:tc>
          <w:tcPr>
            <w:tcW w:w="437" w:type="pct"/>
          </w:tcPr>
          <w:p w:rsidR="008E273C" w:rsidRDefault="008E273C" w:rsidP="00F708F0">
            <w:pPr>
              <w:pStyle w:val="BodyText"/>
            </w:pPr>
            <w:r>
              <w:rPr>
                <w:rStyle w:val="Bold"/>
              </w:rPr>
              <w:t>Full-time</w:t>
            </w:r>
          </w:p>
        </w:tc>
        <w:tc>
          <w:tcPr>
            <w:tcW w:w="437" w:type="pct"/>
          </w:tcPr>
          <w:p w:rsidR="008E273C" w:rsidRDefault="008E273C" w:rsidP="00F708F0">
            <w:pPr>
              <w:pStyle w:val="BodyText"/>
            </w:pPr>
            <w:r>
              <w:rPr>
                <w:rStyle w:val="Bold"/>
              </w:rPr>
              <w:t>Part-time</w:t>
            </w:r>
          </w:p>
        </w:tc>
        <w:tc>
          <w:tcPr>
            <w:tcW w:w="437" w:type="pct"/>
          </w:tcPr>
          <w:p w:rsidR="008E273C" w:rsidRDefault="00AC4959" w:rsidP="00F708F0">
            <w:pPr>
              <w:pStyle w:val="BodyText"/>
            </w:pPr>
            <w:r>
              <w:rPr>
                <w:rStyle w:val="Bold"/>
              </w:rPr>
              <w:t>Total male</w:t>
            </w:r>
          </w:p>
        </w:tc>
        <w:tc>
          <w:tcPr>
            <w:tcW w:w="437" w:type="pct"/>
          </w:tcPr>
          <w:p w:rsidR="008E273C" w:rsidRDefault="008E273C" w:rsidP="00F708F0">
            <w:pPr>
              <w:pStyle w:val="BodyText"/>
            </w:pPr>
            <w:r>
              <w:rPr>
                <w:rStyle w:val="Bold"/>
              </w:rPr>
              <w:t>Full-time</w:t>
            </w:r>
          </w:p>
        </w:tc>
        <w:tc>
          <w:tcPr>
            <w:tcW w:w="437" w:type="pct"/>
          </w:tcPr>
          <w:p w:rsidR="008E273C" w:rsidRDefault="008E273C" w:rsidP="00F708F0">
            <w:pPr>
              <w:pStyle w:val="BodyText"/>
            </w:pPr>
            <w:r>
              <w:rPr>
                <w:rStyle w:val="Bold"/>
              </w:rPr>
              <w:t>Part-time</w:t>
            </w:r>
          </w:p>
        </w:tc>
        <w:tc>
          <w:tcPr>
            <w:tcW w:w="437" w:type="pct"/>
          </w:tcPr>
          <w:p w:rsidR="008E273C" w:rsidRDefault="00AC4959" w:rsidP="00F708F0">
            <w:pPr>
              <w:pStyle w:val="BodyText"/>
            </w:pPr>
            <w:r>
              <w:rPr>
                <w:rStyle w:val="Bold"/>
              </w:rPr>
              <w:t>Total female</w:t>
            </w:r>
          </w:p>
        </w:tc>
        <w:tc>
          <w:tcPr>
            <w:tcW w:w="438" w:type="pct"/>
          </w:tcPr>
          <w:p w:rsidR="008E273C" w:rsidRDefault="008E273C" w:rsidP="00F708F0">
            <w:pPr>
              <w:pStyle w:val="BodyText"/>
            </w:pPr>
            <w:r>
              <w:rPr>
                <w:rStyle w:val="Bold"/>
              </w:rPr>
              <w:t>Full-time</w:t>
            </w:r>
          </w:p>
        </w:tc>
        <w:tc>
          <w:tcPr>
            <w:tcW w:w="437" w:type="pct"/>
          </w:tcPr>
          <w:p w:rsidR="008E273C" w:rsidRDefault="008E273C" w:rsidP="00F708F0">
            <w:pPr>
              <w:pStyle w:val="BodyText"/>
            </w:pPr>
            <w:r>
              <w:rPr>
                <w:rStyle w:val="Bold"/>
              </w:rPr>
              <w:t>Part-time</w:t>
            </w:r>
          </w:p>
        </w:tc>
        <w:tc>
          <w:tcPr>
            <w:tcW w:w="545" w:type="pct"/>
          </w:tcPr>
          <w:p w:rsidR="008E273C" w:rsidRDefault="008E273C" w:rsidP="00F708F0">
            <w:pPr>
              <w:pStyle w:val="BodyText"/>
            </w:pPr>
            <w:r>
              <w:rPr>
                <w:rStyle w:val="Bold"/>
              </w:rPr>
              <w:t xml:space="preserve">Total </w:t>
            </w:r>
            <w:r>
              <w:rPr>
                <w:rStyle w:val="Bold"/>
                <w:spacing w:val="-4"/>
              </w:rPr>
              <w:t>Non-binary</w:t>
            </w:r>
          </w:p>
        </w:tc>
        <w:tc>
          <w:tcPr>
            <w:tcW w:w="438" w:type="pct"/>
          </w:tcPr>
          <w:p w:rsidR="008E273C" w:rsidRDefault="008E273C" w:rsidP="00F708F0">
            <w:pPr>
              <w:pStyle w:val="BodyText"/>
            </w:pPr>
            <w:r>
              <w:rPr>
                <w:rStyle w:val="Bold"/>
              </w:rPr>
              <w:t>Total</w:t>
            </w:r>
          </w:p>
        </w:tc>
      </w:tr>
      <w:tr w:rsidR="008E273C" w:rsidTr="00F708F0">
        <w:trPr>
          <w:trHeight w:val="60"/>
        </w:trPr>
        <w:tc>
          <w:tcPr>
            <w:tcW w:w="517" w:type="pct"/>
          </w:tcPr>
          <w:p w:rsidR="008E273C" w:rsidRDefault="008E273C" w:rsidP="00F708F0">
            <w:pPr>
              <w:pStyle w:val="BodyText"/>
            </w:pPr>
            <w:r>
              <w:t>NSW</w:t>
            </w:r>
          </w:p>
        </w:tc>
        <w:tc>
          <w:tcPr>
            <w:tcW w:w="437" w:type="pct"/>
          </w:tcPr>
          <w:p w:rsidR="008E273C" w:rsidRDefault="008E273C" w:rsidP="00F708F0">
            <w:pPr>
              <w:pStyle w:val="BodyText"/>
            </w:pPr>
            <w:r>
              <w:t>30</w:t>
            </w:r>
          </w:p>
        </w:tc>
        <w:tc>
          <w:tcPr>
            <w:tcW w:w="437" w:type="pct"/>
          </w:tcPr>
          <w:p w:rsidR="008E273C" w:rsidRDefault="008E273C" w:rsidP="00F708F0">
            <w:pPr>
              <w:pStyle w:val="BodyText"/>
            </w:pPr>
            <w:r>
              <w:t>87</w:t>
            </w:r>
          </w:p>
        </w:tc>
        <w:tc>
          <w:tcPr>
            <w:tcW w:w="437" w:type="pct"/>
          </w:tcPr>
          <w:p w:rsidR="008E273C" w:rsidRDefault="008E273C" w:rsidP="00F708F0">
            <w:pPr>
              <w:pStyle w:val="BodyText"/>
            </w:pPr>
            <w:r>
              <w:t>117</w:t>
            </w:r>
          </w:p>
        </w:tc>
        <w:tc>
          <w:tcPr>
            <w:tcW w:w="437" w:type="pct"/>
          </w:tcPr>
          <w:p w:rsidR="008E273C" w:rsidRDefault="008E273C" w:rsidP="00F708F0">
            <w:pPr>
              <w:pStyle w:val="BodyText"/>
            </w:pPr>
            <w:r>
              <w:t>85</w:t>
            </w:r>
          </w:p>
        </w:tc>
        <w:tc>
          <w:tcPr>
            <w:tcW w:w="437" w:type="pct"/>
          </w:tcPr>
          <w:p w:rsidR="008E273C" w:rsidRDefault="008E273C" w:rsidP="00F708F0">
            <w:pPr>
              <w:pStyle w:val="BodyText"/>
            </w:pPr>
            <w:r>
              <w:t>282</w:t>
            </w:r>
          </w:p>
        </w:tc>
        <w:tc>
          <w:tcPr>
            <w:tcW w:w="437" w:type="pct"/>
          </w:tcPr>
          <w:p w:rsidR="008E273C" w:rsidRDefault="008E273C" w:rsidP="00F708F0">
            <w:pPr>
              <w:pStyle w:val="BodyText"/>
            </w:pPr>
            <w:r>
              <w:t>367</w:t>
            </w:r>
          </w:p>
        </w:tc>
        <w:tc>
          <w:tcPr>
            <w:tcW w:w="438" w:type="pct"/>
          </w:tcPr>
          <w:p w:rsidR="008E273C" w:rsidRDefault="008E273C" w:rsidP="00F708F0">
            <w:pPr>
              <w:pStyle w:val="BodyText"/>
            </w:pPr>
            <w:r>
              <w:t>4</w:t>
            </w:r>
          </w:p>
        </w:tc>
        <w:tc>
          <w:tcPr>
            <w:tcW w:w="437" w:type="pct"/>
          </w:tcPr>
          <w:p w:rsidR="008E273C" w:rsidRDefault="008E273C" w:rsidP="00F708F0">
            <w:pPr>
              <w:pStyle w:val="BodyText"/>
            </w:pPr>
            <w:r>
              <w:t>2</w:t>
            </w:r>
          </w:p>
        </w:tc>
        <w:tc>
          <w:tcPr>
            <w:tcW w:w="545" w:type="pct"/>
          </w:tcPr>
          <w:p w:rsidR="008E273C" w:rsidRDefault="008E273C" w:rsidP="00F708F0">
            <w:pPr>
              <w:pStyle w:val="BodyText"/>
            </w:pPr>
            <w:r>
              <w:t>6</w:t>
            </w:r>
          </w:p>
        </w:tc>
        <w:tc>
          <w:tcPr>
            <w:tcW w:w="438" w:type="pct"/>
          </w:tcPr>
          <w:p w:rsidR="008E273C" w:rsidRDefault="008E273C" w:rsidP="00F708F0">
            <w:pPr>
              <w:pStyle w:val="BodyText"/>
            </w:pPr>
            <w:r>
              <w:rPr>
                <w:rStyle w:val="01bodybold"/>
              </w:rPr>
              <w:t>490</w:t>
            </w:r>
          </w:p>
        </w:tc>
      </w:tr>
      <w:tr w:rsidR="008E273C" w:rsidTr="00F708F0">
        <w:trPr>
          <w:trHeight w:val="305"/>
        </w:trPr>
        <w:tc>
          <w:tcPr>
            <w:tcW w:w="517" w:type="pct"/>
          </w:tcPr>
          <w:p w:rsidR="008E273C" w:rsidRDefault="008E273C" w:rsidP="00F708F0">
            <w:pPr>
              <w:pStyle w:val="BodyText"/>
            </w:pPr>
            <w:r>
              <w:t>QLD</w:t>
            </w:r>
          </w:p>
        </w:tc>
        <w:tc>
          <w:tcPr>
            <w:tcW w:w="437" w:type="pct"/>
          </w:tcPr>
          <w:p w:rsidR="008E273C" w:rsidRDefault="008E273C" w:rsidP="00F708F0">
            <w:pPr>
              <w:pStyle w:val="BodyText"/>
            </w:pPr>
            <w:r>
              <w:t>34</w:t>
            </w:r>
          </w:p>
        </w:tc>
        <w:tc>
          <w:tcPr>
            <w:tcW w:w="437" w:type="pct"/>
          </w:tcPr>
          <w:p w:rsidR="008E273C" w:rsidRDefault="008E273C" w:rsidP="00F708F0">
            <w:pPr>
              <w:pStyle w:val="BodyText"/>
            </w:pPr>
            <w:r>
              <w:t>178</w:t>
            </w:r>
          </w:p>
        </w:tc>
        <w:tc>
          <w:tcPr>
            <w:tcW w:w="437" w:type="pct"/>
          </w:tcPr>
          <w:p w:rsidR="008E273C" w:rsidRDefault="008E273C" w:rsidP="00F708F0">
            <w:pPr>
              <w:pStyle w:val="BodyText"/>
            </w:pPr>
            <w:r>
              <w:t>212</w:t>
            </w:r>
          </w:p>
        </w:tc>
        <w:tc>
          <w:tcPr>
            <w:tcW w:w="437" w:type="pct"/>
          </w:tcPr>
          <w:p w:rsidR="008E273C" w:rsidRDefault="008E273C" w:rsidP="00F708F0">
            <w:pPr>
              <w:pStyle w:val="BodyText"/>
            </w:pPr>
            <w:r>
              <w:t>75</w:t>
            </w:r>
          </w:p>
        </w:tc>
        <w:tc>
          <w:tcPr>
            <w:tcW w:w="437" w:type="pct"/>
          </w:tcPr>
          <w:p w:rsidR="008E273C" w:rsidRDefault="008E273C" w:rsidP="00F708F0">
            <w:pPr>
              <w:pStyle w:val="BodyText"/>
            </w:pPr>
            <w:r>
              <w:t>357</w:t>
            </w:r>
          </w:p>
        </w:tc>
        <w:tc>
          <w:tcPr>
            <w:tcW w:w="437" w:type="pct"/>
          </w:tcPr>
          <w:p w:rsidR="008E273C" w:rsidRDefault="008E273C" w:rsidP="00F708F0">
            <w:pPr>
              <w:pStyle w:val="BodyText"/>
            </w:pPr>
            <w:r>
              <w:t>432</w:t>
            </w:r>
          </w:p>
        </w:tc>
        <w:tc>
          <w:tcPr>
            <w:tcW w:w="438" w:type="pct"/>
          </w:tcPr>
          <w:p w:rsidR="008E273C" w:rsidRDefault="008E273C" w:rsidP="00F708F0">
            <w:pPr>
              <w:pStyle w:val="BodyText"/>
            </w:pPr>
            <w:r>
              <w:t>1</w:t>
            </w:r>
          </w:p>
        </w:tc>
        <w:tc>
          <w:tcPr>
            <w:tcW w:w="437" w:type="pct"/>
          </w:tcPr>
          <w:p w:rsidR="008E273C" w:rsidRDefault="008E273C" w:rsidP="00F708F0">
            <w:pPr>
              <w:pStyle w:val="BodyText"/>
            </w:pPr>
            <w:r>
              <w:t>2</w:t>
            </w:r>
          </w:p>
        </w:tc>
        <w:tc>
          <w:tcPr>
            <w:tcW w:w="545" w:type="pct"/>
          </w:tcPr>
          <w:p w:rsidR="008E273C" w:rsidRDefault="008E273C" w:rsidP="00F708F0">
            <w:pPr>
              <w:pStyle w:val="BodyText"/>
            </w:pPr>
            <w:r>
              <w:t>3</w:t>
            </w:r>
          </w:p>
        </w:tc>
        <w:tc>
          <w:tcPr>
            <w:tcW w:w="438" w:type="pct"/>
          </w:tcPr>
          <w:p w:rsidR="008E273C" w:rsidRDefault="008E273C" w:rsidP="00F708F0">
            <w:pPr>
              <w:pStyle w:val="BodyText"/>
            </w:pPr>
            <w:r>
              <w:rPr>
                <w:rStyle w:val="01bodybold"/>
              </w:rPr>
              <w:t>647</w:t>
            </w:r>
          </w:p>
        </w:tc>
      </w:tr>
      <w:tr w:rsidR="008E273C" w:rsidTr="00F708F0">
        <w:trPr>
          <w:trHeight w:val="60"/>
        </w:trPr>
        <w:tc>
          <w:tcPr>
            <w:tcW w:w="517" w:type="pct"/>
          </w:tcPr>
          <w:p w:rsidR="008E273C" w:rsidRDefault="008E273C" w:rsidP="00F708F0">
            <w:pPr>
              <w:pStyle w:val="BodyText"/>
            </w:pPr>
            <w:r>
              <w:t>SA</w:t>
            </w:r>
          </w:p>
        </w:tc>
        <w:tc>
          <w:tcPr>
            <w:tcW w:w="437" w:type="pct"/>
          </w:tcPr>
          <w:p w:rsidR="008E273C" w:rsidRDefault="008E273C" w:rsidP="00F708F0">
            <w:pPr>
              <w:pStyle w:val="BodyText"/>
            </w:pPr>
            <w:r>
              <w:t>21</w:t>
            </w:r>
          </w:p>
        </w:tc>
        <w:tc>
          <w:tcPr>
            <w:tcW w:w="437" w:type="pct"/>
          </w:tcPr>
          <w:p w:rsidR="008E273C" w:rsidRDefault="008E273C" w:rsidP="00F708F0">
            <w:pPr>
              <w:pStyle w:val="BodyText"/>
            </w:pPr>
            <w:r>
              <w:t>53</w:t>
            </w:r>
          </w:p>
        </w:tc>
        <w:tc>
          <w:tcPr>
            <w:tcW w:w="437" w:type="pct"/>
          </w:tcPr>
          <w:p w:rsidR="008E273C" w:rsidRDefault="008E273C" w:rsidP="00F708F0">
            <w:pPr>
              <w:pStyle w:val="BodyText"/>
            </w:pPr>
            <w:r>
              <w:t>74</w:t>
            </w:r>
          </w:p>
        </w:tc>
        <w:tc>
          <w:tcPr>
            <w:tcW w:w="437" w:type="pct"/>
          </w:tcPr>
          <w:p w:rsidR="008E273C" w:rsidRDefault="008E273C" w:rsidP="00F708F0">
            <w:pPr>
              <w:pStyle w:val="BodyText"/>
            </w:pPr>
            <w:r>
              <w:t>31</w:t>
            </w:r>
          </w:p>
        </w:tc>
        <w:tc>
          <w:tcPr>
            <w:tcW w:w="437" w:type="pct"/>
          </w:tcPr>
          <w:p w:rsidR="008E273C" w:rsidRDefault="008E273C" w:rsidP="00F708F0">
            <w:pPr>
              <w:pStyle w:val="BodyText"/>
            </w:pPr>
            <w:r>
              <w:t>110</w:t>
            </w:r>
          </w:p>
        </w:tc>
        <w:tc>
          <w:tcPr>
            <w:tcW w:w="437" w:type="pct"/>
          </w:tcPr>
          <w:p w:rsidR="008E273C" w:rsidRDefault="008E273C" w:rsidP="00F708F0">
            <w:pPr>
              <w:pStyle w:val="BodyText"/>
            </w:pPr>
            <w:r>
              <w:t>141</w:t>
            </w:r>
          </w:p>
        </w:tc>
        <w:tc>
          <w:tcPr>
            <w:tcW w:w="438" w:type="pct"/>
          </w:tcPr>
          <w:p w:rsidR="008E273C" w:rsidRDefault="008E273C" w:rsidP="00F708F0">
            <w:pPr>
              <w:pStyle w:val="BodyText"/>
            </w:pPr>
            <w:r>
              <w:t>2</w:t>
            </w:r>
          </w:p>
        </w:tc>
        <w:tc>
          <w:tcPr>
            <w:tcW w:w="437" w:type="pct"/>
          </w:tcPr>
          <w:p w:rsidR="008E273C" w:rsidRDefault="008E273C" w:rsidP="00F708F0">
            <w:pPr>
              <w:pStyle w:val="BodyText"/>
            </w:pPr>
            <w:r>
              <w:t>1</w:t>
            </w:r>
          </w:p>
        </w:tc>
        <w:tc>
          <w:tcPr>
            <w:tcW w:w="545" w:type="pct"/>
          </w:tcPr>
          <w:p w:rsidR="008E273C" w:rsidRDefault="008E273C" w:rsidP="00F708F0">
            <w:pPr>
              <w:pStyle w:val="BodyText"/>
            </w:pPr>
            <w:r>
              <w:t>3</w:t>
            </w:r>
          </w:p>
        </w:tc>
        <w:tc>
          <w:tcPr>
            <w:tcW w:w="438" w:type="pct"/>
          </w:tcPr>
          <w:p w:rsidR="008E273C" w:rsidRDefault="008E273C" w:rsidP="00F708F0">
            <w:pPr>
              <w:pStyle w:val="BodyText"/>
            </w:pPr>
            <w:r>
              <w:rPr>
                <w:rStyle w:val="01bodybold"/>
              </w:rPr>
              <w:t>218</w:t>
            </w:r>
          </w:p>
        </w:tc>
      </w:tr>
      <w:tr w:rsidR="008E273C" w:rsidTr="00F708F0">
        <w:trPr>
          <w:trHeight w:val="60"/>
        </w:trPr>
        <w:tc>
          <w:tcPr>
            <w:tcW w:w="517" w:type="pct"/>
          </w:tcPr>
          <w:p w:rsidR="008E273C" w:rsidRDefault="008E273C" w:rsidP="00F708F0">
            <w:pPr>
              <w:pStyle w:val="BodyText"/>
            </w:pPr>
            <w:r>
              <w:t>TAS</w:t>
            </w:r>
          </w:p>
        </w:tc>
        <w:tc>
          <w:tcPr>
            <w:tcW w:w="437" w:type="pct"/>
          </w:tcPr>
          <w:p w:rsidR="008E273C" w:rsidRDefault="008E273C" w:rsidP="00F708F0">
            <w:pPr>
              <w:pStyle w:val="BodyText"/>
            </w:pPr>
            <w:r>
              <w:t>18</w:t>
            </w:r>
          </w:p>
        </w:tc>
        <w:tc>
          <w:tcPr>
            <w:tcW w:w="437" w:type="pct"/>
          </w:tcPr>
          <w:p w:rsidR="008E273C" w:rsidRDefault="008E273C" w:rsidP="00F708F0">
            <w:pPr>
              <w:pStyle w:val="BodyText"/>
            </w:pPr>
            <w:r>
              <w:t>4</w:t>
            </w:r>
          </w:p>
        </w:tc>
        <w:tc>
          <w:tcPr>
            <w:tcW w:w="437" w:type="pct"/>
          </w:tcPr>
          <w:p w:rsidR="008E273C" w:rsidRDefault="008E273C" w:rsidP="00F708F0">
            <w:pPr>
              <w:pStyle w:val="BodyText"/>
            </w:pPr>
            <w:r>
              <w:t>22</w:t>
            </w:r>
          </w:p>
        </w:tc>
        <w:tc>
          <w:tcPr>
            <w:tcW w:w="437" w:type="pct"/>
          </w:tcPr>
          <w:p w:rsidR="008E273C" w:rsidRDefault="008E273C" w:rsidP="00F708F0">
            <w:pPr>
              <w:pStyle w:val="BodyText"/>
            </w:pPr>
            <w:r>
              <w:t>20</w:t>
            </w:r>
          </w:p>
        </w:tc>
        <w:tc>
          <w:tcPr>
            <w:tcW w:w="437" w:type="pct"/>
          </w:tcPr>
          <w:p w:rsidR="008E273C" w:rsidRDefault="008E273C" w:rsidP="00F708F0">
            <w:pPr>
              <w:pStyle w:val="BodyText"/>
            </w:pPr>
            <w:r>
              <w:t>15</w:t>
            </w:r>
          </w:p>
        </w:tc>
        <w:tc>
          <w:tcPr>
            <w:tcW w:w="437" w:type="pct"/>
          </w:tcPr>
          <w:p w:rsidR="008E273C" w:rsidRDefault="008E273C" w:rsidP="00F708F0">
            <w:pPr>
              <w:pStyle w:val="BodyText"/>
            </w:pPr>
            <w:r>
              <w:t>35</w:t>
            </w:r>
          </w:p>
        </w:tc>
        <w:tc>
          <w:tcPr>
            <w:tcW w:w="438" w:type="pct"/>
          </w:tcPr>
          <w:p w:rsidR="008E273C" w:rsidRDefault="008E273C" w:rsidP="00F708F0">
            <w:pPr>
              <w:pStyle w:val="BodyText"/>
            </w:pPr>
            <w:r>
              <w:t>0</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57</w:t>
            </w:r>
          </w:p>
        </w:tc>
      </w:tr>
      <w:tr w:rsidR="008E273C" w:rsidTr="00F708F0">
        <w:trPr>
          <w:trHeight w:val="60"/>
        </w:trPr>
        <w:tc>
          <w:tcPr>
            <w:tcW w:w="517" w:type="pct"/>
          </w:tcPr>
          <w:p w:rsidR="008E273C" w:rsidRDefault="008E273C" w:rsidP="00F708F0">
            <w:pPr>
              <w:pStyle w:val="BodyText"/>
            </w:pPr>
            <w:r>
              <w:t>VIC</w:t>
            </w:r>
          </w:p>
        </w:tc>
        <w:tc>
          <w:tcPr>
            <w:tcW w:w="437" w:type="pct"/>
          </w:tcPr>
          <w:p w:rsidR="008E273C" w:rsidRDefault="008E273C" w:rsidP="00F708F0">
            <w:pPr>
              <w:pStyle w:val="BodyText"/>
            </w:pPr>
            <w:r>
              <w:t>50</w:t>
            </w:r>
          </w:p>
        </w:tc>
        <w:tc>
          <w:tcPr>
            <w:tcW w:w="437" w:type="pct"/>
          </w:tcPr>
          <w:p w:rsidR="008E273C" w:rsidRDefault="008E273C" w:rsidP="00F708F0">
            <w:pPr>
              <w:pStyle w:val="BodyText"/>
            </w:pPr>
            <w:r>
              <w:t>144</w:t>
            </w:r>
          </w:p>
        </w:tc>
        <w:tc>
          <w:tcPr>
            <w:tcW w:w="437" w:type="pct"/>
          </w:tcPr>
          <w:p w:rsidR="008E273C" w:rsidRDefault="008E273C" w:rsidP="00F708F0">
            <w:pPr>
              <w:pStyle w:val="BodyText"/>
            </w:pPr>
            <w:r>
              <w:t>194</w:t>
            </w:r>
          </w:p>
        </w:tc>
        <w:tc>
          <w:tcPr>
            <w:tcW w:w="437" w:type="pct"/>
          </w:tcPr>
          <w:p w:rsidR="008E273C" w:rsidRDefault="008E273C" w:rsidP="00F708F0">
            <w:pPr>
              <w:pStyle w:val="BodyText"/>
            </w:pPr>
            <w:r>
              <w:t>48</w:t>
            </w:r>
          </w:p>
        </w:tc>
        <w:tc>
          <w:tcPr>
            <w:tcW w:w="437" w:type="pct"/>
          </w:tcPr>
          <w:p w:rsidR="008E273C" w:rsidRDefault="008E273C" w:rsidP="00F708F0">
            <w:pPr>
              <w:pStyle w:val="BodyText"/>
            </w:pPr>
            <w:r>
              <w:t>423</w:t>
            </w:r>
          </w:p>
        </w:tc>
        <w:tc>
          <w:tcPr>
            <w:tcW w:w="437" w:type="pct"/>
          </w:tcPr>
          <w:p w:rsidR="008E273C" w:rsidRDefault="008E273C" w:rsidP="00F708F0">
            <w:pPr>
              <w:pStyle w:val="BodyText"/>
            </w:pPr>
            <w:r>
              <w:t>471</w:t>
            </w:r>
          </w:p>
        </w:tc>
        <w:tc>
          <w:tcPr>
            <w:tcW w:w="438" w:type="pct"/>
          </w:tcPr>
          <w:p w:rsidR="008E273C" w:rsidRDefault="008E273C" w:rsidP="00F708F0">
            <w:pPr>
              <w:pStyle w:val="BodyText"/>
            </w:pPr>
            <w:r>
              <w:t>3</w:t>
            </w:r>
          </w:p>
        </w:tc>
        <w:tc>
          <w:tcPr>
            <w:tcW w:w="437" w:type="pct"/>
          </w:tcPr>
          <w:p w:rsidR="008E273C" w:rsidRDefault="008E273C" w:rsidP="00F708F0">
            <w:pPr>
              <w:pStyle w:val="BodyText"/>
            </w:pPr>
            <w:r>
              <w:t>2</w:t>
            </w:r>
          </w:p>
        </w:tc>
        <w:tc>
          <w:tcPr>
            <w:tcW w:w="545" w:type="pct"/>
          </w:tcPr>
          <w:p w:rsidR="008E273C" w:rsidRDefault="008E273C" w:rsidP="00F708F0">
            <w:pPr>
              <w:pStyle w:val="BodyText"/>
            </w:pPr>
            <w:r>
              <w:t>5</w:t>
            </w:r>
          </w:p>
        </w:tc>
        <w:tc>
          <w:tcPr>
            <w:tcW w:w="438" w:type="pct"/>
          </w:tcPr>
          <w:p w:rsidR="008E273C" w:rsidRDefault="008E273C" w:rsidP="00F708F0">
            <w:pPr>
              <w:pStyle w:val="BodyText"/>
            </w:pPr>
            <w:r>
              <w:rPr>
                <w:rStyle w:val="01bodybold"/>
              </w:rPr>
              <w:t>670</w:t>
            </w:r>
          </w:p>
        </w:tc>
      </w:tr>
      <w:tr w:rsidR="008E273C" w:rsidTr="00F708F0">
        <w:trPr>
          <w:trHeight w:val="60"/>
        </w:trPr>
        <w:tc>
          <w:tcPr>
            <w:tcW w:w="517" w:type="pct"/>
          </w:tcPr>
          <w:p w:rsidR="008E273C" w:rsidRDefault="008E273C" w:rsidP="00F708F0">
            <w:pPr>
              <w:pStyle w:val="BodyText"/>
            </w:pPr>
            <w:r>
              <w:t>WA</w:t>
            </w:r>
          </w:p>
        </w:tc>
        <w:tc>
          <w:tcPr>
            <w:tcW w:w="437" w:type="pct"/>
          </w:tcPr>
          <w:p w:rsidR="008E273C" w:rsidRDefault="008E273C" w:rsidP="00F708F0">
            <w:pPr>
              <w:pStyle w:val="BodyText"/>
            </w:pPr>
            <w:r>
              <w:t>10</w:t>
            </w:r>
          </w:p>
        </w:tc>
        <w:tc>
          <w:tcPr>
            <w:tcW w:w="437" w:type="pct"/>
          </w:tcPr>
          <w:p w:rsidR="008E273C" w:rsidRDefault="008E273C" w:rsidP="00F708F0">
            <w:pPr>
              <w:pStyle w:val="BodyText"/>
            </w:pPr>
            <w:r>
              <w:t>49</w:t>
            </w:r>
          </w:p>
        </w:tc>
        <w:tc>
          <w:tcPr>
            <w:tcW w:w="437" w:type="pct"/>
          </w:tcPr>
          <w:p w:rsidR="008E273C" w:rsidRDefault="008E273C" w:rsidP="00F708F0">
            <w:pPr>
              <w:pStyle w:val="BodyText"/>
            </w:pPr>
            <w:r>
              <w:t>59</w:t>
            </w:r>
          </w:p>
        </w:tc>
        <w:tc>
          <w:tcPr>
            <w:tcW w:w="437" w:type="pct"/>
          </w:tcPr>
          <w:p w:rsidR="008E273C" w:rsidRDefault="008E273C" w:rsidP="00F708F0">
            <w:pPr>
              <w:pStyle w:val="BodyText"/>
            </w:pPr>
            <w:r>
              <w:t>34</w:t>
            </w:r>
          </w:p>
        </w:tc>
        <w:tc>
          <w:tcPr>
            <w:tcW w:w="437" w:type="pct"/>
          </w:tcPr>
          <w:p w:rsidR="008E273C" w:rsidRDefault="008E273C" w:rsidP="00F708F0">
            <w:pPr>
              <w:pStyle w:val="BodyText"/>
            </w:pPr>
            <w:r>
              <w:t>229</w:t>
            </w:r>
          </w:p>
        </w:tc>
        <w:tc>
          <w:tcPr>
            <w:tcW w:w="437" w:type="pct"/>
          </w:tcPr>
          <w:p w:rsidR="008E273C" w:rsidRDefault="008E273C" w:rsidP="00F708F0">
            <w:pPr>
              <w:pStyle w:val="BodyText"/>
            </w:pPr>
            <w:r>
              <w:t>263</w:t>
            </w:r>
          </w:p>
        </w:tc>
        <w:tc>
          <w:tcPr>
            <w:tcW w:w="438" w:type="pct"/>
          </w:tcPr>
          <w:p w:rsidR="008E273C" w:rsidRDefault="008E273C" w:rsidP="00F708F0">
            <w:pPr>
              <w:pStyle w:val="BodyText"/>
            </w:pPr>
            <w:r>
              <w:t>1</w:t>
            </w:r>
          </w:p>
        </w:tc>
        <w:tc>
          <w:tcPr>
            <w:tcW w:w="437" w:type="pct"/>
          </w:tcPr>
          <w:p w:rsidR="008E273C" w:rsidRDefault="008E273C" w:rsidP="00F708F0">
            <w:pPr>
              <w:pStyle w:val="BodyText"/>
            </w:pPr>
            <w:r>
              <w:t>2</w:t>
            </w:r>
          </w:p>
        </w:tc>
        <w:tc>
          <w:tcPr>
            <w:tcW w:w="545" w:type="pct"/>
          </w:tcPr>
          <w:p w:rsidR="008E273C" w:rsidRDefault="008E273C" w:rsidP="00F708F0">
            <w:pPr>
              <w:pStyle w:val="BodyText"/>
            </w:pPr>
            <w:r>
              <w:t>3</w:t>
            </w:r>
          </w:p>
        </w:tc>
        <w:tc>
          <w:tcPr>
            <w:tcW w:w="438" w:type="pct"/>
          </w:tcPr>
          <w:p w:rsidR="008E273C" w:rsidRDefault="008E273C" w:rsidP="00F708F0">
            <w:pPr>
              <w:pStyle w:val="BodyText"/>
            </w:pPr>
            <w:r>
              <w:rPr>
                <w:rStyle w:val="01bodybold"/>
              </w:rPr>
              <w:t>325</w:t>
            </w:r>
          </w:p>
        </w:tc>
      </w:tr>
      <w:tr w:rsidR="008E273C" w:rsidTr="00F708F0">
        <w:trPr>
          <w:trHeight w:val="60"/>
        </w:trPr>
        <w:tc>
          <w:tcPr>
            <w:tcW w:w="517" w:type="pct"/>
          </w:tcPr>
          <w:p w:rsidR="008E273C" w:rsidRDefault="008E273C" w:rsidP="00F708F0">
            <w:pPr>
              <w:pStyle w:val="BodyText"/>
            </w:pPr>
            <w:r>
              <w:t>ACT</w:t>
            </w:r>
          </w:p>
        </w:tc>
        <w:tc>
          <w:tcPr>
            <w:tcW w:w="437" w:type="pct"/>
          </w:tcPr>
          <w:p w:rsidR="008E273C" w:rsidRDefault="008E273C" w:rsidP="00F708F0">
            <w:pPr>
              <w:pStyle w:val="BodyText"/>
            </w:pPr>
            <w:r>
              <w:t>3</w:t>
            </w:r>
          </w:p>
        </w:tc>
        <w:tc>
          <w:tcPr>
            <w:tcW w:w="437" w:type="pct"/>
          </w:tcPr>
          <w:p w:rsidR="008E273C" w:rsidRDefault="008E273C" w:rsidP="00F708F0">
            <w:pPr>
              <w:pStyle w:val="BodyText"/>
            </w:pPr>
            <w:r>
              <w:t>21</w:t>
            </w:r>
          </w:p>
        </w:tc>
        <w:tc>
          <w:tcPr>
            <w:tcW w:w="437" w:type="pct"/>
          </w:tcPr>
          <w:p w:rsidR="008E273C" w:rsidRDefault="008E273C" w:rsidP="00F708F0">
            <w:pPr>
              <w:pStyle w:val="BodyText"/>
            </w:pPr>
            <w:r>
              <w:t>24</w:t>
            </w:r>
          </w:p>
        </w:tc>
        <w:tc>
          <w:tcPr>
            <w:tcW w:w="437" w:type="pct"/>
          </w:tcPr>
          <w:p w:rsidR="008E273C" w:rsidRDefault="008E273C" w:rsidP="00F708F0">
            <w:pPr>
              <w:pStyle w:val="BodyText"/>
            </w:pPr>
            <w:r>
              <w:t>8</w:t>
            </w:r>
          </w:p>
        </w:tc>
        <w:tc>
          <w:tcPr>
            <w:tcW w:w="437" w:type="pct"/>
          </w:tcPr>
          <w:p w:rsidR="008E273C" w:rsidRDefault="008E273C" w:rsidP="00F708F0">
            <w:pPr>
              <w:pStyle w:val="BodyText"/>
            </w:pPr>
            <w:r>
              <w:t>40</w:t>
            </w:r>
          </w:p>
        </w:tc>
        <w:tc>
          <w:tcPr>
            <w:tcW w:w="437" w:type="pct"/>
          </w:tcPr>
          <w:p w:rsidR="008E273C" w:rsidRDefault="008E273C" w:rsidP="00F708F0">
            <w:pPr>
              <w:pStyle w:val="BodyText"/>
            </w:pPr>
            <w:r>
              <w:t>48</w:t>
            </w:r>
          </w:p>
        </w:tc>
        <w:tc>
          <w:tcPr>
            <w:tcW w:w="438" w:type="pct"/>
          </w:tcPr>
          <w:p w:rsidR="008E273C" w:rsidRDefault="008E273C" w:rsidP="00F708F0">
            <w:pPr>
              <w:pStyle w:val="BodyText"/>
            </w:pPr>
            <w:r>
              <w:t>0</w:t>
            </w:r>
          </w:p>
        </w:tc>
        <w:tc>
          <w:tcPr>
            <w:tcW w:w="437" w:type="pct"/>
          </w:tcPr>
          <w:p w:rsidR="008E273C" w:rsidRDefault="008E273C" w:rsidP="00F708F0">
            <w:pPr>
              <w:pStyle w:val="BodyText"/>
            </w:pPr>
            <w:r>
              <w:t>1</w:t>
            </w:r>
          </w:p>
        </w:tc>
        <w:tc>
          <w:tcPr>
            <w:tcW w:w="545" w:type="pct"/>
          </w:tcPr>
          <w:p w:rsidR="008E273C" w:rsidRDefault="008E273C" w:rsidP="00F708F0">
            <w:pPr>
              <w:pStyle w:val="BodyText"/>
            </w:pPr>
            <w:r>
              <w:t>1</w:t>
            </w:r>
          </w:p>
        </w:tc>
        <w:tc>
          <w:tcPr>
            <w:tcW w:w="438" w:type="pct"/>
          </w:tcPr>
          <w:p w:rsidR="008E273C" w:rsidRDefault="008E273C" w:rsidP="00F708F0">
            <w:pPr>
              <w:pStyle w:val="BodyText"/>
            </w:pPr>
            <w:r>
              <w:rPr>
                <w:rStyle w:val="01bodybold"/>
              </w:rPr>
              <w:t>73</w:t>
            </w:r>
          </w:p>
        </w:tc>
      </w:tr>
      <w:tr w:rsidR="008E273C" w:rsidTr="00F708F0">
        <w:trPr>
          <w:trHeight w:val="60"/>
        </w:trPr>
        <w:tc>
          <w:tcPr>
            <w:tcW w:w="517" w:type="pct"/>
          </w:tcPr>
          <w:p w:rsidR="008E273C" w:rsidRDefault="008E273C" w:rsidP="00F708F0">
            <w:pPr>
              <w:pStyle w:val="BodyText"/>
            </w:pPr>
            <w:r>
              <w:t>NT</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9</w:t>
            </w:r>
          </w:p>
        </w:tc>
        <w:tc>
          <w:tcPr>
            <w:tcW w:w="437" w:type="pct"/>
          </w:tcPr>
          <w:p w:rsidR="008E273C" w:rsidRDefault="008E273C" w:rsidP="00F708F0">
            <w:pPr>
              <w:pStyle w:val="BodyText"/>
            </w:pPr>
            <w:r>
              <w:t>9</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14</w:t>
            </w:r>
          </w:p>
        </w:tc>
        <w:tc>
          <w:tcPr>
            <w:tcW w:w="437" w:type="pct"/>
          </w:tcPr>
          <w:p w:rsidR="008E273C" w:rsidRDefault="008E273C" w:rsidP="00F708F0">
            <w:pPr>
              <w:pStyle w:val="BodyText"/>
            </w:pPr>
            <w:r>
              <w:t>14</w:t>
            </w:r>
          </w:p>
        </w:tc>
        <w:tc>
          <w:tcPr>
            <w:tcW w:w="438" w:type="pct"/>
          </w:tcPr>
          <w:p w:rsidR="008E273C" w:rsidRDefault="008E273C" w:rsidP="00F708F0">
            <w:pPr>
              <w:pStyle w:val="BodyText"/>
            </w:pPr>
            <w:r>
              <w:t>0</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23</w:t>
            </w:r>
          </w:p>
        </w:tc>
      </w:tr>
      <w:tr w:rsidR="008E273C" w:rsidTr="00F708F0">
        <w:trPr>
          <w:trHeight w:val="616"/>
        </w:trPr>
        <w:tc>
          <w:tcPr>
            <w:tcW w:w="517" w:type="pct"/>
          </w:tcPr>
          <w:p w:rsidR="008E273C" w:rsidRDefault="008E273C" w:rsidP="00F708F0">
            <w:pPr>
              <w:pStyle w:val="BodyText"/>
            </w:pPr>
            <w:r>
              <w:t>External Territories</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0</w:t>
            </w:r>
          </w:p>
        </w:tc>
      </w:tr>
      <w:tr w:rsidR="008E273C" w:rsidTr="00F708F0">
        <w:trPr>
          <w:trHeight w:val="60"/>
        </w:trPr>
        <w:tc>
          <w:tcPr>
            <w:tcW w:w="517" w:type="pct"/>
          </w:tcPr>
          <w:p w:rsidR="008E273C" w:rsidRDefault="008E273C" w:rsidP="00F708F0">
            <w:pPr>
              <w:pStyle w:val="BodyText"/>
            </w:pPr>
            <w:r>
              <w:t>Overseas</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7" w:type="pct"/>
          </w:tcPr>
          <w:p w:rsidR="008E273C" w:rsidRDefault="008E273C" w:rsidP="00F708F0">
            <w:pPr>
              <w:pStyle w:val="BodyText"/>
            </w:pPr>
            <w:r>
              <w:t>0</w:t>
            </w:r>
          </w:p>
        </w:tc>
        <w:tc>
          <w:tcPr>
            <w:tcW w:w="438" w:type="pct"/>
          </w:tcPr>
          <w:p w:rsidR="008E273C" w:rsidRDefault="008E273C" w:rsidP="00F708F0">
            <w:pPr>
              <w:pStyle w:val="BodyText"/>
            </w:pPr>
            <w:r>
              <w:t>0</w:t>
            </w:r>
          </w:p>
        </w:tc>
        <w:tc>
          <w:tcPr>
            <w:tcW w:w="437" w:type="pct"/>
          </w:tcPr>
          <w:p w:rsidR="008E273C" w:rsidRDefault="008E273C" w:rsidP="00F708F0">
            <w:pPr>
              <w:pStyle w:val="BodyText"/>
            </w:pPr>
            <w:r>
              <w:t>0</w:t>
            </w:r>
          </w:p>
        </w:tc>
        <w:tc>
          <w:tcPr>
            <w:tcW w:w="545" w:type="pct"/>
          </w:tcPr>
          <w:p w:rsidR="008E273C" w:rsidRDefault="008E273C" w:rsidP="00F708F0">
            <w:pPr>
              <w:pStyle w:val="BodyText"/>
            </w:pPr>
            <w:r>
              <w:t>0</w:t>
            </w:r>
          </w:p>
        </w:tc>
        <w:tc>
          <w:tcPr>
            <w:tcW w:w="438" w:type="pct"/>
          </w:tcPr>
          <w:p w:rsidR="008E273C" w:rsidRDefault="008E273C" w:rsidP="00F708F0">
            <w:pPr>
              <w:pStyle w:val="BodyText"/>
            </w:pPr>
            <w:r>
              <w:rPr>
                <w:rStyle w:val="01bodybold"/>
              </w:rPr>
              <w:t>0</w:t>
            </w:r>
          </w:p>
        </w:tc>
      </w:tr>
      <w:tr w:rsidR="008E273C" w:rsidTr="00F708F0">
        <w:trPr>
          <w:trHeight w:val="60"/>
        </w:trPr>
        <w:tc>
          <w:tcPr>
            <w:tcW w:w="517" w:type="pct"/>
          </w:tcPr>
          <w:p w:rsidR="008E273C" w:rsidRDefault="008E273C" w:rsidP="00F708F0">
            <w:pPr>
              <w:pStyle w:val="BodyText"/>
            </w:pPr>
            <w:r>
              <w:rPr>
                <w:rStyle w:val="01bodybold"/>
              </w:rPr>
              <w:t>Total</w:t>
            </w:r>
          </w:p>
        </w:tc>
        <w:tc>
          <w:tcPr>
            <w:tcW w:w="437" w:type="pct"/>
          </w:tcPr>
          <w:p w:rsidR="008E273C" w:rsidRDefault="008E273C" w:rsidP="00F708F0">
            <w:pPr>
              <w:pStyle w:val="BodyText"/>
            </w:pPr>
            <w:r>
              <w:rPr>
                <w:rStyle w:val="01bodybold"/>
              </w:rPr>
              <w:t>166</w:t>
            </w:r>
          </w:p>
        </w:tc>
        <w:tc>
          <w:tcPr>
            <w:tcW w:w="437" w:type="pct"/>
          </w:tcPr>
          <w:p w:rsidR="008E273C" w:rsidRDefault="008E273C" w:rsidP="00F708F0">
            <w:pPr>
              <w:pStyle w:val="BodyText"/>
            </w:pPr>
            <w:r>
              <w:rPr>
                <w:rStyle w:val="01bodybold"/>
              </w:rPr>
              <w:t>545</w:t>
            </w:r>
          </w:p>
        </w:tc>
        <w:tc>
          <w:tcPr>
            <w:tcW w:w="437" w:type="pct"/>
          </w:tcPr>
          <w:p w:rsidR="008E273C" w:rsidRDefault="008E273C" w:rsidP="00F708F0">
            <w:pPr>
              <w:pStyle w:val="BodyText"/>
            </w:pPr>
            <w:r>
              <w:rPr>
                <w:rStyle w:val="01bodybold"/>
              </w:rPr>
              <w:t>711</w:t>
            </w:r>
          </w:p>
        </w:tc>
        <w:tc>
          <w:tcPr>
            <w:tcW w:w="437" w:type="pct"/>
          </w:tcPr>
          <w:p w:rsidR="008E273C" w:rsidRDefault="008E273C" w:rsidP="00F708F0">
            <w:pPr>
              <w:pStyle w:val="BodyText"/>
            </w:pPr>
            <w:r>
              <w:rPr>
                <w:rStyle w:val="01bodybold"/>
              </w:rPr>
              <w:t>301</w:t>
            </w:r>
          </w:p>
        </w:tc>
        <w:tc>
          <w:tcPr>
            <w:tcW w:w="437" w:type="pct"/>
          </w:tcPr>
          <w:p w:rsidR="008E273C" w:rsidRDefault="008E273C" w:rsidP="00F708F0">
            <w:pPr>
              <w:pStyle w:val="BodyText"/>
            </w:pPr>
            <w:r>
              <w:rPr>
                <w:rStyle w:val="01bodybold"/>
              </w:rPr>
              <w:t>1,470</w:t>
            </w:r>
          </w:p>
        </w:tc>
        <w:tc>
          <w:tcPr>
            <w:tcW w:w="437" w:type="pct"/>
          </w:tcPr>
          <w:p w:rsidR="008E273C" w:rsidRDefault="008E273C" w:rsidP="00F708F0">
            <w:pPr>
              <w:pStyle w:val="BodyText"/>
            </w:pPr>
            <w:r>
              <w:rPr>
                <w:rStyle w:val="01bodybold"/>
              </w:rPr>
              <w:t>1,771</w:t>
            </w:r>
          </w:p>
        </w:tc>
        <w:tc>
          <w:tcPr>
            <w:tcW w:w="438" w:type="pct"/>
          </w:tcPr>
          <w:p w:rsidR="008E273C" w:rsidRDefault="008E273C" w:rsidP="00F708F0">
            <w:pPr>
              <w:pStyle w:val="BodyText"/>
            </w:pPr>
            <w:r>
              <w:rPr>
                <w:rStyle w:val="01bodybold"/>
              </w:rPr>
              <w:t>11</w:t>
            </w:r>
          </w:p>
        </w:tc>
        <w:tc>
          <w:tcPr>
            <w:tcW w:w="437" w:type="pct"/>
          </w:tcPr>
          <w:p w:rsidR="008E273C" w:rsidRDefault="008E273C" w:rsidP="00F708F0">
            <w:pPr>
              <w:pStyle w:val="BodyText"/>
            </w:pPr>
            <w:r>
              <w:rPr>
                <w:rStyle w:val="01bodybold"/>
              </w:rPr>
              <w:t>10</w:t>
            </w:r>
          </w:p>
        </w:tc>
        <w:tc>
          <w:tcPr>
            <w:tcW w:w="545" w:type="pct"/>
          </w:tcPr>
          <w:p w:rsidR="008E273C" w:rsidRDefault="008E273C" w:rsidP="00F708F0">
            <w:pPr>
              <w:pStyle w:val="BodyText"/>
            </w:pPr>
            <w:r>
              <w:rPr>
                <w:rStyle w:val="01bodybold"/>
              </w:rPr>
              <w:t>21</w:t>
            </w:r>
          </w:p>
        </w:tc>
        <w:tc>
          <w:tcPr>
            <w:tcW w:w="438" w:type="pct"/>
          </w:tcPr>
          <w:p w:rsidR="008E273C" w:rsidRDefault="008E273C" w:rsidP="00F708F0">
            <w:pPr>
              <w:pStyle w:val="BodyText"/>
            </w:pPr>
            <w:r>
              <w:rPr>
                <w:rStyle w:val="01bodybold"/>
              </w:rPr>
              <w:t>2,503</w:t>
            </w:r>
          </w:p>
        </w:tc>
      </w:tr>
    </w:tbl>
    <w:p w:rsidR="008E273C" w:rsidRDefault="00F708F0" w:rsidP="00F708F0">
      <w:pPr>
        <w:pStyle w:val="BodyText"/>
      </w:pPr>
      <w:r>
        <w:lastRenderedPageBreak/>
        <w:t xml:space="preserve">(a) </w:t>
      </w:r>
      <w:r w:rsidR="008E273C">
        <w:t>Non-ongoing employees includes irregular/intermittent staff.</w:t>
      </w:r>
    </w:p>
    <w:p w:rsidR="008E273C" w:rsidRPr="00F708F0" w:rsidRDefault="00F708F0" w:rsidP="00F708F0">
      <w:pPr>
        <w:pStyle w:val="BodyText"/>
        <w:rPr>
          <w:b/>
        </w:rPr>
      </w:pPr>
      <w:r w:rsidRPr="00F708F0">
        <w:rPr>
          <w:b/>
        </w:rPr>
        <w:t>Table 62:</w:t>
      </w:r>
      <w:r w:rsidR="008E273C" w:rsidRPr="00F708F0">
        <w:rPr>
          <w:b/>
        </w:rPr>
        <w:t xml:space="preserve"> Australian Public Service Act ongoing employees at 30 June 2020</w:t>
      </w:r>
    </w:p>
    <w:tbl>
      <w:tblPr>
        <w:tblStyle w:val="TableGrid"/>
        <w:tblW w:w="5000" w:type="pct"/>
        <w:tblLook w:val="0000" w:firstRow="0" w:lastRow="0" w:firstColumn="0" w:lastColumn="0" w:noHBand="0" w:noVBand="0"/>
        <w:tblCaption w:val="Table 62: Australian Public Service Act ongoing employees at 30 June 2020"/>
        <w:tblDescription w:val="Table 62: Australian Public Service Act ongoing employees at 30 June 2020"/>
      </w:tblPr>
      <w:tblGrid>
        <w:gridCol w:w="1737"/>
        <w:gridCol w:w="899"/>
        <w:gridCol w:w="900"/>
        <w:gridCol w:w="903"/>
        <w:gridCol w:w="951"/>
        <w:gridCol w:w="849"/>
        <w:gridCol w:w="977"/>
        <w:gridCol w:w="900"/>
        <w:gridCol w:w="900"/>
        <w:gridCol w:w="1129"/>
        <w:gridCol w:w="951"/>
      </w:tblGrid>
      <w:tr w:rsidR="008E273C" w:rsidTr="00F708F0">
        <w:trPr>
          <w:trHeight w:val="60"/>
          <w:tblHeader/>
        </w:trPr>
        <w:tc>
          <w:tcPr>
            <w:tcW w:w="638" w:type="pct"/>
          </w:tcPr>
          <w:p w:rsidR="008E273C" w:rsidRDefault="008E273C" w:rsidP="00F708F0">
            <w:pPr>
              <w:pStyle w:val="BodyText"/>
            </w:pPr>
          </w:p>
        </w:tc>
        <w:tc>
          <w:tcPr>
            <w:tcW w:w="1294" w:type="pct"/>
            <w:gridSpan w:val="3"/>
          </w:tcPr>
          <w:p w:rsidR="008E273C" w:rsidRDefault="008E273C" w:rsidP="00F708F0">
            <w:pPr>
              <w:pStyle w:val="BodyText"/>
            </w:pPr>
            <w:r>
              <w:t>Male</w:t>
            </w:r>
          </w:p>
        </w:tc>
        <w:tc>
          <w:tcPr>
            <w:tcW w:w="1293" w:type="pct"/>
            <w:gridSpan w:val="3"/>
          </w:tcPr>
          <w:p w:rsidR="008E273C" w:rsidRDefault="008E273C" w:rsidP="00F708F0">
            <w:pPr>
              <w:pStyle w:val="BodyText"/>
            </w:pPr>
            <w:r>
              <w:t>Female</w:t>
            </w:r>
          </w:p>
        </w:tc>
        <w:tc>
          <w:tcPr>
            <w:tcW w:w="1396" w:type="pct"/>
            <w:gridSpan w:val="3"/>
          </w:tcPr>
          <w:p w:rsidR="008E273C" w:rsidRDefault="008E273C" w:rsidP="00F708F0">
            <w:pPr>
              <w:pStyle w:val="BodyText"/>
            </w:pPr>
            <w:r>
              <w:t>Non-binary</w:t>
            </w:r>
          </w:p>
        </w:tc>
        <w:tc>
          <w:tcPr>
            <w:tcW w:w="379" w:type="pct"/>
          </w:tcPr>
          <w:p w:rsidR="008E273C" w:rsidRDefault="008E273C" w:rsidP="00F708F0">
            <w:pPr>
              <w:pStyle w:val="BodyText"/>
            </w:pPr>
          </w:p>
        </w:tc>
      </w:tr>
      <w:tr w:rsidR="008E273C" w:rsidTr="00F708F0">
        <w:trPr>
          <w:trHeight w:val="60"/>
          <w:tblHeader/>
        </w:trPr>
        <w:tc>
          <w:tcPr>
            <w:tcW w:w="638" w:type="pct"/>
          </w:tcPr>
          <w:p w:rsidR="008E273C" w:rsidRDefault="008E273C" w:rsidP="00F708F0">
            <w:pPr>
              <w:pStyle w:val="BodyText"/>
            </w:pPr>
            <w:r>
              <w:rPr>
                <w:rStyle w:val="Bold"/>
              </w:rPr>
              <w:t>Substantive classification</w:t>
            </w:r>
          </w:p>
        </w:tc>
        <w:tc>
          <w:tcPr>
            <w:tcW w:w="431" w:type="pct"/>
          </w:tcPr>
          <w:p w:rsidR="008E273C" w:rsidRDefault="008E273C" w:rsidP="00F708F0">
            <w:pPr>
              <w:pStyle w:val="BodyText"/>
            </w:pPr>
            <w:r>
              <w:rPr>
                <w:rStyle w:val="Bold"/>
              </w:rPr>
              <w:t>Full-time</w:t>
            </w:r>
          </w:p>
        </w:tc>
        <w:tc>
          <w:tcPr>
            <w:tcW w:w="431" w:type="pct"/>
          </w:tcPr>
          <w:p w:rsidR="008E273C" w:rsidRDefault="008E273C" w:rsidP="00F708F0">
            <w:pPr>
              <w:pStyle w:val="BodyText"/>
            </w:pPr>
            <w:r>
              <w:rPr>
                <w:rStyle w:val="Bold"/>
              </w:rPr>
              <w:t>Part-time</w:t>
            </w:r>
          </w:p>
        </w:tc>
        <w:tc>
          <w:tcPr>
            <w:tcW w:w="431" w:type="pct"/>
          </w:tcPr>
          <w:p w:rsidR="008E273C" w:rsidRDefault="00AC4959" w:rsidP="00F708F0">
            <w:pPr>
              <w:pStyle w:val="BodyText"/>
            </w:pPr>
            <w:r>
              <w:rPr>
                <w:rStyle w:val="Bold"/>
              </w:rPr>
              <w:t>Total male</w:t>
            </w:r>
          </w:p>
        </w:tc>
        <w:tc>
          <w:tcPr>
            <w:tcW w:w="431" w:type="pct"/>
          </w:tcPr>
          <w:p w:rsidR="008E273C" w:rsidRDefault="008E273C" w:rsidP="00F708F0">
            <w:pPr>
              <w:pStyle w:val="BodyText"/>
            </w:pPr>
            <w:r>
              <w:rPr>
                <w:rStyle w:val="Bold"/>
              </w:rPr>
              <w:t>Full-time</w:t>
            </w:r>
          </w:p>
        </w:tc>
        <w:tc>
          <w:tcPr>
            <w:tcW w:w="431" w:type="pct"/>
          </w:tcPr>
          <w:p w:rsidR="008E273C" w:rsidRDefault="008E273C" w:rsidP="00F708F0">
            <w:pPr>
              <w:pStyle w:val="BodyText"/>
            </w:pPr>
            <w:r>
              <w:rPr>
                <w:rStyle w:val="Bold"/>
              </w:rPr>
              <w:t>Part-time</w:t>
            </w:r>
          </w:p>
        </w:tc>
        <w:tc>
          <w:tcPr>
            <w:tcW w:w="431" w:type="pct"/>
          </w:tcPr>
          <w:p w:rsidR="008E273C" w:rsidRDefault="00AC4959" w:rsidP="00F708F0">
            <w:pPr>
              <w:pStyle w:val="BodyText"/>
            </w:pPr>
            <w:r>
              <w:rPr>
                <w:rStyle w:val="Bold"/>
              </w:rPr>
              <w:t>Total female</w:t>
            </w:r>
          </w:p>
        </w:tc>
        <w:tc>
          <w:tcPr>
            <w:tcW w:w="431" w:type="pct"/>
          </w:tcPr>
          <w:p w:rsidR="008E273C" w:rsidRDefault="008E273C" w:rsidP="00F708F0">
            <w:pPr>
              <w:pStyle w:val="BodyText"/>
            </w:pPr>
            <w:r>
              <w:rPr>
                <w:rStyle w:val="Bold"/>
              </w:rPr>
              <w:t>Full-time</w:t>
            </w:r>
          </w:p>
        </w:tc>
        <w:tc>
          <w:tcPr>
            <w:tcW w:w="431" w:type="pct"/>
          </w:tcPr>
          <w:p w:rsidR="008E273C" w:rsidRDefault="008E273C" w:rsidP="00F708F0">
            <w:pPr>
              <w:pStyle w:val="BodyText"/>
            </w:pPr>
            <w:r>
              <w:rPr>
                <w:rStyle w:val="Bold"/>
              </w:rPr>
              <w:t>Part-time</w:t>
            </w:r>
          </w:p>
        </w:tc>
        <w:tc>
          <w:tcPr>
            <w:tcW w:w="534" w:type="pct"/>
          </w:tcPr>
          <w:p w:rsidR="008E273C" w:rsidRDefault="008E273C" w:rsidP="00F708F0">
            <w:pPr>
              <w:pStyle w:val="BodyText"/>
            </w:pPr>
            <w:r>
              <w:rPr>
                <w:rStyle w:val="Bold"/>
              </w:rPr>
              <w:t xml:space="preserve">Total </w:t>
            </w:r>
            <w:r>
              <w:rPr>
                <w:rStyle w:val="Bold"/>
                <w:spacing w:val="-4"/>
              </w:rPr>
              <w:t>Non-binary</w:t>
            </w:r>
          </w:p>
        </w:tc>
        <w:tc>
          <w:tcPr>
            <w:tcW w:w="379" w:type="pct"/>
          </w:tcPr>
          <w:p w:rsidR="008E273C" w:rsidRDefault="008E273C" w:rsidP="00F708F0">
            <w:pPr>
              <w:pStyle w:val="BodyText"/>
            </w:pPr>
            <w:r>
              <w:rPr>
                <w:rStyle w:val="Bold"/>
              </w:rPr>
              <w:t>Total</w:t>
            </w:r>
          </w:p>
        </w:tc>
      </w:tr>
      <w:tr w:rsidR="008E273C" w:rsidTr="00F708F0">
        <w:trPr>
          <w:trHeight w:val="60"/>
        </w:trPr>
        <w:tc>
          <w:tcPr>
            <w:tcW w:w="638" w:type="pct"/>
          </w:tcPr>
          <w:p w:rsidR="008E273C" w:rsidRDefault="008E273C" w:rsidP="00F708F0">
            <w:pPr>
              <w:pStyle w:val="BodyText"/>
            </w:pPr>
            <w:r>
              <w:t>SES 3</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3</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3</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0</w:t>
            </w:r>
          </w:p>
        </w:tc>
        <w:tc>
          <w:tcPr>
            <w:tcW w:w="379" w:type="pct"/>
          </w:tcPr>
          <w:p w:rsidR="008E273C" w:rsidRDefault="008E273C" w:rsidP="00F708F0">
            <w:pPr>
              <w:pStyle w:val="BodyText"/>
            </w:pPr>
            <w:r>
              <w:rPr>
                <w:rStyle w:val="01bodybold"/>
              </w:rPr>
              <w:t>5</w:t>
            </w:r>
          </w:p>
        </w:tc>
      </w:tr>
      <w:tr w:rsidR="008E273C" w:rsidTr="00F708F0">
        <w:trPr>
          <w:trHeight w:val="305"/>
        </w:trPr>
        <w:tc>
          <w:tcPr>
            <w:tcW w:w="638" w:type="pct"/>
          </w:tcPr>
          <w:p w:rsidR="008E273C" w:rsidRDefault="008E273C" w:rsidP="00F708F0">
            <w:pPr>
              <w:pStyle w:val="BodyText"/>
            </w:pPr>
            <w:r>
              <w:t>SES 2</w:t>
            </w:r>
          </w:p>
        </w:tc>
        <w:tc>
          <w:tcPr>
            <w:tcW w:w="431" w:type="pct"/>
          </w:tcPr>
          <w:p w:rsidR="008E273C" w:rsidRDefault="008E273C" w:rsidP="00F708F0">
            <w:pPr>
              <w:pStyle w:val="BodyText"/>
            </w:pPr>
            <w:r>
              <w:t>15</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17</w:t>
            </w:r>
          </w:p>
        </w:tc>
        <w:tc>
          <w:tcPr>
            <w:tcW w:w="431" w:type="pct"/>
          </w:tcPr>
          <w:p w:rsidR="008E273C" w:rsidRDefault="008E273C" w:rsidP="00F708F0">
            <w:pPr>
              <w:pStyle w:val="BodyText"/>
            </w:pPr>
            <w:r>
              <w:t>11</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12</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1</w:t>
            </w:r>
          </w:p>
        </w:tc>
        <w:tc>
          <w:tcPr>
            <w:tcW w:w="379" w:type="pct"/>
          </w:tcPr>
          <w:p w:rsidR="008E273C" w:rsidRDefault="008E273C" w:rsidP="00F708F0">
            <w:pPr>
              <w:pStyle w:val="BodyText"/>
            </w:pPr>
            <w:r>
              <w:rPr>
                <w:rStyle w:val="01bodybold"/>
              </w:rPr>
              <w:t>30</w:t>
            </w:r>
          </w:p>
        </w:tc>
      </w:tr>
      <w:tr w:rsidR="008E273C" w:rsidTr="00F708F0">
        <w:trPr>
          <w:trHeight w:val="60"/>
        </w:trPr>
        <w:tc>
          <w:tcPr>
            <w:tcW w:w="638" w:type="pct"/>
          </w:tcPr>
          <w:p w:rsidR="008E273C" w:rsidRDefault="008E273C" w:rsidP="00F708F0">
            <w:pPr>
              <w:pStyle w:val="BodyText"/>
            </w:pPr>
            <w:r>
              <w:t>SES 1</w:t>
            </w:r>
          </w:p>
        </w:tc>
        <w:tc>
          <w:tcPr>
            <w:tcW w:w="431" w:type="pct"/>
          </w:tcPr>
          <w:p w:rsidR="008E273C" w:rsidRDefault="008E273C" w:rsidP="00F708F0">
            <w:pPr>
              <w:pStyle w:val="BodyText"/>
            </w:pPr>
            <w:r>
              <w:t>50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50</w:t>
            </w:r>
          </w:p>
        </w:tc>
        <w:tc>
          <w:tcPr>
            <w:tcW w:w="431" w:type="pct"/>
          </w:tcPr>
          <w:p w:rsidR="008E273C" w:rsidRDefault="008E273C" w:rsidP="00F708F0">
            <w:pPr>
              <w:pStyle w:val="BodyText"/>
            </w:pPr>
            <w:r>
              <w:t>56</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57</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0</w:t>
            </w:r>
          </w:p>
        </w:tc>
        <w:tc>
          <w:tcPr>
            <w:tcW w:w="379" w:type="pct"/>
          </w:tcPr>
          <w:p w:rsidR="008E273C" w:rsidRDefault="008E273C" w:rsidP="00F708F0">
            <w:pPr>
              <w:pStyle w:val="BodyText"/>
            </w:pPr>
            <w:r>
              <w:rPr>
                <w:rStyle w:val="01bodybold"/>
              </w:rPr>
              <w:t>107</w:t>
            </w:r>
          </w:p>
        </w:tc>
      </w:tr>
      <w:tr w:rsidR="008E273C" w:rsidTr="00F708F0">
        <w:trPr>
          <w:trHeight w:val="60"/>
        </w:trPr>
        <w:tc>
          <w:tcPr>
            <w:tcW w:w="638" w:type="pct"/>
          </w:tcPr>
          <w:p w:rsidR="008E273C" w:rsidRDefault="008E273C" w:rsidP="00F708F0">
            <w:pPr>
              <w:pStyle w:val="BodyText"/>
            </w:pPr>
            <w:r>
              <w:t>EL 2</w:t>
            </w:r>
          </w:p>
        </w:tc>
        <w:tc>
          <w:tcPr>
            <w:tcW w:w="431" w:type="pct"/>
          </w:tcPr>
          <w:p w:rsidR="008E273C" w:rsidRDefault="008E273C" w:rsidP="00F708F0">
            <w:pPr>
              <w:pStyle w:val="BodyText"/>
            </w:pPr>
            <w:r>
              <w:t>388</w:t>
            </w:r>
          </w:p>
        </w:tc>
        <w:tc>
          <w:tcPr>
            <w:tcW w:w="431" w:type="pct"/>
          </w:tcPr>
          <w:p w:rsidR="008E273C" w:rsidRDefault="008E273C" w:rsidP="00F708F0">
            <w:pPr>
              <w:pStyle w:val="BodyText"/>
            </w:pPr>
            <w:r>
              <w:t>11</w:t>
            </w:r>
          </w:p>
        </w:tc>
        <w:tc>
          <w:tcPr>
            <w:tcW w:w="431" w:type="pct"/>
          </w:tcPr>
          <w:p w:rsidR="008E273C" w:rsidRDefault="008E273C" w:rsidP="00F708F0">
            <w:pPr>
              <w:pStyle w:val="BodyText"/>
            </w:pPr>
            <w:r>
              <w:t>399</w:t>
            </w:r>
          </w:p>
        </w:tc>
        <w:tc>
          <w:tcPr>
            <w:tcW w:w="431" w:type="pct"/>
          </w:tcPr>
          <w:p w:rsidR="008E273C" w:rsidRDefault="008E273C" w:rsidP="00F708F0">
            <w:pPr>
              <w:pStyle w:val="BodyText"/>
            </w:pPr>
            <w:r>
              <w:t>398</w:t>
            </w:r>
          </w:p>
        </w:tc>
        <w:tc>
          <w:tcPr>
            <w:tcW w:w="431" w:type="pct"/>
          </w:tcPr>
          <w:p w:rsidR="008E273C" w:rsidRDefault="008E273C" w:rsidP="00F708F0">
            <w:pPr>
              <w:pStyle w:val="BodyText"/>
            </w:pPr>
            <w:r>
              <w:t>45</w:t>
            </w:r>
          </w:p>
        </w:tc>
        <w:tc>
          <w:tcPr>
            <w:tcW w:w="431" w:type="pct"/>
          </w:tcPr>
          <w:p w:rsidR="008E273C" w:rsidRDefault="008E273C" w:rsidP="00F708F0">
            <w:pPr>
              <w:pStyle w:val="BodyText"/>
            </w:pPr>
            <w:r>
              <w:t>443</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0</w:t>
            </w:r>
          </w:p>
        </w:tc>
        <w:tc>
          <w:tcPr>
            <w:tcW w:w="379" w:type="pct"/>
          </w:tcPr>
          <w:p w:rsidR="008E273C" w:rsidRDefault="008E273C" w:rsidP="00F708F0">
            <w:pPr>
              <w:pStyle w:val="BodyText"/>
            </w:pPr>
            <w:r>
              <w:rPr>
                <w:rStyle w:val="01bodybold"/>
              </w:rPr>
              <w:t>842</w:t>
            </w:r>
          </w:p>
        </w:tc>
      </w:tr>
      <w:tr w:rsidR="008E273C" w:rsidTr="00F708F0">
        <w:trPr>
          <w:trHeight w:val="60"/>
        </w:trPr>
        <w:tc>
          <w:tcPr>
            <w:tcW w:w="638" w:type="pct"/>
          </w:tcPr>
          <w:p w:rsidR="008E273C" w:rsidRDefault="008E273C" w:rsidP="00F708F0">
            <w:pPr>
              <w:pStyle w:val="BodyText"/>
            </w:pPr>
            <w:r>
              <w:t>EL 1</w:t>
            </w:r>
          </w:p>
        </w:tc>
        <w:tc>
          <w:tcPr>
            <w:tcW w:w="431" w:type="pct"/>
          </w:tcPr>
          <w:p w:rsidR="008E273C" w:rsidRDefault="008E273C" w:rsidP="00F708F0">
            <w:pPr>
              <w:pStyle w:val="BodyText"/>
            </w:pPr>
            <w:r>
              <w:t>1,050</w:t>
            </w:r>
          </w:p>
        </w:tc>
        <w:tc>
          <w:tcPr>
            <w:tcW w:w="431" w:type="pct"/>
          </w:tcPr>
          <w:p w:rsidR="008E273C" w:rsidRDefault="008E273C" w:rsidP="00F708F0">
            <w:pPr>
              <w:pStyle w:val="BodyText"/>
            </w:pPr>
            <w:r>
              <w:t>40</w:t>
            </w:r>
          </w:p>
        </w:tc>
        <w:tc>
          <w:tcPr>
            <w:tcW w:w="431" w:type="pct"/>
          </w:tcPr>
          <w:p w:rsidR="008E273C" w:rsidRDefault="008E273C" w:rsidP="00F708F0">
            <w:pPr>
              <w:pStyle w:val="BodyText"/>
            </w:pPr>
            <w:r>
              <w:t>1,090</w:t>
            </w:r>
          </w:p>
        </w:tc>
        <w:tc>
          <w:tcPr>
            <w:tcW w:w="431" w:type="pct"/>
          </w:tcPr>
          <w:p w:rsidR="008E273C" w:rsidRDefault="008E273C" w:rsidP="00F708F0">
            <w:pPr>
              <w:pStyle w:val="BodyText"/>
            </w:pPr>
            <w:r>
              <w:t>1,157</w:t>
            </w:r>
          </w:p>
        </w:tc>
        <w:tc>
          <w:tcPr>
            <w:tcW w:w="431" w:type="pct"/>
          </w:tcPr>
          <w:p w:rsidR="008E273C" w:rsidRDefault="008E273C" w:rsidP="00F708F0">
            <w:pPr>
              <w:pStyle w:val="BodyText"/>
            </w:pPr>
            <w:r>
              <w:t>281</w:t>
            </w:r>
          </w:p>
        </w:tc>
        <w:tc>
          <w:tcPr>
            <w:tcW w:w="431" w:type="pct"/>
          </w:tcPr>
          <w:p w:rsidR="008E273C" w:rsidRDefault="008E273C" w:rsidP="00F708F0">
            <w:pPr>
              <w:pStyle w:val="BodyText"/>
            </w:pPr>
            <w:r>
              <w:t>1,438</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2</w:t>
            </w:r>
          </w:p>
        </w:tc>
        <w:tc>
          <w:tcPr>
            <w:tcW w:w="379" w:type="pct"/>
          </w:tcPr>
          <w:p w:rsidR="008E273C" w:rsidRDefault="008E273C" w:rsidP="00F708F0">
            <w:pPr>
              <w:pStyle w:val="BodyText"/>
            </w:pPr>
            <w:r>
              <w:rPr>
                <w:rStyle w:val="01bodybold"/>
              </w:rPr>
              <w:t>2,530</w:t>
            </w:r>
          </w:p>
        </w:tc>
      </w:tr>
      <w:tr w:rsidR="008E273C" w:rsidTr="00F708F0">
        <w:trPr>
          <w:trHeight w:val="60"/>
        </w:trPr>
        <w:tc>
          <w:tcPr>
            <w:tcW w:w="638" w:type="pct"/>
          </w:tcPr>
          <w:p w:rsidR="008E273C" w:rsidRDefault="008E273C" w:rsidP="00F708F0">
            <w:pPr>
              <w:pStyle w:val="BodyText"/>
            </w:pPr>
            <w:r>
              <w:t>APS 6</w:t>
            </w:r>
          </w:p>
        </w:tc>
        <w:tc>
          <w:tcPr>
            <w:tcW w:w="431" w:type="pct"/>
          </w:tcPr>
          <w:p w:rsidR="008E273C" w:rsidRDefault="008E273C" w:rsidP="00F708F0">
            <w:pPr>
              <w:pStyle w:val="BodyText"/>
            </w:pPr>
            <w:r>
              <w:t>1,715</w:t>
            </w:r>
          </w:p>
        </w:tc>
        <w:tc>
          <w:tcPr>
            <w:tcW w:w="431" w:type="pct"/>
          </w:tcPr>
          <w:p w:rsidR="008E273C" w:rsidRDefault="008E273C" w:rsidP="00F708F0">
            <w:pPr>
              <w:pStyle w:val="BodyText"/>
            </w:pPr>
            <w:r>
              <w:t>106</w:t>
            </w:r>
          </w:p>
        </w:tc>
        <w:tc>
          <w:tcPr>
            <w:tcW w:w="431" w:type="pct"/>
          </w:tcPr>
          <w:p w:rsidR="008E273C" w:rsidRDefault="008E273C" w:rsidP="00F708F0">
            <w:pPr>
              <w:pStyle w:val="BodyText"/>
            </w:pPr>
            <w:r>
              <w:t>1,821</w:t>
            </w:r>
          </w:p>
        </w:tc>
        <w:tc>
          <w:tcPr>
            <w:tcW w:w="431" w:type="pct"/>
          </w:tcPr>
          <w:p w:rsidR="008E273C" w:rsidRDefault="008E273C" w:rsidP="00F708F0">
            <w:pPr>
              <w:pStyle w:val="BodyText"/>
            </w:pPr>
            <w:r>
              <w:t>2,462</w:t>
            </w:r>
          </w:p>
        </w:tc>
        <w:tc>
          <w:tcPr>
            <w:tcW w:w="431" w:type="pct"/>
          </w:tcPr>
          <w:p w:rsidR="008E273C" w:rsidRDefault="008E273C" w:rsidP="00F708F0">
            <w:pPr>
              <w:pStyle w:val="BodyText"/>
            </w:pPr>
            <w:r>
              <w:t>1,167</w:t>
            </w:r>
          </w:p>
        </w:tc>
        <w:tc>
          <w:tcPr>
            <w:tcW w:w="431" w:type="pct"/>
          </w:tcPr>
          <w:p w:rsidR="008E273C" w:rsidRDefault="008E273C" w:rsidP="00F708F0">
            <w:pPr>
              <w:pStyle w:val="BodyText"/>
            </w:pPr>
            <w:r>
              <w:t>3,629</w:t>
            </w:r>
          </w:p>
        </w:tc>
        <w:tc>
          <w:tcPr>
            <w:tcW w:w="431" w:type="pct"/>
          </w:tcPr>
          <w:p w:rsidR="008E273C" w:rsidRDefault="008E273C" w:rsidP="00F708F0">
            <w:pPr>
              <w:pStyle w:val="BodyText"/>
            </w:pPr>
            <w:r>
              <w:t>6</w:t>
            </w:r>
          </w:p>
        </w:tc>
        <w:tc>
          <w:tcPr>
            <w:tcW w:w="431" w:type="pct"/>
          </w:tcPr>
          <w:p w:rsidR="008E273C" w:rsidRDefault="008E273C" w:rsidP="00F708F0">
            <w:pPr>
              <w:pStyle w:val="BodyText"/>
            </w:pPr>
            <w:r>
              <w:t>1</w:t>
            </w:r>
          </w:p>
        </w:tc>
        <w:tc>
          <w:tcPr>
            <w:tcW w:w="534" w:type="pct"/>
          </w:tcPr>
          <w:p w:rsidR="008E273C" w:rsidRDefault="008E273C" w:rsidP="00F708F0">
            <w:pPr>
              <w:pStyle w:val="BodyText"/>
            </w:pPr>
            <w:r>
              <w:t>7</w:t>
            </w:r>
          </w:p>
        </w:tc>
        <w:tc>
          <w:tcPr>
            <w:tcW w:w="379" w:type="pct"/>
          </w:tcPr>
          <w:p w:rsidR="008E273C" w:rsidRDefault="008E273C" w:rsidP="00F708F0">
            <w:pPr>
              <w:pStyle w:val="BodyText"/>
            </w:pPr>
            <w:r>
              <w:rPr>
                <w:rStyle w:val="01bodybold"/>
              </w:rPr>
              <w:t>5,457</w:t>
            </w:r>
          </w:p>
        </w:tc>
      </w:tr>
      <w:tr w:rsidR="008E273C" w:rsidTr="00F708F0">
        <w:trPr>
          <w:trHeight w:val="60"/>
        </w:trPr>
        <w:tc>
          <w:tcPr>
            <w:tcW w:w="638" w:type="pct"/>
          </w:tcPr>
          <w:p w:rsidR="008E273C" w:rsidRDefault="008E273C" w:rsidP="00F708F0">
            <w:pPr>
              <w:pStyle w:val="BodyText"/>
            </w:pPr>
            <w:r>
              <w:t>APS 5</w:t>
            </w:r>
          </w:p>
        </w:tc>
        <w:tc>
          <w:tcPr>
            <w:tcW w:w="431" w:type="pct"/>
          </w:tcPr>
          <w:p w:rsidR="008E273C" w:rsidRDefault="008E273C" w:rsidP="00F708F0">
            <w:pPr>
              <w:pStyle w:val="BodyText"/>
            </w:pPr>
            <w:r>
              <w:t>1,025</w:t>
            </w:r>
          </w:p>
        </w:tc>
        <w:tc>
          <w:tcPr>
            <w:tcW w:w="431" w:type="pct"/>
          </w:tcPr>
          <w:p w:rsidR="008E273C" w:rsidRDefault="008E273C" w:rsidP="00F708F0">
            <w:pPr>
              <w:pStyle w:val="BodyText"/>
            </w:pPr>
            <w:r>
              <w:t>56</w:t>
            </w:r>
          </w:p>
        </w:tc>
        <w:tc>
          <w:tcPr>
            <w:tcW w:w="431" w:type="pct"/>
          </w:tcPr>
          <w:p w:rsidR="008E273C" w:rsidRDefault="008E273C" w:rsidP="00F708F0">
            <w:pPr>
              <w:pStyle w:val="BodyText"/>
            </w:pPr>
            <w:r>
              <w:t>1,081</w:t>
            </w:r>
          </w:p>
        </w:tc>
        <w:tc>
          <w:tcPr>
            <w:tcW w:w="431" w:type="pct"/>
          </w:tcPr>
          <w:p w:rsidR="008E273C" w:rsidRDefault="008E273C" w:rsidP="00F708F0">
            <w:pPr>
              <w:pStyle w:val="BodyText"/>
            </w:pPr>
            <w:r>
              <w:t>1,741</w:t>
            </w:r>
          </w:p>
        </w:tc>
        <w:tc>
          <w:tcPr>
            <w:tcW w:w="431" w:type="pct"/>
          </w:tcPr>
          <w:p w:rsidR="008E273C" w:rsidRDefault="008E273C" w:rsidP="00F708F0">
            <w:pPr>
              <w:pStyle w:val="BodyText"/>
            </w:pPr>
            <w:r>
              <w:t>571</w:t>
            </w:r>
          </w:p>
        </w:tc>
        <w:tc>
          <w:tcPr>
            <w:tcW w:w="431" w:type="pct"/>
          </w:tcPr>
          <w:p w:rsidR="008E273C" w:rsidRDefault="008E273C" w:rsidP="00F708F0">
            <w:pPr>
              <w:pStyle w:val="BodyText"/>
            </w:pPr>
            <w:r>
              <w:t>2,312</w:t>
            </w:r>
          </w:p>
        </w:tc>
        <w:tc>
          <w:tcPr>
            <w:tcW w:w="431" w:type="pct"/>
          </w:tcPr>
          <w:p w:rsidR="008E273C" w:rsidRDefault="008E273C" w:rsidP="00F708F0">
            <w:pPr>
              <w:pStyle w:val="BodyText"/>
            </w:pPr>
            <w:r>
              <w:t>8</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8</w:t>
            </w:r>
          </w:p>
        </w:tc>
        <w:tc>
          <w:tcPr>
            <w:tcW w:w="379" w:type="pct"/>
          </w:tcPr>
          <w:p w:rsidR="008E273C" w:rsidRDefault="008E273C" w:rsidP="00F708F0">
            <w:pPr>
              <w:pStyle w:val="BodyText"/>
            </w:pPr>
            <w:r>
              <w:rPr>
                <w:rStyle w:val="01bodybold"/>
              </w:rPr>
              <w:t>3,401</w:t>
            </w:r>
          </w:p>
        </w:tc>
      </w:tr>
      <w:tr w:rsidR="008E273C" w:rsidTr="00F708F0">
        <w:trPr>
          <w:trHeight w:val="60"/>
        </w:trPr>
        <w:tc>
          <w:tcPr>
            <w:tcW w:w="638" w:type="pct"/>
          </w:tcPr>
          <w:p w:rsidR="008E273C" w:rsidRDefault="008E273C" w:rsidP="00F708F0">
            <w:pPr>
              <w:pStyle w:val="BodyText"/>
            </w:pPr>
            <w:r>
              <w:t>APS 4</w:t>
            </w:r>
          </w:p>
        </w:tc>
        <w:tc>
          <w:tcPr>
            <w:tcW w:w="431" w:type="pct"/>
          </w:tcPr>
          <w:p w:rsidR="008E273C" w:rsidRDefault="008E273C" w:rsidP="00F708F0">
            <w:pPr>
              <w:pStyle w:val="BodyText"/>
            </w:pPr>
            <w:r>
              <w:t>2,312</w:t>
            </w:r>
          </w:p>
        </w:tc>
        <w:tc>
          <w:tcPr>
            <w:tcW w:w="431" w:type="pct"/>
          </w:tcPr>
          <w:p w:rsidR="008E273C" w:rsidRDefault="008E273C" w:rsidP="00F708F0">
            <w:pPr>
              <w:pStyle w:val="BodyText"/>
            </w:pPr>
            <w:r>
              <w:t>390</w:t>
            </w:r>
          </w:p>
        </w:tc>
        <w:tc>
          <w:tcPr>
            <w:tcW w:w="431" w:type="pct"/>
          </w:tcPr>
          <w:p w:rsidR="008E273C" w:rsidRDefault="008E273C" w:rsidP="00F708F0">
            <w:pPr>
              <w:pStyle w:val="BodyText"/>
            </w:pPr>
            <w:r>
              <w:t>2,702</w:t>
            </w:r>
          </w:p>
        </w:tc>
        <w:tc>
          <w:tcPr>
            <w:tcW w:w="431" w:type="pct"/>
          </w:tcPr>
          <w:p w:rsidR="008E273C" w:rsidRDefault="008E273C" w:rsidP="00F708F0">
            <w:pPr>
              <w:pStyle w:val="BodyText"/>
            </w:pPr>
            <w:r>
              <w:t>5,143</w:t>
            </w:r>
          </w:p>
        </w:tc>
        <w:tc>
          <w:tcPr>
            <w:tcW w:w="431" w:type="pct"/>
          </w:tcPr>
          <w:p w:rsidR="008E273C" w:rsidRDefault="008E273C" w:rsidP="00F708F0">
            <w:pPr>
              <w:pStyle w:val="BodyText"/>
            </w:pPr>
            <w:r>
              <w:t>4,014</w:t>
            </w:r>
          </w:p>
        </w:tc>
        <w:tc>
          <w:tcPr>
            <w:tcW w:w="431" w:type="pct"/>
          </w:tcPr>
          <w:p w:rsidR="008E273C" w:rsidRDefault="008E273C" w:rsidP="00F708F0">
            <w:pPr>
              <w:pStyle w:val="BodyText"/>
            </w:pPr>
            <w:r>
              <w:t>9,157</w:t>
            </w:r>
          </w:p>
        </w:tc>
        <w:tc>
          <w:tcPr>
            <w:tcW w:w="431" w:type="pct"/>
          </w:tcPr>
          <w:p w:rsidR="008E273C" w:rsidRDefault="008E273C" w:rsidP="00F708F0">
            <w:pPr>
              <w:pStyle w:val="BodyText"/>
            </w:pPr>
            <w:r>
              <w:t>10</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10</w:t>
            </w:r>
          </w:p>
        </w:tc>
        <w:tc>
          <w:tcPr>
            <w:tcW w:w="379" w:type="pct"/>
          </w:tcPr>
          <w:p w:rsidR="008E273C" w:rsidRDefault="008E273C" w:rsidP="00F708F0">
            <w:pPr>
              <w:pStyle w:val="BodyText"/>
            </w:pPr>
            <w:r>
              <w:rPr>
                <w:rStyle w:val="01bodybold"/>
              </w:rPr>
              <w:t>11,869</w:t>
            </w:r>
          </w:p>
        </w:tc>
      </w:tr>
      <w:tr w:rsidR="008E273C" w:rsidTr="00F708F0">
        <w:trPr>
          <w:trHeight w:val="376"/>
        </w:trPr>
        <w:tc>
          <w:tcPr>
            <w:tcW w:w="638" w:type="pct"/>
          </w:tcPr>
          <w:p w:rsidR="008E273C" w:rsidRDefault="008E273C" w:rsidP="00F708F0">
            <w:pPr>
              <w:pStyle w:val="BodyText"/>
            </w:pPr>
            <w:r>
              <w:t>APS 3</w:t>
            </w:r>
          </w:p>
        </w:tc>
        <w:tc>
          <w:tcPr>
            <w:tcW w:w="431" w:type="pct"/>
          </w:tcPr>
          <w:p w:rsidR="008E273C" w:rsidRDefault="008E273C" w:rsidP="00F708F0">
            <w:pPr>
              <w:pStyle w:val="BodyText"/>
            </w:pPr>
            <w:r>
              <w:t>574</w:t>
            </w:r>
          </w:p>
        </w:tc>
        <w:tc>
          <w:tcPr>
            <w:tcW w:w="431" w:type="pct"/>
          </w:tcPr>
          <w:p w:rsidR="008E273C" w:rsidRDefault="008E273C" w:rsidP="00F708F0">
            <w:pPr>
              <w:pStyle w:val="BodyText"/>
            </w:pPr>
            <w:r>
              <w:t>73</w:t>
            </w:r>
          </w:p>
        </w:tc>
        <w:tc>
          <w:tcPr>
            <w:tcW w:w="431" w:type="pct"/>
          </w:tcPr>
          <w:p w:rsidR="008E273C" w:rsidRDefault="008E273C" w:rsidP="00F708F0">
            <w:pPr>
              <w:pStyle w:val="BodyText"/>
            </w:pPr>
            <w:r>
              <w:t>647</w:t>
            </w:r>
          </w:p>
        </w:tc>
        <w:tc>
          <w:tcPr>
            <w:tcW w:w="431" w:type="pct"/>
          </w:tcPr>
          <w:p w:rsidR="008E273C" w:rsidRDefault="008E273C" w:rsidP="00F708F0">
            <w:pPr>
              <w:pStyle w:val="BodyText"/>
            </w:pPr>
            <w:r>
              <w:t>1,473</w:t>
            </w:r>
          </w:p>
        </w:tc>
        <w:tc>
          <w:tcPr>
            <w:tcW w:w="431" w:type="pct"/>
          </w:tcPr>
          <w:p w:rsidR="008E273C" w:rsidRDefault="008E273C" w:rsidP="00F708F0">
            <w:pPr>
              <w:pStyle w:val="BodyText"/>
            </w:pPr>
            <w:r>
              <w:t>750</w:t>
            </w:r>
          </w:p>
        </w:tc>
        <w:tc>
          <w:tcPr>
            <w:tcW w:w="431" w:type="pct"/>
          </w:tcPr>
          <w:p w:rsidR="008E273C" w:rsidRDefault="008E273C" w:rsidP="00F708F0">
            <w:pPr>
              <w:pStyle w:val="BodyText"/>
            </w:pPr>
            <w:r>
              <w:t>2,223</w:t>
            </w:r>
          </w:p>
        </w:tc>
        <w:tc>
          <w:tcPr>
            <w:tcW w:w="431" w:type="pct"/>
          </w:tcPr>
          <w:p w:rsidR="008E273C" w:rsidRDefault="008E273C" w:rsidP="00F708F0">
            <w:pPr>
              <w:pStyle w:val="BodyText"/>
            </w:pPr>
            <w:r>
              <w:t>8</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8</w:t>
            </w:r>
          </w:p>
        </w:tc>
        <w:tc>
          <w:tcPr>
            <w:tcW w:w="379" w:type="pct"/>
          </w:tcPr>
          <w:p w:rsidR="008E273C" w:rsidRDefault="008E273C" w:rsidP="00F708F0">
            <w:pPr>
              <w:pStyle w:val="BodyText"/>
            </w:pPr>
            <w:r>
              <w:rPr>
                <w:rStyle w:val="01bodybold"/>
              </w:rPr>
              <w:t>2,878</w:t>
            </w:r>
          </w:p>
        </w:tc>
      </w:tr>
      <w:tr w:rsidR="008E273C" w:rsidTr="00F708F0">
        <w:trPr>
          <w:trHeight w:val="60"/>
        </w:trPr>
        <w:tc>
          <w:tcPr>
            <w:tcW w:w="638" w:type="pct"/>
          </w:tcPr>
          <w:p w:rsidR="008E273C" w:rsidRDefault="008E273C" w:rsidP="00F708F0">
            <w:pPr>
              <w:pStyle w:val="BodyText"/>
            </w:pPr>
            <w:r>
              <w:t>APS 2</w:t>
            </w:r>
          </w:p>
        </w:tc>
        <w:tc>
          <w:tcPr>
            <w:tcW w:w="431" w:type="pct"/>
          </w:tcPr>
          <w:p w:rsidR="008E273C" w:rsidRDefault="008E273C" w:rsidP="00F708F0">
            <w:pPr>
              <w:pStyle w:val="BodyText"/>
            </w:pPr>
            <w:r>
              <w:t>32</w:t>
            </w:r>
          </w:p>
        </w:tc>
        <w:tc>
          <w:tcPr>
            <w:tcW w:w="431" w:type="pct"/>
          </w:tcPr>
          <w:p w:rsidR="008E273C" w:rsidRDefault="008E273C" w:rsidP="00F708F0">
            <w:pPr>
              <w:pStyle w:val="BodyText"/>
            </w:pPr>
            <w:r>
              <w:t>3</w:t>
            </w:r>
          </w:p>
        </w:tc>
        <w:tc>
          <w:tcPr>
            <w:tcW w:w="431" w:type="pct"/>
          </w:tcPr>
          <w:p w:rsidR="008E273C" w:rsidRDefault="008E273C" w:rsidP="00F708F0">
            <w:pPr>
              <w:pStyle w:val="BodyText"/>
            </w:pPr>
            <w:r>
              <w:t>35</w:t>
            </w:r>
          </w:p>
        </w:tc>
        <w:tc>
          <w:tcPr>
            <w:tcW w:w="431" w:type="pct"/>
          </w:tcPr>
          <w:p w:rsidR="008E273C" w:rsidRDefault="008E273C" w:rsidP="00F708F0">
            <w:pPr>
              <w:pStyle w:val="BodyText"/>
            </w:pPr>
            <w:r>
              <w:t>28</w:t>
            </w:r>
          </w:p>
        </w:tc>
        <w:tc>
          <w:tcPr>
            <w:tcW w:w="431" w:type="pct"/>
          </w:tcPr>
          <w:p w:rsidR="008E273C" w:rsidRDefault="008E273C" w:rsidP="00F708F0">
            <w:pPr>
              <w:pStyle w:val="BodyText"/>
            </w:pPr>
            <w:r>
              <w:t>16</w:t>
            </w:r>
          </w:p>
        </w:tc>
        <w:tc>
          <w:tcPr>
            <w:tcW w:w="431" w:type="pct"/>
          </w:tcPr>
          <w:p w:rsidR="008E273C" w:rsidRDefault="008E273C" w:rsidP="00F708F0">
            <w:pPr>
              <w:pStyle w:val="BodyText"/>
            </w:pPr>
            <w:r>
              <w:t>44</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0</w:t>
            </w:r>
          </w:p>
        </w:tc>
        <w:tc>
          <w:tcPr>
            <w:tcW w:w="379" w:type="pct"/>
          </w:tcPr>
          <w:p w:rsidR="008E273C" w:rsidRDefault="008E273C" w:rsidP="00F708F0">
            <w:pPr>
              <w:pStyle w:val="BodyText"/>
            </w:pPr>
            <w:r>
              <w:rPr>
                <w:rStyle w:val="01bodybold"/>
              </w:rPr>
              <w:t>79</w:t>
            </w:r>
          </w:p>
        </w:tc>
      </w:tr>
      <w:tr w:rsidR="008E273C" w:rsidTr="00F708F0">
        <w:trPr>
          <w:trHeight w:val="60"/>
        </w:trPr>
        <w:tc>
          <w:tcPr>
            <w:tcW w:w="638" w:type="pct"/>
          </w:tcPr>
          <w:p w:rsidR="008E273C" w:rsidRDefault="008E273C" w:rsidP="00F708F0">
            <w:pPr>
              <w:pStyle w:val="BodyText"/>
            </w:pPr>
            <w:r>
              <w:t>APS 1</w:t>
            </w:r>
          </w:p>
        </w:tc>
        <w:tc>
          <w:tcPr>
            <w:tcW w:w="431" w:type="pct"/>
          </w:tcPr>
          <w:p w:rsidR="008E273C" w:rsidRDefault="008E273C" w:rsidP="00F708F0">
            <w:pPr>
              <w:pStyle w:val="BodyText"/>
            </w:pPr>
            <w:r>
              <w:t>26</w:t>
            </w:r>
          </w:p>
        </w:tc>
        <w:tc>
          <w:tcPr>
            <w:tcW w:w="431" w:type="pct"/>
          </w:tcPr>
          <w:p w:rsidR="008E273C" w:rsidRDefault="008E273C" w:rsidP="00F708F0">
            <w:pPr>
              <w:pStyle w:val="BodyText"/>
            </w:pPr>
            <w:r>
              <w:t>7</w:t>
            </w:r>
          </w:p>
        </w:tc>
        <w:tc>
          <w:tcPr>
            <w:tcW w:w="431" w:type="pct"/>
          </w:tcPr>
          <w:p w:rsidR="008E273C" w:rsidRDefault="008E273C" w:rsidP="00F708F0">
            <w:pPr>
              <w:pStyle w:val="BodyText"/>
            </w:pPr>
            <w:r>
              <w:t>33</w:t>
            </w:r>
          </w:p>
        </w:tc>
        <w:tc>
          <w:tcPr>
            <w:tcW w:w="431" w:type="pct"/>
          </w:tcPr>
          <w:p w:rsidR="008E273C" w:rsidRDefault="008E273C" w:rsidP="00F708F0">
            <w:pPr>
              <w:pStyle w:val="BodyText"/>
            </w:pPr>
            <w:r>
              <w:t>32</w:t>
            </w:r>
          </w:p>
        </w:tc>
        <w:tc>
          <w:tcPr>
            <w:tcW w:w="431" w:type="pct"/>
          </w:tcPr>
          <w:p w:rsidR="008E273C" w:rsidRDefault="008E273C" w:rsidP="00F708F0">
            <w:pPr>
              <w:pStyle w:val="BodyText"/>
            </w:pPr>
            <w:r>
              <w:t>7</w:t>
            </w:r>
          </w:p>
        </w:tc>
        <w:tc>
          <w:tcPr>
            <w:tcW w:w="431" w:type="pct"/>
          </w:tcPr>
          <w:p w:rsidR="008E273C" w:rsidRDefault="008E273C" w:rsidP="00F708F0">
            <w:pPr>
              <w:pStyle w:val="BodyText"/>
            </w:pPr>
            <w:r>
              <w:t>39</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0</w:t>
            </w:r>
          </w:p>
        </w:tc>
        <w:tc>
          <w:tcPr>
            <w:tcW w:w="379" w:type="pct"/>
          </w:tcPr>
          <w:p w:rsidR="008E273C" w:rsidRDefault="008E273C" w:rsidP="00F708F0">
            <w:pPr>
              <w:pStyle w:val="BodyText"/>
            </w:pPr>
            <w:r>
              <w:rPr>
                <w:rStyle w:val="01bodybold"/>
              </w:rPr>
              <w:t>72</w:t>
            </w:r>
          </w:p>
        </w:tc>
      </w:tr>
      <w:tr w:rsidR="008E273C" w:rsidTr="00F708F0">
        <w:trPr>
          <w:trHeight w:val="60"/>
        </w:trPr>
        <w:tc>
          <w:tcPr>
            <w:tcW w:w="638" w:type="pct"/>
          </w:tcPr>
          <w:p w:rsidR="008E273C" w:rsidRDefault="008E273C" w:rsidP="00F708F0">
            <w:pPr>
              <w:pStyle w:val="BodyText"/>
            </w:pPr>
            <w:r>
              <w:t>Other</w:t>
            </w:r>
          </w:p>
        </w:tc>
        <w:tc>
          <w:tcPr>
            <w:tcW w:w="431" w:type="pct"/>
          </w:tcPr>
          <w:p w:rsidR="008E273C" w:rsidRDefault="008E273C" w:rsidP="00F708F0">
            <w:pPr>
              <w:pStyle w:val="BodyText"/>
            </w:pPr>
            <w:r>
              <w:t>79</w:t>
            </w:r>
          </w:p>
        </w:tc>
        <w:tc>
          <w:tcPr>
            <w:tcW w:w="431" w:type="pct"/>
          </w:tcPr>
          <w:p w:rsidR="008E273C" w:rsidRDefault="008E273C" w:rsidP="00F708F0">
            <w:pPr>
              <w:pStyle w:val="BodyText"/>
            </w:pPr>
            <w:r>
              <w:t>17</w:t>
            </w:r>
          </w:p>
        </w:tc>
        <w:tc>
          <w:tcPr>
            <w:tcW w:w="431" w:type="pct"/>
          </w:tcPr>
          <w:p w:rsidR="008E273C" w:rsidRDefault="008E273C" w:rsidP="00F708F0">
            <w:pPr>
              <w:pStyle w:val="BodyText"/>
            </w:pPr>
            <w:r>
              <w:t>96</w:t>
            </w:r>
          </w:p>
        </w:tc>
        <w:tc>
          <w:tcPr>
            <w:tcW w:w="431" w:type="pct"/>
          </w:tcPr>
          <w:p w:rsidR="008E273C" w:rsidRDefault="008E273C" w:rsidP="00F708F0">
            <w:pPr>
              <w:pStyle w:val="BodyText"/>
            </w:pPr>
            <w:r>
              <w:t>168</w:t>
            </w:r>
          </w:p>
        </w:tc>
        <w:tc>
          <w:tcPr>
            <w:tcW w:w="431" w:type="pct"/>
          </w:tcPr>
          <w:p w:rsidR="008E273C" w:rsidRDefault="008E273C" w:rsidP="00F708F0">
            <w:pPr>
              <w:pStyle w:val="BodyText"/>
            </w:pPr>
            <w:r>
              <w:t>14</w:t>
            </w:r>
          </w:p>
        </w:tc>
        <w:tc>
          <w:tcPr>
            <w:tcW w:w="431" w:type="pct"/>
          </w:tcPr>
          <w:p w:rsidR="008E273C" w:rsidRDefault="008E273C" w:rsidP="00F708F0">
            <w:pPr>
              <w:pStyle w:val="BodyText"/>
            </w:pPr>
            <w:r>
              <w:t>182</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534" w:type="pct"/>
          </w:tcPr>
          <w:p w:rsidR="008E273C" w:rsidRDefault="008E273C" w:rsidP="00F708F0">
            <w:pPr>
              <w:pStyle w:val="BodyText"/>
            </w:pPr>
            <w:r>
              <w:t>1</w:t>
            </w:r>
          </w:p>
        </w:tc>
        <w:tc>
          <w:tcPr>
            <w:tcW w:w="379" w:type="pct"/>
          </w:tcPr>
          <w:p w:rsidR="008E273C" w:rsidRDefault="008E273C" w:rsidP="00F708F0">
            <w:pPr>
              <w:pStyle w:val="BodyText"/>
            </w:pPr>
            <w:r>
              <w:rPr>
                <w:rStyle w:val="01bodybold"/>
              </w:rPr>
              <w:t>279</w:t>
            </w:r>
          </w:p>
        </w:tc>
      </w:tr>
      <w:tr w:rsidR="008E273C" w:rsidTr="00F708F0">
        <w:trPr>
          <w:trHeight w:val="60"/>
        </w:trPr>
        <w:tc>
          <w:tcPr>
            <w:tcW w:w="638" w:type="pct"/>
          </w:tcPr>
          <w:p w:rsidR="008E273C" w:rsidRDefault="008E273C" w:rsidP="00F708F0">
            <w:pPr>
              <w:pStyle w:val="BodyText"/>
            </w:pPr>
            <w:r>
              <w:rPr>
                <w:rStyle w:val="Bold"/>
              </w:rPr>
              <w:t>Total</w:t>
            </w:r>
          </w:p>
        </w:tc>
        <w:tc>
          <w:tcPr>
            <w:tcW w:w="431" w:type="pct"/>
          </w:tcPr>
          <w:p w:rsidR="008E273C" w:rsidRDefault="008E273C" w:rsidP="00F708F0">
            <w:pPr>
              <w:pStyle w:val="BodyText"/>
            </w:pPr>
            <w:r>
              <w:rPr>
                <w:rStyle w:val="Bold"/>
              </w:rPr>
              <w:t>7,268</w:t>
            </w:r>
          </w:p>
        </w:tc>
        <w:tc>
          <w:tcPr>
            <w:tcW w:w="431" w:type="pct"/>
          </w:tcPr>
          <w:p w:rsidR="008E273C" w:rsidRDefault="008E273C" w:rsidP="00F708F0">
            <w:pPr>
              <w:pStyle w:val="BodyText"/>
            </w:pPr>
            <w:r>
              <w:rPr>
                <w:rStyle w:val="Bold"/>
              </w:rPr>
              <w:t>705</w:t>
            </w:r>
          </w:p>
        </w:tc>
        <w:tc>
          <w:tcPr>
            <w:tcW w:w="431" w:type="pct"/>
          </w:tcPr>
          <w:p w:rsidR="008E273C" w:rsidRDefault="008E273C" w:rsidP="00F708F0">
            <w:pPr>
              <w:pStyle w:val="BodyText"/>
            </w:pPr>
            <w:r>
              <w:rPr>
                <w:rStyle w:val="Bold"/>
              </w:rPr>
              <w:t>7,973</w:t>
            </w:r>
          </w:p>
        </w:tc>
        <w:tc>
          <w:tcPr>
            <w:tcW w:w="431" w:type="pct"/>
          </w:tcPr>
          <w:p w:rsidR="008E273C" w:rsidRDefault="008E273C" w:rsidP="00F708F0">
            <w:pPr>
              <w:pStyle w:val="BodyText"/>
            </w:pPr>
            <w:r>
              <w:rPr>
                <w:rStyle w:val="Bold"/>
              </w:rPr>
              <w:t>12,672</w:t>
            </w:r>
          </w:p>
        </w:tc>
        <w:tc>
          <w:tcPr>
            <w:tcW w:w="431" w:type="pct"/>
          </w:tcPr>
          <w:p w:rsidR="008E273C" w:rsidRDefault="008E273C" w:rsidP="00F708F0">
            <w:pPr>
              <w:pStyle w:val="BodyText"/>
            </w:pPr>
            <w:r>
              <w:rPr>
                <w:rStyle w:val="Bold"/>
              </w:rPr>
              <w:t>6,867</w:t>
            </w:r>
          </w:p>
        </w:tc>
        <w:tc>
          <w:tcPr>
            <w:tcW w:w="431" w:type="pct"/>
          </w:tcPr>
          <w:p w:rsidR="008E273C" w:rsidRDefault="008E273C" w:rsidP="00F708F0">
            <w:pPr>
              <w:pStyle w:val="BodyText"/>
            </w:pPr>
            <w:r>
              <w:rPr>
                <w:rStyle w:val="Bold"/>
              </w:rPr>
              <w:t>19,539</w:t>
            </w:r>
          </w:p>
        </w:tc>
        <w:tc>
          <w:tcPr>
            <w:tcW w:w="431" w:type="pct"/>
          </w:tcPr>
          <w:p w:rsidR="008E273C" w:rsidRDefault="008E273C" w:rsidP="00F708F0">
            <w:pPr>
              <w:pStyle w:val="BodyText"/>
            </w:pPr>
            <w:r>
              <w:rPr>
                <w:rStyle w:val="Bold"/>
              </w:rPr>
              <w:t>36</w:t>
            </w:r>
          </w:p>
        </w:tc>
        <w:tc>
          <w:tcPr>
            <w:tcW w:w="431" w:type="pct"/>
          </w:tcPr>
          <w:p w:rsidR="008E273C" w:rsidRDefault="008E273C" w:rsidP="00F708F0">
            <w:pPr>
              <w:pStyle w:val="BodyText"/>
            </w:pPr>
            <w:r>
              <w:rPr>
                <w:rStyle w:val="Bold"/>
              </w:rPr>
              <w:t>1</w:t>
            </w:r>
          </w:p>
        </w:tc>
        <w:tc>
          <w:tcPr>
            <w:tcW w:w="534" w:type="pct"/>
          </w:tcPr>
          <w:p w:rsidR="008E273C" w:rsidRDefault="008E273C" w:rsidP="00F708F0">
            <w:pPr>
              <w:pStyle w:val="BodyText"/>
            </w:pPr>
            <w:r>
              <w:rPr>
                <w:rStyle w:val="Bold"/>
              </w:rPr>
              <w:t>37</w:t>
            </w:r>
          </w:p>
        </w:tc>
        <w:tc>
          <w:tcPr>
            <w:tcW w:w="379" w:type="pct"/>
          </w:tcPr>
          <w:p w:rsidR="008E273C" w:rsidRDefault="008E273C" w:rsidP="00F708F0">
            <w:pPr>
              <w:pStyle w:val="BodyText"/>
            </w:pPr>
            <w:r>
              <w:rPr>
                <w:rStyle w:val="Bold"/>
              </w:rPr>
              <w:t>27,549</w:t>
            </w:r>
          </w:p>
        </w:tc>
      </w:tr>
    </w:tbl>
    <w:p w:rsidR="008E273C" w:rsidRPr="00F708F0" w:rsidRDefault="00F708F0" w:rsidP="00F708F0">
      <w:pPr>
        <w:pStyle w:val="BodyText"/>
        <w:rPr>
          <w:b/>
        </w:rPr>
      </w:pPr>
      <w:r w:rsidRPr="00F708F0">
        <w:rPr>
          <w:b/>
        </w:rPr>
        <w:t xml:space="preserve">Table 63: </w:t>
      </w:r>
      <w:r w:rsidR="008E273C" w:rsidRPr="00F708F0">
        <w:rPr>
          <w:b/>
        </w:rPr>
        <w:t>Australian Public Service Act ongoing employees at 30 June 2019</w:t>
      </w:r>
    </w:p>
    <w:tbl>
      <w:tblPr>
        <w:tblStyle w:val="TableGrid"/>
        <w:tblW w:w="5000" w:type="pct"/>
        <w:tblLook w:val="0000" w:firstRow="0" w:lastRow="0" w:firstColumn="0" w:lastColumn="0" w:noHBand="0" w:noVBand="0"/>
        <w:tblCaption w:val="Table 63: Australian Public Service Act ongoing employees at 30 June 2019"/>
        <w:tblDescription w:val="Table 63: Australian Public Service Act ongoing employees at 30 June 2019"/>
      </w:tblPr>
      <w:tblGrid>
        <w:gridCol w:w="1737"/>
        <w:gridCol w:w="904"/>
        <w:gridCol w:w="840"/>
        <w:gridCol w:w="906"/>
        <w:gridCol w:w="951"/>
        <w:gridCol w:w="857"/>
        <w:gridCol w:w="977"/>
        <w:gridCol w:w="904"/>
        <w:gridCol w:w="904"/>
        <w:gridCol w:w="1165"/>
        <w:gridCol w:w="951"/>
      </w:tblGrid>
      <w:tr w:rsidR="008E273C" w:rsidTr="00F708F0">
        <w:trPr>
          <w:trHeight w:val="60"/>
          <w:tblHeader/>
        </w:trPr>
        <w:tc>
          <w:tcPr>
            <w:tcW w:w="647" w:type="pct"/>
          </w:tcPr>
          <w:p w:rsidR="008E273C" w:rsidRDefault="008E273C" w:rsidP="00F708F0">
            <w:pPr>
              <w:pStyle w:val="BodyText"/>
            </w:pPr>
          </w:p>
        </w:tc>
        <w:tc>
          <w:tcPr>
            <w:tcW w:w="1259" w:type="pct"/>
            <w:gridSpan w:val="3"/>
          </w:tcPr>
          <w:p w:rsidR="008E273C" w:rsidRDefault="008E273C" w:rsidP="00F708F0">
            <w:pPr>
              <w:pStyle w:val="BodyText"/>
            </w:pPr>
            <w:r>
              <w:t>Male</w:t>
            </w:r>
          </w:p>
        </w:tc>
        <w:tc>
          <w:tcPr>
            <w:tcW w:w="1288" w:type="pct"/>
            <w:gridSpan w:val="3"/>
          </w:tcPr>
          <w:p w:rsidR="008E273C" w:rsidRDefault="008E273C" w:rsidP="00F708F0">
            <w:pPr>
              <w:pStyle w:val="BodyText"/>
            </w:pPr>
            <w:r>
              <w:t>Female</w:t>
            </w:r>
          </w:p>
        </w:tc>
        <w:tc>
          <w:tcPr>
            <w:tcW w:w="1404" w:type="pct"/>
            <w:gridSpan w:val="3"/>
          </w:tcPr>
          <w:p w:rsidR="008E273C" w:rsidRDefault="008E273C" w:rsidP="00F708F0">
            <w:pPr>
              <w:pStyle w:val="BodyText"/>
            </w:pPr>
            <w:r>
              <w:t>Non-binary</w:t>
            </w:r>
          </w:p>
        </w:tc>
        <w:tc>
          <w:tcPr>
            <w:tcW w:w="400" w:type="pct"/>
          </w:tcPr>
          <w:p w:rsidR="008E273C" w:rsidRDefault="008E273C" w:rsidP="00F708F0">
            <w:pPr>
              <w:pStyle w:val="BodyText"/>
            </w:pPr>
          </w:p>
        </w:tc>
      </w:tr>
      <w:tr w:rsidR="008E273C" w:rsidTr="00F708F0">
        <w:trPr>
          <w:trHeight w:val="60"/>
          <w:tblHeader/>
        </w:trPr>
        <w:tc>
          <w:tcPr>
            <w:tcW w:w="647" w:type="pct"/>
          </w:tcPr>
          <w:p w:rsidR="008E273C" w:rsidRDefault="008E273C" w:rsidP="00F708F0">
            <w:pPr>
              <w:pStyle w:val="BodyText"/>
            </w:pPr>
            <w:r>
              <w:rPr>
                <w:rStyle w:val="Bold"/>
              </w:rPr>
              <w:t>Substantive classification</w:t>
            </w:r>
          </w:p>
        </w:tc>
        <w:tc>
          <w:tcPr>
            <w:tcW w:w="429" w:type="pct"/>
          </w:tcPr>
          <w:p w:rsidR="008E273C" w:rsidRDefault="008E273C" w:rsidP="00F708F0">
            <w:pPr>
              <w:pStyle w:val="BodyText"/>
            </w:pPr>
            <w:r>
              <w:rPr>
                <w:rStyle w:val="Bold"/>
              </w:rPr>
              <w:t>Full-time</w:t>
            </w:r>
          </w:p>
        </w:tc>
        <w:tc>
          <w:tcPr>
            <w:tcW w:w="400" w:type="pct"/>
          </w:tcPr>
          <w:p w:rsidR="008E273C" w:rsidRDefault="008E273C" w:rsidP="00F708F0">
            <w:pPr>
              <w:pStyle w:val="BodyText"/>
            </w:pPr>
            <w:r>
              <w:rPr>
                <w:rStyle w:val="Bold"/>
              </w:rPr>
              <w:t>Part-time</w:t>
            </w:r>
          </w:p>
        </w:tc>
        <w:tc>
          <w:tcPr>
            <w:tcW w:w="429" w:type="pct"/>
          </w:tcPr>
          <w:p w:rsidR="008E273C" w:rsidRDefault="00AC4959" w:rsidP="00F708F0">
            <w:pPr>
              <w:pStyle w:val="BodyText"/>
            </w:pPr>
            <w:r>
              <w:rPr>
                <w:rStyle w:val="Bold"/>
              </w:rPr>
              <w:t>Total male</w:t>
            </w:r>
          </w:p>
        </w:tc>
        <w:tc>
          <w:tcPr>
            <w:tcW w:w="429" w:type="pct"/>
          </w:tcPr>
          <w:p w:rsidR="008E273C" w:rsidRDefault="008E273C" w:rsidP="00F708F0">
            <w:pPr>
              <w:pStyle w:val="BodyText"/>
            </w:pPr>
            <w:r>
              <w:rPr>
                <w:rStyle w:val="Bold"/>
              </w:rPr>
              <w:t>Full-time</w:t>
            </w:r>
          </w:p>
        </w:tc>
        <w:tc>
          <w:tcPr>
            <w:tcW w:w="429" w:type="pct"/>
          </w:tcPr>
          <w:p w:rsidR="008E273C" w:rsidRDefault="008E273C" w:rsidP="00F708F0">
            <w:pPr>
              <w:pStyle w:val="BodyText"/>
            </w:pPr>
            <w:r>
              <w:rPr>
                <w:rStyle w:val="Bold"/>
              </w:rPr>
              <w:t>Part-time</w:t>
            </w:r>
          </w:p>
        </w:tc>
        <w:tc>
          <w:tcPr>
            <w:tcW w:w="429" w:type="pct"/>
          </w:tcPr>
          <w:p w:rsidR="008E273C" w:rsidRDefault="00AC4959" w:rsidP="00F708F0">
            <w:pPr>
              <w:pStyle w:val="BodyText"/>
            </w:pPr>
            <w:r>
              <w:rPr>
                <w:rStyle w:val="Bold"/>
              </w:rPr>
              <w:t>Total female</w:t>
            </w:r>
          </w:p>
        </w:tc>
        <w:tc>
          <w:tcPr>
            <w:tcW w:w="429" w:type="pct"/>
          </w:tcPr>
          <w:p w:rsidR="008E273C" w:rsidRDefault="008E273C" w:rsidP="00F708F0">
            <w:pPr>
              <w:pStyle w:val="BodyText"/>
            </w:pPr>
            <w:r>
              <w:rPr>
                <w:rStyle w:val="Bold"/>
              </w:rPr>
              <w:t>Full-time</w:t>
            </w:r>
          </w:p>
        </w:tc>
        <w:tc>
          <w:tcPr>
            <w:tcW w:w="429" w:type="pct"/>
          </w:tcPr>
          <w:p w:rsidR="008E273C" w:rsidRDefault="008E273C" w:rsidP="00F708F0">
            <w:pPr>
              <w:pStyle w:val="BodyText"/>
            </w:pPr>
            <w:r>
              <w:rPr>
                <w:rStyle w:val="Bold"/>
              </w:rPr>
              <w:t>Part-time</w:t>
            </w:r>
          </w:p>
        </w:tc>
        <w:tc>
          <w:tcPr>
            <w:tcW w:w="546" w:type="pct"/>
          </w:tcPr>
          <w:p w:rsidR="008E273C" w:rsidRDefault="008E273C" w:rsidP="00F708F0">
            <w:pPr>
              <w:pStyle w:val="BodyText"/>
            </w:pPr>
            <w:r>
              <w:rPr>
                <w:rStyle w:val="Bold"/>
              </w:rPr>
              <w:t xml:space="preserve">Total </w:t>
            </w:r>
            <w:r>
              <w:rPr>
                <w:rStyle w:val="Bold"/>
                <w:spacing w:val="-4"/>
              </w:rPr>
              <w:t>Non-binary</w:t>
            </w:r>
          </w:p>
        </w:tc>
        <w:tc>
          <w:tcPr>
            <w:tcW w:w="400" w:type="pct"/>
          </w:tcPr>
          <w:p w:rsidR="008E273C" w:rsidRDefault="008E273C" w:rsidP="00F708F0">
            <w:pPr>
              <w:pStyle w:val="BodyText"/>
            </w:pPr>
            <w:r>
              <w:rPr>
                <w:rStyle w:val="Bold"/>
              </w:rPr>
              <w:t>Total</w:t>
            </w:r>
          </w:p>
        </w:tc>
      </w:tr>
      <w:tr w:rsidR="008E273C" w:rsidTr="00F708F0">
        <w:trPr>
          <w:trHeight w:val="60"/>
        </w:trPr>
        <w:tc>
          <w:tcPr>
            <w:tcW w:w="647" w:type="pct"/>
          </w:tcPr>
          <w:p w:rsidR="008E273C" w:rsidRDefault="008E273C" w:rsidP="00F708F0">
            <w:pPr>
              <w:pStyle w:val="BodyText"/>
            </w:pPr>
            <w:r>
              <w:t>SES 3</w:t>
            </w:r>
          </w:p>
        </w:tc>
        <w:tc>
          <w:tcPr>
            <w:tcW w:w="429" w:type="pct"/>
          </w:tcPr>
          <w:p w:rsidR="008E273C" w:rsidRDefault="008E273C" w:rsidP="00F708F0">
            <w:pPr>
              <w:pStyle w:val="BodyText"/>
            </w:pPr>
            <w:r>
              <w:t>1</w:t>
            </w:r>
          </w:p>
        </w:tc>
        <w:tc>
          <w:tcPr>
            <w:tcW w:w="400" w:type="pct"/>
          </w:tcPr>
          <w:p w:rsidR="008E273C" w:rsidRDefault="008E273C" w:rsidP="00F708F0">
            <w:pPr>
              <w:pStyle w:val="BodyText"/>
            </w:pPr>
            <w:r>
              <w:t>0</w:t>
            </w:r>
          </w:p>
        </w:tc>
        <w:tc>
          <w:tcPr>
            <w:tcW w:w="429" w:type="pct"/>
          </w:tcPr>
          <w:p w:rsidR="008E273C" w:rsidRDefault="008E273C" w:rsidP="00F708F0">
            <w:pPr>
              <w:pStyle w:val="BodyText"/>
            </w:pPr>
            <w:r>
              <w:t>1</w:t>
            </w:r>
          </w:p>
        </w:tc>
        <w:tc>
          <w:tcPr>
            <w:tcW w:w="429" w:type="pct"/>
          </w:tcPr>
          <w:p w:rsidR="008E273C" w:rsidRDefault="008E273C" w:rsidP="00F708F0">
            <w:pPr>
              <w:pStyle w:val="BodyText"/>
            </w:pPr>
            <w:r>
              <w:t>4</w:t>
            </w:r>
          </w:p>
        </w:tc>
        <w:tc>
          <w:tcPr>
            <w:tcW w:w="429" w:type="pct"/>
          </w:tcPr>
          <w:p w:rsidR="008E273C" w:rsidRDefault="008E273C" w:rsidP="00F708F0">
            <w:pPr>
              <w:pStyle w:val="BodyText"/>
            </w:pPr>
            <w:r>
              <w:t>0</w:t>
            </w:r>
          </w:p>
        </w:tc>
        <w:tc>
          <w:tcPr>
            <w:tcW w:w="429" w:type="pct"/>
          </w:tcPr>
          <w:p w:rsidR="008E273C" w:rsidRDefault="008E273C" w:rsidP="00F708F0">
            <w:pPr>
              <w:pStyle w:val="BodyText"/>
            </w:pPr>
            <w:r>
              <w:t>4</w:t>
            </w:r>
          </w:p>
        </w:tc>
        <w:tc>
          <w:tcPr>
            <w:tcW w:w="429" w:type="pct"/>
          </w:tcPr>
          <w:p w:rsidR="008E273C" w:rsidRDefault="008E273C" w:rsidP="00F708F0">
            <w:pPr>
              <w:pStyle w:val="BodyText"/>
            </w:pPr>
            <w:r>
              <w:t>0</w:t>
            </w:r>
          </w:p>
        </w:tc>
        <w:tc>
          <w:tcPr>
            <w:tcW w:w="429" w:type="pct"/>
          </w:tcPr>
          <w:p w:rsidR="008E273C" w:rsidRDefault="008E273C" w:rsidP="00F708F0">
            <w:pPr>
              <w:pStyle w:val="BodyText"/>
            </w:pPr>
            <w:r>
              <w:t>0</w:t>
            </w:r>
          </w:p>
        </w:tc>
        <w:tc>
          <w:tcPr>
            <w:tcW w:w="546" w:type="pct"/>
          </w:tcPr>
          <w:p w:rsidR="008E273C" w:rsidRDefault="008E273C" w:rsidP="00F708F0">
            <w:pPr>
              <w:pStyle w:val="BodyText"/>
            </w:pPr>
            <w:r>
              <w:t>0</w:t>
            </w:r>
          </w:p>
        </w:tc>
        <w:tc>
          <w:tcPr>
            <w:tcW w:w="400" w:type="pct"/>
          </w:tcPr>
          <w:p w:rsidR="008E273C" w:rsidRDefault="008E273C" w:rsidP="00F708F0">
            <w:pPr>
              <w:pStyle w:val="BodyText"/>
            </w:pPr>
            <w:r>
              <w:rPr>
                <w:rStyle w:val="01bodybold"/>
              </w:rPr>
              <w:t>5</w:t>
            </w:r>
          </w:p>
        </w:tc>
      </w:tr>
      <w:tr w:rsidR="008E273C" w:rsidTr="00F708F0">
        <w:trPr>
          <w:trHeight w:val="305"/>
        </w:trPr>
        <w:tc>
          <w:tcPr>
            <w:tcW w:w="647" w:type="pct"/>
          </w:tcPr>
          <w:p w:rsidR="008E273C" w:rsidRDefault="008E273C" w:rsidP="00F708F0">
            <w:pPr>
              <w:pStyle w:val="BodyText"/>
            </w:pPr>
            <w:r>
              <w:lastRenderedPageBreak/>
              <w:t>SES 2</w:t>
            </w:r>
          </w:p>
        </w:tc>
        <w:tc>
          <w:tcPr>
            <w:tcW w:w="429" w:type="pct"/>
          </w:tcPr>
          <w:p w:rsidR="008E273C" w:rsidRDefault="008E273C" w:rsidP="00F708F0">
            <w:pPr>
              <w:pStyle w:val="BodyText"/>
            </w:pPr>
            <w:r>
              <w:t>18</w:t>
            </w:r>
          </w:p>
        </w:tc>
        <w:tc>
          <w:tcPr>
            <w:tcW w:w="400" w:type="pct"/>
          </w:tcPr>
          <w:p w:rsidR="008E273C" w:rsidRDefault="008E273C" w:rsidP="00F708F0">
            <w:pPr>
              <w:pStyle w:val="BodyText"/>
            </w:pPr>
            <w:r>
              <w:t>0</w:t>
            </w:r>
          </w:p>
        </w:tc>
        <w:tc>
          <w:tcPr>
            <w:tcW w:w="429" w:type="pct"/>
          </w:tcPr>
          <w:p w:rsidR="008E273C" w:rsidRDefault="008E273C" w:rsidP="00F708F0">
            <w:pPr>
              <w:pStyle w:val="BodyText"/>
            </w:pPr>
            <w:r>
              <w:t>18</w:t>
            </w:r>
          </w:p>
        </w:tc>
        <w:tc>
          <w:tcPr>
            <w:tcW w:w="429" w:type="pct"/>
          </w:tcPr>
          <w:p w:rsidR="008E273C" w:rsidRDefault="008E273C" w:rsidP="00F708F0">
            <w:pPr>
              <w:pStyle w:val="BodyText"/>
            </w:pPr>
            <w:r>
              <w:t>13</w:t>
            </w:r>
          </w:p>
        </w:tc>
        <w:tc>
          <w:tcPr>
            <w:tcW w:w="429" w:type="pct"/>
          </w:tcPr>
          <w:p w:rsidR="008E273C" w:rsidRDefault="008E273C" w:rsidP="00F708F0">
            <w:pPr>
              <w:pStyle w:val="BodyText"/>
            </w:pPr>
            <w:r>
              <w:t>1</w:t>
            </w:r>
          </w:p>
        </w:tc>
        <w:tc>
          <w:tcPr>
            <w:tcW w:w="429" w:type="pct"/>
          </w:tcPr>
          <w:p w:rsidR="008E273C" w:rsidRDefault="008E273C" w:rsidP="00F708F0">
            <w:pPr>
              <w:pStyle w:val="BodyText"/>
            </w:pPr>
            <w:r>
              <w:t>14</w:t>
            </w:r>
          </w:p>
        </w:tc>
        <w:tc>
          <w:tcPr>
            <w:tcW w:w="429" w:type="pct"/>
          </w:tcPr>
          <w:p w:rsidR="008E273C" w:rsidRDefault="008E273C" w:rsidP="00F708F0">
            <w:pPr>
              <w:pStyle w:val="BodyText"/>
            </w:pPr>
            <w:r>
              <w:t>0</w:t>
            </w:r>
          </w:p>
        </w:tc>
        <w:tc>
          <w:tcPr>
            <w:tcW w:w="429" w:type="pct"/>
          </w:tcPr>
          <w:p w:rsidR="008E273C" w:rsidRDefault="008E273C" w:rsidP="00F708F0">
            <w:pPr>
              <w:pStyle w:val="BodyText"/>
            </w:pPr>
            <w:r>
              <w:t>0</w:t>
            </w:r>
          </w:p>
        </w:tc>
        <w:tc>
          <w:tcPr>
            <w:tcW w:w="546" w:type="pct"/>
          </w:tcPr>
          <w:p w:rsidR="008E273C" w:rsidRDefault="008E273C" w:rsidP="00F708F0">
            <w:pPr>
              <w:pStyle w:val="BodyText"/>
            </w:pPr>
            <w:r>
              <w:t>0</w:t>
            </w:r>
          </w:p>
        </w:tc>
        <w:tc>
          <w:tcPr>
            <w:tcW w:w="400" w:type="pct"/>
          </w:tcPr>
          <w:p w:rsidR="008E273C" w:rsidRDefault="008E273C" w:rsidP="00F708F0">
            <w:pPr>
              <w:pStyle w:val="BodyText"/>
            </w:pPr>
            <w:r>
              <w:rPr>
                <w:rStyle w:val="01bodybold"/>
              </w:rPr>
              <w:t>32</w:t>
            </w:r>
          </w:p>
        </w:tc>
      </w:tr>
      <w:tr w:rsidR="008E273C" w:rsidTr="00F708F0">
        <w:trPr>
          <w:trHeight w:val="60"/>
        </w:trPr>
        <w:tc>
          <w:tcPr>
            <w:tcW w:w="647" w:type="pct"/>
          </w:tcPr>
          <w:p w:rsidR="008E273C" w:rsidRDefault="008E273C" w:rsidP="00F708F0">
            <w:pPr>
              <w:pStyle w:val="BodyText"/>
            </w:pPr>
            <w:r>
              <w:t>SES 1</w:t>
            </w:r>
          </w:p>
        </w:tc>
        <w:tc>
          <w:tcPr>
            <w:tcW w:w="429" w:type="pct"/>
          </w:tcPr>
          <w:p w:rsidR="008E273C" w:rsidRDefault="008E273C" w:rsidP="00F708F0">
            <w:pPr>
              <w:pStyle w:val="BodyText"/>
            </w:pPr>
            <w:r>
              <w:t>60</w:t>
            </w:r>
          </w:p>
        </w:tc>
        <w:tc>
          <w:tcPr>
            <w:tcW w:w="400" w:type="pct"/>
          </w:tcPr>
          <w:p w:rsidR="008E273C" w:rsidRDefault="008E273C" w:rsidP="00F708F0">
            <w:pPr>
              <w:pStyle w:val="BodyText"/>
            </w:pPr>
            <w:r>
              <w:t>0</w:t>
            </w:r>
          </w:p>
        </w:tc>
        <w:tc>
          <w:tcPr>
            <w:tcW w:w="429" w:type="pct"/>
          </w:tcPr>
          <w:p w:rsidR="008E273C" w:rsidRDefault="008E273C" w:rsidP="00F708F0">
            <w:pPr>
              <w:pStyle w:val="BodyText"/>
            </w:pPr>
            <w:r>
              <w:t>60</w:t>
            </w:r>
          </w:p>
        </w:tc>
        <w:tc>
          <w:tcPr>
            <w:tcW w:w="429" w:type="pct"/>
          </w:tcPr>
          <w:p w:rsidR="008E273C" w:rsidRDefault="008E273C" w:rsidP="00F708F0">
            <w:pPr>
              <w:pStyle w:val="BodyText"/>
            </w:pPr>
            <w:r>
              <w:t>63</w:t>
            </w:r>
          </w:p>
        </w:tc>
        <w:tc>
          <w:tcPr>
            <w:tcW w:w="429" w:type="pct"/>
          </w:tcPr>
          <w:p w:rsidR="008E273C" w:rsidRDefault="008E273C" w:rsidP="00F708F0">
            <w:pPr>
              <w:pStyle w:val="BodyText"/>
            </w:pPr>
            <w:r>
              <w:t>2</w:t>
            </w:r>
          </w:p>
        </w:tc>
        <w:tc>
          <w:tcPr>
            <w:tcW w:w="429" w:type="pct"/>
          </w:tcPr>
          <w:p w:rsidR="008E273C" w:rsidRDefault="008E273C" w:rsidP="00F708F0">
            <w:pPr>
              <w:pStyle w:val="BodyText"/>
            </w:pPr>
            <w:r>
              <w:t>65</w:t>
            </w:r>
          </w:p>
        </w:tc>
        <w:tc>
          <w:tcPr>
            <w:tcW w:w="429" w:type="pct"/>
          </w:tcPr>
          <w:p w:rsidR="008E273C" w:rsidRDefault="008E273C" w:rsidP="00F708F0">
            <w:pPr>
              <w:pStyle w:val="BodyText"/>
            </w:pPr>
            <w:r>
              <w:t>0</w:t>
            </w:r>
          </w:p>
        </w:tc>
        <w:tc>
          <w:tcPr>
            <w:tcW w:w="429" w:type="pct"/>
          </w:tcPr>
          <w:p w:rsidR="008E273C" w:rsidRDefault="008E273C" w:rsidP="00F708F0">
            <w:pPr>
              <w:pStyle w:val="BodyText"/>
            </w:pPr>
            <w:r>
              <w:t>0</w:t>
            </w:r>
          </w:p>
        </w:tc>
        <w:tc>
          <w:tcPr>
            <w:tcW w:w="546" w:type="pct"/>
          </w:tcPr>
          <w:p w:rsidR="008E273C" w:rsidRDefault="008E273C" w:rsidP="00F708F0">
            <w:pPr>
              <w:pStyle w:val="BodyText"/>
            </w:pPr>
            <w:r>
              <w:t>0</w:t>
            </w:r>
          </w:p>
        </w:tc>
        <w:tc>
          <w:tcPr>
            <w:tcW w:w="400" w:type="pct"/>
          </w:tcPr>
          <w:p w:rsidR="008E273C" w:rsidRDefault="008E273C" w:rsidP="00F708F0">
            <w:pPr>
              <w:pStyle w:val="BodyText"/>
            </w:pPr>
            <w:r>
              <w:rPr>
                <w:rStyle w:val="01bodybold"/>
              </w:rPr>
              <w:t>125</w:t>
            </w:r>
          </w:p>
        </w:tc>
      </w:tr>
      <w:tr w:rsidR="008E273C" w:rsidTr="00F708F0">
        <w:trPr>
          <w:trHeight w:val="60"/>
        </w:trPr>
        <w:tc>
          <w:tcPr>
            <w:tcW w:w="647" w:type="pct"/>
          </w:tcPr>
          <w:p w:rsidR="008E273C" w:rsidRDefault="008E273C" w:rsidP="00F708F0">
            <w:pPr>
              <w:pStyle w:val="BodyText"/>
            </w:pPr>
            <w:r>
              <w:t>EL 2</w:t>
            </w:r>
          </w:p>
        </w:tc>
        <w:tc>
          <w:tcPr>
            <w:tcW w:w="429" w:type="pct"/>
          </w:tcPr>
          <w:p w:rsidR="008E273C" w:rsidRDefault="008E273C" w:rsidP="00F708F0">
            <w:pPr>
              <w:pStyle w:val="BodyText"/>
            </w:pPr>
            <w:r>
              <w:t>372</w:t>
            </w:r>
          </w:p>
        </w:tc>
        <w:tc>
          <w:tcPr>
            <w:tcW w:w="400" w:type="pct"/>
          </w:tcPr>
          <w:p w:rsidR="008E273C" w:rsidRDefault="008E273C" w:rsidP="00F708F0">
            <w:pPr>
              <w:pStyle w:val="BodyText"/>
            </w:pPr>
            <w:r>
              <w:t>8</w:t>
            </w:r>
          </w:p>
        </w:tc>
        <w:tc>
          <w:tcPr>
            <w:tcW w:w="429" w:type="pct"/>
          </w:tcPr>
          <w:p w:rsidR="008E273C" w:rsidRDefault="008E273C" w:rsidP="00F708F0">
            <w:pPr>
              <w:pStyle w:val="BodyText"/>
            </w:pPr>
            <w:r>
              <w:t>380</w:t>
            </w:r>
          </w:p>
        </w:tc>
        <w:tc>
          <w:tcPr>
            <w:tcW w:w="429" w:type="pct"/>
          </w:tcPr>
          <w:p w:rsidR="008E273C" w:rsidRDefault="008E273C" w:rsidP="00F708F0">
            <w:pPr>
              <w:pStyle w:val="BodyText"/>
            </w:pPr>
            <w:r>
              <w:t>376</w:t>
            </w:r>
          </w:p>
        </w:tc>
        <w:tc>
          <w:tcPr>
            <w:tcW w:w="429" w:type="pct"/>
          </w:tcPr>
          <w:p w:rsidR="008E273C" w:rsidRDefault="008E273C" w:rsidP="00F708F0">
            <w:pPr>
              <w:pStyle w:val="BodyText"/>
            </w:pPr>
            <w:r>
              <w:t>46</w:t>
            </w:r>
          </w:p>
        </w:tc>
        <w:tc>
          <w:tcPr>
            <w:tcW w:w="429" w:type="pct"/>
          </w:tcPr>
          <w:p w:rsidR="008E273C" w:rsidRDefault="008E273C" w:rsidP="00F708F0">
            <w:pPr>
              <w:pStyle w:val="BodyText"/>
            </w:pPr>
            <w:r>
              <w:t>422</w:t>
            </w:r>
          </w:p>
        </w:tc>
        <w:tc>
          <w:tcPr>
            <w:tcW w:w="429" w:type="pct"/>
          </w:tcPr>
          <w:p w:rsidR="008E273C" w:rsidRDefault="008E273C" w:rsidP="00F708F0">
            <w:pPr>
              <w:pStyle w:val="BodyText"/>
            </w:pPr>
            <w:r>
              <w:t>0</w:t>
            </w:r>
          </w:p>
        </w:tc>
        <w:tc>
          <w:tcPr>
            <w:tcW w:w="429" w:type="pct"/>
          </w:tcPr>
          <w:p w:rsidR="008E273C" w:rsidRDefault="008E273C" w:rsidP="00F708F0">
            <w:pPr>
              <w:pStyle w:val="BodyText"/>
            </w:pPr>
            <w:r>
              <w:t>0</w:t>
            </w:r>
          </w:p>
        </w:tc>
        <w:tc>
          <w:tcPr>
            <w:tcW w:w="546" w:type="pct"/>
          </w:tcPr>
          <w:p w:rsidR="008E273C" w:rsidRDefault="008E273C" w:rsidP="00F708F0">
            <w:pPr>
              <w:pStyle w:val="BodyText"/>
            </w:pPr>
            <w:r>
              <w:t>0</w:t>
            </w:r>
          </w:p>
        </w:tc>
        <w:tc>
          <w:tcPr>
            <w:tcW w:w="400" w:type="pct"/>
          </w:tcPr>
          <w:p w:rsidR="008E273C" w:rsidRDefault="008E273C" w:rsidP="00F708F0">
            <w:pPr>
              <w:pStyle w:val="BodyText"/>
            </w:pPr>
            <w:r>
              <w:rPr>
                <w:rStyle w:val="01bodybold"/>
              </w:rPr>
              <w:t>802</w:t>
            </w:r>
          </w:p>
        </w:tc>
      </w:tr>
      <w:tr w:rsidR="008E273C" w:rsidTr="00F708F0">
        <w:trPr>
          <w:trHeight w:val="60"/>
        </w:trPr>
        <w:tc>
          <w:tcPr>
            <w:tcW w:w="647" w:type="pct"/>
          </w:tcPr>
          <w:p w:rsidR="008E273C" w:rsidRDefault="008E273C" w:rsidP="00F708F0">
            <w:pPr>
              <w:pStyle w:val="BodyText"/>
            </w:pPr>
            <w:r>
              <w:t>EL 1</w:t>
            </w:r>
          </w:p>
        </w:tc>
        <w:tc>
          <w:tcPr>
            <w:tcW w:w="429" w:type="pct"/>
          </w:tcPr>
          <w:p w:rsidR="008E273C" w:rsidRDefault="008E273C" w:rsidP="00F708F0">
            <w:pPr>
              <w:pStyle w:val="BodyText"/>
            </w:pPr>
            <w:r>
              <w:t>1,022</w:t>
            </w:r>
          </w:p>
        </w:tc>
        <w:tc>
          <w:tcPr>
            <w:tcW w:w="400" w:type="pct"/>
          </w:tcPr>
          <w:p w:rsidR="008E273C" w:rsidRDefault="008E273C" w:rsidP="00F708F0">
            <w:pPr>
              <w:pStyle w:val="BodyText"/>
            </w:pPr>
            <w:r>
              <w:t>43</w:t>
            </w:r>
          </w:p>
        </w:tc>
        <w:tc>
          <w:tcPr>
            <w:tcW w:w="429" w:type="pct"/>
          </w:tcPr>
          <w:p w:rsidR="008E273C" w:rsidRDefault="008E273C" w:rsidP="00F708F0">
            <w:pPr>
              <w:pStyle w:val="BodyText"/>
            </w:pPr>
            <w:r>
              <w:t>1,065</w:t>
            </w:r>
          </w:p>
        </w:tc>
        <w:tc>
          <w:tcPr>
            <w:tcW w:w="429" w:type="pct"/>
          </w:tcPr>
          <w:p w:rsidR="008E273C" w:rsidRDefault="008E273C" w:rsidP="00F708F0">
            <w:pPr>
              <w:pStyle w:val="BodyText"/>
            </w:pPr>
            <w:r>
              <w:t>1,089</w:t>
            </w:r>
          </w:p>
        </w:tc>
        <w:tc>
          <w:tcPr>
            <w:tcW w:w="429" w:type="pct"/>
          </w:tcPr>
          <w:p w:rsidR="008E273C" w:rsidRDefault="008E273C" w:rsidP="00F708F0">
            <w:pPr>
              <w:pStyle w:val="BodyText"/>
            </w:pPr>
            <w:r>
              <w:t>280</w:t>
            </w:r>
          </w:p>
        </w:tc>
        <w:tc>
          <w:tcPr>
            <w:tcW w:w="429" w:type="pct"/>
          </w:tcPr>
          <w:p w:rsidR="008E273C" w:rsidRDefault="008E273C" w:rsidP="00F708F0">
            <w:pPr>
              <w:pStyle w:val="BodyText"/>
            </w:pPr>
            <w:r>
              <w:t>1,369</w:t>
            </w:r>
          </w:p>
        </w:tc>
        <w:tc>
          <w:tcPr>
            <w:tcW w:w="429" w:type="pct"/>
          </w:tcPr>
          <w:p w:rsidR="008E273C" w:rsidRDefault="008E273C" w:rsidP="00F708F0">
            <w:pPr>
              <w:pStyle w:val="BodyText"/>
            </w:pPr>
            <w:r>
              <w:t>0</w:t>
            </w:r>
          </w:p>
        </w:tc>
        <w:tc>
          <w:tcPr>
            <w:tcW w:w="429" w:type="pct"/>
          </w:tcPr>
          <w:p w:rsidR="008E273C" w:rsidRDefault="008E273C" w:rsidP="00F708F0">
            <w:pPr>
              <w:pStyle w:val="BodyText"/>
            </w:pPr>
            <w:r>
              <w:t>0</w:t>
            </w:r>
          </w:p>
        </w:tc>
        <w:tc>
          <w:tcPr>
            <w:tcW w:w="546" w:type="pct"/>
          </w:tcPr>
          <w:p w:rsidR="008E273C" w:rsidRDefault="008E273C" w:rsidP="00F708F0">
            <w:pPr>
              <w:pStyle w:val="BodyText"/>
            </w:pPr>
            <w:r>
              <w:t>0</w:t>
            </w:r>
          </w:p>
        </w:tc>
        <w:tc>
          <w:tcPr>
            <w:tcW w:w="400" w:type="pct"/>
          </w:tcPr>
          <w:p w:rsidR="008E273C" w:rsidRDefault="008E273C" w:rsidP="00F708F0">
            <w:pPr>
              <w:pStyle w:val="BodyText"/>
            </w:pPr>
            <w:r>
              <w:rPr>
                <w:rStyle w:val="01bodybold"/>
              </w:rPr>
              <w:t>2,434</w:t>
            </w:r>
          </w:p>
        </w:tc>
      </w:tr>
      <w:tr w:rsidR="008E273C" w:rsidTr="00F708F0">
        <w:trPr>
          <w:trHeight w:val="60"/>
        </w:trPr>
        <w:tc>
          <w:tcPr>
            <w:tcW w:w="647" w:type="pct"/>
          </w:tcPr>
          <w:p w:rsidR="008E273C" w:rsidRDefault="008E273C" w:rsidP="00F708F0">
            <w:pPr>
              <w:pStyle w:val="BodyText"/>
            </w:pPr>
            <w:r>
              <w:t>APS 6</w:t>
            </w:r>
          </w:p>
        </w:tc>
        <w:tc>
          <w:tcPr>
            <w:tcW w:w="429" w:type="pct"/>
          </w:tcPr>
          <w:p w:rsidR="008E273C" w:rsidRDefault="008E273C" w:rsidP="00F708F0">
            <w:pPr>
              <w:pStyle w:val="BodyText"/>
            </w:pPr>
            <w:r>
              <w:t>1,554</w:t>
            </w:r>
          </w:p>
        </w:tc>
        <w:tc>
          <w:tcPr>
            <w:tcW w:w="400" w:type="pct"/>
          </w:tcPr>
          <w:p w:rsidR="008E273C" w:rsidRDefault="008E273C" w:rsidP="00F708F0">
            <w:pPr>
              <w:pStyle w:val="BodyText"/>
            </w:pPr>
            <w:r>
              <w:t>111</w:t>
            </w:r>
          </w:p>
        </w:tc>
        <w:tc>
          <w:tcPr>
            <w:tcW w:w="429" w:type="pct"/>
          </w:tcPr>
          <w:p w:rsidR="008E273C" w:rsidRDefault="008E273C" w:rsidP="00F708F0">
            <w:pPr>
              <w:pStyle w:val="BodyText"/>
            </w:pPr>
            <w:r>
              <w:t>1,665</w:t>
            </w:r>
          </w:p>
        </w:tc>
        <w:tc>
          <w:tcPr>
            <w:tcW w:w="429" w:type="pct"/>
          </w:tcPr>
          <w:p w:rsidR="008E273C" w:rsidRDefault="008E273C" w:rsidP="00F708F0">
            <w:pPr>
              <w:pStyle w:val="BodyText"/>
            </w:pPr>
            <w:r>
              <w:t>2,212</w:t>
            </w:r>
          </w:p>
        </w:tc>
        <w:tc>
          <w:tcPr>
            <w:tcW w:w="429" w:type="pct"/>
          </w:tcPr>
          <w:p w:rsidR="008E273C" w:rsidRDefault="008E273C" w:rsidP="00F708F0">
            <w:pPr>
              <w:pStyle w:val="BodyText"/>
            </w:pPr>
            <w:r>
              <w:t>1,188</w:t>
            </w:r>
          </w:p>
        </w:tc>
        <w:tc>
          <w:tcPr>
            <w:tcW w:w="429" w:type="pct"/>
          </w:tcPr>
          <w:p w:rsidR="008E273C" w:rsidRDefault="008E273C" w:rsidP="00F708F0">
            <w:pPr>
              <w:pStyle w:val="BodyText"/>
            </w:pPr>
            <w:r>
              <w:t>3,400</w:t>
            </w:r>
          </w:p>
        </w:tc>
        <w:tc>
          <w:tcPr>
            <w:tcW w:w="429" w:type="pct"/>
          </w:tcPr>
          <w:p w:rsidR="008E273C" w:rsidRDefault="008E273C" w:rsidP="00F708F0">
            <w:pPr>
              <w:pStyle w:val="BodyText"/>
            </w:pPr>
            <w:r>
              <w:t>3</w:t>
            </w:r>
          </w:p>
        </w:tc>
        <w:tc>
          <w:tcPr>
            <w:tcW w:w="429" w:type="pct"/>
          </w:tcPr>
          <w:p w:rsidR="008E273C" w:rsidRDefault="008E273C" w:rsidP="00F708F0">
            <w:pPr>
              <w:pStyle w:val="BodyText"/>
            </w:pPr>
            <w:r>
              <w:t>0</w:t>
            </w:r>
          </w:p>
        </w:tc>
        <w:tc>
          <w:tcPr>
            <w:tcW w:w="546" w:type="pct"/>
          </w:tcPr>
          <w:p w:rsidR="008E273C" w:rsidRDefault="008E273C" w:rsidP="00F708F0">
            <w:pPr>
              <w:pStyle w:val="BodyText"/>
            </w:pPr>
            <w:r>
              <w:t>3</w:t>
            </w:r>
          </w:p>
        </w:tc>
        <w:tc>
          <w:tcPr>
            <w:tcW w:w="400" w:type="pct"/>
          </w:tcPr>
          <w:p w:rsidR="008E273C" w:rsidRDefault="008E273C" w:rsidP="00F708F0">
            <w:pPr>
              <w:pStyle w:val="BodyText"/>
            </w:pPr>
            <w:r>
              <w:rPr>
                <w:rStyle w:val="01bodybold"/>
              </w:rPr>
              <w:t>5,068</w:t>
            </w:r>
          </w:p>
        </w:tc>
      </w:tr>
      <w:tr w:rsidR="008E273C" w:rsidTr="00F708F0">
        <w:trPr>
          <w:trHeight w:val="60"/>
        </w:trPr>
        <w:tc>
          <w:tcPr>
            <w:tcW w:w="647" w:type="pct"/>
          </w:tcPr>
          <w:p w:rsidR="008E273C" w:rsidRDefault="008E273C" w:rsidP="00F708F0">
            <w:pPr>
              <w:pStyle w:val="BodyText"/>
            </w:pPr>
            <w:r>
              <w:t>APS 5</w:t>
            </w:r>
          </w:p>
        </w:tc>
        <w:tc>
          <w:tcPr>
            <w:tcW w:w="429" w:type="pct"/>
          </w:tcPr>
          <w:p w:rsidR="008E273C" w:rsidRDefault="008E273C" w:rsidP="00F708F0">
            <w:pPr>
              <w:pStyle w:val="BodyText"/>
            </w:pPr>
            <w:r>
              <w:t>993</w:t>
            </w:r>
          </w:p>
        </w:tc>
        <w:tc>
          <w:tcPr>
            <w:tcW w:w="400" w:type="pct"/>
          </w:tcPr>
          <w:p w:rsidR="008E273C" w:rsidRDefault="008E273C" w:rsidP="00F708F0">
            <w:pPr>
              <w:pStyle w:val="BodyText"/>
            </w:pPr>
            <w:r>
              <w:t>53</w:t>
            </w:r>
          </w:p>
        </w:tc>
        <w:tc>
          <w:tcPr>
            <w:tcW w:w="429" w:type="pct"/>
          </w:tcPr>
          <w:p w:rsidR="008E273C" w:rsidRDefault="008E273C" w:rsidP="00F708F0">
            <w:pPr>
              <w:pStyle w:val="BodyText"/>
            </w:pPr>
            <w:r>
              <w:t>1,046</w:t>
            </w:r>
          </w:p>
        </w:tc>
        <w:tc>
          <w:tcPr>
            <w:tcW w:w="429" w:type="pct"/>
          </w:tcPr>
          <w:p w:rsidR="008E273C" w:rsidRDefault="008E273C" w:rsidP="00F708F0">
            <w:pPr>
              <w:pStyle w:val="BodyText"/>
            </w:pPr>
            <w:r>
              <w:t>1,583</w:t>
            </w:r>
          </w:p>
        </w:tc>
        <w:tc>
          <w:tcPr>
            <w:tcW w:w="429" w:type="pct"/>
          </w:tcPr>
          <w:p w:rsidR="008E273C" w:rsidRDefault="008E273C" w:rsidP="00F708F0">
            <w:pPr>
              <w:pStyle w:val="BodyText"/>
            </w:pPr>
            <w:r>
              <w:t>496</w:t>
            </w:r>
          </w:p>
        </w:tc>
        <w:tc>
          <w:tcPr>
            <w:tcW w:w="429" w:type="pct"/>
          </w:tcPr>
          <w:p w:rsidR="008E273C" w:rsidRDefault="008E273C" w:rsidP="00F708F0">
            <w:pPr>
              <w:pStyle w:val="BodyText"/>
            </w:pPr>
            <w:r>
              <w:t>2,079</w:t>
            </w:r>
          </w:p>
        </w:tc>
        <w:tc>
          <w:tcPr>
            <w:tcW w:w="429" w:type="pct"/>
          </w:tcPr>
          <w:p w:rsidR="008E273C" w:rsidRDefault="008E273C" w:rsidP="00F708F0">
            <w:pPr>
              <w:pStyle w:val="BodyText"/>
            </w:pPr>
            <w:r>
              <w:t>6</w:t>
            </w:r>
          </w:p>
        </w:tc>
        <w:tc>
          <w:tcPr>
            <w:tcW w:w="429" w:type="pct"/>
          </w:tcPr>
          <w:p w:rsidR="008E273C" w:rsidRDefault="008E273C" w:rsidP="00F708F0">
            <w:pPr>
              <w:pStyle w:val="BodyText"/>
            </w:pPr>
            <w:r>
              <w:t>1</w:t>
            </w:r>
          </w:p>
        </w:tc>
        <w:tc>
          <w:tcPr>
            <w:tcW w:w="546" w:type="pct"/>
          </w:tcPr>
          <w:p w:rsidR="008E273C" w:rsidRDefault="008E273C" w:rsidP="00F708F0">
            <w:pPr>
              <w:pStyle w:val="BodyText"/>
            </w:pPr>
            <w:r>
              <w:t>7</w:t>
            </w:r>
          </w:p>
        </w:tc>
        <w:tc>
          <w:tcPr>
            <w:tcW w:w="400" w:type="pct"/>
          </w:tcPr>
          <w:p w:rsidR="008E273C" w:rsidRDefault="008E273C" w:rsidP="00F708F0">
            <w:pPr>
              <w:pStyle w:val="BodyText"/>
            </w:pPr>
            <w:r>
              <w:rPr>
                <w:rStyle w:val="01bodybold"/>
              </w:rPr>
              <w:t>3,132</w:t>
            </w:r>
          </w:p>
        </w:tc>
      </w:tr>
      <w:tr w:rsidR="008E273C" w:rsidTr="00F708F0">
        <w:trPr>
          <w:trHeight w:val="60"/>
        </w:trPr>
        <w:tc>
          <w:tcPr>
            <w:tcW w:w="647" w:type="pct"/>
          </w:tcPr>
          <w:p w:rsidR="008E273C" w:rsidRDefault="008E273C" w:rsidP="00F708F0">
            <w:pPr>
              <w:pStyle w:val="BodyText"/>
            </w:pPr>
            <w:r>
              <w:t>APS 4</w:t>
            </w:r>
          </w:p>
        </w:tc>
        <w:tc>
          <w:tcPr>
            <w:tcW w:w="429" w:type="pct"/>
          </w:tcPr>
          <w:p w:rsidR="008E273C" w:rsidRDefault="008E273C" w:rsidP="00F708F0">
            <w:pPr>
              <w:pStyle w:val="BodyText"/>
            </w:pPr>
            <w:r>
              <w:t>2,547</w:t>
            </w:r>
          </w:p>
        </w:tc>
        <w:tc>
          <w:tcPr>
            <w:tcW w:w="400" w:type="pct"/>
          </w:tcPr>
          <w:p w:rsidR="008E273C" w:rsidRDefault="008E273C" w:rsidP="00F708F0">
            <w:pPr>
              <w:pStyle w:val="BodyText"/>
            </w:pPr>
            <w:r>
              <w:t>380</w:t>
            </w:r>
          </w:p>
        </w:tc>
        <w:tc>
          <w:tcPr>
            <w:tcW w:w="429" w:type="pct"/>
          </w:tcPr>
          <w:p w:rsidR="008E273C" w:rsidRDefault="008E273C" w:rsidP="00F708F0">
            <w:pPr>
              <w:pStyle w:val="BodyText"/>
            </w:pPr>
            <w:r>
              <w:t>2,927</w:t>
            </w:r>
          </w:p>
        </w:tc>
        <w:tc>
          <w:tcPr>
            <w:tcW w:w="429" w:type="pct"/>
          </w:tcPr>
          <w:p w:rsidR="008E273C" w:rsidRDefault="008E273C" w:rsidP="00F708F0">
            <w:pPr>
              <w:pStyle w:val="BodyText"/>
            </w:pPr>
            <w:r>
              <w:t>5,565</w:t>
            </w:r>
          </w:p>
        </w:tc>
        <w:tc>
          <w:tcPr>
            <w:tcW w:w="429" w:type="pct"/>
          </w:tcPr>
          <w:p w:rsidR="008E273C" w:rsidRDefault="008E273C" w:rsidP="00F708F0">
            <w:pPr>
              <w:pStyle w:val="BodyText"/>
            </w:pPr>
            <w:r>
              <w:t>4,272</w:t>
            </w:r>
          </w:p>
        </w:tc>
        <w:tc>
          <w:tcPr>
            <w:tcW w:w="429" w:type="pct"/>
          </w:tcPr>
          <w:p w:rsidR="008E273C" w:rsidRDefault="008E273C" w:rsidP="00F708F0">
            <w:pPr>
              <w:pStyle w:val="BodyText"/>
            </w:pPr>
            <w:r>
              <w:t>9,837</w:t>
            </w:r>
          </w:p>
        </w:tc>
        <w:tc>
          <w:tcPr>
            <w:tcW w:w="429" w:type="pct"/>
          </w:tcPr>
          <w:p w:rsidR="008E273C" w:rsidRDefault="008E273C" w:rsidP="00F708F0">
            <w:pPr>
              <w:pStyle w:val="BodyText"/>
            </w:pPr>
            <w:r>
              <w:t>10</w:t>
            </w:r>
          </w:p>
        </w:tc>
        <w:tc>
          <w:tcPr>
            <w:tcW w:w="429" w:type="pct"/>
          </w:tcPr>
          <w:p w:rsidR="008E273C" w:rsidRDefault="008E273C" w:rsidP="00F708F0">
            <w:pPr>
              <w:pStyle w:val="BodyText"/>
            </w:pPr>
            <w:r>
              <w:t>1</w:t>
            </w:r>
          </w:p>
        </w:tc>
        <w:tc>
          <w:tcPr>
            <w:tcW w:w="546" w:type="pct"/>
          </w:tcPr>
          <w:p w:rsidR="008E273C" w:rsidRDefault="008E273C" w:rsidP="00F708F0">
            <w:pPr>
              <w:pStyle w:val="BodyText"/>
            </w:pPr>
            <w:r>
              <w:t>11</w:t>
            </w:r>
          </w:p>
        </w:tc>
        <w:tc>
          <w:tcPr>
            <w:tcW w:w="400" w:type="pct"/>
          </w:tcPr>
          <w:p w:rsidR="008E273C" w:rsidRDefault="008E273C" w:rsidP="00F708F0">
            <w:pPr>
              <w:pStyle w:val="BodyText"/>
            </w:pPr>
            <w:r>
              <w:rPr>
                <w:rStyle w:val="01bodybold"/>
              </w:rPr>
              <w:t>12,775</w:t>
            </w:r>
          </w:p>
        </w:tc>
      </w:tr>
      <w:tr w:rsidR="008E273C" w:rsidTr="00F708F0">
        <w:trPr>
          <w:trHeight w:val="376"/>
        </w:trPr>
        <w:tc>
          <w:tcPr>
            <w:tcW w:w="647" w:type="pct"/>
          </w:tcPr>
          <w:p w:rsidR="008E273C" w:rsidRDefault="008E273C" w:rsidP="00F708F0">
            <w:pPr>
              <w:pStyle w:val="BodyText"/>
            </w:pPr>
            <w:r>
              <w:t>APS 3</w:t>
            </w:r>
          </w:p>
        </w:tc>
        <w:tc>
          <w:tcPr>
            <w:tcW w:w="429" w:type="pct"/>
          </w:tcPr>
          <w:p w:rsidR="008E273C" w:rsidRDefault="008E273C" w:rsidP="00F708F0">
            <w:pPr>
              <w:pStyle w:val="BodyText"/>
            </w:pPr>
            <w:r>
              <w:t>615</w:t>
            </w:r>
          </w:p>
        </w:tc>
        <w:tc>
          <w:tcPr>
            <w:tcW w:w="400" w:type="pct"/>
          </w:tcPr>
          <w:p w:rsidR="008E273C" w:rsidRDefault="008E273C" w:rsidP="00F708F0">
            <w:pPr>
              <w:pStyle w:val="BodyText"/>
            </w:pPr>
            <w:r>
              <w:t>68</w:t>
            </w:r>
          </w:p>
        </w:tc>
        <w:tc>
          <w:tcPr>
            <w:tcW w:w="429" w:type="pct"/>
          </w:tcPr>
          <w:p w:rsidR="008E273C" w:rsidRDefault="008E273C" w:rsidP="00F708F0">
            <w:pPr>
              <w:pStyle w:val="BodyText"/>
            </w:pPr>
            <w:r>
              <w:t>683</w:t>
            </w:r>
          </w:p>
        </w:tc>
        <w:tc>
          <w:tcPr>
            <w:tcW w:w="429" w:type="pct"/>
          </w:tcPr>
          <w:p w:rsidR="008E273C" w:rsidRDefault="008E273C" w:rsidP="00F708F0">
            <w:pPr>
              <w:pStyle w:val="BodyText"/>
            </w:pPr>
            <w:r>
              <w:t>1,675</w:t>
            </w:r>
          </w:p>
        </w:tc>
        <w:tc>
          <w:tcPr>
            <w:tcW w:w="429" w:type="pct"/>
          </w:tcPr>
          <w:p w:rsidR="008E273C" w:rsidRDefault="008E273C" w:rsidP="00F708F0">
            <w:pPr>
              <w:pStyle w:val="BodyText"/>
            </w:pPr>
            <w:r>
              <w:t>863</w:t>
            </w:r>
          </w:p>
        </w:tc>
        <w:tc>
          <w:tcPr>
            <w:tcW w:w="429" w:type="pct"/>
          </w:tcPr>
          <w:p w:rsidR="008E273C" w:rsidRDefault="008E273C" w:rsidP="00F708F0">
            <w:pPr>
              <w:pStyle w:val="BodyText"/>
            </w:pPr>
            <w:r>
              <w:t>2,538</w:t>
            </w:r>
          </w:p>
        </w:tc>
        <w:tc>
          <w:tcPr>
            <w:tcW w:w="429" w:type="pct"/>
          </w:tcPr>
          <w:p w:rsidR="008E273C" w:rsidRDefault="008E273C" w:rsidP="00F708F0">
            <w:pPr>
              <w:pStyle w:val="BodyText"/>
            </w:pPr>
            <w:r>
              <w:t>5</w:t>
            </w:r>
          </w:p>
        </w:tc>
        <w:tc>
          <w:tcPr>
            <w:tcW w:w="429" w:type="pct"/>
          </w:tcPr>
          <w:p w:rsidR="008E273C" w:rsidRDefault="008E273C" w:rsidP="00F708F0">
            <w:pPr>
              <w:pStyle w:val="BodyText"/>
            </w:pPr>
            <w:r>
              <w:t>0</w:t>
            </w:r>
          </w:p>
        </w:tc>
        <w:tc>
          <w:tcPr>
            <w:tcW w:w="546" w:type="pct"/>
          </w:tcPr>
          <w:p w:rsidR="008E273C" w:rsidRDefault="008E273C" w:rsidP="00F708F0">
            <w:pPr>
              <w:pStyle w:val="BodyText"/>
            </w:pPr>
            <w:r>
              <w:t>5</w:t>
            </w:r>
          </w:p>
        </w:tc>
        <w:tc>
          <w:tcPr>
            <w:tcW w:w="400" w:type="pct"/>
          </w:tcPr>
          <w:p w:rsidR="008E273C" w:rsidRDefault="008E273C" w:rsidP="00F708F0">
            <w:pPr>
              <w:pStyle w:val="BodyText"/>
            </w:pPr>
            <w:r>
              <w:rPr>
                <w:rStyle w:val="01bodybold"/>
              </w:rPr>
              <w:t>3,226</w:t>
            </w:r>
          </w:p>
        </w:tc>
      </w:tr>
      <w:tr w:rsidR="008E273C" w:rsidTr="00F708F0">
        <w:trPr>
          <w:trHeight w:val="60"/>
        </w:trPr>
        <w:tc>
          <w:tcPr>
            <w:tcW w:w="647" w:type="pct"/>
          </w:tcPr>
          <w:p w:rsidR="008E273C" w:rsidRDefault="008E273C" w:rsidP="00F708F0">
            <w:pPr>
              <w:pStyle w:val="BodyText"/>
            </w:pPr>
            <w:r>
              <w:t>APS 2</w:t>
            </w:r>
          </w:p>
        </w:tc>
        <w:tc>
          <w:tcPr>
            <w:tcW w:w="429" w:type="pct"/>
          </w:tcPr>
          <w:p w:rsidR="008E273C" w:rsidRDefault="008E273C" w:rsidP="00F708F0">
            <w:pPr>
              <w:pStyle w:val="BodyText"/>
            </w:pPr>
            <w:r>
              <w:t>41</w:t>
            </w:r>
          </w:p>
        </w:tc>
        <w:tc>
          <w:tcPr>
            <w:tcW w:w="400" w:type="pct"/>
          </w:tcPr>
          <w:p w:rsidR="008E273C" w:rsidRDefault="008E273C" w:rsidP="00F708F0">
            <w:pPr>
              <w:pStyle w:val="BodyText"/>
            </w:pPr>
            <w:r>
              <w:t>3</w:t>
            </w:r>
          </w:p>
        </w:tc>
        <w:tc>
          <w:tcPr>
            <w:tcW w:w="429" w:type="pct"/>
          </w:tcPr>
          <w:p w:rsidR="008E273C" w:rsidRDefault="008E273C" w:rsidP="00F708F0">
            <w:pPr>
              <w:pStyle w:val="BodyText"/>
            </w:pPr>
            <w:r>
              <w:t>44</w:t>
            </w:r>
          </w:p>
        </w:tc>
        <w:tc>
          <w:tcPr>
            <w:tcW w:w="429" w:type="pct"/>
          </w:tcPr>
          <w:p w:rsidR="008E273C" w:rsidRDefault="008E273C" w:rsidP="00F708F0">
            <w:pPr>
              <w:pStyle w:val="BodyText"/>
            </w:pPr>
            <w:r>
              <w:t>47</w:t>
            </w:r>
          </w:p>
        </w:tc>
        <w:tc>
          <w:tcPr>
            <w:tcW w:w="429" w:type="pct"/>
          </w:tcPr>
          <w:p w:rsidR="008E273C" w:rsidRDefault="008E273C" w:rsidP="00F708F0">
            <w:pPr>
              <w:pStyle w:val="BodyText"/>
            </w:pPr>
            <w:r>
              <w:t>23</w:t>
            </w:r>
          </w:p>
        </w:tc>
        <w:tc>
          <w:tcPr>
            <w:tcW w:w="429" w:type="pct"/>
          </w:tcPr>
          <w:p w:rsidR="008E273C" w:rsidRDefault="008E273C" w:rsidP="00F708F0">
            <w:pPr>
              <w:pStyle w:val="BodyText"/>
            </w:pPr>
            <w:r>
              <w:t>70</w:t>
            </w:r>
          </w:p>
        </w:tc>
        <w:tc>
          <w:tcPr>
            <w:tcW w:w="429" w:type="pct"/>
          </w:tcPr>
          <w:p w:rsidR="008E273C" w:rsidRDefault="008E273C" w:rsidP="00F708F0">
            <w:pPr>
              <w:pStyle w:val="BodyText"/>
            </w:pPr>
            <w:r>
              <w:t>0</w:t>
            </w:r>
          </w:p>
        </w:tc>
        <w:tc>
          <w:tcPr>
            <w:tcW w:w="429" w:type="pct"/>
          </w:tcPr>
          <w:p w:rsidR="008E273C" w:rsidRDefault="008E273C" w:rsidP="00F708F0">
            <w:pPr>
              <w:pStyle w:val="BodyText"/>
            </w:pPr>
            <w:r>
              <w:t>0</w:t>
            </w:r>
          </w:p>
        </w:tc>
        <w:tc>
          <w:tcPr>
            <w:tcW w:w="546" w:type="pct"/>
          </w:tcPr>
          <w:p w:rsidR="008E273C" w:rsidRDefault="008E273C" w:rsidP="00F708F0">
            <w:pPr>
              <w:pStyle w:val="BodyText"/>
            </w:pPr>
            <w:r>
              <w:t>0</w:t>
            </w:r>
          </w:p>
        </w:tc>
        <w:tc>
          <w:tcPr>
            <w:tcW w:w="400" w:type="pct"/>
          </w:tcPr>
          <w:p w:rsidR="008E273C" w:rsidRDefault="008E273C" w:rsidP="00F708F0">
            <w:pPr>
              <w:pStyle w:val="BodyText"/>
            </w:pPr>
            <w:r>
              <w:rPr>
                <w:rStyle w:val="01bodybold"/>
              </w:rPr>
              <w:t>114</w:t>
            </w:r>
          </w:p>
        </w:tc>
      </w:tr>
      <w:tr w:rsidR="008E273C" w:rsidTr="00F708F0">
        <w:trPr>
          <w:trHeight w:val="60"/>
        </w:trPr>
        <w:tc>
          <w:tcPr>
            <w:tcW w:w="647" w:type="pct"/>
          </w:tcPr>
          <w:p w:rsidR="008E273C" w:rsidRDefault="008E273C" w:rsidP="00F708F0">
            <w:pPr>
              <w:pStyle w:val="BodyText"/>
            </w:pPr>
            <w:r>
              <w:t>APS 1</w:t>
            </w:r>
          </w:p>
        </w:tc>
        <w:tc>
          <w:tcPr>
            <w:tcW w:w="429" w:type="pct"/>
          </w:tcPr>
          <w:p w:rsidR="008E273C" w:rsidRDefault="008E273C" w:rsidP="00F708F0">
            <w:pPr>
              <w:pStyle w:val="BodyText"/>
            </w:pPr>
            <w:r>
              <w:t>29</w:t>
            </w:r>
          </w:p>
        </w:tc>
        <w:tc>
          <w:tcPr>
            <w:tcW w:w="400" w:type="pct"/>
          </w:tcPr>
          <w:p w:rsidR="008E273C" w:rsidRDefault="008E273C" w:rsidP="00F708F0">
            <w:pPr>
              <w:pStyle w:val="BodyText"/>
            </w:pPr>
            <w:r>
              <w:t>7</w:t>
            </w:r>
          </w:p>
        </w:tc>
        <w:tc>
          <w:tcPr>
            <w:tcW w:w="429" w:type="pct"/>
          </w:tcPr>
          <w:p w:rsidR="008E273C" w:rsidRDefault="008E273C" w:rsidP="00F708F0">
            <w:pPr>
              <w:pStyle w:val="BodyText"/>
            </w:pPr>
            <w:r>
              <w:t>36</w:t>
            </w:r>
          </w:p>
        </w:tc>
        <w:tc>
          <w:tcPr>
            <w:tcW w:w="429" w:type="pct"/>
          </w:tcPr>
          <w:p w:rsidR="008E273C" w:rsidRDefault="008E273C" w:rsidP="00F708F0">
            <w:pPr>
              <w:pStyle w:val="BodyText"/>
            </w:pPr>
            <w:r>
              <w:t>37</w:t>
            </w:r>
          </w:p>
        </w:tc>
        <w:tc>
          <w:tcPr>
            <w:tcW w:w="429" w:type="pct"/>
          </w:tcPr>
          <w:p w:rsidR="008E273C" w:rsidRDefault="008E273C" w:rsidP="00F708F0">
            <w:pPr>
              <w:pStyle w:val="BodyText"/>
            </w:pPr>
            <w:r>
              <w:t>9</w:t>
            </w:r>
          </w:p>
        </w:tc>
        <w:tc>
          <w:tcPr>
            <w:tcW w:w="429" w:type="pct"/>
          </w:tcPr>
          <w:p w:rsidR="008E273C" w:rsidRDefault="008E273C" w:rsidP="00F708F0">
            <w:pPr>
              <w:pStyle w:val="BodyText"/>
            </w:pPr>
            <w:r>
              <w:t>46</w:t>
            </w:r>
          </w:p>
        </w:tc>
        <w:tc>
          <w:tcPr>
            <w:tcW w:w="429" w:type="pct"/>
          </w:tcPr>
          <w:p w:rsidR="008E273C" w:rsidRDefault="008E273C" w:rsidP="00F708F0">
            <w:pPr>
              <w:pStyle w:val="BodyText"/>
            </w:pPr>
            <w:r>
              <w:t>0</w:t>
            </w:r>
          </w:p>
        </w:tc>
        <w:tc>
          <w:tcPr>
            <w:tcW w:w="429" w:type="pct"/>
          </w:tcPr>
          <w:p w:rsidR="008E273C" w:rsidRDefault="008E273C" w:rsidP="00F708F0">
            <w:pPr>
              <w:pStyle w:val="BodyText"/>
            </w:pPr>
            <w:r>
              <w:t>0</w:t>
            </w:r>
          </w:p>
        </w:tc>
        <w:tc>
          <w:tcPr>
            <w:tcW w:w="546" w:type="pct"/>
          </w:tcPr>
          <w:p w:rsidR="008E273C" w:rsidRDefault="008E273C" w:rsidP="00F708F0">
            <w:pPr>
              <w:pStyle w:val="BodyText"/>
            </w:pPr>
            <w:r>
              <w:t>0</w:t>
            </w:r>
          </w:p>
        </w:tc>
        <w:tc>
          <w:tcPr>
            <w:tcW w:w="400" w:type="pct"/>
          </w:tcPr>
          <w:p w:rsidR="008E273C" w:rsidRDefault="008E273C" w:rsidP="00F708F0">
            <w:pPr>
              <w:pStyle w:val="BodyText"/>
            </w:pPr>
            <w:r>
              <w:rPr>
                <w:rStyle w:val="01bodybold"/>
              </w:rPr>
              <w:t>82</w:t>
            </w:r>
          </w:p>
        </w:tc>
      </w:tr>
      <w:tr w:rsidR="008E273C" w:rsidTr="00F708F0">
        <w:trPr>
          <w:trHeight w:val="60"/>
        </w:trPr>
        <w:tc>
          <w:tcPr>
            <w:tcW w:w="647" w:type="pct"/>
          </w:tcPr>
          <w:p w:rsidR="008E273C" w:rsidRDefault="008E273C" w:rsidP="00F708F0">
            <w:pPr>
              <w:pStyle w:val="BodyText"/>
            </w:pPr>
            <w:r>
              <w:t>Other</w:t>
            </w:r>
          </w:p>
        </w:tc>
        <w:tc>
          <w:tcPr>
            <w:tcW w:w="429" w:type="pct"/>
          </w:tcPr>
          <w:p w:rsidR="008E273C" w:rsidRDefault="008E273C" w:rsidP="00F708F0">
            <w:pPr>
              <w:pStyle w:val="BodyText"/>
            </w:pPr>
            <w:r>
              <w:t>102</w:t>
            </w:r>
          </w:p>
        </w:tc>
        <w:tc>
          <w:tcPr>
            <w:tcW w:w="400" w:type="pct"/>
          </w:tcPr>
          <w:p w:rsidR="008E273C" w:rsidRDefault="008E273C" w:rsidP="00F708F0">
            <w:pPr>
              <w:pStyle w:val="BodyText"/>
            </w:pPr>
            <w:r>
              <w:t>14</w:t>
            </w:r>
          </w:p>
        </w:tc>
        <w:tc>
          <w:tcPr>
            <w:tcW w:w="429" w:type="pct"/>
          </w:tcPr>
          <w:p w:rsidR="008E273C" w:rsidRDefault="008E273C" w:rsidP="00F708F0">
            <w:pPr>
              <w:pStyle w:val="BodyText"/>
            </w:pPr>
            <w:r>
              <w:t>116</w:t>
            </w:r>
          </w:p>
        </w:tc>
        <w:tc>
          <w:tcPr>
            <w:tcW w:w="429" w:type="pct"/>
          </w:tcPr>
          <w:p w:rsidR="008E273C" w:rsidRDefault="008E273C" w:rsidP="00F708F0">
            <w:pPr>
              <w:pStyle w:val="BodyText"/>
            </w:pPr>
            <w:r>
              <w:t>166</w:t>
            </w:r>
          </w:p>
        </w:tc>
        <w:tc>
          <w:tcPr>
            <w:tcW w:w="429" w:type="pct"/>
          </w:tcPr>
          <w:p w:rsidR="008E273C" w:rsidRDefault="008E273C" w:rsidP="00F708F0">
            <w:pPr>
              <w:pStyle w:val="BodyText"/>
            </w:pPr>
            <w:r>
              <w:t>14</w:t>
            </w:r>
          </w:p>
        </w:tc>
        <w:tc>
          <w:tcPr>
            <w:tcW w:w="429" w:type="pct"/>
          </w:tcPr>
          <w:p w:rsidR="008E273C" w:rsidRDefault="008E273C" w:rsidP="00F708F0">
            <w:pPr>
              <w:pStyle w:val="BodyText"/>
            </w:pPr>
            <w:r>
              <w:t>180</w:t>
            </w:r>
          </w:p>
        </w:tc>
        <w:tc>
          <w:tcPr>
            <w:tcW w:w="429" w:type="pct"/>
          </w:tcPr>
          <w:p w:rsidR="008E273C" w:rsidRDefault="008E273C" w:rsidP="00F708F0">
            <w:pPr>
              <w:pStyle w:val="BodyText"/>
            </w:pPr>
            <w:r>
              <w:t>1</w:t>
            </w:r>
          </w:p>
        </w:tc>
        <w:tc>
          <w:tcPr>
            <w:tcW w:w="429" w:type="pct"/>
          </w:tcPr>
          <w:p w:rsidR="008E273C" w:rsidRDefault="008E273C" w:rsidP="00F708F0">
            <w:pPr>
              <w:pStyle w:val="BodyText"/>
            </w:pPr>
            <w:r>
              <w:t>0</w:t>
            </w:r>
          </w:p>
        </w:tc>
        <w:tc>
          <w:tcPr>
            <w:tcW w:w="546" w:type="pct"/>
          </w:tcPr>
          <w:p w:rsidR="008E273C" w:rsidRDefault="008E273C" w:rsidP="00F708F0">
            <w:pPr>
              <w:pStyle w:val="BodyText"/>
            </w:pPr>
            <w:r>
              <w:t>1</w:t>
            </w:r>
          </w:p>
        </w:tc>
        <w:tc>
          <w:tcPr>
            <w:tcW w:w="400" w:type="pct"/>
          </w:tcPr>
          <w:p w:rsidR="008E273C" w:rsidRDefault="008E273C" w:rsidP="00F708F0">
            <w:pPr>
              <w:pStyle w:val="BodyText"/>
            </w:pPr>
            <w:r>
              <w:rPr>
                <w:rStyle w:val="01bodybold"/>
              </w:rPr>
              <w:t>297</w:t>
            </w:r>
          </w:p>
        </w:tc>
      </w:tr>
      <w:tr w:rsidR="008E273C" w:rsidTr="00F708F0">
        <w:trPr>
          <w:trHeight w:val="60"/>
        </w:trPr>
        <w:tc>
          <w:tcPr>
            <w:tcW w:w="647" w:type="pct"/>
          </w:tcPr>
          <w:p w:rsidR="008E273C" w:rsidRDefault="008E273C" w:rsidP="00F708F0">
            <w:pPr>
              <w:pStyle w:val="BodyText"/>
            </w:pPr>
            <w:r>
              <w:rPr>
                <w:rStyle w:val="Bold"/>
              </w:rPr>
              <w:t>Total</w:t>
            </w:r>
          </w:p>
        </w:tc>
        <w:tc>
          <w:tcPr>
            <w:tcW w:w="429" w:type="pct"/>
          </w:tcPr>
          <w:p w:rsidR="008E273C" w:rsidRDefault="008E273C" w:rsidP="00F708F0">
            <w:pPr>
              <w:pStyle w:val="BodyText"/>
            </w:pPr>
            <w:r>
              <w:rPr>
                <w:rStyle w:val="Bold"/>
              </w:rPr>
              <w:t>7,354</w:t>
            </w:r>
          </w:p>
        </w:tc>
        <w:tc>
          <w:tcPr>
            <w:tcW w:w="400" w:type="pct"/>
          </w:tcPr>
          <w:p w:rsidR="008E273C" w:rsidRDefault="008E273C" w:rsidP="00F708F0">
            <w:pPr>
              <w:pStyle w:val="BodyText"/>
            </w:pPr>
            <w:r>
              <w:rPr>
                <w:rStyle w:val="Bold"/>
              </w:rPr>
              <w:t>687</w:t>
            </w:r>
          </w:p>
        </w:tc>
        <w:tc>
          <w:tcPr>
            <w:tcW w:w="429" w:type="pct"/>
          </w:tcPr>
          <w:p w:rsidR="008E273C" w:rsidRDefault="008E273C" w:rsidP="00F708F0">
            <w:pPr>
              <w:pStyle w:val="BodyText"/>
            </w:pPr>
            <w:r>
              <w:rPr>
                <w:rStyle w:val="Bold"/>
              </w:rPr>
              <w:t>8,041</w:t>
            </w:r>
          </w:p>
        </w:tc>
        <w:tc>
          <w:tcPr>
            <w:tcW w:w="429" w:type="pct"/>
          </w:tcPr>
          <w:p w:rsidR="008E273C" w:rsidRDefault="008E273C" w:rsidP="00F708F0">
            <w:pPr>
              <w:pStyle w:val="BodyText"/>
            </w:pPr>
            <w:r>
              <w:rPr>
                <w:rStyle w:val="Bold"/>
              </w:rPr>
              <w:t>12,830</w:t>
            </w:r>
          </w:p>
        </w:tc>
        <w:tc>
          <w:tcPr>
            <w:tcW w:w="429" w:type="pct"/>
          </w:tcPr>
          <w:p w:rsidR="008E273C" w:rsidRDefault="008E273C" w:rsidP="00F708F0">
            <w:pPr>
              <w:pStyle w:val="BodyText"/>
            </w:pPr>
            <w:r>
              <w:rPr>
                <w:rStyle w:val="Bold"/>
              </w:rPr>
              <w:t>7,194</w:t>
            </w:r>
          </w:p>
        </w:tc>
        <w:tc>
          <w:tcPr>
            <w:tcW w:w="429" w:type="pct"/>
          </w:tcPr>
          <w:p w:rsidR="008E273C" w:rsidRDefault="008E273C" w:rsidP="00F708F0">
            <w:pPr>
              <w:pStyle w:val="BodyText"/>
            </w:pPr>
            <w:r>
              <w:rPr>
                <w:rStyle w:val="Bold"/>
              </w:rPr>
              <w:t>20,024</w:t>
            </w:r>
          </w:p>
        </w:tc>
        <w:tc>
          <w:tcPr>
            <w:tcW w:w="429" w:type="pct"/>
          </w:tcPr>
          <w:p w:rsidR="008E273C" w:rsidRDefault="008E273C" w:rsidP="00F708F0">
            <w:pPr>
              <w:pStyle w:val="BodyText"/>
            </w:pPr>
            <w:r>
              <w:rPr>
                <w:rStyle w:val="Bold"/>
              </w:rPr>
              <w:t>25</w:t>
            </w:r>
          </w:p>
        </w:tc>
        <w:tc>
          <w:tcPr>
            <w:tcW w:w="429" w:type="pct"/>
          </w:tcPr>
          <w:p w:rsidR="008E273C" w:rsidRDefault="008E273C" w:rsidP="00F708F0">
            <w:pPr>
              <w:pStyle w:val="BodyText"/>
            </w:pPr>
            <w:r>
              <w:rPr>
                <w:rStyle w:val="Bold"/>
              </w:rPr>
              <w:t>2</w:t>
            </w:r>
          </w:p>
        </w:tc>
        <w:tc>
          <w:tcPr>
            <w:tcW w:w="546" w:type="pct"/>
          </w:tcPr>
          <w:p w:rsidR="008E273C" w:rsidRDefault="008E273C" w:rsidP="00F708F0">
            <w:pPr>
              <w:pStyle w:val="BodyText"/>
            </w:pPr>
            <w:r>
              <w:rPr>
                <w:rStyle w:val="Bold"/>
              </w:rPr>
              <w:t>27</w:t>
            </w:r>
          </w:p>
        </w:tc>
        <w:tc>
          <w:tcPr>
            <w:tcW w:w="400" w:type="pct"/>
          </w:tcPr>
          <w:p w:rsidR="008E273C" w:rsidRDefault="008E273C" w:rsidP="00F708F0">
            <w:pPr>
              <w:pStyle w:val="BodyText"/>
            </w:pPr>
            <w:r>
              <w:rPr>
                <w:rStyle w:val="Bold"/>
              </w:rPr>
              <w:t>28,092</w:t>
            </w:r>
          </w:p>
        </w:tc>
      </w:tr>
    </w:tbl>
    <w:p w:rsidR="008E273C" w:rsidRPr="00F708F0" w:rsidRDefault="00F708F0" w:rsidP="00F708F0">
      <w:pPr>
        <w:pStyle w:val="BodyText"/>
        <w:rPr>
          <w:b/>
        </w:rPr>
      </w:pPr>
      <w:r w:rsidRPr="00F708F0">
        <w:rPr>
          <w:b/>
        </w:rPr>
        <w:t>Table 64:</w:t>
      </w:r>
      <w:r w:rsidR="008E273C" w:rsidRPr="00F708F0">
        <w:rPr>
          <w:b/>
        </w:rPr>
        <w:t xml:space="preserve"> Australian Public Service Act non-ongoing employees at 30 June 2020</w:t>
      </w:r>
      <w:r w:rsidR="008E273C" w:rsidRPr="00F708F0">
        <w:rPr>
          <w:b/>
          <w:vertAlign w:val="superscript"/>
        </w:rPr>
        <w:t>(a)</w:t>
      </w:r>
    </w:p>
    <w:tbl>
      <w:tblPr>
        <w:tblStyle w:val="TableGrid"/>
        <w:tblW w:w="5000" w:type="pct"/>
        <w:tblLook w:val="0000" w:firstRow="0" w:lastRow="0" w:firstColumn="0" w:lastColumn="0" w:noHBand="0" w:noVBand="0"/>
        <w:tblCaption w:val="Table 64: Australian Public Service Act non-ongoing employees at 30 June 2020(a)"/>
        <w:tblDescription w:val="Table 64: Australian Public Service Act non-ongoing employees at 30 June 2020(a)"/>
      </w:tblPr>
      <w:tblGrid>
        <w:gridCol w:w="1737"/>
        <w:gridCol w:w="912"/>
        <w:gridCol w:w="912"/>
        <w:gridCol w:w="916"/>
        <w:gridCol w:w="913"/>
        <w:gridCol w:w="913"/>
        <w:gridCol w:w="977"/>
        <w:gridCol w:w="913"/>
        <w:gridCol w:w="913"/>
        <w:gridCol w:w="1173"/>
        <w:gridCol w:w="817"/>
      </w:tblGrid>
      <w:tr w:rsidR="008E273C" w:rsidTr="00F708F0">
        <w:trPr>
          <w:trHeight w:val="60"/>
          <w:tblHeader/>
        </w:trPr>
        <w:tc>
          <w:tcPr>
            <w:tcW w:w="650" w:type="pct"/>
          </w:tcPr>
          <w:p w:rsidR="008E273C" w:rsidRDefault="008E273C" w:rsidP="00F708F0">
            <w:pPr>
              <w:pStyle w:val="BodyText"/>
            </w:pPr>
          </w:p>
        </w:tc>
        <w:tc>
          <w:tcPr>
            <w:tcW w:w="1294" w:type="pct"/>
            <w:gridSpan w:val="3"/>
          </w:tcPr>
          <w:p w:rsidR="008E273C" w:rsidRDefault="008E273C" w:rsidP="00F708F0">
            <w:pPr>
              <w:pStyle w:val="BodyText"/>
            </w:pPr>
            <w:r>
              <w:t>Male</w:t>
            </w:r>
          </w:p>
        </w:tc>
        <w:tc>
          <w:tcPr>
            <w:tcW w:w="1294" w:type="pct"/>
            <w:gridSpan w:val="3"/>
          </w:tcPr>
          <w:p w:rsidR="008E273C" w:rsidRDefault="008E273C" w:rsidP="00F708F0">
            <w:pPr>
              <w:pStyle w:val="BodyText"/>
            </w:pPr>
            <w:r>
              <w:t>Female</w:t>
            </w:r>
          </w:p>
        </w:tc>
        <w:tc>
          <w:tcPr>
            <w:tcW w:w="1410" w:type="pct"/>
            <w:gridSpan w:val="3"/>
          </w:tcPr>
          <w:p w:rsidR="008E273C" w:rsidRDefault="008E273C" w:rsidP="00F708F0">
            <w:pPr>
              <w:pStyle w:val="BodyText"/>
            </w:pPr>
            <w:r>
              <w:t>Non-binary</w:t>
            </w:r>
          </w:p>
        </w:tc>
        <w:tc>
          <w:tcPr>
            <w:tcW w:w="352" w:type="pct"/>
          </w:tcPr>
          <w:p w:rsidR="008E273C" w:rsidRDefault="008E273C" w:rsidP="00F708F0">
            <w:pPr>
              <w:pStyle w:val="BodyText"/>
            </w:pPr>
          </w:p>
        </w:tc>
      </w:tr>
      <w:tr w:rsidR="008E273C" w:rsidTr="00F708F0">
        <w:trPr>
          <w:trHeight w:val="60"/>
          <w:tblHeader/>
        </w:trPr>
        <w:tc>
          <w:tcPr>
            <w:tcW w:w="650" w:type="pct"/>
          </w:tcPr>
          <w:p w:rsidR="008E273C" w:rsidRDefault="008E273C" w:rsidP="00F708F0">
            <w:pPr>
              <w:pStyle w:val="BodyText"/>
            </w:pPr>
            <w:r>
              <w:rPr>
                <w:rStyle w:val="Bold"/>
              </w:rPr>
              <w:t>Substantive classification</w:t>
            </w:r>
          </w:p>
        </w:tc>
        <w:tc>
          <w:tcPr>
            <w:tcW w:w="431" w:type="pct"/>
          </w:tcPr>
          <w:p w:rsidR="008E273C" w:rsidRDefault="008E273C" w:rsidP="00F708F0">
            <w:pPr>
              <w:pStyle w:val="BodyText"/>
            </w:pPr>
            <w:r>
              <w:rPr>
                <w:rStyle w:val="Bold"/>
              </w:rPr>
              <w:t>Full-time</w:t>
            </w:r>
          </w:p>
        </w:tc>
        <w:tc>
          <w:tcPr>
            <w:tcW w:w="431" w:type="pct"/>
          </w:tcPr>
          <w:p w:rsidR="008E273C" w:rsidRDefault="008E273C" w:rsidP="00F708F0">
            <w:pPr>
              <w:pStyle w:val="BodyText"/>
            </w:pPr>
            <w:r>
              <w:rPr>
                <w:rStyle w:val="Bold"/>
              </w:rPr>
              <w:t>Part-time</w:t>
            </w:r>
          </w:p>
        </w:tc>
        <w:tc>
          <w:tcPr>
            <w:tcW w:w="431" w:type="pct"/>
          </w:tcPr>
          <w:p w:rsidR="008E273C" w:rsidRDefault="00AC4959" w:rsidP="00F708F0">
            <w:pPr>
              <w:pStyle w:val="BodyText"/>
            </w:pPr>
            <w:r>
              <w:rPr>
                <w:rStyle w:val="Bold"/>
              </w:rPr>
              <w:t>Total male</w:t>
            </w:r>
          </w:p>
        </w:tc>
        <w:tc>
          <w:tcPr>
            <w:tcW w:w="431" w:type="pct"/>
          </w:tcPr>
          <w:p w:rsidR="008E273C" w:rsidRDefault="008E273C" w:rsidP="00F708F0">
            <w:pPr>
              <w:pStyle w:val="BodyText"/>
            </w:pPr>
            <w:r>
              <w:rPr>
                <w:rStyle w:val="Bold"/>
              </w:rPr>
              <w:t>Full-time</w:t>
            </w:r>
          </w:p>
        </w:tc>
        <w:tc>
          <w:tcPr>
            <w:tcW w:w="431" w:type="pct"/>
          </w:tcPr>
          <w:p w:rsidR="008E273C" w:rsidRDefault="008E273C" w:rsidP="00F708F0">
            <w:pPr>
              <w:pStyle w:val="BodyText"/>
            </w:pPr>
            <w:r>
              <w:rPr>
                <w:rStyle w:val="Bold"/>
              </w:rPr>
              <w:t>Part-time</w:t>
            </w:r>
          </w:p>
        </w:tc>
        <w:tc>
          <w:tcPr>
            <w:tcW w:w="431" w:type="pct"/>
          </w:tcPr>
          <w:p w:rsidR="008E273C" w:rsidRDefault="00AC4959" w:rsidP="00F708F0">
            <w:pPr>
              <w:pStyle w:val="BodyText"/>
            </w:pPr>
            <w:r>
              <w:rPr>
                <w:rStyle w:val="Bold"/>
              </w:rPr>
              <w:t>Total female</w:t>
            </w:r>
          </w:p>
        </w:tc>
        <w:tc>
          <w:tcPr>
            <w:tcW w:w="431" w:type="pct"/>
          </w:tcPr>
          <w:p w:rsidR="008E273C" w:rsidRDefault="008E273C" w:rsidP="00F708F0">
            <w:pPr>
              <w:pStyle w:val="BodyText"/>
            </w:pPr>
            <w:r>
              <w:rPr>
                <w:rStyle w:val="Bold"/>
              </w:rPr>
              <w:t>Full-time</w:t>
            </w:r>
          </w:p>
        </w:tc>
        <w:tc>
          <w:tcPr>
            <w:tcW w:w="431" w:type="pct"/>
          </w:tcPr>
          <w:p w:rsidR="008E273C" w:rsidRDefault="008E273C" w:rsidP="00F708F0">
            <w:pPr>
              <w:pStyle w:val="BodyText"/>
            </w:pPr>
            <w:r>
              <w:rPr>
                <w:rStyle w:val="Bold"/>
              </w:rPr>
              <w:t>Part-time</w:t>
            </w:r>
          </w:p>
        </w:tc>
        <w:tc>
          <w:tcPr>
            <w:tcW w:w="548" w:type="pct"/>
          </w:tcPr>
          <w:p w:rsidR="008E273C" w:rsidRDefault="008E273C" w:rsidP="00F708F0">
            <w:pPr>
              <w:pStyle w:val="BodyText"/>
            </w:pPr>
            <w:r>
              <w:rPr>
                <w:rStyle w:val="Bold"/>
              </w:rPr>
              <w:t xml:space="preserve">Total </w:t>
            </w:r>
            <w:r>
              <w:rPr>
                <w:rStyle w:val="Bold"/>
                <w:spacing w:val="-4"/>
              </w:rPr>
              <w:t>Non-binary</w:t>
            </w:r>
          </w:p>
        </w:tc>
        <w:tc>
          <w:tcPr>
            <w:tcW w:w="352" w:type="pct"/>
          </w:tcPr>
          <w:p w:rsidR="008E273C" w:rsidRDefault="008E273C" w:rsidP="00F708F0">
            <w:pPr>
              <w:pStyle w:val="BodyText"/>
            </w:pPr>
            <w:r>
              <w:rPr>
                <w:rStyle w:val="Bold"/>
              </w:rPr>
              <w:t>Total</w:t>
            </w:r>
          </w:p>
        </w:tc>
      </w:tr>
      <w:tr w:rsidR="008E273C" w:rsidTr="00F708F0">
        <w:trPr>
          <w:trHeight w:val="60"/>
        </w:trPr>
        <w:tc>
          <w:tcPr>
            <w:tcW w:w="650" w:type="pct"/>
          </w:tcPr>
          <w:p w:rsidR="008E273C" w:rsidRDefault="008E273C" w:rsidP="00F708F0">
            <w:pPr>
              <w:pStyle w:val="BodyText"/>
            </w:pPr>
            <w:r>
              <w:t>SES 3</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48" w:type="pct"/>
          </w:tcPr>
          <w:p w:rsidR="008E273C" w:rsidRDefault="008E273C" w:rsidP="00F708F0">
            <w:pPr>
              <w:pStyle w:val="BodyText"/>
            </w:pPr>
            <w:r>
              <w:t>0</w:t>
            </w:r>
          </w:p>
        </w:tc>
        <w:tc>
          <w:tcPr>
            <w:tcW w:w="352" w:type="pct"/>
          </w:tcPr>
          <w:p w:rsidR="008E273C" w:rsidRDefault="008E273C" w:rsidP="00F708F0">
            <w:pPr>
              <w:pStyle w:val="BodyText"/>
            </w:pPr>
            <w:r>
              <w:rPr>
                <w:rStyle w:val="01bodybold"/>
              </w:rPr>
              <w:t>1</w:t>
            </w:r>
          </w:p>
        </w:tc>
      </w:tr>
      <w:tr w:rsidR="008E273C" w:rsidTr="00F708F0">
        <w:trPr>
          <w:trHeight w:val="305"/>
        </w:trPr>
        <w:tc>
          <w:tcPr>
            <w:tcW w:w="650" w:type="pct"/>
          </w:tcPr>
          <w:p w:rsidR="008E273C" w:rsidRDefault="008E273C" w:rsidP="00F708F0">
            <w:pPr>
              <w:pStyle w:val="BodyText"/>
            </w:pPr>
            <w:r>
              <w:t>SES 2</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48" w:type="pct"/>
          </w:tcPr>
          <w:p w:rsidR="008E273C" w:rsidRDefault="008E273C" w:rsidP="00F708F0">
            <w:pPr>
              <w:pStyle w:val="BodyText"/>
            </w:pPr>
            <w:r>
              <w:t>0</w:t>
            </w:r>
          </w:p>
        </w:tc>
        <w:tc>
          <w:tcPr>
            <w:tcW w:w="352" w:type="pct"/>
          </w:tcPr>
          <w:p w:rsidR="008E273C" w:rsidRDefault="008E273C" w:rsidP="00F708F0">
            <w:pPr>
              <w:pStyle w:val="BodyText"/>
            </w:pPr>
            <w:r>
              <w:rPr>
                <w:rStyle w:val="01bodybold"/>
              </w:rPr>
              <w:t>1</w:t>
            </w:r>
          </w:p>
        </w:tc>
      </w:tr>
      <w:tr w:rsidR="008E273C" w:rsidTr="00F708F0">
        <w:trPr>
          <w:trHeight w:val="60"/>
        </w:trPr>
        <w:tc>
          <w:tcPr>
            <w:tcW w:w="650" w:type="pct"/>
          </w:tcPr>
          <w:p w:rsidR="008E273C" w:rsidRDefault="008E273C" w:rsidP="00F708F0">
            <w:pPr>
              <w:pStyle w:val="BodyText"/>
            </w:pPr>
            <w:r>
              <w:t>SES 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48" w:type="pct"/>
          </w:tcPr>
          <w:p w:rsidR="008E273C" w:rsidRDefault="008E273C" w:rsidP="00F708F0">
            <w:pPr>
              <w:pStyle w:val="BodyText"/>
            </w:pPr>
            <w:r>
              <w:t>0</w:t>
            </w:r>
          </w:p>
        </w:tc>
        <w:tc>
          <w:tcPr>
            <w:tcW w:w="352" w:type="pct"/>
          </w:tcPr>
          <w:p w:rsidR="008E273C" w:rsidRDefault="008E273C" w:rsidP="00F708F0">
            <w:pPr>
              <w:pStyle w:val="BodyText"/>
            </w:pPr>
            <w:r>
              <w:rPr>
                <w:rStyle w:val="01bodybold"/>
              </w:rPr>
              <w:t>0</w:t>
            </w:r>
          </w:p>
        </w:tc>
      </w:tr>
      <w:tr w:rsidR="008E273C" w:rsidTr="00F708F0">
        <w:trPr>
          <w:trHeight w:val="60"/>
        </w:trPr>
        <w:tc>
          <w:tcPr>
            <w:tcW w:w="650" w:type="pct"/>
          </w:tcPr>
          <w:p w:rsidR="008E273C" w:rsidRDefault="008E273C" w:rsidP="00F708F0">
            <w:pPr>
              <w:pStyle w:val="BodyText"/>
            </w:pPr>
            <w:r>
              <w:t>EL 2</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48" w:type="pct"/>
          </w:tcPr>
          <w:p w:rsidR="008E273C" w:rsidRDefault="008E273C" w:rsidP="00F708F0">
            <w:pPr>
              <w:pStyle w:val="BodyText"/>
            </w:pPr>
            <w:r>
              <w:t>0</w:t>
            </w:r>
          </w:p>
        </w:tc>
        <w:tc>
          <w:tcPr>
            <w:tcW w:w="352" w:type="pct"/>
          </w:tcPr>
          <w:p w:rsidR="008E273C" w:rsidRDefault="008E273C" w:rsidP="00F708F0">
            <w:pPr>
              <w:pStyle w:val="BodyText"/>
            </w:pPr>
            <w:r>
              <w:rPr>
                <w:rStyle w:val="01bodybold"/>
              </w:rPr>
              <w:t>2</w:t>
            </w:r>
          </w:p>
        </w:tc>
      </w:tr>
      <w:tr w:rsidR="008E273C" w:rsidTr="00F708F0">
        <w:trPr>
          <w:trHeight w:val="60"/>
        </w:trPr>
        <w:tc>
          <w:tcPr>
            <w:tcW w:w="650" w:type="pct"/>
          </w:tcPr>
          <w:p w:rsidR="008E273C" w:rsidRDefault="008E273C" w:rsidP="00F708F0">
            <w:pPr>
              <w:pStyle w:val="BodyText"/>
            </w:pPr>
            <w:r>
              <w:lastRenderedPageBreak/>
              <w:t>EL 1</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3</w:t>
            </w:r>
          </w:p>
        </w:tc>
        <w:tc>
          <w:tcPr>
            <w:tcW w:w="431" w:type="pct"/>
          </w:tcPr>
          <w:p w:rsidR="008E273C" w:rsidRDefault="008E273C" w:rsidP="00F708F0">
            <w:pPr>
              <w:pStyle w:val="BodyText"/>
            </w:pPr>
            <w:r>
              <w:t>5</w:t>
            </w:r>
          </w:p>
        </w:tc>
        <w:tc>
          <w:tcPr>
            <w:tcW w:w="431" w:type="pct"/>
          </w:tcPr>
          <w:p w:rsidR="008E273C" w:rsidRDefault="008E273C" w:rsidP="00F708F0">
            <w:pPr>
              <w:pStyle w:val="BodyText"/>
            </w:pPr>
            <w:r>
              <w:t>4</w:t>
            </w:r>
          </w:p>
        </w:tc>
        <w:tc>
          <w:tcPr>
            <w:tcW w:w="431" w:type="pct"/>
          </w:tcPr>
          <w:p w:rsidR="008E273C" w:rsidRDefault="008E273C" w:rsidP="00F708F0">
            <w:pPr>
              <w:pStyle w:val="BodyText"/>
            </w:pPr>
            <w:r>
              <w:t>9</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48" w:type="pct"/>
          </w:tcPr>
          <w:p w:rsidR="008E273C" w:rsidRDefault="008E273C" w:rsidP="00F708F0">
            <w:pPr>
              <w:pStyle w:val="BodyText"/>
            </w:pPr>
            <w:r>
              <w:t>0</w:t>
            </w:r>
          </w:p>
        </w:tc>
        <w:tc>
          <w:tcPr>
            <w:tcW w:w="352" w:type="pct"/>
          </w:tcPr>
          <w:p w:rsidR="008E273C" w:rsidRDefault="008E273C" w:rsidP="00F708F0">
            <w:pPr>
              <w:pStyle w:val="BodyText"/>
            </w:pPr>
            <w:r>
              <w:rPr>
                <w:rStyle w:val="01bodybold"/>
              </w:rPr>
              <w:t>12</w:t>
            </w:r>
          </w:p>
        </w:tc>
      </w:tr>
      <w:tr w:rsidR="008E273C" w:rsidTr="00F708F0">
        <w:trPr>
          <w:trHeight w:val="60"/>
        </w:trPr>
        <w:tc>
          <w:tcPr>
            <w:tcW w:w="650" w:type="pct"/>
          </w:tcPr>
          <w:p w:rsidR="008E273C" w:rsidRDefault="008E273C" w:rsidP="00F708F0">
            <w:pPr>
              <w:pStyle w:val="BodyText"/>
            </w:pPr>
            <w:r>
              <w:t>APS 6</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8</w:t>
            </w:r>
          </w:p>
        </w:tc>
        <w:tc>
          <w:tcPr>
            <w:tcW w:w="431" w:type="pct"/>
          </w:tcPr>
          <w:p w:rsidR="008E273C" w:rsidRDefault="008E273C" w:rsidP="00F708F0">
            <w:pPr>
              <w:pStyle w:val="BodyText"/>
            </w:pPr>
            <w:r>
              <w:t>7</w:t>
            </w:r>
          </w:p>
        </w:tc>
        <w:tc>
          <w:tcPr>
            <w:tcW w:w="431" w:type="pct"/>
          </w:tcPr>
          <w:p w:rsidR="008E273C" w:rsidRDefault="008E273C" w:rsidP="00F708F0">
            <w:pPr>
              <w:pStyle w:val="BodyText"/>
            </w:pPr>
            <w:r>
              <w:t>15</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48" w:type="pct"/>
          </w:tcPr>
          <w:p w:rsidR="008E273C" w:rsidRDefault="008E273C" w:rsidP="00F708F0">
            <w:pPr>
              <w:pStyle w:val="BodyText"/>
            </w:pPr>
            <w:r>
              <w:t>0</w:t>
            </w:r>
          </w:p>
        </w:tc>
        <w:tc>
          <w:tcPr>
            <w:tcW w:w="352" w:type="pct"/>
          </w:tcPr>
          <w:p w:rsidR="008E273C" w:rsidRDefault="008E273C" w:rsidP="00F708F0">
            <w:pPr>
              <w:pStyle w:val="BodyText"/>
            </w:pPr>
            <w:r>
              <w:rPr>
                <w:rStyle w:val="01bodybold"/>
              </w:rPr>
              <w:t>17</w:t>
            </w:r>
          </w:p>
        </w:tc>
      </w:tr>
      <w:tr w:rsidR="008E273C" w:rsidTr="00F708F0">
        <w:trPr>
          <w:trHeight w:val="60"/>
        </w:trPr>
        <w:tc>
          <w:tcPr>
            <w:tcW w:w="650" w:type="pct"/>
          </w:tcPr>
          <w:p w:rsidR="008E273C" w:rsidRDefault="008E273C" w:rsidP="00F708F0">
            <w:pPr>
              <w:pStyle w:val="BodyText"/>
            </w:pPr>
            <w:r>
              <w:t>APS 5</w:t>
            </w:r>
          </w:p>
        </w:tc>
        <w:tc>
          <w:tcPr>
            <w:tcW w:w="431" w:type="pct"/>
          </w:tcPr>
          <w:p w:rsidR="008E273C" w:rsidRDefault="008E273C" w:rsidP="00F708F0">
            <w:pPr>
              <w:pStyle w:val="BodyText"/>
            </w:pPr>
            <w:r>
              <w:t>9</w:t>
            </w:r>
          </w:p>
        </w:tc>
        <w:tc>
          <w:tcPr>
            <w:tcW w:w="431" w:type="pct"/>
          </w:tcPr>
          <w:p w:rsidR="008E273C" w:rsidRDefault="008E273C" w:rsidP="00F708F0">
            <w:pPr>
              <w:pStyle w:val="BodyText"/>
            </w:pPr>
            <w:r>
              <w:t>10</w:t>
            </w:r>
          </w:p>
        </w:tc>
        <w:tc>
          <w:tcPr>
            <w:tcW w:w="431" w:type="pct"/>
          </w:tcPr>
          <w:p w:rsidR="008E273C" w:rsidRDefault="008E273C" w:rsidP="00F708F0">
            <w:pPr>
              <w:pStyle w:val="BodyText"/>
            </w:pPr>
            <w:r>
              <w:t>19</w:t>
            </w:r>
          </w:p>
        </w:tc>
        <w:tc>
          <w:tcPr>
            <w:tcW w:w="431" w:type="pct"/>
          </w:tcPr>
          <w:p w:rsidR="008E273C" w:rsidRDefault="008E273C" w:rsidP="00F708F0">
            <w:pPr>
              <w:pStyle w:val="BodyText"/>
            </w:pPr>
            <w:r>
              <w:t>6</w:t>
            </w:r>
          </w:p>
        </w:tc>
        <w:tc>
          <w:tcPr>
            <w:tcW w:w="431" w:type="pct"/>
          </w:tcPr>
          <w:p w:rsidR="008E273C" w:rsidRDefault="008E273C" w:rsidP="00F708F0">
            <w:pPr>
              <w:pStyle w:val="BodyText"/>
            </w:pPr>
            <w:r>
              <w:t>9</w:t>
            </w:r>
          </w:p>
        </w:tc>
        <w:tc>
          <w:tcPr>
            <w:tcW w:w="431" w:type="pct"/>
          </w:tcPr>
          <w:p w:rsidR="008E273C" w:rsidRDefault="008E273C" w:rsidP="00F708F0">
            <w:pPr>
              <w:pStyle w:val="BodyText"/>
            </w:pPr>
            <w:r>
              <w:t>15</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548" w:type="pct"/>
          </w:tcPr>
          <w:p w:rsidR="008E273C" w:rsidRDefault="008E273C" w:rsidP="00F708F0">
            <w:pPr>
              <w:pStyle w:val="BodyText"/>
            </w:pPr>
            <w:r>
              <w:t>1</w:t>
            </w:r>
          </w:p>
        </w:tc>
        <w:tc>
          <w:tcPr>
            <w:tcW w:w="352" w:type="pct"/>
          </w:tcPr>
          <w:p w:rsidR="008E273C" w:rsidRDefault="008E273C" w:rsidP="00F708F0">
            <w:pPr>
              <w:pStyle w:val="BodyText"/>
            </w:pPr>
            <w:r>
              <w:rPr>
                <w:rStyle w:val="01bodybold"/>
              </w:rPr>
              <w:t>35</w:t>
            </w:r>
          </w:p>
        </w:tc>
      </w:tr>
      <w:tr w:rsidR="008E273C" w:rsidTr="00F708F0">
        <w:trPr>
          <w:trHeight w:val="60"/>
        </w:trPr>
        <w:tc>
          <w:tcPr>
            <w:tcW w:w="650" w:type="pct"/>
          </w:tcPr>
          <w:p w:rsidR="008E273C" w:rsidRDefault="008E273C" w:rsidP="00F708F0">
            <w:pPr>
              <w:pStyle w:val="BodyText"/>
            </w:pPr>
            <w:r>
              <w:t>APS 4</w:t>
            </w:r>
          </w:p>
        </w:tc>
        <w:tc>
          <w:tcPr>
            <w:tcW w:w="431" w:type="pct"/>
          </w:tcPr>
          <w:p w:rsidR="008E273C" w:rsidRDefault="008E273C" w:rsidP="00F708F0">
            <w:pPr>
              <w:pStyle w:val="BodyText"/>
            </w:pPr>
            <w:r>
              <w:t>17</w:t>
            </w:r>
          </w:p>
        </w:tc>
        <w:tc>
          <w:tcPr>
            <w:tcW w:w="431" w:type="pct"/>
          </w:tcPr>
          <w:p w:rsidR="008E273C" w:rsidRDefault="008E273C" w:rsidP="00F708F0">
            <w:pPr>
              <w:pStyle w:val="BodyText"/>
            </w:pPr>
            <w:r>
              <w:t>76</w:t>
            </w:r>
          </w:p>
        </w:tc>
        <w:tc>
          <w:tcPr>
            <w:tcW w:w="431" w:type="pct"/>
          </w:tcPr>
          <w:p w:rsidR="008E273C" w:rsidRDefault="008E273C" w:rsidP="00F708F0">
            <w:pPr>
              <w:pStyle w:val="BodyText"/>
            </w:pPr>
            <w:r>
              <w:t>93</w:t>
            </w:r>
          </w:p>
        </w:tc>
        <w:tc>
          <w:tcPr>
            <w:tcW w:w="431" w:type="pct"/>
          </w:tcPr>
          <w:p w:rsidR="008E273C" w:rsidRDefault="008E273C" w:rsidP="00F708F0">
            <w:pPr>
              <w:pStyle w:val="BodyText"/>
            </w:pPr>
            <w:r>
              <w:t>26</w:t>
            </w:r>
          </w:p>
        </w:tc>
        <w:tc>
          <w:tcPr>
            <w:tcW w:w="431" w:type="pct"/>
          </w:tcPr>
          <w:p w:rsidR="008E273C" w:rsidRDefault="008E273C" w:rsidP="00F708F0">
            <w:pPr>
              <w:pStyle w:val="BodyText"/>
            </w:pPr>
            <w:r>
              <w:t>141</w:t>
            </w:r>
          </w:p>
        </w:tc>
        <w:tc>
          <w:tcPr>
            <w:tcW w:w="431" w:type="pct"/>
          </w:tcPr>
          <w:p w:rsidR="008E273C" w:rsidRDefault="008E273C" w:rsidP="00F708F0">
            <w:pPr>
              <w:pStyle w:val="BodyText"/>
            </w:pPr>
            <w:r>
              <w:t>167</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548" w:type="pct"/>
          </w:tcPr>
          <w:p w:rsidR="008E273C" w:rsidRDefault="008E273C" w:rsidP="00F708F0">
            <w:pPr>
              <w:pStyle w:val="BodyText"/>
            </w:pPr>
            <w:r>
              <w:t>1</w:t>
            </w:r>
          </w:p>
        </w:tc>
        <w:tc>
          <w:tcPr>
            <w:tcW w:w="352" w:type="pct"/>
          </w:tcPr>
          <w:p w:rsidR="008E273C" w:rsidRDefault="008E273C" w:rsidP="00F708F0">
            <w:pPr>
              <w:pStyle w:val="BodyText"/>
            </w:pPr>
            <w:r>
              <w:rPr>
                <w:rStyle w:val="01bodybold"/>
              </w:rPr>
              <w:t>261</w:t>
            </w:r>
          </w:p>
        </w:tc>
      </w:tr>
      <w:tr w:rsidR="008E273C" w:rsidTr="00F708F0">
        <w:trPr>
          <w:trHeight w:val="376"/>
        </w:trPr>
        <w:tc>
          <w:tcPr>
            <w:tcW w:w="650" w:type="pct"/>
          </w:tcPr>
          <w:p w:rsidR="008E273C" w:rsidRDefault="008E273C" w:rsidP="00F708F0">
            <w:pPr>
              <w:pStyle w:val="BodyText"/>
            </w:pPr>
            <w:r>
              <w:t>APS 3</w:t>
            </w:r>
          </w:p>
        </w:tc>
        <w:tc>
          <w:tcPr>
            <w:tcW w:w="431" w:type="pct"/>
          </w:tcPr>
          <w:p w:rsidR="008E273C" w:rsidRDefault="008E273C" w:rsidP="00F708F0">
            <w:pPr>
              <w:pStyle w:val="BodyText"/>
            </w:pPr>
            <w:r>
              <w:t>231</w:t>
            </w:r>
          </w:p>
        </w:tc>
        <w:tc>
          <w:tcPr>
            <w:tcW w:w="431" w:type="pct"/>
          </w:tcPr>
          <w:p w:rsidR="008E273C" w:rsidRDefault="008E273C" w:rsidP="00F708F0">
            <w:pPr>
              <w:pStyle w:val="BodyText"/>
            </w:pPr>
            <w:r>
              <w:t>827</w:t>
            </w:r>
          </w:p>
        </w:tc>
        <w:tc>
          <w:tcPr>
            <w:tcW w:w="431" w:type="pct"/>
          </w:tcPr>
          <w:p w:rsidR="008E273C" w:rsidRDefault="008E273C" w:rsidP="00F708F0">
            <w:pPr>
              <w:pStyle w:val="BodyText"/>
            </w:pPr>
            <w:r>
              <w:t>1,058</w:t>
            </w:r>
          </w:p>
        </w:tc>
        <w:tc>
          <w:tcPr>
            <w:tcW w:w="431" w:type="pct"/>
          </w:tcPr>
          <w:p w:rsidR="008E273C" w:rsidRDefault="008E273C" w:rsidP="00F708F0">
            <w:pPr>
              <w:pStyle w:val="BodyText"/>
            </w:pPr>
            <w:r>
              <w:t>428</w:t>
            </w:r>
          </w:p>
        </w:tc>
        <w:tc>
          <w:tcPr>
            <w:tcW w:w="431" w:type="pct"/>
          </w:tcPr>
          <w:p w:rsidR="008E273C" w:rsidRDefault="008E273C" w:rsidP="00F708F0">
            <w:pPr>
              <w:pStyle w:val="BodyText"/>
            </w:pPr>
            <w:r>
              <w:t>2,357</w:t>
            </w:r>
          </w:p>
        </w:tc>
        <w:tc>
          <w:tcPr>
            <w:tcW w:w="431" w:type="pct"/>
          </w:tcPr>
          <w:p w:rsidR="008E273C" w:rsidRDefault="008E273C" w:rsidP="00F708F0">
            <w:pPr>
              <w:pStyle w:val="BodyText"/>
            </w:pPr>
            <w:r>
              <w:t>2,785</w:t>
            </w:r>
          </w:p>
        </w:tc>
        <w:tc>
          <w:tcPr>
            <w:tcW w:w="431" w:type="pct"/>
          </w:tcPr>
          <w:p w:rsidR="008E273C" w:rsidRDefault="008E273C" w:rsidP="00F708F0">
            <w:pPr>
              <w:pStyle w:val="BodyText"/>
            </w:pPr>
            <w:r>
              <w:t>8</w:t>
            </w:r>
          </w:p>
        </w:tc>
        <w:tc>
          <w:tcPr>
            <w:tcW w:w="431" w:type="pct"/>
          </w:tcPr>
          <w:p w:rsidR="008E273C" w:rsidRDefault="008E273C" w:rsidP="00F708F0">
            <w:pPr>
              <w:pStyle w:val="BodyText"/>
            </w:pPr>
            <w:r>
              <w:t>22</w:t>
            </w:r>
          </w:p>
        </w:tc>
        <w:tc>
          <w:tcPr>
            <w:tcW w:w="548" w:type="pct"/>
          </w:tcPr>
          <w:p w:rsidR="008E273C" w:rsidRDefault="008E273C" w:rsidP="00F708F0">
            <w:pPr>
              <w:pStyle w:val="BodyText"/>
            </w:pPr>
            <w:r>
              <w:t>30</w:t>
            </w:r>
          </w:p>
        </w:tc>
        <w:tc>
          <w:tcPr>
            <w:tcW w:w="352" w:type="pct"/>
          </w:tcPr>
          <w:p w:rsidR="008E273C" w:rsidRDefault="008E273C" w:rsidP="00F708F0">
            <w:pPr>
              <w:pStyle w:val="BodyText"/>
            </w:pPr>
            <w:r>
              <w:rPr>
                <w:rStyle w:val="01bodybold"/>
              </w:rPr>
              <w:t>3,873</w:t>
            </w:r>
          </w:p>
        </w:tc>
      </w:tr>
      <w:tr w:rsidR="008E273C" w:rsidTr="00F708F0">
        <w:trPr>
          <w:trHeight w:val="60"/>
        </w:trPr>
        <w:tc>
          <w:tcPr>
            <w:tcW w:w="650" w:type="pct"/>
          </w:tcPr>
          <w:p w:rsidR="008E273C" w:rsidRDefault="008E273C" w:rsidP="00F708F0">
            <w:pPr>
              <w:pStyle w:val="BodyText"/>
            </w:pPr>
            <w:r>
              <w:t>APS 2</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48" w:type="pct"/>
          </w:tcPr>
          <w:p w:rsidR="008E273C" w:rsidRDefault="008E273C" w:rsidP="00F708F0">
            <w:pPr>
              <w:pStyle w:val="BodyText"/>
            </w:pPr>
            <w:r>
              <w:t>0</w:t>
            </w:r>
          </w:p>
        </w:tc>
        <w:tc>
          <w:tcPr>
            <w:tcW w:w="352" w:type="pct"/>
          </w:tcPr>
          <w:p w:rsidR="008E273C" w:rsidRDefault="008E273C" w:rsidP="00F708F0">
            <w:pPr>
              <w:pStyle w:val="BodyText"/>
            </w:pPr>
            <w:r>
              <w:rPr>
                <w:rStyle w:val="01bodybold"/>
              </w:rPr>
              <w:t>2</w:t>
            </w:r>
          </w:p>
        </w:tc>
      </w:tr>
      <w:tr w:rsidR="008E273C" w:rsidTr="00F708F0">
        <w:trPr>
          <w:trHeight w:val="60"/>
        </w:trPr>
        <w:tc>
          <w:tcPr>
            <w:tcW w:w="650" w:type="pct"/>
          </w:tcPr>
          <w:p w:rsidR="008E273C" w:rsidRDefault="008E273C" w:rsidP="00F708F0">
            <w:pPr>
              <w:pStyle w:val="BodyText"/>
            </w:pPr>
            <w:r>
              <w:t>APS 1</w:t>
            </w:r>
          </w:p>
        </w:tc>
        <w:tc>
          <w:tcPr>
            <w:tcW w:w="431" w:type="pct"/>
          </w:tcPr>
          <w:p w:rsidR="008E273C" w:rsidRDefault="006C3DEB" w:rsidP="00F708F0">
            <w:pPr>
              <w:pStyle w:val="BodyText"/>
            </w:pPr>
            <w:r>
              <w:t>0</w:t>
            </w:r>
          </w:p>
        </w:tc>
        <w:tc>
          <w:tcPr>
            <w:tcW w:w="431" w:type="pct"/>
          </w:tcPr>
          <w:p w:rsidR="008E273C" w:rsidRDefault="008E273C" w:rsidP="00F708F0">
            <w:pPr>
              <w:pStyle w:val="BodyText"/>
            </w:pPr>
            <w:r>
              <w:t>0</w:t>
            </w:r>
          </w:p>
        </w:tc>
        <w:tc>
          <w:tcPr>
            <w:tcW w:w="431" w:type="pct"/>
          </w:tcPr>
          <w:p w:rsidR="008E273C" w:rsidRDefault="006C3DEB"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48" w:type="pct"/>
          </w:tcPr>
          <w:p w:rsidR="008E273C" w:rsidRDefault="008E273C" w:rsidP="00F708F0">
            <w:pPr>
              <w:pStyle w:val="BodyText"/>
            </w:pPr>
            <w:r>
              <w:t>0</w:t>
            </w:r>
          </w:p>
        </w:tc>
        <w:tc>
          <w:tcPr>
            <w:tcW w:w="352" w:type="pct"/>
          </w:tcPr>
          <w:p w:rsidR="008E273C" w:rsidRDefault="006C3DEB" w:rsidP="00F708F0">
            <w:pPr>
              <w:pStyle w:val="BodyText"/>
            </w:pPr>
            <w:r>
              <w:rPr>
                <w:rStyle w:val="01bodybold"/>
              </w:rPr>
              <w:t>0</w:t>
            </w:r>
          </w:p>
        </w:tc>
      </w:tr>
      <w:tr w:rsidR="008E273C" w:rsidTr="00F708F0">
        <w:trPr>
          <w:trHeight w:val="60"/>
        </w:trPr>
        <w:tc>
          <w:tcPr>
            <w:tcW w:w="650" w:type="pct"/>
          </w:tcPr>
          <w:p w:rsidR="008E273C" w:rsidRDefault="008E273C" w:rsidP="00F708F0">
            <w:pPr>
              <w:pStyle w:val="BodyText"/>
            </w:pPr>
            <w:r>
              <w:t>Other</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48" w:type="pct"/>
          </w:tcPr>
          <w:p w:rsidR="008E273C" w:rsidRDefault="008E273C" w:rsidP="00F708F0">
            <w:pPr>
              <w:pStyle w:val="BodyText"/>
            </w:pPr>
            <w:r>
              <w:t>0</w:t>
            </w:r>
          </w:p>
        </w:tc>
        <w:tc>
          <w:tcPr>
            <w:tcW w:w="352" w:type="pct"/>
          </w:tcPr>
          <w:p w:rsidR="008E273C" w:rsidRDefault="008E273C" w:rsidP="00F708F0">
            <w:pPr>
              <w:pStyle w:val="BodyText"/>
            </w:pPr>
            <w:r>
              <w:rPr>
                <w:rStyle w:val="01bodybold"/>
              </w:rPr>
              <w:t>0</w:t>
            </w:r>
          </w:p>
        </w:tc>
      </w:tr>
      <w:tr w:rsidR="008E273C" w:rsidTr="00F708F0">
        <w:trPr>
          <w:trHeight w:val="60"/>
        </w:trPr>
        <w:tc>
          <w:tcPr>
            <w:tcW w:w="650" w:type="pct"/>
          </w:tcPr>
          <w:p w:rsidR="008E273C" w:rsidRDefault="008E273C" w:rsidP="00F708F0">
            <w:pPr>
              <w:pStyle w:val="BodyText"/>
            </w:pPr>
            <w:r>
              <w:rPr>
                <w:rStyle w:val="Bold"/>
              </w:rPr>
              <w:t>Total</w:t>
            </w:r>
          </w:p>
        </w:tc>
        <w:tc>
          <w:tcPr>
            <w:tcW w:w="431" w:type="pct"/>
          </w:tcPr>
          <w:p w:rsidR="008E273C" w:rsidRDefault="008E273C" w:rsidP="00F708F0">
            <w:pPr>
              <w:pStyle w:val="BodyText"/>
            </w:pPr>
            <w:r>
              <w:rPr>
                <w:rStyle w:val="Bold"/>
              </w:rPr>
              <w:t>262</w:t>
            </w:r>
          </w:p>
        </w:tc>
        <w:tc>
          <w:tcPr>
            <w:tcW w:w="431" w:type="pct"/>
          </w:tcPr>
          <w:p w:rsidR="008E273C" w:rsidRDefault="008E273C" w:rsidP="00F708F0">
            <w:pPr>
              <w:pStyle w:val="BodyText"/>
            </w:pPr>
            <w:r>
              <w:rPr>
                <w:rStyle w:val="Bold"/>
              </w:rPr>
              <w:t>916</w:t>
            </w:r>
          </w:p>
        </w:tc>
        <w:tc>
          <w:tcPr>
            <w:tcW w:w="431" w:type="pct"/>
          </w:tcPr>
          <w:p w:rsidR="008E273C" w:rsidRDefault="008E273C" w:rsidP="00F708F0">
            <w:pPr>
              <w:pStyle w:val="BodyText"/>
            </w:pPr>
            <w:r>
              <w:rPr>
                <w:rStyle w:val="Bold"/>
              </w:rPr>
              <w:t>1,178</w:t>
            </w:r>
          </w:p>
        </w:tc>
        <w:tc>
          <w:tcPr>
            <w:tcW w:w="431" w:type="pct"/>
          </w:tcPr>
          <w:p w:rsidR="008E273C" w:rsidRDefault="008E273C" w:rsidP="00F708F0">
            <w:pPr>
              <w:pStyle w:val="BodyText"/>
            </w:pPr>
            <w:r>
              <w:rPr>
                <w:rStyle w:val="Bold"/>
              </w:rPr>
              <w:t>476</w:t>
            </w:r>
          </w:p>
        </w:tc>
        <w:tc>
          <w:tcPr>
            <w:tcW w:w="431" w:type="pct"/>
          </w:tcPr>
          <w:p w:rsidR="008E273C" w:rsidRDefault="008E273C" w:rsidP="00F708F0">
            <w:pPr>
              <w:pStyle w:val="BodyText"/>
            </w:pPr>
            <w:r>
              <w:rPr>
                <w:rStyle w:val="Bold"/>
              </w:rPr>
              <w:t>2,518</w:t>
            </w:r>
          </w:p>
        </w:tc>
        <w:tc>
          <w:tcPr>
            <w:tcW w:w="431" w:type="pct"/>
          </w:tcPr>
          <w:p w:rsidR="008E273C" w:rsidRDefault="008E273C" w:rsidP="00F708F0">
            <w:pPr>
              <w:pStyle w:val="BodyText"/>
            </w:pPr>
            <w:r>
              <w:rPr>
                <w:rStyle w:val="Bold"/>
              </w:rPr>
              <w:t>2,994</w:t>
            </w:r>
          </w:p>
        </w:tc>
        <w:tc>
          <w:tcPr>
            <w:tcW w:w="431" w:type="pct"/>
          </w:tcPr>
          <w:p w:rsidR="008E273C" w:rsidRDefault="008E273C" w:rsidP="00F708F0">
            <w:pPr>
              <w:pStyle w:val="BodyText"/>
            </w:pPr>
            <w:r>
              <w:rPr>
                <w:rStyle w:val="Bold"/>
              </w:rPr>
              <w:t>9</w:t>
            </w:r>
          </w:p>
        </w:tc>
        <w:tc>
          <w:tcPr>
            <w:tcW w:w="431" w:type="pct"/>
          </w:tcPr>
          <w:p w:rsidR="008E273C" w:rsidRDefault="008E273C" w:rsidP="00F708F0">
            <w:pPr>
              <w:pStyle w:val="BodyText"/>
            </w:pPr>
            <w:r>
              <w:rPr>
                <w:rStyle w:val="Bold"/>
              </w:rPr>
              <w:t>23</w:t>
            </w:r>
          </w:p>
        </w:tc>
        <w:tc>
          <w:tcPr>
            <w:tcW w:w="548" w:type="pct"/>
          </w:tcPr>
          <w:p w:rsidR="008E273C" w:rsidRDefault="008E273C" w:rsidP="00F708F0">
            <w:pPr>
              <w:pStyle w:val="BodyText"/>
            </w:pPr>
            <w:r>
              <w:rPr>
                <w:rStyle w:val="Bold"/>
              </w:rPr>
              <w:t>32</w:t>
            </w:r>
          </w:p>
        </w:tc>
        <w:tc>
          <w:tcPr>
            <w:tcW w:w="352" w:type="pct"/>
          </w:tcPr>
          <w:p w:rsidR="008E273C" w:rsidRDefault="008E273C" w:rsidP="00F708F0">
            <w:pPr>
              <w:pStyle w:val="BodyText"/>
            </w:pPr>
            <w:r>
              <w:rPr>
                <w:rStyle w:val="Bold"/>
              </w:rPr>
              <w:t>4,204</w:t>
            </w:r>
          </w:p>
        </w:tc>
      </w:tr>
    </w:tbl>
    <w:p w:rsidR="008E273C" w:rsidRDefault="008E273C" w:rsidP="00F708F0">
      <w:pPr>
        <w:pStyle w:val="BodyText"/>
      </w:pPr>
      <w:r>
        <w:t>(a)</w:t>
      </w:r>
      <w:r w:rsidR="00F708F0">
        <w:t xml:space="preserve"> </w:t>
      </w:r>
      <w:r>
        <w:t>Non-ongoing employees includes irregular/intermittent staff.</w:t>
      </w:r>
    </w:p>
    <w:p w:rsidR="008E273C" w:rsidRPr="00F708F0" w:rsidRDefault="00F708F0" w:rsidP="00F708F0">
      <w:pPr>
        <w:pStyle w:val="BodyText"/>
        <w:rPr>
          <w:b/>
        </w:rPr>
      </w:pPr>
      <w:r w:rsidRPr="00F708F0">
        <w:rPr>
          <w:b/>
        </w:rPr>
        <w:t>Table 65:</w:t>
      </w:r>
      <w:r w:rsidR="008E273C" w:rsidRPr="00F708F0">
        <w:rPr>
          <w:b/>
        </w:rPr>
        <w:t xml:space="preserve"> Australian Public Service Act non-ongoing employees at 30 June 2019</w:t>
      </w:r>
      <w:r w:rsidR="008E273C" w:rsidRPr="00F708F0">
        <w:rPr>
          <w:b/>
          <w:vertAlign w:val="superscript"/>
        </w:rPr>
        <w:t>(a)</w:t>
      </w:r>
    </w:p>
    <w:tbl>
      <w:tblPr>
        <w:tblStyle w:val="TableGrid"/>
        <w:tblW w:w="5000" w:type="pct"/>
        <w:tblLook w:val="0000" w:firstRow="0" w:lastRow="0" w:firstColumn="0" w:lastColumn="0" w:noHBand="0" w:noVBand="0"/>
        <w:tblCaption w:val="Table 65: Australian Public Service Act non-ongoing employees at 30 June 2019(a)"/>
        <w:tblDescription w:val="Table 65: Australian Public Service Act non-ongoing employees at 30 June 2019(a)"/>
      </w:tblPr>
      <w:tblGrid>
        <w:gridCol w:w="1737"/>
        <w:gridCol w:w="915"/>
        <w:gridCol w:w="915"/>
        <w:gridCol w:w="918"/>
        <w:gridCol w:w="915"/>
        <w:gridCol w:w="916"/>
        <w:gridCol w:w="977"/>
        <w:gridCol w:w="916"/>
        <w:gridCol w:w="916"/>
        <w:gridCol w:w="1154"/>
        <w:gridCol w:w="817"/>
      </w:tblGrid>
      <w:tr w:rsidR="008E273C" w:rsidTr="00F708F0">
        <w:trPr>
          <w:trHeight w:val="60"/>
          <w:tblHeader/>
        </w:trPr>
        <w:tc>
          <w:tcPr>
            <w:tcW w:w="650" w:type="pct"/>
          </w:tcPr>
          <w:p w:rsidR="008E273C" w:rsidRDefault="008E273C" w:rsidP="00F708F0">
            <w:pPr>
              <w:pStyle w:val="BodyText"/>
            </w:pPr>
          </w:p>
        </w:tc>
        <w:tc>
          <w:tcPr>
            <w:tcW w:w="1294" w:type="pct"/>
            <w:gridSpan w:val="3"/>
          </w:tcPr>
          <w:p w:rsidR="008E273C" w:rsidRDefault="008E273C" w:rsidP="00F708F0">
            <w:pPr>
              <w:pStyle w:val="BodyText"/>
            </w:pPr>
            <w:r>
              <w:t>Male</w:t>
            </w:r>
          </w:p>
        </w:tc>
        <w:tc>
          <w:tcPr>
            <w:tcW w:w="1294" w:type="pct"/>
            <w:gridSpan w:val="3"/>
          </w:tcPr>
          <w:p w:rsidR="008E273C" w:rsidRDefault="008E273C" w:rsidP="00F708F0">
            <w:pPr>
              <w:pStyle w:val="BodyText"/>
            </w:pPr>
            <w:r>
              <w:t>Female</w:t>
            </w:r>
          </w:p>
        </w:tc>
        <w:tc>
          <w:tcPr>
            <w:tcW w:w="1400" w:type="pct"/>
            <w:gridSpan w:val="3"/>
          </w:tcPr>
          <w:p w:rsidR="008E273C" w:rsidRDefault="008E273C" w:rsidP="00F708F0">
            <w:pPr>
              <w:pStyle w:val="BodyText"/>
            </w:pPr>
            <w:r>
              <w:t>Non-binary</w:t>
            </w:r>
          </w:p>
        </w:tc>
        <w:tc>
          <w:tcPr>
            <w:tcW w:w="362" w:type="pct"/>
          </w:tcPr>
          <w:p w:rsidR="008E273C" w:rsidRDefault="008E273C" w:rsidP="00F708F0">
            <w:pPr>
              <w:pStyle w:val="BodyText"/>
            </w:pPr>
          </w:p>
        </w:tc>
      </w:tr>
      <w:tr w:rsidR="008E273C" w:rsidTr="00F708F0">
        <w:trPr>
          <w:trHeight w:val="616"/>
          <w:tblHeader/>
        </w:trPr>
        <w:tc>
          <w:tcPr>
            <w:tcW w:w="650" w:type="pct"/>
          </w:tcPr>
          <w:p w:rsidR="008E273C" w:rsidRDefault="008E273C" w:rsidP="00F708F0">
            <w:pPr>
              <w:pStyle w:val="BodyText"/>
            </w:pPr>
            <w:r>
              <w:rPr>
                <w:rStyle w:val="Bold"/>
              </w:rPr>
              <w:t>Substantive classification</w:t>
            </w:r>
          </w:p>
        </w:tc>
        <w:tc>
          <w:tcPr>
            <w:tcW w:w="431" w:type="pct"/>
          </w:tcPr>
          <w:p w:rsidR="008E273C" w:rsidRDefault="008E273C" w:rsidP="00F708F0">
            <w:pPr>
              <w:pStyle w:val="BodyText"/>
            </w:pPr>
            <w:r>
              <w:rPr>
                <w:rStyle w:val="Bold"/>
              </w:rPr>
              <w:t>Full-time</w:t>
            </w:r>
          </w:p>
        </w:tc>
        <w:tc>
          <w:tcPr>
            <w:tcW w:w="431" w:type="pct"/>
          </w:tcPr>
          <w:p w:rsidR="008E273C" w:rsidRDefault="008E273C" w:rsidP="00F708F0">
            <w:pPr>
              <w:pStyle w:val="BodyText"/>
            </w:pPr>
            <w:r>
              <w:rPr>
                <w:rStyle w:val="Bold"/>
              </w:rPr>
              <w:t>Part-time</w:t>
            </w:r>
          </w:p>
        </w:tc>
        <w:tc>
          <w:tcPr>
            <w:tcW w:w="431" w:type="pct"/>
          </w:tcPr>
          <w:p w:rsidR="008E273C" w:rsidRDefault="00AC4959" w:rsidP="00F708F0">
            <w:pPr>
              <w:pStyle w:val="BodyText"/>
            </w:pPr>
            <w:r>
              <w:rPr>
                <w:rStyle w:val="Bold"/>
              </w:rPr>
              <w:t>Total male</w:t>
            </w:r>
          </w:p>
        </w:tc>
        <w:tc>
          <w:tcPr>
            <w:tcW w:w="431" w:type="pct"/>
          </w:tcPr>
          <w:p w:rsidR="008E273C" w:rsidRDefault="008E273C" w:rsidP="00F708F0">
            <w:pPr>
              <w:pStyle w:val="BodyText"/>
            </w:pPr>
            <w:r>
              <w:rPr>
                <w:rStyle w:val="Bold"/>
              </w:rPr>
              <w:t>Full-time</w:t>
            </w:r>
          </w:p>
        </w:tc>
        <w:tc>
          <w:tcPr>
            <w:tcW w:w="431" w:type="pct"/>
          </w:tcPr>
          <w:p w:rsidR="008E273C" w:rsidRDefault="008E273C" w:rsidP="00F708F0">
            <w:pPr>
              <w:pStyle w:val="BodyText"/>
            </w:pPr>
            <w:r>
              <w:rPr>
                <w:rStyle w:val="Bold"/>
              </w:rPr>
              <w:t>Part-time</w:t>
            </w:r>
          </w:p>
        </w:tc>
        <w:tc>
          <w:tcPr>
            <w:tcW w:w="431" w:type="pct"/>
          </w:tcPr>
          <w:p w:rsidR="008E273C" w:rsidRDefault="00AC4959" w:rsidP="00F708F0">
            <w:pPr>
              <w:pStyle w:val="BodyText"/>
            </w:pPr>
            <w:r>
              <w:rPr>
                <w:rStyle w:val="Bold"/>
              </w:rPr>
              <w:t>Total female</w:t>
            </w:r>
          </w:p>
        </w:tc>
        <w:tc>
          <w:tcPr>
            <w:tcW w:w="431" w:type="pct"/>
          </w:tcPr>
          <w:p w:rsidR="008E273C" w:rsidRDefault="008E273C" w:rsidP="00F708F0">
            <w:pPr>
              <w:pStyle w:val="BodyText"/>
            </w:pPr>
            <w:r>
              <w:rPr>
                <w:rStyle w:val="Bold"/>
              </w:rPr>
              <w:t>Full-time</w:t>
            </w:r>
          </w:p>
        </w:tc>
        <w:tc>
          <w:tcPr>
            <w:tcW w:w="431" w:type="pct"/>
          </w:tcPr>
          <w:p w:rsidR="008E273C" w:rsidRDefault="008E273C" w:rsidP="00F708F0">
            <w:pPr>
              <w:pStyle w:val="BodyText"/>
            </w:pPr>
            <w:r>
              <w:rPr>
                <w:rStyle w:val="Bold"/>
              </w:rPr>
              <w:t>Part-time</w:t>
            </w:r>
          </w:p>
        </w:tc>
        <w:tc>
          <w:tcPr>
            <w:tcW w:w="538" w:type="pct"/>
          </w:tcPr>
          <w:p w:rsidR="008E273C" w:rsidRDefault="008E273C" w:rsidP="00F708F0">
            <w:pPr>
              <w:pStyle w:val="BodyText"/>
            </w:pPr>
            <w:r>
              <w:rPr>
                <w:rStyle w:val="Bold"/>
              </w:rPr>
              <w:t xml:space="preserve">Total </w:t>
            </w:r>
            <w:r>
              <w:rPr>
                <w:rStyle w:val="Bold"/>
                <w:spacing w:val="-4"/>
              </w:rPr>
              <w:t>Non-binary</w:t>
            </w:r>
          </w:p>
        </w:tc>
        <w:tc>
          <w:tcPr>
            <w:tcW w:w="362" w:type="pct"/>
          </w:tcPr>
          <w:p w:rsidR="008E273C" w:rsidRDefault="008E273C" w:rsidP="00F708F0">
            <w:pPr>
              <w:pStyle w:val="BodyText"/>
            </w:pPr>
            <w:r>
              <w:rPr>
                <w:rStyle w:val="Bold"/>
              </w:rPr>
              <w:t>Total</w:t>
            </w:r>
          </w:p>
        </w:tc>
      </w:tr>
      <w:tr w:rsidR="008E273C" w:rsidTr="00F708F0">
        <w:trPr>
          <w:trHeight w:val="60"/>
        </w:trPr>
        <w:tc>
          <w:tcPr>
            <w:tcW w:w="650" w:type="pct"/>
          </w:tcPr>
          <w:p w:rsidR="008E273C" w:rsidRDefault="008E273C" w:rsidP="00F708F0">
            <w:pPr>
              <w:pStyle w:val="BodyText"/>
            </w:pPr>
            <w:r>
              <w:t>SES 3</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1</w:t>
            </w:r>
          </w:p>
        </w:tc>
      </w:tr>
      <w:tr w:rsidR="008E273C" w:rsidTr="00F708F0">
        <w:trPr>
          <w:trHeight w:val="305"/>
        </w:trPr>
        <w:tc>
          <w:tcPr>
            <w:tcW w:w="650" w:type="pct"/>
          </w:tcPr>
          <w:p w:rsidR="008E273C" w:rsidRDefault="008E273C" w:rsidP="00F708F0">
            <w:pPr>
              <w:pStyle w:val="BodyText"/>
            </w:pPr>
            <w:r>
              <w:t>SES 2</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2</w:t>
            </w:r>
          </w:p>
        </w:tc>
      </w:tr>
      <w:tr w:rsidR="008E273C" w:rsidTr="00F708F0">
        <w:trPr>
          <w:trHeight w:val="60"/>
        </w:trPr>
        <w:tc>
          <w:tcPr>
            <w:tcW w:w="650" w:type="pct"/>
          </w:tcPr>
          <w:p w:rsidR="008E273C" w:rsidRDefault="008E273C" w:rsidP="00F708F0">
            <w:pPr>
              <w:pStyle w:val="BodyText"/>
            </w:pPr>
            <w:r>
              <w:t>SES 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0</w:t>
            </w:r>
          </w:p>
        </w:tc>
      </w:tr>
      <w:tr w:rsidR="008E273C" w:rsidTr="00F708F0">
        <w:trPr>
          <w:trHeight w:val="60"/>
        </w:trPr>
        <w:tc>
          <w:tcPr>
            <w:tcW w:w="650" w:type="pct"/>
          </w:tcPr>
          <w:p w:rsidR="008E273C" w:rsidRDefault="008E273C" w:rsidP="00F708F0">
            <w:pPr>
              <w:pStyle w:val="BodyText"/>
            </w:pPr>
            <w:r>
              <w:t>EL 2</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3</w:t>
            </w:r>
          </w:p>
        </w:tc>
      </w:tr>
      <w:tr w:rsidR="008E273C" w:rsidTr="00F708F0">
        <w:trPr>
          <w:trHeight w:val="60"/>
        </w:trPr>
        <w:tc>
          <w:tcPr>
            <w:tcW w:w="650" w:type="pct"/>
          </w:tcPr>
          <w:p w:rsidR="008E273C" w:rsidRDefault="008E273C" w:rsidP="00F708F0">
            <w:pPr>
              <w:pStyle w:val="BodyText"/>
            </w:pPr>
            <w:r>
              <w:t>EL 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2</w:t>
            </w:r>
          </w:p>
        </w:tc>
      </w:tr>
      <w:tr w:rsidR="008E273C" w:rsidTr="00F708F0">
        <w:trPr>
          <w:trHeight w:val="60"/>
        </w:trPr>
        <w:tc>
          <w:tcPr>
            <w:tcW w:w="650" w:type="pct"/>
          </w:tcPr>
          <w:p w:rsidR="008E273C" w:rsidRDefault="008E273C" w:rsidP="00F708F0">
            <w:pPr>
              <w:pStyle w:val="BodyText"/>
            </w:pPr>
            <w:r>
              <w:t>APS 6</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5</w:t>
            </w:r>
          </w:p>
        </w:tc>
        <w:tc>
          <w:tcPr>
            <w:tcW w:w="431" w:type="pct"/>
          </w:tcPr>
          <w:p w:rsidR="008E273C" w:rsidRDefault="008E273C" w:rsidP="00F708F0">
            <w:pPr>
              <w:pStyle w:val="BodyText"/>
            </w:pPr>
            <w:r>
              <w:t>5</w:t>
            </w:r>
          </w:p>
        </w:tc>
        <w:tc>
          <w:tcPr>
            <w:tcW w:w="431" w:type="pct"/>
          </w:tcPr>
          <w:p w:rsidR="008E273C" w:rsidRDefault="008E273C" w:rsidP="00F708F0">
            <w:pPr>
              <w:pStyle w:val="BodyText"/>
            </w:pPr>
            <w:r>
              <w:t>10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12</w:t>
            </w:r>
          </w:p>
        </w:tc>
      </w:tr>
      <w:tr w:rsidR="008E273C" w:rsidTr="00F708F0">
        <w:trPr>
          <w:trHeight w:val="60"/>
        </w:trPr>
        <w:tc>
          <w:tcPr>
            <w:tcW w:w="650" w:type="pct"/>
          </w:tcPr>
          <w:p w:rsidR="008E273C" w:rsidRDefault="008E273C" w:rsidP="00F708F0">
            <w:pPr>
              <w:pStyle w:val="BodyText"/>
            </w:pPr>
            <w:r>
              <w:lastRenderedPageBreak/>
              <w:t>APS 5</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5</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5</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6</w:t>
            </w:r>
          </w:p>
        </w:tc>
      </w:tr>
      <w:tr w:rsidR="008E273C" w:rsidTr="00F708F0">
        <w:trPr>
          <w:trHeight w:val="60"/>
        </w:trPr>
        <w:tc>
          <w:tcPr>
            <w:tcW w:w="650" w:type="pct"/>
          </w:tcPr>
          <w:p w:rsidR="008E273C" w:rsidRDefault="008E273C" w:rsidP="00F708F0">
            <w:pPr>
              <w:pStyle w:val="BodyText"/>
            </w:pPr>
            <w:r>
              <w:t>APS 4</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2</w:t>
            </w:r>
          </w:p>
        </w:tc>
        <w:tc>
          <w:tcPr>
            <w:tcW w:w="431" w:type="pct"/>
          </w:tcPr>
          <w:p w:rsidR="008E273C" w:rsidRDefault="008E273C" w:rsidP="00F708F0">
            <w:pPr>
              <w:pStyle w:val="BodyText"/>
            </w:pPr>
            <w:r>
              <w:t>4</w:t>
            </w:r>
          </w:p>
        </w:tc>
        <w:tc>
          <w:tcPr>
            <w:tcW w:w="431" w:type="pct"/>
          </w:tcPr>
          <w:p w:rsidR="008E273C" w:rsidRDefault="008E273C" w:rsidP="00F708F0">
            <w:pPr>
              <w:pStyle w:val="BodyText"/>
            </w:pPr>
            <w:r>
              <w:t>13</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13</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17</w:t>
            </w:r>
          </w:p>
        </w:tc>
      </w:tr>
      <w:tr w:rsidR="008E273C" w:rsidTr="00F708F0">
        <w:trPr>
          <w:trHeight w:val="376"/>
        </w:trPr>
        <w:tc>
          <w:tcPr>
            <w:tcW w:w="650" w:type="pct"/>
          </w:tcPr>
          <w:p w:rsidR="008E273C" w:rsidRDefault="008E273C" w:rsidP="00F708F0">
            <w:pPr>
              <w:pStyle w:val="BodyText"/>
            </w:pPr>
            <w:r>
              <w:t>APS 3</w:t>
            </w:r>
          </w:p>
        </w:tc>
        <w:tc>
          <w:tcPr>
            <w:tcW w:w="431" w:type="pct"/>
          </w:tcPr>
          <w:p w:rsidR="008E273C" w:rsidRDefault="008E273C" w:rsidP="00F708F0">
            <w:pPr>
              <w:pStyle w:val="BodyText"/>
            </w:pPr>
            <w:r>
              <w:t>151</w:t>
            </w:r>
          </w:p>
        </w:tc>
        <w:tc>
          <w:tcPr>
            <w:tcW w:w="431" w:type="pct"/>
          </w:tcPr>
          <w:p w:rsidR="008E273C" w:rsidRDefault="008E273C" w:rsidP="00F708F0">
            <w:pPr>
              <w:pStyle w:val="BodyText"/>
            </w:pPr>
            <w:r>
              <w:t>539</w:t>
            </w:r>
          </w:p>
        </w:tc>
        <w:tc>
          <w:tcPr>
            <w:tcW w:w="431" w:type="pct"/>
          </w:tcPr>
          <w:p w:rsidR="008E273C" w:rsidRDefault="008E273C" w:rsidP="00F708F0">
            <w:pPr>
              <w:pStyle w:val="BodyText"/>
            </w:pPr>
            <w:r>
              <w:t>690</w:t>
            </w:r>
          </w:p>
        </w:tc>
        <w:tc>
          <w:tcPr>
            <w:tcW w:w="431" w:type="pct"/>
          </w:tcPr>
          <w:p w:rsidR="008E273C" w:rsidRDefault="008E273C" w:rsidP="00F708F0">
            <w:pPr>
              <w:pStyle w:val="BodyText"/>
            </w:pPr>
            <w:r>
              <w:t>261</w:t>
            </w:r>
          </w:p>
        </w:tc>
        <w:tc>
          <w:tcPr>
            <w:tcW w:w="431" w:type="pct"/>
          </w:tcPr>
          <w:p w:rsidR="008E273C" w:rsidRDefault="008E273C" w:rsidP="00F708F0">
            <w:pPr>
              <w:pStyle w:val="BodyText"/>
            </w:pPr>
            <w:r>
              <w:t>1,460</w:t>
            </w:r>
          </w:p>
        </w:tc>
        <w:tc>
          <w:tcPr>
            <w:tcW w:w="431" w:type="pct"/>
          </w:tcPr>
          <w:p w:rsidR="008E273C" w:rsidRDefault="008E273C" w:rsidP="00F708F0">
            <w:pPr>
              <w:pStyle w:val="BodyText"/>
            </w:pPr>
            <w:r>
              <w:t>1,721</w:t>
            </w:r>
          </w:p>
        </w:tc>
        <w:tc>
          <w:tcPr>
            <w:tcW w:w="431" w:type="pct"/>
          </w:tcPr>
          <w:p w:rsidR="008E273C" w:rsidRDefault="008E273C" w:rsidP="00F708F0">
            <w:pPr>
              <w:pStyle w:val="BodyText"/>
            </w:pPr>
            <w:r>
              <w:t>11</w:t>
            </w:r>
          </w:p>
        </w:tc>
        <w:tc>
          <w:tcPr>
            <w:tcW w:w="431" w:type="pct"/>
          </w:tcPr>
          <w:p w:rsidR="008E273C" w:rsidRDefault="008E273C" w:rsidP="00F708F0">
            <w:pPr>
              <w:pStyle w:val="BodyText"/>
            </w:pPr>
            <w:r>
              <w:t>10</w:t>
            </w:r>
          </w:p>
        </w:tc>
        <w:tc>
          <w:tcPr>
            <w:tcW w:w="538" w:type="pct"/>
          </w:tcPr>
          <w:p w:rsidR="008E273C" w:rsidRDefault="008E273C" w:rsidP="00F708F0">
            <w:pPr>
              <w:pStyle w:val="BodyText"/>
            </w:pPr>
            <w:r>
              <w:t>21</w:t>
            </w:r>
          </w:p>
        </w:tc>
        <w:tc>
          <w:tcPr>
            <w:tcW w:w="362" w:type="pct"/>
          </w:tcPr>
          <w:p w:rsidR="008E273C" w:rsidRDefault="008E273C" w:rsidP="00F708F0">
            <w:pPr>
              <w:pStyle w:val="BodyText"/>
            </w:pPr>
            <w:r>
              <w:rPr>
                <w:rStyle w:val="01bodybold"/>
              </w:rPr>
              <w:t>2,432</w:t>
            </w:r>
          </w:p>
        </w:tc>
      </w:tr>
      <w:tr w:rsidR="008E273C" w:rsidTr="00F708F0">
        <w:trPr>
          <w:trHeight w:val="60"/>
        </w:trPr>
        <w:tc>
          <w:tcPr>
            <w:tcW w:w="650" w:type="pct"/>
          </w:tcPr>
          <w:p w:rsidR="008E273C" w:rsidRDefault="008E273C" w:rsidP="00F708F0">
            <w:pPr>
              <w:pStyle w:val="BodyText"/>
            </w:pPr>
            <w:r>
              <w:t>APS 2</w:t>
            </w:r>
          </w:p>
        </w:tc>
        <w:tc>
          <w:tcPr>
            <w:tcW w:w="431" w:type="pct"/>
          </w:tcPr>
          <w:p w:rsidR="008E273C" w:rsidRDefault="008E273C" w:rsidP="00F708F0">
            <w:pPr>
              <w:pStyle w:val="BodyText"/>
            </w:pPr>
            <w:r>
              <w:t>7</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7</w:t>
            </w:r>
          </w:p>
        </w:tc>
        <w:tc>
          <w:tcPr>
            <w:tcW w:w="431" w:type="pct"/>
          </w:tcPr>
          <w:p w:rsidR="008E273C" w:rsidRDefault="008E273C" w:rsidP="00F708F0">
            <w:pPr>
              <w:pStyle w:val="BodyText"/>
            </w:pPr>
            <w:r>
              <w:t>15</w:t>
            </w:r>
          </w:p>
        </w:tc>
        <w:tc>
          <w:tcPr>
            <w:tcW w:w="431" w:type="pct"/>
          </w:tcPr>
          <w:p w:rsidR="008E273C" w:rsidRDefault="008E273C" w:rsidP="00F708F0">
            <w:pPr>
              <w:pStyle w:val="BodyText"/>
            </w:pPr>
            <w:r>
              <w:t>5</w:t>
            </w:r>
          </w:p>
        </w:tc>
        <w:tc>
          <w:tcPr>
            <w:tcW w:w="431" w:type="pct"/>
          </w:tcPr>
          <w:p w:rsidR="008E273C" w:rsidRDefault="008E273C" w:rsidP="00F708F0">
            <w:pPr>
              <w:pStyle w:val="BodyText"/>
            </w:pPr>
            <w:r>
              <w:t>20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27</w:t>
            </w:r>
          </w:p>
        </w:tc>
      </w:tr>
      <w:tr w:rsidR="008E273C" w:rsidTr="00F708F0">
        <w:trPr>
          <w:trHeight w:val="60"/>
        </w:trPr>
        <w:tc>
          <w:tcPr>
            <w:tcW w:w="650" w:type="pct"/>
          </w:tcPr>
          <w:p w:rsidR="008E273C" w:rsidRDefault="008E273C" w:rsidP="00F708F0">
            <w:pPr>
              <w:pStyle w:val="BodyText"/>
            </w:pPr>
            <w:r>
              <w:t>APS 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1</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1</w:t>
            </w:r>
          </w:p>
        </w:tc>
      </w:tr>
      <w:tr w:rsidR="008E273C" w:rsidTr="00F708F0">
        <w:trPr>
          <w:trHeight w:val="60"/>
        </w:trPr>
        <w:tc>
          <w:tcPr>
            <w:tcW w:w="650" w:type="pct"/>
          </w:tcPr>
          <w:p w:rsidR="008E273C" w:rsidRDefault="008E273C" w:rsidP="00F708F0">
            <w:pPr>
              <w:pStyle w:val="BodyText"/>
            </w:pPr>
            <w:r>
              <w:t>Other</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431" w:type="pct"/>
          </w:tcPr>
          <w:p w:rsidR="008E273C" w:rsidRDefault="008E273C" w:rsidP="00F708F0">
            <w:pPr>
              <w:pStyle w:val="BodyText"/>
            </w:pPr>
            <w:r>
              <w:t>0</w:t>
            </w:r>
          </w:p>
        </w:tc>
        <w:tc>
          <w:tcPr>
            <w:tcW w:w="538" w:type="pct"/>
          </w:tcPr>
          <w:p w:rsidR="008E273C" w:rsidRDefault="008E273C" w:rsidP="00F708F0">
            <w:pPr>
              <w:pStyle w:val="BodyText"/>
            </w:pPr>
            <w:r>
              <w:t>0</w:t>
            </w:r>
          </w:p>
        </w:tc>
        <w:tc>
          <w:tcPr>
            <w:tcW w:w="362" w:type="pct"/>
          </w:tcPr>
          <w:p w:rsidR="008E273C" w:rsidRDefault="008E273C" w:rsidP="00F708F0">
            <w:pPr>
              <w:pStyle w:val="BodyText"/>
            </w:pPr>
            <w:r>
              <w:rPr>
                <w:rStyle w:val="01bodybold"/>
              </w:rPr>
              <w:t>0</w:t>
            </w:r>
          </w:p>
        </w:tc>
      </w:tr>
      <w:tr w:rsidR="008E273C" w:rsidTr="00F708F0">
        <w:trPr>
          <w:trHeight w:val="60"/>
        </w:trPr>
        <w:tc>
          <w:tcPr>
            <w:tcW w:w="650" w:type="pct"/>
          </w:tcPr>
          <w:p w:rsidR="008E273C" w:rsidRDefault="008E273C" w:rsidP="00F708F0">
            <w:pPr>
              <w:pStyle w:val="BodyText"/>
            </w:pPr>
            <w:r>
              <w:rPr>
                <w:rStyle w:val="Bold"/>
              </w:rPr>
              <w:t>Total</w:t>
            </w:r>
          </w:p>
        </w:tc>
        <w:tc>
          <w:tcPr>
            <w:tcW w:w="431" w:type="pct"/>
          </w:tcPr>
          <w:p w:rsidR="008E273C" w:rsidRDefault="008E273C" w:rsidP="00F708F0">
            <w:pPr>
              <w:pStyle w:val="BodyText"/>
            </w:pPr>
            <w:r>
              <w:rPr>
                <w:rStyle w:val="Bold"/>
              </w:rPr>
              <w:t>166</w:t>
            </w:r>
          </w:p>
        </w:tc>
        <w:tc>
          <w:tcPr>
            <w:tcW w:w="431" w:type="pct"/>
          </w:tcPr>
          <w:p w:rsidR="008E273C" w:rsidRDefault="008E273C" w:rsidP="00F708F0">
            <w:pPr>
              <w:pStyle w:val="BodyText"/>
            </w:pPr>
            <w:r>
              <w:rPr>
                <w:rStyle w:val="Bold"/>
              </w:rPr>
              <w:t>545</w:t>
            </w:r>
          </w:p>
        </w:tc>
        <w:tc>
          <w:tcPr>
            <w:tcW w:w="431" w:type="pct"/>
          </w:tcPr>
          <w:p w:rsidR="008E273C" w:rsidRDefault="008E273C" w:rsidP="00F708F0">
            <w:pPr>
              <w:pStyle w:val="BodyText"/>
            </w:pPr>
            <w:r>
              <w:rPr>
                <w:rStyle w:val="Bold"/>
              </w:rPr>
              <w:t>711</w:t>
            </w:r>
          </w:p>
        </w:tc>
        <w:tc>
          <w:tcPr>
            <w:tcW w:w="431" w:type="pct"/>
          </w:tcPr>
          <w:p w:rsidR="008E273C" w:rsidRDefault="008E273C" w:rsidP="00F708F0">
            <w:pPr>
              <w:pStyle w:val="BodyText"/>
            </w:pPr>
            <w:r>
              <w:rPr>
                <w:rStyle w:val="Bold"/>
              </w:rPr>
              <w:t>301</w:t>
            </w:r>
          </w:p>
        </w:tc>
        <w:tc>
          <w:tcPr>
            <w:tcW w:w="431" w:type="pct"/>
          </w:tcPr>
          <w:p w:rsidR="008E273C" w:rsidRDefault="008E273C" w:rsidP="00F708F0">
            <w:pPr>
              <w:pStyle w:val="BodyText"/>
            </w:pPr>
            <w:r>
              <w:rPr>
                <w:rStyle w:val="Bold"/>
              </w:rPr>
              <w:t>1,470</w:t>
            </w:r>
          </w:p>
        </w:tc>
        <w:tc>
          <w:tcPr>
            <w:tcW w:w="431" w:type="pct"/>
          </w:tcPr>
          <w:p w:rsidR="008E273C" w:rsidRDefault="008E273C" w:rsidP="00F708F0">
            <w:pPr>
              <w:pStyle w:val="BodyText"/>
            </w:pPr>
            <w:r>
              <w:rPr>
                <w:rStyle w:val="Bold"/>
              </w:rPr>
              <w:t>1,771</w:t>
            </w:r>
          </w:p>
        </w:tc>
        <w:tc>
          <w:tcPr>
            <w:tcW w:w="431" w:type="pct"/>
          </w:tcPr>
          <w:p w:rsidR="008E273C" w:rsidRDefault="008E273C" w:rsidP="00F708F0">
            <w:pPr>
              <w:pStyle w:val="BodyText"/>
            </w:pPr>
            <w:r>
              <w:rPr>
                <w:rStyle w:val="Bold"/>
              </w:rPr>
              <w:t>11</w:t>
            </w:r>
          </w:p>
        </w:tc>
        <w:tc>
          <w:tcPr>
            <w:tcW w:w="431" w:type="pct"/>
          </w:tcPr>
          <w:p w:rsidR="008E273C" w:rsidRDefault="008E273C" w:rsidP="00F708F0">
            <w:pPr>
              <w:pStyle w:val="BodyText"/>
            </w:pPr>
            <w:r>
              <w:rPr>
                <w:rStyle w:val="Bold"/>
              </w:rPr>
              <w:t>10</w:t>
            </w:r>
          </w:p>
        </w:tc>
        <w:tc>
          <w:tcPr>
            <w:tcW w:w="538" w:type="pct"/>
          </w:tcPr>
          <w:p w:rsidR="008E273C" w:rsidRDefault="008E273C" w:rsidP="00F708F0">
            <w:pPr>
              <w:pStyle w:val="BodyText"/>
            </w:pPr>
            <w:r>
              <w:rPr>
                <w:rStyle w:val="Bold"/>
              </w:rPr>
              <w:t>21</w:t>
            </w:r>
          </w:p>
        </w:tc>
        <w:tc>
          <w:tcPr>
            <w:tcW w:w="362" w:type="pct"/>
          </w:tcPr>
          <w:p w:rsidR="008E273C" w:rsidRDefault="008E273C" w:rsidP="00F708F0">
            <w:pPr>
              <w:pStyle w:val="BodyText"/>
            </w:pPr>
            <w:r>
              <w:rPr>
                <w:rStyle w:val="Bold"/>
              </w:rPr>
              <w:t>2,503</w:t>
            </w:r>
          </w:p>
        </w:tc>
      </w:tr>
    </w:tbl>
    <w:p w:rsidR="008E273C" w:rsidRDefault="00F708F0" w:rsidP="00F708F0">
      <w:pPr>
        <w:pStyle w:val="BodyText"/>
      </w:pPr>
      <w:r>
        <w:t xml:space="preserve">(a) </w:t>
      </w:r>
      <w:r w:rsidR="008E273C">
        <w:t>Non-ongoing employees includes irregular/intermittent staff.</w:t>
      </w:r>
    </w:p>
    <w:p w:rsidR="008E273C" w:rsidRPr="00F708F0" w:rsidRDefault="00F708F0" w:rsidP="00F708F0">
      <w:pPr>
        <w:pStyle w:val="BodyText"/>
        <w:rPr>
          <w:b/>
        </w:rPr>
      </w:pPr>
      <w:r w:rsidRPr="00F708F0">
        <w:rPr>
          <w:b/>
        </w:rPr>
        <w:t>Table 66:</w:t>
      </w:r>
      <w:r w:rsidR="008E273C" w:rsidRPr="00F708F0">
        <w:rPr>
          <w:b/>
        </w:rPr>
        <w:t xml:space="preserve"> Australian Public Service Act by full-time and part-time status at 30 June 2020</w:t>
      </w:r>
    </w:p>
    <w:tbl>
      <w:tblPr>
        <w:tblStyle w:val="TableGrid"/>
        <w:tblW w:w="5000" w:type="pct"/>
        <w:tblLook w:val="0000" w:firstRow="0" w:lastRow="0" w:firstColumn="0" w:lastColumn="0" w:noHBand="0" w:noVBand="0"/>
        <w:tblCaption w:val="Table 66: Australian Public Service Act by full-time and part-time status at 30 June 2020"/>
        <w:tblDescription w:val="Table 66: Australian Public Service Act by full-time and part-time status at 30 June 2020"/>
      </w:tblPr>
      <w:tblGrid>
        <w:gridCol w:w="1737"/>
        <w:gridCol w:w="1337"/>
        <w:gridCol w:w="1337"/>
        <w:gridCol w:w="1338"/>
        <w:gridCol w:w="1338"/>
        <w:gridCol w:w="1338"/>
        <w:gridCol w:w="1338"/>
        <w:gridCol w:w="1333"/>
      </w:tblGrid>
      <w:tr w:rsidR="008E273C" w:rsidTr="00F708F0">
        <w:trPr>
          <w:trHeight w:val="60"/>
          <w:tblHeader/>
        </w:trPr>
        <w:tc>
          <w:tcPr>
            <w:tcW w:w="725" w:type="pct"/>
          </w:tcPr>
          <w:p w:rsidR="008E273C" w:rsidRDefault="008E273C" w:rsidP="00F708F0">
            <w:pPr>
              <w:pStyle w:val="BodyText"/>
            </w:pPr>
          </w:p>
        </w:tc>
        <w:tc>
          <w:tcPr>
            <w:tcW w:w="1832" w:type="pct"/>
            <w:gridSpan w:val="3"/>
          </w:tcPr>
          <w:p w:rsidR="008E273C" w:rsidRDefault="008E273C" w:rsidP="00F708F0">
            <w:pPr>
              <w:pStyle w:val="BodyText"/>
            </w:pPr>
            <w:r>
              <w:t>Ongoing</w:t>
            </w:r>
          </w:p>
        </w:tc>
        <w:tc>
          <w:tcPr>
            <w:tcW w:w="1832" w:type="pct"/>
            <w:gridSpan w:val="3"/>
          </w:tcPr>
          <w:p w:rsidR="008E273C" w:rsidRDefault="008E273C" w:rsidP="00F708F0">
            <w:pPr>
              <w:pStyle w:val="BodyText"/>
            </w:pPr>
            <w:r>
              <w:t>Non-ongoing</w:t>
            </w:r>
            <w:r>
              <w:rPr>
                <w:vertAlign w:val="superscript"/>
              </w:rPr>
              <w:t>(a)</w:t>
            </w:r>
          </w:p>
        </w:tc>
        <w:tc>
          <w:tcPr>
            <w:tcW w:w="611" w:type="pct"/>
          </w:tcPr>
          <w:p w:rsidR="008E273C" w:rsidRDefault="008E273C" w:rsidP="00F708F0">
            <w:pPr>
              <w:pStyle w:val="BodyText"/>
            </w:pPr>
          </w:p>
        </w:tc>
      </w:tr>
      <w:tr w:rsidR="008E273C" w:rsidTr="00F708F0">
        <w:trPr>
          <w:trHeight w:val="616"/>
          <w:tblHeader/>
        </w:trPr>
        <w:tc>
          <w:tcPr>
            <w:tcW w:w="725" w:type="pct"/>
          </w:tcPr>
          <w:p w:rsidR="008E273C" w:rsidRDefault="008E273C" w:rsidP="00F708F0">
            <w:pPr>
              <w:pStyle w:val="BodyText"/>
            </w:pPr>
            <w:r>
              <w:rPr>
                <w:rStyle w:val="Bold"/>
              </w:rPr>
              <w:t>Substantive classification</w:t>
            </w:r>
          </w:p>
        </w:tc>
        <w:tc>
          <w:tcPr>
            <w:tcW w:w="611" w:type="pct"/>
          </w:tcPr>
          <w:p w:rsidR="008E273C" w:rsidRDefault="008E273C" w:rsidP="00F708F0">
            <w:pPr>
              <w:pStyle w:val="BodyText"/>
            </w:pPr>
            <w:r>
              <w:rPr>
                <w:rStyle w:val="Bold"/>
              </w:rPr>
              <w:t>Full-time</w:t>
            </w:r>
          </w:p>
        </w:tc>
        <w:tc>
          <w:tcPr>
            <w:tcW w:w="611" w:type="pct"/>
          </w:tcPr>
          <w:p w:rsidR="008E273C" w:rsidRDefault="008E273C" w:rsidP="00F708F0">
            <w:pPr>
              <w:pStyle w:val="BodyText"/>
            </w:pPr>
            <w:r>
              <w:rPr>
                <w:rStyle w:val="Bold"/>
              </w:rPr>
              <w:t>Part-time</w:t>
            </w:r>
          </w:p>
        </w:tc>
        <w:tc>
          <w:tcPr>
            <w:tcW w:w="611" w:type="pct"/>
          </w:tcPr>
          <w:p w:rsidR="008E273C" w:rsidRDefault="00AC4959" w:rsidP="00F708F0">
            <w:pPr>
              <w:pStyle w:val="BodyText"/>
            </w:pPr>
            <w:r>
              <w:rPr>
                <w:rStyle w:val="Bold"/>
              </w:rPr>
              <w:t>Total ongoing</w:t>
            </w:r>
          </w:p>
        </w:tc>
        <w:tc>
          <w:tcPr>
            <w:tcW w:w="611" w:type="pct"/>
          </w:tcPr>
          <w:p w:rsidR="008E273C" w:rsidRDefault="008E273C" w:rsidP="00F708F0">
            <w:pPr>
              <w:pStyle w:val="BodyText"/>
            </w:pPr>
            <w:r>
              <w:rPr>
                <w:rStyle w:val="Bold"/>
              </w:rPr>
              <w:t>Full-time</w:t>
            </w:r>
          </w:p>
        </w:tc>
        <w:tc>
          <w:tcPr>
            <w:tcW w:w="611" w:type="pct"/>
          </w:tcPr>
          <w:p w:rsidR="008E273C" w:rsidRDefault="008E273C" w:rsidP="00F708F0">
            <w:pPr>
              <w:pStyle w:val="BodyText"/>
            </w:pPr>
            <w:r>
              <w:rPr>
                <w:rStyle w:val="Bold"/>
              </w:rPr>
              <w:t>Part-time</w:t>
            </w:r>
          </w:p>
        </w:tc>
        <w:tc>
          <w:tcPr>
            <w:tcW w:w="611" w:type="pct"/>
          </w:tcPr>
          <w:p w:rsidR="008E273C" w:rsidRDefault="008E273C" w:rsidP="00F708F0">
            <w:pPr>
              <w:pStyle w:val="BodyText"/>
            </w:pPr>
            <w:r>
              <w:rPr>
                <w:rStyle w:val="Bold"/>
                <w:spacing w:val="-4"/>
              </w:rPr>
              <w:t>Total Non-ongoing</w:t>
            </w:r>
          </w:p>
        </w:tc>
        <w:tc>
          <w:tcPr>
            <w:tcW w:w="611" w:type="pct"/>
          </w:tcPr>
          <w:p w:rsidR="008E273C" w:rsidRDefault="008E273C" w:rsidP="00F708F0">
            <w:pPr>
              <w:pStyle w:val="BodyText"/>
            </w:pPr>
            <w:r>
              <w:rPr>
                <w:rStyle w:val="Bold"/>
              </w:rPr>
              <w:t>Total</w:t>
            </w:r>
          </w:p>
        </w:tc>
      </w:tr>
      <w:tr w:rsidR="008E273C" w:rsidTr="00F708F0">
        <w:trPr>
          <w:trHeight w:val="60"/>
        </w:trPr>
        <w:tc>
          <w:tcPr>
            <w:tcW w:w="725" w:type="pct"/>
          </w:tcPr>
          <w:p w:rsidR="008E273C" w:rsidRDefault="008E273C" w:rsidP="00F708F0">
            <w:pPr>
              <w:pStyle w:val="BodyText"/>
            </w:pPr>
            <w:r>
              <w:t>SES 3</w:t>
            </w:r>
          </w:p>
        </w:tc>
        <w:tc>
          <w:tcPr>
            <w:tcW w:w="611" w:type="pct"/>
          </w:tcPr>
          <w:p w:rsidR="008E273C" w:rsidRDefault="008E273C" w:rsidP="00F708F0">
            <w:pPr>
              <w:pStyle w:val="BodyText"/>
            </w:pPr>
            <w:r>
              <w:t>5</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5</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rPr>
                <w:rStyle w:val="01bodybold"/>
              </w:rPr>
              <w:t>6</w:t>
            </w:r>
          </w:p>
        </w:tc>
      </w:tr>
      <w:tr w:rsidR="008E273C" w:rsidTr="00F708F0">
        <w:trPr>
          <w:trHeight w:val="305"/>
        </w:trPr>
        <w:tc>
          <w:tcPr>
            <w:tcW w:w="725" w:type="pct"/>
          </w:tcPr>
          <w:p w:rsidR="008E273C" w:rsidRDefault="008E273C" w:rsidP="00F708F0">
            <w:pPr>
              <w:pStyle w:val="BodyText"/>
            </w:pPr>
            <w:r>
              <w:t>SES 2</w:t>
            </w:r>
          </w:p>
        </w:tc>
        <w:tc>
          <w:tcPr>
            <w:tcW w:w="611" w:type="pct"/>
          </w:tcPr>
          <w:p w:rsidR="008E273C" w:rsidRDefault="008E273C" w:rsidP="00F708F0">
            <w:pPr>
              <w:pStyle w:val="BodyText"/>
            </w:pPr>
            <w:r>
              <w:t>27</w:t>
            </w:r>
          </w:p>
        </w:tc>
        <w:tc>
          <w:tcPr>
            <w:tcW w:w="611" w:type="pct"/>
          </w:tcPr>
          <w:p w:rsidR="008E273C" w:rsidRDefault="008E273C" w:rsidP="00F708F0">
            <w:pPr>
              <w:pStyle w:val="BodyText"/>
            </w:pPr>
            <w:r>
              <w:t>3</w:t>
            </w:r>
          </w:p>
        </w:tc>
        <w:tc>
          <w:tcPr>
            <w:tcW w:w="611" w:type="pct"/>
          </w:tcPr>
          <w:p w:rsidR="008E273C" w:rsidRDefault="008E273C" w:rsidP="00F708F0">
            <w:pPr>
              <w:pStyle w:val="BodyText"/>
            </w:pPr>
            <w:r>
              <w:t>30</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rPr>
                <w:rStyle w:val="01bodybold"/>
              </w:rPr>
              <w:t>31</w:t>
            </w:r>
          </w:p>
        </w:tc>
      </w:tr>
      <w:tr w:rsidR="008E273C" w:rsidTr="00F708F0">
        <w:trPr>
          <w:trHeight w:val="60"/>
        </w:trPr>
        <w:tc>
          <w:tcPr>
            <w:tcW w:w="725" w:type="pct"/>
          </w:tcPr>
          <w:p w:rsidR="008E273C" w:rsidRDefault="008E273C" w:rsidP="00F708F0">
            <w:pPr>
              <w:pStyle w:val="BodyText"/>
            </w:pPr>
            <w:r>
              <w:t>SES 1</w:t>
            </w:r>
          </w:p>
        </w:tc>
        <w:tc>
          <w:tcPr>
            <w:tcW w:w="611" w:type="pct"/>
          </w:tcPr>
          <w:p w:rsidR="008E273C" w:rsidRDefault="008E273C" w:rsidP="00F708F0">
            <w:pPr>
              <w:pStyle w:val="BodyText"/>
            </w:pPr>
            <w:r>
              <w:t>106</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107</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rPr>
                <w:rStyle w:val="01bodybold"/>
              </w:rPr>
              <w:t>107</w:t>
            </w:r>
          </w:p>
        </w:tc>
      </w:tr>
      <w:tr w:rsidR="008E273C" w:rsidTr="00F708F0">
        <w:trPr>
          <w:trHeight w:val="60"/>
        </w:trPr>
        <w:tc>
          <w:tcPr>
            <w:tcW w:w="725" w:type="pct"/>
          </w:tcPr>
          <w:p w:rsidR="008E273C" w:rsidRDefault="008E273C" w:rsidP="00F708F0">
            <w:pPr>
              <w:pStyle w:val="BodyText"/>
            </w:pPr>
            <w:r>
              <w:t>EL 2</w:t>
            </w:r>
          </w:p>
        </w:tc>
        <w:tc>
          <w:tcPr>
            <w:tcW w:w="611" w:type="pct"/>
          </w:tcPr>
          <w:p w:rsidR="008E273C" w:rsidRDefault="008E273C" w:rsidP="00F708F0">
            <w:pPr>
              <w:pStyle w:val="BodyText"/>
            </w:pPr>
            <w:r>
              <w:t>786</w:t>
            </w:r>
          </w:p>
        </w:tc>
        <w:tc>
          <w:tcPr>
            <w:tcW w:w="611" w:type="pct"/>
          </w:tcPr>
          <w:p w:rsidR="008E273C" w:rsidRDefault="008E273C" w:rsidP="00F708F0">
            <w:pPr>
              <w:pStyle w:val="BodyText"/>
            </w:pPr>
            <w:r>
              <w:t>56</w:t>
            </w:r>
          </w:p>
        </w:tc>
        <w:tc>
          <w:tcPr>
            <w:tcW w:w="611" w:type="pct"/>
          </w:tcPr>
          <w:p w:rsidR="008E273C" w:rsidRDefault="008E273C" w:rsidP="00F708F0">
            <w:pPr>
              <w:pStyle w:val="BodyText"/>
            </w:pPr>
            <w:r>
              <w:t>842</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2</w:t>
            </w:r>
          </w:p>
        </w:tc>
        <w:tc>
          <w:tcPr>
            <w:tcW w:w="611" w:type="pct"/>
          </w:tcPr>
          <w:p w:rsidR="008E273C" w:rsidRDefault="008E273C" w:rsidP="00F708F0">
            <w:pPr>
              <w:pStyle w:val="BodyText"/>
            </w:pPr>
            <w:r>
              <w:rPr>
                <w:rStyle w:val="01bodybold"/>
              </w:rPr>
              <w:t>844</w:t>
            </w:r>
          </w:p>
        </w:tc>
      </w:tr>
      <w:tr w:rsidR="008E273C" w:rsidTr="00F708F0">
        <w:trPr>
          <w:trHeight w:val="60"/>
        </w:trPr>
        <w:tc>
          <w:tcPr>
            <w:tcW w:w="725" w:type="pct"/>
          </w:tcPr>
          <w:p w:rsidR="008E273C" w:rsidRDefault="008E273C" w:rsidP="00F708F0">
            <w:pPr>
              <w:pStyle w:val="BodyText"/>
            </w:pPr>
            <w:r>
              <w:t>EL 1</w:t>
            </w:r>
          </w:p>
        </w:tc>
        <w:tc>
          <w:tcPr>
            <w:tcW w:w="611" w:type="pct"/>
          </w:tcPr>
          <w:p w:rsidR="008E273C" w:rsidRDefault="008E273C" w:rsidP="00F708F0">
            <w:pPr>
              <w:pStyle w:val="BodyText"/>
            </w:pPr>
            <w:r>
              <w:t>2,209</w:t>
            </w:r>
          </w:p>
        </w:tc>
        <w:tc>
          <w:tcPr>
            <w:tcW w:w="611" w:type="pct"/>
          </w:tcPr>
          <w:p w:rsidR="008E273C" w:rsidRDefault="008E273C" w:rsidP="00F708F0">
            <w:pPr>
              <w:pStyle w:val="BodyText"/>
            </w:pPr>
            <w:r>
              <w:t>321</w:t>
            </w:r>
          </w:p>
        </w:tc>
        <w:tc>
          <w:tcPr>
            <w:tcW w:w="611" w:type="pct"/>
          </w:tcPr>
          <w:p w:rsidR="008E273C" w:rsidRDefault="008E273C" w:rsidP="00F708F0">
            <w:pPr>
              <w:pStyle w:val="BodyText"/>
            </w:pPr>
            <w:r>
              <w:t>2,530</w:t>
            </w:r>
          </w:p>
        </w:tc>
        <w:tc>
          <w:tcPr>
            <w:tcW w:w="611" w:type="pct"/>
          </w:tcPr>
          <w:p w:rsidR="008E273C" w:rsidRDefault="008E273C" w:rsidP="00F708F0">
            <w:pPr>
              <w:pStyle w:val="BodyText"/>
            </w:pPr>
            <w:r>
              <w:t>7</w:t>
            </w:r>
          </w:p>
        </w:tc>
        <w:tc>
          <w:tcPr>
            <w:tcW w:w="611" w:type="pct"/>
          </w:tcPr>
          <w:p w:rsidR="008E273C" w:rsidRDefault="008E273C" w:rsidP="00F708F0">
            <w:pPr>
              <w:pStyle w:val="BodyText"/>
            </w:pPr>
            <w:r>
              <w:t>5</w:t>
            </w:r>
          </w:p>
        </w:tc>
        <w:tc>
          <w:tcPr>
            <w:tcW w:w="611" w:type="pct"/>
          </w:tcPr>
          <w:p w:rsidR="008E273C" w:rsidRDefault="008E273C" w:rsidP="00F708F0">
            <w:pPr>
              <w:pStyle w:val="BodyText"/>
            </w:pPr>
            <w:r>
              <w:t>12</w:t>
            </w:r>
          </w:p>
        </w:tc>
        <w:tc>
          <w:tcPr>
            <w:tcW w:w="611" w:type="pct"/>
          </w:tcPr>
          <w:p w:rsidR="008E273C" w:rsidRDefault="008E273C" w:rsidP="00F708F0">
            <w:pPr>
              <w:pStyle w:val="BodyText"/>
            </w:pPr>
            <w:r>
              <w:rPr>
                <w:rStyle w:val="01bodybold"/>
              </w:rPr>
              <w:t>2,542</w:t>
            </w:r>
          </w:p>
        </w:tc>
      </w:tr>
      <w:tr w:rsidR="008E273C" w:rsidTr="00F708F0">
        <w:trPr>
          <w:trHeight w:val="60"/>
        </w:trPr>
        <w:tc>
          <w:tcPr>
            <w:tcW w:w="725" w:type="pct"/>
          </w:tcPr>
          <w:p w:rsidR="008E273C" w:rsidRDefault="008E273C" w:rsidP="00F708F0">
            <w:pPr>
              <w:pStyle w:val="BodyText"/>
            </w:pPr>
            <w:r>
              <w:t>APS 6</w:t>
            </w:r>
          </w:p>
        </w:tc>
        <w:tc>
          <w:tcPr>
            <w:tcW w:w="611" w:type="pct"/>
          </w:tcPr>
          <w:p w:rsidR="008E273C" w:rsidRDefault="008E273C" w:rsidP="00F708F0">
            <w:pPr>
              <w:pStyle w:val="BodyText"/>
            </w:pPr>
            <w:r>
              <w:t>4,183</w:t>
            </w:r>
          </w:p>
        </w:tc>
        <w:tc>
          <w:tcPr>
            <w:tcW w:w="611" w:type="pct"/>
          </w:tcPr>
          <w:p w:rsidR="008E273C" w:rsidRDefault="008E273C" w:rsidP="00F708F0">
            <w:pPr>
              <w:pStyle w:val="BodyText"/>
            </w:pPr>
            <w:r>
              <w:t>1,274</w:t>
            </w:r>
          </w:p>
        </w:tc>
        <w:tc>
          <w:tcPr>
            <w:tcW w:w="611" w:type="pct"/>
          </w:tcPr>
          <w:p w:rsidR="008E273C" w:rsidRDefault="008E273C" w:rsidP="00F708F0">
            <w:pPr>
              <w:pStyle w:val="BodyText"/>
            </w:pPr>
            <w:r>
              <w:t>5,457</w:t>
            </w:r>
          </w:p>
        </w:tc>
        <w:tc>
          <w:tcPr>
            <w:tcW w:w="611" w:type="pct"/>
          </w:tcPr>
          <w:p w:rsidR="008E273C" w:rsidRDefault="008E273C" w:rsidP="00F708F0">
            <w:pPr>
              <w:pStyle w:val="BodyText"/>
            </w:pPr>
            <w:r>
              <w:t>9</w:t>
            </w:r>
          </w:p>
        </w:tc>
        <w:tc>
          <w:tcPr>
            <w:tcW w:w="611" w:type="pct"/>
          </w:tcPr>
          <w:p w:rsidR="008E273C" w:rsidRDefault="008E273C" w:rsidP="00F708F0">
            <w:pPr>
              <w:pStyle w:val="BodyText"/>
            </w:pPr>
            <w:r>
              <w:t>8</w:t>
            </w:r>
          </w:p>
        </w:tc>
        <w:tc>
          <w:tcPr>
            <w:tcW w:w="611" w:type="pct"/>
          </w:tcPr>
          <w:p w:rsidR="008E273C" w:rsidRDefault="008E273C" w:rsidP="00F708F0">
            <w:pPr>
              <w:pStyle w:val="BodyText"/>
            </w:pPr>
            <w:r>
              <w:t>17</w:t>
            </w:r>
          </w:p>
        </w:tc>
        <w:tc>
          <w:tcPr>
            <w:tcW w:w="611" w:type="pct"/>
          </w:tcPr>
          <w:p w:rsidR="008E273C" w:rsidRDefault="008E273C" w:rsidP="00F708F0">
            <w:pPr>
              <w:pStyle w:val="BodyText"/>
            </w:pPr>
            <w:r>
              <w:rPr>
                <w:rStyle w:val="01bodybold"/>
              </w:rPr>
              <w:t>5,474</w:t>
            </w:r>
          </w:p>
        </w:tc>
      </w:tr>
      <w:tr w:rsidR="008E273C" w:rsidTr="00F708F0">
        <w:trPr>
          <w:trHeight w:val="60"/>
        </w:trPr>
        <w:tc>
          <w:tcPr>
            <w:tcW w:w="725" w:type="pct"/>
          </w:tcPr>
          <w:p w:rsidR="008E273C" w:rsidRDefault="008E273C" w:rsidP="00F708F0">
            <w:pPr>
              <w:pStyle w:val="BodyText"/>
            </w:pPr>
            <w:r>
              <w:t>APS 5</w:t>
            </w:r>
          </w:p>
        </w:tc>
        <w:tc>
          <w:tcPr>
            <w:tcW w:w="611" w:type="pct"/>
          </w:tcPr>
          <w:p w:rsidR="008E273C" w:rsidRDefault="008E273C" w:rsidP="00F708F0">
            <w:pPr>
              <w:pStyle w:val="BodyText"/>
            </w:pPr>
            <w:r>
              <w:t>2,774</w:t>
            </w:r>
          </w:p>
        </w:tc>
        <w:tc>
          <w:tcPr>
            <w:tcW w:w="611" w:type="pct"/>
          </w:tcPr>
          <w:p w:rsidR="008E273C" w:rsidRDefault="008E273C" w:rsidP="00F708F0">
            <w:pPr>
              <w:pStyle w:val="BodyText"/>
            </w:pPr>
            <w:r>
              <w:t>627</w:t>
            </w:r>
          </w:p>
        </w:tc>
        <w:tc>
          <w:tcPr>
            <w:tcW w:w="611" w:type="pct"/>
          </w:tcPr>
          <w:p w:rsidR="008E273C" w:rsidRDefault="008E273C" w:rsidP="00F708F0">
            <w:pPr>
              <w:pStyle w:val="BodyText"/>
            </w:pPr>
            <w:r>
              <w:t>3,401</w:t>
            </w:r>
          </w:p>
        </w:tc>
        <w:tc>
          <w:tcPr>
            <w:tcW w:w="611" w:type="pct"/>
          </w:tcPr>
          <w:p w:rsidR="008E273C" w:rsidRDefault="008E273C" w:rsidP="00F708F0">
            <w:pPr>
              <w:pStyle w:val="BodyText"/>
            </w:pPr>
            <w:r>
              <w:t>16</w:t>
            </w:r>
          </w:p>
        </w:tc>
        <w:tc>
          <w:tcPr>
            <w:tcW w:w="611" w:type="pct"/>
          </w:tcPr>
          <w:p w:rsidR="008E273C" w:rsidRDefault="008E273C" w:rsidP="00F708F0">
            <w:pPr>
              <w:pStyle w:val="BodyText"/>
            </w:pPr>
            <w:r>
              <w:t>19</w:t>
            </w:r>
          </w:p>
        </w:tc>
        <w:tc>
          <w:tcPr>
            <w:tcW w:w="611" w:type="pct"/>
          </w:tcPr>
          <w:p w:rsidR="008E273C" w:rsidRDefault="008E273C" w:rsidP="00F708F0">
            <w:pPr>
              <w:pStyle w:val="BodyText"/>
            </w:pPr>
            <w:r>
              <w:t>35</w:t>
            </w:r>
          </w:p>
        </w:tc>
        <w:tc>
          <w:tcPr>
            <w:tcW w:w="611" w:type="pct"/>
          </w:tcPr>
          <w:p w:rsidR="008E273C" w:rsidRDefault="008E273C" w:rsidP="00F708F0">
            <w:pPr>
              <w:pStyle w:val="BodyText"/>
            </w:pPr>
            <w:r>
              <w:rPr>
                <w:rStyle w:val="01bodybold"/>
              </w:rPr>
              <w:t>3,436</w:t>
            </w:r>
          </w:p>
        </w:tc>
      </w:tr>
      <w:tr w:rsidR="008E273C" w:rsidTr="00F708F0">
        <w:trPr>
          <w:trHeight w:val="60"/>
        </w:trPr>
        <w:tc>
          <w:tcPr>
            <w:tcW w:w="725" w:type="pct"/>
          </w:tcPr>
          <w:p w:rsidR="008E273C" w:rsidRDefault="008E273C" w:rsidP="00F708F0">
            <w:pPr>
              <w:pStyle w:val="BodyText"/>
            </w:pPr>
            <w:r>
              <w:t>APS 4</w:t>
            </w:r>
          </w:p>
        </w:tc>
        <w:tc>
          <w:tcPr>
            <w:tcW w:w="611" w:type="pct"/>
          </w:tcPr>
          <w:p w:rsidR="008E273C" w:rsidRDefault="008E273C" w:rsidP="00F708F0">
            <w:pPr>
              <w:pStyle w:val="BodyText"/>
            </w:pPr>
            <w:r>
              <w:t>7,465</w:t>
            </w:r>
          </w:p>
        </w:tc>
        <w:tc>
          <w:tcPr>
            <w:tcW w:w="611" w:type="pct"/>
          </w:tcPr>
          <w:p w:rsidR="008E273C" w:rsidRDefault="008E273C" w:rsidP="00F708F0">
            <w:pPr>
              <w:pStyle w:val="BodyText"/>
            </w:pPr>
            <w:r>
              <w:t>4,404</w:t>
            </w:r>
          </w:p>
        </w:tc>
        <w:tc>
          <w:tcPr>
            <w:tcW w:w="611" w:type="pct"/>
          </w:tcPr>
          <w:p w:rsidR="008E273C" w:rsidRDefault="008E273C" w:rsidP="00F708F0">
            <w:pPr>
              <w:pStyle w:val="BodyText"/>
            </w:pPr>
            <w:r>
              <w:t>11,869</w:t>
            </w:r>
          </w:p>
        </w:tc>
        <w:tc>
          <w:tcPr>
            <w:tcW w:w="611" w:type="pct"/>
          </w:tcPr>
          <w:p w:rsidR="008E273C" w:rsidRDefault="008E273C" w:rsidP="00F708F0">
            <w:pPr>
              <w:pStyle w:val="BodyText"/>
            </w:pPr>
            <w:r>
              <w:t>43</w:t>
            </w:r>
          </w:p>
        </w:tc>
        <w:tc>
          <w:tcPr>
            <w:tcW w:w="611" w:type="pct"/>
          </w:tcPr>
          <w:p w:rsidR="008E273C" w:rsidRDefault="008E273C" w:rsidP="00F708F0">
            <w:pPr>
              <w:pStyle w:val="BodyText"/>
            </w:pPr>
            <w:r>
              <w:t>218</w:t>
            </w:r>
          </w:p>
        </w:tc>
        <w:tc>
          <w:tcPr>
            <w:tcW w:w="611" w:type="pct"/>
          </w:tcPr>
          <w:p w:rsidR="008E273C" w:rsidRDefault="008E273C" w:rsidP="00F708F0">
            <w:pPr>
              <w:pStyle w:val="BodyText"/>
            </w:pPr>
            <w:r>
              <w:t>261</w:t>
            </w:r>
          </w:p>
        </w:tc>
        <w:tc>
          <w:tcPr>
            <w:tcW w:w="611" w:type="pct"/>
          </w:tcPr>
          <w:p w:rsidR="008E273C" w:rsidRDefault="008E273C" w:rsidP="00F708F0">
            <w:pPr>
              <w:pStyle w:val="BodyText"/>
            </w:pPr>
            <w:r>
              <w:rPr>
                <w:rStyle w:val="01bodybold"/>
              </w:rPr>
              <w:t>12,130</w:t>
            </w:r>
          </w:p>
        </w:tc>
      </w:tr>
      <w:tr w:rsidR="008E273C" w:rsidTr="00F708F0">
        <w:trPr>
          <w:trHeight w:val="376"/>
        </w:trPr>
        <w:tc>
          <w:tcPr>
            <w:tcW w:w="725" w:type="pct"/>
          </w:tcPr>
          <w:p w:rsidR="008E273C" w:rsidRDefault="008E273C" w:rsidP="00F708F0">
            <w:pPr>
              <w:pStyle w:val="BodyText"/>
            </w:pPr>
            <w:r>
              <w:lastRenderedPageBreak/>
              <w:t>APS 3</w:t>
            </w:r>
          </w:p>
        </w:tc>
        <w:tc>
          <w:tcPr>
            <w:tcW w:w="611" w:type="pct"/>
          </w:tcPr>
          <w:p w:rsidR="008E273C" w:rsidRDefault="008E273C" w:rsidP="00F708F0">
            <w:pPr>
              <w:pStyle w:val="BodyText"/>
            </w:pPr>
            <w:r>
              <w:t>2,055</w:t>
            </w:r>
          </w:p>
        </w:tc>
        <w:tc>
          <w:tcPr>
            <w:tcW w:w="611" w:type="pct"/>
          </w:tcPr>
          <w:p w:rsidR="008E273C" w:rsidRDefault="008E273C" w:rsidP="00F708F0">
            <w:pPr>
              <w:pStyle w:val="BodyText"/>
            </w:pPr>
            <w:r>
              <w:t>823</w:t>
            </w:r>
          </w:p>
        </w:tc>
        <w:tc>
          <w:tcPr>
            <w:tcW w:w="611" w:type="pct"/>
          </w:tcPr>
          <w:p w:rsidR="008E273C" w:rsidRDefault="008E273C" w:rsidP="00F708F0">
            <w:pPr>
              <w:pStyle w:val="BodyText"/>
            </w:pPr>
            <w:r>
              <w:t>2,878</w:t>
            </w:r>
          </w:p>
        </w:tc>
        <w:tc>
          <w:tcPr>
            <w:tcW w:w="611" w:type="pct"/>
          </w:tcPr>
          <w:p w:rsidR="008E273C" w:rsidRDefault="008E273C" w:rsidP="00F708F0">
            <w:pPr>
              <w:pStyle w:val="BodyText"/>
            </w:pPr>
            <w:r>
              <w:t>667</w:t>
            </w:r>
          </w:p>
        </w:tc>
        <w:tc>
          <w:tcPr>
            <w:tcW w:w="611" w:type="pct"/>
          </w:tcPr>
          <w:p w:rsidR="008E273C" w:rsidRDefault="008E273C" w:rsidP="00F708F0">
            <w:pPr>
              <w:pStyle w:val="BodyText"/>
            </w:pPr>
            <w:r>
              <w:t>3206</w:t>
            </w:r>
          </w:p>
        </w:tc>
        <w:tc>
          <w:tcPr>
            <w:tcW w:w="611" w:type="pct"/>
          </w:tcPr>
          <w:p w:rsidR="008E273C" w:rsidRDefault="008E273C" w:rsidP="00F708F0">
            <w:pPr>
              <w:pStyle w:val="BodyText"/>
            </w:pPr>
            <w:r>
              <w:t>3,873</w:t>
            </w:r>
          </w:p>
        </w:tc>
        <w:tc>
          <w:tcPr>
            <w:tcW w:w="611" w:type="pct"/>
          </w:tcPr>
          <w:p w:rsidR="008E273C" w:rsidRDefault="008E273C" w:rsidP="00F708F0">
            <w:pPr>
              <w:pStyle w:val="BodyText"/>
            </w:pPr>
            <w:r>
              <w:rPr>
                <w:rStyle w:val="01bodybold"/>
              </w:rPr>
              <w:t>6,751</w:t>
            </w:r>
          </w:p>
        </w:tc>
      </w:tr>
      <w:tr w:rsidR="008E273C" w:rsidTr="00F708F0">
        <w:trPr>
          <w:trHeight w:val="60"/>
        </w:trPr>
        <w:tc>
          <w:tcPr>
            <w:tcW w:w="725" w:type="pct"/>
          </w:tcPr>
          <w:p w:rsidR="008E273C" w:rsidRDefault="008E273C" w:rsidP="00F708F0">
            <w:pPr>
              <w:pStyle w:val="BodyText"/>
            </w:pPr>
            <w:r>
              <w:t>APS 2</w:t>
            </w:r>
          </w:p>
        </w:tc>
        <w:tc>
          <w:tcPr>
            <w:tcW w:w="611" w:type="pct"/>
          </w:tcPr>
          <w:p w:rsidR="008E273C" w:rsidRDefault="008E273C" w:rsidP="00F708F0">
            <w:pPr>
              <w:pStyle w:val="BodyText"/>
            </w:pPr>
            <w:r>
              <w:t>60</w:t>
            </w:r>
          </w:p>
        </w:tc>
        <w:tc>
          <w:tcPr>
            <w:tcW w:w="611" w:type="pct"/>
          </w:tcPr>
          <w:p w:rsidR="008E273C" w:rsidRDefault="008E273C" w:rsidP="00F708F0">
            <w:pPr>
              <w:pStyle w:val="BodyText"/>
            </w:pPr>
            <w:r>
              <w:t>19</w:t>
            </w:r>
          </w:p>
        </w:tc>
        <w:tc>
          <w:tcPr>
            <w:tcW w:w="611" w:type="pct"/>
          </w:tcPr>
          <w:p w:rsidR="008E273C" w:rsidRDefault="008E273C" w:rsidP="00F708F0">
            <w:pPr>
              <w:pStyle w:val="BodyText"/>
            </w:pPr>
            <w:r>
              <w:t>79</w:t>
            </w:r>
          </w:p>
        </w:tc>
        <w:tc>
          <w:tcPr>
            <w:tcW w:w="611" w:type="pct"/>
          </w:tcPr>
          <w:p w:rsidR="008E273C" w:rsidRDefault="008E273C" w:rsidP="00F708F0">
            <w:pPr>
              <w:pStyle w:val="BodyText"/>
            </w:pPr>
            <w:r>
              <w:t>2</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2</w:t>
            </w:r>
          </w:p>
        </w:tc>
        <w:tc>
          <w:tcPr>
            <w:tcW w:w="611" w:type="pct"/>
          </w:tcPr>
          <w:p w:rsidR="008E273C" w:rsidRDefault="008E273C" w:rsidP="00F708F0">
            <w:pPr>
              <w:pStyle w:val="BodyText"/>
            </w:pPr>
            <w:r>
              <w:rPr>
                <w:rStyle w:val="01bodybold"/>
              </w:rPr>
              <w:t>81</w:t>
            </w:r>
          </w:p>
        </w:tc>
      </w:tr>
      <w:tr w:rsidR="008E273C" w:rsidTr="00F708F0">
        <w:trPr>
          <w:trHeight w:val="60"/>
        </w:trPr>
        <w:tc>
          <w:tcPr>
            <w:tcW w:w="725" w:type="pct"/>
          </w:tcPr>
          <w:p w:rsidR="008E273C" w:rsidRDefault="008E273C" w:rsidP="00F708F0">
            <w:pPr>
              <w:pStyle w:val="BodyText"/>
            </w:pPr>
            <w:r>
              <w:t>APS 1</w:t>
            </w:r>
          </w:p>
        </w:tc>
        <w:tc>
          <w:tcPr>
            <w:tcW w:w="611" w:type="pct"/>
          </w:tcPr>
          <w:p w:rsidR="008E273C" w:rsidRDefault="008E273C" w:rsidP="00F708F0">
            <w:pPr>
              <w:pStyle w:val="BodyText"/>
            </w:pPr>
            <w:r>
              <w:t>58</w:t>
            </w:r>
          </w:p>
        </w:tc>
        <w:tc>
          <w:tcPr>
            <w:tcW w:w="611" w:type="pct"/>
          </w:tcPr>
          <w:p w:rsidR="008E273C" w:rsidRDefault="008E273C" w:rsidP="00F708F0">
            <w:pPr>
              <w:pStyle w:val="BodyText"/>
            </w:pPr>
            <w:r>
              <w:t>14</w:t>
            </w:r>
          </w:p>
        </w:tc>
        <w:tc>
          <w:tcPr>
            <w:tcW w:w="611" w:type="pct"/>
          </w:tcPr>
          <w:p w:rsidR="008E273C" w:rsidRDefault="008E273C" w:rsidP="00F708F0">
            <w:pPr>
              <w:pStyle w:val="BodyText"/>
            </w:pPr>
            <w:r>
              <w:t>72</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rPr>
                <w:rStyle w:val="01bodybold"/>
              </w:rPr>
              <w:t>72</w:t>
            </w:r>
          </w:p>
        </w:tc>
      </w:tr>
      <w:tr w:rsidR="008E273C" w:rsidTr="00F708F0">
        <w:trPr>
          <w:trHeight w:val="60"/>
        </w:trPr>
        <w:tc>
          <w:tcPr>
            <w:tcW w:w="725" w:type="pct"/>
          </w:tcPr>
          <w:p w:rsidR="008E273C" w:rsidRDefault="008E273C" w:rsidP="00F708F0">
            <w:pPr>
              <w:pStyle w:val="BodyText"/>
            </w:pPr>
            <w:r>
              <w:t>Other</w:t>
            </w:r>
          </w:p>
        </w:tc>
        <w:tc>
          <w:tcPr>
            <w:tcW w:w="611" w:type="pct"/>
          </w:tcPr>
          <w:p w:rsidR="008E273C" w:rsidRDefault="008E273C" w:rsidP="00F708F0">
            <w:pPr>
              <w:pStyle w:val="BodyText"/>
            </w:pPr>
            <w:r>
              <w:t>248</w:t>
            </w:r>
          </w:p>
        </w:tc>
        <w:tc>
          <w:tcPr>
            <w:tcW w:w="611" w:type="pct"/>
          </w:tcPr>
          <w:p w:rsidR="008E273C" w:rsidRDefault="008E273C" w:rsidP="00F708F0">
            <w:pPr>
              <w:pStyle w:val="BodyText"/>
            </w:pPr>
            <w:r>
              <w:t>31</w:t>
            </w:r>
          </w:p>
        </w:tc>
        <w:tc>
          <w:tcPr>
            <w:tcW w:w="611" w:type="pct"/>
          </w:tcPr>
          <w:p w:rsidR="008E273C" w:rsidRDefault="008E273C" w:rsidP="00F708F0">
            <w:pPr>
              <w:pStyle w:val="BodyText"/>
            </w:pPr>
            <w:r>
              <w:t>279</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rPr>
                <w:rStyle w:val="01bodybold"/>
              </w:rPr>
              <w:t>279</w:t>
            </w:r>
          </w:p>
        </w:tc>
      </w:tr>
      <w:tr w:rsidR="008E273C" w:rsidTr="00F708F0">
        <w:trPr>
          <w:trHeight w:val="60"/>
        </w:trPr>
        <w:tc>
          <w:tcPr>
            <w:tcW w:w="725" w:type="pct"/>
          </w:tcPr>
          <w:p w:rsidR="008E273C" w:rsidRDefault="008E273C" w:rsidP="00F708F0">
            <w:pPr>
              <w:pStyle w:val="BodyText"/>
            </w:pPr>
            <w:r>
              <w:rPr>
                <w:rStyle w:val="Bold"/>
              </w:rPr>
              <w:t>Total</w:t>
            </w:r>
          </w:p>
        </w:tc>
        <w:tc>
          <w:tcPr>
            <w:tcW w:w="611" w:type="pct"/>
          </w:tcPr>
          <w:p w:rsidR="008E273C" w:rsidRDefault="008E273C" w:rsidP="00F708F0">
            <w:pPr>
              <w:pStyle w:val="BodyText"/>
            </w:pPr>
            <w:r>
              <w:rPr>
                <w:rStyle w:val="Bold"/>
              </w:rPr>
              <w:t>19,976</w:t>
            </w:r>
          </w:p>
        </w:tc>
        <w:tc>
          <w:tcPr>
            <w:tcW w:w="611" w:type="pct"/>
          </w:tcPr>
          <w:p w:rsidR="008E273C" w:rsidRDefault="008E273C" w:rsidP="00F708F0">
            <w:pPr>
              <w:pStyle w:val="BodyText"/>
            </w:pPr>
            <w:r>
              <w:rPr>
                <w:rStyle w:val="Bold"/>
              </w:rPr>
              <w:t>7,573</w:t>
            </w:r>
          </w:p>
        </w:tc>
        <w:tc>
          <w:tcPr>
            <w:tcW w:w="611" w:type="pct"/>
          </w:tcPr>
          <w:p w:rsidR="008E273C" w:rsidRDefault="008E273C" w:rsidP="00F708F0">
            <w:pPr>
              <w:pStyle w:val="BodyText"/>
            </w:pPr>
            <w:r>
              <w:rPr>
                <w:rStyle w:val="Bold"/>
              </w:rPr>
              <w:t>27,549</w:t>
            </w:r>
          </w:p>
        </w:tc>
        <w:tc>
          <w:tcPr>
            <w:tcW w:w="611" w:type="pct"/>
          </w:tcPr>
          <w:p w:rsidR="008E273C" w:rsidRDefault="008E273C" w:rsidP="00F708F0">
            <w:pPr>
              <w:pStyle w:val="BodyText"/>
            </w:pPr>
            <w:r>
              <w:rPr>
                <w:rStyle w:val="Bold"/>
              </w:rPr>
              <w:t>747</w:t>
            </w:r>
          </w:p>
        </w:tc>
        <w:tc>
          <w:tcPr>
            <w:tcW w:w="611" w:type="pct"/>
          </w:tcPr>
          <w:p w:rsidR="008E273C" w:rsidRDefault="008E273C" w:rsidP="00F708F0">
            <w:pPr>
              <w:pStyle w:val="BodyText"/>
            </w:pPr>
            <w:r>
              <w:rPr>
                <w:rStyle w:val="Bold"/>
              </w:rPr>
              <w:t>3,457</w:t>
            </w:r>
          </w:p>
        </w:tc>
        <w:tc>
          <w:tcPr>
            <w:tcW w:w="611" w:type="pct"/>
          </w:tcPr>
          <w:p w:rsidR="008E273C" w:rsidRDefault="008E273C" w:rsidP="00F708F0">
            <w:pPr>
              <w:pStyle w:val="BodyText"/>
            </w:pPr>
            <w:r>
              <w:rPr>
                <w:rStyle w:val="Bold"/>
              </w:rPr>
              <w:t>4,204</w:t>
            </w:r>
          </w:p>
        </w:tc>
        <w:tc>
          <w:tcPr>
            <w:tcW w:w="611" w:type="pct"/>
          </w:tcPr>
          <w:p w:rsidR="008E273C" w:rsidRDefault="008E273C" w:rsidP="00F708F0">
            <w:pPr>
              <w:pStyle w:val="BodyText"/>
            </w:pPr>
            <w:r>
              <w:rPr>
                <w:rStyle w:val="Bold"/>
              </w:rPr>
              <w:t>31,753</w:t>
            </w:r>
          </w:p>
        </w:tc>
      </w:tr>
    </w:tbl>
    <w:p w:rsidR="008E273C" w:rsidRDefault="008E273C" w:rsidP="00F708F0">
      <w:pPr>
        <w:pStyle w:val="BodyText"/>
      </w:pPr>
      <w:r>
        <w:t>(a)</w:t>
      </w:r>
      <w:r w:rsidR="00F708F0">
        <w:t xml:space="preserve"> </w:t>
      </w:r>
      <w:r>
        <w:t>Non-ongoing employees includes irregular/intermittent staff.</w:t>
      </w:r>
    </w:p>
    <w:p w:rsidR="008E273C" w:rsidRPr="00F708F0" w:rsidRDefault="00F708F0" w:rsidP="00F708F0">
      <w:pPr>
        <w:pStyle w:val="BodyText"/>
        <w:rPr>
          <w:b/>
        </w:rPr>
      </w:pPr>
      <w:r w:rsidRPr="00F708F0">
        <w:rPr>
          <w:b/>
        </w:rPr>
        <w:t>Table 67:</w:t>
      </w:r>
      <w:r w:rsidR="008E273C" w:rsidRPr="00F708F0">
        <w:rPr>
          <w:b/>
        </w:rPr>
        <w:t xml:space="preserve"> Australian Public Service Act by full-time and part-time status at 30 June 2019</w:t>
      </w:r>
    </w:p>
    <w:tbl>
      <w:tblPr>
        <w:tblStyle w:val="TableGrid"/>
        <w:tblW w:w="5000" w:type="pct"/>
        <w:tblLook w:val="0000" w:firstRow="0" w:lastRow="0" w:firstColumn="0" w:lastColumn="0" w:noHBand="0" w:noVBand="0"/>
        <w:tblCaption w:val="Table 67: Australian Public Service Act by full-time and part-time status at 30 June 2019"/>
        <w:tblDescription w:val="Table 67: Australian Public Service Act by full-time and part-time status at 30 June 2019"/>
      </w:tblPr>
      <w:tblGrid>
        <w:gridCol w:w="1737"/>
        <w:gridCol w:w="1337"/>
        <w:gridCol w:w="1337"/>
        <w:gridCol w:w="1338"/>
        <w:gridCol w:w="1338"/>
        <w:gridCol w:w="1338"/>
        <w:gridCol w:w="1338"/>
        <w:gridCol w:w="1333"/>
      </w:tblGrid>
      <w:tr w:rsidR="008E273C" w:rsidTr="00F708F0">
        <w:trPr>
          <w:trHeight w:val="60"/>
          <w:tblHeader/>
        </w:trPr>
        <w:tc>
          <w:tcPr>
            <w:tcW w:w="725" w:type="pct"/>
          </w:tcPr>
          <w:p w:rsidR="008E273C" w:rsidRDefault="008E273C" w:rsidP="00F708F0">
            <w:pPr>
              <w:pStyle w:val="BodyText"/>
            </w:pPr>
          </w:p>
        </w:tc>
        <w:tc>
          <w:tcPr>
            <w:tcW w:w="1832" w:type="pct"/>
            <w:gridSpan w:val="3"/>
          </w:tcPr>
          <w:p w:rsidR="008E273C" w:rsidRDefault="008E273C" w:rsidP="00F708F0">
            <w:pPr>
              <w:pStyle w:val="BodyText"/>
            </w:pPr>
            <w:r>
              <w:t>Ongoing</w:t>
            </w:r>
          </w:p>
        </w:tc>
        <w:tc>
          <w:tcPr>
            <w:tcW w:w="1832" w:type="pct"/>
            <w:gridSpan w:val="3"/>
          </w:tcPr>
          <w:p w:rsidR="008E273C" w:rsidRDefault="008E273C" w:rsidP="00F708F0">
            <w:pPr>
              <w:pStyle w:val="BodyText"/>
            </w:pPr>
            <w:r>
              <w:t>Non-ongoing</w:t>
            </w:r>
            <w:r>
              <w:rPr>
                <w:vertAlign w:val="superscript"/>
              </w:rPr>
              <w:t>(a)</w:t>
            </w:r>
          </w:p>
        </w:tc>
        <w:tc>
          <w:tcPr>
            <w:tcW w:w="611" w:type="pct"/>
          </w:tcPr>
          <w:p w:rsidR="008E273C" w:rsidRDefault="008E273C" w:rsidP="00F708F0">
            <w:pPr>
              <w:pStyle w:val="BodyText"/>
            </w:pPr>
          </w:p>
        </w:tc>
      </w:tr>
      <w:tr w:rsidR="008E273C" w:rsidTr="00F708F0">
        <w:trPr>
          <w:trHeight w:val="616"/>
          <w:tblHeader/>
        </w:trPr>
        <w:tc>
          <w:tcPr>
            <w:tcW w:w="725" w:type="pct"/>
          </w:tcPr>
          <w:p w:rsidR="008E273C" w:rsidRDefault="008E273C" w:rsidP="00F708F0">
            <w:pPr>
              <w:pStyle w:val="BodyText"/>
            </w:pPr>
            <w:r>
              <w:rPr>
                <w:rStyle w:val="Bold"/>
              </w:rPr>
              <w:t>Substantive classification</w:t>
            </w:r>
          </w:p>
        </w:tc>
        <w:tc>
          <w:tcPr>
            <w:tcW w:w="611" w:type="pct"/>
          </w:tcPr>
          <w:p w:rsidR="008E273C" w:rsidRDefault="008E273C" w:rsidP="00F708F0">
            <w:pPr>
              <w:pStyle w:val="BodyText"/>
            </w:pPr>
            <w:r>
              <w:rPr>
                <w:rStyle w:val="Bold"/>
              </w:rPr>
              <w:t>Full-time</w:t>
            </w:r>
          </w:p>
        </w:tc>
        <w:tc>
          <w:tcPr>
            <w:tcW w:w="611" w:type="pct"/>
          </w:tcPr>
          <w:p w:rsidR="008E273C" w:rsidRDefault="008E273C" w:rsidP="00F708F0">
            <w:pPr>
              <w:pStyle w:val="BodyText"/>
            </w:pPr>
            <w:r>
              <w:rPr>
                <w:rStyle w:val="Bold"/>
              </w:rPr>
              <w:t>Part-time</w:t>
            </w:r>
          </w:p>
        </w:tc>
        <w:tc>
          <w:tcPr>
            <w:tcW w:w="611" w:type="pct"/>
          </w:tcPr>
          <w:p w:rsidR="008E273C" w:rsidRDefault="00AC4959" w:rsidP="00F708F0">
            <w:pPr>
              <w:pStyle w:val="BodyText"/>
            </w:pPr>
            <w:r>
              <w:rPr>
                <w:rStyle w:val="Bold"/>
              </w:rPr>
              <w:t>Total ongoing</w:t>
            </w:r>
          </w:p>
        </w:tc>
        <w:tc>
          <w:tcPr>
            <w:tcW w:w="611" w:type="pct"/>
          </w:tcPr>
          <w:p w:rsidR="008E273C" w:rsidRDefault="008E273C" w:rsidP="00F708F0">
            <w:pPr>
              <w:pStyle w:val="BodyText"/>
            </w:pPr>
            <w:r>
              <w:rPr>
                <w:rStyle w:val="Bold"/>
              </w:rPr>
              <w:t>Full-time</w:t>
            </w:r>
          </w:p>
        </w:tc>
        <w:tc>
          <w:tcPr>
            <w:tcW w:w="611" w:type="pct"/>
          </w:tcPr>
          <w:p w:rsidR="008E273C" w:rsidRDefault="008E273C" w:rsidP="00F708F0">
            <w:pPr>
              <w:pStyle w:val="BodyText"/>
            </w:pPr>
            <w:r>
              <w:rPr>
                <w:rStyle w:val="Bold"/>
              </w:rPr>
              <w:t>Part-time</w:t>
            </w:r>
          </w:p>
        </w:tc>
        <w:tc>
          <w:tcPr>
            <w:tcW w:w="611" w:type="pct"/>
          </w:tcPr>
          <w:p w:rsidR="008E273C" w:rsidRDefault="008E273C" w:rsidP="00F708F0">
            <w:pPr>
              <w:pStyle w:val="BodyText"/>
            </w:pPr>
            <w:r>
              <w:rPr>
                <w:rStyle w:val="Bold"/>
                <w:spacing w:val="-4"/>
              </w:rPr>
              <w:t>Total Non-ongoing</w:t>
            </w:r>
          </w:p>
        </w:tc>
        <w:tc>
          <w:tcPr>
            <w:tcW w:w="611" w:type="pct"/>
          </w:tcPr>
          <w:p w:rsidR="008E273C" w:rsidRDefault="008E273C" w:rsidP="00F708F0">
            <w:pPr>
              <w:pStyle w:val="BodyText"/>
            </w:pPr>
            <w:r>
              <w:rPr>
                <w:rStyle w:val="Bold"/>
              </w:rPr>
              <w:t>Total</w:t>
            </w:r>
          </w:p>
        </w:tc>
      </w:tr>
      <w:tr w:rsidR="008E273C" w:rsidTr="00F708F0">
        <w:trPr>
          <w:trHeight w:val="60"/>
        </w:trPr>
        <w:tc>
          <w:tcPr>
            <w:tcW w:w="725" w:type="pct"/>
          </w:tcPr>
          <w:p w:rsidR="008E273C" w:rsidRDefault="008E273C" w:rsidP="00F708F0">
            <w:pPr>
              <w:pStyle w:val="BodyText"/>
            </w:pPr>
            <w:r>
              <w:t>SES 3</w:t>
            </w:r>
          </w:p>
        </w:tc>
        <w:tc>
          <w:tcPr>
            <w:tcW w:w="611" w:type="pct"/>
          </w:tcPr>
          <w:p w:rsidR="008E273C" w:rsidRDefault="008E273C" w:rsidP="00F708F0">
            <w:pPr>
              <w:pStyle w:val="BodyText"/>
            </w:pPr>
            <w:r>
              <w:t>5</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5</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rPr>
                <w:rStyle w:val="01bodybold"/>
              </w:rPr>
              <w:t>6</w:t>
            </w:r>
          </w:p>
        </w:tc>
      </w:tr>
      <w:tr w:rsidR="008E273C" w:rsidTr="00F708F0">
        <w:trPr>
          <w:trHeight w:val="305"/>
        </w:trPr>
        <w:tc>
          <w:tcPr>
            <w:tcW w:w="725" w:type="pct"/>
          </w:tcPr>
          <w:p w:rsidR="008E273C" w:rsidRDefault="008E273C" w:rsidP="00F708F0">
            <w:pPr>
              <w:pStyle w:val="BodyText"/>
            </w:pPr>
            <w:r>
              <w:t>SES 2</w:t>
            </w:r>
          </w:p>
        </w:tc>
        <w:tc>
          <w:tcPr>
            <w:tcW w:w="611" w:type="pct"/>
          </w:tcPr>
          <w:p w:rsidR="008E273C" w:rsidRDefault="008E273C" w:rsidP="00F708F0">
            <w:pPr>
              <w:pStyle w:val="BodyText"/>
            </w:pPr>
            <w:r>
              <w:t>31</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32</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2</w:t>
            </w:r>
          </w:p>
        </w:tc>
        <w:tc>
          <w:tcPr>
            <w:tcW w:w="611" w:type="pct"/>
          </w:tcPr>
          <w:p w:rsidR="008E273C" w:rsidRDefault="008E273C" w:rsidP="00F708F0">
            <w:pPr>
              <w:pStyle w:val="BodyText"/>
            </w:pPr>
            <w:r>
              <w:rPr>
                <w:rStyle w:val="01bodybold"/>
              </w:rPr>
              <w:t>34</w:t>
            </w:r>
          </w:p>
        </w:tc>
      </w:tr>
      <w:tr w:rsidR="008E273C" w:rsidTr="00F708F0">
        <w:trPr>
          <w:trHeight w:val="60"/>
        </w:trPr>
        <w:tc>
          <w:tcPr>
            <w:tcW w:w="725" w:type="pct"/>
          </w:tcPr>
          <w:p w:rsidR="008E273C" w:rsidRDefault="008E273C" w:rsidP="00F708F0">
            <w:pPr>
              <w:pStyle w:val="BodyText"/>
            </w:pPr>
            <w:r>
              <w:t>SES 1</w:t>
            </w:r>
          </w:p>
        </w:tc>
        <w:tc>
          <w:tcPr>
            <w:tcW w:w="611" w:type="pct"/>
          </w:tcPr>
          <w:p w:rsidR="008E273C" w:rsidRDefault="008E273C" w:rsidP="00F708F0">
            <w:pPr>
              <w:pStyle w:val="BodyText"/>
            </w:pPr>
            <w:r>
              <w:t>123</w:t>
            </w:r>
          </w:p>
        </w:tc>
        <w:tc>
          <w:tcPr>
            <w:tcW w:w="611" w:type="pct"/>
          </w:tcPr>
          <w:p w:rsidR="008E273C" w:rsidRDefault="008E273C" w:rsidP="00F708F0">
            <w:pPr>
              <w:pStyle w:val="BodyText"/>
            </w:pPr>
            <w:r>
              <w:t>2</w:t>
            </w:r>
          </w:p>
        </w:tc>
        <w:tc>
          <w:tcPr>
            <w:tcW w:w="611" w:type="pct"/>
          </w:tcPr>
          <w:p w:rsidR="008E273C" w:rsidRDefault="008E273C" w:rsidP="00F708F0">
            <w:pPr>
              <w:pStyle w:val="BodyText"/>
            </w:pPr>
            <w:r>
              <w:t>125</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rPr>
                <w:rStyle w:val="01bodybold"/>
              </w:rPr>
              <w:t>125</w:t>
            </w:r>
          </w:p>
        </w:tc>
      </w:tr>
      <w:tr w:rsidR="008E273C" w:rsidTr="00F708F0">
        <w:trPr>
          <w:trHeight w:val="60"/>
        </w:trPr>
        <w:tc>
          <w:tcPr>
            <w:tcW w:w="725" w:type="pct"/>
          </w:tcPr>
          <w:p w:rsidR="008E273C" w:rsidRDefault="008E273C" w:rsidP="00F708F0">
            <w:pPr>
              <w:pStyle w:val="BodyText"/>
            </w:pPr>
            <w:r>
              <w:t>EL 2</w:t>
            </w:r>
          </w:p>
        </w:tc>
        <w:tc>
          <w:tcPr>
            <w:tcW w:w="611" w:type="pct"/>
          </w:tcPr>
          <w:p w:rsidR="008E273C" w:rsidRDefault="008E273C" w:rsidP="00F708F0">
            <w:pPr>
              <w:pStyle w:val="BodyText"/>
            </w:pPr>
            <w:r>
              <w:t>748</w:t>
            </w:r>
          </w:p>
        </w:tc>
        <w:tc>
          <w:tcPr>
            <w:tcW w:w="611" w:type="pct"/>
          </w:tcPr>
          <w:p w:rsidR="008E273C" w:rsidRDefault="008E273C" w:rsidP="00F708F0">
            <w:pPr>
              <w:pStyle w:val="BodyText"/>
            </w:pPr>
            <w:r>
              <w:t>54</w:t>
            </w:r>
          </w:p>
        </w:tc>
        <w:tc>
          <w:tcPr>
            <w:tcW w:w="611" w:type="pct"/>
          </w:tcPr>
          <w:p w:rsidR="008E273C" w:rsidRDefault="008E273C" w:rsidP="00F708F0">
            <w:pPr>
              <w:pStyle w:val="BodyText"/>
            </w:pPr>
            <w:r>
              <w:t>802</w:t>
            </w:r>
          </w:p>
        </w:tc>
        <w:tc>
          <w:tcPr>
            <w:tcW w:w="611" w:type="pct"/>
          </w:tcPr>
          <w:p w:rsidR="008E273C" w:rsidRDefault="008E273C" w:rsidP="00F708F0">
            <w:pPr>
              <w:pStyle w:val="BodyText"/>
            </w:pPr>
            <w:r>
              <w:t>2</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3</w:t>
            </w:r>
          </w:p>
        </w:tc>
        <w:tc>
          <w:tcPr>
            <w:tcW w:w="611" w:type="pct"/>
          </w:tcPr>
          <w:p w:rsidR="008E273C" w:rsidRDefault="008E273C" w:rsidP="00F708F0">
            <w:pPr>
              <w:pStyle w:val="BodyText"/>
            </w:pPr>
            <w:r>
              <w:rPr>
                <w:rStyle w:val="01bodybold"/>
              </w:rPr>
              <w:t>805</w:t>
            </w:r>
          </w:p>
        </w:tc>
      </w:tr>
      <w:tr w:rsidR="008E273C" w:rsidTr="00F708F0">
        <w:trPr>
          <w:trHeight w:val="60"/>
        </w:trPr>
        <w:tc>
          <w:tcPr>
            <w:tcW w:w="725" w:type="pct"/>
          </w:tcPr>
          <w:p w:rsidR="008E273C" w:rsidRDefault="008E273C" w:rsidP="00F708F0">
            <w:pPr>
              <w:pStyle w:val="BodyText"/>
            </w:pPr>
            <w:r>
              <w:t>EL 1</w:t>
            </w:r>
          </w:p>
        </w:tc>
        <w:tc>
          <w:tcPr>
            <w:tcW w:w="611" w:type="pct"/>
          </w:tcPr>
          <w:p w:rsidR="008E273C" w:rsidRDefault="008E273C" w:rsidP="00F708F0">
            <w:pPr>
              <w:pStyle w:val="BodyText"/>
            </w:pPr>
            <w:r>
              <w:t>2,111</w:t>
            </w:r>
          </w:p>
        </w:tc>
        <w:tc>
          <w:tcPr>
            <w:tcW w:w="611" w:type="pct"/>
          </w:tcPr>
          <w:p w:rsidR="008E273C" w:rsidRDefault="008E273C" w:rsidP="00F708F0">
            <w:pPr>
              <w:pStyle w:val="BodyText"/>
            </w:pPr>
            <w:r>
              <w:t>323</w:t>
            </w:r>
          </w:p>
        </w:tc>
        <w:tc>
          <w:tcPr>
            <w:tcW w:w="611" w:type="pct"/>
          </w:tcPr>
          <w:p w:rsidR="008E273C" w:rsidRDefault="008E273C" w:rsidP="00F708F0">
            <w:pPr>
              <w:pStyle w:val="BodyText"/>
            </w:pPr>
            <w:r>
              <w:t>2,434</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2</w:t>
            </w:r>
          </w:p>
        </w:tc>
        <w:tc>
          <w:tcPr>
            <w:tcW w:w="611" w:type="pct"/>
          </w:tcPr>
          <w:p w:rsidR="008E273C" w:rsidRDefault="008E273C" w:rsidP="00F708F0">
            <w:pPr>
              <w:pStyle w:val="BodyText"/>
            </w:pPr>
            <w:r>
              <w:rPr>
                <w:rStyle w:val="01bodybold"/>
              </w:rPr>
              <w:t>2,436</w:t>
            </w:r>
          </w:p>
        </w:tc>
      </w:tr>
      <w:tr w:rsidR="008E273C" w:rsidTr="00F708F0">
        <w:trPr>
          <w:trHeight w:val="60"/>
        </w:trPr>
        <w:tc>
          <w:tcPr>
            <w:tcW w:w="725" w:type="pct"/>
          </w:tcPr>
          <w:p w:rsidR="008E273C" w:rsidRDefault="008E273C" w:rsidP="00F708F0">
            <w:pPr>
              <w:pStyle w:val="BodyText"/>
            </w:pPr>
            <w:r>
              <w:t>APS 6</w:t>
            </w:r>
          </w:p>
        </w:tc>
        <w:tc>
          <w:tcPr>
            <w:tcW w:w="611" w:type="pct"/>
          </w:tcPr>
          <w:p w:rsidR="008E273C" w:rsidRDefault="008E273C" w:rsidP="00F708F0">
            <w:pPr>
              <w:pStyle w:val="BodyText"/>
            </w:pPr>
            <w:r>
              <w:t>3,769</w:t>
            </w:r>
          </w:p>
        </w:tc>
        <w:tc>
          <w:tcPr>
            <w:tcW w:w="611" w:type="pct"/>
          </w:tcPr>
          <w:p w:rsidR="008E273C" w:rsidRDefault="008E273C" w:rsidP="00F708F0">
            <w:pPr>
              <w:pStyle w:val="BodyText"/>
            </w:pPr>
            <w:r>
              <w:t>1,299</w:t>
            </w:r>
          </w:p>
        </w:tc>
        <w:tc>
          <w:tcPr>
            <w:tcW w:w="611" w:type="pct"/>
          </w:tcPr>
          <w:p w:rsidR="008E273C" w:rsidRDefault="008E273C" w:rsidP="00F708F0">
            <w:pPr>
              <w:pStyle w:val="BodyText"/>
            </w:pPr>
            <w:r>
              <w:t>5,068</w:t>
            </w:r>
          </w:p>
        </w:tc>
        <w:tc>
          <w:tcPr>
            <w:tcW w:w="611" w:type="pct"/>
          </w:tcPr>
          <w:p w:rsidR="008E273C" w:rsidRDefault="008E273C" w:rsidP="00F708F0">
            <w:pPr>
              <w:pStyle w:val="BodyText"/>
            </w:pPr>
            <w:r>
              <w:t>7</w:t>
            </w:r>
          </w:p>
        </w:tc>
        <w:tc>
          <w:tcPr>
            <w:tcW w:w="611" w:type="pct"/>
          </w:tcPr>
          <w:p w:rsidR="008E273C" w:rsidRDefault="008E273C" w:rsidP="00F708F0">
            <w:pPr>
              <w:pStyle w:val="BodyText"/>
            </w:pPr>
            <w:r>
              <w:t>5</w:t>
            </w:r>
          </w:p>
        </w:tc>
        <w:tc>
          <w:tcPr>
            <w:tcW w:w="611" w:type="pct"/>
          </w:tcPr>
          <w:p w:rsidR="008E273C" w:rsidRDefault="008E273C" w:rsidP="00F708F0">
            <w:pPr>
              <w:pStyle w:val="BodyText"/>
            </w:pPr>
            <w:r>
              <w:t>12</w:t>
            </w:r>
          </w:p>
        </w:tc>
        <w:tc>
          <w:tcPr>
            <w:tcW w:w="611" w:type="pct"/>
          </w:tcPr>
          <w:p w:rsidR="008E273C" w:rsidRDefault="008E273C" w:rsidP="00F708F0">
            <w:pPr>
              <w:pStyle w:val="BodyText"/>
            </w:pPr>
            <w:r>
              <w:rPr>
                <w:rStyle w:val="01bodybold"/>
              </w:rPr>
              <w:t>5,080</w:t>
            </w:r>
          </w:p>
        </w:tc>
      </w:tr>
      <w:tr w:rsidR="008E273C" w:rsidTr="00F708F0">
        <w:trPr>
          <w:trHeight w:val="60"/>
        </w:trPr>
        <w:tc>
          <w:tcPr>
            <w:tcW w:w="725" w:type="pct"/>
          </w:tcPr>
          <w:p w:rsidR="008E273C" w:rsidRDefault="008E273C" w:rsidP="00F708F0">
            <w:pPr>
              <w:pStyle w:val="BodyText"/>
            </w:pPr>
            <w:r>
              <w:t>APS 5</w:t>
            </w:r>
          </w:p>
        </w:tc>
        <w:tc>
          <w:tcPr>
            <w:tcW w:w="611" w:type="pct"/>
          </w:tcPr>
          <w:p w:rsidR="008E273C" w:rsidRDefault="008E273C" w:rsidP="00F708F0">
            <w:pPr>
              <w:pStyle w:val="BodyText"/>
            </w:pPr>
            <w:r>
              <w:t>2,582</w:t>
            </w:r>
          </w:p>
        </w:tc>
        <w:tc>
          <w:tcPr>
            <w:tcW w:w="611" w:type="pct"/>
          </w:tcPr>
          <w:p w:rsidR="008E273C" w:rsidRDefault="008E273C" w:rsidP="00F708F0">
            <w:pPr>
              <w:pStyle w:val="BodyText"/>
            </w:pPr>
            <w:r>
              <w:t>550</w:t>
            </w:r>
          </w:p>
        </w:tc>
        <w:tc>
          <w:tcPr>
            <w:tcW w:w="611" w:type="pct"/>
          </w:tcPr>
          <w:p w:rsidR="008E273C" w:rsidRDefault="008E273C" w:rsidP="00F708F0">
            <w:pPr>
              <w:pStyle w:val="BodyText"/>
            </w:pPr>
            <w:r>
              <w:t>3,132</w:t>
            </w:r>
          </w:p>
        </w:tc>
        <w:tc>
          <w:tcPr>
            <w:tcW w:w="611" w:type="pct"/>
          </w:tcPr>
          <w:p w:rsidR="008E273C" w:rsidRDefault="008E273C" w:rsidP="00F708F0">
            <w:pPr>
              <w:pStyle w:val="BodyText"/>
            </w:pPr>
            <w:r>
              <w:t>6</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6</w:t>
            </w:r>
          </w:p>
        </w:tc>
        <w:tc>
          <w:tcPr>
            <w:tcW w:w="611" w:type="pct"/>
          </w:tcPr>
          <w:p w:rsidR="008E273C" w:rsidRDefault="008E273C" w:rsidP="00F708F0">
            <w:pPr>
              <w:pStyle w:val="BodyText"/>
            </w:pPr>
            <w:r>
              <w:rPr>
                <w:rStyle w:val="01bodybold"/>
              </w:rPr>
              <w:t>3,138</w:t>
            </w:r>
          </w:p>
        </w:tc>
      </w:tr>
      <w:tr w:rsidR="008E273C" w:rsidTr="00F708F0">
        <w:trPr>
          <w:trHeight w:val="60"/>
        </w:trPr>
        <w:tc>
          <w:tcPr>
            <w:tcW w:w="725" w:type="pct"/>
          </w:tcPr>
          <w:p w:rsidR="008E273C" w:rsidRDefault="008E273C" w:rsidP="00F708F0">
            <w:pPr>
              <w:pStyle w:val="BodyText"/>
            </w:pPr>
            <w:r>
              <w:t>APS 4</w:t>
            </w:r>
          </w:p>
        </w:tc>
        <w:tc>
          <w:tcPr>
            <w:tcW w:w="611" w:type="pct"/>
          </w:tcPr>
          <w:p w:rsidR="008E273C" w:rsidRDefault="008E273C" w:rsidP="00F708F0">
            <w:pPr>
              <w:pStyle w:val="BodyText"/>
            </w:pPr>
            <w:r>
              <w:t>8,122</w:t>
            </w:r>
          </w:p>
        </w:tc>
        <w:tc>
          <w:tcPr>
            <w:tcW w:w="611" w:type="pct"/>
          </w:tcPr>
          <w:p w:rsidR="008E273C" w:rsidRDefault="008E273C" w:rsidP="00F708F0">
            <w:pPr>
              <w:pStyle w:val="BodyText"/>
            </w:pPr>
            <w:r>
              <w:t>4,653</w:t>
            </w:r>
          </w:p>
        </w:tc>
        <w:tc>
          <w:tcPr>
            <w:tcW w:w="611" w:type="pct"/>
          </w:tcPr>
          <w:p w:rsidR="008E273C" w:rsidRDefault="008E273C" w:rsidP="00F708F0">
            <w:pPr>
              <w:pStyle w:val="BodyText"/>
            </w:pPr>
            <w:r>
              <w:t>12,775</w:t>
            </w:r>
          </w:p>
        </w:tc>
        <w:tc>
          <w:tcPr>
            <w:tcW w:w="611" w:type="pct"/>
          </w:tcPr>
          <w:p w:rsidR="008E273C" w:rsidRDefault="008E273C" w:rsidP="00F708F0">
            <w:pPr>
              <w:pStyle w:val="BodyText"/>
            </w:pPr>
            <w:r>
              <w:t>15</w:t>
            </w:r>
          </w:p>
        </w:tc>
        <w:tc>
          <w:tcPr>
            <w:tcW w:w="611" w:type="pct"/>
          </w:tcPr>
          <w:p w:rsidR="008E273C" w:rsidRDefault="008E273C" w:rsidP="00F708F0">
            <w:pPr>
              <w:pStyle w:val="BodyText"/>
            </w:pPr>
            <w:r>
              <w:t>2</w:t>
            </w:r>
          </w:p>
        </w:tc>
        <w:tc>
          <w:tcPr>
            <w:tcW w:w="611" w:type="pct"/>
          </w:tcPr>
          <w:p w:rsidR="008E273C" w:rsidRDefault="008E273C" w:rsidP="00F708F0">
            <w:pPr>
              <w:pStyle w:val="BodyText"/>
            </w:pPr>
            <w:r>
              <w:t>17</w:t>
            </w:r>
          </w:p>
        </w:tc>
        <w:tc>
          <w:tcPr>
            <w:tcW w:w="611" w:type="pct"/>
          </w:tcPr>
          <w:p w:rsidR="008E273C" w:rsidRDefault="008E273C" w:rsidP="00F708F0">
            <w:pPr>
              <w:pStyle w:val="BodyText"/>
            </w:pPr>
            <w:r>
              <w:rPr>
                <w:rStyle w:val="01bodybold"/>
              </w:rPr>
              <w:t>12,792</w:t>
            </w:r>
          </w:p>
        </w:tc>
      </w:tr>
      <w:tr w:rsidR="008E273C" w:rsidTr="00F708F0">
        <w:trPr>
          <w:trHeight w:val="376"/>
        </w:trPr>
        <w:tc>
          <w:tcPr>
            <w:tcW w:w="725" w:type="pct"/>
          </w:tcPr>
          <w:p w:rsidR="008E273C" w:rsidRDefault="008E273C" w:rsidP="00F708F0">
            <w:pPr>
              <w:pStyle w:val="BodyText"/>
            </w:pPr>
            <w:r>
              <w:t>APS 3</w:t>
            </w:r>
          </w:p>
        </w:tc>
        <w:tc>
          <w:tcPr>
            <w:tcW w:w="611" w:type="pct"/>
          </w:tcPr>
          <w:p w:rsidR="008E273C" w:rsidRDefault="008E273C" w:rsidP="00F708F0">
            <w:pPr>
              <w:pStyle w:val="BodyText"/>
            </w:pPr>
            <w:r>
              <w:t>2,295</w:t>
            </w:r>
          </w:p>
        </w:tc>
        <w:tc>
          <w:tcPr>
            <w:tcW w:w="611" w:type="pct"/>
          </w:tcPr>
          <w:p w:rsidR="008E273C" w:rsidRDefault="008E273C" w:rsidP="00F708F0">
            <w:pPr>
              <w:pStyle w:val="BodyText"/>
            </w:pPr>
            <w:r>
              <w:t>931</w:t>
            </w:r>
          </w:p>
        </w:tc>
        <w:tc>
          <w:tcPr>
            <w:tcW w:w="611" w:type="pct"/>
          </w:tcPr>
          <w:p w:rsidR="008E273C" w:rsidRDefault="008E273C" w:rsidP="00F708F0">
            <w:pPr>
              <w:pStyle w:val="BodyText"/>
            </w:pPr>
            <w:r>
              <w:t>3,226</w:t>
            </w:r>
          </w:p>
        </w:tc>
        <w:tc>
          <w:tcPr>
            <w:tcW w:w="611" w:type="pct"/>
          </w:tcPr>
          <w:p w:rsidR="008E273C" w:rsidRDefault="008E273C" w:rsidP="00F708F0">
            <w:pPr>
              <w:pStyle w:val="BodyText"/>
            </w:pPr>
            <w:r>
              <w:t>423</w:t>
            </w:r>
          </w:p>
        </w:tc>
        <w:tc>
          <w:tcPr>
            <w:tcW w:w="611" w:type="pct"/>
          </w:tcPr>
          <w:p w:rsidR="008E273C" w:rsidRDefault="008E273C" w:rsidP="00F708F0">
            <w:pPr>
              <w:pStyle w:val="BodyText"/>
            </w:pPr>
            <w:r>
              <w:t>2,009</w:t>
            </w:r>
          </w:p>
        </w:tc>
        <w:tc>
          <w:tcPr>
            <w:tcW w:w="611" w:type="pct"/>
          </w:tcPr>
          <w:p w:rsidR="008E273C" w:rsidRDefault="008E273C" w:rsidP="00F708F0">
            <w:pPr>
              <w:pStyle w:val="BodyText"/>
            </w:pPr>
            <w:r>
              <w:t>2,432</w:t>
            </w:r>
          </w:p>
        </w:tc>
        <w:tc>
          <w:tcPr>
            <w:tcW w:w="611" w:type="pct"/>
          </w:tcPr>
          <w:p w:rsidR="008E273C" w:rsidRDefault="008E273C" w:rsidP="00F708F0">
            <w:pPr>
              <w:pStyle w:val="BodyText"/>
            </w:pPr>
            <w:r>
              <w:rPr>
                <w:rStyle w:val="01bodybold"/>
              </w:rPr>
              <w:t>5,658</w:t>
            </w:r>
          </w:p>
        </w:tc>
      </w:tr>
      <w:tr w:rsidR="008E273C" w:rsidTr="00F708F0">
        <w:trPr>
          <w:trHeight w:val="60"/>
        </w:trPr>
        <w:tc>
          <w:tcPr>
            <w:tcW w:w="725" w:type="pct"/>
          </w:tcPr>
          <w:p w:rsidR="008E273C" w:rsidRDefault="008E273C" w:rsidP="00F708F0">
            <w:pPr>
              <w:pStyle w:val="BodyText"/>
            </w:pPr>
            <w:r>
              <w:t>APS 2</w:t>
            </w:r>
          </w:p>
        </w:tc>
        <w:tc>
          <w:tcPr>
            <w:tcW w:w="611" w:type="pct"/>
          </w:tcPr>
          <w:p w:rsidR="008E273C" w:rsidRDefault="008E273C" w:rsidP="00F708F0">
            <w:pPr>
              <w:pStyle w:val="BodyText"/>
            </w:pPr>
            <w:r>
              <w:t>88</w:t>
            </w:r>
          </w:p>
        </w:tc>
        <w:tc>
          <w:tcPr>
            <w:tcW w:w="611" w:type="pct"/>
          </w:tcPr>
          <w:p w:rsidR="008E273C" w:rsidRDefault="008E273C" w:rsidP="00F708F0">
            <w:pPr>
              <w:pStyle w:val="BodyText"/>
            </w:pPr>
            <w:r>
              <w:t>26</w:t>
            </w:r>
          </w:p>
        </w:tc>
        <w:tc>
          <w:tcPr>
            <w:tcW w:w="611" w:type="pct"/>
          </w:tcPr>
          <w:p w:rsidR="008E273C" w:rsidRDefault="008E273C" w:rsidP="00F708F0">
            <w:pPr>
              <w:pStyle w:val="BodyText"/>
            </w:pPr>
            <w:r>
              <w:t>114</w:t>
            </w:r>
          </w:p>
        </w:tc>
        <w:tc>
          <w:tcPr>
            <w:tcW w:w="611" w:type="pct"/>
          </w:tcPr>
          <w:p w:rsidR="008E273C" w:rsidRDefault="008E273C" w:rsidP="00F708F0">
            <w:pPr>
              <w:pStyle w:val="BodyText"/>
            </w:pPr>
            <w:r>
              <w:t>22</w:t>
            </w:r>
          </w:p>
        </w:tc>
        <w:tc>
          <w:tcPr>
            <w:tcW w:w="611" w:type="pct"/>
          </w:tcPr>
          <w:p w:rsidR="008E273C" w:rsidRDefault="008E273C" w:rsidP="00F708F0">
            <w:pPr>
              <w:pStyle w:val="BodyText"/>
            </w:pPr>
            <w:r>
              <w:t>5</w:t>
            </w:r>
          </w:p>
        </w:tc>
        <w:tc>
          <w:tcPr>
            <w:tcW w:w="611" w:type="pct"/>
          </w:tcPr>
          <w:p w:rsidR="008E273C" w:rsidRDefault="008E273C" w:rsidP="00F708F0">
            <w:pPr>
              <w:pStyle w:val="BodyText"/>
            </w:pPr>
            <w:r>
              <w:t>27</w:t>
            </w:r>
          </w:p>
        </w:tc>
        <w:tc>
          <w:tcPr>
            <w:tcW w:w="611" w:type="pct"/>
          </w:tcPr>
          <w:p w:rsidR="008E273C" w:rsidRDefault="008E273C" w:rsidP="00F708F0">
            <w:pPr>
              <w:pStyle w:val="BodyText"/>
            </w:pPr>
            <w:r>
              <w:rPr>
                <w:rStyle w:val="01bodybold"/>
              </w:rPr>
              <w:t>141</w:t>
            </w:r>
          </w:p>
        </w:tc>
      </w:tr>
      <w:tr w:rsidR="008E273C" w:rsidTr="00F708F0">
        <w:trPr>
          <w:trHeight w:val="60"/>
        </w:trPr>
        <w:tc>
          <w:tcPr>
            <w:tcW w:w="725" w:type="pct"/>
          </w:tcPr>
          <w:p w:rsidR="008E273C" w:rsidRDefault="008E273C" w:rsidP="00F708F0">
            <w:pPr>
              <w:pStyle w:val="BodyText"/>
            </w:pPr>
            <w:r>
              <w:lastRenderedPageBreak/>
              <w:t>APS 1</w:t>
            </w:r>
          </w:p>
        </w:tc>
        <w:tc>
          <w:tcPr>
            <w:tcW w:w="611" w:type="pct"/>
          </w:tcPr>
          <w:p w:rsidR="008E273C" w:rsidRDefault="008E273C" w:rsidP="00F708F0">
            <w:pPr>
              <w:pStyle w:val="BodyText"/>
            </w:pPr>
            <w:r>
              <w:t>66</w:t>
            </w:r>
          </w:p>
        </w:tc>
        <w:tc>
          <w:tcPr>
            <w:tcW w:w="611" w:type="pct"/>
          </w:tcPr>
          <w:p w:rsidR="008E273C" w:rsidRDefault="008E273C" w:rsidP="00F708F0">
            <w:pPr>
              <w:pStyle w:val="BodyText"/>
            </w:pPr>
            <w:r>
              <w:t>16</w:t>
            </w:r>
          </w:p>
        </w:tc>
        <w:tc>
          <w:tcPr>
            <w:tcW w:w="611" w:type="pct"/>
          </w:tcPr>
          <w:p w:rsidR="008E273C" w:rsidRDefault="008E273C" w:rsidP="00F708F0">
            <w:pPr>
              <w:pStyle w:val="BodyText"/>
            </w:pPr>
            <w:r>
              <w:t>82</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t>1</w:t>
            </w:r>
          </w:p>
        </w:tc>
        <w:tc>
          <w:tcPr>
            <w:tcW w:w="611" w:type="pct"/>
          </w:tcPr>
          <w:p w:rsidR="008E273C" w:rsidRDefault="008E273C" w:rsidP="00F708F0">
            <w:pPr>
              <w:pStyle w:val="BodyText"/>
            </w:pPr>
            <w:r>
              <w:rPr>
                <w:rStyle w:val="01bodybold"/>
              </w:rPr>
              <w:t>83</w:t>
            </w:r>
          </w:p>
        </w:tc>
      </w:tr>
      <w:tr w:rsidR="008E273C" w:rsidTr="00F708F0">
        <w:trPr>
          <w:trHeight w:val="60"/>
        </w:trPr>
        <w:tc>
          <w:tcPr>
            <w:tcW w:w="725" w:type="pct"/>
          </w:tcPr>
          <w:p w:rsidR="008E273C" w:rsidRDefault="008E273C" w:rsidP="00F708F0">
            <w:pPr>
              <w:pStyle w:val="BodyText"/>
            </w:pPr>
            <w:r>
              <w:t>Other</w:t>
            </w:r>
          </w:p>
        </w:tc>
        <w:tc>
          <w:tcPr>
            <w:tcW w:w="611" w:type="pct"/>
          </w:tcPr>
          <w:p w:rsidR="008E273C" w:rsidRDefault="008E273C" w:rsidP="00F708F0">
            <w:pPr>
              <w:pStyle w:val="BodyText"/>
            </w:pPr>
            <w:r>
              <w:t>269</w:t>
            </w:r>
          </w:p>
        </w:tc>
        <w:tc>
          <w:tcPr>
            <w:tcW w:w="611" w:type="pct"/>
          </w:tcPr>
          <w:p w:rsidR="008E273C" w:rsidRDefault="008E273C" w:rsidP="00F708F0">
            <w:pPr>
              <w:pStyle w:val="BodyText"/>
            </w:pPr>
            <w:r>
              <w:t>28</w:t>
            </w:r>
          </w:p>
        </w:tc>
        <w:tc>
          <w:tcPr>
            <w:tcW w:w="611" w:type="pct"/>
          </w:tcPr>
          <w:p w:rsidR="008E273C" w:rsidRDefault="008E273C" w:rsidP="00F708F0">
            <w:pPr>
              <w:pStyle w:val="BodyText"/>
            </w:pPr>
            <w:r>
              <w:t>297</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t>0</w:t>
            </w:r>
          </w:p>
        </w:tc>
        <w:tc>
          <w:tcPr>
            <w:tcW w:w="611" w:type="pct"/>
          </w:tcPr>
          <w:p w:rsidR="008E273C" w:rsidRDefault="008E273C" w:rsidP="00F708F0">
            <w:pPr>
              <w:pStyle w:val="BodyText"/>
            </w:pPr>
            <w:r>
              <w:rPr>
                <w:rStyle w:val="01bodybold"/>
              </w:rPr>
              <w:t>297</w:t>
            </w:r>
          </w:p>
        </w:tc>
      </w:tr>
      <w:tr w:rsidR="008E273C" w:rsidTr="00F708F0">
        <w:trPr>
          <w:trHeight w:val="60"/>
        </w:trPr>
        <w:tc>
          <w:tcPr>
            <w:tcW w:w="725" w:type="pct"/>
          </w:tcPr>
          <w:p w:rsidR="008E273C" w:rsidRDefault="008E273C" w:rsidP="00F708F0">
            <w:pPr>
              <w:pStyle w:val="BodyText"/>
            </w:pPr>
            <w:r>
              <w:rPr>
                <w:rStyle w:val="Bold"/>
              </w:rPr>
              <w:t>Total</w:t>
            </w:r>
          </w:p>
        </w:tc>
        <w:tc>
          <w:tcPr>
            <w:tcW w:w="611" w:type="pct"/>
          </w:tcPr>
          <w:p w:rsidR="008E273C" w:rsidRDefault="008E273C" w:rsidP="00F708F0">
            <w:pPr>
              <w:pStyle w:val="BodyText"/>
            </w:pPr>
            <w:r>
              <w:rPr>
                <w:rStyle w:val="Bold"/>
              </w:rPr>
              <w:t>20,209</w:t>
            </w:r>
          </w:p>
        </w:tc>
        <w:tc>
          <w:tcPr>
            <w:tcW w:w="611" w:type="pct"/>
          </w:tcPr>
          <w:p w:rsidR="008E273C" w:rsidRDefault="008E273C" w:rsidP="00F708F0">
            <w:pPr>
              <w:pStyle w:val="BodyText"/>
            </w:pPr>
            <w:r>
              <w:rPr>
                <w:rStyle w:val="Bold"/>
              </w:rPr>
              <w:t>7,883</w:t>
            </w:r>
          </w:p>
        </w:tc>
        <w:tc>
          <w:tcPr>
            <w:tcW w:w="611" w:type="pct"/>
          </w:tcPr>
          <w:p w:rsidR="008E273C" w:rsidRDefault="008E273C" w:rsidP="00F708F0">
            <w:pPr>
              <w:pStyle w:val="BodyText"/>
            </w:pPr>
            <w:r>
              <w:rPr>
                <w:rStyle w:val="Bold"/>
              </w:rPr>
              <w:t>28,092</w:t>
            </w:r>
          </w:p>
        </w:tc>
        <w:tc>
          <w:tcPr>
            <w:tcW w:w="611" w:type="pct"/>
          </w:tcPr>
          <w:p w:rsidR="008E273C" w:rsidRDefault="008E273C" w:rsidP="00F708F0">
            <w:pPr>
              <w:pStyle w:val="BodyText"/>
            </w:pPr>
            <w:r>
              <w:rPr>
                <w:rStyle w:val="Bold"/>
              </w:rPr>
              <w:t>478</w:t>
            </w:r>
          </w:p>
        </w:tc>
        <w:tc>
          <w:tcPr>
            <w:tcW w:w="611" w:type="pct"/>
          </w:tcPr>
          <w:p w:rsidR="008E273C" w:rsidRDefault="008E273C" w:rsidP="00F708F0">
            <w:pPr>
              <w:pStyle w:val="BodyText"/>
            </w:pPr>
            <w:r>
              <w:rPr>
                <w:rStyle w:val="Bold"/>
              </w:rPr>
              <w:t>2,025</w:t>
            </w:r>
          </w:p>
        </w:tc>
        <w:tc>
          <w:tcPr>
            <w:tcW w:w="611" w:type="pct"/>
          </w:tcPr>
          <w:p w:rsidR="008E273C" w:rsidRDefault="008E273C" w:rsidP="00F708F0">
            <w:pPr>
              <w:pStyle w:val="BodyText"/>
            </w:pPr>
            <w:r>
              <w:rPr>
                <w:rStyle w:val="Bold"/>
              </w:rPr>
              <w:t>2,503</w:t>
            </w:r>
          </w:p>
        </w:tc>
        <w:tc>
          <w:tcPr>
            <w:tcW w:w="611" w:type="pct"/>
          </w:tcPr>
          <w:p w:rsidR="008E273C" w:rsidRDefault="008E273C" w:rsidP="00F708F0">
            <w:pPr>
              <w:pStyle w:val="BodyText"/>
            </w:pPr>
            <w:r>
              <w:rPr>
                <w:rStyle w:val="Bold"/>
              </w:rPr>
              <w:t>30,595</w:t>
            </w:r>
          </w:p>
        </w:tc>
      </w:tr>
    </w:tbl>
    <w:p w:rsidR="008E273C" w:rsidRDefault="008E273C" w:rsidP="00F708F0">
      <w:pPr>
        <w:pStyle w:val="BodyText"/>
      </w:pPr>
      <w:r>
        <w:t>(a)</w:t>
      </w:r>
      <w:r w:rsidR="00F708F0">
        <w:t xml:space="preserve"> </w:t>
      </w:r>
      <w:r>
        <w:t>Non-ongoing employees includes irregular/intermittent staff.</w:t>
      </w:r>
    </w:p>
    <w:p w:rsidR="008E273C" w:rsidRPr="00F708F0" w:rsidRDefault="00F708F0" w:rsidP="00F708F0">
      <w:pPr>
        <w:pStyle w:val="BodyText"/>
        <w:rPr>
          <w:b/>
        </w:rPr>
      </w:pPr>
      <w:r w:rsidRPr="00F708F0">
        <w:rPr>
          <w:b/>
        </w:rPr>
        <w:t>Table 68:</w:t>
      </w:r>
      <w:r w:rsidR="008E273C" w:rsidRPr="00F708F0">
        <w:rPr>
          <w:b/>
        </w:rPr>
        <w:t xml:space="preserve"> 17AG (4</w:t>
      </w:r>
      <w:proofErr w:type="gramStart"/>
      <w:r w:rsidR="008E273C" w:rsidRPr="00F708F0">
        <w:rPr>
          <w:b/>
        </w:rPr>
        <w:t>)(</w:t>
      </w:r>
      <w:proofErr w:type="gramEnd"/>
      <w:r w:rsidR="008E273C" w:rsidRPr="00F708F0">
        <w:rPr>
          <w:b/>
        </w:rPr>
        <w:t>b)(v) Australian Public Service Act employment type by location at 30 June 2020</w:t>
      </w:r>
    </w:p>
    <w:tbl>
      <w:tblPr>
        <w:tblStyle w:val="TableGrid"/>
        <w:tblW w:w="5000" w:type="pct"/>
        <w:tblLook w:val="0000" w:firstRow="0" w:lastRow="0" w:firstColumn="0" w:lastColumn="0" w:noHBand="0" w:noVBand="0"/>
        <w:tblCaption w:val="Table 68: 17AG (4)(b)(v) Australian Public Service Act employment type by location at 30 June 2020"/>
        <w:tblDescription w:val="Table 68: 17AG (4)(b)(v) Australian Public Service Act employment type by location at 30 June 2020"/>
      </w:tblPr>
      <w:tblGrid>
        <w:gridCol w:w="3728"/>
        <w:gridCol w:w="2457"/>
        <w:gridCol w:w="2457"/>
        <w:gridCol w:w="2454"/>
      </w:tblGrid>
      <w:tr w:rsidR="008E273C" w:rsidTr="00F708F0">
        <w:trPr>
          <w:trHeight w:val="60"/>
          <w:tblHeader/>
        </w:trPr>
        <w:tc>
          <w:tcPr>
            <w:tcW w:w="1680" w:type="pct"/>
          </w:tcPr>
          <w:p w:rsidR="008E273C" w:rsidRPr="00F708F0" w:rsidRDefault="008E273C" w:rsidP="00F708F0">
            <w:pPr>
              <w:pStyle w:val="BodyText"/>
              <w:rPr>
                <w:b/>
              </w:rPr>
            </w:pPr>
          </w:p>
        </w:tc>
        <w:tc>
          <w:tcPr>
            <w:tcW w:w="1107" w:type="pct"/>
          </w:tcPr>
          <w:p w:rsidR="008E273C" w:rsidRPr="00F708F0" w:rsidRDefault="008E273C" w:rsidP="00F708F0">
            <w:pPr>
              <w:pStyle w:val="BodyText"/>
              <w:rPr>
                <w:b/>
              </w:rPr>
            </w:pPr>
            <w:r w:rsidRPr="00F708F0">
              <w:rPr>
                <w:b/>
              </w:rPr>
              <w:t>Ongoing</w:t>
            </w:r>
          </w:p>
        </w:tc>
        <w:tc>
          <w:tcPr>
            <w:tcW w:w="1107" w:type="pct"/>
          </w:tcPr>
          <w:p w:rsidR="008E273C" w:rsidRPr="00F708F0" w:rsidRDefault="008E273C" w:rsidP="00F708F0">
            <w:pPr>
              <w:pStyle w:val="BodyText"/>
              <w:rPr>
                <w:b/>
              </w:rPr>
            </w:pPr>
            <w:r w:rsidRPr="00F708F0">
              <w:rPr>
                <w:b/>
              </w:rPr>
              <w:t>Non-ongoing</w:t>
            </w:r>
            <w:r w:rsidRPr="00F708F0">
              <w:rPr>
                <w:b/>
                <w:vertAlign w:val="superscript"/>
              </w:rPr>
              <w:t>(a)</w:t>
            </w:r>
          </w:p>
        </w:tc>
        <w:tc>
          <w:tcPr>
            <w:tcW w:w="1107" w:type="pct"/>
          </w:tcPr>
          <w:p w:rsidR="008E273C" w:rsidRPr="00F708F0" w:rsidRDefault="008E273C" w:rsidP="00F708F0">
            <w:pPr>
              <w:pStyle w:val="BodyText"/>
              <w:rPr>
                <w:b/>
              </w:rPr>
            </w:pPr>
            <w:r w:rsidRPr="00F708F0">
              <w:rPr>
                <w:b/>
              </w:rPr>
              <w:t>Total</w:t>
            </w:r>
          </w:p>
        </w:tc>
      </w:tr>
      <w:tr w:rsidR="008E273C" w:rsidTr="00F708F0">
        <w:trPr>
          <w:trHeight w:val="60"/>
        </w:trPr>
        <w:tc>
          <w:tcPr>
            <w:tcW w:w="1680" w:type="pct"/>
          </w:tcPr>
          <w:p w:rsidR="008E273C" w:rsidRDefault="008E273C" w:rsidP="00F708F0">
            <w:pPr>
              <w:pStyle w:val="BodyText"/>
            </w:pPr>
            <w:r>
              <w:t>NSW</w:t>
            </w:r>
          </w:p>
        </w:tc>
        <w:tc>
          <w:tcPr>
            <w:tcW w:w="1107" w:type="pct"/>
          </w:tcPr>
          <w:p w:rsidR="008E273C" w:rsidRDefault="008E273C" w:rsidP="00F708F0">
            <w:pPr>
              <w:pStyle w:val="BodyText"/>
            </w:pPr>
            <w:r>
              <w:t>6,878</w:t>
            </w:r>
          </w:p>
        </w:tc>
        <w:tc>
          <w:tcPr>
            <w:tcW w:w="1107" w:type="pct"/>
          </w:tcPr>
          <w:p w:rsidR="008E273C" w:rsidRDefault="008E273C" w:rsidP="00F708F0">
            <w:pPr>
              <w:pStyle w:val="BodyText"/>
            </w:pPr>
            <w:r>
              <w:t>1,060</w:t>
            </w:r>
          </w:p>
        </w:tc>
        <w:tc>
          <w:tcPr>
            <w:tcW w:w="1107" w:type="pct"/>
          </w:tcPr>
          <w:p w:rsidR="008E273C" w:rsidRDefault="008E273C" w:rsidP="00F708F0">
            <w:pPr>
              <w:pStyle w:val="BodyText"/>
            </w:pPr>
            <w:r>
              <w:t>7,938</w:t>
            </w:r>
          </w:p>
        </w:tc>
      </w:tr>
      <w:tr w:rsidR="008E273C" w:rsidTr="00F708F0">
        <w:trPr>
          <w:trHeight w:val="60"/>
        </w:trPr>
        <w:tc>
          <w:tcPr>
            <w:tcW w:w="1680" w:type="pct"/>
          </w:tcPr>
          <w:p w:rsidR="008E273C" w:rsidRDefault="008E273C" w:rsidP="00F708F0">
            <w:pPr>
              <w:pStyle w:val="BodyText"/>
            </w:pPr>
            <w:r>
              <w:t>QLD</w:t>
            </w:r>
          </w:p>
        </w:tc>
        <w:tc>
          <w:tcPr>
            <w:tcW w:w="1107" w:type="pct"/>
          </w:tcPr>
          <w:p w:rsidR="008E273C" w:rsidRDefault="008E273C" w:rsidP="00F708F0">
            <w:pPr>
              <w:pStyle w:val="BodyText"/>
            </w:pPr>
            <w:r>
              <w:t>5,428</w:t>
            </w:r>
          </w:p>
        </w:tc>
        <w:tc>
          <w:tcPr>
            <w:tcW w:w="1107" w:type="pct"/>
          </w:tcPr>
          <w:p w:rsidR="008E273C" w:rsidRDefault="008E273C" w:rsidP="00F708F0">
            <w:pPr>
              <w:pStyle w:val="BodyText"/>
            </w:pPr>
            <w:r>
              <w:t>1,088</w:t>
            </w:r>
          </w:p>
        </w:tc>
        <w:tc>
          <w:tcPr>
            <w:tcW w:w="1107" w:type="pct"/>
          </w:tcPr>
          <w:p w:rsidR="008E273C" w:rsidRDefault="008E273C" w:rsidP="00F708F0">
            <w:pPr>
              <w:pStyle w:val="BodyText"/>
            </w:pPr>
            <w:r>
              <w:t>6,516</w:t>
            </w:r>
          </w:p>
        </w:tc>
      </w:tr>
      <w:tr w:rsidR="008E273C" w:rsidTr="00F708F0">
        <w:trPr>
          <w:trHeight w:val="60"/>
        </w:trPr>
        <w:tc>
          <w:tcPr>
            <w:tcW w:w="1680" w:type="pct"/>
          </w:tcPr>
          <w:p w:rsidR="008E273C" w:rsidRDefault="008E273C" w:rsidP="00F708F0">
            <w:pPr>
              <w:pStyle w:val="BodyText"/>
            </w:pPr>
            <w:r>
              <w:t>SA</w:t>
            </w:r>
          </w:p>
        </w:tc>
        <w:tc>
          <w:tcPr>
            <w:tcW w:w="1107" w:type="pct"/>
          </w:tcPr>
          <w:p w:rsidR="008E273C" w:rsidRDefault="008E273C" w:rsidP="00F708F0">
            <w:pPr>
              <w:pStyle w:val="BodyText"/>
            </w:pPr>
            <w:r>
              <w:t>2,312</w:t>
            </w:r>
          </w:p>
        </w:tc>
        <w:tc>
          <w:tcPr>
            <w:tcW w:w="1107" w:type="pct"/>
          </w:tcPr>
          <w:p w:rsidR="008E273C" w:rsidRDefault="008E273C" w:rsidP="00F708F0">
            <w:pPr>
              <w:pStyle w:val="BodyText"/>
            </w:pPr>
            <w:r>
              <w:t>334</w:t>
            </w:r>
          </w:p>
        </w:tc>
        <w:tc>
          <w:tcPr>
            <w:tcW w:w="1107" w:type="pct"/>
          </w:tcPr>
          <w:p w:rsidR="008E273C" w:rsidRDefault="008E273C" w:rsidP="00F708F0">
            <w:pPr>
              <w:pStyle w:val="BodyText"/>
            </w:pPr>
            <w:r>
              <w:t>2,646</w:t>
            </w:r>
          </w:p>
        </w:tc>
      </w:tr>
      <w:tr w:rsidR="008E273C" w:rsidTr="00F708F0">
        <w:trPr>
          <w:trHeight w:val="60"/>
        </w:trPr>
        <w:tc>
          <w:tcPr>
            <w:tcW w:w="1680" w:type="pct"/>
          </w:tcPr>
          <w:p w:rsidR="008E273C" w:rsidRDefault="008E273C" w:rsidP="00F708F0">
            <w:pPr>
              <w:pStyle w:val="BodyText"/>
            </w:pPr>
            <w:r>
              <w:t>TAS</w:t>
            </w:r>
          </w:p>
        </w:tc>
        <w:tc>
          <w:tcPr>
            <w:tcW w:w="1107" w:type="pct"/>
          </w:tcPr>
          <w:p w:rsidR="008E273C" w:rsidRDefault="008E273C" w:rsidP="00F708F0">
            <w:pPr>
              <w:pStyle w:val="BodyText"/>
            </w:pPr>
            <w:r>
              <w:t>1,521</w:t>
            </w:r>
          </w:p>
        </w:tc>
        <w:tc>
          <w:tcPr>
            <w:tcW w:w="1107" w:type="pct"/>
          </w:tcPr>
          <w:p w:rsidR="008E273C" w:rsidRDefault="008E273C" w:rsidP="00F708F0">
            <w:pPr>
              <w:pStyle w:val="BodyText"/>
            </w:pPr>
            <w:r>
              <w:t>118</w:t>
            </w:r>
          </w:p>
        </w:tc>
        <w:tc>
          <w:tcPr>
            <w:tcW w:w="1107" w:type="pct"/>
          </w:tcPr>
          <w:p w:rsidR="008E273C" w:rsidRDefault="008E273C" w:rsidP="00F708F0">
            <w:pPr>
              <w:pStyle w:val="BodyText"/>
            </w:pPr>
            <w:r>
              <w:t>1,639</w:t>
            </w:r>
          </w:p>
        </w:tc>
      </w:tr>
      <w:tr w:rsidR="008E273C" w:rsidTr="00F708F0">
        <w:trPr>
          <w:trHeight w:val="60"/>
        </w:trPr>
        <w:tc>
          <w:tcPr>
            <w:tcW w:w="1680" w:type="pct"/>
          </w:tcPr>
          <w:p w:rsidR="008E273C" w:rsidRDefault="008E273C" w:rsidP="00F708F0">
            <w:pPr>
              <w:pStyle w:val="BodyText"/>
            </w:pPr>
            <w:r>
              <w:t>VIC</w:t>
            </w:r>
          </w:p>
        </w:tc>
        <w:tc>
          <w:tcPr>
            <w:tcW w:w="1107" w:type="pct"/>
          </w:tcPr>
          <w:p w:rsidR="008E273C" w:rsidRDefault="008E273C" w:rsidP="00F708F0">
            <w:pPr>
              <w:pStyle w:val="BodyText"/>
            </w:pPr>
            <w:r>
              <w:t>5,246</w:t>
            </w:r>
          </w:p>
        </w:tc>
        <w:tc>
          <w:tcPr>
            <w:tcW w:w="1107" w:type="pct"/>
          </w:tcPr>
          <w:p w:rsidR="008E273C" w:rsidRDefault="008E273C" w:rsidP="00F708F0">
            <w:pPr>
              <w:pStyle w:val="BodyText"/>
            </w:pPr>
            <w:r>
              <w:t>965</w:t>
            </w:r>
          </w:p>
        </w:tc>
        <w:tc>
          <w:tcPr>
            <w:tcW w:w="1107" w:type="pct"/>
          </w:tcPr>
          <w:p w:rsidR="008E273C" w:rsidRDefault="008E273C" w:rsidP="00F708F0">
            <w:pPr>
              <w:pStyle w:val="BodyText"/>
            </w:pPr>
            <w:r>
              <w:t>6,211</w:t>
            </w:r>
          </w:p>
        </w:tc>
      </w:tr>
      <w:tr w:rsidR="008E273C" w:rsidTr="00F708F0">
        <w:trPr>
          <w:trHeight w:val="60"/>
        </w:trPr>
        <w:tc>
          <w:tcPr>
            <w:tcW w:w="1680" w:type="pct"/>
          </w:tcPr>
          <w:p w:rsidR="008E273C" w:rsidRDefault="008E273C" w:rsidP="00F708F0">
            <w:pPr>
              <w:pStyle w:val="BodyText"/>
            </w:pPr>
            <w:r>
              <w:t>WA</w:t>
            </w:r>
          </w:p>
        </w:tc>
        <w:tc>
          <w:tcPr>
            <w:tcW w:w="1107" w:type="pct"/>
          </w:tcPr>
          <w:p w:rsidR="008E273C" w:rsidRDefault="008E273C" w:rsidP="00F708F0">
            <w:pPr>
              <w:pStyle w:val="BodyText"/>
            </w:pPr>
            <w:r>
              <w:t>1,765</w:t>
            </w:r>
          </w:p>
        </w:tc>
        <w:tc>
          <w:tcPr>
            <w:tcW w:w="1107" w:type="pct"/>
          </w:tcPr>
          <w:p w:rsidR="008E273C" w:rsidRDefault="008E273C" w:rsidP="00F708F0">
            <w:pPr>
              <w:pStyle w:val="BodyText"/>
            </w:pPr>
            <w:r>
              <w:t>415</w:t>
            </w:r>
          </w:p>
        </w:tc>
        <w:tc>
          <w:tcPr>
            <w:tcW w:w="1107" w:type="pct"/>
          </w:tcPr>
          <w:p w:rsidR="008E273C" w:rsidRDefault="008E273C" w:rsidP="00F708F0">
            <w:pPr>
              <w:pStyle w:val="BodyText"/>
            </w:pPr>
            <w:r>
              <w:t>2,180</w:t>
            </w:r>
          </w:p>
        </w:tc>
      </w:tr>
      <w:tr w:rsidR="008E273C" w:rsidTr="00F708F0">
        <w:trPr>
          <w:trHeight w:val="60"/>
        </w:trPr>
        <w:tc>
          <w:tcPr>
            <w:tcW w:w="1680" w:type="pct"/>
          </w:tcPr>
          <w:p w:rsidR="008E273C" w:rsidRDefault="008E273C" w:rsidP="00F708F0">
            <w:pPr>
              <w:pStyle w:val="BodyText"/>
            </w:pPr>
            <w:r>
              <w:t>ACT</w:t>
            </w:r>
          </w:p>
        </w:tc>
        <w:tc>
          <w:tcPr>
            <w:tcW w:w="1107" w:type="pct"/>
          </w:tcPr>
          <w:p w:rsidR="008E273C" w:rsidRDefault="008E273C" w:rsidP="00F708F0">
            <w:pPr>
              <w:pStyle w:val="BodyText"/>
            </w:pPr>
            <w:r>
              <w:t>4,011</w:t>
            </w:r>
          </w:p>
        </w:tc>
        <w:tc>
          <w:tcPr>
            <w:tcW w:w="1107" w:type="pct"/>
          </w:tcPr>
          <w:p w:rsidR="008E273C" w:rsidRDefault="008E273C" w:rsidP="00F708F0">
            <w:pPr>
              <w:pStyle w:val="BodyText"/>
            </w:pPr>
            <w:r>
              <w:t>179</w:t>
            </w:r>
          </w:p>
        </w:tc>
        <w:tc>
          <w:tcPr>
            <w:tcW w:w="1107" w:type="pct"/>
          </w:tcPr>
          <w:p w:rsidR="008E273C" w:rsidRDefault="008E273C" w:rsidP="00F708F0">
            <w:pPr>
              <w:pStyle w:val="BodyText"/>
            </w:pPr>
            <w:r>
              <w:t>4,190</w:t>
            </w:r>
          </w:p>
        </w:tc>
      </w:tr>
      <w:tr w:rsidR="008E273C" w:rsidTr="00F708F0">
        <w:trPr>
          <w:trHeight w:val="60"/>
        </w:trPr>
        <w:tc>
          <w:tcPr>
            <w:tcW w:w="1680" w:type="pct"/>
          </w:tcPr>
          <w:p w:rsidR="008E273C" w:rsidRDefault="008E273C" w:rsidP="00F708F0">
            <w:pPr>
              <w:pStyle w:val="BodyText"/>
            </w:pPr>
            <w:r>
              <w:t>NT</w:t>
            </w:r>
          </w:p>
        </w:tc>
        <w:tc>
          <w:tcPr>
            <w:tcW w:w="1107" w:type="pct"/>
          </w:tcPr>
          <w:p w:rsidR="008E273C" w:rsidRDefault="008E273C" w:rsidP="00F708F0">
            <w:pPr>
              <w:pStyle w:val="BodyText"/>
            </w:pPr>
            <w:r>
              <w:t>388</w:t>
            </w:r>
          </w:p>
        </w:tc>
        <w:tc>
          <w:tcPr>
            <w:tcW w:w="1107" w:type="pct"/>
          </w:tcPr>
          <w:p w:rsidR="008E273C" w:rsidRDefault="008E273C" w:rsidP="00F708F0">
            <w:pPr>
              <w:pStyle w:val="BodyText"/>
            </w:pPr>
            <w:r>
              <w:t>45</w:t>
            </w:r>
          </w:p>
        </w:tc>
        <w:tc>
          <w:tcPr>
            <w:tcW w:w="1107" w:type="pct"/>
          </w:tcPr>
          <w:p w:rsidR="008E273C" w:rsidRDefault="008E273C" w:rsidP="00F708F0">
            <w:pPr>
              <w:pStyle w:val="BodyText"/>
            </w:pPr>
            <w:r>
              <w:t>433</w:t>
            </w:r>
          </w:p>
        </w:tc>
      </w:tr>
      <w:tr w:rsidR="008E273C" w:rsidTr="00F708F0">
        <w:trPr>
          <w:trHeight w:val="60"/>
        </w:trPr>
        <w:tc>
          <w:tcPr>
            <w:tcW w:w="1680" w:type="pct"/>
          </w:tcPr>
          <w:p w:rsidR="008E273C" w:rsidRDefault="008E273C" w:rsidP="00F708F0">
            <w:pPr>
              <w:pStyle w:val="BodyText"/>
            </w:pPr>
            <w:r>
              <w:t>External territories</w:t>
            </w:r>
          </w:p>
        </w:tc>
        <w:tc>
          <w:tcPr>
            <w:tcW w:w="1107" w:type="pct"/>
          </w:tcPr>
          <w:p w:rsidR="008E273C" w:rsidRDefault="008E273C" w:rsidP="00F708F0">
            <w:pPr>
              <w:pStyle w:val="BodyText"/>
            </w:pPr>
            <w:r>
              <w:t>0</w:t>
            </w:r>
          </w:p>
        </w:tc>
        <w:tc>
          <w:tcPr>
            <w:tcW w:w="1107" w:type="pct"/>
          </w:tcPr>
          <w:p w:rsidR="008E273C" w:rsidRDefault="008E273C" w:rsidP="00F708F0">
            <w:pPr>
              <w:pStyle w:val="BodyText"/>
            </w:pPr>
            <w:r>
              <w:t>0</w:t>
            </w:r>
          </w:p>
        </w:tc>
        <w:tc>
          <w:tcPr>
            <w:tcW w:w="1107" w:type="pct"/>
          </w:tcPr>
          <w:p w:rsidR="008E273C" w:rsidRDefault="008E273C" w:rsidP="00F708F0">
            <w:pPr>
              <w:pStyle w:val="BodyText"/>
            </w:pPr>
            <w:r>
              <w:t>0</w:t>
            </w:r>
          </w:p>
        </w:tc>
      </w:tr>
      <w:tr w:rsidR="008E273C" w:rsidTr="00F708F0">
        <w:trPr>
          <w:trHeight w:val="60"/>
        </w:trPr>
        <w:tc>
          <w:tcPr>
            <w:tcW w:w="1680" w:type="pct"/>
          </w:tcPr>
          <w:p w:rsidR="008E273C" w:rsidRDefault="008E273C" w:rsidP="00F708F0">
            <w:pPr>
              <w:pStyle w:val="BodyText"/>
            </w:pPr>
            <w:r>
              <w:t>Overseas</w:t>
            </w:r>
          </w:p>
        </w:tc>
        <w:tc>
          <w:tcPr>
            <w:tcW w:w="1107" w:type="pct"/>
          </w:tcPr>
          <w:p w:rsidR="008E273C" w:rsidRDefault="008E273C" w:rsidP="00F708F0">
            <w:pPr>
              <w:pStyle w:val="BodyText"/>
            </w:pPr>
            <w:r>
              <w:t>0</w:t>
            </w:r>
          </w:p>
        </w:tc>
        <w:tc>
          <w:tcPr>
            <w:tcW w:w="1107" w:type="pct"/>
          </w:tcPr>
          <w:p w:rsidR="008E273C" w:rsidRDefault="008E273C" w:rsidP="00F708F0">
            <w:pPr>
              <w:pStyle w:val="BodyText"/>
            </w:pPr>
            <w:r>
              <w:t>0</w:t>
            </w:r>
          </w:p>
        </w:tc>
        <w:tc>
          <w:tcPr>
            <w:tcW w:w="1107" w:type="pct"/>
          </w:tcPr>
          <w:p w:rsidR="008E273C" w:rsidRDefault="008E273C" w:rsidP="00F708F0">
            <w:pPr>
              <w:pStyle w:val="BodyText"/>
            </w:pPr>
            <w:r>
              <w:t>0</w:t>
            </w:r>
          </w:p>
        </w:tc>
      </w:tr>
      <w:tr w:rsidR="008E273C" w:rsidTr="00F708F0">
        <w:trPr>
          <w:trHeight w:val="60"/>
        </w:trPr>
        <w:tc>
          <w:tcPr>
            <w:tcW w:w="1680" w:type="pct"/>
          </w:tcPr>
          <w:p w:rsidR="008E273C" w:rsidRDefault="008E273C" w:rsidP="00F708F0">
            <w:pPr>
              <w:pStyle w:val="BodyText"/>
            </w:pPr>
            <w:r>
              <w:rPr>
                <w:rStyle w:val="Bold"/>
              </w:rPr>
              <w:t>Total</w:t>
            </w:r>
          </w:p>
        </w:tc>
        <w:tc>
          <w:tcPr>
            <w:tcW w:w="1107" w:type="pct"/>
          </w:tcPr>
          <w:p w:rsidR="008E273C" w:rsidRDefault="008E273C" w:rsidP="00F708F0">
            <w:pPr>
              <w:pStyle w:val="BodyText"/>
            </w:pPr>
            <w:r>
              <w:rPr>
                <w:rStyle w:val="Bold"/>
              </w:rPr>
              <w:t>27,549</w:t>
            </w:r>
          </w:p>
        </w:tc>
        <w:tc>
          <w:tcPr>
            <w:tcW w:w="1107" w:type="pct"/>
          </w:tcPr>
          <w:p w:rsidR="008E273C" w:rsidRDefault="008E273C" w:rsidP="00F708F0">
            <w:pPr>
              <w:pStyle w:val="BodyText"/>
            </w:pPr>
            <w:r>
              <w:rPr>
                <w:rStyle w:val="Bold"/>
              </w:rPr>
              <w:t>4,204</w:t>
            </w:r>
          </w:p>
        </w:tc>
        <w:tc>
          <w:tcPr>
            <w:tcW w:w="1107" w:type="pct"/>
          </w:tcPr>
          <w:p w:rsidR="008E273C" w:rsidRDefault="008E273C" w:rsidP="00F708F0">
            <w:pPr>
              <w:pStyle w:val="BodyText"/>
            </w:pPr>
            <w:r>
              <w:rPr>
                <w:rStyle w:val="Bold"/>
              </w:rPr>
              <w:t>31,753</w:t>
            </w:r>
          </w:p>
        </w:tc>
      </w:tr>
    </w:tbl>
    <w:p w:rsidR="008E273C" w:rsidRDefault="00F708F0" w:rsidP="00F708F0">
      <w:pPr>
        <w:pStyle w:val="BodyText"/>
      </w:pPr>
      <w:r>
        <w:t xml:space="preserve">(a) </w:t>
      </w:r>
      <w:r w:rsidR="008E273C">
        <w:t>Non-ongoing employees includes irregular/intermittent staff.</w:t>
      </w:r>
    </w:p>
    <w:p w:rsidR="008E273C" w:rsidRPr="00F708F0" w:rsidRDefault="00F708F0" w:rsidP="00F708F0">
      <w:pPr>
        <w:pStyle w:val="BodyText"/>
        <w:rPr>
          <w:b/>
        </w:rPr>
      </w:pPr>
      <w:r w:rsidRPr="00F708F0">
        <w:rPr>
          <w:b/>
        </w:rPr>
        <w:t>Table 69:</w:t>
      </w:r>
      <w:r w:rsidR="008E273C" w:rsidRPr="00F708F0">
        <w:rPr>
          <w:b/>
        </w:rPr>
        <w:t xml:space="preserve"> Australian Public Service Act employment type by location at 30 June 2019</w:t>
      </w:r>
    </w:p>
    <w:tbl>
      <w:tblPr>
        <w:tblStyle w:val="TableGrid"/>
        <w:tblW w:w="5000" w:type="pct"/>
        <w:tblLook w:val="0000" w:firstRow="0" w:lastRow="0" w:firstColumn="0" w:lastColumn="0" w:noHBand="0" w:noVBand="0"/>
        <w:tblCaption w:val="Table 69: Australian Public Service Act employment type by location at 30 June 2019"/>
        <w:tblDescription w:val="Table 69: Australian Public Service Act employment type by location at 30 June 2019"/>
      </w:tblPr>
      <w:tblGrid>
        <w:gridCol w:w="3728"/>
        <w:gridCol w:w="2457"/>
        <w:gridCol w:w="2457"/>
        <w:gridCol w:w="2454"/>
      </w:tblGrid>
      <w:tr w:rsidR="008E273C" w:rsidTr="00041C90">
        <w:trPr>
          <w:trHeight w:val="60"/>
          <w:tblHeader/>
        </w:trPr>
        <w:tc>
          <w:tcPr>
            <w:tcW w:w="1680" w:type="pct"/>
          </w:tcPr>
          <w:p w:rsidR="008E273C" w:rsidRPr="00041C90" w:rsidRDefault="008E273C" w:rsidP="00041C90">
            <w:pPr>
              <w:pStyle w:val="BodyText"/>
              <w:rPr>
                <w:b/>
              </w:rPr>
            </w:pPr>
          </w:p>
        </w:tc>
        <w:tc>
          <w:tcPr>
            <w:tcW w:w="1107" w:type="pct"/>
          </w:tcPr>
          <w:p w:rsidR="008E273C" w:rsidRPr="00041C90" w:rsidRDefault="008E273C" w:rsidP="00041C90">
            <w:pPr>
              <w:pStyle w:val="BodyText"/>
              <w:rPr>
                <w:b/>
              </w:rPr>
            </w:pPr>
            <w:r w:rsidRPr="00041C90">
              <w:rPr>
                <w:b/>
              </w:rPr>
              <w:t>Ongoing</w:t>
            </w:r>
          </w:p>
        </w:tc>
        <w:tc>
          <w:tcPr>
            <w:tcW w:w="1107" w:type="pct"/>
          </w:tcPr>
          <w:p w:rsidR="008E273C" w:rsidRPr="00041C90" w:rsidRDefault="008E273C" w:rsidP="00041C90">
            <w:pPr>
              <w:pStyle w:val="BodyText"/>
              <w:rPr>
                <w:b/>
              </w:rPr>
            </w:pPr>
            <w:r w:rsidRPr="00041C90">
              <w:rPr>
                <w:b/>
              </w:rPr>
              <w:t>Non-ongoing</w:t>
            </w:r>
            <w:r w:rsidRPr="00041C90">
              <w:rPr>
                <w:b/>
                <w:vertAlign w:val="superscript"/>
              </w:rPr>
              <w:t>(a)</w:t>
            </w:r>
          </w:p>
        </w:tc>
        <w:tc>
          <w:tcPr>
            <w:tcW w:w="1107" w:type="pct"/>
          </w:tcPr>
          <w:p w:rsidR="008E273C" w:rsidRPr="00041C90" w:rsidRDefault="008E273C" w:rsidP="00041C90">
            <w:pPr>
              <w:pStyle w:val="BodyText"/>
              <w:rPr>
                <w:b/>
              </w:rPr>
            </w:pPr>
            <w:r w:rsidRPr="00041C90">
              <w:rPr>
                <w:b/>
              </w:rPr>
              <w:t>Total</w:t>
            </w:r>
          </w:p>
        </w:tc>
      </w:tr>
      <w:tr w:rsidR="008E273C" w:rsidTr="00041C90">
        <w:trPr>
          <w:trHeight w:val="60"/>
        </w:trPr>
        <w:tc>
          <w:tcPr>
            <w:tcW w:w="1680" w:type="pct"/>
          </w:tcPr>
          <w:p w:rsidR="008E273C" w:rsidRDefault="008E273C" w:rsidP="00041C90">
            <w:pPr>
              <w:pStyle w:val="BodyText"/>
            </w:pPr>
            <w:r>
              <w:t>NSW</w:t>
            </w:r>
          </w:p>
        </w:tc>
        <w:tc>
          <w:tcPr>
            <w:tcW w:w="1107" w:type="pct"/>
          </w:tcPr>
          <w:p w:rsidR="008E273C" w:rsidRDefault="008E273C" w:rsidP="00041C90">
            <w:pPr>
              <w:pStyle w:val="BodyText"/>
            </w:pPr>
            <w:r>
              <w:t>7,133</w:t>
            </w:r>
          </w:p>
        </w:tc>
        <w:tc>
          <w:tcPr>
            <w:tcW w:w="1107" w:type="pct"/>
          </w:tcPr>
          <w:p w:rsidR="008E273C" w:rsidRDefault="008E273C" w:rsidP="00041C90">
            <w:pPr>
              <w:pStyle w:val="BodyText"/>
            </w:pPr>
            <w:r>
              <w:t>490</w:t>
            </w:r>
          </w:p>
        </w:tc>
        <w:tc>
          <w:tcPr>
            <w:tcW w:w="1107" w:type="pct"/>
          </w:tcPr>
          <w:p w:rsidR="008E273C" w:rsidRDefault="008E273C" w:rsidP="00041C90">
            <w:pPr>
              <w:pStyle w:val="BodyText"/>
            </w:pPr>
            <w:r>
              <w:t>7,623</w:t>
            </w:r>
          </w:p>
        </w:tc>
      </w:tr>
      <w:tr w:rsidR="008E273C" w:rsidTr="00041C90">
        <w:trPr>
          <w:trHeight w:val="60"/>
        </w:trPr>
        <w:tc>
          <w:tcPr>
            <w:tcW w:w="1680" w:type="pct"/>
          </w:tcPr>
          <w:p w:rsidR="008E273C" w:rsidRDefault="008E273C" w:rsidP="00041C90">
            <w:pPr>
              <w:pStyle w:val="BodyText"/>
            </w:pPr>
            <w:r>
              <w:t>QLD</w:t>
            </w:r>
          </w:p>
        </w:tc>
        <w:tc>
          <w:tcPr>
            <w:tcW w:w="1107" w:type="pct"/>
          </w:tcPr>
          <w:p w:rsidR="008E273C" w:rsidRDefault="008E273C" w:rsidP="00041C90">
            <w:pPr>
              <w:pStyle w:val="BodyText"/>
            </w:pPr>
            <w:r>
              <w:t>5,500</w:t>
            </w:r>
          </w:p>
        </w:tc>
        <w:tc>
          <w:tcPr>
            <w:tcW w:w="1107" w:type="pct"/>
          </w:tcPr>
          <w:p w:rsidR="008E273C" w:rsidRDefault="008E273C" w:rsidP="00041C90">
            <w:pPr>
              <w:pStyle w:val="BodyText"/>
            </w:pPr>
            <w:r>
              <w:t>647</w:t>
            </w:r>
          </w:p>
        </w:tc>
        <w:tc>
          <w:tcPr>
            <w:tcW w:w="1107" w:type="pct"/>
          </w:tcPr>
          <w:p w:rsidR="008E273C" w:rsidRDefault="008E273C" w:rsidP="00041C90">
            <w:pPr>
              <w:pStyle w:val="BodyText"/>
            </w:pPr>
            <w:r>
              <w:t>6,147</w:t>
            </w:r>
          </w:p>
        </w:tc>
      </w:tr>
      <w:tr w:rsidR="008E273C" w:rsidTr="00041C90">
        <w:trPr>
          <w:trHeight w:val="60"/>
        </w:trPr>
        <w:tc>
          <w:tcPr>
            <w:tcW w:w="1680" w:type="pct"/>
          </w:tcPr>
          <w:p w:rsidR="008E273C" w:rsidRDefault="008E273C" w:rsidP="00041C90">
            <w:pPr>
              <w:pStyle w:val="BodyText"/>
            </w:pPr>
            <w:r>
              <w:t>SA</w:t>
            </w:r>
          </w:p>
        </w:tc>
        <w:tc>
          <w:tcPr>
            <w:tcW w:w="1107" w:type="pct"/>
          </w:tcPr>
          <w:p w:rsidR="008E273C" w:rsidRDefault="008E273C" w:rsidP="00041C90">
            <w:pPr>
              <w:pStyle w:val="BodyText"/>
            </w:pPr>
            <w:r>
              <w:t>2,335</w:t>
            </w:r>
          </w:p>
        </w:tc>
        <w:tc>
          <w:tcPr>
            <w:tcW w:w="1107" w:type="pct"/>
          </w:tcPr>
          <w:p w:rsidR="008E273C" w:rsidRDefault="008E273C" w:rsidP="00041C90">
            <w:pPr>
              <w:pStyle w:val="BodyText"/>
            </w:pPr>
            <w:r>
              <w:t>218</w:t>
            </w:r>
          </w:p>
        </w:tc>
        <w:tc>
          <w:tcPr>
            <w:tcW w:w="1107" w:type="pct"/>
          </w:tcPr>
          <w:p w:rsidR="008E273C" w:rsidRDefault="008E273C" w:rsidP="00041C90">
            <w:pPr>
              <w:pStyle w:val="BodyText"/>
            </w:pPr>
            <w:r>
              <w:t>2,553</w:t>
            </w:r>
          </w:p>
        </w:tc>
      </w:tr>
      <w:tr w:rsidR="008E273C" w:rsidTr="00041C90">
        <w:trPr>
          <w:trHeight w:val="60"/>
        </w:trPr>
        <w:tc>
          <w:tcPr>
            <w:tcW w:w="1680" w:type="pct"/>
          </w:tcPr>
          <w:p w:rsidR="008E273C" w:rsidRDefault="008E273C" w:rsidP="00041C90">
            <w:pPr>
              <w:pStyle w:val="BodyText"/>
            </w:pPr>
            <w:r>
              <w:t>TAS</w:t>
            </w:r>
          </w:p>
        </w:tc>
        <w:tc>
          <w:tcPr>
            <w:tcW w:w="1107" w:type="pct"/>
          </w:tcPr>
          <w:p w:rsidR="008E273C" w:rsidRDefault="008E273C" w:rsidP="00041C90">
            <w:pPr>
              <w:pStyle w:val="BodyText"/>
            </w:pPr>
            <w:r>
              <w:t>1,551</w:t>
            </w:r>
          </w:p>
        </w:tc>
        <w:tc>
          <w:tcPr>
            <w:tcW w:w="1107" w:type="pct"/>
          </w:tcPr>
          <w:p w:rsidR="008E273C" w:rsidRDefault="008E273C" w:rsidP="00041C90">
            <w:pPr>
              <w:pStyle w:val="BodyText"/>
            </w:pPr>
            <w:r>
              <w:t>57</w:t>
            </w:r>
          </w:p>
        </w:tc>
        <w:tc>
          <w:tcPr>
            <w:tcW w:w="1107" w:type="pct"/>
          </w:tcPr>
          <w:p w:rsidR="008E273C" w:rsidRDefault="008E273C" w:rsidP="00041C90">
            <w:pPr>
              <w:pStyle w:val="BodyText"/>
            </w:pPr>
            <w:r>
              <w:t>1,608</w:t>
            </w:r>
          </w:p>
        </w:tc>
      </w:tr>
      <w:tr w:rsidR="008E273C" w:rsidTr="00041C90">
        <w:trPr>
          <w:trHeight w:val="60"/>
        </w:trPr>
        <w:tc>
          <w:tcPr>
            <w:tcW w:w="1680" w:type="pct"/>
          </w:tcPr>
          <w:p w:rsidR="008E273C" w:rsidRDefault="008E273C" w:rsidP="00041C90">
            <w:pPr>
              <w:pStyle w:val="BodyText"/>
            </w:pPr>
            <w:r>
              <w:t>VIC</w:t>
            </w:r>
          </w:p>
        </w:tc>
        <w:tc>
          <w:tcPr>
            <w:tcW w:w="1107" w:type="pct"/>
          </w:tcPr>
          <w:p w:rsidR="008E273C" w:rsidRDefault="008E273C" w:rsidP="00041C90">
            <w:pPr>
              <w:pStyle w:val="BodyText"/>
            </w:pPr>
            <w:r>
              <w:t>5,354</w:t>
            </w:r>
          </w:p>
        </w:tc>
        <w:tc>
          <w:tcPr>
            <w:tcW w:w="1107" w:type="pct"/>
          </w:tcPr>
          <w:p w:rsidR="008E273C" w:rsidRDefault="008E273C" w:rsidP="00041C90">
            <w:pPr>
              <w:pStyle w:val="BodyText"/>
            </w:pPr>
            <w:r>
              <w:t>670</w:t>
            </w:r>
          </w:p>
        </w:tc>
        <w:tc>
          <w:tcPr>
            <w:tcW w:w="1107" w:type="pct"/>
          </w:tcPr>
          <w:p w:rsidR="008E273C" w:rsidRDefault="008E273C" w:rsidP="00041C90">
            <w:pPr>
              <w:pStyle w:val="BodyText"/>
            </w:pPr>
            <w:r>
              <w:t>6,024</w:t>
            </w:r>
          </w:p>
        </w:tc>
      </w:tr>
      <w:tr w:rsidR="008E273C" w:rsidTr="00041C90">
        <w:trPr>
          <w:trHeight w:val="60"/>
        </w:trPr>
        <w:tc>
          <w:tcPr>
            <w:tcW w:w="1680" w:type="pct"/>
          </w:tcPr>
          <w:p w:rsidR="008E273C" w:rsidRDefault="008E273C" w:rsidP="00041C90">
            <w:pPr>
              <w:pStyle w:val="BodyText"/>
            </w:pPr>
            <w:r>
              <w:t>WA</w:t>
            </w:r>
          </w:p>
        </w:tc>
        <w:tc>
          <w:tcPr>
            <w:tcW w:w="1107" w:type="pct"/>
          </w:tcPr>
          <w:p w:rsidR="008E273C" w:rsidRDefault="008E273C" w:rsidP="00041C90">
            <w:pPr>
              <w:pStyle w:val="BodyText"/>
            </w:pPr>
            <w:r>
              <w:t>1,797</w:t>
            </w:r>
          </w:p>
        </w:tc>
        <w:tc>
          <w:tcPr>
            <w:tcW w:w="1107" w:type="pct"/>
          </w:tcPr>
          <w:p w:rsidR="008E273C" w:rsidRDefault="008E273C" w:rsidP="00041C90">
            <w:pPr>
              <w:pStyle w:val="BodyText"/>
            </w:pPr>
            <w:r>
              <w:t>325</w:t>
            </w:r>
          </w:p>
        </w:tc>
        <w:tc>
          <w:tcPr>
            <w:tcW w:w="1107" w:type="pct"/>
          </w:tcPr>
          <w:p w:rsidR="008E273C" w:rsidRDefault="008E273C" w:rsidP="00041C90">
            <w:pPr>
              <w:pStyle w:val="BodyText"/>
            </w:pPr>
            <w:r>
              <w:t>2,122</w:t>
            </w:r>
          </w:p>
        </w:tc>
      </w:tr>
      <w:tr w:rsidR="008E273C" w:rsidTr="00041C90">
        <w:trPr>
          <w:trHeight w:val="60"/>
        </w:trPr>
        <w:tc>
          <w:tcPr>
            <w:tcW w:w="1680" w:type="pct"/>
          </w:tcPr>
          <w:p w:rsidR="008E273C" w:rsidRDefault="008E273C" w:rsidP="00041C90">
            <w:pPr>
              <w:pStyle w:val="BodyText"/>
            </w:pPr>
            <w:r>
              <w:t>ACT</w:t>
            </w:r>
          </w:p>
        </w:tc>
        <w:tc>
          <w:tcPr>
            <w:tcW w:w="1107" w:type="pct"/>
          </w:tcPr>
          <w:p w:rsidR="008E273C" w:rsidRDefault="008E273C" w:rsidP="00041C90">
            <w:pPr>
              <w:pStyle w:val="BodyText"/>
            </w:pPr>
            <w:r>
              <w:t>4,000</w:t>
            </w:r>
          </w:p>
        </w:tc>
        <w:tc>
          <w:tcPr>
            <w:tcW w:w="1107" w:type="pct"/>
          </w:tcPr>
          <w:p w:rsidR="008E273C" w:rsidRDefault="008E273C" w:rsidP="00041C90">
            <w:pPr>
              <w:pStyle w:val="BodyText"/>
            </w:pPr>
            <w:r>
              <w:t>73</w:t>
            </w:r>
          </w:p>
        </w:tc>
        <w:tc>
          <w:tcPr>
            <w:tcW w:w="1107" w:type="pct"/>
          </w:tcPr>
          <w:p w:rsidR="008E273C" w:rsidRDefault="008E273C" w:rsidP="00041C90">
            <w:pPr>
              <w:pStyle w:val="BodyText"/>
            </w:pPr>
            <w:r>
              <w:t>4,073</w:t>
            </w:r>
          </w:p>
        </w:tc>
      </w:tr>
      <w:tr w:rsidR="008E273C" w:rsidTr="00041C90">
        <w:trPr>
          <w:trHeight w:val="60"/>
        </w:trPr>
        <w:tc>
          <w:tcPr>
            <w:tcW w:w="1680" w:type="pct"/>
          </w:tcPr>
          <w:p w:rsidR="008E273C" w:rsidRDefault="008E273C" w:rsidP="00041C90">
            <w:pPr>
              <w:pStyle w:val="BodyText"/>
            </w:pPr>
            <w:r>
              <w:t>NT</w:t>
            </w:r>
          </w:p>
        </w:tc>
        <w:tc>
          <w:tcPr>
            <w:tcW w:w="1107" w:type="pct"/>
          </w:tcPr>
          <w:p w:rsidR="008E273C" w:rsidRDefault="008E273C" w:rsidP="00041C90">
            <w:pPr>
              <w:pStyle w:val="BodyText"/>
            </w:pPr>
            <w:r>
              <w:t>422</w:t>
            </w:r>
          </w:p>
        </w:tc>
        <w:tc>
          <w:tcPr>
            <w:tcW w:w="1107" w:type="pct"/>
          </w:tcPr>
          <w:p w:rsidR="008E273C" w:rsidRDefault="008E273C" w:rsidP="00041C90">
            <w:pPr>
              <w:pStyle w:val="BodyText"/>
            </w:pPr>
            <w:r>
              <w:t>23</w:t>
            </w:r>
          </w:p>
        </w:tc>
        <w:tc>
          <w:tcPr>
            <w:tcW w:w="1107" w:type="pct"/>
          </w:tcPr>
          <w:p w:rsidR="008E273C" w:rsidRDefault="008E273C" w:rsidP="00041C90">
            <w:pPr>
              <w:pStyle w:val="BodyText"/>
            </w:pPr>
            <w:r>
              <w:t>445</w:t>
            </w:r>
          </w:p>
        </w:tc>
      </w:tr>
      <w:tr w:rsidR="008E273C" w:rsidTr="00041C90">
        <w:trPr>
          <w:trHeight w:val="60"/>
        </w:trPr>
        <w:tc>
          <w:tcPr>
            <w:tcW w:w="1680" w:type="pct"/>
          </w:tcPr>
          <w:p w:rsidR="008E273C" w:rsidRDefault="008E273C" w:rsidP="00041C90">
            <w:pPr>
              <w:pStyle w:val="BodyText"/>
            </w:pPr>
            <w:r>
              <w:t>External territories</w:t>
            </w:r>
          </w:p>
        </w:tc>
        <w:tc>
          <w:tcPr>
            <w:tcW w:w="1107" w:type="pct"/>
          </w:tcPr>
          <w:p w:rsidR="008E273C" w:rsidRDefault="008E273C" w:rsidP="00041C90">
            <w:pPr>
              <w:pStyle w:val="BodyText"/>
            </w:pPr>
            <w:r>
              <w:t>0</w:t>
            </w:r>
          </w:p>
        </w:tc>
        <w:tc>
          <w:tcPr>
            <w:tcW w:w="1107" w:type="pct"/>
          </w:tcPr>
          <w:p w:rsidR="008E273C" w:rsidRDefault="008E273C" w:rsidP="00041C90">
            <w:pPr>
              <w:pStyle w:val="BodyText"/>
            </w:pPr>
            <w:r>
              <w:t>0</w:t>
            </w:r>
          </w:p>
        </w:tc>
        <w:tc>
          <w:tcPr>
            <w:tcW w:w="1107" w:type="pct"/>
          </w:tcPr>
          <w:p w:rsidR="008E273C" w:rsidRDefault="008E273C" w:rsidP="00041C90">
            <w:pPr>
              <w:pStyle w:val="BodyText"/>
            </w:pPr>
            <w:r>
              <w:t>0</w:t>
            </w:r>
          </w:p>
        </w:tc>
      </w:tr>
      <w:tr w:rsidR="008E273C" w:rsidTr="00041C90">
        <w:trPr>
          <w:trHeight w:val="60"/>
        </w:trPr>
        <w:tc>
          <w:tcPr>
            <w:tcW w:w="1680" w:type="pct"/>
          </w:tcPr>
          <w:p w:rsidR="008E273C" w:rsidRDefault="008E273C" w:rsidP="00041C90">
            <w:pPr>
              <w:pStyle w:val="BodyText"/>
            </w:pPr>
            <w:r>
              <w:t>Overseas</w:t>
            </w:r>
          </w:p>
        </w:tc>
        <w:tc>
          <w:tcPr>
            <w:tcW w:w="1107" w:type="pct"/>
          </w:tcPr>
          <w:p w:rsidR="008E273C" w:rsidRDefault="008E273C" w:rsidP="00041C90">
            <w:pPr>
              <w:pStyle w:val="BodyText"/>
            </w:pPr>
            <w:r>
              <w:t>0</w:t>
            </w:r>
          </w:p>
        </w:tc>
        <w:tc>
          <w:tcPr>
            <w:tcW w:w="1107" w:type="pct"/>
          </w:tcPr>
          <w:p w:rsidR="008E273C" w:rsidRDefault="008E273C" w:rsidP="00041C90">
            <w:pPr>
              <w:pStyle w:val="BodyText"/>
            </w:pPr>
            <w:r>
              <w:t>0</w:t>
            </w:r>
          </w:p>
        </w:tc>
        <w:tc>
          <w:tcPr>
            <w:tcW w:w="1107" w:type="pct"/>
          </w:tcPr>
          <w:p w:rsidR="008E273C" w:rsidRDefault="008E273C" w:rsidP="00041C90">
            <w:pPr>
              <w:pStyle w:val="BodyText"/>
            </w:pPr>
            <w:r>
              <w:t>0</w:t>
            </w:r>
          </w:p>
        </w:tc>
      </w:tr>
      <w:tr w:rsidR="008E273C" w:rsidTr="00041C90">
        <w:trPr>
          <w:trHeight w:val="60"/>
        </w:trPr>
        <w:tc>
          <w:tcPr>
            <w:tcW w:w="1680" w:type="pct"/>
          </w:tcPr>
          <w:p w:rsidR="008E273C" w:rsidRDefault="008E273C" w:rsidP="00041C90">
            <w:pPr>
              <w:pStyle w:val="BodyText"/>
            </w:pPr>
            <w:r>
              <w:rPr>
                <w:rStyle w:val="Bold"/>
              </w:rPr>
              <w:t>Total</w:t>
            </w:r>
          </w:p>
        </w:tc>
        <w:tc>
          <w:tcPr>
            <w:tcW w:w="1107" w:type="pct"/>
          </w:tcPr>
          <w:p w:rsidR="008E273C" w:rsidRDefault="008E273C" w:rsidP="00041C90">
            <w:pPr>
              <w:pStyle w:val="BodyText"/>
            </w:pPr>
            <w:r>
              <w:rPr>
                <w:rStyle w:val="Bold"/>
              </w:rPr>
              <w:t>28,092</w:t>
            </w:r>
          </w:p>
        </w:tc>
        <w:tc>
          <w:tcPr>
            <w:tcW w:w="1107" w:type="pct"/>
          </w:tcPr>
          <w:p w:rsidR="008E273C" w:rsidRDefault="008E273C" w:rsidP="00041C90">
            <w:pPr>
              <w:pStyle w:val="BodyText"/>
            </w:pPr>
            <w:r>
              <w:rPr>
                <w:rStyle w:val="Bold"/>
              </w:rPr>
              <w:t>2,503</w:t>
            </w:r>
          </w:p>
        </w:tc>
        <w:tc>
          <w:tcPr>
            <w:tcW w:w="1107" w:type="pct"/>
          </w:tcPr>
          <w:p w:rsidR="008E273C" w:rsidRDefault="008E273C" w:rsidP="00041C90">
            <w:pPr>
              <w:pStyle w:val="BodyText"/>
            </w:pPr>
            <w:r>
              <w:rPr>
                <w:rStyle w:val="Bold"/>
              </w:rPr>
              <w:t>30,595</w:t>
            </w:r>
          </w:p>
        </w:tc>
      </w:tr>
    </w:tbl>
    <w:p w:rsidR="008E273C" w:rsidRDefault="008E273C" w:rsidP="00041C90">
      <w:pPr>
        <w:pStyle w:val="BodyText"/>
      </w:pPr>
      <w:r>
        <w:t>(a)</w:t>
      </w:r>
      <w:r w:rsidR="00041C90">
        <w:t xml:space="preserve"> </w:t>
      </w:r>
      <w:r>
        <w:t>Non-ongoing employees includes irregular/intermittent staff.</w:t>
      </w:r>
    </w:p>
    <w:p w:rsidR="008E273C" w:rsidRPr="00041C90" w:rsidRDefault="00041C90" w:rsidP="00041C90">
      <w:pPr>
        <w:pStyle w:val="BodyText"/>
        <w:rPr>
          <w:b/>
        </w:rPr>
      </w:pPr>
      <w:r w:rsidRPr="00041C90">
        <w:rPr>
          <w:b/>
        </w:rPr>
        <w:t>Table 70:</w:t>
      </w:r>
      <w:r w:rsidR="008E273C" w:rsidRPr="00041C90">
        <w:rPr>
          <w:b/>
        </w:rPr>
        <w:t xml:space="preserve"> Australian Public Service Act Indigenous employment at 30 June 2020</w:t>
      </w:r>
    </w:p>
    <w:tbl>
      <w:tblPr>
        <w:tblStyle w:val="TableGrid"/>
        <w:tblW w:w="5000" w:type="pct"/>
        <w:tblLook w:val="0000" w:firstRow="0" w:lastRow="0" w:firstColumn="0" w:lastColumn="0" w:noHBand="0" w:noVBand="0"/>
        <w:tblCaption w:val="Table 70: Australian Public Service Act Indigenous employment at 30 June 2020"/>
        <w:tblDescription w:val="Table 70: Australian Public Service Act Indigenous employment at 30 June 2020"/>
      </w:tblPr>
      <w:tblGrid>
        <w:gridCol w:w="5548"/>
        <w:gridCol w:w="5548"/>
      </w:tblGrid>
      <w:tr w:rsidR="008E273C" w:rsidTr="00041C90">
        <w:trPr>
          <w:trHeight w:val="60"/>
          <w:tblHeader/>
        </w:trPr>
        <w:tc>
          <w:tcPr>
            <w:tcW w:w="2500" w:type="pct"/>
          </w:tcPr>
          <w:p w:rsidR="008E273C" w:rsidRPr="00041C90" w:rsidRDefault="008E273C" w:rsidP="00041C90">
            <w:pPr>
              <w:pStyle w:val="BodyText"/>
              <w:rPr>
                <w:b/>
              </w:rPr>
            </w:pPr>
          </w:p>
        </w:tc>
        <w:tc>
          <w:tcPr>
            <w:tcW w:w="2500" w:type="pct"/>
          </w:tcPr>
          <w:p w:rsidR="008E273C" w:rsidRPr="00041C90" w:rsidRDefault="008E273C" w:rsidP="00041C90">
            <w:pPr>
              <w:pStyle w:val="BodyText"/>
              <w:rPr>
                <w:b/>
              </w:rPr>
            </w:pPr>
            <w:r w:rsidRPr="00041C90">
              <w:rPr>
                <w:b/>
              </w:rPr>
              <w:t>Total</w:t>
            </w:r>
          </w:p>
        </w:tc>
      </w:tr>
      <w:tr w:rsidR="008E273C" w:rsidTr="00041C90">
        <w:trPr>
          <w:trHeight w:val="60"/>
        </w:trPr>
        <w:tc>
          <w:tcPr>
            <w:tcW w:w="2500" w:type="pct"/>
          </w:tcPr>
          <w:p w:rsidR="008E273C" w:rsidRDefault="008E273C" w:rsidP="00041C90">
            <w:pPr>
              <w:pStyle w:val="BodyText"/>
            </w:pPr>
            <w:r>
              <w:t>Ongoing</w:t>
            </w:r>
          </w:p>
        </w:tc>
        <w:tc>
          <w:tcPr>
            <w:tcW w:w="2500" w:type="pct"/>
          </w:tcPr>
          <w:p w:rsidR="008E273C" w:rsidRDefault="008E273C" w:rsidP="00041C90">
            <w:pPr>
              <w:pStyle w:val="BodyText"/>
            </w:pPr>
            <w:r>
              <w:t>1,672</w:t>
            </w:r>
          </w:p>
        </w:tc>
      </w:tr>
      <w:tr w:rsidR="008E273C" w:rsidTr="00041C90">
        <w:trPr>
          <w:trHeight w:val="60"/>
        </w:trPr>
        <w:tc>
          <w:tcPr>
            <w:tcW w:w="2500" w:type="pct"/>
          </w:tcPr>
          <w:p w:rsidR="008E273C" w:rsidRDefault="008E273C" w:rsidP="00041C90">
            <w:pPr>
              <w:pStyle w:val="BodyText"/>
            </w:pPr>
            <w:r>
              <w:t>Non-ongoing</w:t>
            </w:r>
            <w:r>
              <w:rPr>
                <w:vertAlign w:val="superscript"/>
              </w:rPr>
              <w:t>(a)</w:t>
            </w:r>
          </w:p>
        </w:tc>
        <w:tc>
          <w:tcPr>
            <w:tcW w:w="2500" w:type="pct"/>
          </w:tcPr>
          <w:p w:rsidR="008E273C" w:rsidRDefault="008E273C" w:rsidP="00041C90">
            <w:pPr>
              <w:pStyle w:val="BodyText"/>
            </w:pPr>
            <w:r>
              <w:t>81</w:t>
            </w:r>
          </w:p>
        </w:tc>
      </w:tr>
      <w:tr w:rsidR="008E273C" w:rsidTr="00041C90">
        <w:trPr>
          <w:trHeight w:val="60"/>
        </w:trPr>
        <w:tc>
          <w:tcPr>
            <w:tcW w:w="2500" w:type="pct"/>
          </w:tcPr>
          <w:p w:rsidR="008E273C" w:rsidRDefault="008E273C" w:rsidP="00041C90">
            <w:pPr>
              <w:pStyle w:val="BodyText"/>
            </w:pPr>
            <w:r>
              <w:rPr>
                <w:rStyle w:val="Bold"/>
              </w:rPr>
              <w:t>Total</w:t>
            </w:r>
          </w:p>
        </w:tc>
        <w:tc>
          <w:tcPr>
            <w:tcW w:w="2500" w:type="pct"/>
          </w:tcPr>
          <w:p w:rsidR="008E273C" w:rsidRDefault="008E273C" w:rsidP="00041C90">
            <w:pPr>
              <w:pStyle w:val="BodyText"/>
            </w:pPr>
            <w:r>
              <w:rPr>
                <w:rStyle w:val="Bold"/>
              </w:rPr>
              <w:t>1,753</w:t>
            </w:r>
          </w:p>
        </w:tc>
      </w:tr>
    </w:tbl>
    <w:p w:rsidR="008E273C" w:rsidRDefault="00041C90" w:rsidP="00041C90">
      <w:pPr>
        <w:pStyle w:val="BodyText"/>
      </w:pPr>
      <w:r>
        <w:t xml:space="preserve">(a) </w:t>
      </w:r>
      <w:r w:rsidR="008E273C">
        <w:t>Non-ongoing employees includes irregular/intermittent staff.</w:t>
      </w:r>
    </w:p>
    <w:p w:rsidR="008E273C" w:rsidRPr="00041C90" w:rsidRDefault="00041C90" w:rsidP="00041C90">
      <w:pPr>
        <w:pStyle w:val="BodyText"/>
        <w:rPr>
          <w:b/>
        </w:rPr>
      </w:pPr>
      <w:r w:rsidRPr="00041C90">
        <w:rPr>
          <w:b/>
        </w:rPr>
        <w:t>Table 71:</w:t>
      </w:r>
      <w:r w:rsidR="008E273C" w:rsidRPr="00041C90">
        <w:rPr>
          <w:b/>
        </w:rPr>
        <w:t xml:space="preserve"> Australian Public Service Act Indigenous employment at 30 June 2019</w:t>
      </w:r>
    </w:p>
    <w:tbl>
      <w:tblPr>
        <w:tblStyle w:val="TableGrid"/>
        <w:tblW w:w="5000" w:type="pct"/>
        <w:tblLook w:val="0000" w:firstRow="0" w:lastRow="0" w:firstColumn="0" w:lastColumn="0" w:noHBand="0" w:noVBand="0"/>
        <w:tblCaption w:val="Table 71: Australian Public Service Act Indigenous employment at 30 June 2019"/>
        <w:tblDescription w:val="Table 71: Australian Public Service Act Indigenous employment at 30 June 2019"/>
      </w:tblPr>
      <w:tblGrid>
        <w:gridCol w:w="5548"/>
        <w:gridCol w:w="5548"/>
      </w:tblGrid>
      <w:tr w:rsidR="008E273C" w:rsidTr="00041C90">
        <w:trPr>
          <w:trHeight w:val="60"/>
          <w:tblHeader/>
        </w:trPr>
        <w:tc>
          <w:tcPr>
            <w:tcW w:w="2500" w:type="pct"/>
          </w:tcPr>
          <w:p w:rsidR="008E273C" w:rsidRPr="00041C90" w:rsidRDefault="008E273C" w:rsidP="00041C90">
            <w:pPr>
              <w:pStyle w:val="BodyText"/>
              <w:rPr>
                <w:b/>
              </w:rPr>
            </w:pPr>
          </w:p>
        </w:tc>
        <w:tc>
          <w:tcPr>
            <w:tcW w:w="2500" w:type="pct"/>
          </w:tcPr>
          <w:p w:rsidR="008E273C" w:rsidRPr="00041C90" w:rsidRDefault="008E273C" w:rsidP="00041C90">
            <w:pPr>
              <w:pStyle w:val="BodyText"/>
              <w:rPr>
                <w:b/>
              </w:rPr>
            </w:pPr>
            <w:r w:rsidRPr="00041C90">
              <w:rPr>
                <w:b/>
              </w:rPr>
              <w:t>Total</w:t>
            </w:r>
          </w:p>
        </w:tc>
      </w:tr>
      <w:tr w:rsidR="008E273C" w:rsidTr="00041C90">
        <w:trPr>
          <w:trHeight w:val="60"/>
        </w:trPr>
        <w:tc>
          <w:tcPr>
            <w:tcW w:w="2500" w:type="pct"/>
          </w:tcPr>
          <w:p w:rsidR="008E273C" w:rsidRDefault="008E273C" w:rsidP="00041C90">
            <w:pPr>
              <w:pStyle w:val="BodyText"/>
            </w:pPr>
            <w:r>
              <w:t>Ongoing</w:t>
            </w:r>
          </w:p>
        </w:tc>
        <w:tc>
          <w:tcPr>
            <w:tcW w:w="2500" w:type="pct"/>
          </w:tcPr>
          <w:p w:rsidR="008E273C" w:rsidRDefault="008E273C" w:rsidP="00041C90">
            <w:pPr>
              <w:pStyle w:val="BodyText"/>
            </w:pPr>
            <w:r>
              <w:t>1,653</w:t>
            </w:r>
          </w:p>
        </w:tc>
      </w:tr>
      <w:tr w:rsidR="008E273C" w:rsidTr="00041C90">
        <w:trPr>
          <w:trHeight w:val="60"/>
        </w:trPr>
        <w:tc>
          <w:tcPr>
            <w:tcW w:w="2500" w:type="pct"/>
          </w:tcPr>
          <w:p w:rsidR="008E273C" w:rsidRDefault="008E273C" w:rsidP="00041C90">
            <w:pPr>
              <w:pStyle w:val="BodyText"/>
            </w:pPr>
            <w:r>
              <w:t>Non-ongoing</w:t>
            </w:r>
            <w:r>
              <w:rPr>
                <w:vertAlign w:val="superscript"/>
              </w:rPr>
              <w:t>(a)</w:t>
            </w:r>
          </w:p>
        </w:tc>
        <w:tc>
          <w:tcPr>
            <w:tcW w:w="2500" w:type="pct"/>
          </w:tcPr>
          <w:p w:rsidR="008E273C" w:rsidRDefault="008E273C" w:rsidP="00041C90">
            <w:pPr>
              <w:pStyle w:val="BodyText"/>
            </w:pPr>
            <w:r>
              <w:t>73</w:t>
            </w:r>
          </w:p>
        </w:tc>
      </w:tr>
      <w:tr w:rsidR="008E273C" w:rsidTr="00041C90">
        <w:trPr>
          <w:trHeight w:val="60"/>
        </w:trPr>
        <w:tc>
          <w:tcPr>
            <w:tcW w:w="2500" w:type="pct"/>
          </w:tcPr>
          <w:p w:rsidR="008E273C" w:rsidRDefault="008E273C" w:rsidP="00041C90">
            <w:pPr>
              <w:pStyle w:val="BodyText"/>
            </w:pPr>
            <w:r>
              <w:rPr>
                <w:rStyle w:val="Bold"/>
              </w:rPr>
              <w:lastRenderedPageBreak/>
              <w:t>Total</w:t>
            </w:r>
          </w:p>
        </w:tc>
        <w:tc>
          <w:tcPr>
            <w:tcW w:w="2500" w:type="pct"/>
          </w:tcPr>
          <w:p w:rsidR="008E273C" w:rsidRDefault="008E273C" w:rsidP="00041C90">
            <w:pPr>
              <w:pStyle w:val="BodyText"/>
            </w:pPr>
            <w:r>
              <w:rPr>
                <w:rStyle w:val="Bold"/>
              </w:rPr>
              <w:t>1,726</w:t>
            </w:r>
          </w:p>
        </w:tc>
      </w:tr>
    </w:tbl>
    <w:p w:rsidR="008E273C" w:rsidRDefault="008E273C" w:rsidP="00041C90">
      <w:pPr>
        <w:pStyle w:val="BodyText"/>
      </w:pPr>
      <w:r>
        <w:t>(a)</w:t>
      </w:r>
      <w:r w:rsidR="00041C90">
        <w:t xml:space="preserve"> </w:t>
      </w:r>
      <w:r>
        <w:t>Non-ongoing employees includes irregular/intermittent staff.</w:t>
      </w:r>
    </w:p>
    <w:p w:rsidR="008E273C" w:rsidRPr="00C31DF7" w:rsidRDefault="00C31DF7" w:rsidP="00C31DF7">
      <w:pPr>
        <w:pStyle w:val="BodyText"/>
        <w:rPr>
          <w:b/>
        </w:rPr>
      </w:pPr>
      <w:r w:rsidRPr="00C31DF7">
        <w:rPr>
          <w:b/>
        </w:rPr>
        <w:t>Table 72:</w:t>
      </w:r>
      <w:r w:rsidR="008E273C" w:rsidRPr="00C31DF7">
        <w:rPr>
          <w:b/>
        </w:rPr>
        <w:t xml:space="preserve"> Australian Public Service Act employment arrangements at 30 June 2020</w:t>
      </w:r>
    </w:p>
    <w:tbl>
      <w:tblPr>
        <w:tblStyle w:val="TableGrid"/>
        <w:tblW w:w="5000" w:type="pct"/>
        <w:tblLook w:val="0000" w:firstRow="0" w:lastRow="0" w:firstColumn="0" w:lastColumn="0" w:noHBand="0" w:noVBand="0"/>
        <w:tblCaption w:val="Table 72: Australian Public Service Act employment arrangements at 30 June 2020"/>
        <w:tblDescription w:val="Table 72: Australian Public Service Act employment arrangements at 30 June 2020"/>
      </w:tblPr>
      <w:tblGrid>
        <w:gridCol w:w="4492"/>
        <w:gridCol w:w="2204"/>
        <w:gridCol w:w="2201"/>
        <w:gridCol w:w="2199"/>
      </w:tblGrid>
      <w:tr w:rsidR="008E273C" w:rsidTr="00C31DF7">
        <w:trPr>
          <w:trHeight w:val="60"/>
          <w:tblHeader/>
        </w:trPr>
        <w:tc>
          <w:tcPr>
            <w:tcW w:w="2024" w:type="pct"/>
          </w:tcPr>
          <w:p w:rsidR="008E273C" w:rsidRPr="00C31DF7" w:rsidRDefault="008E273C" w:rsidP="00C31DF7">
            <w:pPr>
              <w:pStyle w:val="BodyText"/>
              <w:rPr>
                <w:b/>
              </w:rPr>
            </w:pPr>
          </w:p>
        </w:tc>
        <w:tc>
          <w:tcPr>
            <w:tcW w:w="993" w:type="pct"/>
          </w:tcPr>
          <w:p w:rsidR="008E273C" w:rsidRPr="00C31DF7" w:rsidRDefault="008E273C" w:rsidP="00C31DF7">
            <w:pPr>
              <w:pStyle w:val="BodyText"/>
              <w:rPr>
                <w:b/>
              </w:rPr>
            </w:pPr>
            <w:r w:rsidRPr="00C31DF7">
              <w:rPr>
                <w:b/>
              </w:rPr>
              <w:t>SES</w:t>
            </w:r>
          </w:p>
        </w:tc>
        <w:tc>
          <w:tcPr>
            <w:tcW w:w="992" w:type="pct"/>
          </w:tcPr>
          <w:p w:rsidR="008E273C" w:rsidRPr="00C31DF7" w:rsidRDefault="008E273C" w:rsidP="00C31DF7">
            <w:pPr>
              <w:pStyle w:val="BodyText"/>
              <w:rPr>
                <w:b/>
              </w:rPr>
            </w:pPr>
            <w:r w:rsidRPr="00C31DF7">
              <w:rPr>
                <w:b/>
              </w:rPr>
              <w:t>Non-SES</w:t>
            </w:r>
          </w:p>
        </w:tc>
        <w:tc>
          <w:tcPr>
            <w:tcW w:w="992" w:type="pct"/>
          </w:tcPr>
          <w:p w:rsidR="008E273C" w:rsidRPr="00C31DF7" w:rsidRDefault="008E273C" w:rsidP="00C31DF7">
            <w:pPr>
              <w:pStyle w:val="BodyText"/>
              <w:rPr>
                <w:b/>
              </w:rPr>
            </w:pPr>
            <w:r w:rsidRPr="00C31DF7">
              <w:rPr>
                <w:b/>
              </w:rPr>
              <w:t>Total</w:t>
            </w:r>
          </w:p>
        </w:tc>
      </w:tr>
      <w:tr w:rsidR="008E273C" w:rsidTr="00C31DF7">
        <w:trPr>
          <w:trHeight w:val="60"/>
        </w:trPr>
        <w:tc>
          <w:tcPr>
            <w:tcW w:w="2024" w:type="pct"/>
          </w:tcPr>
          <w:p w:rsidR="008E273C" w:rsidRDefault="008E273C" w:rsidP="00C31DF7">
            <w:pPr>
              <w:pStyle w:val="BodyText"/>
            </w:pPr>
            <w:r>
              <w:t xml:space="preserve">Section 24(1) of the </w:t>
            </w:r>
            <w:r>
              <w:rPr>
                <w:rStyle w:val="Italic"/>
              </w:rPr>
              <w:t>Public Service Act 1999</w:t>
            </w:r>
          </w:p>
        </w:tc>
        <w:tc>
          <w:tcPr>
            <w:tcW w:w="993" w:type="pct"/>
          </w:tcPr>
          <w:p w:rsidR="008E273C" w:rsidRDefault="008E273C" w:rsidP="00C31DF7">
            <w:pPr>
              <w:pStyle w:val="BodyText"/>
            </w:pPr>
            <w:r>
              <w:t>143</w:t>
            </w:r>
          </w:p>
        </w:tc>
        <w:tc>
          <w:tcPr>
            <w:tcW w:w="992" w:type="pct"/>
          </w:tcPr>
          <w:p w:rsidR="008E273C" w:rsidRDefault="008E273C" w:rsidP="00C31DF7">
            <w:pPr>
              <w:pStyle w:val="BodyText"/>
            </w:pPr>
            <w:r>
              <w:t>3</w:t>
            </w:r>
          </w:p>
        </w:tc>
        <w:tc>
          <w:tcPr>
            <w:tcW w:w="992" w:type="pct"/>
          </w:tcPr>
          <w:p w:rsidR="008E273C" w:rsidRDefault="008E273C" w:rsidP="00C31DF7">
            <w:pPr>
              <w:pStyle w:val="BodyText"/>
            </w:pPr>
            <w:r>
              <w:t>146</w:t>
            </w:r>
          </w:p>
        </w:tc>
      </w:tr>
      <w:tr w:rsidR="008E273C" w:rsidTr="00C31DF7">
        <w:trPr>
          <w:trHeight w:val="60"/>
        </w:trPr>
        <w:tc>
          <w:tcPr>
            <w:tcW w:w="2024" w:type="pct"/>
          </w:tcPr>
          <w:p w:rsidR="008E273C" w:rsidRDefault="008E273C" w:rsidP="00C31DF7">
            <w:pPr>
              <w:pStyle w:val="BodyText"/>
            </w:pPr>
            <w:r>
              <w:t>Individual flexibility agreements</w:t>
            </w:r>
          </w:p>
        </w:tc>
        <w:tc>
          <w:tcPr>
            <w:tcW w:w="993" w:type="pct"/>
          </w:tcPr>
          <w:p w:rsidR="008E273C" w:rsidRDefault="008E273C" w:rsidP="00C31DF7">
            <w:pPr>
              <w:pStyle w:val="BodyText"/>
            </w:pPr>
            <w:r>
              <w:t>0</w:t>
            </w:r>
          </w:p>
        </w:tc>
        <w:tc>
          <w:tcPr>
            <w:tcW w:w="992" w:type="pct"/>
          </w:tcPr>
          <w:p w:rsidR="008E273C" w:rsidRDefault="008E273C" w:rsidP="00C31DF7">
            <w:pPr>
              <w:pStyle w:val="BodyText"/>
            </w:pPr>
            <w:r>
              <w:t>92</w:t>
            </w:r>
          </w:p>
        </w:tc>
        <w:tc>
          <w:tcPr>
            <w:tcW w:w="992" w:type="pct"/>
          </w:tcPr>
          <w:p w:rsidR="008E273C" w:rsidRDefault="008E273C" w:rsidP="00C31DF7">
            <w:pPr>
              <w:pStyle w:val="BodyText"/>
            </w:pPr>
            <w:r>
              <w:t>92</w:t>
            </w:r>
          </w:p>
        </w:tc>
      </w:tr>
      <w:tr w:rsidR="008E273C" w:rsidTr="00C31DF7">
        <w:trPr>
          <w:trHeight w:val="60"/>
        </w:trPr>
        <w:tc>
          <w:tcPr>
            <w:tcW w:w="2024" w:type="pct"/>
          </w:tcPr>
          <w:p w:rsidR="008E273C" w:rsidRDefault="008E273C" w:rsidP="00C31DF7">
            <w:pPr>
              <w:pStyle w:val="BodyText"/>
            </w:pPr>
            <w:r>
              <w:t>Common law contract</w:t>
            </w:r>
          </w:p>
        </w:tc>
        <w:tc>
          <w:tcPr>
            <w:tcW w:w="993" w:type="pct"/>
          </w:tcPr>
          <w:p w:rsidR="008E273C" w:rsidRDefault="008E273C" w:rsidP="00C31DF7">
            <w:pPr>
              <w:pStyle w:val="BodyText"/>
            </w:pPr>
            <w:r>
              <w:t>1</w:t>
            </w:r>
          </w:p>
        </w:tc>
        <w:tc>
          <w:tcPr>
            <w:tcW w:w="992" w:type="pct"/>
          </w:tcPr>
          <w:p w:rsidR="008E273C" w:rsidRDefault="008E273C" w:rsidP="00C31DF7">
            <w:pPr>
              <w:pStyle w:val="BodyText"/>
            </w:pPr>
            <w:r>
              <w:t>0</w:t>
            </w:r>
          </w:p>
        </w:tc>
        <w:tc>
          <w:tcPr>
            <w:tcW w:w="992" w:type="pct"/>
          </w:tcPr>
          <w:p w:rsidR="008E273C" w:rsidRDefault="008E273C" w:rsidP="00C31DF7">
            <w:pPr>
              <w:pStyle w:val="BodyText"/>
            </w:pPr>
            <w:r>
              <w:t>1</w:t>
            </w:r>
          </w:p>
        </w:tc>
      </w:tr>
      <w:tr w:rsidR="008E273C" w:rsidTr="00C31DF7">
        <w:trPr>
          <w:trHeight w:val="60"/>
        </w:trPr>
        <w:tc>
          <w:tcPr>
            <w:tcW w:w="2024" w:type="pct"/>
          </w:tcPr>
          <w:p w:rsidR="008E273C" w:rsidRDefault="008E273C" w:rsidP="00C31DF7">
            <w:pPr>
              <w:pStyle w:val="BodyText"/>
            </w:pPr>
            <w:r>
              <w:rPr>
                <w:rStyle w:val="Bold"/>
              </w:rPr>
              <w:t>Total</w:t>
            </w:r>
          </w:p>
        </w:tc>
        <w:tc>
          <w:tcPr>
            <w:tcW w:w="993" w:type="pct"/>
          </w:tcPr>
          <w:p w:rsidR="008E273C" w:rsidRDefault="008E273C" w:rsidP="00C31DF7">
            <w:pPr>
              <w:pStyle w:val="BodyText"/>
            </w:pPr>
            <w:r>
              <w:rPr>
                <w:rStyle w:val="Bold"/>
              </w:rPr>
              <w:t>144</w:t>
            </w:r>
          </w:p>
        </w:tc>
        <w:tc>
          <w:tcPr>
            <w:tcW w:w="992" w:type="pct"/>
          </w:tcPr>
          <w:p w:rsidR="008E273C" w:rsidRDefault="008E273C" w:rsidP="00C31DF7">
            <w:pPr>
              <w:pStyle w:val="BodyText"/>
            </w:pPr>
            <w:r>
              <w:rPr>
                <w:rStyle w:val="Bold"/>
              </w:rPr>
              <w:t>95</w:t>
            </w:r>
          </w:p>
        </w:tc>
        <w:tc>
          <w:tcPr>
            <w:tcW w:w="992" w:type="pct"/>
          </w:tcPr>
          <w:p w:rsidR="008E273C" w:rsidRDefault="008E273C" w:rsidP="00C31DF7">
            <w:pPr>
              <w:pStyle w:val="BodyText"/>
            </w:pPr>
            <w:r>
              <w:rPr>
                <w:rStyle w:val="Bold"/>
              </w:rPr>
              <w:t>239</w:t>
            </w:r>
          </w:p>
        </w:tc>
      </w:tr>
    </w:tbl>
    <w:p w:rsidR="008E273C" w:rsidRPr="00C31DF7" w:rsidRDefault="00C31DF7" w:rsidP="00C31DF7">
      <w:pPr>
        <w:pStyle w:val="BodyText"/>
        <w:rPr>
          <w:b/>
        </w:rPr>
      </w:pPr>
      <w:r w:rsidRPr="00C31DF7">
        <w:rPr>
          <w:b/>
        </w:rPr>
        <w:t>Table 73:</w:t>
      </w:r>
      <w:r w:rsidR="008E273C" w:rsidRPr="00C31DF7">
        <w:rPr>
          <w:b/>
        </w:rPr>
        <w:t xml:space="preserve"> Australian Public Service Act employment arrangements at 30 June 2019</w:t>
      </w:r>
    </w:p>
    <w:tbl>
      <w:tblPr>
        <w:tblStyle w:val="TableGrid"/>
        <w:tblW w:w="5000" w:type="pct"/>
        <w:tblLook w:val="0000" w:firstRow="0" w:lastRow="0" w:firstColumn="0" w:lastColumn="0" w:noHBand="0" w:noVBand="0"/>
        <w:tblCaption w:val="Table 73: Australian Public Service Act employment arrangements at 30 June 2019"/>
        <w:tblDescription w:val="Table 73: Australian Public Service Act employment arrangements at 30 June 2019"/>
      </w:tblPr>
      <w:tblGrid>
        <w:gridCol w:w="4492"/>
        <w:gridCol w:w="2204"/>
        <w:gridCol w:w="2201"/>
        <w:gridCol w:w="2199"/>
      </w:tblGrid>
      <w:tr w:rsidR="008E273C" w:rsidTr="00C31DF7">
        <w:trPr>
          <w:trHeight w:val="60"/>
          <w:tblHeader/>
        </w:trPr>
        <w:tc>
          <w:tcPr>
            <w:tcW w:w="2024" w:type="pct"/>
          </w:tcPr>
          <w:p w:rsidR="008E273C" w:rsidRPr="00C31DF7" w:rsidRDefault="008E273C" w:rsidP="00C31DF7">
            <w:pPr>
              <w:pStyle w:val="BodyText"/>
              <w:rPr>
                <w:b/>
              </w:rPr>
            </w:pPr>
          </w:p>
        </w:tc>
        <w:tc>
          <w:tcPr>
            <w:tcW w:w="993" w:type="pct"/>
          </w:tcPr>
          <w:p w:rsidR="008E273C" w:rsidRPr="00C31DF7" w:rsidRDefault="008E273C" w:rsidP="00C31DF7">
            <w:pPr>
              <w:pStyle w:val="BodyText"/>
              <w:rPr>
                <w:b/>
              </w:rPr>
            </w:pPr>
            <w:r w:rsidRPr="00C31DF7">
              <w:rPr>
                <w:b/>
              </w:rPr>
              <w:t>SES</w:t>
            </w:r>
          </w:p>
        </w:tc>
        <w:tc>
          <w:tcPr>
            <w:tcW w:w="992" w:type="pct"/>
          </w:tcPr>
          <w:p w:rsidR="008E273C" w:rsidRPr="00C31DF7" w:rsidRDefault="008E273C" w:rsidP="00C31DF7">
            <w:pPr>
              <w:pStyle w:val="BodyText"/>
              <w:rPr>
                <w:b/>
              </w:rPr>
            </w:pPr>
            <w:r w:rsidRPr="00C31DF7">
              <w:rPr>
                <w:b/>
              </w:rPr>
              <w:t>Non-SES</w:t>
            </w:r>
          </w:p>
        </w:tc>
        <w:tc>
          <w:tcPr>
            <w:tcW w:w="992" w:type="pct"/>
          </w:tcPr>
          <w:p w:rsidR="008E273C" w:rsidRPr="00C31DF7" w:rsidRDefault="008E273C" w:rsidP="00C31DF7">
            <w:pPr>
              <w:pStyle w:val="BodyText"/>
              <w:rPr>
                <w:b/>
              </w:rPr>
            </w:pPr>
            <w:r w:rsidRPr="00C31DF7">
              <w:rPr>
                <w:b/>
              </w:rPr>
              <w:t>Total</w:t>
            </w:r>
          </w:p>
        </w:tc>
      </w:tr>
      <w:tr w:rsidR="008E273C" w:rsidTr="00C31DF7">
        <w:trPr>
          <w:trHeight w:val="60"/>
        </w:trPr>
        <w:tc>
          <w:tcPr>
            <w:tcW w:w="2024" w:type="pct"/>
          </w:tcPr>
          <w:p w:rsidR="008E273C" w:rsidRDefault="008E273C" w:rsidP="00C31DF7">
            <w:pPr>
              <w:pStyle w:val="BodyText"/>
            </w:pPr>
            <w:r>
              <w:t xml:space="preserve">Section 24(1) of the </w:t>
            </w:r>
            <w:r>
              <w:rPr>
                <w:rStyle w:val="Italic"/>
              </w:rPr>
              <w:t>Public Service Act 1999</w:t>
            </w:r>
          </w:p>
        </w:tc>
        <w:tc>
          <w:tcPr>
            <w:tcW w:w="993" w:type="pct"/>
          </w:tcPr>
          <w:p w:rsidR="008E273C" w:rsidRDefault="008E273C" w:rsidP="00C31DF7">
            <w:pPr>
              <w:pStyle w:val="BodyText"/>
            </w:pPr>
            <w:r>
              <w:t>165</w:t>
            </w:r>
          </w:p>
        </w:tc>
        <w:tc>
          <w:tcPr>
            <w:tcW w:w="992" w:type="pct"/>
          </w:tcPr>
          <w:p w:rsidR="008E273C" w:rsidRDefault="008E273C" w:rsidP="00C31DF7">
            <w:pPr>
              <w:pStyle w:val="BodyText"/>
            </w:pPr>
            <w:r>
              <w:t>1</w:t>
            </w:r>
          </w:p>
        </w:tc>
        <w:tc>
          <w:tcPr>
            <w:tcW w:w="992" w:type="pct"/>
          </w:tcPr>
          <w:p w:rsidR="008E273C" w:rsidRDefault="008E273C" w:rsidP="00C31DF7">
            <w:pPr>
              <w:pStyle w:val="BodyText"/>
            </w:pPr>
            <w:r>
              <w:t>166</w:t>
            </w:r>
          </w:p>
        </w:tc>
      </w:tr>
      <w:tr w:rsidR="008E273C" w:rsidTr="00C31DF7">
        <w:trPr>
          <w:trHeight w:val="60"/>
        </w:trPr>
        <w:tc>
          <w:tcPr>
            <w:tcW w:w="2024" w:type="pct"/>
          </w:tcPr>
          <w:p w:rsidR="008E273C" w:rsidRDefault="008E273C" w:rsidP="00C31DF7">
            <w:pPr>
              <w:pStyle w:val="BodyText"/>
            </w:pPr>
            <w:r>
              <w:t>Individual flexibility agreements</w:t>
            </w:r>
          </w:p>
        </w:tc>
        <w:tc>
          <w:tcPr>
            <w:tcW w:w="993" w:type="pct"/>
          </w:tcPr>
          <w:p w:rsidR="008E273C" w:rsidRDefault="008E273C" w:rsidP="00C31DF7">
            <w:pPr>
              <w:pStyle w:val="BodyText"/>
            </w:pPr>
            <w:r>
              <w:t>0</w:t>
            </w:r>
          </w:p>
        </w:tc>
        <w:tc>
          <w:tcPr>
            <w:tcW w:w="992" w:type="pct"/>
          </w:tcPr>
          <w:p w:rsidR="008E273C" w:rsidRDefault="008E273C" w:rsidP="00C31DF7">
            <w:pPr>
              <w:pStyle w:val="BodyText"/>
            </w:pPr>
            <w:r>
              <w:t>90</w:t>
            </w:r>
          </w:p>
        </w:tc>
        <w:tc>
          <w:tcPr>
            <w:tcW w:w="992" w:type="pct"/>
          </w:tcPr>
          <w:p w:rsidR="008E273C" w:rsidRDefault="008E273C" w:rsidP="00C31DF7">
            <w:pPr>
              <w:pStyle w:val="BodyText"/>
            </w:pPr>
            <w:r>
              <w:t>90</w:t>
            </w:r>
          </w:p>
        </w:tc>
      </w:tr>
      <w:tr w:rsidR="008E273C" w:rsidTr="00C31DF7">
        <w:trPr>
          <w:trHeight w:val="60"/>
        </w:trPr>
        <w:tc>
          <w:tcPr>
            <w:tcW w:w="2024" w:type="pct"/>
          </w:tcPr>
          <w:p w:rsidR="008E273C" w:rsidRDefault="008E273C" w:rsidP="00C31DF7">
            <w:pPr>
              <w:pStyle w:val="BodyText"/>
            </w:pPr>
            <w:r>
              <w:t>Common law contract</w:t>
            </w:r>
          </w:p>
        </w:tc>
        <w:tc>
          <w:tcPr>
            <w:tcW w:w="993" w:type="pct"/>
          </w:tcPr>
          <w:p w:rsidR="008E273C" w:rsidRDefault="008E273C" w:rsidP="00C31DF7">
            <w:pPr>
              <w:pStyle w:val="BodyText"/>
            </w:pPr>
            <w:r>
              <w:t>1</w:t>
            </w:r>
          </w:p>
        </w:tc>
        <w:tc>
          <w:tcPr>
            <w:tcW w:w="992" w:type="pct"/>
          </w:tcPr>
          <w:p w:rsidR="008E273C" w:rsidRDefault="008E273C" w:rsidP="00C31DF7">
            <w:pPr>
              <w:pStyle w:val="BodyText"/>
            </w:pPr>
            <w:r>
              <w:t>0</w:t>
            </w:r>
          </w:p>
        </w:tc>
        <w:tc>
          <w:tcPr>
            <w:tcW w:w="992" w:type="pct"/>
          </w:tcPr>
          <w:p w:rsidR="008E273C" w:rsidRDefault="008E273C" w:rsidP="00C31DF7">
            <w:pPr>
              <w:pStyle w:val="BodyText"/>
            </w:pPr>
            <w:r>
              <w:t>1</w:t>
            </w:r>
          </w:p>
        </w:tc>
      </w:tr>
      <w:tr w:rsidR="008E273C" w:rsidTr="00C31DF7">
        <w:trPr>
          <w:trHeight w:val="60"/>
        </w:trPr>
        <w:tc>
          <w:tcPr>
            <w:tcW w:w="2024" w:type="pct"/>
          </w:tcPr>
          <w:p w:rsidR="008E273C" w:rsidRDefault="008E273C" w:rsidP="00C31DF7">
            <w:pPr>
              <w:pStyle w:val="BodyText"/>
            </w:pPr>
            <w:r>
              <w:rPr>
                <w:rStyle w:val="Bold"/>
              </w:rPr>
              <w:t>Total</w:t>
            </w:r>
          </w:p>
        </w:tc>
        <w:tc>
          <w:tcPr>
            <w:tcW w:w="993" w:type="pct"/>
          </w:tcPr>
          <w:p w:rsidR="008E273C" w:rsidRDefault="008E273C" w:rsidP="00C31DF7">
            <w:pPr>
              <w:pStyle w:val="BodyText"/>
            </w:pPr>
            <w:r>
              <w:rPr>
                <w:rStyle w:val="Bold"/>
              </w:rPr>
              <w:t>166</w:t>
            </w:r>
          </w:p>
        </w:tc>
        <w:tc>
          <w:tcPr>
            <w:tcW w:w="992" w:type="pct"/>
          </w:tcPr>
          <w:p w:rsidR="008E273C" w:rsidRDefault="008E273C" w:rsidP="00C31DF7">
            <w:pPr>
              <w:pStyle w:val="BodyText"/>
            </w:pPr>
            <w:r>
              <w:rPr>
                <w:rStyle w:val="Bold"/>
              </w:rPr>
              <w:t>91</w:t>
            </w:r>
          </w:p>
        </w:tc>
        <w:tc>
          <w:tcPr>
            <w:tcW w:w="992" w:type="pct"/>
          </w:tcPr>
          <w:p w:rsidR="008E273C" w:rsidRDefault="008E273C" w:rsidP="00C31DF7">
            <w:pPr>
              <w:pStyle w:val="BodyText"/>
            </w:pPr>
            <w:r>
              <w:rPr>
                <w:rStyle w:val="Bold"/>
              </w:rPr>
              <w:t>257</w:t>
            </w:r>
          </w:p>
        </w:tc>
      </w:tr>
    </w:tbl>
    <w:p w:rsidR="008E273C" w:rsidRPr="00C31DF7" w:rsidRDefault="00C31DF7" w:rsidP="00C31DF7">
      <w:pPr>
        <w:pStyle w:val="BodyText"/>
        <w:rPr>
          <w:b/>
        </w:rPr>
      </w:pPr>
      <w:r w:rsidRPr="00C31DF7">
        <w:rPr>
          <w:b/>
        </w:rPr>
        <w:t xml:space="preserve">Table 74: </w:t>
      </w:r>
      <w:r w:rsidR="008E273C" w:rsidRPr="00C31DF7">
        <w:rPr>
          <w:b/>
        </w:rPr>
        <w:t>Australian Public Service Act employment salary ranges by classification level (minimum/maximum) 2019–20</w:t>
      </w:r>
    </w:p>
    <w:tbl>
      <w:tblPr>
        <w:tblStyle w:val="TableGrid"/>
        <w:tblW w:w="5000" w:type="pct"/>
        <w:tblLook w:val="0000" w:firstRow="0" w:lastRow="0" w:firstColumn="0" w:lastColumn="0" w:noHBand="0" w:noVBand="0"/>
        <w:tblCaption w:val="Table 74: Australian Public Service Act employment salary ranges by classification level (minimum/maximum) 2019–20"/>
        <w:tblDescription w:val="Table 74: Australian Public Service Act employment salary ranges by classification level (minimum/maximum) 2019–20"/>
      </w:tblPr>
      <w:tblGrid>
        <w:gridCol w:w="6164"/>
        <w:gridCol w:w="2466"/>
        <w:gridCol w:w="2466"/>
      </w:tblGrid>
      <w:tr w:rsidR="008E273C" w:rsidTr="00C31DF7">
        <w:trPr>
          <w:trHeight w:val="60"/>
          <w:tblHeader/>
        </w:trPr>
        <w:tc>
          <w:tcPr>
            <w:tcW w:w="2778" w:type="pct"/>
          </w:tcPr>
          <w:p w:rsidR="008E273C" w:rsidRPr="00C31DF7" w:rsidRDefault="008E273C" w:rsidP="00C31DF7">
            <w:pPr>
              <w:pStyle w:val="BodyText"/>
              <w:rPr>
                <w:b/>
              </w:rPr>
            </w:pPr>
          </w:p>
        </w:tc>
        <w:tc>
          <w:tcPr>
            <w:tcW w:w="1111" w:type="pct"/>
          </w:tcPr>
          <w:p w:rsidR="008E273C" w:rsidRPr="00C31DF7" w:rsidRDefault="008E273C" w:rsidP="00C31DF7">
            <w:pPr>
              <w:pStyle w:val="BodyText"/>
              <w:rPr>
                <w:b/>
              </w:rPr>
            </w:pPr>
            <w:r w:rsidRPr="00C31DF7">
              <w:rPr>
                <w:b/>
              </w:rPr>
              <w:t>Minimum salary</w:t>
            </w:r>
            <w:r w:rsidRPr="00C31DF7">
              <w:rPr>
                <w:b/>
                <w:vertAlign w:val="superscript"/>
              </w:rPr>
              <w:t>(a)</w:t>
            </w:r>
          </w:p>
        </w:tc>
        <w:tc>
          <w:tcPr>
            <w:tcW w:w="1111" w:type="pct"/>
          </w:tcPr>
          <w:p w:rsidR="008E273C" w:rsidRPr="00C31DF7" w:rsidRDefault="008E273C" w:rsidP="00C31DF7">
            <w:pPr>
              <w:pStyle w:val="BodyText"/>
              <w:rPr>
                <w:b/>
              </w:rPr>
            </w:pPr>
            <w:r w:rsidRPr="00C31DF7">
              <w:rPr>
                <w:b/>
              </w:rPr>
              <w:t>Maximum salary</w:t>
            </w:r>
            <w:r w:rsidRPr="00C31DF7">
              <w:rPr>
                <w:b/>
                <w:vertAlign w:val="superscript"/>
              </w:rPr>
              <w:t>(a)</w:t>
            </w:r>
          </w:p>
        </w:tc>
      </w:tr>
      <w:tr w:rsidR="008E273C" w:rsidTr="00C31DF7">
        <w:trPr>
          <w:trHeight w:val="60"/>
        </w:trPr>
        <w:tc>
          <w:tcPr>
            <w:tcW w:w="2778" w:type="pct"/>
          </w:tcPr>
          <w:p w:rsidR="008E273C" w:rsidRDefault="008E273C" w:rsidP="00C31DF7">
            <w:pPr>
              <w:pStyle w:val="BodyText"/>
            </w:pPr>
            <w:r>
              <w:t>SES 3</w:t>
            </w:r>
          </w:p>
        </w:tc>
        <w:tc>
          <w:tcPr>
            <w:tcW w:w="1111" w:type="pct"/>
          </w:tcPr>
          <w:p w:rsidR="008E273C" w:rsidRDefault="008E273C" w:rsidP="00C31DF7">
            <w:pPr>
              <w:pStyle w:val="BodyText"/>
            </w:pPr>
            <w:r>
              <w:t xml:space="preserve"> 315,300 </w:t>
            </w:r>
          </w:p>
        </w:tc>
        <w:tc>
          <w:tcPr>
            <w:tcW w:w="1111" w:type="pct"/>
          </w:tcPr>
          <w:p w:rsidR="008E273C" w:rsidRDefault="008E273C" w:rsidP="00C31DF7">
            <w:pPr>
              <w:pStyle w:val="BodyText"/>
            </w:pPr>
            <w:r>
              <w:t xml:space="preserve"> 374,600 </w:t>
            </w:r>
          </w:p>
        </w:tc>
      </w:tr>
      <w:tr w:rsidR="008E273C" w:rsidTr="00C31DF7">
        <w:trPr>
          <w:trHeight w:val="60"/>
        </w:trPr>
        <w:tc>
          <w:tcPr>
            <w:tcW w:w="2778" w:type="pct"/>
          </w:tcPr>
          <w:p w:rsidR="008E273C" w:rsidRDefault="008E273C" w:rsidP="00C31DF7">
            <w:pPr>
              <w:pStyle w:val="BodyText"/>
            </w:pPr>
            <w:r>
              <w:t>SES 2</w:t>
            </w:r>
          </w:p>
        </w:tc>
        <w:tc>
          <w:tcPr>
            <w:tcW w:w="1111" w:type="pct"/>
          </w:tcPr>
          <w:p w:rsidR="008E273C" w:rsidRDefault="008E273C" w:rsidP="00C31DF7">
            <w:pPr>
              <w:pStyle w:val="BodyText"/>
            </w:pPr>
            <w:r>
              <w:t>223,700</w:t>
            </w:r>
          </w:p>
        </w:tc>
        <w:tc>
          <w:tcPr>
            <w:tcW w:w="1111" w:type="pct"/>
          </w:tcPr>
          <w:p w:rsidR="008E273C" w:rsidRDefault="008E273C" w:rsidP="00C31DF7">
            <w:pPr>
              <w:pStyle w:val="BodyText"/>
            </w:pPr>
            <w:r>
              <w:t>275,800</w:t>
            </w:r>
          </w:p>
        </w:tc>
      </w:tr>
      <w:tr w:rsidR="008E273C" w:rsidTr="00C31DF7">
        <w:trPr>
          <w:trHeight w:val="60"/>
        </w:trPr>
        <w:tc>
          <w:tcPr>
            <w:tcW w:w="2778" w:type="pct"/>
          </w:tcPr>
          <w:p w:rsidR="008E273C" w:rsidRDefault="008E273C" w:rsidP="00C31DF7">
            <w:pPr>
              <w:pStyle w:val="BodyText"/>
            </w:pPr>
            <w:r>
              <w:t>SES 1</w:t>
            </w:r>
          </w:p>
        </w:tc>
        <w:tc>
          <w:tcPr>
            <w:tcW w:w="1111" w:type="pct"/>
          </w:tcPr>
          <w:p w:rsidR="008E273C" w:rsidRDefault="008E273C" w:rsidP="00C31DF7">
            <w:pPr>
              <w:pStyle w:val="BodyText"/>
            </w:pPr>
            <w:r>
              <w:t>167,600</w:t>
            </w:r>
          </w:p>
        </w:tc>
        <w:tc>
          <w:tcPr>
            <w:tcW w:w="1111" w:type="pct"/>
          </w:tcPr>
          <w:p w:rsidR="008E273C" w:rsidRDefault="008E273C" w:rsidP="00C31DF7">
            <w:pPr>
              <w:pStyle w:val="BodyText"/>
            </w:pPr>
            <w:r>
              <w:t>216,000</w:t>
            </w:r>
          </w:p>
        </w:tc>
      </w:tr>
      <w:tr w:rsidR="008E273C" w:rsidTr="00C31DF7">
        <w:trPr>
          <w:trHeight w:val="60"/>
        </w:trPr>
        <w:tc>
          <w:tcPr>
            <w:tcW w:w="2778" w:type="pct"/>
          </w:tcPr>
          <w:p w:rsidR="008E273C" w:rsidRDefault="008E273C" w:rsidP="00C31DF7">
            <w:pPr>
              <w:pStyle w:val="BodyText"/>
            </w:pPr>
            <w:r>
              <w:t>EL 2</w:t>
            </w:r>
          </w:p>
        </w:tc>
        <w:tc>
          <w:tcPr>
            <w:tcW w:w="1111" w:type="pct"/>
          </w:tcPr>
          <w:p w:rsidR="008E273C" w:rsidRDefault="008E273C" w:rsidP="00C31DF7">
            <w:pPr>
              <w:pStyle w:val="BodyText"/>
            </w:pPr>
            <w:r>
              <w:t>118,503</w:t>
            </w:r>
          </w:p>
        </w:tc>
        <w:tc>
          <w:tcPr>
            <w:tcW w:w="1111" w:type="pct"/>
          </w:tcPr>
          <w:p w:rsidR="008E273C" w:rsidRDefault="008E273C" w:rsidP="00C31DF7">
            <w:pPr>
              <w:pStyle w:val="BodyText"/>
            </w:pPr>
            <w:r>
              <w:t>140,926</w:t>
            </w:r>
          </w:p>
        </w:tc>
      </w:tr>
      <w:tr w:rsidR="008E273C" w:rsidTr="00C31DF7">
        <w:trPr>
          <w:trHeight w:val="60"/>
        </w:trPr>
        <w:tc>
          <w:tcPr>
            <w:tcW w:w="2778" w:type="pct"/>
          </w:tcPr>
          <w:p w:rsidR="008E273C" w:rsidRDefault="008E273C" w:rsidP="00C31DF7">
            <w:pPr>
              <w:pStyle w:val="BodyText"/>
            </w:pPr>
            <w:r>
              <w:lastRenderedPageBreak/>
              <w:t>EL 1</w:t>
            </w:r>
          </w:p>
        </w:tc>
        <w:tc>
          <w:tcPr>
            <w:tcW w:w="1111" w:type="pct"/>
          </w:tcPr>
          <w:p w:rsidR="008E273C" w:rsidRDefault="008E273C" w:rsidP="00C31DF7">
            <w:pPr>
              <w:pStyle w:val="BodyText"/>
            </w:pPr>
            <w:r>
              <w:t>102,402</w:t>
            </w:r>
          </w:p>
        </w:tc>
        <w:tc>
          <w:tcPr>
            <w:tcW w:w="1111" w:type="pct"/>
          </w:tcPr>
          <w:p w:rsidR="008E273C" w:rsidRDefault="008E273C" w:rsidP="00C31DF7">
            <w:pPr>
              <w:pStyle w:val="BodyText"/>
            </w:pPr>
            <w:r>
              <w:t>113,471</w:t>
            </w:r>
          </w:p>
        </w:tc>
      </w:tr>
      <w:tr w:rsidR="008E273C" w:rsidTr="00C31DF7">
        <w:trPr>
          <w:trHeight w:val="60"/>
        </w:trPr>
        <w:tc>
          <w:tcPr>
            <w:tcW w:w="2778" w:type="pct"/>
          </w:tcPr>
          <w:p w:rsidR="008E273C" w:rsidRDefault="008E273C" w:rsidP="00C31DF7">
            <w:pPr>
              <w:pStyle w:val="BodyText"/>
            </w:pPr>
            <w:r>
              <w:t>APS 6</w:t>
            </w:r>
          </w:p>
        </w:tc>
        <w:tc>
          <w:tcPr>
            <w:tcW w:w="1111" w:type="pct"/>
          </w:tcPr>
          <w:p w:rsidR="008E273C" w:rsidRDefault="008E273C" w:rsidP="00C31DF7">
            <w:pPr>
              <w:pStyle w:val="BodyText"/>
            </w:pPr>
            <w:r>
              <w:t>81,870</w:t>
            </w:r>
          </w:p>
        </w:tc>
        <w:tc>
          <w:tcPr>
            <w:tcW w:w="1111" w:type="pct"/>
          </w:tcPr>
          <w:p w:rsidR="008E273C" w:rsidRDefault="008E273C" w:rsidP="00C31DF7">
            <w:pPr>
              <w:pStyle w:val="BodyText"/>
            </w:pPr>
            <w:r>
              <w:t>94,670</w:t>
            </w:r>
          </w:p>
        </w:tc>
      </w:tr>
      <w:tr w:rsidR="008E273C" w:rsidTr="00C31DF7">
        <w:trPr>
          <w:trHeight w:val="60"/>
        </w:trPr>
        <w:tc>
          <w:tcPr>
            <w:tcW w:w="2778" w:type="pct"/>
          </w:tcPr>
          <w:p w:rsidR="008E273C" w:rsidRDefault="008E273C" w:rsidP="00C31DF7">
            <w:pPr>
              <w:pStyle w:val="BodyText"/>
            </w:pPr>
            <w:r>
              <w:t>APS 5</w:t>
            </w:r>
          </w:p>
        </w:tc>
        <w:tc>
          <w:tcPr>
            <w:tcW w:w="1111" w:type="pct"/>
          </w:tcPr>
          <w:p w:rsidR="008E273C" w:rsidRDefault="008E273C" w:rsidP="00C31DF7">
            <w:pPr>
              <w:pStyle w:val="BodyText"/>
            </w:pPr>
            <w:r>
              <w:t>73,959</w:t>
            </w:r>
          </w:p>
        </w:tc>
        <w:tc>
          <w:tcPr>
            <w:tcW w:w="1111" w:type="pct"/>
          </w:tcPr>
          <w:p w:rsidR="008E273C" w:rsidRDefault="008E273C" w:rsidP="00C31DF7">
            <w:pPr>
              <w:pStyle w:val="BodyText"/>
            </w:pPr>
            <w:r>
              <w:t>79,806</w:t>
            </w:r>
          </w:p>
        </w:tc>
      </w:tr>
      <w:tr w:rsidR="008E273C" w:rsidTr="00C31DF7">
        <w:trPr>
          <w:trHeight w:val="60"/>
        </w:trPr>
        <w:tc>
          <w:tcPr>
            <w:tcW w:w="2778" w:type="pct"/>
          </w:tcPr>
          <w:p w:rsidR="008E273C" w:rsidRDefault="008E273C" w:rsidP="00C31DF7">
            <w:pPr>
              <w:pStyle w:val="BodyText"/>
            </w:pPr>
            <w:r>
              <w:t>APS 4</w:t>
            </w:r>
          </w:p>
        </w:tc>
        <w:tc>
          <w:tcPr>
            <w:tcW w:w="1111" w:type="pct"/>
          </w:tcPr>
          <w:p w:rsidR="008E273C" w:rsidRDefault="008E273C" w:rsidP="00C31DF7">
            <w:pPr>
              <w:pStyle w:val="BodyText"/>
            </w:pPr>
            <w:r>
              <w:t>66,313</w:t>
            </w:r>
          </w:p>
        </w:tc>
        <w:tc>
          <w:tcPr>
            <w:tcW w:w="1111" w:type="pct"/>
          </w:tcPr>
          <w:p w:rsidR="008E273C" w:rsidRDefault="008E273C" w:rsidP="00C31DF7">
            <w:pPr>
              <w:pStyle w:val="BodyText"/>
            </w:pPr>
            <w:r>
              <w:t>73,472</w:t>
            </w:r>
          </w:p>
        </w:tc>
      </w:tr>
      <w:tr w:rsidR="008E273C" w:rsidTr="00C31DF7">
        <w:trPr>
          <w:trHeight w:val="60"/>
        </w:trPr>
        <w:tc>
          <w:tcPr>
            <w:tcW w:w="2778" w:type="pct"/>
          </w:tcPr>
          <w:p w:rsidR="008E273C" w:rsidRDefault="008E273C" w:rsidP="00C31DF7">
            <w:pPr>
              <w:pStyle w:val="BodyText"/>
            </w:pPr>
            <w:r>
              <w:t>APS 3</w:t>
            </w:r>
          </w:p>
        </w:tc>
        <w:tc>
          <w:tcPr>
            <w:tcW w:w="1111" w:type="pct"/>
          </w:tcPr>
          <w:p w:rsidR="008E273C" w:rsidRDefault="008E273C" w:rsidP="00C31DF7">
            <w:pPr>
              <w:pStyle w:val="BodyText"/>
            </w:pPr>
            <w:r>
              <w:t>59,498</w:t>
            </w:r>
          </w:p>
        </w:tc>
        <w:tc>
          <w:tcPr>
            <w:tcW w:w="1111" w:type="pct"/>
          </w:tcPr>
          <w:p w:rsidR="008E273C" w:rsidRDefault="008E273C" w:rsidP="00C31DF7">
            <w:pPr>
              <w:pStyle w:val="BodyText"/>
            </w:pPr>
            <w:r>
              <w:t>66,312</w:t>
            </w:r>
          </w:p>
        </w:tc>
      </w:tr>
      <w:tr w:rsidR="008E273C" w:rsidTr="00C31DF7">
        <w:trPr>
          <w:trHeight w:val="60"/>
        </w:trPr>
        <w:tc>
          <w:tcPr>
            <w:tcW w:w="2778" w:type="pct"/>
          </w:tcPr>
          <w:p w:rsidR="008E273C" w:rsidRDefault="008E273C" w:rsidP="00C31DF7">
            <w:pPr>
              <w:pStyle w:val="BodyText"/>
            </w:pPr>
            <w:r>
              <w:t>APS 2</w:t>
            </w:r>
          </w:p>
        </w:tc>
        <w:tc>
          <w:tcPr>
            <w:tcW w:w="1111" w:type="pct"/>
          </w:tcPr>
          <w:p w:rsidR="008E273C" w:rsidRDefault="008E273C" w:rsidP="00C31DF7">
            <w:pPr>
              <w:pStyle w:val="BodyText"/>
            </w:pPr>
            <w:r>
              <w:t>53,672</w:t>
            </w:r>
          </w:p>
        </w:tc>
        <w:tc>
          <w:tcPr>
            <w:tcW w:w="1111" w:type="pct"/>
          </w:tcPr>
          <w:p w:rsidR="008E273C" w:rsidRDefault="008E273C" w:rsidP="00C31DF7">
            <w:pPr>
              <w:pStyle w:val="BodyText"/>
            </w:pPr>
            <w:r>
              <w:t>57,952</w:t>
            </w:r>
          </w:p>
        </w:tc>
      </w:tr>
      <w:tr w:rsidR="008E273C" w:rsidTr="00C31DF7">
        <w:trPr>
          <w:trHeight w:val="60"/>
        </w:trPr>
        <w:tc>
          <w:tcPr>
            <w:tcW w:w="2778" w:type="pct"/>
          </w:tcPr>
          <w:p w:rsidR="008E273C" w:rsidRDefault="008E273C" w:rsidP="00C31DF7">
            <w:pPr>
              <w:pStyle w:val="BodyText"/>
            </w:pPr>
            <w:r>
              <w:t>APS 1</w:t>
            </w:r>
          </w:p>
        </w:tc>
        <w:tc>
          <w:tcPr>
            <w:tcW w:w="1111" w:type="pct"/>
          </w:tcPr>
          <w:p w:rsidR="008E273C" w:rsidRDefault="008E273C" w:rsidP="00C31DF7">
            <w:pPr>
              <w:pStyle w:val="BodyText"/>
            </w:pPr>
            <w:r>
              <w:t>48,030</w:t>
            </w:r>
          </w:p>
        </w:tc>
        <w:tc>
          <w:tcPr>
            <w:tcW w:w="1111" w:type="pct"/>
          </w:tcPr>
          <w:p w:rsidR="008E273C" w:rsidRDefault="008E273C" w:rsidP="00C31DF7">
            <w:pPr>
              <w:pStyle w:val="BodyText"/>
            </w:pPr>
            <w:r>
              <w:t>51,499</w:t>
            </w:r>
          </w:p>
        </w:tc>
      </w:tr>
      <w:tr w:rsidR="008E273C" w:rsidTr="00C31DF7">
        <w:trPr>
          <w:trHeight w:val="60"/>
        </w:trPr>
        <w:tc>
          <w:tcPr>
            <w:tcW w:w="2778" w:type="pct"/>
          </w:tcPr>
          <w:p w:rsidR="008E273C" w:rsidRDefault="008E273C" w:rsidP="00C31DF7">
            <w:pPr>
              <w:pStyle w:val="BodyText"/>
            </w:pPr>
            <w:r>
              <w:t>Medical Officer Class 4</w:t>
            </w:r>
          </w:p>
        </w:tc>
        <w:tc>
          <w:tcPr>
            <w:tcW w:w="1111" w:type="pct"/>
          </w:tcPr>
          <w:p w:rsidR="008E273C" w:rsidRDefault="008E273C" w:rsidP="00C31DF7">
            <w:pPr>
              <w:pStyle w:val="BodyText"/>
            </w:pPr>
            <w:r>
              <w:t>171,793</w:t>
            </w:r>
          </w:p>
        </w:tc>
        <w:tc>
          <w:tcPr>
            <w:tcW w:w="1111" w:type="pct"/>
          </w:tcPr>
          <w:p w:rsidR="008E273C" w:rsidRDefault="008E273C" w:rsidP="00C31DF7">
            <w:pPr>
              <w:pStyle w:val="BodyText"/>
            </w:pPr>
            <w:r>
              <w:t>183,066</w:t>
            </w:r>
          </w:p>
        </w:tc>
      </w:tr>
      <w:tr w:rsidR="008E273C" w:rsidTr="00C31DF7">
        <w:trPr>
          <w:trHeight w:val="60"/>
        </w:trPr>
        <w:tc>
          <w:tcPr>
            <w:tcW w:w="2778" w:type="pct"/>
          </w:tcPr>
          <w:p w:rsidR="008E273C" w:rsidRDefault="008E273C" w:rsidP="00C31DF7">
            <w:pPr>
              <w:pStyle w:val="BodyText"/>
            </w:pPr>
            <w:r>
              <w:t>Medical Officer Class 3</w:t>
            </w:r>
          </w:p>
        </w:tc>
        <w:tc>
          <w:tcPr>
            <w:tcW w:w="1111" w:type="pct"/>
          </w:tcPr>
          <w:p w:rsidR="008E273C" w:rsidRDefault="008E273C" w:rsidP="00C31DF7">
            <w:pPr>
              <w:pStyle w:val="BodyText"/>
            </w:pPr>
            <w:r>
              <w:t>158,083</w:t>
            </w:r>
          </w:p>
        </w:tc>
        <w:tc>
          <w:tcPr>
            <w:tcW w:w="1111" w:type="pct"/>
          </w:tcPr>
          <w:p w:rsidR="008E273C" w:rsidRDefault="008E273C" w:rsidP="00C31DF7">
            <w:pPr>
              <w:pStyle w:val="BodyText"/>
            </w:pPr>
            <w:r>
              <w:t>165,196</w:t>
            </w:r>
          </w:p>
        </w:tc>
      </w:tr>
      <w:tr w:rsidR="008E273C" w:rsidTr="00C31DF7">
        <w:trPr>
          <w:trHeight w:val="60"/>
        </w:trPr>
        <w:tc>
          <w:tcPr>
            <w:tcW w:w="2778" w:type="pct"/>
          </w:tcPr>
          <w:p w:rsidR="008E273C" w:rsidRDefault="008E273C" w:rsidP="00C31DF7">
            <w:pPr>
              <w:pStyle w:val="BodyText"/>
            </w:pPr>
            <w:r>
              <w:t>Medical Officer Class 2</w:t>
            </w:r>
          </w:p>
        </w:tc>
        <w:tc>
          <w:tcPr>
            <w:tcW w:w="1111" w:type="pct"/>
          </w:tcPr>
          <w:p w:rsidR="008E273C" w:rsidRDefault="008E273C" w:rsidP="00C31DF7">
            <w:pPr>
              <w:pStyle w:val="BodyText"/>
            </w:pPr>
            <w:r>
              <w:t>124,830</w:t>
            </w:r>
          </w:p>
        </w:tc>
        <w:tc>
          <w:tcPr>
            <w:tcW w:w="1111" w:type="pct"/>
          </w:tcPr>
          <w:p w:rsidR="008E273C" w:rsidRDefault="008E273C" w:rsidP="00C31DF7">
            <w:pPr>
              <w:pStyle w:val="BodyText"/>
            </w:pPr>
            <w:r>
              <w:t>148,433</w:t>
            </w:r>
          </w:p>
        </w:tc>
      </w:tr>
      <w:tr w:rsidR="008E273C" w:rsidTr="00C31DF7">
        <w:trPr>
          <w:trHeight w:val="60"/>
        </w:trPr>
        <w:tc>
          <w:tcPr>
            <w:tcW w:w="2778" w:type="pct"/>
          </w:tcPr>
          <w:p w:rsidR="008E273C" w:rsidRDefault="008E273C" w:rsidP="00C31DF7">
            <w:pPr>
              <w:pStyle w:val="BodyText"/>
            </w:pPr>
            <w:r>
              <w:t>Deputy General Counsel—EL 2 (Legal Job Stream)</w:t>
            </w:r>
          </w:p>
        </w:tc>
        <w:tc>
          <w:tcPr>
            <w:tcW w:w="1111" w:type="pct"/>
          </w:tcPr>
          <w:p w:rsidR="008E273C" w:rsidRDefault="008E273C" w:rsidP="00C31DF7">
            <w:pPr>
              <w:pStyle w:val="BodyText"/>
            </w:pPr>
            <w:r>
              <w:t>149,659</w:t>
            </w:r>
          </w:p>
        </w:tc>
        <w:tc>
          <w:tcPr>
            <w:tcW w:w="1111" w:type="pct"/>
          </w:tcPr>
          <w:p w:rsidR="008E273C" w:rsidRDefault="008E273C" w:rsidP="00C31DF7">
            <w:pPr>
              <w:pStyle w:val="BodyText"/>
            </w:pPr>
          </w:p>
        </w:tc>
      </w:tr>
      <w:tr w:rsidR="008E273C" w:rsidTr="00C31DF7">
        <w:trPr>
          <w:trHeight w:val="60"/>
        </w:trPr>
        <w:tc>
          <w:tcPr>
            <w:tcW w:w="2778" w:type="pct"/>
          </w:tcPr>
          <w:p w:rsidR="008E273C" w:rsidRDefault="008E273C" w:rsidP="00C31DF7">
            <w:pPr>
              <w:pStyle w:val="BodyText"/>
            </w:pPr>
            <w:r>
              <w:t>Senior Rehabilitation Consultant—APS 6 (Professional Job Stream)</w:t>
            </w:r>
          </w:p>
        </w:tc>
        <w:tc>
          <w:tcPr>
            <w:tcW w:w="1111" w:type="pct"/>
          </w:tcPr>
          <w:p w:rsidR="008E273C" w:rsidRDefault="008E273C" w:rsidP="00C31DF7">
            <w:pPr>
              <w:pStyle w:val="BodyText"/>
            </w:pPr>
            <w:r>
              <w:t>99,763</w:t>
            </w:r>
          </w:p>
        </w:tc>
        <w:tc>
          <w:tcPr>
            <w:tcW w:w="1111" w:type="pct"/>
          </w:tcPr>
          <w:p w:rsidR="008E273C" w:rsidRDefault="008E273C" w:rsidP="00C31DF7">
            <w:pPr>
              <w:pStyle w:val="BodyText"/>
            </w:pPr>
          </w:p>
        </w:tc>
      </w:tr>
      <w:tr w:rsidR="008E273C" w:rsidTr="00C31DF7">
        <w:trPr>
          <w:trHeight w:val="60"/>
        </w:trPr>
        <w:tc>
          <w:tcPr>
            <w:tcW w:w="2778" w:type="pct"/>
          </w:tcPr>
          <w:p w:rsidR="008E273C" w:rsidRDefault="008E273C" w:rsidP="00C31DF7">
            <w:pPr>
              <w:pStyle w:val="BodyText"/>
            </w:pPr>
            <w:r>
              <w:t>Rehabilitation Consultant 2+—APS 6 (Professional Job Stream)</w:t>
            </w:r>
          </w:p>
        </w:tc>
        <w:tc>
          <w:tcPr>
            <w:tcW w:w="1111" w:type="pct"/>
          </w:tcPr>
          <w:p w:rsidR="008E273C" w:rsidRDefault="008E273C" w:rsidP="00C31DF7">
            <w:pPr>
              <w:pStyle w:val="BodyText"/>
            </w:pPr>
            <w:r>
              <w:t>94,983</w:t>
            </w:r>
          </w:p>
        </w:tc>
        <w:tc>
          <w:tcPr>
            <w:tcW w:w="1111" w:type="pct"/>
          </w:tcPr>
          <w:p w:rsidR="008E273C" w:rsidRDefault="008E273C" w:rsidP="00C31DF7">
            <w:pPr>
              <w:pStyle w:val="BodyText"/>
            </w:pPr>
          </w:p>
        </w:tc>
      </w:tr>
      <w:tr w:rsidR="008E273C" w:rsidTr="00C31DF7">
        <w:trPr>
          <w:trHeight w:val="60"/>
        </w:trPr>
        <w:tc>
          <w:tcPr>
            <w:tcW w:w="2778" w:type="pct"/>
          </w:tcPr>
          <w:p w:rsidR="008E273C" w:rsidRDefault="008E273C" w:rsidP="00C31DF7">
            <w:pPr>
              <w:pStyle w:val="BodyText"/>
            </w:pPr>
            <w:r>
              <w:t>Graduate APS</w:t>
            </w:r>
          </w:p>
        </w:tc>
        <w:tc>
          <w:tcPr>
            <w:tcW w:w="1111" w:type="pct"/>
          </w:tcPr>
          <w:p w:rsidR="008E273C" w:rsidRDefault="008E273C" w:rsidP="00C31DF7">
            <w:pPr>
              <w:pStyle w:val="BodyText"/>
            </w:pPr>
            <w:r>
              <w:t>59,498</w:t>
            </w:r>
          </w:p>
        </w:tc>
        <w:tc>
          <w:tcPr>
            <w:tcW w:w="1111" w:type="pct"/>
          </w:tcPr>
          <w:p w:rsidR="008E273C" w:rsidRDefault="008E273C" w:rsidP="00C31DF7">
            <w:pPr>
              <w:pStyle w:val="BodyText"/>
            </w:pPr>
            <w:r>
              <w:t>66,313</w:t>
            </w:r>
          </w:p>
        </w:tc>
      </w:tr>
      <w:tr w:rsidR="008E273C" w:rsidTr="00C31DF7">
        <w:trPr>
          <w:trHeight w:val="60"/>
        </w:trPr>
        <w:tc>
          <w:tcPr>
            <w:tcW w:w="2778" w:type="pct"/>
          </w:tcPr>
          <w:p w:rsidR="008E273C" w:rsidRDefault="008E273C" w:rsidP="00C31DF7">
            <w:pPr>
              <w:pStyle w:val="BodyText"/>
            </w:pPr>
            <w:r>
              <w:t>Cadet ICT (Technical Trainee)</w:t>
            </w:r>
          </w:p>
        </w:tc>
        <w:tc>
          <w:tcPr>
            <w:tcW w:w="1111" w:type="pct"/>
          </w:tcPr>
          <w:p w:rsidR="008E273C" w:rsidRDefault="008E273C" w:rsidP="00C31DF7">
            <w:pPr>
              <w:pStyle w:val="BodyText"/>
            </w:pPr>
            <w:r>
              <w:t>53,672</w:t>
            </w:r>
          </w:p>
        </w:tc>
        <w:tc>
          <w:tcPr>
            <w:tcW w:w="1111" w:type="pct"/>
          </w:tcPr>
          <w:p w:rsidR="008E273C" w:rsidRDefault="008E273C" w:rsidP="00C31DF7">
            <w:pPr>
              <w:pStyle w:val="BodyText"/>
            </w:pPr>
            <w:r>
              <w:t>66,313</w:t>
            </w:r>
          </w:p>
        </w:tc>
      </w:tr>
      <w:tr w:rsidR="008E273C" w:rsidTr="00C31DF7">
        <w:trPr>
          <w:trHeight w:val="60"/>
        </w:trPr>
        <w:tc>
          <w:tcPr>
            <w:tcW w:w="2778" w:type="pct"/>
          </w:tcPr>
          <w:p w:rsidR="008E273C" w:rsidRDefault="008E273C" w:rsidP="00C31DF7">
            <w:pPr>
              <w:pStyle w:val="BodyText"/>
            </w:pPr>
            <w:r>
              <w:t>APS Trainee (Apprentice)</w:t>
            </w:r>
          </w:p>
        </w:tc>
        <w:tc>
          <w:tcPr>
            <w:tcW w:w="1111" w:type="pct"/>
          </w:tcPr>
          <w:p w:rsidR="008E273C" w:rsidRDefault="008E273C" w:rsidP="00C31DF7">
            <w:pPr>
              <w:pStyle w:val="BodyText"/>
            </w:pPr>
            <w:r>
              <w:t>53,672</w:t>
            </w:r>
          </w:p>
        </w:tc>
        <w:tc>
          <w:tcPr>
            <w:tcW w:w="1111" w:type="pct"/>
          </w:tcPr>
          <w:p w:rsidR="008E273C" w:rsidRDefault="008E273C" w:rsidP="00C31DF7">
            <w:pPr>
              <w:pStyle w:val="BodyText"/>
            </w:pPr>
            <w:r>
              <w:t>66,313</w:t>
            </w:r>
          </w:p>
        </w:tc>
      </w:tr>
      <w:tr w:rsidR="008E273C" w:rsidTr="00C31DF7">
        <w:trPr>
          <w:trHeight w:val="60"/>
        </w:trPr>
        <w:tc>
          <w:tcPr>
            <w:tcW w:w="2778" w:type="pct"/>
          </w:tcPr>
          <w:p w:rsidR="008E273C" w:rsidRDefault="008E273C" w:rsidP="00C31DF7">
            <w:pPr>
              <w:pStyle w:val="BodyText"/>
            </w:pPr>
            <w:r>
              <w:t>APS Trainee (ICT Apprentice)</w:t>
            </w:r>
          </w:p>
        </w:tc>
        <w:tc>
          <w:tcPr>
            <w:tcW w:w="1111" w:type="pct"/>
          </w:tcPr>
          <w:p w:rsidR="008E273C" w:rsidRDefault="008E273C" w:rsidP="00C31DF7">
            <w:pPr>
              <w:pStyle w:val="BodyText"/>
            </w:pPr>
            <w:r>
              <w:t>48,030</w:t>
            </w:r>
          </w:p>
        </w:tc>
        <w:tc>
          <w:tcPr>
            <w:tcW w:w="1111" w:type="pct"/>
          </w:tcPr>
          <w:p w:rsidR="008E273C" w:rsidRDefault="008E273C" w:rsidP="00C31DF7">
            <w:pPr>
              <w:pStyle w:val="BodyText"/>
            </w:pPr>
            <w:r>
              <w:t>57,208</w:t>
            </w:r>
          </w:p>
        </w:tc>
      </w:tr>
      <w:tr w:rsidR="008E273C" w:rsidTr="00C31DF7">
        <w:trPr>
          <w:trHeight w:val="60"/>
        </w:trPr>
        <w:tc>
          <w:tcPr>
            <w:tcW w:w="2778" w:type="pct"/>
          </w:tcPr>
          <w:p w:rsidR="008E273C" w:rsidRDefault="008E273C" w:rsidP="00C31DF7">
            <w:pPr>
              <w:pStyle w:val="BodyText"/>
            </w:pPr>
            <w:r>
              <w:t>Cadet APS</w:t>
            </w:r>
          </w:p>
        </w:tc>
        <w:tc>
          <w:tcPr>
            <w:tcW w:w="1111" w:type="pct"/>
          </w:tcPr>
          <w:p w:rsidR="008E273C" w:rsidRDefault="008E273C" w:rsidP="00C31DF7">
            <w:pPr>
              <w:pStyle w:val="BodyText"/>
            </w:pPr>
            <w:r>
              <w:t>27,378</w:t>
            </w:r>
          </w:p>
        </w:tc>
        <w:tc>
          <w:tcPr>
            <w:tcW w:w="1111" w:type="pct"/>
          </w:tcPr>
          <w:p w:rsidR="008E273C" w:rsidRDefault="008E273C" w:rsidP="00C31DF7">
            <w:pPr>
              <w:pStyle w:val="BodyText"/>
            </w:pPr>
            <w:r>
              <w:t>59,498</w:t>
            </w:r>
          </w:p>
        </w:tc>
      </w:tr>
      <w:tr w:rsidR="008E273C" w:rsidTr="00C31DF7">
        <w:trPr>
          <w:trHeight w:val="60"/>
        </w:trPr>
        <w:tc>
          <w:tcPr>
            <w:tcW w:w="2778" w:type="pct"/>
          </w:tcPr>
          <w:p w:rsidR="008E273C" w:rsidRDefault="008E273C" w:rsidP="00C31DF7">
            <w:pPr>
              <w:pStyle w:val="BodyText"/>
            </w:pPr>
            <w:r>
              <w:t>APS Trainee (School-based pathway) Year 12</w:t>
            </w:r>
          </w:p>
        </w:tc>
        <w:tc>
          <w:tcPr>
            <w:tcW w:w="1111" w:type="pct"/>
          </w:tcPr>
          <w:p w:rsidR="008E273C" w:rsidRDefault="008E273C" w:rsidP="00C31DF7">
            <w:pPr>
              <w:pStyle w:val="BodyText"/>
            </w:pPr>
            <w:r>
              <w:t>24,016</w:t>
            </w:r>
          </w:p>
        </w:tc>
        <w:tc>
          <w:tcPr>
            <w:tcW w:w="1111" w:type="pct"/>
          </w:tcPr>
          <w:p w:rsidR="008E273C" w:rsidRDefault="008E273C" w:rsidP="00C31DF7">
            <w:pPr>
              <w:pStyle w:val="BodyText"/>
            </w:pPr>
          </w:p>
        </w:tc>
      </w:tr>
      <w:tr w:rsidR="008E273C" w:rsidTr="00C31DF7">
        <w:trPr>
          <w:trHeight w:val="60"/>
        </w:trPr>
        <w:tc>
          <w:tcPr>
            <w:tcW w:w="2778" w:type="pct"/>
          </w:tcPr>
          <w:p w:rsidR="008E273C" w:rsidRDefault="008E273C" w:rsidP="00C31DF7">
            <w:pPr>
              <w:pStyle w:val="BodyText"/>
            </w:pPr>
            <w:r>
              <w:t>APS Trainee (School-based pathway) Year 11</w:t>
            </w:r>
          </w:p>
        </w:tc>
        <w:tc>
          <w:tcPr>
            <w:tcW w:w="1111" w:type="pct"/>
          </w:tcPr>
          <w:p w:rsidR="008E273C" w:rsidRDefault="008E273C" w:rsidP="00C31DF7">
            <w:pPr>
              <w:pStyle w:val="BodyText"/>
            </w:pPr>
            <w:r>
              <w:t>21,787</w:t>
            </w:r>
          </w:p>
        </w:tc>
        <w:tc>
          <w:tcPr>
            <w:tcW w:w="1111" w:type="pct"/>
          </w:tcPr>
          <w:p w:rsidR="008E273C" w:rsidRDefault="008E273C" w:rsidP="00C31DF7">
            <w:pPr>
              <w:pStyle w:val="BodyText"/>
            </w:pPr>
          </w:p>
        </w:tc>
      </w:tr>
    </w:tbl>
    <w:p w:rsidR="008E273C" w:rsidRDefault="00C31DF7" w:rsidP="00C31DF7">
      <w:pPr>
        <w:pStyle w:val="BodyText"/>
      </w:pPr>
      <w:r>
        <w:lastRenderedPageBreak/>
        <w:t xml:space="preserve">(a) </w:t>
      </w:r>
      <w:r w:rsidR="008E273C">
        <w:t>The salary ranges in this table cover base salary rates only. They do not include reportable fringe benefits, allowances and salary sacrifice arrangements.</w:t>
      </w:r>
    </w:p>
    <w:p w:rsidR="008E273C" w:rsidRDefault="008E273C" w:rsidP="008E273C">
      <w:pPr>
        <w:pStyle w:val="Heading2"/>
      </w:pPr>
      <w:r>
        <w:t>Non-salary benefits</w:t>
      </w:r>
    </w:p>
    <w:p w:rsidR="008E273C" w:rsidRDefault="008E273C" w:rsidP="008E273C">
      <w:pPr>
        <w:pStyle w:val="BodyText"/>
      </w:pPr>
      <w:r>
        <w:t xml:space="preserve">The </w:t>
      </w:r>
      <w:r>
        <w:rPr>
          <w:rStyle w:val="Italic"/>
        </w:rPr>
        <w:t>Department of Human Services Enterprise Agreement 2017–2020</w:t>
      </w:r>
      <w:r>
        <w:t xml:space="preserve"> provides for a range of allowances for staff who meet eligibility criteria. For more information see </w:t>
      </w:r>
      <w:r>
        <w:rPr>
          <w:rStyle w:val="Italic"/>
        </w:rPr>
        <w:t>Enterprise Agreements</w:t>
      </w:r>
      <w:r>
        <w:t xml:space="preserve"> on page 191.</w:t>
      </w:r>
    </w:p>
    <w:p w:rsidR="008E273C" w:rsidRDefault="008E273C" w:rsidP="008E273C">
      <w:pPr>
        <w:pStyle w:val="Heading2"/>
      </w:pPr>
      <w:r>
        <w:t>Remuneration for key management personnel</w:t>
      </w:r>
    </w:p>
    <w:p w:rsidR="008E273C" w:rsidRDefault="008E273C" w:rsidP="008E273C">
      <w:pPr>
        <w:pStyle w:val="BodyText"/>
      </w:pPr>
      <w:r>
        <w:t xml:space="preserve">Key management personnel (KMP) are people having authority and responsibility for planning, directing and controlling the activities of the agency, directly or indirectly. The agency has determined the KMP to be the Chief Executive Officer and Deputy Chief Executive Officers (previously these roles were referred to as the Secretary and Deputy Secretaries). </w:t>
      </w:r>
    </w:p>
    <w:p w:rsidR="008E273C" w:rsidRDefault="008E273C" w:rsidP="008E273C">
      <w:pPr>
        <w:pStyle w:val="BodyText"/>
      </w:pPr>
      <w:r>
        <w:t>The agency’s KMP currently consists of eight positions. During 2019–20 the total number of senior executives that occupied a KMP role was 15, and includes acting arrangements where it was determined the individual meets the definition of a KMP.</w:t>
      </w:r>
    </w:p>
    <w:p w:rsidR="008E273C" w:rsidRPr="00C31DF7" w:rsidRDefault="00C31DF7" w:rsidP="00C31DF7">
      <w:pPr>
        <w:pStyle w:val="BodyText"/>
        <w:rPr>
          <w:b/>
        </w:rPr>
      </w:pPr>
      <w:r w:rsidRPr="00C31DF7">
        <w:rPr>
          <w:b/>
        </w:rPr>
        <w:t>Table 75:</w:t>
      </w:r>
      <w:r w:rsidR="008E273C" w:rsidRPr="00C31DF7">
        <w:rPr>
          <w:b/>
        </w:rPr>
        <w:t xml:space="preserve"> Key management personnel</w:t>
      </w:r>
    </w:p>
    <w:tbl>
      <w:tblPr>
        <w:tblStyle w:val="TableGrid"/>
        <w:tblW w:w="5000" w:type="pct"/>
        <w:tblLook w:val="0000" w:firstRow="0" w:lastRow="0" w:firstColumn="0" w:lastColumn="0" w:noHBand="0" w:noVBand="0"/>
        <w:tblCaption w:val="Table 75: Key management personnel"/>
        <w:tblDescription w:val="Table 75: Key management personnel"/>
      </w:tblPr>
      <w:tblGrid>
        <w:gridCol w:w="3172"/>
        <w:gridCol w:w="3963"/>
        <w:gridCol w:w="3961"/>
      </w:tblGrid>
      <w:tr w:rsidR="008E273C" w:rsidTr="00C31DF7">
        <w:trPr>
          <w:trHeight w:val="60"/>
          <w:tblHeader/>
        </w:trPr>
        <w:tc>
          <w:tcPr>
            <w:tcW w:w="1429" w:type="pct"/>
          </w:tcPr>
          <w:p w:rsidR="008E273C" w:rsidRPr="00C31DF7" w:rsidRDefault="008E273C" w:rsidP="00C31DF7">
            <w:pPr>
              <w:pStyle w:val="BodyText"/>
              <w:rPr>
                <w:b/>
              </w:rPr>
            </w:pPr>
            <w:r w:rsidRPr="00C31DF7">
              <w:rPr>
                <w:b/>
              </w:rPr>
              <w:t>Name</w:t>
            </w:r>
          </w:p>
        </w:tc>
        <w:tc>
          <w:tcPr>
            <w:tcW w:w="1786" w:type="pct"/>
          </w:tcPr>
          <w:p w:rsidR="008E273C" w:rsidRPr="00C31DF7" w:rsidRDefault="008E273C" w:rsidP="00C31DF7">
            <w:pPr>
              <w:pStyle w:val="BodyText"/>
              <w:rPr>
                <w:b/>
              </w:rPr>
            </w:pPr>
            <w:r w:rsidRPr="00C31DF7">
              <w:rPr>
                <w:b/>
              </w:rPr>
              <w:t>Position</w:t>
            </w:r>
          </w:p>
        </w:tc>
        <w:tc>
          <w:tcPr>
            <w:tcW w:w="1786" w:type="pct"/>
          </w:tcPr>
          <w:p w:rsidR="008E273C" w:rsidRPr="00C31DF7" w:rsidRDefault="008E273C" w:rsidP="00C31DF7">
            <w:pPr>
              <w:pStyle w:val="BodyText"/>
              <w:rPr>
                <w:b/>
              </w:rPr>
            </w:pPr>
            <w:r w:rsidRPr="00C31DF7">
              <w:rPr>
                <w:b/>
              </w:rPr>
              <w:t>Term as KMP</w:t>
            </w:r>
          </w:p>
        </w:tc>
      </w:tr>
      <w:tr w:rsidR="008E273C" w:rsidTr="00C31DF7">
        <w:trPr>
          <w:trHeight w:val="60"/>
        </w:trPr>
        <w:tc>
          <w:tcPr>
            <w:tcW w:w="1429" w:type="pct"/>
          </w:tcPr>
          <w:p w:rsidR="008E273C" w:rsidRDefault="008E273C" w:rsidP="00C31DF7">
            <w:pPr>
              <w:pStyle w:val="BodyText"/>
            </w:pPr>
            <w:r>
              <w:t>Renée Leon</w:t>
            </w:r>
          </w:p>
        </w:tc>
        <w:tc>
          <w:tcPr>
            <w:tcW w:w="1786" w:type="pct"/>
          </w:tcPr>
          <w:p w:rsidR="008E273C" w:rsidRDefault="008E273C" w:rsidP="00C31DF7">
            <w:pPr>
              <w:pStyle w:val="BodyText"/>
            </w:pPr>
            <w:r>
              <w:t>Secretary</w:t>
            </w:r>
          </w:p>
        </w:tc>
        <w:tc>
          <w:tcPr>
            <w:tcW w:w="1786" w:type="pct"/>
          </w:tcPr>
          <w:p w:rsidR="008E273C" w:rsidRDefault="008E273C" w:rsidP="00C31DF7">
            <w:pPr>
              <w:pStyle w:val="BodyText"/>
            </w:pPr>
            <w:r>
              <w:t>Part year—Ceased on 31 January 2020</w:t>
            </w:r>
          </w:p>
        </w:tc>
      </w:tr>
      <w:tr w:rsidR="008E273C" w:rsidTr="00C31DF7">
        <w:trPr>
          <w:trHeight w:val="60"/>
        </w:trPr>
        <w:tc>
          <w:tcPr>
            <w:tcW w:w="1429" w:type="pct"/>
          </w:tcPr>
          <w:p w:rsidR="008E273C" w:rsidRDefault="008E273C" w:rsidP="00C31DF7">
            <w:pPr>
              <w:pStyle w:val="BodyText"/>
            </w:pPr>
            <w:r>
              <w:t>Rebecca Skinner</w:t>
            </w:r>
          </w:p>
        </w:tc>
        <w:tc>
          <w:tcPr>
            <w:tcW w:w="1786" w:type="pct"/>
          </w:tcPr>
          <w:p w:rsidR="008E273C" w:rsidRDefault="008E273C" w:rsidP="00C31DF7">
            <w:pPr>
              <w:pStyle w:val="BodyText"/>
            </w:pPr>
            <w:r>
              <w:t>Chief Executive Officer</w:t>
            </w:r>
          </w:p>
        </w:tc>
        <w:tc>
          <w:tcPr>
            <w:tcW w:w="1786" w:type="pct"/>
          </w:tcPr>
          <w:p w:rsidR="008E273C" w:rsidRDefault="008E273C" w:rsidP="00C31DF7">
            <w:pPr>
              <w:pStyle w:val="BodyText"/>
            </w:pPr>
            <w:r>
              <w:t xml:space="preserve">Part year—Commenced on 16 March 2020 </w:t>
            </w:r>
          </w:p>
        </w:tc>
      </w:tr>
      <w:tr w:rsidR="008E273C" w:rsidTr="00C31DF7">
        <w:trPr>
          <w:trHeight w:val="60"/>
        </w:trPr>
        <w:tc>
          <w:tcPr>
            <w:tcW w:w="1429" w:type="pct"/>
          </w:tcPr>
          <w:p w:rsidR="008E273C" w:rsidRDefault="008E273C" w:rsidP="00C31DF7">
            <w:pPr>
              <w:pStyle w:val="BodyText"/>
            </w:pPr>
            <w:r>
              <w:t>John Murphy</w:t>
            </w:r>
          </w:p>
        </w:tc>
        <w:tc>
          <w:tcPr>
            <w:tcW w:w="1786" w:type="pct"/>
          </w:tcPr>
          <w:p w:rsidR="008E273C" w:rsidRDefault="008E273C" w:rsidP="00C31DF7">
            <w:pPr>
              <w:pStyle w:val="BodyText"/>
            </w:pPr>
            <w:r>
              <w:t xml:space="preserve">Deputy Chief Executive Officer </w:t>
            </w:r>
          </w:p>
        </w:tc>
        <w:tc>
          <w:tcPr>
            <w:tcW w:w="1786" w:type="pct"/>
          </w:tcPr>
          <w:p w:rsidR="008E273C" w:rsidRDefault="008E273C" w:rsidP="00C31DF7">
            <w:pPr>
              <w:pStyle w:val="BodyText"/>
            </w:pPr>
            <w:r>
              <w:t>Full year</w:t>
            </w:r>
          </w:p>
        </w:tc>
      </w:tr>
      <w:tr w:rsidR="008E273C" w:rsidTr="00C31DF7">
        <w:trPr>
          <w:trHeight w:val="60"/>
        </w:trPr>
        <w:tc>
          <w:tcPr>
            <w:tcW w:w="1429" w:type="pct"/>
          </w:tcPr>
          <w:p w:rsidR="008E273C" w:rsidRDefault="008E273C" w:rsidP="00C31DF7">
            <w:pPr>
              <w:pStyle w:val="BodyText"/>
            </w:pPr>
            <w:r>
              <w:t>Michael McNamara</w:t>
            </w:r>
          </w:p>
        </w:tc>
        <w:tc>
          <w:tcPr>
            <w:tcW w:w="1786" w:type="pct"/>
          </w:tcPr>
          <w:p w:rsidR="008E273C" w:rsidRDefault="008E273C" w:rsidP="00C31DF7">
            <w:pPr>
              <w:pStyle w:val="BodyText"/>
            </w:pPr>
            <w:r>
              <w:t xml:space="preserve">Chief Information Officer </w:t>
            </w:r>
          </w:p>
        </w:tc>
        <w:tc>
          <w:tcPr>
            <w:tcW w:w="1786" w:type="pct"/>
          </w:tcPr>
          <w:p w:rsidR="008E273C" w:rsidRDefault="008E273C" w:rsidP="00C31DF7">
            <w:pPr>
              <w:pStyle w:val="BodyText"/>
            </w:pPr>
            <w:r>
              <w:t>Full year</w:t>
            </w:r>
          </w:p>
        </w:tc>
      </w:tr>
      <w:tr w:rsidR="008E273C" w:rsidTr="00C31DF7">
        <w:trPr>
          <w:trHeight w:val="60"/>
        </w:trPr>
        <w:tc>
          <w:tcPr>
            <w:tcW w:w="1429" w:type="pct"/>
          </w:tcPr>
          <w:p w:rsidR="008E273C" w:rsidRDefault="008E273C" w:rsidP="00C31DF7">
            <w:pPr>
              <w:pStyle w:val="BodyText"/>
            </w:pPr>
            <w:r>
              <w:t>Amanda Cattermole</w:t>
            </w:r>
          </w:p>
        </w:tc>
        <w:tc>
          <w:tcPr>
            <w:tcW w:w="1786" w:type="pct"/>
          </w:tcPr>
          <w:p w:rsidR="008E273C" w:rsidRDefault="008E273C" w:rsidP="00C31DF7">
            <w:pPr>
              <w:pStyle w:val="BodyText"/>
            </w:pPr>
            <w:r>
              <w:t>Chief Operating Officer</w:t>
            </w:r>
          </w:p>
        </w:tc>
        <w:tc>
          <w:tcPr>
            <w:tcW w:w="1786" w:type="pct"/>
          </w:tcPr>
          <w:p w:rsidR="008E273C" w:rsidRDefault="008E273C" w:rsidP="00C31DF7">
            <w:pPr>
              <w:pStyle w:val="BodyText"/>
            </w:pPr>
            <w:r>
              <w:t>Full year</w:t>
            </w:r>
          </w:p>
        </w:tc>
      </w:tr>
      <w:tr w:rsidR="008E273C" w:rsidTr="00C31DF7">
        <w:trPr>
          <w:trHeight w:val="60"/>
        </w:trPr>
        <w:tc>
          <w:tcPr>
            <w:tcW w:w="1429" w:type="pct"/>
          </w:tcPr>
          <w:p w:rsidR="008E273C" w:rsidRDefault="008E273C" w:rsidP="00C31DF7">
            <w:pPr>
              <w:pStyle w:val="BodyText"/>
            </w:pPr>
            <w:r>
              <w:t>Michelle Lees</w:t>
            </w:r>
          </w:p>
        </w:tc>
        <w:tc>
          <w:tcPr>
            <w:tcW w:w="1786" w:type="pct"/>
          </w:tcPr>
          <w:p w:rsidR="008E273C" w:rsidRDefault="008E273C" w:rsidP="00C31DF7">
            <w:pPr>
              <w:pStyle w:val="BodyText"/>
            </w:pPr>
            <w:r>
              <w:t>Deputy Chief Executive Officer</w:t>
            </w:r>
          </w:p>
        </w:tc>
        <w:tc>
          <w:tcPr>
            <w:tcW w:w="1786" w:type="pct"/>
          </w:tcPr>
          <w:p w:rsidR="008E273C" w:rsidRDefault="008E273C" w:rsidP="00C31DF7">
            <w:pPr>
              <w:pStyle w:val="BodyText"/>
            </w:pPr>
            <w:r>
              <w:t>Full year</w:t>
            </w:r>
          </w:p>
        </w:tc>
      </w:tr>
      <w:tr w:rsidR="008E273C" w:rsidTr="00C31DF7">
        <w:trPr>
          <w:trHeight w:val="60"/>
        </w:trPr>
        <w:tc>
          <w:tcPr>
            <w:tcW w:w="1429" w:type="pct"/>
          </w:tcPr>
          <w:p w:rsidR="008E273C" w:rsidRDefault="008E273C" w:rsidP="00C31DF7">
            <w:pPr>
              <w:pStyle w:val="BodyText"/>
            </w:pPr>
            <w:r>
              <w:t xml:space="preserve">Annette </w:t>
            </w:r>
            <w:proofErr w:type="spellStart"/>
            <w:r>
              <w:t>Musolino</w:t>
            </w:r>
            <w:proofErr w:type="spellEnd"/>
          </w:p>
        </w:tc>
        <w:tc>
          <w:tcPr>
            <w:tcW w:w="1786" w:type="pct"/>
          </w:tcPr>
          <w:p w:rsidR="008E273C" w:rsidRDefault="008E273C" w:rsidP="00C31DF7">
            <w:pPr>
              <w:pStyle w:val="BodyText"/>
            </w:pPr>
            <w:r>
              <w:t xml:space="preserve">Deputy Chief Executive Officer </w:t>
            </w:r>
          </w:p>
        </w:tc>
        <w:tc>
          <w:tcPr>
            <w:tcW w:w="1786" w:type="pct"/>
          </w:tcPr>
          <w:p w:rsidR="008E273C" w:rsidRDefault="008E273C" w:rsidP="00C31DF7">
            <w:pPr>
              <w:pStyle w:val="BodyText"/>
            </w:pPr>
            <w:r>
              <w:t>Part year—Acting in role from 1 July 2019 to 3 November 2019 and promoted on 10 February 2020</w:t>
            </w:r>
          </w:p>
        </w:tc>
      </w:tr>
      <w:tr w:rsidR="008E273C" w:rsidTr="00C31DF7">
        <w:trPr>
          <w:trHeight w:val="60"/>
        </w:trPr>
        <w:tc>
          <w:tcPr>
            <w:tcW w:w="1429" w:type="pct"/>
          </w:tcPr>
          <w:p w:rsidR="008E273C" w:rsidRDefault="008E273C" w:rsidP="00C31DF7">
            <w:pPr>
              <w:pStyle w:val="BodyText"/>
            </w:pPr>
            <w:r>
              <w:t>Roxanne Kelley</w:t>
            </w:r>
          </w:p>
        </w:tc>
        <w:tc>
          <w:tcPr>
            <w:tcW w:w="1786" w:type="pct"/>
          </w:tcPr>
          <w:p w:rsidR="008E273C" w:rsidRDefault="008E273C" w:rsidP="00C31DF7">
            <w:pPr>
              <w:pStyle w:val="BodyText"/>
            </w:pPr>
            <w:r>
              <w:t xml:space="preserve">Chief Operating Officer </w:t>
            </w:r>
          </w:p>
        </w:tc>
        <w:tc>
          <w:tcPr>
            <w:tcW w:w="1786" w:type="pct"/>
          </w:tcPr>
          <w:p w:rsidR="008E273C" w:rsidRDefault="008E273C" w:rsidP="00C31DF7">
            <w:pPr>
              <w:pStyle w:val="BodyText"/>
            </w:pPr>
            <w:r>
              <w:t>Part year—Ceased on 15 March 2020</w:t>
            </w:r>
          </w:p>
        </w:tc>
      </w:tr>
      <w:tr w:rsidR="008E273C" w:rsidTr="00C31DF7">
        <w:trPr>
          <w:trHeight w:val="60"/>
        </w:trPr>
        <w:tc>
          <w:tcPr>
            <w:tcW w:w="1429" w:type="pct"/>
          </w:tcPr>
          <w:p w:rsidR="008E273C" w:rsidRDefault="008E273C" w:rsidP="00C31DF7">
            <w:pPr>
              <w:pStyle w:val="BodyText"/>
            </w:pPr>
            <w:r>
              <w:t>Catherine Rule</w:t>
            </w:r>
          </w:p>
        </w:tc>
        <w:tc>
          <w:tcPr>
            <w:tcW w:w="1786" w:type="pct"/>
          </w:tcPr>
          <w:p w:rsidR="008E273C" w:rsidRDefault="008E273C" w:rsidP="00C31DF7">
            <w:pPr>
              <w:pStyle w:val="BodyText"/>
            </w:pPr>
            <w:r>
              <w:t>Deputy Chief Executive Officer</w:t>
            </w:r>
          </w:p>
        </w:tc>
        <w:tc>
          <w:tcPr>
            <w:tcW w:w="1786" w:type="pct"/>
          </w:tcPr>
          <w:p w:rsidR="008E273C" w:rsidRDefault="008E273C" w:rsidP="00C31DF7">
            <w:pPr>
              <w:pStyle w:val="BodyText"/>
            </w:pPr>
            <w:r>
              <w:t>Part year–Ceased on 9 February 2020</w:t>
            </w:r>
          </w:p>
        </w:tc>
      </w:tr>
      <w:tr w:rsidR="008E273C" w:rsidTr="00C31DF7">
        <w:trPr>
          <w:trHeight w:val="60"/>
        </w:trPr>
        <w:tc>
          <w:tcPr>
            <w:tcW w:w="1429" w:type="pct"/>
          </w:tcPr>
          <w:p w:rsidR="008E273C" w:rsidRDefault="008E273C" w:rsidP="00C31DF7">
            <w:pPr>
              <w:pStyle w:val="BodyText"/>
            </w:pPr>
            <w:r>
              <w:lastRenderedPageBreak/>
              <w:t xml:space="preserve">Grant </w:t>
            </w:r>
            <w:proofErr w:type="spellStart"/>
            <w:r>
              <w:t>Tidswell</w:t>
            </w:r>
            <w:proofErr w:type="spellEnd"/>
          </w:p>
        </w:tc>
        <w:tc>
          <w:tcPr>
            <w:tcW w:w="1786" w:type="pct"/>
          </w:tcPr>
          <w:p w:rsidR="008E273C" w:rsidRDefault="008E273C" w:rsidP="00C31DF7">
            <w:pPr>
              <w:pStyle w:val="BodyText"/>
            </w:pPr>
            <w:r>
              <w:t xml:space="preserve">Deputy Chief Executive Officer </w:t>
            </w:r>
          </w:p>
        </w:tc>
        <w:tc>
          <w:tcPr>
            <w:tcW w:w="1786" w:type="pct"/>
          </w:tcPr>
          <w:p w:rsidR="008E273C" w:rsidRDefault="008E273C" w:rsidP="00C31DF7">
            <w:pPr>
              <w:pStyle w:val="BodyText"/>
            </w:pPr>
            <w:r>
              <w:t>Part year—Commenced on 25 March 2020</w:t>
            </w:r>
          </w:p>
        </w:tc>
      </w:tr>
      <w:tr w:rsidR="008E273C" w:rsidTr="00C31DF7">
        <w:trPr>
          <w:trHeight w:val="60"/>
        </w:trPr>
        <w:tc>
          <w:tcPr>
            <w:tcW w:w="1429" w:type="pct"/>
          </w:tcPr>
          <w:p w:rsidR="008E273C" w:rsidRDefault="008E273C" w:rsidP="00C31DF7">
            <w:pPr>
              <w:pStyle w:val="BodyText"/>
            </w:pPr>
            <w:r>
              <w:t xml:space="preserve">Jennifer </w:t>
            </w:r>
            <w:proofErr w:type="spellStart"/>
            <w:r>
              <w:t>Teece</w:t>
            </w:r>
            <w:proofErr w:type="spellEnd"/>
          </w:p>
        </w:tc>
        <w:tc>
          <w:tcPr>
            <w:tcW w:w="1786" w:type="pct"/>
          </w:tcPr>
          <w:p w:rsidR="008E273C" w:rsidRDefault="008E273C" w:rsidP="00C31DF7">
            <w:pPr>
              <w:pStyle w:val="BodyText"/>
            </w:pPr>
            <w:r>
              <w:t xml:space="preserve">Deputy Chief Executive Officer </w:t>
            </w:r>
          </w:p>
        </w:tc>
        <w:tc>
          <w:tcPr>
            <w:tcW w:w="1786" w:type="pct"/>
          </w:tcPr>
          <w:p w:rsidR="008E273C" w:rsidRDefault="008E273C" w:rsidP="00C31DF7">
            <w:pPr>
              <w:pStyle w:val="BodyText"/>
            </w:pPr>
            <w:r>
              <w:t xml:space="preserve">Part year—Acting in the role from 12 August 2019 to 9 February 2020 </w:t>
            </w:r>
          </w:p>
        </w:tc>
      </w:tr>
      <w:tr w:rsidR="008E273C" w:rsidTr="00C31DF7">
        <w:trPr>
          <w:trHeight w:val="60"/>
        </w:trPr>
        <w:tc>
          <w:tcPr>
            <w:tcW w:w="1429" w:type="pct"/>
          </w:tcPr>
          <w:p w:rsidR="008E273C" w:rsidRDefault="008E273C" w:rsidP="00C31DF7">
            <w:pPr>
              <w:pStyle w:val="BodyText"/>
            </w:pPr>
            <w:r>
              <w:t>Russell Egan</w:t>
            </w:r>
          </w:p>
        </w:tc>
        <w:tc>
          <w:tcPr>
            <w:tcW w:w="1786" w:type="pct"/>
          </w:tcPr>
          <w:p w:rsidR="008E273C" w:rsidRDefault="008E273C" w:rsidP="00C31DF7">
            <w:pPr>
              <w:pStyle w:val="BodyText"/>
            </w:pPr>
            <w:r>
              <w:t xml:space="preserve">Deputy Chief Executive Officer </w:t>
            </w:r>
          </w:p>
        </w:tc>
        <w:tc>
          <w:tcPr>
            <w:tcW w:w="1786" w:type="pct"/>
          </w:tcPr>
          <w:p w:rsidR="008E273C" w:rsidRDefault="008E273C" w:rsidP="00C31DF7">
            <w:pPr>
              <w:pStyle w:val="BodyText"/>
            </w:pPr>
            <w:r>
              <w:t>Part year—Commenced on 3 February 2020</w:t>
            </w:r>
          </w:p>
        </w:tc>
      </w:tr>
      <w:tr w:rsidR="008E273C" w:rsidTr="00C31DF7">
        <w:trPr>
          <w:trHeight w:val="60"/>
        </w:trPr>
        <w:tc>
          <w:tcPr>
            <w:tcW w:w="1429" w:type="pct"/>
          </w:tcPr>
          <w:p w:rsidR="008E273C" w:rsidRDefault="008E273C" w:rsidP="00C31DF7">
            <w:pPr>
              <w:pStyle w:val="BodyText"/>
            </w:pPr>
            <w:r>
              <w:t>Roslyn Baxter</w:t>
            </w:r>
          </w:p>
        </w:tc>
        <w:tc>
          <w:tcPr>
            <w:tcW w:w="1786" w:type="pct"/>
          </w:tcPr>
          <w:p w:rsidR="008E273C" w:rsidRDefault="008E273C" w:rsidP="00C31DF7">
            <w:pPr>
              <w:pStyle w:val="BodyText"/>
            </w:pPr>
            <w:r>
              <w:t xml:space="preserve">Deputy Chief Executive Officer </w:t>
            </w:r>
          </w:p>
        </w:tc>
        <w:tc>
          <w:tcPr>
            <w:tcW w:w="1786" w:type="pct"/>
          </w:tcPr>
          <w:p w:rsidR="008E273C" w:rsidRDefault="008E273C" w:rsidP="00C31DF7">
            <w:pPr>
              <w:pStyle w:val="BodyText"/>
            </w:pPr>
            <w:r>
              <w:rPr>
                <w:spacing w:val="-2"/>
              </w:rPr>
              <w:t xml:space="preserve">Part year—Commenced on 28 October 2019. Ceased on 9 February 2020  </w:t>
            </w:r>
          </w:p>
        </w:tc>
      </w:tr>
      <w:tr w:rsidR="008E273C" w:rsidTr="00C31DF7">
        <w:trPr>
          <w:trHeight w:val="60"/>
        </w:trPr>
        <w:tc>
          <w:tcPr>
            <w:tcW w:w="1429" w:type="pct"/>
          </w:tcPr>
          <w:p w:rsidR="008E273C" w:rsidRDefault="008E273C" w:rsidP="00C31DF7">
            <w:pPr>
              <w:pStyle w:val="BodyText"/>
            </w:pPr>
            <w:r>
              <w:t>Paul Creech</w:t>
            </w:r>
          </w:p>
        </w:tc>
        <w:tc>
          <w:tcPr>
            <w:tcW w:w="1786" w:type="pct"/>
          </w:tcPr>
          <w:p w:rsidR="008E273C" w:rsidRDefault="008E273C" w:rsidP="00C31DF7">
            <w:pPr>
              <w:pStyle w:val="BodyText"/>
            </w:pPr>
            <w:r>
              <w:t xml:space="preserve">Deputy Chief Executive Officer </w:t>
            </w:r>
          </w:p>
        </w:tc>
        <w:tc>
          <w:tcPr>
            <w:tcW w:w="1786" w:type="pct"/>
          </w:tcPr>
          <w:p w:rsidR="008E273C" w:rsidRDefault="008E273C" w:rsidP="00C31DF7">
            <w:pPr>
              <w:pStyle w:val="BodyText"/>
            </w:pPr>
            <w:r>
              <w:t>Part year</w:t>
            </w:r>
            <w:r>
              <w:rPr>
                <w:spacing w:val="-2"/>
              </w:rPr>
              <w:t>—</w:t>
            </w:r>
            <w:r>
              <w:t>Acting in role from 29 August 2019 to 1 December 2019</w:t>
            </w:r>
          </w:p>
        </w:tc>
      </w:tr>
      <w:tr w:rsidR="008E273C" w:rsidTr="00C31DF7">
        <w:trPr>
          <w:trHeight w:val="60"/>
        </w:trPr>
        <w:tc>
          <w:tcPr>
            <w:tcW w:w="1429" w:type="pct"/>
          </w:tcPr>
          <w:p w:rsidR="008E273C" w:rsidRDefault="008E273C" w:rsidP="00C31DF7">
            <w:pPr>
              <w:pStyle w:val="BodyText"/>
            </w:pPr>
            <w:r>
              <w:t xml:space="preserve">Charles </w:t>
            </w:r>
            <w:proofErr w:type="spellStart"/>
            <w:r>
              <w:t>McHardie</w:t>
            </w:r>
            <w:proofErr w:type="spellEnd"/>
          </w:p>
        </w:tc>
        <w:tc>
          <w:tcPr>
            <w:tcW w:w="1786" w:type="pct"/>
          </w:tcPr>
          <w:p w:rsidR="008E273C" w:rsidRDefault="008E273C" w:rsidP="00C31DF7">
            <w:pPr>
              <w:pStyle w:val="BodyText"/>
            </w:pPr>
            <w:r>
              <w:t xml:space="preserve">Deputy Chief Executive Officer </w:t>
            </w:r>
          </w:p>
        </w:tc>
        <w:tc>
          <w:tcPr>
            <w:tcW w:w="1786" w:type="pct"/>
          </w:tcPr>
          <w:p w:rsidR="008E273C" w:rsidRDefault="008E273C" w:rsidP="00C31DF7">
            <w:pPr>
              <w:pStyle w:val="BodyText"/>
            </w:pPr>
            <w:r>
              <w:t>Part year—Commenced on 11 May 2020</w:t>
            </w:r>
          </w:p>
        </w:tc>
      </w:tr>
    </w:tbl>
    <w:p w:rsidR="008E273C" w:rsidRPr="00C31DF7" w:rsidRDefault="00C31DF7" w:rsidP="00C31DF7">
      <w:pPr>
        <w:pStyle w:val="BodyText"/>
        <w:rPr>
          <w:b/>
        </w:rPr>
      </w:pPr>
      <w:r w:rsidRPr="00C31DF7">
        <w:rPr>
          <w:b/>
        </w:rPr>
        <w:t>Table 76:</w:t>
      </w:r>
      <w:r w:rsidR="008E273C" w:rsidRPr="00C31DF7">
        <w:rPr>
          <w:b/>
        </w:rPr>
        <w:t xml:space="preserve"> Key management personnel remuneration for the year ended 30 June 2020</w:t>
      </w:r>
    </w:p>
    <w:tbl>
      <w:tblPr>
        <w:tblStyle w:val="TableGrid"/>
        <w:tblW w:w="5000" w:type="pct"/>
        <w:tblLook w:val="0000" w:firstRow="0" w:lastRow="0" w:firstColumn="0" w:lastColumn="0" w:noHBand="0" w:noVBand="0"/>
        <w:tblCaption w:val="Table 76: Key management personnel remuneration for the year ended 30 June 2020"/>
        <w:tblDescription w:val="Table 76: Key management personnel remuneration for the year ended 30 June 2020"/>
      </w:tblPr>
      <w:tblGrid>
        <w:gridCol w:w="1057"/>
        <w:gridCol w:w="1077"/>
        <w:gridCol w:w="982"/>
        <w:gridCol w:w="943"/>
        <w:gridCol w:w="1280"/>
        <w:gridCol w:w="1526"/>
        <w:gridCol w:w="838"/>
        <w:gridCol w:w="876"/>
        <w:gridCol w:w="1201"/>
        <w:gridCol w:w="1316"/>
      </w:tblGrid>
      <w:tr w:rsidR="008E273C" w:rsidTr="00C31DF7">
        <w:trPr>
          <w:trHeight w:val="60"/>
          <w:tblHeader/>
        </w:trPr>
        <w:tc>
          <w:tcPr>
            <w:tcW w:w="534" w:type="pct"/>
          </w:tcPr>
          <w:p w:rsidR="008E273C" w:rsidRPr="00C31DF7" w:rsidRDefault="008E273C" w:rsidP="00C31DF7">
            <w:pPr>
              <w:pStyle w:val="BodyText"/>
              <w:rPr>
                <w:b/>
              </w:rPr>
            </w:pPr>
            <w:r w:rsidRPr="00C31DF7">
              <w:rPr>
                <w:b/>
              </w:rPr>
              <w:t>Name</w:t>
            </w:r>
          </w:p>
        </w:tc>
        <w:tc>
          <w:tcPr>
            <w:tcW w:w="672" w:type="pct"/>
          </w:tcPr>
          <w:p w:rsidR="008E273C" w:rsidRPr="00C31DF7" w:rsidRDefault="008E273C" w:rsidP="00C31DF7">
            <w:pPr>
              <w:pStyle w:val="BodyText"/>
              <w:rPr>
                <w:b/>
              </w:rPr>
            </w:pPr>
            <w:r w:rsidRPr="00C31DF7">
              <w:rPr>
                <w:b/>
              </w:rPr>
              <w:t>Position</w:t>
            </w:r>
          </w:p>
        </w:tc>
        <w:tc>
          <w:tcPr>
            <w:tcW w:w="1331" w:type="pct"/>
            <w:gridSpan w:val="3"/>
          </w:tcPr>
          <w:p w:rsidR="008E273C" w:rsidRPr="00C31DF7" w:rsidRDefault="008E273C" w:rsidP="00C31DF7">
            <w:pPr>
              <w:pStyle w:val="BodyText"/>
              <w:rPr>
                <w:b/>
              </w:rPr>
            </w:pPr>
            <w:r w:rsidRPr="00C31DF7">
              <w:rPr>
                <w:b/>
              </w:rPr>
              <w:t>Short-term benefits</w:t>
            </w:r>
            <w:r w:rsidRPr="00C31DF7">
              <w:rPr>
                <w:b/>
                <w:vertAlign w:val="superscript"/>
              </w:rPr>
              <w:t>(a)</w:t>
            </w:r>
          </w:p>
        </w:tc>
        <w:tc>
          <w:tcPr>
            <w:tcW w:w="623" w:type="pct"/>
          </w:tcPr>
          <w:p w:rsidR="008E273C" w:rsidRPr="00C31DF7" w:rsidRDefault="008E273C" w:rsidP="00C31DF7">
            <w:pPr>
              <w:pStyle w:val="BodyText"/>
              <w:rPr>
                <w:b/>
              </w:rPr>
            </w:pPr>
            <w:r w:rsidRPr="00C31DF7">
              <w:rPr>
                <w:b/>
              </w:rPr>
              <w:t>Post-employment benefits</w:t>
            </w:r>
            <w:r w:rsidRPr="00C31DF7">
              <w:rPr>
                <w:b/>
                <w:vertAlign w:val="superscript"/>
              </w:rPr>
              <w:t>(b)</w:t>
            </w:r>
          </w:p>
        </w:tc>
        <w:tc>
          <w:tcPr>
            <w:tcW w:w="798" w:type="pct"/>
            <w:gridSpan w:val="2"/>
          </w:tcPr>
          <w:p w:rsidR="008E273C" w:rsidRPr="00C31DF7" w:rsidRDefault="008E273C" w:rsidP="00C31DF7">
            <w:pPr>
              <w:pStyle w:val="BodyText"/>
              <w:rPr>
                <w:b/>
              </w:rPr>
            </w:pPr>
            <w:r w:rsidRPr="00C31DF7">
              <w:rPr>
                <w:b/>
              </w:rPr>
              <w:t>Other long-term benefits</w:t>
            </w:r>
            <w:r w:rsidRPr="00C31DF7">
              <w:rPr>
                <w:b/>
                <w:vertAlign w:val="superscript"/>
              </w:rPr>
              <w:t>(c)</w:t>
            </w:r>
          </w:p>
        </w:tc>
        <w:tc>
          <w:tcPr>
            <w:tcW w:w="502" w:type="pct"/>
          </w:tcPr>
          <w:p w:rsidR="008E273C" w:rsidRPr="00C31DF7" w:rsidRDefault="008E273C" w:rsidP="00C31DF7">
            <w:pPr>
              <w:pStyle w:val="BodyText"/>
              <w:rPr>
                <w:b/>
              </w:rPr>
            </w:pPr>
            <w:r w:rsidRPr="00C31DF7">
              <w:rPr>
                <w:b/>
              </w:rPr>
              <w:t xml:space="preserve">Termination benefits </w:t>
            </w:r>
          </w:p>
        </w:tc>
        <w:tc>
          <w:tcPr>
            <w:tcW w:w="538" w:type="pct"/>
          </w:tcPr>
          <w:p w:rsidR="008E273C" w:rsidRPr="00C31DF7" w:rsidRDefault="008E273C" w:rsidP="00C31DF7">
            <w:pPr>
              <w:pStyle w:val="BodyText"/>
              <w:rPr>
                <w:b/>
              </w:rPr>
            </w:pPr>
            <w:r w:rsidRPr="00C31DF7">
              <w:rPr>
                <w:b/>
              </w:rPr>
              <w:t>Total remuneration</w:t>
            </w:r>
          </w:p>
        </w:tc>
      </w:tr>
      <w:tr w:rsidR="008E273C" w:rsidTr="00C31DF7">
        <w:trPr>
          <w:trHeight w:val="616"/>
          <w:tblHeader/>
        </w:trPr>
        <w:tc>
          <w:tcPr>
            <w:tcW w:w="534" w:type="pct"/>
          </w:tcPr>
          <w:p w:rsidR="008E273C" w:rsidRPr="00C31DF7" w:rsidRDefault="008E273C" w:rsidP="00C31DF7">
            <w:pPr>
              <w:pStyle w:val="BodyText"/>
              <w:rPr>
                <w:b/>
              </w:rPr>
            </w:pPr>
          </w:p>
        </w:tc>
        <w:tc>
          <w:tcPr>
            <w:tcW w:w="672" w:type="pct"/>
          </w:tcPr>
          <w:p w:rsidR="008E273C" w:rsidRPr="00C31DF7" w:rsidRDefault="008E273C" w:rsidP="00C31DF7">
            <w:pPr>
              <w:pStyle w:val="BodyText"/>
              <w:rPr>
                <w:b/>
              </w:rPr>
            </w:pPr>
          </w:p>
        </w:tc>
        <w:tc>
          <w:tcPr>
            <w:tcW w:w="429" w:type="pct"/>
          </w:tcPr>
          <w:p w:rsidR="008E273C" w:rsidRPr="00C31DF7" w:rsidRDefault="008E273C" w:rsidP="00C31DF7">
            <w:pPr>
              <w:pStyle w:val="BodyText"/>
              <w:rPr>
                <w:rStyle w:val="Bold"/>
                <w:bCs w:val="0"/>
                <w:color w:val="auto"/>
              </w:rPr>
            </w:pPr>
            <w:r w:rsidRPr="00C31DF7">
              <w:rPr>
                <w:rStyle w:val="Bold"/>
                <w:bCs w:val="0"/>
                <w:color w:val="auto"/>
              </w:rPr>
              <w:t xml:space="preserve">Base salary </w:t>
            </w:r>
          </w:p>
          <w:p w:rsidR="008E273C" w:rsidRPr="00C31DF7" w:rsidRDefault="008E273C" w:rsidP="00C31DF7">
            <w:pPr>
              <w:pStyle w:val="BodyText"/>
              <w:rPr>
                <w:b/>
              </w:rPr>
            </w:pPr>
            <w:r w:rsidRPr="00C31DF7">
              <w:rPr>
                <w:rStyle w:val="Bold"/>
                <w:bCs w:val="0"/>
                <w:color w:val="auto"/>
              </w:rPr>
              <w:t>$</w:t>
            </w:r>
          </w:p>
        </w:tc>
        <w:tc>
          <w:tcPr>
            <w:tcW w:w="381" w:type="pct"/>
          </w:tcPr>
          <w:p w:rsidR="008E273C" w:rsidRPr="00C31DF7" w:rsidRDefault="008E273C" w:rsidP="00C31DF7">
            <w:pPr>
              <w:pStyle w:val="BodyText"/>
              <w:rPr>
                <w:rStyle w:val="Bold"/>
                <w:bCs w:val="0"/>
                <w:color w:val="auto"/>
              </w:rPr>
            </w:pPr>
            <w:r w:rsidRPr="00C31DF7">
              <w:rPr>
                <w:rStyle w:val="Bold"/>
                <w:bCs w:val="0"/>
                <w:color w:val="auto"/>
              </w:rPr>
              <w:t>Bonuses</w:t>
            </w:r>
          </w:p>
          <w:p w:rsidR="008E273C" w:rsidRPr="00C31DF7" w:rsidRDefault="008E273C" w:rsidP="00C31DF7">
            <w:pPr>
              <w:pStyle w:val="BodyText"/>
              <w:rPr>
                <w:b/>
              </w:rPr>
            </w:pPr>
            <w:r w:rsidRPr="00C31DF7">
              <w:rPr>
                <w:rStyle w:val="Bold"/>
                <w:bCs w:val="0"/>
                <w:color w:val="auto"/>
              </w:rPr>
              <w:t>$</w:t>
            </w:r>
          </w:p>
        </w:tc>
        <w:tc>
          <w:tcPr>
            <w:tcW w:w="520" w:type="pct"/>
          </w:tcPr>
          <w:p w:rsidR="008E273C" w:rsidRPr="00C31DF7" w:rsidRDefault="008E273C" w:rsidP="00C31DF7">
            <w:pPr>
              <w:pStyle w:val="BodyText"/>
              <w:rPr>
                <w:rStyle w:val="Bold"/>
                <w:bCs w:val="0"/>
                <w:color w:val="auto"/>
              </w:rPr>
            </w:pPr>
            <w:r w:rsidRPr="00C31DF7">
              <w:rPr>
                <w:rStyle w:val="Bold"/>
                <w:bCs w:val="0"/>
                <w:color w:val="auto"/>
              </w:rPr>
              <w:t>Other benefits and allowances</w:t>
            </w:r>
            <w:r w:rsidRPr="00C31DF7">
              <w:rPr>
                <w:rStyle w:val="Bold"/>
                <w:bCs w:val="0"/>
                <w:color w:val="auto"/>
                <w:vertAlign w:val="superscript"/>
              </w:rPr>
              <w:t>(d)</w:t>
            </w:r>
            <w:r w:rsidRPr="00C31DF7">
              <w:rPr>
                <w:rStyle w:val="Bold"/>
                <w:bCs w:val="0"/>
                <w:color w:val="auto"/>
              </w:rPr>
              <w:t xml:space="preserve"> </w:t>
            </w:r>
          </w:p>
          <w:p w:rsidR="008E273C" w:rsidRPr="00C31DF7" w:rsidRDefault="008E273C" w:rsidP="00C31DF7">
            <w:pPr>
              <w:pStyle w:val="BodyText"/>
              <w:rPr>
                <w:b/>
              </w:rPr>
            </w:pPr>
            <w:r w:rsidRPr="00C31DF7">
              <w:rPr>
                <w:rStyle w:val="Bold"/>
                <w:bCs w:val="0"/>
                <w:color w:val="auto"/>
              </w:rPr>
              <w:t>$</w:t>
            </w:r>
          </w:p>
        </w:tc>
        <w:tc>
          <w:tcPr>
            <w:tcW w:w="623" w:type="pct"/>
          </w:tcPr>
          <w:p w:rsidR="008E273C" w:rsidRPr="00C31DF7" w:rsidRDefault="008E273C" w:rsidP="00C31DF7">
            <w:pPr>
              <w:pStyle w:val="BodyText"/>
              <w:rPr>
                <w:rStyle w:val="Bold"/>
                <w:bCs w:val="0"/>
                <w:color w:val="auto"/>
              </w:rPr>
            </w:pPr>
            <w:r w:rsidRPr="00C31DF7">
              <w:rPr>
                <w:rStyle w:val="Bold"/>
                <w:bCs w:val="0"/>
                <w:color w:val="auto"/>
              </w:rPr>
              <w:t>Superannuation contributions</w:t>
            </w:r>
          </w:p>
          <w:p w:rsidR="008E273C" w:rsidRPr="00C31DF7" w:rsidRDefault="008E273C" w:rsidP="00C31DF7">
            <w:pPr>
              <w:pStyle w:val="BodyText"/>
              <w:rPr>
                <w:b/>
              </w:rPr>
            </w:pPr>
            <w:r w:rsidRPr="00C31DF7">
              <w:rPr>
                <w:rStyle w:val="Bold"/>
                <w:bCs w:val="0"/>
                <w:color w:val="auto"/>
              </w:rPr>
              <w:t>$</w:t>
            </w:r>
          </w:p>
        </w:tc>
        <w:tc>
          <w:tcPr>
            <w:tcW w:w="369" w:type="pct"/>
          </w:tcPr>
          <w:p w:rsidR="008E273C" w:rsidRPr="00C31DF7" w:rsidRDefault="008E273C" w:rsidP="00C31DF7">
            <w:pPr>
              <w:pStyle w:val="BodyText"/>
              <w:rPr>
                <w:rStyle w:val="Bold"/>
                <w:bCs w:val="0"/>
                <w:color w:val="auto"/>
              </w:rPr>
            </w:pPr>
            <w:r w:rsidRPr="00C31DF7">
              <w:rPr>
                <w:rStyle w:val="Bold"/>
                <w:bCs w:val="0"/>
                <w:color w:val="auto"/>
              </w:rPr>
              <w:t xml:space="preserve">Long service leave </w:t>
            </w:r>
          </w:p>
          <w:p w:rsidR="008E273C" w:rsidRPr="00C31DF7" w:rsidRDefault="008E273C" w:rsidP="00C31DF7">
            <w:pPr>
              <w:pStyle w:val="BodyText"/>
              <w:rPr>
                <w:b/>
              </w:rPr>
            </w:pPr>
            <w:r w:rsidRPr="00C31DF7">
              <w:rPr>
                <w:rStyle w:val="Bold"/>
                <w:bCs w:val="0"/>
                <w:color w:val="auto"/>
              </w:rPr>
              <w:t>$</w:t>
            </w:r>
          </w:p>
        </w:tc>
        <w:tc>
          <w:tcPr>
            <w:tcW w:w="429" w:type="pct"/>
          </w:tcPr>
          <w:p w:rsidR="008E273C" w:rsidRPr="00C31DF7" w:rsidRDefault="008E273C" w:rsidP="00C31DF7">
            <w:pPr>
              <w:pStyle w:val="BodyText"/>
              <w:rPr>
                <w:rStyle w:val="Bold"/>
                <w:bCs w:val="0"/>
                <w:color w:val="auto"/>
              </w:rPr>
            </w:pPr>
            <w:r w:rsidRPr="00C31DF7">
              <w:rPr>
                <w:rStyle w:val="Bold"/>
                <w:bCs w:val="0"/>
                <w:color w:val="auto"/>
              </w:rPr>
              <w:t xml:space="preserve">Other long-term benefits </w:t>
            </w:r>
          </w:p>
          <w:p w:rsidR="008E273C" w:rsidRPr="00C31DF7" w:rsidRDefault="008E273C" w:rsidP="00C31DF7">
            <w:pPr>
              <w:pStyle w:val="BodyText"/>
              <w:rPr>
                <w:b/>
              </w:rPr>
            </w:pPr>
            <w:r w:rsidRPr="00C31DF7">
              <w:rPr>
                <w:rStyle w:val="Bold"/>
                <w:bCs w:val="0"/>
                <w:color w:val="auto"/>
              </w:rPr>
              <w:t>$</w:t>
            </w:r>
          </w:p>
        </w:tc>
        <w:tc>
          <w:tcPr>
            <w:tcW w:w="502" w:type="pct"/>
          </w:tcPr>
          <w:p w:rsidR="008E273C" w:rsidRPr="00C31DF7" w:rsidRDefault="008E273C" w:rsidP="00C31DF7">
            <w:pPr>
              <w:pStyle w:val="BodyText"/>
              <w:rPr>
                <w:rStyle w:val="Bold"/>
                <w:bCs w:val="0"/>
                <w:color w:val="auto"/>
              </w:rPr>
            </w:pPr>
            <w:r w:rsidRPr="00C31DF7">
              <w:rPr>
                <w:rStyle w:val="Bold"/>
                <w:bCs w:val="0"/>
                <w:color w:val="auto"/>
              </w:rPr>
              <w:t>Termination benefits</w:t>
            </w:r>
          </w:p>
          <w:p w:rsidR="008E273C" w:rsidRPr="00C31DF7" w:rsidRDefault="008E273C" w:rsidP="00C31DF7">
            <w:pPr>
              <w:pStyle w:val="BodyText"/>
              <w:rPr>
                <w:b/>
              </w:rPr>
            </w:pPr>
            <w:r w:rsidRPr="00C31DF7">
              <w:rPr>
                <w:rStyle w:val="Bold"/>
                <w:bCs w:val="0"/>
                <w:color w:val="auto"/>
              </w:rPr>
              <w:t>$</w:t>
            </w:r>
          </w:p>
        </w:tc>
        <w:tc>
          <w:tcPr>
            <w:tcW w:w="538" w:type="pct"/>
          </w:tcPr>
          <w:p w:rsidR="008E273C" w:rsidRPr="00C31DF7" w:rsidRDefault="008E273C" w:rsidP="00C31DF7">
            <w:pPr>
              <w:pStyle w:val="BodyText"/>
              <w:rPr>
                <w:b/>
              </w:rPr>
            </w:pPr>
            <w:r w:rsidRPr="00C31DF7">
              <w:rPr>
                <w:rStyle w:val="Bold"/>
                <w:bCs w:val="0"/>
                <w:color w:val="auto"/>
              </w:rPr>
              <w:t>Total remuneration $</w:t>
            </w:r>
          </w:p>
        </w:tc>
      </w:tr>
      <w:tr w:rsidR="008E273C" w:rsidTr="00C31DF7">
        <w:trPr>
          <w:trHeight w:val="60"/>
        </w:trPr>
        <w:tc>
          <w:tcPr>
            <w:tcW w:w="534" w:type="pct"/>
          </w:tcPr>
          <w:p w:rsidR="008E273C" w:rsidRDefault="008E273C" w:rsidP="00C31DF7">
            <w:pPr>
              <w:pStyle w:val="BodyText"/>
            </w:pPr>
            <w:r>
              <w:t>Renée Leon</w:t>
            </w:r>
          </w:p>
        </w:tc>
        <w:tc>
          <w:tcPr>
            <w:tcW w:w="672" w:type="pct"/>
          </w:tcPr>
          <w:p w:rsidR="008E273C" w:rsidRDefault="008E273C" w:rsidP="00C31DF7">
            <w:pPr>
              <w:pStyle w:val="BodyText"/>
            </w:pPr>
            <w:r>
              <w:t>Secretary</w:t>
            </w:r>
          </w:p>
        </w:tc>
        <w:tc>
          <w:tcPr>
            <w:tcW w:w="429" w:type="pct"/>
          </w:tcPr>
          <w:p w:rsidR="008E273C" w:rsidRDefault="008E273C" w:rsidP="00C31DF7">
            <w:pPr>
              <w:pStyle w:val="BodyText"/>
            </w:pPr>
            <w:r>
              <w:t>379,886</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27,899</w:t>
            </w:r>
          </w:p>
        </w:tc>
        <w:tc>
          <w:tcPr>
            <w:tcW w:w="623" w:type="pct"/>
          </w:tcPr>
          <w:p w:rsidR="008E273C" w:rsidRDefault="008E273C" w:rsidP="00C31DF7">
            <w:pPr>
              <w:pStyle w:val="BodyText"/>
            </w:pPr>
            <w:r>
              <w:t>57,909</w:t>
            </w:r>
          </w:p>
        </w:tc>
        <w:tc>
          <w:tcPr>
            <w:tcW w:w="369" w:type="pct"/>
          </w:tcPr>
          <w:p w:rsidR="008E273C" w:rsidRDefault="008E273C" w:rsidP="00C31DF7">
            <w:pPr>
              <w:pStyle w:val="BodyText"/>
            </w:pPr>
            <w:r>
              <w:t>10,639</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692,266</w:t>
            </w:r>
          </w:p>
        </w:tc>
        <w:tc>
          <w:tcPr>
            <w:tcW w:w="538" w:type="pct"/>
          </w:tcPr>
          <w:p w:rsidR="008E273C" w:rsidRPr="00C31DF7" w:rsidRDefault="008E273C" w:rsidP="00C31DF7">
            <w:pPr>
              <w:pStyle w:val="BodyText"/>
            </w:pPr>
            <w:r w:rsidRPr="00C31DF7">
              <w:rPr>
                <w:rStyle w:val="Bold"/>
                <w:b w:val="0"/>
                <w:bCs w:val="0"/>
                <w:color w:val="auto"/>
              </w:rPr>
              <w:t>1,168,599</w:t>
            </w:r>
          </w:p>
        </w:tc>
      </w:tr>
      <w:tr w:rsidR="008E273C" w:rsidTr="00C31DF7">
        <w:trPr>
          <w:trHeight w:val="305"/>
        </w:trPr>
        <w:tc>
          <w:tcPr>
            <w:tcW w:w="534" w:type="pct"/>
          </w:tcPr>
          <w:p w:rsidR="008E273C" w:rsidRDefault="008E273C" w:rsidP="00C31DF7">
            <w:pPr>
              <w:pStyle w:val="BodyText"/>
            </w:pPr>
            <w:r>
              <w:t>Rebecca Skinner</w:t>
            </w:r>
          </w:p>
        </w:tc>
        <w:tc>
          <w:tcPr>
            <w:tcW w:w="672" w:type="pct"/>
          </w:tcPr>
          <w:p w:rsidR="008E273C" w:rsidRDefault="008E273C" w:rsidP="00C31DF7">
            <w:pPr>
              <w:pStyle w:val="BodyText"/>
            </w:pPr>
            <w:r>
              <w:t>Chief Executive Officer</w:t>
            </w:r>
          </w:p>
        </w:tc>
        <w:tc>
          <w:tcPr>
            <w:tcW w:w="429" w:type="pct"/>
          </w:tcPr>
          <w:p w:rsidR="008E273C" w:rsidRDefault="008E273C" w:rsidP="00C31DF7">
            <w:pPr>
              <w:pStyle w:val="BodyText"/>
            </w:pPr>
            <w:r>
              <w:t>214,194</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436</w:t>
            </w:r>
          </w:p>
        </w:tc>
        <w:tc>
          <w:tcPr>
            <w:tcW w:w="623" w:type="pct"/>
          </w:tcPr>
          <w:p w:rsidR="008E273C" w:rsidRDefault="008E273C" w:rsidP="00C31DF7">
            <w:pPr>
              <w:pStyle w:val="BodyText"/>
            </w:pPr>
            <w:r>
              <w:t>25,635</w:t>
            </w:r>
          </w:p>
        </w:tc>
        <w:tc>
          <w:tcPr>
            <w:tcW w:w="369" w:type="pct"/>
          </w:tcPr>
          <w:p w:rsidR="008E273C" w:rsidRDefault="008E273C" w:rsidP="00C31DF7">
            <w:pPr>
              <w:pStyle w:val="BodyText"/>
            </w:pPr>
            <w:r>
              <w:t>5,814</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246,079</w:t>
            </w:r>
          </w:p>
        </w:tc>
      </w:tr>
      <w:tr w:rsidR="008E273C" w:rsidTr="00C31DF7">
        <w:trPr>
          <w:trHeight w:val="60"/>
        </w:trPr>
        <w:tc>
          <w:tcPr>
            <w:tcW w:w="534" w:type="pct"/>
          </w:tcPr>
          <w:p w:rsidR="008E273C" w:rsidRDefault="008E273C" w:rsidP="00C31DF7">
            <w:pPr>
              <w:pStyle w:val="BodyText"/>
            </w:pPr>
            <w:r>
              <w:lastRenderedPageBreak/>
              <w:t>John Murphy</w:t>
            </w:r>
          </w:p>
        </w:tc>
        <w:tc>
          <w:tcPr>
            <w:tcW w:w="672" w:type="pct"/>
          </w:tcPr>
          <w:p w:rsidR="008E273C" w:rsidRDefault="008E273C" w:rsidP="00C31DF7">
            <w:pPr>
              <w:pStyle w:val="BodyText"/>
            </w:pPr>
            <w:r>
              <w:t xml:space="preserve">Deputy Chief Executive Officer </w:t>
            </w:r>
          </w:p>
        </w:tc>
        <w:tc>
          <w:tcPr>
            <w:tcW w:w="429" w:type="pct"/>
          </w:tcPr>
          <w:p w:rsidR="008E273C" w:rsidRDefault="008E273C" w:rsidP="00C31DF7">
            <w:pPr>
              <w:pStyle w:val="BodyText"/>
            </w:pPr>
            <w:r>
              <w:t>562,490</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64,105</w:t>
            </w:r>
          </w:p>
        </w:tc>
        <w:tc>
          <w:tcPr>
            <w:tcW w:w="623" w:type="pct"/>
          </w:tcPr>
          <w:p w:rsidR="008E273C" w:rsidRDefault="008E273C" w:rsidP="00C31DF7">
            <w:pPr>
              <w:pStyle w:val="BodyText"/>
            </w:pPr>
            <w:r>
              <w:t>108,420</w:t>
            </w:r>
          </w:p>
        </w:tc>
        <w:tc>
          <w:tcPr>
            <w:tcW w:w="369" w:type="pct"/>
          </w:tcPr>
          <w:p w:rsidR="008E273C" w:rsidRDefault="008E273C" w:rsidP="00C31DF7">
            <w:pPr>
              <w:pStyle w:val="BodyText"/>
            </w:pPr>
            <w:r>
              <w:t>20,243</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344,114</w:t>
            </w:r>
          </w:p>
        </w:tc>
        <w:tc>
          <w:tcPr>
            <w:tcW w:w="538" w:type="pct"/>
          </w:tcPr>
          <w:p w:rsidR="008E273C" w:rsidRPr="00C31DF7" w:rsidRDefault="008E273C" w:rsidP="00C31DF7">
            <w:pPr>
              <w:pStyle w:val="BodyText"/>
            </w:pPr>
            <w:r w:rsidRPr="00C31DF7">
              <w:rPr>
                <w:rStyle w:val="Bold"/>
                <w:b w:val="0"/>
                <w:bCs w:val="0"/>
                <w:color w:val="auto"/>
              </w:rPr>
              <w:t>1,099,372</w:t>
            </w:r>
          </w:p>
        </w:tc>
      </w:tr>
      <w:tr w:rsidR="008E273C" w:rsidTr="00C31DF7">
        <w:trPr>
          <w:trHeight w:val="60"/>
        </w:trPr>
        <w:tc>
          <w:tcPr>
            <w:tcW w:w="534" w:type="pct"/>
          </w:tcPr>
          <w:p w:rsidR="008E273C" w:rsidRDefault="008E273C" w:rsidP="00C31DF7">
            <w:pPr>
              <w:pStyle w:val="BodyText"/>
            </w:pPr>
            <w:r>
              <w:t>Michael McNamara</w:t>
            </w:r>
          </w:p>
        </w:tc>
        <w:tc>
          <w:tcPr>
            <w:tcW w:w="672" w:type="pct"/>
          </w:tcPr>
          <w:p w:rsidR="008E273C" w:rsidRDefault="008E273C" w:rsidP="00C31DF7">
            <w:pPr>
              <w:pStyle w:val="BodyText"/>
            </w:pPr>
            <w:r>
              <w:t xml:space="preserve">Chief Information Officer </w:t>
            </w:r>
          </w:p>
        </w:tc>
        <w:tc>
          <w:tcPr>
            <w:tcW w:w="429" w:type="pct"/>
          </w:tcPr>
          <w:p w:rsidR="008E273C" w:rsidRDefault="008E273C" w:rsidP="00C31DF7">
            <w:pPr>
              <w:pStyle w:val="BodyText"/>
            </w:pPr>
            <w:r>
              <w:t>462,218</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65,522</w:t>
            </w:r>
          </w:p>
        </w:tc>
        <w:tc>
          <w:tcPr>
            <w:tcW w:w="623" w:type="pct"/>
          </w:tcPr>
          <w:p w:rsidR="008E273C" w:rsidRDefault="008E273C" w:rsidP="00C31DF7">
            <w:pPr>
              <w:pStyle w:val="BodyText"/>
            </w:pPr>
            <w:r>
              <w:t>69,079</w:t>
            </w:r>
          </w:p>
        </w:tc>
        <w:tc>
          <w:tcPr>
            <w:tcW w:w="369" w:type="pct"/>
          </w:tcPr>
          <w:p w:rsidR="008E273C" w:rsidRDefault="008E273C" w:rsidP="00C31DF7">
            <w:pPr>
              <w:pStyle w:val="BodyText"/>
            </w:pPr>
            <w:r>
              <w:t>13,936</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610,755</w:t>
            </w:r>
          </w:p>
        </w:tc>
      </w:tr>
      <w:tr w:rsidR="008E273C" w:rsidTr="00C31DF7">
        <w:trPr>
          <w:trHeight w:val="60"/>
        </w:trPr>
        <w:tc>
          <w:tcPr>
            <w:tcW w:w="534" w:type="pct"/>
          </w:tcPr>
          <w:p w:rsidR="008E273C" w:rsidRDefault="008E273C" w:rsidP="00C31DF7">
            <w:pPr>
              <w:pStyle w:val="BodyText"/>
            </w:pPr>
            <w:r>
              <w:t>Amanda Cattermole</w:t>
            </w:r>
          </w:p>
        </w:tc>
        <w:tc>
          <w:tcPr>
            <w:tcW w:w="672" w:type="pct"/>
          </w:tcPr>
          <w:p w:rsidR="008E273C" w:rsidRDefault="008E273C" w:rsidP="00C31DF7">
            <w:pPr>
              <w:pStyle w:val="BodyText"/>
            </w:pPr>
            <w:r>
              <w:t>Chief Operating Officer</w:t>
            </w:r>
          </w:p>
        </w:tc>
        <w:tc>
          <w:tcPr>
            <w:tcW w:w="429" w:type="pct"/>
          </w:tcPr>
          <w:p w:rsidR="008E273C" w:rsidRDefault="008E273C" w:rsidP="00C31DF7">
            <w:pPr>
              <w:pStyle w:val="BodyText"/>
            </w:pPr>
            <w:r>
              <w:t>404,600</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28,167</w:t>
            </w:r>
          </w:p>
        </w:tc>
        <w:tc>
          <w:tcPr>
            <w:tcW w:w="623" w:type="pct"/>
          </w:tcPr>
          <w:p w:rsidR="008E273C" w:rsidRDefault="008E273C" w:rsidP="00C31DF7">
            <w:pPr>
              <w:pStyle w:val="BodyText"/>
            </w:pPr>
            <w:r>
              <w:t>60,583</w:t>
            </w:r>
          </w:p>
        </w:tc>
        <w:tc>
          <w:tcPr>
            <w:tcW w:w="369" w:type="pct"/>
          </w:tcPr>
          <w:p w:rsidR="008E273C" w:rsidRDefault="008E273C" w:rsidP="00C31DF7">
            <w:pPr>
              <w:pStyle w:val="BodyText"/>
            </w:pPr>
            <w:r>
              <w:t>14,110</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507,460</w:t>
            </w:r>
          </w:p>
        </w:tc>
      </w:tr>
      <w:tr w:rsidR="008E273C" w:rsidTr="00C31DF7">
        <w:trPr>
          <w:trHeight w:val="60"/>
        </w:trPr>
        <w:tc>
          <w:tcPr>
            <w:tcW w:w="534" w:type="pct"/>
          </w:tcPr>
          <w:p w:rsidR="008E273C" w:rsidRDefault="008E273C" w:rsidP="00C31DF7">
            <w:pPr>
              <w:pStyle w:val="BodyText"/>
            </w:pPr>
            <w:r>
              <w:t>Michelle Lees</w:t>
            </w:r>
          </w:p>
        </w:tc>
        <w:tc>
          <w:tcPr>
            <w:tcW w:w="672" w:type="pct"/>
          </w:tcPr>
          <w:p w:rsidR="008E273C" w:rsidRDefault="008E273C" w:rsidP="00C31DF7">
            <w:pPr>
              <w:pStyle w:val="BodyText"/>
            </w:pPr>
            <w:r>
              <w:t>Deputy Chief Executive Officer</w:t>
            </w:r>
          </w:p>
        </w:tc>
        <w:tc>
          <w:tcPr>
            <w:tcW w:w="429" w:type="pct"/>
          </w:tcPr>
          <w:p w:rsidR="008E273C" w:rsidRDefault="008E273C" w:rsidP="00C31DF7">
            <w:pPr>
              <w:pStyle w:val="BodyText"/>
            </w:pPr>
            <w:r>
              <w:t>266,952</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44,850</w:t>
            </w:r>
          </w:p>
        </w:tc>
        <w:tc>
          <w:tcPr>
            <w:tcW w:w="623" w:type="pct"/>
          </w:tcPr>
          <w:p w:rsidR="008E273C" w:rsidRDefault="008E273C" w:rsidP="00C31DF7">
            <w:pPr>
              <w:pStyle w:val="BodyText"/>
            </w:pPr>
            <w:r>
              <w:t>51,099</w:t>
            </w:r>
          </w:p>
        </w:tc>
        <w:tc>
          <w:tcPr>
            <w:tcW w:w="369" w:type="pct"/>
          </w:tcPr>
          <w:p w:rsidR="008E273C" w:rsidRDefault="008E273C" w:rsidP="00C31DF7">
            <w:pPr>
              <w:pStyle w:val="BodyText"/>
            </w:pPr>
            <w:r>
              <w:t>13,837</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376,738</w:t>
            </w:r>
          </w:p>
        </w:tc>
      </w:tr>
      <w:tr w:rsidR="008E273C" w:rsidTr="00C31DF7">
        <w:trPr>
          <w:trHeight w:val="60"/>
        </w:trPr>
        <w:tc>
          <w:tcPr>
            <w:tcW w:w="534" w:type="pct"/>
          </w:tcPr>
          <w:p w:rsidR="008E273C" w:rsidRDefault="008E273C" w:rsidP="00C31DF7">
            <w:pPr>
              <w:pStyle w:val="BodyText"/>
            </w:pPr>
            <w:r>
              <w:t xml:space="preserve">Annette </w:t>
            </w:r>
            <w:proofErr w:type="spellStart"/>
            <w:r>
              <w:t>Musolino</w:t>
            </w:r>
            <w:proofErr w:type="spellEnd"/>
          </w:p>
        </w:tc>
        <w:tc>
          <w:tcPr>
            <w:tcW w:w="672" w:type="pct"/>
          </w:tcPr>
          <w:p w:rsidR="008E273C" w:rsidRDefault="008E273C" w:rsidP="00C31DF7">
            <w:pPr>
              <w:pStyle w:val="BodyText"/>
            </w:pPr>
            <w:r>
              <w:t xml:space="preserve">Deputy Chief Executive Officer </w:t>
            </w:r>
          </w:p>
        </w:tc>
        <w:tc>
          <w:tcPr>
            <w:tcW w:w="429" w:type="pct"/>
          </w:tcPr>
          <w:p w:rsidR="008E273C" w:rsidRDefault="008E273C" w:rsidP="00C31DF7">
            <w:pPr>
              <w:pStyle w:val="BodyText"/>
            </w:pPr>
            <w:r>
              <w:t>255,237</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23,145</w:t>
            </w:r>
          </w:p>
        </w:tc>
        <w:tc>
          <w:tcPr>
            <w:tcW w:w="623" w:type="pct"/>
          </w:tcPr>
          <w:p w:rsidR="008E273C" w:rsidRDefault="008E273C" w:rsidP="00C31DF7">
            <w:pPr>
              <w:pStyle w:val="BodyText"/>
            </w:pPr>
            <w:r>
              <w:t>35,480</w:t>
            </w:r>
          </w:p>
        </w:tc>
        <w:tc>
          <w:tcPr>
            <w:tcW w:w="369" w:type="pct"/>
          </w:tcPr>
          <w:p w:rsidR="008E273C" w:rsidRDefault="008E273C" w:rsidP="00C31DF7">
            <w:pPr>
              <w:pStyle w:val="BodyText"/>
            </w:pPr>
            <w:r>
              <w:t>12,083</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325,945</w:t>
            </w:r>
          </w:p>
        </w:tc>
      </w:tr>
      <w:tr w:rsidR="008E273C" w:rsidTr="00C31DF7">
        <w:trPr>
          <w:trHeight w:val="60"/>
        </w:trPr>
        <w:tc>
          <w:tcPr>
            <w:tcW w:w="534" w:type="pct"/>
          </w:tcPr>
          <w:p w:rsidR="008E273C" w:rsidRDefault="008E273C" w:rsidP="00C31DF7">
            <w:pPr>
              <w:pStyle w:val="BodyText"/>
            </w:pPr>
            <w:r>
              <w:t>Roxanne Kelley</w:t>
            </w:r>
          </w:p>
        </w:tc>
        <w:tc>
          <w:tcPr>
            <w:tcW w:w="672" w:type="pct"/>
          </w:tcPr>
          <w:p w:rsidR="008E273C" w:rsidRDefault="008E273C" w:rsidP="00C31DF7">
            <w:pPr>
              <w:pStyle w:val="BodyText"/>
            </w:pPr>
            <w:r>
              <w:t xml:space="preserve">Chief Operating Officer </w:t>
            </w:r>
          </w:p>
        </w:tc>
        <w:tc>
          <w:tcPr>
            <w:tcW w:w="429" w:type="pct"/>
          </w:tcPr>
          <w:p w:rsidR="008E273C" w:rsidRDefault="008E273C" w:rsidP="00C31DF7">
            <w:pPr>
              <w:pStyle w:val="BodyText"/>
            </w:pPr>
            <w:r>
              <w:t>247,617</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22,325</w:t>
            </w:r>
          </w:p>
        </w:tc>
        <w:tc>
          <w:tcPr>
            <w:tcW w:w="623" w:type="pct"/>
          </w:tcPr>
          <w:p w:rsidR="008E273C" w:rsidRDefault="008E273C" w:rsidP="00C31DF7">
            <w:pPr>
              <w:pStyle w:val="BodyText"/>
            </w:pPr>
            <w:r>
              <w:t>45,949</w:t>
            </w:r>
          </w:p>
        </w:tc>
        <w:tc>
          <w:tcPr>
            <w:tcW w:w="369" w:type="pct"/>
          </w:tcPr>
          <w:p w:rsidR="008E273C" w:rsidRDefault="008E273C" w:rsidP="00C31DF7">
            <w:pPr>
              <w:pStyle w:val="BodyText"/>
            </w:pPr>
            <w:r>
              <w:t>8,628</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324,519</w:t>
            </w:r>
          </w:p>
        </w:tc>
      </w:tr>
      <w:tr w:rsidR="008E273C" w:rsidTr="00C31DF7">
        <w:trPr>
          <w:trHeight w:val="376"/>
        </w:trPr>
        <w:tc>
          <w:tcPr>
            <w:tcW w:w="534" w:type="pct"/>
          </w:tcPr>
          <w:p w:rsidR="008E273C" w:rsidRDefault="008E273C" w:rsidP="00C31DF7">
            <w:pPr>
              <w:pStyle w:val="BodyText"/>
            </w:pPr>
            <w:r>
              <w:lastRenderedPageBreak/>
              <w:t>Catherine Rule</w:t>
            </w:r>
          </w:p>
        </w:tc>
        <w:tc>
          <w:tcPr>
            <w:tcW w:w="672" w:type="pct"/>
          </w:tcPr>
          <w:p w:rsidR="008E273C" w:rsidRDefault="008E273C" w:rsidP="00C31DF7">
            <w:pPr>
              <w:pStyle w:val="BodyText"/>
            </w:pPr>
            <w:r>
              <w:t>Deputy Chief Executive Officer</w:t>
            </w:r>
          </w:p>
        </w:tc>
        <w:tc>
          <w:tcPr>
            <w:tcW w:w="429" w:type="pct"/>
          </w:tcPr>
          <w:p w:rsidR="008E273C" w:rsidRDefault="008E273C" w:rsidP="00C31DF7">
            <w:pPr>
              <w:pStyle w:val="BodyText"/>
            </w:pPr>
            <w:r>
              <w:t>191,023</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19,308</w:t>
            </w:r>
          </w:p>
        </w:tc>
        <w:tc>
          <w:tcPr>
            <w:tcW w:w="623" w:type="pct"/>
          </w:tcPr>
          <w:p w:rsidR="008E273C" w:rsidRDefault="008E273C" w:rsidP="00C31DF7">
            <w:pPr>
              <w:pStyle w:val="BodyText"/>
            </w:pPr>
            <w:r>
              <w:t>36,176</w:t>
            </w:r>
          </w:p>
        </w:tc>
        <w:tc>
          <w:tcPr>
            <w:tcW w:w="369" w:type="pct"/>
          </w:tcPr>
          <w:p w:rsidR="008E273C" w:rsidRDefault="008E273C" w:rsidP="00C31DF7">
            <w:pPr>
              <w:pStyle w:val="BodyText"/>
            </w:pPr>
            <w:r>
              <w:t>6,291</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252,798</w:t>
            </w:r>
          </w:p>
        </w:tc>
      </w:tr>
      <w:tr w:rsidR="008E273C" w:rsidTr="00C31DF7">
        <w:trPr>
          <w:trHeight w:val="60"/>
        </w:trPr>
        <w:tc>
          <w:tcPr>
            <w:tcW w:w="534" w:type="pct"/>
          </w:tcPr>
          <w:p w:rsidR="008E273C" w:rsidRDefault="008E273C" w:rsidP="00C31DF7">
            <w:pPr>
              <w:pStyle w:val="BodyText"/>
            </w:pPr>
            <w:r>
              <w:t xml:space="preserve">Grant </w:t>
            </w:r>
            <w:proofErr w:type="spellStart"/>
            <w:r>
              <w:t>Tidswell</w:t>
            </w:r>
            <w:proofErr w:type="spellEnd"/>
          </w:p>
        </w:tc>
        <w:tc>
          <w:tcPr>
            <w:tcW w:w="672" w:type="pct"/>
          </w:tcPr>
          <w:p w:rsidR="008E273C" w:rsidRDefault="008E273C" w:rsidP="00C31DF7">
            <w:pPr>
              <w:pStyle w:val="BodyText"/>
            </w:pPr>
            <w:r>
              <w:t xml:space="preserve">Deputy Chief Executive Officer </w:t>
            </w:r>
          </w:p>
        </w:tc>
        <w:tc>
          <w:tcPr>
            <w:tcW w:w="429" w:type="pct"/>
          </w:tcPr>
          <w:p w:rsidR="008E273C" w:rsidRDefault="008E273C" w:rsidP="00C31DF7">
            <w:pPr>
              <w:pStyle w:val="BodyText"/>
            </w:pPr>
            <w:r>
              <w:t>230,441</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385</w:t>
            </w:r>
          </w:p>
        </w:tc>
        <w:tc>
          <w:tcPr>
            <w:tcW w:w="623" w:type="pct"/>
          </w:tcPr>
          <w:p w:rsidR="008E273C" w:rsidRDefault="008E273C" w:rsidP="00C31DF7">
            <w:pPr>
              <w:pStyle w:val="BodyText"/>
            </w:pPr>
            <w:r>
              <w:t>0</w:t>
            </w:r>
          </w:p>
        </w:tc>
        <w:tc>
          <w:tcPr>
            <w:tcW w:w="369" w:type="pct"/>
          </w:tcPr>
          <w:p w:rsidR="008E273C" w:rsidRDefault="008E273C" w:rsidP="00C31DF7">
            <w:pPr>
              <w:pStyle w:val="BodyText"/>
            </w:pPr>
            <w:r>
              <w:t>0</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230,826</w:t>
            </w:r>
          </w:p>
        </w:tc>
      </w:tr>
      <w:tr w:rsidR="008E273C" w:rsidTr="00C31DF7">
        <w:trPr>
          <w:trHeight w:val="60"/>
        </w:trPr>
        <w:tc>
          <w:tcPr>
            <w:tcW w:w="534" w:type="pct"/>
          </w:tcPr>
          <w:p w:rsidR="008E273C" w:rsidRDefault="008E273C" w:rsidP="00C31DF7">
            <w:pPr>
              <w:pStyle w:val="BodyText"/>
            </w:pPr>
            <w:r>
              <w:t xml:space="preserve">Jennifer </w:t>
            </w:r>
            <w:proofErr w:type="spellStart"/>
            <w:r>
              <w:t>Teece</w:t>
            </w:r>
            <w:proofErr w:type="spellEnd"/>
          </w:p>
        </w:tc>
        <w:tc>
          <w:tcPr>
            <w:tcW w:w="672" w:type="pct"/>
          </w:tcPr>
          <w:p w:rsidR="008E273C" w:rsidRDefault="008E273C" w:rsidP="00C31DF7">
            <w:pPr>
              <w:pStyle w:val="BodyText"/>
            </w:pPr>
            <w:r>
              <w:t xml:space="preserve">Deputy Chief Executive Officer </w:t>
            </w:r>
          </w:p>
        </w:tc>
        <w:tc>
          <w:tcPr>
            <w:tcW w:w="429" w:type="pct"/>
          </w:tcPr>
          <w:p w:rsidR="008E273C" w:rsidRDefault="008E273C" w:rsidP="00C31DF7">
            <w:pPr>
              <w:pStyle w:val="BodyText"/>
            </w:pPr>
            <w:r>
              <w:t>167,131</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15,557</w:t>
            </w:r>
          </w:p>
        </w:tc>
        <w:tc>
          <w:tcPr>
            <w:tcW w:w="623" w:type="pct"/>
          </w:tcPr>
          <w:p w:rsidR="008E273C" w:rsidRDefault="008E273C" w:rsidP="00C31DF7">
            <w:pPr>
              <w:pStyle w:val="BodyText"/>
            </w:pPr>
            <w:r>
              <w:t>22,358</w:t>
            </w:r>
          </w:p>
        </w:tc>
        <w:tc>
          <w:tcPr>
            <w:tcW w:w="369" w:type="pct"/>
          </w:tcPr>
          <w:p w:rsidR="008E273C" w:rsidRDefault="008E273C" w:rsidP="00C31DF7">
            <w:pPr>
              <w:pStyle w:val="BodyText"/>
            </w:pPr>
            <w:r>
              <w:t>5,349</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210,395</w:t>
            </w:r>
          </w:p>
        </w:tc>
      </w:tr>
      <w:tr w:rsidR="008E273C" w:rsidTr="00C31DF7">
        <w:trPr>
          <w:trHeight w:val="60"/>
        </w:trPr>
        <w:tc>
          <w:tcPr>
            <w:tcW w:w="534" w:type="pct"/>
          </w:tcPr>
          <w:p w:rsidR="008E273C" w:rsidRDefault="008E273C" w:rsidP="00C31DF7">
            <w:pPr>
              <w:pStyle w:val="BodyText"/>
            </w:pPr>
            <w:r>
              <w:t>Russell Egan</w:t>
            </w:r>
          </w:p>
        </w:tc>
        <w:tc>
          <w:tcPr>
            <w:tcW w:w="672" w:type="pct"/>
          </w:tcPr>
          <w:p w:rsidR="008E273C" w:rsidRDefault="008E273C" w:rsidP="00C31DF7">
            <w:pPr>
              <w:pStyle w:val="BodyText"/>
            </w:pPr>
            <w:r>
              <w:t xml:space="preserve">Deputy Chief Executive Officer </w:t>
            </w:r>
          </w:p>
        </w:tc>
        <w:tc>
          <w:tcPr>
            <w:tcW w:w="429" w:type="pct"/>
          </w:tcPr>
          <w:p w:rsidR="008E273C" w:rsidRDefault="008E273C" w:rsidP="00C31DF7">
            <w:pPr>
              <w:pStyle w:val="BodyText"/>
            </w:pPr>
            <w:r>
              <w:t>139,294</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12,671</w:t>
            </w:r>
          </w:p>
        </w:tc>
        <w:tc>
          <w:tcPr>
            <w:tcW w:w="623" w:type="pct"/>
          </w:tcPr>
          <w:p w:rsidR="008E273C" w:rsidRDefault="008E273C" w:rsidP="00C31DF7">
            <w:pPr>
              <w:pStyle w:val="BodyText"/>
            </w:pPr>
            <w:r>
              <w:t>21,276</w:t>
            </w:r>
          </w:p>
        </w:tc>
        <w:tc>
          <w:tcPr>
            <w:tcW w:w="369" w:type="pct"/>
          </w:tcPr>
          <w:p w:rsidR="008E273C" w:rsidRDefault="008E273C" w:rsidP="00C31DF7">
            <w:pPr>
              <w:pStyle w:val="BodyText"/>
            </w:pPr>
            <w:r>
              <w:t>3,697</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176,938</w:t>
            </w:r>
          </w:p>
        </w:tc>
      </w:tr>
      <w:tr w:rsidR="008E273C" w:rsidTr="00C31DF7">
        <w:trPr>
          <w:trHeight w:val="60"/>
        </w:trPr>
        <w:tc>
          <w:tcPr>
            <w:tcW w:w="534" w:type="pct"/>
          </w:tcPr>
          <w:p w:rsidR="008E273C" w:rsidRDefault="008E273C" w:rsidP="00C31DF7">
            <w:pPr>
              <w:pStyle w:val="BodyText"/>
            </w:pPr>
            <w:r>
              <w:t>Roslyn Baxter</w:t>
            </w:r>
          </w:p>
        </w:tc>
        <w:tc>
          <w:tcPr>
            <w:tcW w:w="672" w:type="pct"/>
          </w:tcPr>
          <w:p w:rsidR="008E273C" w:rsidRDefault="008E273C" w:rsidP="00C31DF7">
            <w:pPr>
              <w:pStyle w:val="BodyText"/>
            </w:pPr>
            <w:r>
              <w:t xml:space="preserve">Deputy Chief Executive Officer </w:t>
            </w:r>
          </w:p>
        </w:tc>
        <w:tc>
          <w:tcPr>
            <w:tcW w:w="429" w:type="pct"/>
          </w:tcPr>
          <w:p w:rsidR="008E273C" w:rsidRDefault="008E273C" w:rsidP="00C31DF7">
            <w:pPr>
              <w:pStyle w:val="BodyText"/>
            </w:pPr>
            <w:r>
              <w:t>93,375</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9,051</w:t>
            </w:r>
          </w:p>
        </w:tc>
        <w:tc>
          <w:tcPr>
            <w:tcW w:w="623" w:type="pct"/>
          </w:tcPr>
          <w:p w:rsidR="008E273C" w:rsidRDefault="008E273C" w:rsidP="00C31DF7">
            <w:pPr>
              <w:pStyle w:val="BodyText"/>
            </w:pPr>
            <w:r>
              <w:t>16,149</w:t>
            </w:r>
          </w:p>
        </w:tc>
        <w:tc>
          <w:tcPr>
            <w:tcW w:w="369" w:type="pct"/>
          </w:tcPr>
          <w:p w:rsidR="008E273C" w:rsidRDefault="008E273C" w:rsidP="00C31DF7">
            <w:pPr>
              <w:pStyle w:val="BodyText"/>
            </w:pPr>
            <w:r>
              <w:t>1,707</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120,282</w:t>
            </w:r>
          </w:p>
        </w:tc>
      </w:tr>
      <w:tr w:rsidR="008E273C" w:rsidTr="00C31DF7">
        <w:trPr>
          <w:trHeight w:val="60"/>
        </w:trPr>
        <w:tc>
          <w:tcPr>
            <w:tcW w:w="534" w:type="pct"/>
          </w:tcPr>
          <w:p w:rsidR="008E273C" w:rsidRDefault="008E273C" w:rsidP="00C31DF7">
            <w:pPr>
              <w:pStyle w:val="BodyText"/>
            </w:pPr>
            <w:r>
              <w:t>Paul Creech</w:t>
            </w:r>
          </w:p>
        </w:tc>
        <w:tc>
          <w:tcPr>
            <w:tcW w:w="672" w:type="pct"/>
          </w:tcPr>
          <w:p w:rsidR="008E273C" w:rsidRDefault="008E273C" w:rsidP="00C31DF7">
            <w:pPr>
              <w:pStyle w:val="BodyText"/>
            </w:pPr>
            <w:r>
              <w:t>Deputy Chief Executi</w:t>
            </w:r>
            <w:r>
              <w:lastRenderedPageBreak/>
              <w:t xml:space="preserve">ve Officer </w:t>
            </w:r>
          </w:p>
        </w:tc>
        <w:tc>
          <w:tcPr>
            <w:tcW w:w="429" w:type="pct"/>
          </w:tcPr>
          <w:p w:rsidR="008E273C" w:rsidRDefault="008E273C" w:rsidP="00C31DF7">
            <w:pPr>
              <w:pStyle w:val="BodyText"/>
            </w:pPr>
            <w:r>
              <w:lastRenderedPageBreak/>
              <w:t>87,372</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8,019</w:t>
            </w:r>
          </w:p>
        </w:tc>
        <w:tc>
          <w:tcPr>
            <w:tcW w:w="623" w:type="pct"/>
          </w:tcPr>
          <w:p w:rsidR="008E273C" w:rsidRDefault="008E273C" w:rsidP="00C31DF7">
            <w:pPr>
              <w:pStyle w:val="BodyText"/>
            </w:pPr>
            <w:r>
              <w:t>11,702</w:t>
            </w:r>
          </w:p>
        </w:tc>
        <w:tc>
          <w:tcPr>
            <w:tcW w:w="369" w:type="pct"/>
          </w:tcPr>
          <w:p w:rsidR="008E273C" w:rsidRDefault="008E273C" w:rsidP="00C31DF7">
            <w:pPr>
              <w:pStyle w:val="BodyText"/>
            </w:pPr>
            <w:r>
              <w:t>2,818</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109,911</w:t>
            </w:r>
          </w:p>
        </w:tc>
      </w:tr>
      <w:tr w:rsidR="008E273C" w:rsidTr="00C31DF7">
        <w:trPr>
          <w:trHeight w:val="60"/>
        </w:trPr>
        <w:tc>
          <w:tcPr>
            <w:tcW w:w="534" w:type="pct"/>
          </w:tcPr>
          <w:p w:rsidR="008E273C" w:rsidRDefault="008E273C" w:rsidP="00C31DF7">
            <w:pPr>
              <w:pStyle w:val="BodyText"/>
            </w:pPr>
            <w:r>
              <w:t xml:space="preserve">Charles </w:t>
            </w:r>
            <w:proofErr w:type="spellStart"/>
            <w:r>
              <w:t>McHardie</w:t>
            </w:r>
            <w:proofErr w:type="spellEnd"/>
          </w:p>
        </w:tc>
        <w:tc>
          <w:tcPr>
            <w:tcW w:w="672" w:type="pct"/>
          </w:tcPr>
          <w:p w:rsidR="008E273C" w:rsidRDefault="008E273C" w:rsidP="00C31DF7">
            <w:pPr>
              <w:pStyle w:val="BodyText"/>
            </w:pPr>
            <w:r>
              <w:t xml:space="preserve">Deputy Chief Executive Officer </w:t>
            </w:r>
          </w:p>
        </w:tc>
        <w:tc>
          <w:tcPr>
            <w:tcW w:w="429" w:type="pct"/>
          </w:tcPr>
          <w:p w:rsidR="008E273C" w:rsidRDefault="008E273C" w:rsidP="00C31DF7">
            <w:pPr>
              <w:pStyle w:val="BodyText"/>
            </w:pPr>
            <w:r>
              <w:t>55,267</w:t>
            </w:r>
          </w:p>
        </w:tc>
        <w:tc>
          <w:tcPr>
            <w:tcW w:w="381" w:type="pct"/>
          </w:tcPr>
          <w:p w:rsidR="008E273C" w:rsidRDefault="008E273C" w:rsidP="00C31DF7">
            <w:pPr>
              <w:pStyle w:val="BodyText"/>
            </w:pPr>
            <w:r>
              <w:t>0</w:t>
            </w:r>
          </w:p>
        </w:tc>
        <w:tc>
          <w:tcPr>
            <w:tcW w:w="520" w:type="pct"/>
          </w:tcPr>
          <w:p w:rsidR="008E273C" w:rsidRDefault="008E273C" w:rsidP="00C31DF7">
            <w:pPr>
              <w:pStyle w:val="BodyText"/>
            </w:pPr>
            <w:r>
              <w:t>4,465</w:t>
            </w:r>
          </w:p>
        </w:tc>
        <w:tc>
          <w:tcPr>
            <w:tcW w:w="623" w:type="pct"/>
          </w:tcPr>
          <w:p w:rsidR="008E273C" w:rsidRDefault="008E273C" w:rsidP="00C31DF7">
            <w:pPr>
              <w:pStyle w:val="BodyText"/>
            </w:pPr>
            <w:r>
              <w:t>9,304</w:t>
            </w:r>
          </w:p>
        </w:tc>
        <w:tc>
          <w:tcPr>
            <w:tcW w:w="369" w:type="pct"/>
          </w:tcPr>
          <w:p w:rsidR="008E273C" w:rsidRDefault="008E273C" w:rsidP="00C31DF7">
            <w:pPr>
              <w:pStyle w:val="BodyText"/>
            </w:pPr>
            <w:r>
              <w:t>1,588</w:t>
            </w:r>
          </w:p>
        </w:tc>
        <w:tc>
          <w:tcPr>
            <w:tcW w:w="429" w:type="pct"/>
          </w:tcPr>
          <w:p w:rsidR="008E273C" w:rsidRDefault="008E273C" w:rsidP="00C31DF7">
            <w:pPr>
              <w:pStyle w:val="BodyText"/>
            </w:pPr>
            <w:r>
              <w:t>0</w:t>
            </w:r>
          </w:p>
        </w:tc>
        <w:tc>
          <w:tcPr>
            <w:tcW w:w="502" w:type="pct"/>
          </w:tcPr>
          <w:p w:rsidR="008E273C" w:rsidRDefault="008E273C" w:rsidP="00C31DF7">
            <w:pPr>
              <w:pStyle w:val="BodyText"/>
            </w:pPr>
            <w:r>
              <w:t>0</w:t>
            </w:r>
          </w:p>
        </w:tc>
        <w:tc>
          <w:tcPr>
            <w:tcW w:w="538" w:type="pct"/>
          </w:tcPr>
          <w:p w:rsidR="008E273C" w:rsidRPr="00C31DF7" w:rsidRDefault="008E273C" w:rsidP="00C31DF7">
            <w:pPr>
              <w:pStyle w:val="BodyText"/>
            </w:pPr>
            <w:r w:rsidRPr="00C31DF7">
              <w:rPr>
                <w:rStyle w:val="Bold"/>
                <w:b w:val="0"/>
                <w:bCs w:val="0"/>
                <w:color w:val="auto"/>
              </w:rPr>
              <w:t>70,624</w:t>
            </w:r>
          </w:p>
        </w:tc>
      </w:tr>
      <w:tr w:rsidR="008E273C" w:rsidTr="00C31DF7">
        <w:trPr>
          <w:trHeight w:val="60"/>
        </w:trPr>
        <w:tc>
          <w:tcPr>
            <w:tcW w:w="534" w:type="pct"/>
          </w:tcPr>
          <w:p w:rsidR="008E273C" w:rsidRPr="00C31DF7" w:rsidRDefault="008E273C" w:rsidP="00C31DF7">
            <w:pPr>
              <w:pStyle w:val="BodyText"/>
            </w:pPr>
            <w:r w:rsidRPr="00C31DF7">
              <w:rPr>
                <w:rStyle w:val="Bold"/>
                <w:bCs w:val="0"/>
                <w:color w:val="auto"/>
              </w:rPr>
              <w:t>Total</w:t>
            </w:r>
          </w:p>
        </w:tc>
        <w:tc>
          <w:tcPr>
            <w:tcW w:w="672" w:type="pct"/>
          </w:tcPr>
          <w:p w:rsidR="008E273C" w:rsidRPr="00C31DF7" w:rsidRDefault="008E273C" w:rsidP="00C31DF7">
            <w:pPr>
              <w:pStyle w:val="BodyText"/>
            </w:pPr>
            <w:r w:rsidRPr="00C31DF7">
              <w:rPr>
                <w:rStyle w:val="Bold"/>
                <w:bCs w:val="0"/>
                <w:color w:val="auto"/>
              </w:rPr>
              <w:t>15</w:t>
            </w:r>
          </w:p>
        </w:tc>
        <w:tc>
          <w:tcPr>
            <w:tcW w:w="429" w:type="pct"/>
          </w:tcPr>
          <w:p w:rsidR="008E273C" w:rsidRPr="00C31DF7" w:rsidRDefault="008E273C" w:rsidP="00C31DF7">
            <w:pPr>
              <w:pStyle w:val="BodyText"/>
            </w:pPr>
            <w:r w:rsidRPr="00C31DF7">
              <w:rPr>
                <w:rStyle w:val="Bold"/>
                <w:bCs w:val="0"/>
                <w:color w:val="auto"/>
              </w:rPr>
              <w:t>3,757,097</w:t>
            </w:r>
          </w:p>
        </w:tc>
        <w:tc>
          <w:tcPr>
            <w:tcW w:w="381" w:type="pct"/>
          </w:tcPr>
          <w:p w:rsidR="008E273C" w:rsidRPr="00C31DF7" w:rsidRDefault="008E273C" w:rsidP="00C31DF7">
            <w:pPr>
              <w:pStyle w:val="BodyText"/>
            </w:pPr>
            <w:r w:rsidRPr="00C31DF7">
              <w:rPr>
                <w:rStyle w:val="Bold"/>
                <w:bCs w:val="0"/>
                <w:color w:val="auto"/>
              </w:rPr>
              <w:t>0</w:t>
            </w:r>
          </w:p>
        </w:tc>
        <w:tc>
          <w:tcPr>
            <w:tcW w:w="520" w:type="pct"/>
          </w:tcPr>
          <w:p w:rsidR="008E273C" w:rsidRPr="00C31DF7" w:rsidRDefault="008E273C" w:rsidP="00C31DF7">
            <w:pPr>
              <w:pStyle w:val="BodyText"/>
            </w:pPr>
            <w:r w:rsidRPr="00C31DF7">
              <w:rPr>
                <w:rStyle w:val="Bold"/>
                <w:bCs w:val="0"/>
                <w:color w:val="auto"/>
              </w:rPr>
              <w:t>345,905</w:t>
            </w:r>
          </w:p>
        </w:tc>
        <w:tc>
          <w:tcPr>
            <w:tcW w:w="623" w:type="pct"/>
          </w:tcPr>
          <w:p w:rsidR="008E273C" w:rsidRPr="00C31DF7" w:rsidRDefault="008E273C" w:rsidP="00C31DF7">
            <w:pPr>
              <w:pStyle w:val="BodyText"/>
            </w:pPr>
            <w:r w:rsidRPr="00C31DF7">
              <w:rPr>
                <w:rStyle w:val="Bold"/>
                <w:bCs w:val="0"/>
                <w:color w:val="auto"/>
              </w:rPr>
              <w:t>571,119</w:t>
            </w:r>
          </w:p>
        </w:tc>
        <w:tc>
          <w:tcPr>
            <w:tcW w:w="369" w:type="pct"/>
          </w:tcPr>
          <w:p w:rsidR="008E273C" w:rsidRPr="00C31DF7" w:rsidRDefault="008E273C" w:rsidP="00C31DF7">
            <w:pPr>
              <w:pStyle w:val="BodyText"/>
            </w:pPr>
            <w:r w:rsidRPr="00C31DF7">
              <w:rPr>
                <w:rStyle w:val="Bold"/>
                <w:bCs w:val="0"/>
                <w:color w:val="auto"/>
              </w:rPr>
              <w:t>120,740</w:t>
            </w:r>
          </w:p>
        </w:tc>
        <w:tc>
          <w:tcPr>
            <w:tcW w:w="429" w:type="pct"/>
          </w:tcPr>
          <w:p w:rsidR="008E273C" w:rsidRPr="00C31DF7" w:rsidRDefault="008E273C" w:rsidP="00C31DF7">
            <w:pPr>
              <w:pStyle w:val="BodyText"/>
            </w:pPr>
            <w:r w:rsidRPr="00C31DF7">
              <w:rPr>
                <w:rStyle w:val="Bold"/>
                <w:bCs w:val="0"/>
                <w:color w:val="auto"/>
              </w:rPr>
              <w:t>0</w:t>
            </w:r>
          </w:p>
        </w:tc>
        <w:tc>
          <w:tcPr>
            <w:tcW w:w="502" w:type="pct"/>
          </w:tcPr>
          <w:p w:rsidR="008E273C" w:rsidRPr="00C31DF7" w:rsidRDefault="008E273C" w:rsidP="00C31DF7">
            <w:pPr>
              <w:pStyle w:val="BodyText"/>
            </w:pPr>
            <w:r w:rsidRPr="00C31DF7">
              <w:rPr>
                <w:rStyle w:val="Bold"/>
                <w:bCs w:val="0"/>
                <w:color w:val="auto"/>
              </w:rPr>
              <w:t>1,036,380</w:t>
            </w:r>
          </w:p>
        </w:tc>
        <w:tc>
          <w:tcPr>
            <w:tcW w:w="538" w:type="pct"/>
          </w:tcPr>
          <w:p w:rsidR="008E273C" w:rsidRPr="00C31DF7" w:rsidRDefault="008E273C" w:rsidP="00C31DF7">
            <w:pPr>
              <w:pStyle w:val="BodyText"/>
            </w:pPr>
            <w:r w:rsidRPr="00C31DF7">
              <w:rPr>
                <w:rStyle w:val="Bold"/>
                <w:bCs w:val="0"/>
                <w:color w:val="auto"/>
              </w:rPr>
              <w:t>5,831,241</w:t>
            </w:r>
          </w:p>
        </w:tc>
      </w:tr>
    </w:tbl>
    <w:p w:rsidR="008E273C" w:rsidRDefault="008E273C" w:rsidP="00C31DF7">
      <w:pPr>
        <w:pStyle w:val="BodyText"/>
      </w:pPr>
      <w:r>
        <w:t>(a) Includes base salary, annual leave benefit, bonuses, allowances and other benefits.</w:t>
      </w:r>
    </w:p>
    <w:p w:rsidR="008E273C" w:rsidRDefault="008E273C" w:rsidP="00C31DF7">
      <w:pPr>
        <w:pStyle w:val="BodyText"/>
      </w:pPr>
      <w:r>
        <w:t>(</w:t>
      </w:r>
      <w:proofErr w:type="gramStart"/>
      <w:r>
        <w:t>b</w:t>
      </w:r>
      <w:proofErr w:type="gramEnd"/>
      <w:r>
        <w:t xml:space="preserve">) Includes contributed superannuation depending on the scheme the employee is in. Where an employee is in a defined contribution scheme, such as </w:t>
      </w:r>
      <w:proofErr w:type="spellStart"/>
      <w:r>
        <w:t>PSSap</w:t>
      </w:r>
      <w:proofErr w:type="spellEnd"/>
      <w:r>
        <w:t>, this will be the superannuation amount on the individual’s pay slip. Where an employee is in a defined benefits scheme, such as PSS and CSS, this will include the Notional Employer Contribution Amount and Employer Productivity Superannuation Contribution.</w:t>
      </w:r>
    </w:p>
    <w:p w:rsidR="008E273C" w:rsidRDefault="008E273C" w:rsidP="00C31DF7">
      <w:pPr>
        <w:pStyle w:val="BodyText"/>
      </w:pPr>
      <w:r>
        <w:t>(c) Includes long service leave and the discounting of long service leave.</w:t>
      </w:r>
    </w:p>
    <w:p w:rsidR="008E273C" w:rsidRDefault="008E273C" w:rsidP="00C31DF7">
      <w:pPr>
        <w:pStyle w:val="BodyText"/>
      </w:pPr>
      <w:r>
        <w:t>(d) Includes motor vehicle allowance and other benefits such as the provision of a car park.</w:t>
      </w:r>
    </w:p>
    <w:p w:rsidR="008E273C" w:rsidRDefault="008E273C" w:rsidP="008E273C">
      <w:pPr>
        <w:pStyle w:val="Heading2"/>
      </w:pPr>
      <w:r>
        <w:t xml:space="preserve">Remuneration for senior executives </w:t>
      </w:r>
    </w:p>
    <w:p w:rsidR="008E273C" w:rsidRPr="001C3A5F" w:rsidRDefault="001C3A5F" w:rsidP="001C3A5F">
      <w:pPr>
        <w:pStyle w:val="BodyText"/>
        <w:rPr>
          <w:b/>
        </w:rPr>
      </w:pPr>
      <w:r w:rsidRPr="001C3A5F">
        <w:rPr>
          <w:b/>
        </w:rPr>
        <w:t xml:space="preserve">Table 77: </w:t>
      </w:r>
      <w:r w:rsidR="008E273C" w:rsidRPr="001C3A5F">
        <w:rPr>
          <w:b/>
        </w:rPr>
        <w:t>A report of the full and part-year substantive SES officers; long-term SES acting arrangements (staff who have acted in an SES role for the full 12-month period); and SES seconded to the agency who received remuneration during the reporting year and are not classified as a KMP, for the year ended 30 June 2020</w:t>
      </w:r>
    </w:p>
    <w:tbl>
      <w:tblPr>
        <w:tblStyle w:val="TableGrid"/>
        <w:tblW w:w="5000" w:type="pct"/>
        <w:tblLook w:val="0000" w:firstRow="0" w:lastRow="0" w:firstColumn="0" w:lastColumn="0" w:noHBand="0" w:noVBand="0"/>
        <w:tblCaption w:val="Table 77: A report of the full and part-year substantive SES officers; long-term SES acting arrangements (staff who have acted in an SES role for the full 12-month period); and SES seconded to the agency who received remuneration during the reporting year and are not classified as a KMP, for the year ended 30 June 2020"/>
        <w:tblDescription w:val="Table 77: A report of the full and part-year substantive SES officers; long-term SES acting arrangements (staff who have acted in an SES role for the full 12-month period); and SES seconded to the agency who received remuneration during the reporting year and are not classified as a KMP, for the year ended 30 June 2020"/>
      </w:tblPr>
      <w:tblGrid>
        <w:gridCol w:w="1347"/>
        <w:gridCol w:w="1001"/>
        <w:gridCol w:w="880"/>
        <w:gridCol w:w="907"/>
        <w:gridCol w:w="1256"/>
        <w:gridCol w:w="1477"/>
        <w:gridCol w:w="880"/>
        <w:gridCol w:w="880"/>
        <w:gridCol w:w="1178"/>
        <w:gridCol w:w="1290"/>
      </w:tblGrid>
      <w:tr w:rsidR="008E273C" w:rsidTr="001C3A5F">
        <w:trPr>
          <w:trHeight w:val="60"/>
          <w:tblHeader/>
        </w:trPr>
        <w:tc>
          <w:tcPr>
            <w:tcW w:w="575" w:type="pct"/>
          </w:tcPr>
          <w:p w:rsidR="008E273C" w:rsidRPr="001C3A5F" w:rsidRDefault="008E273C" w:rsidP="001C3A5F">
            <w:pPr>
              <w:pStyle w:val="BodyText"/>
              <w:rPr>
                <w:b/>
              </w:rPr>
            </w:pPr>
            <w:r w:rsidRPr="001C3A5F">
              <w:rPr>
                <w:b/>
              </w:rPr>
              <w:lastRenderedPageBreak/>
              <w:t>Remuneration band</w:t>
            </w:r>
          </w:p>
        </w:tc>
        <w:tc>
          <w:tcPr>
            <w:tcW w:w="550" w:type="pct"/>
          </w:tcPr>
          <w:p w:rsidR="008E273C" w:rsidRPr="001C3A5F" w:rsidRDefault="008E273C" w:rsidP="001C3A5F">
            <w:pPr>
              <w:pStyle w:val="BodyText"/>
              <w:rPr>
                <w:b/>
              </w:rPr>
            </w:pPr>
            <w:r w:rsidRPr="001C3A5F">
              <w:rPr>
                <w:b/>
              </w:rPr>
              <w:t>Number of Senior Executive Staff</w:t>
            </w:r>
          </w:p>
        </w:tc>
        <w:tc>
          <w:tcPr>
            <w:tcW w:w="1331" w:type="pct"/>
            <w:gridSpan w:val="3"/>
          </w:tcPr>
          <w:p w:rsidR="008E273C" w:rsidRPr="001C3A5F" w:rsidRDefault="008E273C" w:rsidP="001C3A5F">
            <w:pPr>
              <w:pStyle w:val="BodyText"/>
              <w:rPr>
                <w:b/>
              </w:rPr>
            </w:pPr>
            <w:r w:rsidRPr="001C3A5F">
              <w:rPr>
                <w:b/>
              </w:rPr>
              <w:t>Short-term benefits</w:t>
            </w:r>
            <w:r w:rsidRPr="001C3A5F">
              <w:rPr>
                <w:b/>
                <w:vertAlign w:val="superscript"/>
              </w:rPr>
              <w:t>(a)</w:t>
            </w:r>
          </w:p>
        </w:tc>
        <w:tc>
          <w:tcPr>
            <w:tcW w:w="644" w:type="pct"/>
          </w:tcPr>
          <w:p w:rsidR="008E273C" w:rsidRPr="001C3A5F" w:rsidRDefault="008E273C" w:rsidP="001C3A5F">
            <w:pPr>
              <w:pStyle w:val="BodyText"/>
              <w:rPr>
                <w:b/>
              </w:rPr>
            </w:pPr>
            <w:r w:rsidRPr="001C3A5F">
              <w:rPr>
                <w:b/>
              </w:rPr>
              <w:t>Post-employment benefits</w:t>
            </w:r>
            <w:r w:rsidRPr="001C3A5F">
              <w:rPr>
                <w:b/>
                <w:vertAlign w:val="superscript"/>
              </w:rPr>
              <w:t>(b)</w:t>
            </w:r>
          </w:p>
        </w:tc>
        <w:tc>
          <w:tcPr>
            <w:tcW w:w="825" w:type="pct"/>
            <w:gridSpan w:val="2"/>
          </w:tcPr>
          <w:p w:rsidR="008E273C" w:rsidRPr="001C3A5F" w:rsidRDefault="008E273C" w:rsidP="001C3A5F">
            <w:pPr>
              <w:pStyle w:val="BodyText"/>
              <w:rPr>
                <w:b/>
              </w:rPr>
            </w:pPr>
            <w:r w:rsidRPr="001C3A5F">
              <w:rPr>
                <w:b/>
              </w:rPr>
              <w:t>Other long-term benefits</w:t>
            </w:r>
            <w:r w:rsidRPr="001C3A5F">
              <w:rPr>
                <w:b/>
                <w:vertAlign w:val="superscript"/>
              </w:rPr>
              <w:t>(c)</w:t>
            </w:r>
          </w:p>
        </w:tc>
        <w:tc>
          <w:tcPr>
            <w:tcW w:w="519" w:type="pct"/>
          </w:tcPr>
          <w:p w:rsidR="008E273C" w:rsidRPr="001C3A5F" w:rsidRDefault="008E273C" w:rsidP="001C3A5F">
            <w:pPr>
              <w:pStyle w:val="BodyText"/>
              <w:rPr>
                <w:b/>
              </w:rPr>
            </w:pPr>
            <w:r w:rsidRPr="001C3A5F">
              <w:rPr>
                <w:b/>
              </w:rPr>
              <w:t xml:space="preserve">Termination benefits </w:t>
            </w:r>
          </w:p>
        </w:tc>
        <w:tc>
          <w:tcPr>
            <w:tcW w:w="556" w:type="pct"/>
          </w:tcPr>
          <w:p w:rsidR="008E273C" w:rsidRPr="001C3A5F" w:rsidRDefault="008E273C" w:rsidP="001C3A5F">
            <w:pPr>
              <w:pStyle w:val="BodyText"/>
              <w:rPr>
                <w:b/>
              </w:rPr>
            </w:pPr>
            <w:r w:rsidRPr="001C3A5F">
              <w:rPr>
                <w:b/>
              </w:rPr>
              <w:t>Total remuneration</w:t>
            </w:r>
          </w:p>
        </w:tc>
      </w:tr>
      <w:tr w:rsidR="008E273C" w:rsidTr="001C3A5F">
        <w:trPr>
          <w:trHeight w:val="616"/>
          <w:tblHeader/>
        </w:trPr>
        <w:tc>
          <w:tcPr>
            <w:tcW w:w="575" w:type="pct"/>
          </w:tcPr>
          <w:p w:rsidR="008E273C" w:rsidRPr="001C3A5F" w:rsidRDefault="008E273C" w:rsidP="001C3A5F">
            <w:pPr>
              <w:pStyle w:val="BodyText"/>
              <w:rPr>
                <w:b/>
              </w:rPr>
            </w:pPr>
          </w:p>
        </w:tc>
        <w:tc>
          <w:tcPr>
            <w:tcW w:w="550" w:type="pct"/>
          </w:tcPr>
          <w:p w:rsidR="008E273C" w:rsidRPr="001C3A5F" w:rsidRDefault="008E273C" w:rsidP="001C3A5F">
            <w:pPr>
              <w:pStyle w:val="BodyText"/>
              <w:rPr>
                <w:b/>
              </w:rPr>
            </w:pPr>
          </w:p>
        </w:tc>
        <w:tc>
          <w:tcPr>
            <w:tcW w:w="400" w:type="pct"/>
          </w:tcPr>
          <w:p w:rsidR="008E273C" w:rsidRPr="001C3A5F" w:rsidRDefault="008E273C" w:rsidP="001C3A5F">
            <w:pPr>
              <w:pStyle w:val="BodyText"/>
              <w:rPr>
                <w:rStyle w:val="Bold"/>
                <w:bCs w:val="0"/>
                <w:color w:val="auto"/>
              </w:rPr>
            </w:pPr>
            <w:r w:rsidRPr="001C3A5F">
              <w:rPr>
                <w:rStyle w:val="Bold"/>
                <w:bCs w:val="0"/>
                <w:color w:val="auto"/>
              </w:rPr>
              <w:t xml:space="preserve">Average base salary </w:t>
            </w:r>
          </w:p>
          <w:p w:rsidR="008E273C" w:rsidRPr="001C3A5F" w:rsidRDefault="008E273C" w:rsidP="001C3A5F">
            <w:pPr>
              <w:pStyle w:val="BodyText"/>
              <w:rPr>
                <w:b/>
              </w:rPr>
            </w:pPr>
            <w:r w:rsidRPr="001C3A5F">
              <w:rPr>
                <w:rStyle w:val="Bold"/>
                <w:bCs w:val="0"/>
                <w:color w:val="auto"/>
              </w:rPr>
              <w:t>$</w:t>
            </w:r>
          </w:p>
        </w:tc>
        <w:tc>
          <w:tcPr>
            <w:tcW w:w="394" w:type="pct"/>
          </w:tcPr>
          <w:p w:rsidR="008E273C" w:rsidRPr="001C3A5F" w:rsidRDefault="008E273C" w:rsidP="001C3A5F">
            <w:pPr>
              <w:pStyle w:val="BodyText"/>
              <w:rPr>
                <w:rStyle w:val="Bold"/>
                <w:bCs w:val="0"/>
                <w:color w:val="auto"/>
              </w:rPr>
            </w:pPr>
            <w:r w:rsidRPr="001C3A5F">
              <w:rPr>
                <w:rStyle w:val="Bold"/>
                <w:bCs w:val="0"/>
                <w:color w:val="auto"/>
              </w:rPr>
              <w:t>Average bonuses</w:t>
            </w:r>
          </w:p>
          <w:p w:rsidR="008E273C" w:rsidRPr="001C3A5F" w:rsidRDefault="008E273C" w:rsidP="001C3A5F">
            <w:pPr>
              <w:pStyle w:val="BodyText"/>
              <w:rPr>
                <w:b/>
              </w:rPr>
            </w:pPr>
            <w:r w:rsidRPr="001C3A5F">
              <w:rPr>
                <w:rStyle w:val="Bold"/>
                <w:bCs w:val="0"/>
                <w:color w:val="auto"/>
              </w:rPr>
              <w:t>$</w:t>
            </w:r>
          </w:p>
        </w:tc>
        <w:tc>
          <w:tcPr>
            <w:tcW w:w="538" w:type="pct"/>
          </w:tcPr>
          <w:p w:rsidR="008E273C" w:rsidRPr="001C3A5F" w:rsidRDefault="008E273C" w:rsidP="001C3A5F">
            <w:pPr>
              <w:pStyle w:val="BodyText"/>
              <w:rPr>
                <w:rStyle w:val="Bold"/>
                <w:bCs w:val="0"/>
                <w:color w:val="auto"/>
              </w:rPr>
            </w:pPr>
            <w:r w:rsidRPr="001C3A5F">
              <w:rPr>
                <w:rStyle w:val="Bold"/>
                <w:bCs w:val="0"/>
                <w:color w:val="auto"/>
              </w:rPr>
              <w:t>Average other benefits and allowances</w:t>
            </w:r>
            <w:r w:rsidRPr="001C3A5F">
              <w:rPr>
                <w:rStyle w:val="Bold"/>
                <w:bCs w:val="0"/>
                <w:color w:val="auto"/>
                <w:vertAlign w:val="superscript"/>
              </w:rPr>
              <w:t>(d)</w:t>
            </w:r>
            <w:r w:rsidRPr="001C3A5F">
              <w:rPr>
                <w:rStyle w:val="Bold"/>
                <w:bCs w:val="0"/>
                <w:color w:val="auto"/>
              </w:rPr>
              <w:t xml:space="preserve"> </w:t>
            </w:r>
          </w:p>
          <w:p w:rsidR="008E273C" w:rsidRPr="001C3A5F" w:rsidRDefault="008E273C" w:rsidP="001C3A5F">
            <w:pPr>
              <w:pStyle w:val="BodyText"/>
              <w:rPr>
                <w:b/>
              </w:rPr>
            </w:pPr>
            <w:r w:rsidRPr="001C3A5F">
              <w:rPr>
                <w:rStyle w:val="Bold"/>
                <w:bCs w:val="0"/>
                <w:color w:val="auto"/>
              </w:rPr>
              <w:t>$</w:t>
            </w:r>
          </w:p>
        </w:tc>
        <w:tc>
          <w:tcPr>
            <w:tcW w:w="644" w:type="pct"/>
          </w:tcPr>
          <w:p w:rsidR="008E273C" w:rsidRPr="001C3A5F" w:rsidRDefault="008E273C" w:rsidP="001C3A5F">
            <w:pPr>
              <w:pStyle w:val="BodyText"/>
              <w:rPr>
                <w:rStyle w:val="Bold"/>
                <w:bCs w:val="0"/>
                <w:color w:val="auto"/>
              </w:rPr>
            </w:pPr>
            <w:r w:rsidRPr="001C3A5F">
              <w:rPr>
                <w:rStyle w:val="Bold"/>
                <w:bCs w:val="0"/>
                <w:color w:val="auto"/>
              </w:rPr>
              <w:t>Average superannuation contributions</w:t>
            </w:r>
          </w:p>
          <w:p w:rsidR="008E273C" w:rsidRPr="001C3A5F" w:rsidRDefault="008E273C" w:rsidP="001C3A5F">
            <w:pPr>
              <w:pStyle w:val="BodyText"/>
              <w:rPr>
                <w:b/>
              </w:rPr>
            </w:pPr>
            <w:r w:rsidRPr="001C3A5F">
              <w:rPr>
                <w:rStyle w:val="Bold"/>
                <w:bCs w:val="0"/>
                <w:color w:val="auto"/>
              </w:rPr>
              <w:t>$</w:t>
            </w:r>
          </w:p>
        </w:tc>
        <w:tc>
          <w:tcPr>
            <w:tcW w:w="381" w:type="pct"/>
          </w:tcPr>
          <w:p w:rsidR="008E273C" w:rsidRPr="001C3A5F" w:rsidRDefault="008E273C" w:rsidP="001C3A5F">
            <w:pPr>
              <w:pStyle w:val="BodyText"/>
              <w:rPr>
                <w:rStyle w:val="Bold"/>
                <w:bCs w:val="0"/>
                <w:color w:val="auto"/>
              </w:rPr>
            </w:pPr>
            <w:r w:rsidRPr="001C3A5F">
              <w:rPr>
                <w:rStyle w:val="Bold"/>
                <w:bCs w:val="0"/>
                <w:color w:val="auto"/>
              </w:rPr>
              <w:t xml:space="preserve">Average long service leave </w:t>
            </w:r>
          </w:p>
          <w:p w:rsidR="008E273C" w:rsidRPr="001C3A5F" w:rsidRDefault="008E273C" w:rsidP="001C3A5F">
            <w:pPr>
              <w:pStyle w:val="BodyText"/>
              <w:rPr>
                <w:b/>
              </w:rPr>
            </w:pPr>
            <w:r w:rsidRPr="001C3A5F">
              <w:rPr>
                <w:rStyle w:val="Bold"/>
                <w:bCs w:val="0"/>
                <w:color w:val="auto"/>
              </w:rPr>
              <w:t>$</w:t>
            </w:r>
          </w:p>
        </w:tc>
        <w:tc>
          <w:tcPr>
            <w:tcW w:w="444" w:type="pct"/>
          </w:tcPr>
          <w:p w:rsidR="008E273C" w:rsidRPr="001C3A5F" w:rsidRDefault="008E273C" w:rsidP="001C3A5F">
            <w:pPr>
              <w:pStyle w:val="BodyText"/>
              <w:rPr>
                <w:rStyle w:val="Bold"/>
                <w:bCs w:val="0"/>
                <w:color w:val="auto"/>
              </w:rPr>
            </w:pPr>
            <w:r w:rsidRPr="001C3A5F">
              <w:rPr>
                <w:rStyle w:val="Bold"/>
                <w:bCs w:val="0"/>
                <w:color w:val="auto"/>
              </w:rPr>
              <w:t xml:space="preserve">Average other long-term benefits </w:t>
            </w:r>
          </w:p>
          <w:p w:rsidR="008E273C" w:rsidRPr="001C3A5F" w:rsidRDefault="008E273C" w:rsidP="001C3A5F">
            <w:pPr>
              <w:pStyle w:val="BodyText"/>
              <w:rPr>
                <w:b/>
              </w:rPr>
            </w:pPr>
            <w:r w:rsidRPr="001C3A5F">
              <w:rPr>
                <w:rStyle w:val="Bold"/>
                <w:bCs w:val="0"/>
                <w:color w:val="auto"/>
              </w:rPr>
              <w:t>$</w:t>
            </w:r>
          </w:p>
        </w:tc>
        <w:tc>
          <w:tcPr>
            <w:tcW w:w="519" w:type="pct"/>
          </w:tcPr>
          <w:p w:rsidR="008E273C" w:rsidRPr="001C3A5F" w:rsidRDefault="008E273C" w:rsidP="001C3A5F">
            <w:pPr>
              <w:pStyle w:val="BodyText"/>
              <w:rPr>
                <w:rStyle w:val="Bold"/>
                <w:bCs w:val="0"/>
                <w:color w:val="auto"/>
              </w:rPr>
            </w:pPr>
            <w:r w:rsidRPr="001C3A5F">
              <w:rPr>
                <w:rStyle w:val="Bold"/>
                <w:bCs w:val="0"/>
                <w:color w:val="auto"/>
              </w:rPr>
              <w:t>Average termination benefits</w:t>
            </w:r>
          </w:p>
          <w:p w:rsidR="008E273C" w:rsidRPr="001C3A5F" w:rsidRDefault="008E273C" w:rsidP="001C3A5F">
            <w:pPr>
              <w:pStyle w:val="BodyText"/>
              <w:rPr>
                <w:b/>
              </w:rPr>
            </w:pPr>
            <w:r w:rsidRPr="001C3A5F">
              <w:rPr>
                <w:rStyle w:val="Bold"/>
                <w:bCs w:val="0"/>
                <w:color w:val="auto"/>
              </w:rPr>
              <w:t>$</w:t>
            </w:r>
          </w:p>
        </w:tc>
        <w:tc>
          <w:tcPr>
            <w:tcW w:w="556" w:type="pct"/>
          </w:tcPr>
          <w:p w:rsidR="008E273C" w:rsidRPr="001C3A5F" w:rsidRDefault="008E273C" w:rsidP="001C3A5F">
            <w:pPr>
              <w:pStyle w:val="BodyText"/>
              <w:rPr>
                <w:b/>
              </w:rPr>
            </w:pPr>
            <w:r w:rsidRPr="001C3A5F">
              <w:rPr>
                <w:rStyle w:val="Bold"/>
                <w:bCs w:val="0"/>
                <w:color w:val="auto"/>
              </w:rPr>
              <w:t>Average total remuneration $</w:t>
            </w:r>
          </w:p>
        </w:tc>
      </w:tr>
      <w:tr w:rsidR="008E273C" w:rsidTr="001C3A5F">
        <w:trPr>
          <w:trHeight w:val="60"/>
        </w:trPr>
        <w:tc>
          <w:tcPr>
            <w:tcW w:w="575" w:type="pct"/>
          </w:tcPr>
          <w:p w:rsidR="008E273C" w:rsidRDefault="008E273C" w:rsidP="001C3A5F">
            <w:pPr>
              <w:pStyle w:val="BodyText"/>
            </w:pPr>
            <w:r>
              <w:t>$0–</w:t>
            </w:r>
            <w:r>
              <w:br/>
              <w:t>$220,000</w:t>
            </w:r>
          </w:p>
        </w:tc>
        <w:tc>
          <w:tcPr>
            <w:tcW w:w="550" w:type="pct"/>
          </w:tcPr>
          <w:p w:rsidR="008E273C" w:rsidRDefault="008E273C" w:rsidP="001C3A5F">
            <w:pPr>
              <w:pStyle w:val="BodyText"/>
            </w:pPr>
            <w:r>
              <w:t>42</w:t>
            </w:r>
          </w:p>
        </w:tc>
        <w:tc>
          <w:tcPr>
            <w:tcW w:w="400" w:type="pct"/>
          </w:tcPr>
          <w:p w:rsidR="008E273C" w:rsidRDefault="008E273C" w:rsidP="001C3A5F">
            <w:pPr>
              <w:pStyle w:val="BodyText"/>
            </w:pPr>
            <w:r>
              <w:t>74,936</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10,835</w:t>
            </w:r>
          </w:p>
        </w:tc>
        <w:tc>
          <w:tcPr>
            <w:tcW w:w="644" w:type="pct"/>
          </w:tcPr>
          <w:p w:rsidR="008E273C" w:rsidRDefault="008E273C" w:rsidP="001C3A5F">
            <w:pPr>
              <w:pStyle w:val="BodyText"/>
            </w:pPr>
            <w:r>
              <w:t>14,331</w:t>
            </w:r>
          </w:p>
        </w:tc>
        <w:tc>
          <w:tcPr>
            <w:tcW w:w="381" w:type="pct"/>
          </w:tcPr>
          <w:p w:rsidR="008E273C" w:rsidRDefault="008E273C" w:rsidP="001C3A5F">
            <w:pPr>
              <w:pStyle w:val="BodyText"/>
            </w:pPr>
            <w:r>
              <w:t>2,259</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10,915</w:t>
            </w:r>
          </w:p>
        </w:tc>
        <w:tc>
          <w:tcPr>
            <w:tcW w:w="556" w:type="pct"/>
          </w:tcPr>
          <w:p w:rsidR="008E273C" w:rsidRPr="001C3A5F" w:rsidRDefault="008E273C" w:rsidP="001C3A5F">
            <w:pPr>
              <w:pStyle w:val="BodyText"/>
            </w:pPr>
            <w:r w:rsidRPr="001C3A5F">
              <w:rPr>
                <w:rStyle w:val="Bold"/>
                <w:b w:val="0"/>
                <w:bCs w:val="0"/>
                <w:color w:val="auto"/>
              </w:rPr>
              <w:t>113,276</w:t>
            </w:r>
          </w:p>
        </w:tc>
      </w:tr>
      <w:tr w:rsidR="008E273C" w:rsidTr="001C3A5F">
        <w:trPr>
          <w:trHeight w:val="305"/>
        </w:trPr>
        <w:tc>
          <w:tcPr>
            <w:tcW w:w="575" w:type="pct"/>
          </w:tcPr>
          <w:p w:rsidR="008E273C" w:rsidRDefault="008E273C" w:rsidP="001C3A5F">
            <w:pPr>
              <w:pStyle w:val="BodyText"/>
            </w:pPr>
            <w:r>
              <w:t>$220,001–$245,000</w:t>
            </w:r>
          </w:p>
        </w:tc>
        <w:tc>
          <w:tcPr>
            <w:tcW w:w="550" w:type="pct"/>
          </w:tcPr>
          <w:p w:rsidR="008E273C" w:rsidRDefault="008E273C" w:rsidP="001C3A5F">
            <w:pPr>
              <w:pStyle w:val="BodyText"/>
            </w:pPr>
            <w:r>
              <w:t>39</w:t>
            </w:r>
          </w:p>
        </w:tc>
        <w:tc>
          <w:tcPr>
            <w:tcW w:w="400" w:type="pct"/>
          </w:tcPr>
          <w:p w:rsidR="008E273C" w:rsidRDefault="008E273C" w:rsidP="001C3A5F">
            <w:pPr>
              <w:pStyle w:val="BodyText"/>
            </w:pPr>
            <w:r>
              <w:t>168,656</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27,410</w:t>
            </w:r>
          </w:p>
        </w:tc>
        <w:tc>
          <w:tcPr>
            <w:tcW w:w="644" w:type="pct"/>
          </w:tcPr>
          <w:p w:rsidR="008E273C" w:rsidRDefault="008E273C" w:rsidP="001C3A5F">
            <w:pPr>
              <w:pStyle w:val="BodyText"/>
            </w:pPr>
            <w:r>
              <w:t>29,925</w:t>
            </w:r>
          </w:p>
        </w:tc>
        <w:tc>
          <w:tcPr>
            <w:tcW w:w="381" w:type="pct"/>
          </w:tcPr>
          <w:p w:rsidR="008E273C" w:rsidRDefault="008E273C" w:rsidP="001C3A5F">
            <w:pPr>
              <w:pStyle w:val="BodyText"/>
            </w:pPr>
            <w:r>
              <w:t>7,210</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2,073</w:t>
            </w:r>
          </w:p>
        </w:tc>
        <w:tc>
          <w:tcPr>
            <w:tcW w:w="556" w:type="pct"/>
          </w:tcPr>
          <w:p w:rsidR="008E273C" w:rsidRPr="001C3A5F" w:rsidRDefault="008E273C" w:rsidP="001C3A5F">
            <w:pPr>
              <w:pStyle w:val="BodyText"/>
            </w:pPr>
            <w:r w:rsidRPr="001C3A5F">
              <w:rPr>
                <w:rStyle w:val="Bold"/>
                <w:b w:val="0"/>
                <w:bCs w:val="0"/>
                <w:color w:val="auto"/>
              </w:rPr>
              <w:t>235,274</w:t>
            </w:r>
          </w:p>
        </w:tc>
      </w:tr>
      <w:tr w:rsidR="008E273C" w:rsidTr="001C3A5F">
        <w:trPr>
          <w:trHeight w:val="60"/>
        </w:trPr>
        <w:tc>
          <w:tcPr>
            <w:tcW w:w="575" w:type="pct"/>
          </w:tcPr>
          <w:p w:rsidR="008E273C" w:rsidRDefault="008E273C" w:rsidP="001C3A5F">
            <w:pPr>
              <w:pStyle w:val="BodyText"/>
            </w:pPr>
            <w:r>
              <w:t>$245,001–$270,000</w:t>
            </w:r>
          </w:p>
        </w:tc>
        <w:tc>
          <w:tcPr>
            <w:tcW w:w="550" w:type="pct"/>
          </w:tcPr>
          <w:p w:rsidR="008E273C" w:rsidRDefault="008E273C" w:rsidP="001C3A5F">
            <w:pPr>
              <w:pStyle w:val="BodyText"/>
            </w:pPr>
            <w:r>
              <w:t>33</w:t>
            </w:r>
          </w:p>
        </w:tc>
        <w:tc>
          <w:tcPr>
            <w:tcW w:w="400" w:type="pct"/>
          </w:tcPr>
          <w:p w:rsidR="008E273C" w:rsidRDefault="008E273C" w:rsidP="001C3A5F">
            <w:pPr>
              <w:pStyle w:val="BodyText"/>
            </w:pPr>
            <w:r>
              <w:t>186,599</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26,343</w:t>
            </w:r>
          </w:p>
        </w:tc>
        <w:tc>
          <w:tcPr>
            <w:tcW w:w="644" w:type="pct"/>
          </w:tcPr>
          <w:p w:rsidR="008E273C" w:rsidRDefault="008E273C" w:rsidP="001C3A5F">
            <w:pPr>
              <w:pStyle w:val="BodyText"/>
            </w:pPr>
            <w:r>
              <w:t>33,317</w:t>
            </w:r>
          </w:p>
        </w:tc>
        <w:tc>
          <w:tcPr>
            <w:tcW w:w="381" w:type="pct"/>
          </w:tcPr>
          <w:p w:rsidR="008E273C" w:rsidRDefault="008E273C" w:rsidP="001C3A5F">
            <w:pPr>
              <w:pStyle w:val="BodyText"/>
            </w:pPr>
            <w:r>
              <w:t>8,937</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645</w:t>
            </w:r>
          </w:p>
        </w:tc>
        <w:tc>
          <w:tcPr>
            <w:tcW w:w="556" w:type="pct"/>
          </w:tcPr>
          <w:p w:rsidR="008E273C" w:rsidRPr="001C3A5F" w:rsidRDefault="008E273C" w:rsidP="001C3A5F">
            <w:pPr>
              <w:pStyle w:val="BodyText"/>
            </w:pPr>
            <w:r w:rsidRPr="001C3A5F">
              <w:rPr>
                <w:rStyle w:val="Bold"/>
                <w:b w:val="0"/>
                <w:bCs w:val="0"/>
                <w:color w:val="auto"/>
              </w:rPr>
              <w:t>255,841</w:t>
            </w:r>
          </w:p>
        </w:tc>
      </w:tr>
      <w:tr w:rsidR="008E273C" w:rsidTr="001C3A5F">
        <w:trPr>
          <w:trHeight w:val="60"/>
        </w:trPr>
        <w:tc>
          <w:tcPr>
            <w:tcW w:w="575" w:type="pct"/>
          </w:tcPr>
          <w:p w:rsidR="008E273C" w:rsidRDefault="008E273C" w:rsidP="001C3A5F">
            <w:pPr>
              <w:pStyle w:val="BodyText"/>
            </w:pPr>
            <w:r>
              <w:t>$270,001–$295,000</w:t>
            </w:r>
          </w:p>
        </w:tc>
        <w:tc>
          <w:tcPr>
            <w:tcW w:w="550" w:type="pct"/>
          </w:tcPr>
          <w:p w:rsidR="008E273C" w:rsidRDefault="008E273C" w:rsidP="001C3A5F">
            <w:pPr>
              <w:pStyle w:val="BodyText"/>
            </w:pPr>
            <w:r>
              <w:t>30</w:t>
            </w:r>
          </w:p>
        </w:tc>
        <w:tc>
          <w:tcPr>
            <w:tcW w:w="400" w:type="pct"/>
          </w:tcPr>
          <w:p w:rsidR="008E273C" w:rsidRDefault="008E273C" w:rsidP="001C3A5F">
            <w:pPr>
              <w:pStyle w:val="BodyText"/>
            </w:pPr>
            <w:r>
              <w:t>205,948</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25,891</w:t>
            </w:r>
          </w:p>
        </w:tc>
        <w:tc>
          <w:tcPr>
            <w:tcW w:w="644" w:type="pct"/>
          </w:tcPr>
          <w:p w:rsidR="008E273C" w:rsidRDefault="008E273C" w:rsidP="001C3A5F">
            <w:pPr>
              <w:pStyle w:val="BodyText"/>
            </w:pPr>
            <w:r>
              <w:t>35,530</w:t>
            </w:r>
          </w:p>
        </w:tc>
        <w:tc>
          <w:tcPr>
            <w:tcW w:w="381" w:type="pct"/>
          </w:tcPr>
          <w:p w:rsidR="008E273C" w:rsidRDefault="008E273C" w:rsidP="001C3A5F">
            <w:pPr>
              <w:pStyle w:val="BodyText"/>
            </w:pPr>
            <w:r>
              <w:t>9,065</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4,788</w:t>
            </w:r>
          </w:p>
        </w:tc>
        <w:tc>
          <w:tcPr>
            <w:tcW w:w="556" w:type="pct"/>
          </w:tcPr>
          <w:p w:rsidR="008E273C" w:rsidRPr="001C3A5F" w:rsidRDefault="008E273C" w:rsidP="001C3A5F">
            <w:pPr>
              <w:pStyle w:val="BodyText"/>
            </w:pPr>
            <w:r w:rsidRPr="001C3A5F">
              <w:rPr>
                <w:rStyle w:val="Bold"/>
                <w:b w:val="0"/>
                <w:bCs w:val="0"/>
                <w:color w:val="auto"/>
              </w:rPr>
              <w:t>281,222</w:t>
            </w:r>
          </w:p>
        </w:tc>
      </w:tr>
      <w:tr w:rsidR="008E273C" w:rsidTr="001C3A5F">
        <w:trPr>
          <w:trHeight w:val="60"/>
        </w:trPr>
        <w:tc>
          <w:tcPr>
            <w:tcW w:w="575" w:type="pct"/>
          </w:tcPr>
          <w:p w:rsidR="008E273C" w:rsidRDefault="008E273C" w:rsidP="001C3A5F">
            <w:pPr>
              <w:pStyle w:val="BodyText"/>
            </w:pPr>
            <w:r>
              <w:t>$295,001–$320,000</w:t>
            </w:r>
          </w:p>
        </w:tc>
        <w:tc>
          <w:tcPr>
            <w:tcW w:w="550" w:type="pct"/>
          </w:tcPr>
          <w:p w:rsidR="008E273C" w:rsidRDefault="008E273C" w:rsidP="001C3A5F">
            <w:pPr>
              <w:pStyle w:val="BodyText"/>
            </w:pPr>
            <w:r>
              <w:t>17</w:t>
            </w:r>
          </w:p>
        </w:tc>
        <w:tc>
          <w:tcPr>
            <w:tcW w:w="400" w:type="pct"/>
          </w:tcPr>
          <w:p w:rsidR="008E273C" w:rsidRDefault="008E273C" w:rsidP="001C3A5F">
            <w:pPr>
              <w:pStyle w:val="BodyText"/>
            </w:pPr>
            <w:r>
              <w:t>226,049</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28,319</w:t>
            </w:r>
          </w:p>
        </w:tc>
        <w:tc>
          <w:tcPr>
            <w:tcW w:w="644" w:type="pct"/>
          </w:tcPr>
          <w:p w:rsidR="008E273C" w:rsidRDefault="008E273C" w:rsidP="001C3A5F">
            <w:pPr>
              <w:pStyle w:val="BodyText"/>
            </w:pPr>
            <w:r>
              <w:t>40,022</w:t>
            </w:r>
          </w:p>
        </w:tc>
        <w:tc>
          <w:tcPr>
            <w:tcW w:w="381" w:type="pct"/>
          </w:tcPr>
          <w:p w:rsidR="008E273C" w:rsidRDefault="008E273C" w:rsidP="001C3A5F">
            <w:pPr>
              <w:pStyle w:val="BodyText"/>
            </w:pPr>
            <w:r>
              <w:t>11,527</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0</w:t>
            </w:r>
          </w:p>
        </w:tc>
        <w:tc>
          <w:tcPr>
            <w:tcW w:w="556" w:type="pct"/>
          </w:tcPr>
          <w:p w:rsidR="008E273C" w:rsidRPr="001C3A5F" w:rsidRDefault="008E273C" w:rsidP="001C3A5F">
            <w:pPr>
              <w:pStyle w:val="BodyText"/>
            </w:pPr>
            <w:r w:rsidRPr="001C3A5F">
              <w:rPr>
                <w:rStyle w:val="Bold"/>
                <w:b w:val="0"/>
                <w:bCs w:val="0"/>
                <w:color w:val="auto"/>
              </w:rPr>
              <w:t>305,917</w:t>
            </w:r>
          </w:p>
        </w:tc>
      </w:tr>
      <w:tr w:rsidR="008E273C" w:rsidTr="001C3A5F">
        <w:trPr>
          <w:trHeight w:val="60"/>
        </w:trPr>
        <w:tc>
          <w:tcPr>
            <w:tcW w:w="575" w:type="pct"/>
          </w:tcPr>
          <w:p w:rsidR="008E273C" w:rsidRDefault="008E273C" w:rsidP="001C3A5F">
            <w:pPr>
              <w:pStyle w:val="BodyText"/>
            </w:pPr>
            <w:r>
              <w:t>$320,001–$345,000</w:t>
            </w:r>
          </w:p>
        </w:tc>
        <w:tc>
          <w:tcPr>
            <w:tcW w:w="550" w:type="pct"/>
          </w:tcPr>
          <w:p w:rsidR="008E273C" w:rsidRDefault="008E273C" w:rsidP="001C3A5F">
            <w:pPr>
              <w:pStyle w:val="BodyText"/>
            </w:pPr>
            <w:r>
              <w:t>7</w:t>
            </w:r>
          </w:p>
        </w:tc>
        <w:tc>
          <w:tcPr>
            <w:tcW w:w="400" w:type="pct"/>
          </w:tcPr>
          <w:p w:rsidR="008E273C" w:rsidRDefault="008E273C" w:rsidP="001C3A5F">
            <w:pPr>
              <w:pStyle w:val="BodyText"/>
            </w:pPr>
            <w:r>
              <w:t>205,494</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25,293</w:t>
            </w:r>
          </w:p>
        </w:tc>
        <w:tc>
          <w:tcPr>
            <w:tcW w:w="644" w:type="pct"/>
          </w:tcPr>
          <w:p w:rsidR="008E273C" w:rsidRDefault="008E273C" w:rsidP="001C3A5F">
            <w:pPr>
              <w:pStyle w:val="BodyText"/>
            </w:pPr>
            <w:r>
              <w:t>35,625</w:t>
            </w:r>
          </w:p>
        </w:tc>
        <w:tc>
          <w:tcPr>
            <w:tcW w:w="381" w:type="pct"/>
          </w:tcPr>
          <w:p w:rsidR="008E273C" w:rsidRDefault="008E273C" w:rsidP="001C3A5F">
            <w:pPr>
              <w:pStyle w:val="BodyText"/>
            </w:pPr>
            <w:r>
              <w:t>9,132</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53,718</w:t>
            </w:r>
          </w:p>
        </w:tc>
        <w:tc>
          <w:tcPr>
            <w:tcW w:w="556" w:type="pct"/>
          </w:tcPr>
          <w:p w:rsidR="008E273C" w:rsidRPr="001C3A5F" w:rsidRDefault="008E273C" w:rsidP="001C3A5F">
            <w:pPr>
              <w:pStyle w:val="BodyText"/>
            </w:pPr>
            <w:r w:rsidRPr="001C3A5F">
              <w:rPr>
                <w:rStyle w:val="Bold"/>
                <w:b w:val="0"/>
                <w:bCs w:val="0"/>
                <w:color w:val="auto"/>
              </w:rPr>
              <w:t>329,262</w:t>
            </w:r>
          </w:p>
        </w:tc>
      </w:tr>
      <w:tr w:rsidR="008E273C" w:rsidTr="001C3A5F">
        <w:trPr>
          <w:trHeight w:val="60"/>
        </w:trPr>
        <w:tc>
          <w:tcPr>
            <w:tcW w:w="575" w:type="pct"/>
          </w:tcPr>
          <w:p w:rsidR="008E273C" w:rsidRDefault="008E273C" w:rsidP="001C3A5F">
            <w:pPr>
              <w:pStyle w:val="BodyText"/>
            </w:pPr>
            <w:r>
              <w:t>$345,001–$370,000</w:t>
            </w:r>
          </w:p>
        </w:tc>
        <w:tc>
          <w:tcPr>
            <w:tcW w:w="550" w:type="pct"/>
          </w:tcPr>
          <w:p w:rsidR="008E273C" w:rsidRDefault="008E273C" w:rsidP="001C3A5F">
            <w:pPr>
              <w:pStyle w:val="BodyText"/>
            </w:pPr>
            <w:r>
              <w:t>6</w:t>
            </w:r>
          </w:p>
        </w:tc>
        <w:tc>
          <w:tcPr>
            <w:tcW w:w="400" w:type="pct"/>
          </w:tcPr>
          <w:p w:rsidR="008E273C" w:rsidRDefault="008E273C" w:rsidP="001C3A5F">
            <w:pPr>
              <w:pStyle w:val="BodyText"/>
            </w:pPr>
            <w:r>
              <w:t>274,561</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24,889</w:t>
            </w:r>
          </w:p>
        </w:tc>
        <w:tc>
          <w:tcPr>
            <w:tcW w:w="644" w:type="pct"/>
          </w:tcPr>
          <w:p w:rsidR="008E273C" w:rsidRDefault="008E273C" w:rsidP="001C3A5F">
            <w:pPr>
              <w:pStyle w:val="BodyText"/>
            </w:pPr>
            <w:r>
              <w:t>45,490</w:t>
            </w:r>
          </w:p>
        </w:tc>
        <w:tc>
          <w:tcPr>
            <w:tcW w:w="381" w:type="pct"/>
          </w:tcPr>
          <w:p w:rsidR="008E273C" w:rsidRDefault="008E273C" w:rsidP="001C3A5F">
            <w:pPr>
              <w:pStyle w:val="BodyText"/>
            </w:pPr>
            <w:r>
              <w:t>13,840</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0</w:t>
            </w:r>
          </w:p>
        </w:tc>
        <w:tc>
          <w:tcPr>
            <w:tcW w:w="556" w:type="pct"/>
          </w:tcPr>
          <w:p w:rsidR="008E273C" w:rsidRPr="001C3A5F" w:rsidRDefault="008E273C" w:rsidP="001C3A5F">
            <w:pPr>
              <w:pStyle w:val="BodyText"/>
            </w:pPr>
            <w:r w:rsidRPr="001C3A5F">
              <w:rPr>
                <w:rStyle w:val="Bold"/>
                <w:b w:val="0"/>
                <w:bCs w:val="0"/>
                <w:color w:val="auto"/>
              </w:rPr>
              <w:t>358,780</w:t>
            </w:r>
          </w:p>
        </w:tc>
      </w:tr>
      <w:tr w:rsidR="008E273C" w:rsidTr="001C3A5F">
        <w:trPr>
          <w:trHeight w:val="60"/>
        </w:trPr>
        <w:tc>
          <w:tcPr>
            <w:tcW w:w="575" w:type="pct"/>
          </w:tcPr>
          <w:p w:rsidR="008E273C" w:rsidRDefault="008E273C" w:rsidP="001C3A5F">
            <w:pPr>
              <w:pStyle w:val="BodyText"/>
            </w:pPr>
            <w:r>
              <w:t>$370,001–$395,000</w:t>
            </w:r>
          </w:p>
        </w:tc>
        <w:tc>
          <w:tcPr>
            <w:tcW w:w="550" w:type="pct"/>
          </w:tcPr>
          <w:p w:rsidR="008E273C" w:rsidRDefault="008E273C" w:rsidP="001C3A5F">
            <w:pPr>
              <w:pStyle w:val="BodyText"/>
            </w:pPr>
            <w:r>
              <w:t>6</w:t>
            </w:r>
          </w:p>
        </w:tc>
        <w:tc>
          <w:tcPr>
            <w:tcW w:w="400" w:type="pct"/>
          </w:tcPr>
          <w:p w:rsidR="008E273C" w:rsidRDefault="008E273C" w:rsidP="001C3A5F">
            <w:pPr>
              <w:pStyle w:val="BodyText"/>
            </w:pPr>
            <w:r>
              <w:t>277,493</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25,246</w:t>
            </w:r>
          </w:p>
        </w:tc>
        <w:tc>
          <w:tcPr>
            <w:tcW w:w="644" w:type="pct"/>
          </w:tcPr>
          <w:p w:rsidR="008E273C" w:rsidRDefault="008E273C" w:rsidP="001C3A5F">
            <w:pPr>
              <w:pStyle w:val="BodyText"/>
            </w:pPr>
            <w:r>
              <w:t>47,993</w:t>
            </w:r>
          </w:p>
        </w:tc>
        <w:tc>
          <w:tcPr>
            <w:tcW w:w="381" w:type="pct"/>
          </w:tcPr>
          <w:p w:rsidR="008E273C" w:rsidRDefault="008E273C" w:rsidP="001C3A5F">
            <w:pPr>
              <w:pStyle w:val="BodyText"/>
            </w:pPr>
            <w:r>
              <w:t>12,796</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16,562</w:t>
            </w:r>
          </w:p>
        </w:tc>
        <w:tc>
          <w:tcPr>
            <w:tcW w:w="556" w:type="pct"/>
          </w:tcPr>
          <w:p w:rsidR="008E273C" w:rsidRPr="001C3A5F" w:rsidRDefault="008E273C" w:rsidP="001C3A5F">
            <w:pPr>
              <w:pStyle w:val="BodyText"/>
            </w:pPr>
            <w:r w:rsidRPr="001C3A5F">
              <w:rPr>
                <w:rStyle w:val="Bold"/>
                <w:b w:val="0"/>
                <w:bCs w:val="0"/>
                <w:color w:val="auto"/>
              </w:rPr>
              <w:t>380,090</w:t>
            </w:r>
          </w:p>
        </w:tc>
      </w:tr>
      <w:tr w:rsidR="008E273C" w:rsidTr="001C3A5F">
        <w:trPr>
          <w:trHeight w:val="376"/>
        </w:trPr>
        <w:tc>
          <w:tcPr>
            <w:tcW w:w="575" w:type="pct"/>
          </w:tcPr>
          <w:p w:rsidR="008E273C" w:rsidRDefault="008E273C" w:rsidP="001C3A5F">
            <w:pPr>
              <w:pStyle w:val="BodyText"/>
            </w:pPr>
            <w:r>
              <w:lastRenderedPageBreak/>
              <w:t>$395,001–$420,000</w:t>
            </w:r>
          </w:p>
        </w:tc>
        <w:tc>
          <w:tcPr>
            <w:tcW w:w="550" w:type="pct"/>
          </w:tcPr>
          <w:p w:rsidR="008E273C" w:rsidRDefault="008E273C" w:rsidP="001C3A5F">
            <w:pPr>
              <w:pStyle w:val="BodyText"/>
            </w:pPr>
            <w:r>
              <w:t>3</w:t>
            </w:r>
          </w:p>
        </w:tc>
        <w:tc>
          <w:tcPr>
            <w:tcW w:w="400" w:type="pct"/>
          </w:tcPr>
          <w:p w:rsidR="008E273C" w:rsidRDefault="008E273C" w:rsidP="001C3A5F">
            <w:pPr>
              <w:pStyle w:val="BodyText"/>
            </w:pPr>
            <w:r>
              <w:t>259,229</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26,924</w:t>
            </w:r>
          </w:p>
        </w:tc>
        <w:tc>
          <w:tcPr>
            <w:tcW w:w="644" w:type="pct"/>
          </w:tcPr>
          <w:p w:rsidR="008E273C" w:rsidRDefault="008E273C" w:rsidP="001C3A5F">
            <w:pPr>
              <w:pStyle w:val="BodyText"/>
            </w:pPr>
            <w:r>
              <w:t>41,664</w:t>
            </w:r>
          </w:p>
        </w:tc>
        <w:tc>
          <w:tcPr>
            <w:tcW w:w="381" w:type="pct"/>
          </w:tcPr>
          <w:p w:rsidR="008E273C" w:rsidRDefault="008E273C" w:rsidP="001C3A5F">
            <w:pPr>
              <w:pStyle w:val="BodyText"/>
            </w:pPr>
            <w:r>
              <w:t>12,181</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59,502</w:t>
            </w:r>
          </w:p>
        </w:tc>
        <w:tc>
          <w:tcPr>
            <w:tcW w:w="556" w:type="pct"/>
          </w:tcPr>
          <w:p w:rsidR="008E273C" w:rsidRPr="001C3A5F" w:rsidRDefault="008E273C" w:rsidP="001C3A5F">
            <w:pPr>
              <w:pStyle w:val="BodyText"/>
            </w:pPr>
            <w:r w:rsidRPr="001C3A5F">
              <w:rPr>
                <w:rStyle w:val="Bold"/>
                <w:b w:val="0"/>
                <w:bCs w:val="0"/>
                <w:color w:val="auto"/>
              </w:rPr>
              <w:t>399,500</w:t>
            </w:r>
          </w:p>
        </w:tc>
      </w:tr>
      <w:tr w:rsidR="008E273C" w:rsidTr="001C3A5F">
        <w:trPr>
          <w:trHeight w:val="60"/>
        </w:trPr>
        <w:tc>
          <w:tcPr>
            <w:tcW w:w="575" w:type="pct"/>
          </w:tcPr>
          <w:p w:rsidR="008E273C" w:rsidRDefault="008E273C" w:rsidP="001C3A5F">
            <w:pPr>
              <w:pStyle w:val="BodyText"/>
            </w:pPr>
            <w:r>
              <w:t>$445,001–$470,000</w:t>
            </w:r>
          </w:p>
        </w:tc>
        <w:tc>
          <w:tcPr>
            <w:tcW w:w="550" w:type="pct"/>
          </w:tcPr>
          <w:p w:rsidR="008E273C" w:rsidRDefault="008E273C" w:rsidP="001C3A5F">
            <w:pPr>
              <w:pStyle w:val="BodyText"/>
            </w:pPr>
            <w:r>
              <w:t>2</w:t>
            </w:r>
          </w:p>
        </w:tc>
        <w:tc>
          <w:tcPr>
            <w:tcW w:w="400" w:type="pct"/>
          </w:tcPr>
          <w:p w:rsidR="008E273C" w:rsidRDefault="008E273C" w:rsidP="001C3A5F">
            <w:pPr>
              <w:pStyle w:val="BodyText"/>
            </w:pPr>
            <w:r>
              <w:t>358,204</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28,634</w:t>
            </w:r>
          </w:p>
        </w:tc>
        <w:tc>
          <w:tcPr>
            <w:tcW w:w="644" w:type="pct"/>
          </w:tcPr>
          <w:p w:rsidR="008E273C" w:rsidRDefault="008E273C" w:rsidP="001C3A5F">
            <w:pPr>
              <w:pStyle w:val="BodyText"/>
            </w:pPr>
            <w:r>
              <w:t>62,339</w:t>
            </w:r>
          </w:p>
        </w:tc>
        <w:tc>
          <w:tcPr>
            <w:tcW w:w="381" w:type="pct"/>
          </w:tcPr>
          <w:p w:rsidR="008E273C" w:rsidRDefault="008E273C" w:rsidP="001C3A5F">
            <w:pPr>
              <w:pStyle w:val="BodyText"/>
            </w:pPr>
            <w:r>
              <w:t>12,013</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0</w:t>
            </w:r>
          </w:p>
        </w:tc>
        <w:tc>
          <w:tcPr>
            <w:tcW w:w="556" w:type="pct"/>
          </w:tcPr>
          <w:p w:rsidR="008E273C" w:rsidRPr="001C3A5F" w:rsidRDefault="008E273C" w:rsidP="001C3A5F">
            <w:pPr>
              <w:pStyle w:val="BodyText"/>
            </w:pPr>
            <w:r w:rsidRPr="001C3A5F">
              <w:rPr>
                <w:rStyle w:val="Bold"/>
                <w:b w:val="0"/>
                <w:bCs w:val="0"/>
                <w:color w:val="auto"/>
              </w:rPr>
              <w:t>461,190</w:t>
            </w:r>
          </w:p>
        </w:tc>
      </w:tr>
      <w:tr w:rsidR="008E273C" w:rsidTr="001C3A5F">
        <w:trPr>
          <w:trHeight w:val="60"/>
        </w:trPr>
        <w:tc>
          <w:tcPr>
            <w:tcW w:w="575" w:type="pct"/>
          </w:tcPr>
          <w:p w:rsidR="008E273C" w:rsidRDefault="008E273C" w:rsidP="001C3A5F">
            <w:pPr>
              <w:pStyle w:val="BodyText"/>
            </w:pPr>
            <w:r>
              <w:t>$495,001–$520,000</w:t>
            </w:r>
          </w:p>
        </w:tc>
        <w:tc>
          <w:tcPr>
            <w:tcW w:w="550" w:type="pct"/>
          </w:tcPr>
          <w:p w:rsidR="008E273C" w:rsidRDefault="008E273C" w:rsidP="001C3A5F">
            <w:pPr>
              <w:pStyle w:val="BodyText"/>
            </w:pPr>
            <w:r>
              <w:t>1</w:t>
            </w:r>
          </w:p>
        </w:tc>
        <w:tc>
          <w:tcPr>
            <w:tcW w:w="400" w:type="pct"/>
          </w:tcPr>
          <w:p w:rsidR="008E273C" w:rsidRDefault="008E273C" w:rsidP="001C3A5F">
            <w:pPr>
              <w:pStyle w:val="BodyText"/>
            </w:pPr>
            <w:r>
              <w:t>403,535</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29,608</w:t>
            </w:r>
          </w:p>
        </w:tc>
        <w:tc>
          <w:tcPr>
            <w:tcW w:w="644" w:type="pct"/>
          </w:tcPr>
          <w:p w:rsidR="008E273C" w:rsidRDefault="008E273C" w:rsidP="001C3A5F">
            <w:pPr>
              <w:pStyle w:val="BodyText"/>
            </w:pPr>
            <w:r>
              <w:t>59,076</w:t>
            </w:r>
          </w:p>
        </w:tc>
        <w:tc>
          <w:tcPr>
            <w:tcW w:w="381" w:type="pct"/>
          </w:tcPr>
          <w:p w:rsidR="008E273C" w:rsidRDefault="008E273C" w:rsidP="001C3A5F">
            <w:pPr>
              <w:pStyle w:val="BodyText"/>
            </w:pPr>
            <w:r>
              <w:t>13,411</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0</w:t>
            </w:r>
          </w:p>
        </w:tc>
        <w:tc>
          <w:tcPr>
            <w:tcW w:w="556" w:type="pct"/>
          </w:tcPr>
          <w:p w:rsidR="008E273C" w:rsidRPr="001C3A5F" w:rsidRDefault="008E273C" w:rsidP="001C3A5F">
            <w:pPr>
              <w:pStyle w:val="BodyText"/>
            </w:pPr>
            <w:r w:rsidRPr="001C3A5F">
              <w:rPr>
                <w:rStyle w:val="Bold"/>
                <w:b w:val="0"/>
                <w:bCs w:val="0"/>
                <w:color w:val="auto"/>
              </w:rPr>
              <w:t>505,630</w:t>
            </w:r>
          </w:p>
        </w:tc>
      </w:tr>
      <w:tr w:rsidR="008E273C" w:rsidTr="001C3A5F">
        <w:trPr>
          <w:trHeight w:val="60"/>
        </w:trPr>
        <w:tc>
          <w:tcPr>
            <w:tcW w:w="575" w:type="pct"/>
          </w:tcPr>
          <w:p w:rsidR="008E273C" w:rsidRPr="001C3A5F" w:rsidRDefault="008E273C" w:rsidP="001C3A5F">
            <w:pPr>
              <w:pStyle w:val="BodyText"/>
              <w:rPr>
                <w:b/>
              </w:rPr>
            </w:pPr>
            <w:r w:rsidRPr="001C3A5F">
              <w:rPr>
                <w:rStyle w:val="Bold"/>
                <w:bCs w:val="0"/>
                <w:color w:val="auto"/>
              </w:rPr>
              <w:t xml:space="preserve">Total </w:t>
            </w:r>
          </w:p>
        </w:tc>
        <w:tc>
          <w:tcPr>
            <w:tcW w:w="550" w:type="pct"/>
          </w:tcPr>
          <w:p w:rsidR="008E273C" w:rsidRPr="001C3A5F" w:rsidRDefault="008E273C" w:rsidP="001C3A5F">
            <w:pPr>
              <w:pStyle w:val="BodyText"/>
              <w:rPr>
                <w:b/>
              </w:rPr>
            </w:pPr>
            <w:r w:rsidRPr="001C3A5F">
              <w:rPr>
                <w:rStyle w:val="Bold"/>
                <w:bCs w:val="0"/>
                <w:color w:val="auto"/>
              </w:rPr>
              <w:t>186</w:t>
            </w:r>
          </w:p>
        </w:tc>
        <w:tc>
          <w:tcPr>
            <w:tcW w:w="400" w:type="pct"/>
          </w:tcPr>
          <w:p w:rsidR="008E273C" w:rsidRPr="001C3A5F" w:rsidRDefault="008E273C" w:rsidP="001C3A5F">
            <w:pPr>
              <w:pStyle w:val="BodyText"/>
              <w:rPr>
                <w:b/>
              </w:rPr>
            </w:pPr>
          </w:p>
        </w:tc>
        <w:tc>
          <w:tcPr>
            <w:tcW w:w="394" w:type="pct"/>
          </w:tcPr>
          <w:p w:rsidR="008E273C" w:rsidRPr="001C3A5F" w:rsidRDefault="008E273C" w:rsidP="001C3A5F">
            <w:pPr>
              <w:pStyle w:val="BodyText"/>
              <w:rPr>
                <w:b/>
              </w:rPr>
            </w:pPr>
          </w:p>
        </w:tc>
        <w:tc>
          <w:tcPr>
            <w:tcW w:w="538" w:type="pct"/>
          </w:tcPr>
          <w:p w:rsidR="008E273C" w:rsidRPr="001C3A5F" w:rsidRDefault="008E273C" w:rsidP="001C3A5F">
            <w:pPr>
              <w:pStyle w:val="BodyText"/>
              <w:rPr>
                <w:b/>
              </w:rPr>
            </w:pPr>
          </w:p>
        </w:tc>
        <w:tc>
          <w:tcPr>
            <w:tcW w:w="644" w:type="pct"/>
          </w:tcPr>
          <w:p w:rsidR="008E273C" w:rsidRPr="001C3A5F" w:rsidRDefault="008E273C" w:rsidP="001C3A5F">
            <w:pPr>
              <w:pStyle w:val="BodyText"/>
              <w:rPr>
                <w:b/>
              </w:rPr>
            </w:pPr>
          </w:p>
        </w:tc>
        <w:tc>
          <w:tcPr>
            <w:tcW w:w="381" w:type="pct"/>
          </w:tcPr>
          <w:p w:rsidR="008E273C" w:rsidRPr="001C3A5F" w:rsidRDefault="008E273C" w:rsidP="001C3A5F">
            <w:pPr>
              <w:pStyle w:val="BodyText"/>
              <w:rPr>
                <w:b/>
              </w:rPr>
            </w:pPr>
          </w:p>
        </w:tc>
        <w:tc>
          <w:tcPr>
            <w:tcW w:w="444" w:type="pct"/>
          </w:tcPr>
          <w:p w:rsidR="008E273C" w:rsidRPr="001C3A5F" w:rsidRDefault="008E273C" w:rsidP="001C3A5F">
            <w:pPr>
              <w:pStyle w:val="BodyText"/>
              <w:rPr>
                <w:b/>
              </w:rPr>
            </w:pPr>
          </w:p>
        </w:tc>
        <w:tc>
          <w:tcPr>
            <w:tcW w:w="519" w:type="pct"/>
          </w:tcPr>
          <w:p w:rsidR="008E273C" w:rsidRPr="001C3A5F" w:rsidRDefault="008E273C" w:rsidP="001C3A5F">
            <w:pPr>
              <w:pStyle w:val="BodyText"/>
              <w:rPr>
                <w:b/>
              </w:rPr>
            </w:pPr>
          </w:p>
        </w:tc>
        <w:tc>
          <w:tcPr>
            <w:tcW w:w="556" w:type="pct"/>
          </w:tcPr>
          <w:p w:rsidR="008E273C" w:rsidRPr="001C3A5F" w:rsidRDefault="008E273C" w:rsidP="001C3A5F">
            <w:pPr>
              <w:pStyle w:val="BodyText"/>
              <w:rPr>
                <w:b/>
              </w:rPr>
            </w:pPr>
          </w:p>
        </w:tc>
      </w:tr>
    </w:tbl>
    <w:p w:rsidR="008E273C" w:rsidRDefault="008E273C" w:rsidP="001C3A5F">
      <w:pPr>
        <w:pStyle w:val="BodyText"/>
      </w:pPr>
      <w:r>
        <w:t>(a) Includes base salary, annual leave benefit, bonuses, allowances and other benefits.</w:t>
      </w:r>
    </w:p>
    <w:p w:rsidR="008E273C" w:rsidRDefault="008E273C" w:rsidP="001C3A5F">
      <w:pPr>
        <w:pStyle w:val="BodyText"/>
      </w:pPr>
      <w:r>
        <w:t>(</w:t>
      </w:r>
      <w:proofErr w:type="gramStart"/>
      <w:r>
        <w:t>b</w:t>
      </w:r>
      <w:proofErr w:type="gramEnd"/>
      <w:r>
        <w:t xml:space="preserve">) Includes contributed superannuation depending on the scheme the employee is in. Where an employee is in a defined contribution scheme, such as </w:t>
      </w:r>
      <w:proofErr w:type="spellStart"/>
      <w:r>
        <w:t>PSSap</w:t>
      </w:r>
      <w:proofErr w:type="spellEnd"/>
      <w:r>
        <w:t>, this will be the superannuation amount on the individual’s pay slip. Where an employee is in a defined benefits scheme, such as PSS and CSS, this will include the Notional Employer Contribution Amount and Employer Productivity Superannuation Contribution.</w:t>
      </w:r>
    </w:p>
    <w:p w:rsidR="008E273C" w:rsidRDefault="008E273C" w:rsidP="001C3A5F">
      <w:pPr>
        <w:pStyle w:val="BodyText"/>
      </w:pPr>
      <w:r>
        <w:t>(c) Includes long service leave and the discounting of long service leave.</w:t>
      </w:r>
    </w:p>
    <w:p w:rsidR="008E273C" w:rsidRDefault="008E273C" w:rsidP="001C3A5F">
      <w:pPr>
        <w:pStyle w:val="BodyText"/>
      </w:pPr>
      <w:r>
        <w:t>(d) Includes motor vehicle allowance and other benefits such as the provision of a car park.</w:t>
      </w:r>
    </w:p>
    <w:p w:rsidR="008E273C" w:rsidRDefault="008E273C" w:rsidP="008E273C">
      <w:pPr>
        <w:pStyle w:val="Heading2"/>
      </w:pPr>
      <w:r>
        <w:t>Remuneration for other highly paid staff</w:t>
      </w:r>
    </w:p>
    <w:p w:rsidR="008E273C" w:rsidRDefault="008E273C" w:rsidP="008E273C">
      <w:pPr>
        <w:pStyle w:val="BodyText"/>
      </w:pPr>
      <w:r>
        <w:rPr>
          <w:spacing w:val="-2"/>
        </w:rPr>
        <w:t>Table 78 shows the number of other highly paid staff on remuneration of $225,001 or more during the year ending 30 June 2020.</w:t>
      </w:r>
    </w:p>
    <w:p w:rsidR="008E273C" w:rsidRPr="001C3A5F" w:rsidRDefault="001C3A5F" w:rsidP="001C3A5F">
      <w:pPr>
        <w:pStyle w:val="BodyText"/>
        <w:rPr>
          <w:b/>
        </w:rPr>
      </w:pPr>
      <w:r w:rsidRPr="001C3A5F">
        <w:rPr>
          <w:b/>
        </w:rPr>
        <w:t>Table 78:</w:t>
      </w:r>
      <w:r w:rsidR="008E273C" w:rsidRPr="001C3A5F">
        <w:rPr>
          <w:b/>
        </w:rPr>
        <w:t xml:space="preserve"> Average remuneration for other highly paid staff</w:t>
      </w:r>
    </w:p>
    <w:tbl>
      <w:tblPr>
        <w:tblStyle w:val="TableGrid"/>
        <w:tblW w:w="5000" w:type="pct"/>
        <w:tblLook w:val="0000" w:firstRow="0" w:lastRow="0" w:firstColumn="0" w:lastColumn="0" w:noHBand="0" w:noVBand="0"/>
        <w:tblCaption w:val="Table 78: Average remuneration for other highly paid staff"/>
        <w:tblDescription w:val="Table 78: Average remuneration for other highly paid staff"/>
      </w:tblPr>
      <w:tblGrid>
        <w:gridCol w:w="1365"/>
        <w:gridCol w:w="862"/>
        <w:gridCol w:w="891"/>
        <w:gridCol w:w="919"/>
        <w:gridCol w:w="1274"/>
        <w:gridCol w:w="1499"/>
        <w:gridCol w:w="891"/>
        <w:gridCol w:w="891"/>
        <w:gridCol w:w="1195"/>
        <w:gridCol w:w="1309"/>
      </w:tblGrid>
      <w:tr w:rsidR="008E273C" w:rsidTr="001C3A5F">
        <w:trPr>
          <w:trHeight w:val="60"/>
          <w:tblHeader/>
        </w:trPr>
        <w:tc>
          <w:tcPr>
            <w:tcW w:w="575" w:type="pct"/>
          </w:tcPr>
          <w:p w:rsidR="008E273C" w:rsidRPr="001C3A5F" w:rsidRDefault="008E273C" w:rsidP="001C3A5F">
            <w:pPr>
              <w:pStyle w:val="BodyText"/>
              <w:rPr>
                <w:b/>
              </w:rPr>
            </w:pPr>
            <w:r w:rsidRPr="001C3A5F">
              <w:rPr>
                <w:b/>
              </w:rPr>
              <w:lastRenderedPageBreak/>
              <w:t>Remuneration band</w:t>
            </w:r>
          </w:p>
        </w:tc>
        <w:tc>
          <w:tcPr>
            <w:tcW w:w="550" w:type="pct"/>
          </w:tcPr>
          <w:p w:rsidR="008E273C" w:rsidRPr="001C3A5F" w:rsidRDefault="008E273C" w:rsidP="001C3A5F">
            <w:pPr>
              <w:pStyle w:val="BodyText"/>
              <w:rPr>
                <w:b/>
              </w:rPr>
            </w:pPr>
            <w:r w:rsidRPr="001C3A5F">
              <w:rPr>
                <w:b/>
              </w:rPr>
              <w:t>Number of other highly paid staff</w:t>
            </w:r>
          </w:p>
        </w:tc>
        <w:tc>
          <w:tcPr>
            <w:tcW w:w="1331" w:type="pct"/>
            <w:gridSpan w:val="3"/>
          </w:tcPr>
          <w:p w:rsidR="008E273C" w:rsidRPr="001C3A5F" w:rsidRDefault="008E273C" w:rsidP="001C3A5F">
            <w:pPr>
              <w:pStyle w:val="BodyText"/>
              <w:rPr>
                <w:b/>
              </w:rPr>
            </w:pPr>
            <w:r w:rsidRPr="001C3A5F">
              <w:rPr>
                <w:b/>
              </w:rPr>
              <w:t>Short-term benefits</w:t>
            </w:r>
            <w:r w:rsidRPr="001C3A5F">
              <w:rPr>
                <w:b/>
                <w:vertAlign w:val="superscript"/>
              </w:rPr>
              <w:t>(a)</w:t>
            </w:r>
          </w:p>
        </w:tc>
        <w:tc>
          <w:tcPr>
            <w:tcW w:w="644" w:type="pct"/>
          </w:tcPr>
          <w:p w:rsidR="008E273C" w:rsidRPr="001C3A5F" w:rsidRDefault="008E273C" w:rsidP="001C3A5F">
            <w:pPr>
              <w:pStyle w:val="BodyText"/>
              <w:rPr>
                <w:b/>
              </w:rPr>
            </w:pPr>
            <w:r w:rsidRPr="001C3A5F">
              <w:rPr>
                <w:b/>
              </w:rPr>
              <w:t>Post-employment benefits</w:t>
            </w:r>
            <w:r w:rsidRPr="001C3A5F">
              <w:rPr>
                <w:b/>
                <w:vertAlign w:val="superscript"/>
              </w:rPr>
              <w:t>(b)</w:t>
            </w:r>
          </w:p>
        </w:tc>
        <w:tc>
          <w:tcPr>
            <w:tcW w:w="825" w:type="pct"/>
            <w:gridSpan w:val="2"/>
          </w:tcPr>
          <w:p w:rsidR="008E273C" w:rsidRPr="001C3A5F" w:rsidRDefault="008E273C" w:rsidP="001C3A5F">
            <w:pPr>
              <w:pStyle w:val="BodyText"/>
              <w:rPr>
                <w:b/>
              </w:rPr>
            </w:pPr>
            <w:r w:rsidRPr="001C3A5F">
              <w:rPr>
                <w:b/>
              </w:rPr>
              <w:t>Other long-term benefits</w:t>
            </w:r>
            <w:r w:rsidRPr="001C3A5F">
              <w:rPr>
                <w:b/>
                <w:vertAlign w:val="superscript"/>
              </w:rPr>
              <w:t>(c)</w:t>
            </w:r>
          </w:p>
        </w:tc>
        <w:tc>
          <w:tcPr>
            <w:tcW w:w="519" w:type="pct"/>
          </w:tcPr>
          <w:p w:rsidR="008E273C" w:rsidRPr="001C3A5F" w:rsidRDefault="008E273C" w:rsidP="001C3A5F">
            <w:pPr>
              <w:pStyle w:val="BodyText"/>
              <w:rPr>
                <w:b/>
              </w:rPr>
            </w:pPr>
            <w:r w:rsidRPr="001C3A5F">
              <w:rPr>
                <w:b/>
              </w:rPr>
              <w:t xml:space="preserve">Termination benefits </w:t>
            </w:r>
          </w:p>
        </w:tc>
        <w:tc>
          <w:tcPr>
            <w:tcW w:w="556" w:type="pct"/>
          </w:tcPr>
          <w:p w:rsidR="008E273C" w:rsidRPr="001C3A5F" w:rsidRDefault="008E273C" w:rsidP="001C3A5F">
            <w:pPr>
              <w:pStyle w:val="BodyText"/>
              <w:rPr>
                <w:b/>
              </w:rPr>
            </w:pPr>
            <w:r w:rsidRPr="001C3A5F">
              <w:rPr>
                <w:b/>
              </w:rPr>
              <w:t>Total remuneration</w:t>
            </w:r>
          </w:p>
        </w:tc>
      </w:tr>
      <w:tr w:rsidR="008E273C" w:rsidTr="001C3A5F">
        <w:trPr>
          <w:trHeight w:val="616"/>
          <w:tblHeader/>
        </w:trPr>
        <w:tc>
          <w:tcPr>
            <w:tcW w:w="575" w:type="pct"/>
          </w:tcPr>
          <w:p w:rsidR="008E273C" w:rsidRPr="001C3A5F" w:rsidRDefault="008E273C" w:rsidP="001C3A5F">
            <w:pPr>
              <w:pStyle w:val="BodyText"/>
              <w:rPr>
                <w:b/>
              </w:rPr>
            </w:pPr>
          </w:p>
        </w:tc>
        <w:tc>
          <w:tcPr>
            <w:tcW w:w="550" w:type="pct"/>
          </w:tcPr>
          <w:p w:rsidR="008E273C" w:rsidRPr="001C3A5F" w:rsidRDefault="008E273C" w:rsidP="001C3A5F">
            <w:pPr>
              <w:pStyle w:val="BodyText"/>
              <w:rPr>
                <w:b/>
              </w:rPr>
            </w:pPr>
          </w:p>
        </w:tc>
        <w:tc>
          <w:tcPr>
            <w:tcW w:w="400" w:type="pct"/>
          </w:tcPr>
          <w:p w:rsidR="008E273C" w:rsidRPr="001C3A5F" w:rsidRDefault="008E273C" w:rsidP="001C3A5F">
            <w:pPr>
              <w:pStyle w:val="BodyText"/>
              <w:rPr>
                <w:rStyle w:val="Bold"/>
                <w:bCs w:val="0"/>
                <w:color w:val="auto"/>
              </w:rPr>
            </w:pPr>
            <w:r w:rsidRPr="001C3A5F">
              <w:rPr>
                <w:rStyle w:val="Bold"/>
                <w:bCs w:val="0"/>
                <w:color w:val="auto"/>
              </w:rPr>
              <w:t xml:space="preserve">Average base salary </w:t>
            </w:r>
          </w:p>
          <w:p w:rsidR="008E273C" w:rsidRPr="001C3A5F" w:rsidRDefault="008E273C" w:rsidP="001C3A5F">
            <w:pPr>
              <w:pStyle w:val="BodyText"/>
              <w:rPr>
                <w:b/>
              </w:rPr>
            </w:pPr>
            <w:r w:rsidRPr="001C3A5F">
              <w:rPr>
                <w:rStyle w:val="Bold"/>
                <w:bCs w:val="0"/>
                <w:color w:val="auto"/>
              </w:rPr>
              <w:t>$</w:t>
            </w:r>
          </w:p>
        </w:tc>
        <w:tc>
          <w:tcPr>
            <w:tcW w:w="394" w:type="pct"/>
          </w:tcPr>
          <w:p w:rsidR="008E273C" w:rsidRPr="001C3A5F" w:rsidRDefault="008E273C" w:rsidP="001C3A5F">
            <w:pPr>
              <w:pStyle w:val="BodyText"/>
              <w:rPr>
                <w:rStyle w:val="Bold"/>
                <w:bCs w:val="0"/>
                <w:color w:val="auto"/>
              </w:rPr>
            </w:pPr>
            <w:r w:rsidRPr="001C3A5F">
              <w:rPr>
                <w:rStyle w:val="Bold"/>
                <w:bCs w:val="0"/>
                <w:color w:val="auto"/>
              </w:rPr>
              <w:t>Average bonuses</w:t>
            </w:r>
          </w:p>
          <w:p w:rsidR="008E273C" w:rsidRPr="001C3A5F" w:rsidRDefault="008E273C" w:rsidP="001C3A5F">
            <w:pPr>
              <w:pStyle w:val="BodyText"/>
              <w:rPr>
                <w:b/>
              </w:rPr>
            </w:pPr>
            <w:r w:rsidRPr="001C3A5F">
              <w:rPr>
                <w:rStyle w:val="Bold"/>
                <w:bCs w:val="0"/>
                <w:color w:val="auto"/>
              </w:rPr>
              <w:t>$</w:t>
            </w:r>
          </w:p>
        </w:tc>
        <w:tc>
          <w:tcPr>
            <w:tcW w:w="538" w:type="pct"/>
          </w:tcPr>
          <w:p w:rsidR="008E273C" w:rsidRPr="001C3A5F" w:rsidRDefault="008E273C" w:rsidP="001C3A5F">
            <w:pPr>
              <w:pStyle w:val="BodyText"/>
              <w:rPr>
                <w:rStyle w:val="Bold"/>
                <w:bCs w:val="0"/>
                <w:color w:val="auto"/>
              </w:rPr>
            </w:pPr>
            <w:r w:rsidRPr="001C3A5F">
              <w:rPr>
                <w:rStyle w:val="Bold"/>
                <w:bCs w:val="0"/>
                <w:color w:val="auto"/>
              </w:rPr>
              <w:t>Average other benefits and allowances</w:t>
            </w:r>
            <w:r w:rsidRPr="001C3A5F">
              <w:rPr>
                <w:rStyle w:val="Bold"/>
                <w:bCs w:val="0"/>
                <w:color w:val="auto"/>
                <w:vertAlign w:val="superscript"/>
              </w:rPr>
              <w:t>(d)</w:t>
            </w:r>
            <w:r w:rsidRPr="001C3A5F">
              <w:rPr>
                <w:rStyle w:val="Bold"/>
                <w:bCs w:val="0"/>
                <w:color w:val="auto"/>
              </w:rPr>
              <w:t xml:space="preserve"> </w:t>
            </w:r>
          </w:p>
          <w:p w:rsidR="008E273C" w:rsidRPr="001C3A5F" w:rsidRDefault="008E273C" w:rsidP="001C3A5F">
            <w:pPr>
              <w:pStyle w:val="BodyText"/>
              <w:rPr>
                <w:b/>
              </w:rPr>
            </w:pPr>
            <w:r w:rsidRPr="001C3A5F">
              <w:rPr>
                <w:rStyle w:val="Bold"/>
                <w:bCs w:val="0"/>
                <w:color w:val="auto"/>
              </w:rPr>
              <w:t>$</w:t>
            </w:r>
          </w:p>
        </w:tc>
        <w:tc>
          <w:tcPr>
            <w:tcW w:w="644" w:type="pct"/>
          </w:tcPr>
          <w:p w:rsidR="008E273C" w:rsidRPr="001C3A5F" w:rsidRDefault="008E273C" w:rsidP="001C3A5F">
            <w:pPr>
              <w:pStyle w:val="BodyText"/>
              <w:rPr>
                <w:rStyle w:val="Bold"/>
                <w:bCs w:val="0"/>
                <w:color w:val="auto"/>
              </w:rPr>
            </w:pPr>
            <w:r w:rsidRPr="001C3A5F">
              <w:rPr>
                <w:rStyle w:val="Bold"/>
                <w:bCs w:val="0"/>
                <w:color w:val="auto"/>
              </w:rPr>
              <w:t>Average superannuation contributions</w:t>
            </w:r>
          </w:p>
          <w:p w:rsidR="008E273C" w:rsidRPr="001C3A5F" w:rsidRDefault="008E273C" w:rsidP="001C3A5F">
            <w:pPr>
              <w:pStyle w:val="BodyText"/>
              <w:rPr>
                <w:b/>
              </w:rPr>
            </w:pPr>
            <w:r w:rsidRPr="001C3A5F">
              <w:rPr>
                <w:rStyle w:val="Bold"/>
                <w:bCs w:val="0"/>
                <w:color w:val="auto"/>
              </w:rPr>
              <w:t>$</w:t>
            </w:r>
          </w:p>
        </w:tc>
        <w:tc>
          <w:tcPr>
            <w:tcW w:w="381" w:type="pct"/>
          </w:tcPr>
          <w:p w:rsidR="008E273C" w:rsidRPr="001C3A5F" w:rsidRDefault="008E273C" w:rsidP="001C3A5F">
            <w:pPr>
              <w:pStyle w:val="BodyText"/>
              <w:rPr>
                <w:rStyle w:val="Bold"/>
                <w:bCs w:val="0"/>
                <w:color w:val="auto"/>
              </w:rPr>
            </w:pPr>
            <w:r w:rsidRPr="001C3A5F">
              <w:rPr>
                <w:rStyle w:val="Bold"/>
                <w:bCs w:val="0"/>
                <w:color w:val="auto"/>
              </w:rPr>
              <w:t xml:space="preserve">Average long service leave </w:t>
            </w:r>
          </w:p>
          <w:p w:rsidR="008E273C" w:rsidRPr="001C3A5F" w:rsidRDefault="008E273C" w:rsidP="001C3A5F">
            <w:pPr>
              <w:pStyle w:val="BodyText"/>
              <w:rPr>
                <w:b/>
              </w:rPr>
            </w:pPr>
            <w:r w:rsidRPr="001C3A5F">
              <w:rPr>
                <w:rStyle w:val="Bold"/>
                <w:bCs w:val="0"/>
                <w:color w:val="auto"/>
              </w:rPr>
              <w:t>$</w:t>
            </w:r>
          </w:p>
        </w:tc>
        <w:tc>
          <w:tcPr>
            <w:tcW w:w="444" w:type="pct"/>
          </w:tcPr>
          <w:p w:rsidR="008E273C" w:rsidRPr="001C3A5F" w:rsidRDefault="008E273C" w:rsidP="001C3A5F">
            <w:pPr>
              <w:pStyle w:val="BodyText"/>
              <w:rPr>
                <w:rStyle w:val="Bold"/>
                <w:bCs w:val="0"/>
                <w:color w:val="auto"/>
              </w:rPr>
            </w:pPr>
            <w:r w:rsidRPr="001C3A5F">
              <w:rPr>
                <w:rStyle w:val="Bold"/>
                <w:bCs w:val="0"/>
                <w:color w:val="auto"/>
              </w:rPr>
              <w:t xml:space="preserve">Average other long-term benefits </w:t>
            </w:r>
          </w:p>
          <w:p w:rsidR="008E273C" w:rsidRPr="001C3A5F" w:rsidRDefault="008E273C" w:rsidP="001C3A5F">
            <w:pPr>
              <w:pStyle w:val="BodyText"/>
              <w:rPr>
                <w:b/>
              </w:rPr>
            </w:pPr>
            <w:r w:rsidRPr="001C3A5F">
              <w:rPr>
                <w:rStyle w:val="Bold"/>
                <w:bCs w:val="0"/>
                <w:color w:val="auto"/>
              </w:rPr>
              <w:t>$</w:t>
            </w:r>
          </w:p>
        </w:tc>
        <w:tc>
          <w:tcPr>
            <w:tcW w:w="519" w:type="pct"/>
          </w:tcPr>
          <w:p w:rsidR="008E273C" w:rsidRPr="001C3A5F" w:rsidRDefault="008E273C" w:rsidP="001C3A5F">
            <w:pPr>
              <w:pStyle w:val="BodyText"/>
              <w:rPr>
                <w:rStyle w:val="Bold"/>
                <w:bCs w:val="0"/>
                <w:color w:val="auto"/>
              </w:rPr>
            </w:pPr>
            <w:r w:rsidRPr="001C3A5F">
              <w:rPr>
                <w:rStyle w:val="Bold"/>
                <w:bCs w:val="0"/>
                <w:color w:val="auto"/>
              </w:rPr>
              <w:t>Average termination benefits</w:t>
            </w:r>
          </w:p>
          <w:p w:rsidR="008E273C" w:rsidRPr="001C3A5F" w:rsidRDefault="008E273C" w:rsidP="001C3A5F">
            <w:pPr>
              <w:pStyle w:val="BodyText"/>
              <w:rPr>
                <w:b/>
              </w:rPr>
            </w:pPr>
            <w:r w:rsidRPr="001C3A5F">
              <w:rPr>
                <w:rStyle w:val="Bold"/>
                <w:bCs w:val="0"/>
                <w:color w:val="auto"/>
              </w:rPr>
              <w:t>$</w:t>
            </w:r>
          </w:p>
        </w:tc>
        <w:tc>
          <w:tcPr>
            <w:tcW w:w="556" w:type="pct"/>
          </w:tcPr>
          <w:p w:rsidR="008E273C" w:rsidRPr="001C3A5F" w:rsidRDefault="008E273C" w:rsidP="001C3A5F">
            <w:pPr>
              <w:pStyle w:val="BodyText"/>
              <w:rPr>
                <w:b/>
              </w:rPr>
            </w:pPr>
            <w:r w:rsidRPr="001C3A5F">
              <w:rPr>
                <w:rStyle w:val="Bold"/>
                <w:bCs w:val="0"/>
                <w:color w:val="auto"/>
              </w:rPr>
              <w:t>Average total remuneration $</w:t>
            </w:r>
          </w:p>
        </w:tc>
      </w:tr>
      <w:tr w:rsidR="008E273C" w:rsidTr="001C3A5F">
        <w:trPr>
          <w:trHeight w:val="60"/>
        </w:trPr>
        <w:tc>
          <w:tcPr>
            <w:tcW w:w="575" w:type="pct"/>
          </w:tcPr>
          <w:p w:rsidR="008E273C" w:rsidRDefault="008E273C" w:rsidP="001C3A5F">
            <w:pPr>
              <w:pStyle w:val="BodyText"/>
            </w:pPr>
            <w:r>
              <w:t>$225,001–$250,000</w:t>
            </w:r>
          </w:p>
        </w:tc>
        <w:tc>
          <w:tcPr>
            <w:tcW w:w="550" w:type="pct"/>
          </w:tcPr>
          <w:p w:rsidR="008E273C" w:rsidRDefault="008E273C" w:rsidP="001C3A5F">
            <w:pPr>
              <w:pStyle w:val="BodyText"/>
            </w:pPr>
            <w:r>
              <w:t>15</w:t>
            </w:r>
          </w:p>
        </w:tc>
        <w:tc>
          <w:tcPr>
            <w:tcW w:w="400" w:type="pct"/>
          </w:tcPr>
          <w:p w:rsidR="008E273C" w:rsidRDefault="008E273C" w:rsidP="001C3A5F">
            <w:pPr>
              <w:pStyle w:val="BodyText"/>
            </w:pPr>
            <w:r>
              <w:t>158,771</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15,097</w:t>
            </w:r>
          </w:p>
        </w:tc>
        <w:tc>
          <w:tcPr>
            <w:tcW w:w="644" w:type="pct"/>
          </w:tcPr>
          <w:p w:rsidR="008E273C" w:rsidRDefault="008E273C" w:rsidP="001C3A5F">
            <w:pPr>
              <w:pStyle w:val="BodyText"/>
            </w:pPr>
            <w:r>
              <w:t>25,700</w:t>
            </w:r>
          </w:p>
        </w:tc>
        <w:tc>
          <w:tcPr>
            <w:tcW w:w="381" w:type="pct"/>
          </w:tcPr>
          <w:p w:rsidR="008E273C" w:rsidRDefault="008E273C" w:rsidP="001C3A5F">
            <w:pPr>
              <w:pStyle w:val="BodyText"/>
            </w:pPr>
            <w:r>
              <w:t>7,035</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27,165</w:t>
            </w:r>
          </w:p>
        </w:tc>
        <w:tc>
          <w:tcPr>
            <w:tcW w:w="556" w:type="pct"/>
          </w:tcPr>
          <w:p w:rsidR="008E273C" w:rsidRPr="001C3A5F" w:rsidRDefault="008E273C" w:rsidP="001C3A5F">
            <w:pPr>
              <w:pStyle w:val="BodyText"/>
            </w:pPr>
            <w:r w:rsidRPr="001C3A5F">
              <w:rPr>
                <w:rStyle w:val="Bold"/>
                <w:b w:val="0"/>
                <w:bCs w:val="0"/>
                <w:color w:val="auto"/>
              </w:rPr>
              <w:t>233,768</w:t>
            </w:r>
          </w:p>
        </w:tc>
      </w:tr>
      <w:tr w:rsidR="008E273C" w:rsidTr="001C3A5F">
        <w:trPr>
          <w:trHeight w:val="305"/>
        </w:trPr>
        <w:tc>
          <w:tcPr>
            <w:tcW w:w="575" w:type="pct"/>
          </w:tcPr>
          <w:p w:rsidR="008E273C" w:rsidRDefault="008E273C" w:rsidP="001C3A5F">
            <w:pPr>
              <w:pStyle w:val="BodyText"/>
            </w:pPr>
            <w:r>
              <w:t>$250,001–$275,000</w:t>
            </w:r>
          </w:p>
        </w:tc>
        <w:tc>
          <w:tcPr>
            <w:tcW w:w="550" w:type="pct"/>
          </w:tcPr>
          <w:p w:rsidR="008E273C" w:rsidRDefault="008E273C" w:rsidP="001C3A5F">
            <w:pPr>
              <w:pStyle w:val="BodyText"/>
            </w:pPr>
            <w:r>
              <w:t>13</w:t>
            </w:r>
          </w:p>
        </w:tc>
        <w:tc>
          <w:tcPr>
            <w:tcW w:w="400" w:type="pct"/>
          </w:tcPr>
          <w:p w:rsidR="008E273C" w:rsidRDefault="008E273C" w:rsidP="001C3A5F">
            <w:pPr>
              <w:pStyle w:val="BodyText"/>
            </w:pPr>
            <w:r>
              <w:t>119,306</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82</w:t>
            </w:r>
          </w:p>
        </w:tc>
        <w:tc>
          <w:tcPr>
            <w:tcW w:w="644" w:type="pct"/>
          </w:tcPr>
          <w:p w:rsidR="008E273C" w:rsidRDefault="008E273C" w:rsidP="001C3A5F">
            <w:pPr>
              <w:pStyle w:val="BodyText"/>
            </w:pPr>
            <w:r>
              <w:t>18,883</w:t>
            </w:r>
          </w:p>
        </w:tc>
        <w:tc>
          <w:tcPr>
            <w:tcW w:w="381" w:type="pct"/>
          </w:tcPr>
          <w:p w:rsidR="008E273C" w:rsidRDefault="008E273C" w:rsidP="001C3A5F">
            <w:pPr>
              <w:pStyle w:val="BodyText"/>
            </w:pPr>
            <w:r>
              <w:t>4,041</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118,200</w:t>
            </w:r>
          </w:p>
        </w:tc>
        <w:tc>
          <w:tcPr>
            <w:tcW w:w="556" w:type="pct"/>
          </w:tcPr>
          <w:p w:rsidR="008E273C" w:rsidRPr="001C3A5F" w:rsidRDefault="008E273C" w:rsidP="001C3A5F">
            <w:pPr>
              <w:pStyle w:val="BodyText"/>
            </w:pPr>
            <w:r w:rsidRPr="001C3A5F">
              <w:rPr>
                <w:rStyle w:val="Bold"/>
                <w:b w:val="0"/>
                <w:bCs w:val="0"/>
                <w:color w:val="auto"/>
              </w:rPr>
              <w:t>260,512</w:t>
            </w:r>
          </w:p>
        </w:tc>
      </w:tr>
      <w:tr w:rsidR="008E273C" w:rsidTr="001C3A5F">
        <w:trPr>
          <w:trHeight w:val="60"/>
        </w:trPr>
        <w:tc>
          <w:tcPr>
            <w:tcW w:w="575" w:type="pct"/>
          </w:tcPr>
          <w:p w:rsidR="008E273C" w:rsidRDefault="008E273C" w:rsidP="001C3A5F">
            <w:pPr>
              <w:pStyle w:val="BodyText"/>
            </w:pPr>
            <w:r>
              <w:t>$275,001–$300,000</w:t>
            </w:r>
          </w:p>
        </w:tc>
        <w:tc>
          <w:tcPr>
            <w:tcW w:w="550" w:type="pct"/>
          </w:tcPr>
          <w:p w:rsidR="008E273C" w:rsidRDefault="008E273C" w:rsidP="001C3A5F">
            <w:pPr>
              <w:pStyle w:val="BodyText"/>
            </w:pPr>
            <w:r>
              <w:t>4</w:t>
            </w:r>
          </w:p>
        </w:tc>
        <w:tc>
          <w:tcPr>
            <w:tcW w:w="400" w:type="pct"/>
          </w:tcPr>
          <w:p w:rsidR="008E273C" w:rsidRDefault="008E273C" w:rsidP="001C3A5F">
            <w:pPr>
              <w:pStyle w:val="BodyText"/>
            </w:pPr>
            <w:r>
              <w:t>120,034</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1,651</w:t>
            </w:r>
          </w:p>
        </w:tc>
        <w:tc>
          <w:tcPr>
            <w:tcW w:w="644" w:type="pct"/>
          </w:tcPr>
          <w:p w:rsidR="008E273C" w:rsidRDefault="008E273C" w:rsidP="001C3A5F">
            <w:pPr>
              <w:pStyle w:val="BodyText"/>
            </w:pPr>
            <w:r>
              <w:t>24,270</w:t>
            </w:r>
          </w:p>
        </w:tc>
        <w:tc>
          <w:tcPr>
            <w:tcW w:w="381" w:type="pct"/>
          </w:tcPr>
          <w:p w:rsidR="008E273C" w:rsidRDefault="008E273C" w:rsidP="001C3A5F">
            <w:pPr>
              <w:pStyle w:val="BodyText"/>
            </w:pPr>
            <w:r>
              <w:t>4,225</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134,877</w:t>
            </w:r>
          </w:p>
        </w:tc>
        <w:tc>
          <w:tcPr>
            <w:tcW w:w="556" w:type="pct"/>
          </w:tcPr>
          <w:p w:rsidR="008E273C" w:rsidRPr="001C3A5F" w:rsidRDefault="008E273C" w:rsidP="001C3A5F">
            <w:pPr>
              <w:pStyle w:val="BodyText"/>
            </w:pPr>
            <w:r w:rsidRPr="001C3A5F">
              <w:rPr>
                <w:rStyle w:val="Bold"/>
                <w:b w:val="0"/>
                <w:bCs w:val="0"/>
                <w:color w:val="auto"/>
              </w:rPr>
              <w:t>285,057</w:t>
            </w:r>
          </w:p>
        </w:tc>
      </w:tr>
      <w:tr w:rsidR="008E273C" w:rsidTr="001C3A5F">
        <w:trPr>
          <w:trHeight w:val="60"/>
        </w:trPr>
        <w:tc>
          <w:tcPr>
            <w:tcW w:w="575" w:type="pct"/>
          </w:tcPr>
          <w:p w:rsidR="008E273C" w:rsidRDefault="008E273C" w:rsidP="001C3A5F">
            <w:pPr>
              <w:pStyle w:val="BodyText"/>
            </w:pPr>
            <w:r>
              <w:t>$300,001–$325,000</w:t>
            </w:r>
          </w:p>
        </w:tc>
        <w:tc>
          <w:tcPr>
            <w:tcW w:w="550" w:type="pct"/>
          </w:tcPr>
          <w:p w:rsidR="008E273C" w:rsidRDefault="008E273C" w:rsidP="001C3A5F">
            <w:pPr>
              <w:pStyle w:val="BodyText"/>
            </w:pPr>
            <w:r>
              <w:t>3</w:t>
            </w:r>
          </w:p>
        </w:tc>
        <w:tc>
          <w:tcPr>
            <w:tcW w:w="400" w:type="pct"/>
          </w:tcPr>
          <w:p w:rsidR="008E273C" w:rsidRDefault="008E273C" w:rsidP="001C3A5F">
            <w:pPr>
              <w:pStyle w:val="BodyText"/>
            </w:pPr>
            <w:r>
              <w:t>134,674</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41</w:t>
            </w:r>
          </w:p>
        </w:tc>
        <w:tc>
          <w:tcPr>
            <w:tcW w:w="644" w:type="pct"/>
          </w:tcPr>
          <w:p w:rsidR="008E273C" w:rsidRDefault="008E273C" w:rsidP="001C3A5F">
            <w:pPr>
              <w:pStyle w:val="BodyText"/>
            </w:pPr>
            <w:r>
              <w:t>24,159</w:t>
            </w:r>
          </w:p>
        </w:tc>
        <w:tc>
          <w:tcPr>
            <w:tcW w:w="381" w:type="pct"/>
          </w:tcPr>
          <w:p w:rsidR="008E273C" w:rsidRDefault="008E273C" w:rsidP="001C3A5F">
            <w:pPr>
              <w:pStyle w:val="BodyText"/>
            </w:pPr>
            <w:r>
              <w:t>5,960</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147,439</w:t>
            </w:r>
          </w:p>
        </w:tc>
        <w:tc>
          <w:tcPr>
            <w:tcW w:w="556" w:type="pct"/>
          </w:tcPr>
          <w:p w:rsidR="008E273C" w:rsidRPr="001C3A5F" w:rsidRDefault="008E273C" w:rsidP="001C3A5F">
            <w:pPr>
              <w:pStyle w:val="BodyText"/>
            </w:pPr>
            <w:r w:rsidRPr="001C3A5F">
              <w:rPr>
                <w:rStyle w:val="Bold"/>
                <w:b w:val="0"/>
                <w:bCs w:val="0"/>
                <w:color w:val="auto"/>
              </w:rPr>
              <w:t>312,273</w:t>
            </w:r>
          </w:p>
        </w:tc>
      </w:tr>
      <w:tr w:rsidR="008E273C" w:rsidTr="001C3A5F">
        <w:trPr>
          <w:trHeight w:val="60"/>
        </w:trPr>
        <w:tc>
          <w:tcPr>
            <w:tcW w:w="575" w:type="pct"/>
          </w:tcPr>
          <w:p w:rsidR="008E273C" w:rsidRDefault="008E273C" w:rsidP="001C3A5F">
            <w:pPr>
              <w:pStyle w:val="BodyText"/>
            </w:pPr>
            <w:r>
              <w:t>$325,001–$350,000</w:t>
            </w:r>
          </w:p>
        </w:tc>
        <w:tc>
          <w:tcPr>
            <w:tcW w:w="550" w:type="pct"/>
          </w:tcPr>
          <w:p w:rsidR="008E273C" w:rsidRDefault="008E273C" w:rsidP="001C3A5F">
            <w:pPr>
              <w:pStyle w:val="BodyText"/>
            </w:pPr>
            <w:r>
              <w:t>1</w:t>
            </w:r>
          </w:p>
        </w:tc>
        <w:tc>
          <w:tcPr>
            <w:tcW w:w="400" w:type="pct"/>
          </w:tcPr>
          <w:p w:rsidR="008E273C" w:rsidRDefault="008E273C" w:rsidP="001C3A5F">
            <w:pPr>
              <w:pStyle w:val="BodyText"/>
            </w:pPr>
            <w:r>
              <w:t>150,804</w:t>
            </w:r>
          </w:p>
        </w:tc>
        <w:tc>
          <w:tcPr>
            <w:tcW w:w="394" w:type="pct"/>
          </w:tcPr>
          <w:p w:rsidR="008E273C" w:rsidRDefault="008E273C" w:rsidP="001C3A5F">
            <w:pPr>
              <w:pStyle w:val="BodyText"/>
            </w:pPr>
            <w:r>
              <w:t>0</w:t>
            </w:r>
          </w:p>
        </w:tc>
        <w:tc>
          <w:tcPr>
            <w:tcW w:w="538" w:type="pct"/>
          </w:tcPr>
          <w:p w:rsidR="008E273C" w:rsidRDefault="008E273C" w:rsidP="001C3A5F">
            <w:pPr>
              <w:pStyle w:val="BodyText"/>
            </w:pPr>
            <w:r>
              <w:t>28</w:t>
            </w:r>
          </w:p>
        </w:tc>
        <w:tc>
          <w:tcPr>
            <w:tcW w:w="644" w:type="pct"/>
          </w:tcPr>
          <w:p w:rsidR="008E273C" w:rsidRDefault="008E273C" w:rsidP="001C3A5F">
            <w:pPr>
              <w:pStyle w:val="BodyText"/>
            </w:pPr>
            <w:r>
              <w:t>25,657</w:t>
            </w:r>
          </w:p>
        </w:tc>
        <w:tc>
          <w:tcPr>
            <w:tcW w:w="381" w:type="pct"/>
          </w:tcPr>
          <w:p w:rsidR="008E273C" w:rsidRDefault="008E273C" w:rsidP="001C3A5F">
            <w:pPr>
              <w:pStyle w:val="BodyText"/>
            </w:pPr>
            <w:r>
              <w:t>5,377</w:t>
            </w:r>
          </w:p>
        </w:tc>
        <w:tc>
          <w:tcPr>
            <w:tcW w:w="444" w:type="pct"/>
          </w:tcPr>
          <w:p w:rsidR="008E273C" w:rsidRDefault="008E273C" w:rsidP="001C3A5F">
            <w:pPr>
              <w:pStyle w:val="BodyText"/>
            </w:pPr>
            <w:r>
              <w:t>0</w:t>
            </w:r>
          </w:p>
        </w:tc>
        <w:tc>
          <w:tcPr>
            <w:tcW w:w="519" w:type="pct"/>
          </w:tcPr>
          <w:p w:rsidR="008E273C" w:rsidRDefault="008E273C" w:rsidP="001C3A5F">
            <w:pPr>
              <w:pStyle w:val="BodyText"/>
            </w:pPr>
            <w:r>
              <w:t>151,282</w:t>
            </w:r>
          </w:p>
        </w:tc>
        <w:tc>
          <w:tcPr>
            <w:tcW w:w="556" w:type="pct"/>
          </w:tcPr>
          <w:p w:rsidR="008E273C" w:rsidRPr="001C3A5F" w:rsidRDefault="008E273C" w:rsidP="001C3A5F">
            <w:pPr>
              <w:pStyle w:val="BodyText"/>
            </w:pPr>
            <w:r w:rsidRPr="001C3A5F">
              <w:rPr>
                <w:rStyle w:val="Bold"/>
                <w:b w:val="0"/>
                <w:bCs w:val="0"/>
                <w:color w:val="auto"/>
              </w:rPr>
              <w:t>333,148</w:t>
            </w:r>
          </w:p>
        </w:tc>
      </w:tr>
      <w:tr w:rsidR="008E273C" w:rsidTr="001C3A5F">
        <w:trPr>
          <w:trHeight w:val="60"/>
        </w:trPr>
        <w:tc>
          <w:tcPr>
            <w:tcW w:w="575" w:type="pct"/>
          </w:tcPr>
          <w:p w:rsidR="008E273C" w:rsidRDefault="008E273C" w:rsidP="001C3A5F">
            <w:pPr>
              <w:pStyle w:val="BodyText"/>
            </w:pPr>
            <w:r>
              <w:rPr>
                <w:rStyle w:val="Bold"/>
              </w:rPr>
              <w:t>Total</w:t>
            </w:r>
          </w:p>
        </w:tc>
        <w:tc>
          <w:tcPr>
            <w:tcW w:w="550" w:type="pct"/>
          </w:tcPr>
          <w:p w:rsidR="008E273C" w:rsidRDefault="008E273C" w:rsidP="001C3A5F">
            <w:pPr>
              <w:pStyle w:val="BodyText"/>
            </w:pPr>
            <w:r>
              <w:rPr>
                <w:rStyle w:val="Bold"/>
              </w:rPr>
              <w:t>36</w:t>
            </w:r>
          </w:p>
        </w:tc>
        <w:tc>
          <w:tcPr>
            <w:tcW w:w="400" w:type="pct"/>
          </w:tcPr>
          <w:p w:rsidR="008E273C" w:rsidRPr="001C3A5F" w:rsidRDefault="008E273C" w:rsidP="001C3A5F">
            <w:pPr>
              <w:pStyle w:val="BodyText"/>
            </w:pPr>
          </w:p>
        </w:tc>
        <w:tc>
          <w:tcPr>
            <w:tcW w:w="394" w:type="pct"/>
          </w:tcPr>
          <w:p w:rsidR="008E273C" w:rsidRPr="001C3A5F" w:rsidRDefault="008E273C" w:rsidP="001C3A5F">
            <w:pPr>
              <w:pStyle w:val="BodyText"/>
            </w:pPr>
          </w:p>
        </w:tc>
        <w:tc>
          <w:tcPr>
            <w:tcW w:w="538" w:type="pct"/>
          </w:tcPr>
          <w:p w:rsidR="008E273C" w:rsidRPr="001C3A5F" w:rsidRDefault="008E273C" w:rsidP="001C3A5F">
            <w:pPr>
              <w:pStyle w:val="BodyText"/>
            </w:pPr>
          </w:p>
        </w:tc>
        <w:tc>
          <w:tcPr>
            <w:tcW w:w="644" w:type="pct"/>
          </w:tcPr>
          <w:p w:rsidR="008E273C" w:rsidRPr="001C3A5F" w:rsidRDefault="008E273C" w:rsidP="001C3A5F">
            <w:pPr>
              <w:pStyle w:val="BodyText"/>
            </w:pPr>
          </w:p>
        </w:tc>
        <w:tc>
          <w:tcPr>
            <w:tcW w:w="381" w:type="pct"/>
          </w:tcPr>
          <w:p w:rsidR="008E273C" w:rsidRPr="001C3A5F" w:rsidRDefault="008E273C" w:rsidP="001C3A5F">
            <w:pPr>
              <w:pStyle w:val="BodyText"/>
            </w:pPr>
          </w:p>
        </w:tc>
        <w:tc>
          <w:tcPr>
            <w:tcW w:w="444" w:type="pct"/>
          </w:tcPr>
          <w:p w:rsidR="008E273C" w:rsidRPr="001C3A5F" w:rsidRDefault="008E273C" w:rsidP="001C3A5F">
            <w:pPr>
              <w:pStyle w:val="BodyText"/>
            </w:pPr>
          </w:p>
        </w:tc>
        <w:tc>
          <w:tcPr>
            <w:tcW w:w="519" w:type="pct"/>
          </w:tcPr>
          <w:p w:rsidR="008E273C" w:rsidRPr="001C3A5F" w:rsidRDefault="008E273C" w:rsidP="001C3A5F">
            <w:pPr>
              <w:pStyle w:val="BodyText"/>
            </w:pPr>
          </w:p>
        </w:tc>
        <w:tc>
          <w:tcPr>
            <w:tcW w:w="556" w:type="pct"/>
          </w:tcPr>
          <w:p w:rsidR="008E273C" w:rsidRPr="001C3A5F" w:rsidRDefault="008E273C" w:rsidP="001C3A5F">
            <w:pPr>
              <w:pStyle w:val="BodyText"/>
            </w:pPr>
          </w:p>
        </w:tc>
      </w:tr>
    </w:tbl>
    <w:p w:rsidR="008E273C" w:rsidRDefault="008E273C" w:rsidP="001C3A5F">
      <w:pPr>
        <w:pStyle w:val="BodyText"/>
      </w:pPr>
      <w:r>
        <w:t>(a) Includes base salary, annual leave benefit, bonus, allowances and other benefits.</w:t>
      </w:r>
    </w:p>
    <w:p w:rsidR="008E273C" w:rsidRDefault="008E273C" w:rsidP="001C3A5F">
      <w:pPr>
        <w:pStyle w:val="BodyText"/>
      </w:pPr>
      <w:r>
        <w:t>(</w:t>
      </w:r>
      <w:proofErr w:type="gramStart"/>
      <w:r>
        <w:t>b</w:t>
      </w:r>
      <w:proofErr w:type="gramEnd"/>
      <w:r>
        <w:t xml:space="preserve">) Includes contributed superannuation depending on the scheme the employee is in. Where an employee is in a defined contribution scheme, such as </w:t>
      </w:r>
      <w:proofErr w:type="spellStart"/>
      <w:r>
        <w:t>PSSap</w:t>
      </w:r>
      <w:proofErr w:type="spellEnd"/>
      <w:r>
        <w:t>, this will be the superannuation amount on the individual’s pay slip. Where an employee is in a defined benefits scheme, such as PSS and CSS, this will include the Notional Employer Contribution Amount and Employer Productivity Superannuation Contribution.</w:t>
      </w:r>
    </w:p>
    <w:p w:rsidR="008E273C" w:rsidRDefault="008E273C" w:rsidP="001C3A5F">
      <w:pPr>
        <w:pStyle w:val="BodyText"/>
      </w:pPr>
      <w:r>
        <w:t>(c) Includes long service leave and the discounting of long service leave.</w:t>
      </w:r>
    </w:p>
    <w:p w:rsidR="008E273C" w:rsidRDefault="008E273C" w:rsidP="001C3A5F">
      <w:pPr>
        <w:pStyle w:val="BodyText"/>
      </w:pPr>
      <w:r>
        <w:t>(d) Includes motor vehicle allowance and other benefits such as the provision of a car park, where applicable.</w:t>
      </w:r>
    </w:p>
    <w:p w:rsidR="008E273C" w:rsidRDefault="008E273C" w:rsidP="008E273C">
      <w:pPr>
        <w:pStyle w:val="Heading1"/>
      </w:pPr>
      <w:r>
        <w:lastRenderedPageBreak/>
        <w:t>Appendix C: List of requirements</w:t>
      </w:r>
    </w:p>
    <w:tbl>
      <w:tblPr>
        <w:tblStyle w:val="TableGrid"/>
        <w:tblW w:w="5000" w:type="pct"/>
        <w:tblLook w:val="0000" w:firstRow="0" w:lastRow="0" w:firstColumn="0" w:lastColumn="0" w:noHBand="0" w:noVBand="0"/>
        <w:tblCaption w:val="Appendix C: List of requirements"/>
        <w:tblDescription w:val="Appendix C: List of requirements"/>
      </w:tblPr>
      <w:tblGrid>
        <w:gridCol w:w="2348"/>
        <w:gridCol w:w="4751"/>
        <w:gridCol w:w="2142"/>
        <w:gridCol w:w="1855"/>
      </w:tblGrid>
      <w:tr w:rsidR="008E273C" w:rsidTr="001C3A5F">
        <w:trPr>
          <w:trHeight w:val="60"/>
          <w:tblHeader/>
        </w:trPr>
        <w:tc>
          <w:tcPr>
            <w:tcW w:w="1058" w:type="pct"/>
          </w:tcPr>
          <w:p w:rsidR="008E273C" w:rsidRPr="001C3A5F" w:rsidRDefault="008E273C" w:rsidP="001C3A5F">
            <w:pPr>
              <w:pStyle w:val="BodyText"/>
              <w:rPr>
                <w:b/>
              </w:rPr>
            </w:pPr>
            <w:r w:rsidRPr="001C3A5F">
              <w:rPr>
                <w:b/>
              </w:rPr>
              <w:t>PGPA Rule Reference</w:t>
            </w:r>
          </w:p>
        </w:tc>
        <w:tc>
          <w:tcPr>
            <w:tcW w:w="2141" w:type="pct"/>
          </w:tcPr>
          <w:p w:rsidR="008E273C" w:rsidRPr="001C3A5F" w:rsidRDefault="008E273C" w:rsidP="001C3A5F">
            <w:pPr>
              <w:pStyle w:val="BodyText"/>
              <w:rPr>
                <w:b/>
              </w:rPr>
            </w:pPr>
            <w:r w:rsidRPr="001C3A5F">
              <w:rPr>
                <w:b/>
              </w:rPr>
              <w:t>Description</w:t>
            </w:r>
          </w:p>
        </w:tc>
        <w:tc>
          <w:tcPr>
            <w:tcW w:w="965" w:type="pct"/>
          </w:tcPr>
          <w:p w:rsidR="008E273C" w:rsidRPr="001C3A5F" w:rsidRDefault="008E273C" w:rsidP="001C3A5F">
            <w:pPr>
              <w:pStyle w:val="BodyText"/>
              <w:rPr>
                <w:b/>
              </w:rPr>
            </w:pPr>
            <w:r w:rsidRPr="001C3A5F">
              <w:rPr>
                <w:b/>
              </w:rPr>
              <w:t>Requirement</w:t>
            </w:r>
          </w:p>
        </w:tc>
        <w:tc>
          <w:tcPr>
            <w:tcW w:w="836" w:type="pct"/>
          </w:tcPr>
          <w:p w:rsidR="008E273C" w:rsidRPr="001C3A5F" w:rsidRDefault="008E273C" w:rsidP="001C3A5F">
            <w:pPr>
              <w:pStyle w:val="BodyText"/>
              <w:rPr>
                <w:b/>
              </w:rPr>
            </w:pPr>
            <w:r w:rsidRPr="001C3A5F">
              <w:rPr>
                <w:b/>
              </w:rPr>
              <w:t>Location in report</w:t>
            </w:r>
          </w:p>
        </w:tc>
      </w:tr>
      <w:tr w:rsidR="008E273C" w:rsidTr="001C3A5F">
        <w:trPr>
          <w:trHeight w:val="60"/>
        </w:trPr>
        <w:tc>
          <w:tcPr>
            <w:tcW w:w="1058" w:type="pct"/>
          </w:tcPr>
          <w:p w:rsidR="008E273C" w:rsidRDefault="008E273C" w:rsidP="001C3A5F">
            <w:pPr>
              <w:pStyle w:val="BodyText"/>
            </w:pPr>
            <w:r>
              <w:rPr>
                <w:rStyle w:val="Bold"/>
              </w:rPr>
              <w:t>17AD(g)</w:t>
            </w:r>
          </w:p>
        </w:tc>
        <w:tc>
          <w:tcPr>
            <w:tcW w:w="2141" w:type="pct"/>
          </w:tcPr>
          <w:p w:rsidR="008E273C" w:rsidRDefault="008E273C" w:rsidP="001C3A5F">
            <w:pPr>
              <w:pStyle w:val="BodyText"/>
            </w:pPr>
            <w:r>
              <w:rPr>
                <w:rStyle w:val="Bold"/>
              </w:rPr>
              <w:t>Letter of transmittal</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60"/>
        </w:trPr>
        <w:tc>
          <w:tcPr>
            <w:tcW w:w="1058" w:type="pct"/>
          </w:tcPr>
          <w:p w:rsidR="008E273C" w:rsidRDefault="008E273C" w:rsidP="001C3A5F">
            <w:pPr>
              <w:pStyle w:val="BodyText"/>
            </w:pPr>
            <w:r>
              <w:rPr>
                <w:spacing w:val="-4"/>
              </w:rPr>
              <w:t>17AI</w:t>
            </w:r>
          </w:p>
        </w:tc>
        <w:tc>
          <w:tcPr>
            <w:tcW w:w="2141" w:type="pct"/>
          </w:tcPr>
          <w:p w:rsidR="008E273C" w:rsidRDefault="008E273C" w:rsidP="001C3A5F">
            <w:pPr>
              <w:pStyle w:val="BodyText"/>
            </w:pPr>
            <w:r>
              <w:t>A copy of the letter of transmittal signed and dated by accountable authority on date final text approved, with statement that the report has been prepared in accordance with section 46 of the Act and any enabling legislation that specifies additional requirements in relation to the annual report.</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viii</w:t>
            </w:r>
          </w:p>
        </w:tc>
      </w:tr>
      <w:tr w:rsidR="008E273C" w:rsidTr="001C3A5F">
        <w:trPr>
          <w:trHeight w:val="60"/>
        </w:trPr>
        <w:tc>
          <w:tcPr>
            <w:tcW w:w="1058" w:type="pct"/>
          </w:tcPr>
          <w:p w:rsidR="008E273C" w:rsidRDefault="008E273C" w:rsidP="001C3A5F">
            <w:pPr>
              <w:pStyle w:val="BodyText"/>
            </w:pPr>
            <w:r>
              <w:rPr>
                <w:rStyle w:val="Bold"/>
              </w:rPr>
              <w:t>17AD(h)</w:t>
            </w:r>
          </w:p>
        </w:tc>
        <w:tc>
          <w:tcPr>
            <w:tcW w:w="2141" w:type="pct"/>
          </w:tcPr>
          <w:p w:rsidR="008E273C" w:rsidRDefault="008E273C" w:rsidP="001C3A5F">
            <w:pPr>
              <w:pStyle w:val="BodyText"/>
            </w:pPr>
            <w:r>
              <w:rPr>
                <w:rStyle w:val="Bold"/>
              </w:rPr>
              <w:t>Aids to access</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60"/>
        </w:trPr>
        <w:tc>
          <w:tcPr>
            <w:tcW w:w="1058" w:type="pct"/>
          </w:tcPr>
          <w:p w:rsidR="008E273C" w:rsidRDefault="008E273C" w:rsidP="001C3A5F">
            <w:pPr>
              <w:pStyle w:val="BodyText"/>
            </w:pPr>
            <w:r>
              <w:t>17AJ(a)</w:t>
            </w:r>
          </w:p>
        </w:tc>
        <w:tc>
          <w:tcPr>
            <w:tcW w:w="2141" w:type="pct"/>
          </w:tcPr>
          <w:p w:rsidR="008E273C" w:rsidRDefault="008E273C" w:rsidP="001C3A5F">
            <w:pPr>
              <w:pStyle w:val="BodyText"/>
            </w:pPr>
            <w:r>
              <w:t>Table of contents.</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iii–vii</w:t>
            </w:r>
          </w:p>
        </w:tc>
      </w:tr>
      <w:tr w:rsidR="008E273C" w:rsidTr="001C3A5F">
        <w:trPr>
          <w:trHeight w:val="60"/>
        </w:trPr>
        <w:tc>
          <w:tcPr>
            <w:tcW w:w="1058" w:type="pct"/>
          </w:tcPr>
          <w:p w:rsidR="008E273C" w:rsidRDefault="008E273C" w:rsidP="001C3A5F">
            <w:pPr>
              <w:pStyle w:val="BodyText"/>
            </w:pPr>
            <w:r>
              <w:t>17AJ(b)</w:t>
            </w:r>
          </w:p>
        </w:tc>
        <w:tc>
          <w:tcPr>
            <w:tcW w:w="2141" w:type="pct"/>
          </w:tcPr>
          <w:p w:rsidR="008E273C" w:rsidRDefault="008E273C" w:rsidP="001C3A5F">
            <w:pPr>
              <w:pStyle w:val="BodyText"/>
            </w:pPr>
            <w:r>
              <w:t>Alphabetical index.</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252–260</w:t>
            </w:r>
          </w:p>
        </w:tc>
      </w:tr>
      <w:tr w:rsidR="008E273C" w:rsidTr="001C3A5F">
        <w:trPr>
          <w:trHeight w:val="392"/>
        </w:trPr>
        <w:tc>
          <w:tcPr>
            <w:tcW w:w="1058" w:type="pct"/>
          </w:tcPr>
          <w:p w:rsidR="008E273C" w:rsidRDefault="008E273C" w:rsidP="001C3A5F">
            <w:pPr>
              <w:pStyle w:val="BodyText"/>
            </w:pPr>
            <w:r>
              <w:t>17AJ(c)</w:t>
            </w:r>
          </w:p>
        </w:tc>
        <w:tc>
          <w:tcPr>
            <w:tcW w:w="2141" w:type="pct"/>
          </w:tcPr>
          <w:p w:rsidR="008E273C" w:rsidRDefault="008E273C" w:rsidP="001C3A5F">
            <w:pPr>
              <w:pStyle w:val="BodyText"/>
            </w:pPr>
            <w:r>
              <w:t>Glossary of abbreviations and acronyms.</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246–251</w:t>
            </w:r>
          </w:p>
        </w:tc>
      </w:tr>
      <w:tr w:rsidR="008E273C" w:rsidTr="001C3A5F">
        <w:trPr>
          <w:trHeight w:val="392"/>
        </w:trPr>
        <w:tc>
          <w:tcPr>
            <w:tcW w:w="1058" w:type="pct"/>
          </w:tcPr>
          <w:p w:rsidR="008E273C" w:rsidRDefault="008E273C" w:rsidP="001C3A5F">
            <w:pPr>
              <w:pStyle w:val="BodyText"/>
            </w:pPr>
            <w:r>
              <w:t>17AJ(d)</w:t>
            </w:r>
          </w:p>
        </w:tc>
        <w:tc>
          <w:tcPr>
            <w:tcW w:w="2141" w:type="pct"/>
          </w:tcPr>
          <w:p w:rsidR="008E273C" w:rsidRDefault="008E273C" w:rsidP="001C3A5F">
            <w:pPr>
              <w:pStyle w:val="BodyText"/>
            </w:pPr>
            <w:r>
              <w:t>List of requirements.</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235–245</w:t>
            </w:r>
          </w:p>
        </w:tc>
      </w:tr>
      <w:tr w:rsidR="008E273C" w:rsidTr="001C3A5F">
        <w:trPr>
          <w:trHeight w:val="392"/>
        </w:trPr>
        <w:tc>
          <w:tcPr>
            <w:tcW w:w="1058" w:type="pct"/>
          </w:tcPr>
          <w:p w:rsidR="008E273C" w:rsidRDefault="008E273C" w:rsidP="001C3A5F">
            <w:pPr>
              <w:pStyle w:val="BodyText"/>
            </w:pPr>
            <w:r>
              <w:t>17AJ(e)</w:t>
            </w:r>
          </w:p>
        </w:tc>
        <w:tc>
          <w:tcPr>
            <w:tcW w:w="2141" w:type="pct"/>
          </w:tcPr>
          <w:p w:rsidR="008E273C" w:rsidRDefault="008E273C" w:rsidP="001C3A5F">
            <w:pPr>
              <w:pStyle w:val="BodyText"/>
            </w:pPr>
            <w:r>
              <w:t>Details of contact officer.</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ii</w:t>
            </w:r>
          </w:p>
        </w:tc>
      </w:tr>
      <w:tr w:rsidR="008E273C" w:rsidTr="001C3A5F">
        <w:trPr>
          <w:trHeight w:val="392"/>
        </w:trPr>
        <w:tc>
          <w:tcPr>
            <w:tcW w:w="1058" w:type="pct"/>
          </w:tcPr>
          <w:p w:rsidR="008E273C" w:rsidRDefault="008E273C" w:rsidP="001C3A5F">
            <w:pPr>
              <w:pStyle w:val="BodyText"/>
            </w:pPr>
            <w:r>
              <w:t>17AJ(f)</w:t>
            </w:r>
          </w:p>
        </w:tc>
        <w:tc>
          <w:tcPr>
            <w:tcW w:w="2141" w:type="pct"/>
          </w:tcPr>
          <w:p w:rsidR="008E273C" w:rsidRDefault="008E273C" w:rsidP="001C3A5F">
            <w:pPr>
              <w:pStyle w:val="BodyText"/>
            </w:pPr>
            <w:r>
              <w:t>Entity's website address.</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ii</w:t>
            </w:r>
          </w:p>
        </w:tc>
      </w:tr>
      <w:tr w:rsidR="008E273C" w:rsidTr="001C3A5F">
        <w:trPr>
          <w:trHeight w:val="392"/>
        </w:trPr>
        <w:tc>
          <w:tcPr>
            <w:tcW w:w="1058" w:type="pct"/>
          </w:tcPr>
          <w:p w:rsidR="008E273C" w:rsidRDefault="008E273C" w:rsidP="001C3A5F">
            <w:pPr>
              <w:pStyle w:val="BodyText"/>
            </w:pPr>
            <w:r>
              <w:t>17AJ(g)</w:t>
            </w:r>
          </w:p>
        </w:tc>
        <w:tc>
          <w:tcPr>
            <w:tcW w:w="2141" w:type="pct"/>
          </w:tcPr>
          <w:p w:rsidR="008E273C" w:rsidRDefault="008E273C" w:rsidP="001C3A5F">
            <w:pPr>
              <w:pStyle w:val="BodyText"/>
            </w:pPr>
            <w:r>
              <w:t>Electronic address of report.</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ii</w:t>
            </w:r>
          </w:p>
        </w:tc>
      </w:tr>
      <w:tr w:rsidR="008E273C" w:rsidTr="001C3A5F">
        <w:trPr>
          <w:trHeight w:val="392"/>
        </w:trPr>
        <w:tc>
          <w:tcPr>
            <w:tcW w:w="1058" w:type="pct"/>
          </w:tcPr>
          <w:p w:rsidR="008E273C" w:rsidRDefault="008E273C" w:rsidP="001C3A5F">
            <w:pPr>
              <w:pStyle w:val="BodyText"/>
            </w:pPr>
            <w:r>
              <w:rPr>
                <w:rStyle w:val="Bold"/>
              </w:rPr>
              <w:t>17AD(a)</w:t>
            </w:r>
          </w:p>
        </w:tc>
        <w:tc>
          <w:tcPr>
            <w:tcW w:w="2141" w:type="pct"/>
          </w:tcPr>
          <w:p w:rsidR="008E273C" w:rsidRDefault="008E273C" w:rsidP="001C3A5F">
            <w:pPr>
              <w:pStyle w:val="BodyText"/>
            </w:pPr>
            <w:r>
              <w:rPr>
                <w:rStyle w:val="Bold"/>
              </w:rPr>
              <w:t>Review by accountable authority</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17AD(a)</w:t>
            </w:r>
          </w:p>
        </w:tc>
        <w:tc>
          <w:tcPr>
            <w:tcW w:w="2141" w:type="pct"/>
          </w:tcPr>
          <w:p w:rsidR="008E273C" w:rsidRDefault="008E273C" w:rsidP="001C3A5F">
            <w:pPr>
              <w:pStyle w:val="BodyText"/>
            </w:pPr>
            <w:r>
              <w:t>A review by the accountable authority of the entity.</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ix–xii</w:t>
            </w:r>
          </w:p>
        </w:tc>
      </w:tr>
      <w:tr w:rsidR="008E273C" w:rsidTr="001C3A5F">
        <w:trPr>
          <w:trHeight w:val="392"/>
        </w:trPr>
        <w:tc>
          <w:tcPr>
            <w:tcW w:w="1058" w:type="pct"/>
          </w:tcPr>
          <w:p w:rsidR="008E273C" w:rsidRDefault="008E273C" w:rsidP="001C3A5F">
            <w:pPr>
              <w:pStyle w:val="BodyText"/>
            </w:pPr>
            <w:r>
              <w:rPr>
                <w:rStyle w:val="Bold"/>
              </w:rPr>
              <w:t>17AD(b)</w:t>
            </w:r>
          </w:p>
        </w:tc>
        <w:tc>
          <w:tcPr>
            <w:tcW w:w="2141" w:type="pct"/>
          </w:tcPr>
          <w:p w:rsidR="008E273C" w:rsidRDefault="008E273C" w:rsidP="001C3A5F">
            <w:pPr>
              <w:pStyle w:val="BodyText"/>
            </w:pPr>
            <w:r>
              <w:rPr>
                <w:rStyle w:val="Bold"/>
              </w:rPr>
              <w:t>Overview of the entity</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663"/>
        </w:trPr>
        <w:tc>
          <w:tcPr>
            <w:tcW w:w="1058" w:type="pct"/>
          </w:tcPr>
          <w:p w:rsidR="008E273C" w:rsidRDefault="008E273C" w:rsidP="001C3A5F">
            <w:pPr>
              <w:pStyle w:val="BodyText"/>
            </w:pPr>
            <w:r>
              <w:t>17AE(1)(a)(</w:t>
            </w:r>
            <w:proofErr w:type="spellStart"/>
            <w:r>
              <w:t>i</w:t>
            </w:r>
            <w:proofErr w:type="spellEnd"/>
            <w:r>
              <w:t>)</w:t>
            </w:r>
          </w:p>
        </w:tc>
        <w:tc>
          <w:tcPr>
            <w:tcW w:w="2141" w:type="pct"/>
          </w:tcPr>
          <w:p w:rsidR="008E273C" w:rsidRDefault="008E273C" w:rsidP="001C3A5F">
            <w:pPr>
              <w:pStyle w:val="BodyText"/>
            </w:pPr>
            <w:r>
              <w:t>A description of the role and functions of the entity.</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162</w:t>
            </w:r>
          </w:p>
        </w:tc>
      </w:tr>
      <w:tr w:rsidR="008E273C" w:rsidTr="001C3A5F">
        <w:trPr>
          <w:trHeight w:val="392"/>
        </w:trPr>
        <w:tc>
          <w:tcPr>
            <w:tcW w:w="1058" w:type="pct"/>
          </w:tcPr>
          <w:p w:rsidR="008E273C" w:rsidRDefault="008E273C" w:rsidP="001C3A5F">
            <w:pPr>
              <w:pStyle w:val="BodyText"/>
            </w:pPr>
            <w:r>
              <w:t>17AE(1)(a)(ii)</w:t>
            </w:r>
          </w:p>
        </w:tc>
        <w:tc>
          <w:tcPr>
            <w:tcW w:w="2141" w:type="pct"/>
          </w:tcPr>
          <w:p w:rsidR="008E273C" w:rsidRDefault="008E273C" w:rsidP="001C3A5F">
            <w:pPr>
              <w:pStyle w:val="BodyText"/>
            </w:pPr>
            <w:r>
              <w:t>A description of the organisational structure of th</w:t>
            </w:r>
            <w:r>
              <w:rPr>
                <w:rStyle w:val="NoBreak"/>
              </w:rPr>
              <w:t>e entity.</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177–179</w:t>
            </w:r>
          </w:p>
        </w:tc>
      </w:tr>
      <w:tr w:rsidR="008E273C" w:rsidTr="001C3A5F">
        <w:trPr>
          <w:trHeight w:val="392"/>
        </w:trPr>
        <w:tc>
          <w:tcPr>
            <w:tcW w:w="1058" w:type="pct"/>
          </w:tcPr>
          <w:p w:rsidR="008E273C" w:rsidRDefault="008E273C" w:rsidP="001C3A5F">
            <w:pPr>
              <w:pStyle w:val="BodyText"/>
            </w:pPr>
            <w:r>
              <w:lastRenderedPageBreak/>
              <w:t>17AE(1)(a)(iii)</w:t>
            </w:r>
          </w:p>
        </w:tc>
        <w:tc>
          <w:tcPr>
            <w:tcW w:w="2141" w:type="pct"/>
          </w:tcPr>
          <w:p w:rsidR="008E273C" w:rsidRDefault="008E273C" w:rsidP="001C3A5F">
            <w:pPr>
              <w:pStyle w:val="BodyText"/>
            </w:pPr>
            <w:r>
              <w:t>A description of the outcomes and programmes administered by the entity.</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162–163</w:t>
            </w:r>
          </w:p>
        </w:tc>
      </w:tr>
      <w:tr w:rsidR="008E273C" w:rsidTr="001C3A5F">
        <w:trPr>
          <w:trHeight w:val="392"/>
        </w:trPr>
        <w:tc>
          <w:tcPr>
            <w:tcW w:w="1058" w:type="pct"/>
          </w:tcPr>
          <w:p w:rsidR="008E273C" w:rsidRDefault="008E273C" w:rsidP="001C3A5F">
            <w:pPr>
              <w:pStyle w:val="BodyText"/>
            </w:pPr>
            <w:r>
              <w:t>17AE(1)(a)(iv)</w:t>
            </w:r>
          </w:p>
        </w:tc>
        <w:tc>
          <w:tcPr>
            <w:tcW w:w="2141" w:type="pct"/>
          </w:tcPr>
          <w:p w:rsidR="008E273C" w:rsidRDefault="008E273C" w:rsidP="001C3A5F">
            <w:pPr>
              <w:pStyle w:val="BodyText"/>
            </w:pPr>
            <w:r>
              <w:t>A description of the purposes of the entity as included in corporate plan.</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162</w:t>
            </w:r>
          </w:p>
        </w:tc>
      </w:tr>
      <w:tr w:rsidR="008E273C" w:rsidTr="001C3A5F">
        <w:trPr>
          <w:trHeight w:val="392"/>
        </w:trPr>
        <w:tc>
          <w:tcPr>
            <w:tcW w:w="1058" w:type="pct"/>
          </w:tcPr>
          <w:p w:rsidR="008E273C" w:rsidRDefault="008E273C" w:rsidP="001C3A5F">
            <w:pPr>
              <w:pStyle w:val="BodyText"/>
            </w:pPr>
            <w:r>
              <w:t>17AE(1)(aa)(</w:t>
            </w:r>
            <w:proofErr w:type="spellStart"/>
            <w:r>
              <w:t>i</w:t>
            </w:r>
            <w:proofErr w:type="spellEnd"/>
            <w:r>
              <w:t>)</w:t>
            </w:r>
          </w:p>
        </w:tc>
        <w:tc>
          <w:tcPr>
            <w:tcW w:w="2141" w:type="pct"/>
          </w:tcPr>
          <w:p w:rsidR="008E273C" w:rsidRDefault="008E273C" w:rsidP="001C3A5F">
            <w:pPr>
              <w:pStyle w:val="BodyText"/>
            </w:pPr>
            <w:r>
              <w:t>Name of the accountable authority or each member of the accountable authority.</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177–181</w:t>
            </w:r>
          </w:p>
        </w:tc>
      </w:tr>
      <w:tr w:rsidR="008E273C" w:rsidTr="001C3A5F">
        <w:trPr>
          <w:trHeight w:val="392"/>
        </w:trPr>
        <w:tc>
          <w:tcPr>
            <w:tcW w:w="1058" w:type="pct"/>
          </w:tcPr>
          <w:p w:rsidR="008E273C" w:rsidRDefault="008E273C" w:rsidP="001C3A5F">
            <w:pPr>
              <w:pStyle w:val="BodyText"/>
            </w:pPr>
            <w:r>
              <w:t>17AE(1)(aa)(ii)</w:t>
            </w:r>
          </w:p>
        </w:tc>
        <w:tc>
          <w:tcPr>
            <w:tcW w:w="2141" w:type="pct"/>
          </w:tcPr>
          <w:p w:rsidR="008E273C" w:rsidRDefault="008E273C" w:rsidP="001C3A5F">
            <w:pPr>
              <w:pStyle w:val="BodyText"/>
            </w:pPr>
            <w:r>
              <w:t>Position of the accountable authority or each member of the accountable authority.</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177–181</w:t>
            </w:r>
          </w:p>
        </w:tc>
      </w:tr>
      <w:tr w:rsidR="008E273C" w:rsidTr="001C3A5F">
        <w:trPr>
          <w:trHeight w:val="392"/>
        </w:trPr>
        <w:tc>
          <w:tcPr>
            <w:tcW w:w="1058" w:type="pct"/>
          </w:tcPr>
          <w:p w:rsidR="008E273C" w:rsidRDefault="008E273C" w:rsidP="001C3A5F">
            <w:pPr>
              <w:pStyle w:val="BodyText"/>
            </w:pPr>
            <w:r>
              <w:t>17AE(1)(aa)(iii)</w:t>
            </w:r>
          </w:p>
        </w:tc>
        <w:tc>
          <w:tcPr>
            <w:tcW w:w="2141" w:type="pct"/>
          </w:tcPr>
          <w:p w:rsidR="008E273C" w:rsidRDefault="008E273C" w:rsidP="001C3A5F">
            <w:pPr>
              <w:pStyle w:val="BodyText"/>
            </w:pPr>
            <w:r>
              <w:t>Period as the accountable authority or member of the accountable authority within the reporting period.</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228–229</w:t>
            </w:r>
          </w:p>
        </w:tc>
      </w:tr>
      <w:tr w:rsidR="008E273C" w:rsidTr="001C3A5F">
        <w:trPr>
          <w:trHeight w:val="392"/>
        </w:trPr>
        <w:tc>
          <w:tcPr>
            <w:tcW w:w="1058" w:type="pct"/>
          </w:tcPr>
          <w:p w:rsidR="008E273C" w:rsidRDefault="008E273C" w:rsidP="001C3A5F">
            <w:pPr>
              <w:pStyle w:val="BodyText"/>
            </w:pPr>
            <w:r>
              <w:t>17AE(1)(b)</w:t>
            </w:r>
          </w:p>
        </w:tc>
        <w:tc>
          <w:tcPr>
            <w:tcW w:w="2141" w:type="pct"/>
          </w:tcPr>
          <w:p w:rsidR="008E273C" w:rsidRDefault="008E273C" w:rsidP="001C3A5F">
            <w:pPr>
              <w:pStyle w:val="BodyText"/>
            </w:pPr>
            <w:r>
              <w:t>An outline of the structure of the portfolio of the entity.</w:t>
            </w:r>
          </w:p>
        </w:tc>
        <w:tc>
          <w:tcPr>
            <w:tcW w:w="965" w:type="pct"/>
          </w:tcPr>
          <w:p w:rsidR="008E273C" w:rsidRDefault="008E273C" w:rsidP="001C3A5F">
            <w:pPr>
              <w:pStyle w:val="BodyText"/>
            </w:pPr>
            <w:r>
              <w:t>Portfolio departments - mandatory</w:t>
            </w:r>
          </w:p>
        </w:tc>
        <w:tc>
          <w:tcPr>
            <w:tcW w:w="836" w:type="pct"/>
          </w:tcPr>
          <w:p w:rsidR="008E273C" w:rsidRDefault="008E273C" w:rsidP="001C3A5F">
            <w:pPr>
              <w:pStyle w:val="BodyText"/>
            </w:pPr>
            <w:r>
              <w:t xml:space="preserve">Not applicable  </w:t>
            </w:r>
          </w:p>
        </w:tc>
      </w:tr>
      <w:tr w:rsidR="008E273C" w:rsidTr="001C3A5F">
        <w:trPr>
          <w:trHeight w:val="392"/>
        </w:trPr>
        <w:tc>
          <w:tcPr>
            <w:tcW w:w="1058" w:type="pct"/>
          </w:tcPr>
          <w:p w:rsidR="008E273C" w:rsidRDefault="008E273C" w:rsidP="001C3A5F">
            <w:pPr>
              <w:pStyle w:val="BodyText"/>
            </w:pPr>
            <w:r>
              <w:t>17AE(2)</w:t>
            </w:r>
          </w:p>
        </w:tc>
        <w:tc>
          <w:tcPr>
            <w:tcW w:w="2141" w:type="pct"/>
          </w:tcPr>
          <w:p w:rsidR="008E273C" w:rsidRDefault="008E273C" w:rsidP="001C3A5F">
            <w:pPr>
              <w:pStyle w:val="BodyText"/>
            </w:pPr>
            <w:r>
              <w:t>Where the outcomes and programs administered by the entity differ from any Portfolio Budget Statement, Portfolio Additional Estimates Statement or other portfolio estimates statement that was prepared for the entity for the period, include details of variation and reasons for change.</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162–163</w:t>
            </w:r>
          </w:p>
        </w:tc>
      </w:tr>
      <w:tr w:rsidR="008E273C" w:rsidTr="001C3A5F">
        <w:trPr>
          <w:trHeight w:val="392"/>
        </w:trPr>
        <w:tc>
          <w:tcPr>
            <w:tcW w:w="1058" w:type="pct"/>
          </w:tcPr>
          <w:p w:rsidR="008E273C" w:rsidRDefault="008E273C" w:rsidP="001C3A5F">
            <w:pPr>
              <w:pStyle w:val="BodyText"/>
            </w:pPr>
            <w:r>
              <w:rPr>
                <w:rStyle w:val="Bold"/>
              </w:rPr>
              <w:t>17AD(c)</w:t>
            </w:r>
          </w:p>
        </w:tc>
        <w:tc>
          <w:tcPr>
            <w:tcW w:w="2141" w:type="pct"/>
          </w:tcPr>
          <w:p w:rsidR="008E273C" w:rsidRDefault="008E273C" w:rsidP="001C3A5F">
            <w:pPr>
              <w:pStyle w:val="BodyText"/>
            </w:pPr>
            <w:r>
              <w:rPr>
                <w:rStyle w:val="Bold"/>
              </w:rPr>
              <w:t>Report on the performance of the entity</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AC4959" w:rsidP="001C3A5F">
            <w:pPr>
              <w:pStyle w:val="BodyText"/>
            </w:pPr>
            <w:r>
              <w:rPr>
                <w:rStyle w:val="Bold"/>
              </w:rPr>
              <w:t>Annual performance statements</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76"/>
        </w:trPr>
        <w:tc>
          <w:tcPr>
            <w:tcW w:w="1058" w:type="pct"/>
          </w:tcPr>
          <w:p w:rsidR="008E273C" w:rsidRDefault="008E273C" w:rsidP="001C3A5F">
            <w:pPr>
              <w:pStyle w:val="BodyText"/>
            </w:pPr>
            <w:r>
              <w:t>17AD(c)(</w:t>
            </w:r>
            <w:proofErr w:type="spellStart"/>
            <w:r>
              <w:t>i</w:t>
            </w:r>
            <w:proofErr w:type="spellEnd"/>
            <w:r>
              <w:t>); 16F</w:t>
            </w:r>
          </w:p>
        </w:tc>
        <w:tc>
          <w:tcPr>
            <w:tcW w:w="2141" w:type="pct"/>
          </w:tcPr>
          <w:p w:rsidR="008E273C" w:rsidRDefault="008E273C" w:rsidP="001C3A5F">
            <w:pPr>
              <w:pStyle w:val="BodyText"/>
            </w:pPr>
            <w:r>
              <w:t>Annual performance statement in accordance with paragraph 39(1</w:t>
            </w:r>
            <w:proofErr w:type="gramStart"/>
            <w:r>
              <w:t>)(</w:t>
            </w:r>
            <w:proofErr w:type="gramEnd"/>
            <w:r>
              <w:t>b) of the Act and section 16F of the Rule.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70–108</w:t>
            </w:r>
          </w:p>
        </w:tc>
      </w:tr>
      <w:tr w:rsidR="008E273C" w:rsidTr="001C3A5F">
        <w:trPr>
          <w:trHeight w:val="392"/>
        </w:trPr>
        <w:tc>
          <w:tcPr>
            <w:tcW w:w="1058" w:type="pct"/>
          </w:tcPr>
          <w:p w:rsidR="008E273C" w:rsidRDefault="008E273C" w:rsidP="001C3A5F">
            <w:pPr>
              <w:pStyle w:val="BodyText"/>
            </w:pPr>
            <w:r>
              <w:rPr>
                <w:rStyle w:val="Bold"/>
              </w:rPr>
              <w:t>17AD(c)(ii)</w:t>
            </w:r>
          </w:p>
        </w:tc>
        <w:tc>
          <w:tcPr>
            <w:tcW w:w="2141" w:type="pct"/>
          </w:tcPr>
          <w:p w:rsidR="008E273C" w:rsidRDefault="008E273C" w:rsidP="001C3A5F">
            <w:pPr>
              <w:pStyle w:val="BodyText"/>
            </w:pPr>
            <w:r>
              <w:rPr>
                <w:rStyle w:val="Bold"/>
              </w:rPr>
              <w:t>Report on financial performance</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17AF(1)(a)</w:t>
            </w:r>
          </w:p>
        </w:tc>
        <w:tc>
          <w:tcPr>
            <w:tcW w:w="2141" w:type="pct"/>
          </w:tcPr>
          <w:p w:rsidR="008E273C" w:rsidRDefault="008E273C" w:rsidP="001C3A5F">
            <w:pPr>
              <w:pStyle w:val="BodyText"/>
            </w:pPr>
            <w:r>
              <w:t>A discussion and analysis of the entity’s financial performance.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116–159</w:t>
            </w:r>
          </w:p>
        </w:tc>
      </w:tr>
      <w:tr w:rsidR="008E273C" w:rsidTr="001C3A5F">
        <w:trPr>
          <w:trHeight w:val="392"/>
        </w:trPr>
        <w:tc>
          <w:tcPr>
            <w:tcW w:w="1058" w:type="pct"/>
          </w:tcPr>
          <w:p w:rsidR="008E273C" w:rsidRDefault="008E273C" w:rsidP="001C3A5F">
            <w:pPr>
              <w:pStyle w:val="BodyText"/>
            </w:pPr>
            <w:r>
              <w:lastRenderedPageBreak/>
              <w:t>17AF(1)(b)</w:t>
            </w:r>
          </w:p>
        </w:tc>
        <w:tc>
          <w:tcPr>
            <w:tcW w:w="2141" w:type="pct"/>
          </w:tcPr>
          <w:p w:rsidR="008E273C" w:rsidRDefault="008E273C" w:rsidP="001C3A5F">
            <w:pPr>
              <w:pStyle w:val="BodyText"/>
            </w:pPr>
            <w:r>
              <w:t>A table summarising the total resources and total payments of the entity.</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210–213</w:t>
            </w:r>
          </w:p>
        </w:tc>
      </w:tr>
      <w:tr w:rsidR="008E273C" w:rsidTr="001C3A5F">
        <w:trPr>
          <w:trHeight w:val="392"/>
        </w:trPr>
        <w:tc>
          <w:tcPr>
            <w:tcW w:w="1058" w:type="pct"/>
          </w:tcPr>
          <w:p w:rsidR="008E273C" w:rsidRDefault="008E273C" w:rsidP="001C3A5F">
            <w:pPr>
              <w:pStyle w:val="BodyText"/>
            </w:pPr>
            <w:r>
              <w:t>17AF(2)</w:t>
            </w:r>
          </w:p>
        </w:tc>
        <w:tc>
          <w:tcPr>
            <w:tcW w:w="2141" w:type="pct"/>
          </w:tcPr>
          <w:p w:rsidR="008E273C" w:rsidRDefault="008E273C" w:rsidP="001C3A5F">
            <w:pPr>
              <w:pStyle w:val="BodyText"/>
            </w:pPr>
            <w:r>
              <w:t>If there may be significant changes in the financial results during or after the previous or current reporting period, information on those changes, including: the cause of any operating loss of the entity; how the entity has responded to the loss and the actions that have been taken in relation to the loss; and any matter or circumstances that it can reasonably be anticipated will have a significant impact on the entity’s future operation or financial results.</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 xml:space="preserve">Not applicable </w:t>
            </w:r>
          </w:p>
        </w:tc>
      </w:tr>
      <w:tr w:rsidR="008E273C" w:rsidTr="001C3A5F">
        <w:trPr>
          <w:trHeight w:val="398"/>
        </w:trPr>
        <w:tc>
          <w:tcPr>
            <w:tcW w:w="1058" w:type="pct"/>
          </w:tcPr>
          <w:p w:rsidR="008E273C" w:rsidRDefault="008E273C" w:rsidP="001C3A5F">
            <w:pPr>
              <w:pStyle w:val="BodyText"/>
            </w:pPr>
            <w:r>
              <w:rPr>
                <w:rStyle w:val="Bold"/>
              </w:rPr>
              <w:t>17AD(d)</w:t>
            </w:r>
          </w:p>
        </w:tc>
        <w:tc>
          <w:tcPr>
            <w:tcW w:w="2141" w:type="pct"/>
          </w:tcPr>
          <w:p w:rsidR="008E273C" w:rsidRDefault="008E273C" w:rsidP="001C3A5F">
            <w:pPr>
              <w:pStyle w:val="BodyText"/>
            </w:pPr>
            <w:r>
              <w:rPr>
                <w:rStyle w:val="Bold"/>
              </w:rPr>
              <w:t>Management and Accountability</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AC4959" w:rsidP="001C3A5F">
            <w:pPr>
              <w:pStyle w:val="BodyText"/>
            </w:pPr>
            <w:r>
              <w:rPr>
                <w:rStyle w:val="Bold"/>
              </w:rPr>
              <w:t>Corporate governance</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17AG(2)(a)</w:t>
            </w:r>
          </w:p>
        </w:tc>
        <w:tc>
          <w:tcPr>
            <w:tcW w:w="2141" w:type="pct"/>
          </w:tcPr>
          <w:p w:rsidR="008E273C" w:rsidRDefault="008E273C" w:rsidP="001C3A5F">
            <w:pPr>
              <w:pStyle w:val="BodyText"/>
            </w:pPr>
            <w:r>
              <w:t>Information on compliance with section 10 (fraud systems).</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170</w:t>
            </w:r>
          </w:p>
        </w:tc>
      </w:tr>
      <w:tr w:rsidR="008E273C" w:rsidTr="001C3A5F">
        <w:trPr>
          <w:trHeight w:val="392"/>
        </w:trPr>
        <w:tc>
          <w:tcPr>
            <w:tcW w:w="1058" w:type="pct"/>
          </w:tcPr>
          <w:p w:rsidR="008E273C" w:rsidRDefault="008E273C" w:rsidP="001C3A5F">
            <w:pPr>
              <w:pStyle w:val="BodyText"/>
            </w:pPr>
            <w:r>
              <w:t>17AG(2)(b)(</w:t>
            </w:r>
            <w:proofErr w:type="spellStart"/>
            <w:r>
              <w:t>i</w:t>
            </w:r>
            <w:proofErr w:type="spellEnd"/>
            <w:r>
              <w:t>)</w:t>
            </w:r>
          </w:p>
        </w:tc>
        <w:tc>
          <w:tcPr>
            <w:tcW w:w="2141" w:type="pct"/>
          </w:tcPr>
          <w:p w:rsidR="008E273C" w:rsidRDefault="008E273C" w:rsidP="001C3A5F">
            <w:pPr>
              <w:pStyle w:val="BodyText"/>
            </w:pPr>
            <w:r>
              <w:t>A certification by accountable authority that fraud risk assessments and fraud control plans have been prepared.</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viii</w:t>
            </w:r>
          </w:p>
        </w:tc>
      </w:tr>
      <w:tr w:rsidR="008E273C" w:rsidTr="001C3A5F">
        <w:trPr>
          <w:trHeight w:val="392"/>
        </w:trPr>
        <w:tc>
          <w:tcPr>
            <w:tcW w:w="1058" w:type="pct"/>
          </w:tcPr>
          <w:p w:rsidR="008E273C" w:rsidRDefault="008E273C" w:rsidP="001C3A5F">
            <w:pPr>
              <w:pStyle w:val="BodyText"/>
            </w:pPr>
            <w:r>
              <w:t>17AG(2)(b)(ii)</w:t>
            </w:r>
          </w:p>
        </w:tc>
        <w:tc>
          <w:tcPr>
            <w:tcW w:w="2141" w:type="pct"/>
          </w:tcPr>
          <w:p w:rsidR="008E273C" w:rsidRDefault="008E273C" w:rsidP="001C3A5F">
            <w:pPr>
              <w:pStyle w:val="BodyText"/>
            </w:pPr>
            <w:r>
              <w:t>A certification by accountable authority that appropriate mechanisms for preventing, detecting incidents of, investigating or otherwise dealing with, and recording or reporting fraud that meet the specific needs of the entity are in place.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viii</w:t>
            </w:r>
          </w:p>
        </w:tc>
      </w:tr>
      <w:tr w:rsidR="008E273C" w:rsidTr="001C3A5F">
        <w:trPr>
          <w:trHeight w:val="392"/>
        </w:trPr>
        <w:tc>
          <w:tcPr>
            <w:tcW w:w="1058" w:type="pct"/>
          </w:tcPr>
          <w:p w:rsidR="008E273C" w:rsidRDefault="008E273C" w:rsidP="001C3A5F">
            <w:pPr>
              <w:pStyle w:val="BodyText"/>
            </w:pPr>
            <w:r>
              <w:t>17AG(2)(b)(iii)</w:t>
            </w:r>
          </w:p>
        </w:tc>
        <w:tc>
          <w:tcPr>
            <w:tcW w:w="2141" w:type="pct"/>
          </w:tcPr>
          <w:p w:rsidR="008E273C" w:rsidRDefault="008E273C" w:rsidP="001C3A5F">
            <w:pPr>
              <w:pStyle w:val="BodyText"/>
            </w:pPr>
            <w:r>
              <w:t>A certification by accountable authority that all reasonable measures have been taken to deal appropriately with fraud relating to the entity.</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viii</w:t>
            </w:r>
          </w:p>
        </w:tc>
      </w:tr>
      <w:tr w:rsidR="008E273C" w:rsidTr="001C3A5F">
        <w:trPr>
          <w:trHeight w:val="392"/>
        </w:trPr>
        <w:tc>
          <w:tcPr>
            <w:tcW w:w="1058" w:type="pct"/>
          </w:tcPr>
          <w:p w:rsidR="008E273C" w:rsidRDefault="008E273C" w:rsidP="001C3A5F">
            <w:pPr>
              <w:pStyle w:val="BodyText"/>
            </w:pPr>
            <w:r>
              <w:t>17AG(2)(c)</w:t>
            </w:r>
          </w:p>
        </w:tc>
        <w:tc>
          <w:tcPr>
            <w:tcW w:w="2141" w:type="pct"/>
          </w:tcPr>
          <w:p w:rsidR="008E273C" w:rsidRDefault="008E273C" w:rsidP="001C3A5F">
            <w:pPr>
              <w:pStyle w:val="BodyText"/>
            </w:pPr>
            <w:r>
              <w:t>An outline of structures and processes in place for the entity to implement principles and objectives of corporate governance.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163–165</w:t>
            </w:r>
          </w:p>
        </w:tc>
      </w:tr>
      <w:tr w:rsidR="008E273C" w:rsidTr="001C3A5F">
        <w:trPr>
          <w:trHeight w:val="392"/>
        </w:trPr>
        <w:tc>
          <w:tcPr>
            <w:tcW w:w="1058" w:type="pct"/>
          </w:tcPr>
          <w:p w:rsidR="008E273C" w:rsidRDefault="008E273C" w:rsidP="001C3A5F">
            <w:pPr>
              <w:pStyle w:val="BodyText"/>
            </w:pPr>
            <w:r>
              <w:lastRenderedPageBreak/>
              <w:t>17AG(2)(d) – (e)</w:t>
            </w:r>
          </w:p>
        </w:tc>
        <w:tc>
          <w:tcPr>
            <w:tcW w:w="2141" w:type="pct"/>
          </w:tcPr>
          <w:p w:rsidR="008E273C" w:rsidRDefault="008E273C" w:rsidP="001C3A5F">
            <w:pPr>
              <w:pStyle w:val="BodyText"/>
            </w:pPr>
            <w:r>
              <w:t>A statement of significant issues reported to Minister under paragraph 19(1</w:t>
            </w:r>
            <w:proofErr w:type="gramStart"/>
            <w:r>
              <w:t>)(</w:t>
            </w:r>
            <w:proofErr w:type="gramEnd"/>
            <w:r>
              <w:t>e) of the Act that relates to non-compliance with Finance law and action taken to remedy non-compliance.</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117</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AC4959" w:rsidP="001C3A5F">
            <w:pPr>
              <w:pStyle w:val="BodyText"/>
            </w:pPr>
            <w:r>
              <w:rPr>
                <w:rStyle w:val="Bold"/>
              </w:rPr>
              <w:t>Audit committee</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17AG(2A)(a)</w:t>
            </w:r>
          </w:p>
        </w:tc>
        <w:tc>
          <w:tcPr>
            <w:tcW w:w="2141" w:type="pct"/>
          </w:tcPr>
          <w:p w:rsidR="008E273C" w:rsidRDefault="008E273C" w:rsidP="001C3A5F">
            <w:pPr>
              <w:pStyle w:val="BodyText"/>
            </w:pPr>
            <w:r>
              <w:t>A direct electronic address of the charter determining the functions of the entity’s audit committee.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165</w:t>
            </w:r>
          </w:p>
        </w:tc>
      </w:tr>
      <w:tr w:rsidR="008E273C" w:rsidTr="001C3A5F">
        <w:trPr>
          <w:trHeight w:val="392"/>
        </w:trPr>
        <w:tc>
          <w:tcPr>
            <w:tcW w:w="1058" w:type="pct"/>
          </w:tcPr>
          <w:p w:rsidR="008E273C" w:rsidRDefault="008E273C" w:rsidP="001C3A5F">
            <w:pPr>
              <w:pStyle w:val="BodyText"/>
            </w:pPr>
            <w:r>
              <w:t>17AG(2A)(b)</w:t>
            </w:r>
          </w:p>
        </w:tc>
        <w:tc>
          <w:tcPr>
            <w:tcW w:w="2141" w:type="pct"/>
          </w:tcPr>
          <w:p w:rsidR="008E273C" w:rsidRDefault="008E273C" w:rsidP="001C3A5F">
            <w:pPr>
              <w:pStyle w:val="BodyText"/>
            </w:pPr>
            <w:r>
              <w:t>The name of each member of the entity’s audit committee.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166–169</w:t>
            </w:r>
          </w:p>
        </w:tc>
      </w:tr>
      <w:tr w:rsidR="008E273C" w:rsidTr="001C3A5F">
        <w:trPr>
          <w:trHeight w:val="392"/>
        </w:trPr>
        <w:tc>
          <w:tcPr>
            <w:tcW w:w="1058" w:type="pct"/>
          </w:tcPr>
          <w:p w:rsidR="008E273C" w:rsidRDefault="008E273C" w:rsidP="001C3A5F">
            <w:pPr>
              <w:pStyle w:val="BodyText"/>
            </w:pPr>
            <w:r>
              <w:t>17AG(2A)(c)</w:t>
            </w:r>
          </w:p>
        </w:tc>
        <w:tc>
          <w:tcPr>
            <w:tcW w:w="2141" w:type="pct"/>
          </w:tcPr>
          <w:p w:rsidR="008E273C" w:rsidRDefault="008E273C" w:rsidP="001C3A5F">
            <w:pPr>
              <w:pStyle w:val="BodyText"/>
            </w:pPr>
            <w:r>
              <w:t>The qualifications, knowledge, skills or experience of each member of the entity’s audit committee.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166–169</w:t>
            </w:r>
          </w:p>
        </w:tc>
      </w:tr>
      <w:tr w:rsidR="008E273C" w:rsidTr="001C3A5F">
        <w:trPr>
          <w:trHeight w:val="392"/>
        </w:trPr>
        <w:tc>
          <w:tcPr>
            <w:tcW w:w="1058" w:type="pct"/>
          </w:tcPr>
          <w:p w:rsidR="008E273C" w:rsidRDefault="008E273C" w:rsidP="001C3A5F">
            <w:pPr>
              <w:pStyle w:val="BodyText"/>
            </w:pPr>
            <w:r>
              <w:t>17AG(2A)(d)</w:t>
            </w:r>
          </w:p>
        </w:tc>
        <w:tc>
          <w:tcPr>
            <w:tcW w:w="2141" w:type="pct"/>
          </w:tcPr>
          <w:p w:rsidR="008E273C" w:rsidRDefault="008E273C" w:rsidP="001C3A5F">
            <w:pPr>
              <w:pStyle w:val="BodyText"/>
            </w:pPr>
            <w:r>
              <w:t>Information about the attendance of each member of the entity’s audit committee at committee meetings.</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166–169</w:t>
            </w:r>
          </w:p>
        </w:tc>
      </w:tr>
      <w:tr w:rsidR="008E273C" w:rsidTr="001C3A5F">
        <w:trPr>
          <w:trHeight w:val="392"/>
        </w:trPr>
        <w:tc>
          <w:tcPr>
            <w:tcW w:w="1058" w:type="pct"/>
          </w:tcPr>
          <w:p w:rsidR="008E273C" w:rsidRDefault="008E273C" w:rsidP="001C3A5F">
            <w:pPr>
              <w:pStyle w:val="BodyText"/>
            </w:pPr>
            <w:r>
              <w:t>17AG(2A)(e)</w:t>
            </w:r>
          </w:p>
        </w:tc>
        <w:tc>
          <w:tcPr>
            <w:tcW w:w="2141" w:type="pct"/>
          </w:tcPr>
          <w:p w:rsidR="008E273C" w:rsidRDefault="008E273C" w:rsidP="001C3A5F">
            <w:pPr>
              <w:pStyle w:val="BodyText"/>
            </w:pPr>
            <w:r>
              <w:t>The remuneration of each member of the entity’s audit committee.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166–169</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AC4959" w:rsidP="001C3A5F">
            <w:pPr>
              <w:pStyle w:val="BodyText"/>
            </w:pPr>
            <w:r>
              <w:rPr>
                <w:rStyle w:val="Bold"/>
              </w:rPr>
              <w:t>External scrutiny</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17AG(3)</w:t>
            </w:r>
          </w:p>
        </w:tc>
        <w:tc>
          <w:tcPr>
            <w:tcW w:w="2141" w:type="pct"/>
          </w:tcPr>
          <w:p w:rsidR="008E273C" w:rsidRDefault="008E273C" w:rsidP="001C3A5F">
            <w:pPr>
              <w:pStyle w:val="BodyText"/>
            </w:pPr>
            <w:r>
              <w:t>Information on the most significant developments in external scrutiny and the entity's response to the scrutiny.</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171–176</w:t>
            </w:r>
          </w:p>
        </w:tc>
      </w:tr>
      <w:tr w:rsidR="008E273C" w:rsidTr="001C3A5F">
        <w:trPr>
          <w:trHeight w:val="392"/>
        </w:trPr>
        <w:tc>
          <w:tcPr>
            <w:tcW w:w="1058" w:type="pct"/>
          </w:tcPr>
          <w:p w:rsidR="008E273C" w:rsidRDefault="008E273C" w:rsidP="001C3A5F">
            <w:pPr>
              <w:pStyle w:val="BodyText"/>
            </w:pPr>
            <w:r>
              <w:t>17AG(3)(a)</w:t>
            </w:r>
          </w:p>
        </w:tc>
        <w:tc>
          <w:tcPr>
            <w:tcW w:w="2141" w:type="pct"/>
          </w:tcPr>
          <w:p w:rsidR="008E273C" w:rsidRDefault="008E273C" w:rsidP="001C3A5F">
            <w:pPr>
              <w:pStyle w:val="BodyText"/>
            </w:pPr>
            <w:r>
              <w:t>Information on judicial decisions and decisions of administrative tribunals and by the Australian Information Commissioner that may have a significant effect on the operations of the entity.</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171–173</w:t>
            </w:r>
          </w:p>
        </w:tc>
      </w:tr>
      <w:tr w:rsidR="008E273C" w:rsidTr="001C3A5F">
        <w:trPr>
          <w:trHeight w:val="392"/>
        </w:trPr>
        <w:tc>
          <w:tcPr>
            <w:tcW w:w="1058" w:type="pct"/>
          </w:tcPr>
          <w:p w:rsidR="008E273C" w:rsidRDefault="008E273C" w:rsidP="001C3A5F">
            <w:pPr>
              <w:pStyle w:val="BodyText"/>
            </w:pPr>
            <w:r>
              <w:t>17AG(3)(b)</w:t>
            </w:r>
          </w:p>
        </w:tc>
        <w:tc>
          <w:tcPr>
            <w:tcW w:w="2141" w:type="pct"/>
          </w:tcPr>
          <w:p w:rsidR="008E273C" w:rsidRDefault="008E273C" w:rsidP="001C3A5F">
            <w:pPr>
              <w:pStyle w:val="BodyText"/>
            </w:pPr>
            <w:r>
              <w:t>Information on any reports on operations of the entity by the Auditor-General (other than report under section 43 of the Act), a Parliamentary Committee, or the Commonwealth Ombudsman.</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173–176</w:t>
            </w:r>
          </w:p>
        </w:tc>
      </w:tr>
      <w:tr w:rsidR="008E273C" w:rsidTr="001C3A5F">
        <w:trPr>
          <w:trHeight w:val="392"/>
        </w:trPr>
        <w:tc>
          <w:tcPr>
            <w:tcW w:w="1058" w:type="pct"/>
          </w:tcPr>
          <w:p w:rsidR="008E273C" w:rsidRDefault="008E273C" w:rsidP="001C3A5F">
            <w:pPr>
              <w:pStyle w:val="BodyText"/>
            </w:pPr>
            <w:r>
              <w:lastRenderedPageBreak/>
              <w:t>17AG(3)(c)</w:t>
            </w:r>
          </w:p>
        </w:tc>
        <w:tc>
          <w:tcPr>
            <w:tcW w:w="2141" w:type="pct"/>
          </w:tcPr>
          <w:p w:rsidR="008E273C" w:rsidRDefault="008E273C" w:rsidP="001C3A5F">
            <w:pPr>
              <w:pStyle w:val="BodyText"/>
            </w:pPr>
            <w:r>
              <w:t>Information on any capability reviews on the entity that were released during the period.</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176</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8E273C" w:rsidP="001C3A5F">
            <w:pPr>
              <w:pStyle w:val="BodyText"/>
            </w:pPr>
            <w:r>
              <w:rPr>
                <w:rStyle w:val="Bold"/>
              </w:rPr>
              <w:t>Management of Human Resources</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17AG(4)(a)</w:t>
            </w:r>
          </w:p>
        </w:tc>
        <w:tc>
          <w:tcPr>
            <w:tcW w:w="2141" w:type="pct"/>
          </w:tcPr>
          <w:p w:rsidR="008E273C" w:rsidRDefault="008E273C" w:rsidP="001C3A5F">
            <w:pPr>
              <w:pStyle w:val="BodyText"/>
            </w:pPr>
            <w:r>
              <w:t>An assessment of the entity’s effectiveness in managing and developing employees to achieve entity objectives.</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182–190</w:t>
            </w:r>
          </w:p>
        </w:tc>
      </w:tr>
      <w:tr w:rsidR="008E273C" w:rsidTr="001C3A5F">
        <w:trPr>
          <w:trHeight w:val="392"/>
        </w:trPr>
        <w:tc>
          <w:tcPr>
            <w:tcW w:w="1058" w:type="pct"/>
          </w:tcPr>
          <w:p w:rsidR="008E273C" w:rsidRDefault="008E273C" w:rsidP="001C3A5F">
            <w:pPr>
              <w:pStyle w:val="BodyText"/>
            </w:pPr>
            <w:r>
              <w:t>17AG(4)(aa)</w:t>
            </w:r>
          </w:p>
        </w:tc>
        <w:tc>
          <w:tcPr>
            <w:tcW w:w="2141" w:type="pct"/>
          </w:tcPr>
          <w:p w:rsidR="008E273C" w:rsidRDefault="008E273C" w:rsidP="001C3A5F">
            <w:pPr>
              <w:pStyle w:val="BodyText"/>
            </w:pPr>
            <w:r>
              <w:t>Statistics on the entity’s employees on an ongoing and non-ongoing basis, including the following:</w:t>
            </w:r>
          </w:p>
          <w:p w:rsidR="008E273C" w:rsidRDefault="008E273C" w:rsidP="001C3A5F">
            <w:pPr>
              <w:pStyle w:val="BodyText"/>
            </w:pPr>
            <w:r>
              <w:t>(a) statistics on full-time employees;</w:t>
            </w:r>
          </w:p>
          <w:p w:rsidR="008E273C" w:rsidRDefault="008E273C" w:rsidP="001C3A5F">
            <w:pPr>
              <w:pStyle w:val="BodyText"/>
            </w:pPr>
            <w:r>
              <w:t>(b) statistics on part-time employees;</w:t>
            </w:r>
          </w:p>
          <w:p w:rsidR="008E273C" w:rsidRDefault="008E273C" w:rsidP="001C3A5F">
            <w:pPr>
              <w:pStyle w:val="BodyText"/>
            </w:pPr>
            <w:r>
              <w:t>(c) statistics on gender;</w:t>
            </w:r>
          </w:p>
          <w:p w:rsidR="008E273C" w:rsidRDefault="008E273C" w:rsidP="001C3A5F">
            <w:pPr>
              <w:pStyle w:val="BodyText"/>
            </w:pPr>
            <w:r>
              <w:t xml:space="preserve">(d) </w:t>
            </w:r>
            <w:proofErr w:type="gramStart"/>
            <w:r>
              <w:t>statistics</w:t>
            </w:r>
            <w:proofErr w:type="gramEnd"/>
            <w:r>
              <w:t xml:space="preserve"> on staff location.</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214–225</w:t>
            </w:r>
          </w:p>
        </w:tc>
      </w:tr>
      <w:tr w:rsidR="008E273C" w:rsidTr="001C3A5F">
        <w:trPr>
          <w:trHeight w:val="392"/>
        </w:trPr>
        <w:tc>
          <w:tcPr>
            <w:tcW w:w="1058" w:type="pct"/>
          </w:tcPr>
          <w:p w:rsidR="008E273C" w:rsidRDefault="008E273C" w:rsidP="001C3A5F">
            <w:pPr>
              <w:pStyle w:val="BodyText"/>
            </w:pPr>
            <w:r>
              <w:t>17AG(4)(b)</w:t>
            </w:r>
          </w:p>
        </w:tc>
        <w:tc>
          <w:tcPr>
            <w:tcW w:w="2141" w:type="pct"/>
          </w:tcPr>
          <w:p w:rsidR="008E273C" w:rsidRDefault="008E273C" w:rsidP="001C3A5F">
            <w:pPr>
              <w:pStyle w:val="BodyText"/>
            </w:pPr>
            <w:r>
              <w:t>Statistics on the entity’s APS employees on an ongoing and non-ongoing basis; including the following:</w:t>
            </w:r>
          </w:p>
          <w:p w:rsidR="008E273C" w:rsidRDefault="008E273C" w:rsidP="001C3A5F">
            <w:pPr>
              <w:pStyle w:val="BodyText"/>
            </w:pPr>
            <w:r>
              <w:t>• Statistics on staffing classification level;</w:t>
            </w:r>
          </w:p>
          <w:p w:rsidR="008E273C" w:rsidRDefault="008E273C" w:rsidP="001C3A5F">
            <w:pPr>
              <w:pStyle w:val="BodyText"/>
            </w:pPr>
            <w:r>
              <w:t>• Statistics on full-time employees;</w:t>
            </w:r>
          </w:p>
          <w:p w:rsidR="008E273C" w:rsidRDefault="008E273C" w:rsidP="001C3A5F">
            <w:pPr>
              <w:pStyle w:val="BodyText"/>
            </w:pPr>
            <w:r>
              <w:t>• Statistics on part-time employees;</w:t>
            </w:r>
          </w:p>
          <w:p w:rsidR="008E273C" w:rsidRDefault="008E273C" w:rsidP="001C3A5F">
            <w:pPr>
              <w:pStyle w:val="BodyText"/>
            </w:pPr>
            <w:r>
              <w:t>• Statistics on gender;</w:t>
            </w:r>
          </w:p>
          <w:p w:rsidR="008E273C" w:rsidRDefault="008E273C" w:rsidP="001C3A5F">
            <w:pPr>
              <w:pStyle w:val="BodyText"/>
            </w:pPr>
            <w:r>
              <w:t>• Statistics on staff location;</w:t>
            </w:r>
          </w:p>
          <w:p w:rsidR="008E273C" w:rsidRDefault="008E273C" w:rsidP="001C3A5F">
            <w:pPr>
              <w:pStyle w:val="BodyText"/>
            </w:pPr>
            <w:r>
              <w:t>• Statistics on employees who identify as Indigenous.</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223–226</w:t>
            </w:r>
          </w:p>
        </w:tc>
      </w:tr>
      <w:tr w:rsidR="008E273C" w:rsidTr="001C3A5F">
        <w:trPr>
          <w:trHeight w:val="392"/>
        </w:trPr>
        <w:tc>
          <w:tcPr>
            <w:tcW w:w="1058" w:type="pct"/>
          </w:tcPr>
          <w:p w:rsidR="008E273C" w:rsidRDefault="008E273C" w:rsidP="001C3A5F">
            <w:pPr>
              <w:pStyle w:val="BodyText"/>
            </w:pPr>
            <w:r>
              <w:t>17AG(4)(c)</w:t>
            </w:r>
          </w:p>
        </w:tc>
        <w:tc>
          <w:tcPr>
            <w:tcW w:w="2141" w:type="pct"/>
          </w:tcPr>
          <w:p w:rsidR="008E273C" w:rsidRDefault="008E273C" w:rsidP="001C3A5F">
            <w:pPr>
              <w:pStyle w:val="BodyText"/>
            </w:pPr>
            <w:r>
              <w:t xml:space="preserve">Information on any enterprise agreements, individual flexibility arrangements, Australian workplace agreements, common law contracts and determinations under subsection 24(1) of the </w:t>
            </w:r>
            <w:r>
              <w:rPr>
                <w:rStyle w:val="Italic"/>
              </w:rPr>
              <w:t>Public Service Act 1999</w:t>
            </w:r>
            <w:r>
              <w:t>.</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226</w:t>
            </w:r>
          </w:p>
        </w:tc>
      </w:tr>
      <w:tr w:rsidR="008E273C" w:rsidTr="001C3A5F">
        <w:trPr>
          <w:trHeight w:val="392"/>
        </w:trPr>
        <w:tc>
          <w:tcPr>
            <w:tcW w:w="1058" w:type="pct"/>
          </w:tcPr>
          <w:p w:rsidR="008E273C" w:rsidRDefault="008E273C" w:rsidP="001C3A5F">
            <w:pPr>
              <w:pStyle w:val="BodyText"/>
            </w:pPr>
            <w:r>
              <w:t>17AG(4)(c)(</w:t>
            </w:r>
            <w:proofErr w:type="spellStart"/>
            <w:r>
              <w:t>i</w:t>
            </w:r>
            <w:proofErr w:type="spellEnd"/>
            <w:r>
              <w:t>)</w:t>
            </w:r>
          </w:p>
        </w:tc>
        <w:tc>
          <w:tcPr>
            <w:tcW w:w="2141" w:type="pct"/>
          </w:tcPr>
          <w:p w:rsidR="008E273C" w:rsidRDefault="008E273C" w:rsidP="001C3A5F">
            <w:pPr>
              <w:pStyle w:val="BodyText"/>
            </w:pPr>
            <w:r>
              <w:t xml:space="preserve">Information on the number of SES and non-SES employees covered by </w:t>
            </w:r>
            <w:r>
              <w:lastRenderedPageBreak/>
              <w:t xml:space="preserve">agreements </w:t>
            </w:r>
            <w:proofErr w:type="spellStart"/>
            <w:r>
              <w:t>etc</w:t>
            </w:r>
            <w:proofErr w:type="spellEnd"/>
            <w:r>
              <w:t xml:space="preserve"> identified in paragraph </w:t>
            </w:r>
            <w:proofErr w:type="gramStart"/>
            <w:r>
              <w:t>17A</w:t>
            </w:r>
            <w:r>
              <w:rPr>
                <w:rStyle w:val="NoBreak"/>
              </w:rPr>
              <w:t>G(</w:t>
            </w:r>
            <w:proofErr w:type="gramEnd"/>
            <w:r>
              <w:rPr>
                <w:rStyle w:val="NoBreak"/>
              </w:rPr>
              <w:t>4)(c).</w:t>
            </w:r>
          </w:p>
        </w:tc>
        <w:tc>
          <w:tcPr>
            <w:tcW w:w="965" w:type="pct"/>
          </w:tcPr>
          <w:p w:rsidR="008E273C" w:rsidRDefault="008E273C" w:rsidP="001C3A5F">
            <w:pPr>
              <w:pStyle w:val="BodyText"/>
            </w:pPr>
            <w:r>
              <w:lastRenderedPageBreak/>
              <w:t>Mandatory</w:t>
            </w:r>
          </w:p>
        </w:tc>
        <w:tc>
          <w:tcPr>
            <w:tcW w:w="836" w:type="pct"/>
          </w:tcPr>
          <w:p w:rsidR="008E273C" w:rsidRDefault="008E273C" w:rsidP="001C3A5F">
            <w:pPr>
              <w:pStyle w:val="BodyText"/>
            </w:pPr>
            <w:r>
              <w:t>181</w:t>
            </w:r>
          </w:p>
          <w:p w:rsidR="008E273C" w:rsidRDefault="008E273C" w:rsidP="001C3A5F">
            <w:pPr>
              <w:pStyle w:val="BodyText"/>
            </w:pPr>
            <w:r>
              <w:lastRenderedPageBreak/>
              <w:t>232–233</w:t>
            </w:r>
          </w:p>
        </w:tc>
      </w:tr>
      <w:tr w:rsidR="008E273C" w:rsidTr="001C3A5F">
        <w:trPr>
          <w:trHeight w:val="392"/>
        </w:trPr>
        <w:tc>
          <w:tcPr>
            <w:tcW w:w="1058" w:type="pct"/>
          </w:tcPr>
          <w:p w:rsidR="008E273C" w:rsidRDefault="008E273C" w:rsidP="001C3A5F">
            <w:pPr>
              <w:pStyle w:val="BodyText"/>
            </w:pPr>
            <w:r>
              <w:lastRenderedPageBreak/>
              <w:t>17AG(4)(c)(ii)</w:t>
            </w:r>
          </w:p>
        </w:tc>
        <w:tc>
          <w:tcPr>
            <w:tcW w:w="2141" w:type="pct"/>
          </w:tcPr>
          <w:p w:rsidR="008E273C" w:rsidRDefault="008E273C" w:rsidP="001C3A5F">
            <w:pPr>
              <w:pStyle w:val="BodyText"/>
            </w:pPr>
            <w:r>
              <w:t>The salary ranges available for APS employees by classification level.</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227</w:t>
            </w:r>
          </w:p>
        </w:tc>
      </w:tr>
      <w:tr w:rsidR="008E273C" w:rsidTr="001C3A5F">
        <w:trPr>
          <w:trHeight w:val="392"/>
        </w:trPr>
        <w:tc>
          <w:tcPr>
            <w:tcW w:w="1058" w:type="pct"/>
          </w:tcPr>
          <w:p w:rsidR="008E273C" w:rsidRDefault="008E273C" w:rsidP="001C3A5F">
            <w:pPr>
              <w:pStyle w:val="BodyText"/>
            </w:pPr>
            <w:r>
              <w:t>17AG(4)(c)(iii)</w:t>
            </w:r>
          </w:p>
        </w:tc>
        <w:tc>
          <w:tcPr>
            <w:tcW w:w="2141" w:type="pct"/>
          </w:tcPr>
          <w:p w:rsidR="008E273C" w:rsidRDefault="008E273C" w:rsidP="001C3A5F">
            <w:pPr>
              <w:pStyle w:val="BodyText"/>
            </w:pPr>
            <w:r>
              <w:t>A description of non-salary benefits provided to employees.</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191</w:t>
            </w:r>
          </w:p>
          <w:p w:rsidR="008E273C" w:rsidRDefault="008E273C" w:rsidP="001C3A5F">
            <w:pPr>
              <w:pStyle w:val="BodyText"/>
            </w:pPr>
            <w:r>
              <w:t>228</w:t>
            </w:r>
          </w:p>
        </w:tc>
      </w:tr>
      <w:tr w:rsidR="008E273C" w:rsidTr="001C3A5F">
        <w:trPr>
          <w:trHeight w:val="392"/>
        </w:trPr>
        <w:tc>
          <w:tcPr>
            <w:tcW w:w="1058" w:type="pct"/>
          </w:tcPr>
          <w:p w:rsidR="008E273C" w:rsidRDefault="008E273C" w:rsidP="001C3A5F">
            <w:pPr>
              <w:pStyle w:val="BodyText"/>
            </w:pPr>
            <w:r>
              <w:t>17AG(4)(d)(</w:t>
            </w:r>
            <w:proofErr w:type="spellStart"/>
            <w:r>
              <w:t>i</w:t>
            </w:r>
            <w:proofErr w:type="spellEnd"/>
            <w:r>
              <w:t>)</w:t>
            </w:r>
          </w:p>
        </w:tc>
        <w:tc>
          <w:tcPr>
            <w:tcW w:w="2141" w:type="pct"/>
          </w:tcPr>
          <w:p w:rsidR="008E273C" w:rsidRDefault="008E273C" w:rsidP="001C3A5F">
            <w:pPr>
              <w:pStyle w:val="BodyText"/>
            </w:pPr>
            <w:r>
              <w:t>Information on the number of employees at each classification level who received performance pay.</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Not applicable</w:t>
            </w:r>
          </w:p>
        </w:tc>
      </w:tr>
      <w:tr w:rsidR="008E273C" w:rsidTr="001C3A5F">
        <w:trPr>
          <w:trHeight w:val="392"/>
        </w:trPr>
        <w:tc>
          <w:tcPr>
            <w:tcW w:w="1058" w:type="pct"/>
          </w:tcPr>
          <w:p w:rsidR="008E273C" w:rsidRDefault="008E273C" w:rsidP="001C3A5F">
            <w:pPr>
              <w:pStyle w:val="BodyText"/>
            </w:pPr>
            <w:r>
              <w:t>17AG(4)(d)(ii)</w:t>
            </w:r>
          </w:p>
        </w:tc>
        <w:tc>
          <w:tcPr>
            <w:tcW w:w="2141" w:type="pct"/>
          </w:tcPr>
          <w:p w:rsidR="008E273C" w:rsidRDefault="008E273C" w:rsidP="001C3A5F">
            <w:pPr>
              <w:pStyle w:val="BodyText"/>
            </w:pPr>
            <w:r>
              <w:t>Information on aggregate amounts of performance pay at each classification level.</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Not applicable</w:t>
            </w:r>
          </w:p>
        </w:tc>
      </w:tr>
      <w:tr w:rsidR="008E273C" w:rsidTr="001C3A5F">
        <w:trPr>
          <w:trHeight w:val="392"/>
        </w:trPr>
        <w:tc>
          <w:tcPr>
            <w:tcW w:w="1058" w:type="pct"/>
          </w:tcPr>
          <w:p w:rsidR="008E273C" w:rsidRDefault="008E273C" w:rsidP="001C3A5F">
            <w:pPr>
              <w:pStyle w:val="BodyText"/>
            </w:pPr>
            <w:r>
              <w:t>17AG(4)(d)(iii)</w:t>
            </w:r>
          </w:p>
        </w:tc>
        <w:tc>
          <w:tcPr>
            <w:tcW w:w="2141" w:type="pct"/>
          </w:tcPr>
          <w:p w:rsidR="008E273C" w:rsidRDefault="008E273C" w:rsidP="001C3A5F">
            <w:pPr>
              <w:pStyle w:val="BodyText"/>
            </w:pPr>
            <w:r>
              <w:t>Information on the average amount of performance payment, and range of such payments, at each classification level.</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Not applicable</w:t>
            </w:r>
          </w:p>
        </w:tc>
      </w:tr>
      <w:tr w:rsidR="008E273C" w:rsidTr="001C3A5F">
        <w:trPr>
          <w:trHeight w:val="392"/>
        </w:trPr>
        <w:tc>
          <w:tcPr>
            <w:tcW w:w="1058" w:type="pct"/>
          </w:tcPr>
          <w:p w:rsidR="008E273C" w:rsidRDefault="008E273C" w:rsidP="001C3A5F">
            <w:pPr>
              <w:pStyle w:val="BodyText"/>
            </w:pPr>
            <w:r>
              <w:t>17AG(4)(d)(iv)</w:t>
            </w:r>
          </w:p>
        </w:tc>
        <w:tc>
          <w:tcPr>
            <w:tcW w:w="2141" w:type="pct"/>
          </w:tcPr>
          <w:p w:rsidR="008E273C" w:rsidRDefault="008E273C" w:rsidP="001C3A5F">
            <w:pPr>
              <w:pStyle w:val="BodyText"/>
            </w:pPr>
            <w:r>
              <w:t>Information on aggregate amount of performance payments.</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Not applicable</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AC4959" w:rsidP="001C3A5F">
            <w:pPr>
              <w:pStyle w:val="BodyText"/>
            </w:pPr>
            <w:r>
              <w:rPr>
                <w:rStyle w:val="Bold"/>
              </w:rPr>
              <w:t>Assets management</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17AG(5)</w:t>
            </w:r>
          </w:p>
        </w:tc>
        <w:tc>
          <w:tcPr>
            <w:tcW w:w="2141" w:type="pct"/>
          </w:tcPr>
          <w:p w:rsidR="008E273C" w:rsidRDefault="008E273C" w:rsidP="001C3A5F">
            <w:pPr>
              <w:pStyle w:val="BodyText"/>
            </w:pPr>
            <w:r>
              <w:t>An assessment of effectiveness of assets management where asset management is a significant part of the entity’s activities.</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117–118</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8E273C" w:rsidP="001C3A5F">
            <w:pPr>
              <w:pStyle w:val="BodyText"/>
            </w:pPr>
            <w:r>
              <w:rPr>
                <w:rStyle w:val="Bold"/>
              </w:rPr>
              <w:t>Purchasing</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17AG(6)</w:t>
            </w:r>
          </w:p>
        </w:tc>
        <w:tc>
          <w:tcPr>
            <w:tcW w:w="2141" w:type="pct"/>
          </w:tcPr>
          <w:p w:rsidR="008E273C" w:rsidRDefault="008E273C" w:rsidP="001C3A5F">
            <w:pPr>
              <w:pStyle w:val="BodyText"/>
            </w:pPr>
            <w:r>
              <w:t xml:space="preserve">An assessment of entity performance against the </w:t>
            </w:r>
            <w:r>
              <w:rPr>
                <w:rStyle w:val="Italic"/>
              </w:rPr>
              <w:t>Commonwealth Procurement Rules</w:t>
            </w:r>
            <w:r>
              <w:t>.</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170</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8E273C" w:rsidP="001C3A5F">
            <w:pPr>
              <w:pStyle w:val="BodyText"/>
            </w:pPr>
            <w:r>
              <w:rPr>
                <w:rStyle w:val="Bold"/>
              </w:rPr>
              <w:t>Consultants</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17AG(7)(a)</w:t>
            </w:r>
          </w:p>
        </w:tc>
        <w:tc>
          <w:tcPr>
            <w:tcW w:w="2141" w:type="pct"/>
          </w:tcPr>
          <w:p w:rsidR="008E273C" w:rsidRDefault="008E273C" w:rsidP="001C3A5F">
            <w:pPr>
              <w:pStyle w:val="BodyText"/>
            </w:pPr>
            <w:r>
              <w:t xml:space="preserve">A summary statement detailing the number of new contracts engaging consultants entered into during the period; the total actual expenditure on all new consultancy contracts entered into during </w:t>
            </w:r>
            <w:r>
              <w:lastRenderedPageBreak/>
              <w:t>the period (inclusive of GST); the number of ongoing consultancy contracts that were entered into during a previous reporting period; and the total actual expenditure in the reporting year on the ongoing consultancy contracts (inclusive of GST).</w:t>
            </w:r>
          </w:p>
        </w:tc>
        <w:tc>
          <w:tcPr>
            <w:tcW w:w="965" w:type="pct"/>
          </w:tcPr>
          <w:p w:rsidR="008E273C" w:rsidRDefault="008E273C" w:rsidP="001C3A5F">
            <w:pPr>
              <w:pStyle w:val="BodyText"/>
            </w:pPr>
            <w:r>
              <w:lastRenderedPageBreak/>
              <w:t>Mandatory</w:t>
            </w:r>
          </w:p>
        </w:tc>
        <w:tc>
          <w:tcPr>
            <w:tcW w:w="836" w:type="pct"/>
          </w:tcPr>
          <w:p w:rsidR="008E273C" w:rsidRDefault="008E273C" w:rsidP="001C3A5F">
            <w:pPr>
              <w:pStyle w:val="BodyText"/>
            </w:pPr>
            <w:r>
              <w:t>194</w:t>
            </w:r>
          </w:p>
        </w:tc>
      </w:tr>
      <w:tr w:rsidR="008E273C" w:rsidTr="001C3A5F">
        <w:trPr>
          <w:trHeight w:val="392"/>
        </w:trPr>
        <w:tc>
          <w:tcPr>
            <w:tcW w:w="1058" w:type="pct"/>
          </w:tcPr>
          <w:p w:rsidR="008E273C" w:rsidRDefault="008E273C" w:rsidP="001C3A5F">
            <w:pPr>
              <w:pStyle w:val="BodyText"/>
            </w:pPr>
            <w:r>
              <w:t>17AG(7)(b)</w:t>
            </w:r>
          </w:p>
        </w:tc>
        <w:tc>
          <w:tcPr>
            <w:tcW w:w="2141" w:type="pct"/>
          </w:tcPr>
          <w:p w:rsidR="008E273C" w:rsidRDefault="008E273C" w:rsidP="001C3A5F">
            <w:pPr>
              <w:pStyle w:val="BodyText"/>
            </w:pPr>
            <w:r>
              <w:t>A statement that</w:t>
            </w:r>
          </w:p>
          <w:p w:rsidR="008E273C" w:rsidRDefault="008E273C" w:rsidP="001C3A5F">
            <w:pPr>
              <w:pStyle w:val="BodyText"/>
            </w:pPr>
            <w:r>
              <w:rPr>
                <w:rStyle w:val="Italic"/>
              </w:rPr>
              <w:t>“During [reporting period], [specified number] new consultancy contracts were entered into involving total actual expenditure of $[specified million]. In addition, [specified number] ongoing consultancy contracts were active during the period, involving total actual expenditure of $[specified million]”.</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194</w:t>
            </w:r>
          </w:p>
        </w:tc>
      </w:tr>
      <w:tr w:rsidR="008E273C" w:rsidTr="001C3A5F">
        <w:trPr>
          <w:trHeight w:val="392"/>
        </w:trPr>
        <w:tc>
          <w:tcPr>
            <w:tcW w:w="1058" w:type="pct"/>
          </w:tcPr>
          <w:p w:rsidR="008E273C" w:rsidRDefault="008E273C" w:rsidP="001C3A5F">
            <w:pPr>
              <w:pStyle w:val="BodyText"/>
            </w:pPr>
            <w:r>
              <w:t>17AG(7)(c)</w:t>
            </w:r>
          </w:p>
        </w:tc>
        <w:tc>
          <w:tcPr>
            <w:tcW w:w="2141" w:type="pct"/>
          </w:tcPr>
          <w:p w:rsidR="008E273C" w:rsidRDefault="008E273C" w:rsidP="001C3A5F">
            <w:pPr>
              <w:pStyle w:val="BodyText"/>
            </w:pPr>
            <w:r>
              <w:t>A summary of the policies and procedures for selecting and engaging consultants and the main categories of purposes for which consultants were selected and engaged.</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194</w:t>
            </w:r>
          </w:p>
        </w:tc>
      </w:tr>
      <w:tr w:rsidR="008E273C" w:rsidTr="001C3A5F">
        <w:trPr>
          <w:trHeight w:val="392"/>
        </w:trPr>
        <w:tc>
          <w:tcPr>
            <w:tcW w:w="1058" w:type="pct"/>
          </w:tcPr>
          <w:p w:rsidR="008E273C" w:rsidRDefault="008E273C" w:rsidP="001C3A5F">
            <w:pPr>
              <w:pStyle w:val="BodyText"/>
            </w:pPr>
            <w:r>
              <w:t>17AG(7)(d)</w:t>
            </w:r>
          </w:p>
        </w:tc>
        <w:tc>
          <w:tcPr>
            <w:tcW w:w="2141" w:type="pct"/>
          </w:tcPr>
          <w:p w:rsidR="008E273C" w:rsidRDefault="008E273C" w:rsidP="001C3A5F">
            <w:pPr>
              <w:pStyle w:val="BodyText"/>
            </w:pPr>
            <w:r>
              <w:t>A statement that</w:t>
            </w:r>
          </w:p>
          <w:p w:rsidR="008E273C" w:rsidRDefault="008E273C" w:rsidP="001C3A5F">
            <w:pPr>
              <w:pStyle w:val="BodyText"/>
            </w:pPr>
            <w:r>
              <w:rPr>
                <w:rStyle w:val="Italic"/>
              </w:rPr>
              <w:t xml:space="preserve">“Annual reports contain information about actual expenditure on contracts for consultancies. Information on the value of contracts and consultancies is available on the </w:t>
            </w:r>
            <w:proofErr w:type="spellStart"/>
            <w:r>
              <w:rPr>
                <w:rStyle w:val="Italic"/>
              </w:rPr>
              <w:t>AusTender</w:t>
            </w:r>
            <w:proofErr w:type="spellEnd"/>
            <w:r>
              <w:rPr>
                <w:rStyle w:val="Italic"/>
              </w:rPr>
              <w:t xml:space="preserve"> website.”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194</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AC4959" w:rsidP="001C3A5F">
            <w:pPr>
              <w:pStyle w:val="BodyText"/>
            </w:pPr>
            <w:r>
              <w:rPr>
                <w:rStyle w:val="Bold"/>
              </w:rPr>
              <w:t>Australian national audit office access clauses</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17AG(8)</w:t>
            </w:r>
          </w:p>
        </w:tc>
        <w:tc>
          <w:tcPr>
            <w:tcW w:w="2141" w:type="pct"/>
          </w:tcPr>
          <w:p w:rsidR="008E273C" w:rsidRDefault="008E273C" w:rsidP="001C3A5F">
            <w:pPr>
              <w:pStyle w:val="BodyText"/>
            </w:pPr>
            <w:r>
              <w:t>If an entity entered into a contract with a value of more than $100 000 (inclusive of GST) and the contract did not provide the Auditor-General with access to the contractor’s premises, the report must include the name of the contractor, purpose and value of the contract, and the reason why a clause allowing access was not included in the contract.</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Not applicable</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8E273C" w:rsidP="001C3A5F">
            <w:pPr>
              <w:pStyle w:val="BodyText"/>
            </w:pPr>
            <w:r>
              <w:rPr>
                <w:rStyle w:val="Bold"/>
              </w:rPr>
              <w:t>Exempt contracts</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17AG(9)</w:t>
            </w:r>
          </w:p>
        </w:tc>
        <w:tc>
          <w:tcPr>
            <w:tcW w:w="2141" w:type="pct"/>
          </w:tcPr>
          <w:p w:rsidR="008E273C" w:rsidRDefault="008E273C" w:rsidP="001C3A5F">
            <w:pPr>
              <w:pStyle w:val="BodyText"/>
            </w:pPr>
            <w:r>
              <w:t xml:space="preserve">If an entity entered into a contract or there is a standing offer with a value greater than $10 000 (inclusive of GST) which has been exempted from being published in </w:t>
            </w:r>
            <w:proofErr w:type="spellStart"/>
            <w:r>
              <w:t>AusTender</w:t>
            </w:r>
            <w:proofErr w:type="spellEnd"/>
            <w:r>
              <w:t xml:space="preserve">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Not applicable</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8E273C" w:rsidP="001C3A5F">
            <w:pPr>
              <w:pStyle w:val="BodyText"/>
            </w:pPr>
            <w:r>
              <w:rPr>
                <w:rStyle w:val="Bold"/>
              </w:rPr>
              <w:t>Small business</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17AG(10)(a)</w:t>
            </w:r>
          </w:p>
        </w:tc>
        <w:tc>
          <w:tcPr>
            <w:tcW w:w="2141" w:type="pct"/>
          </w:tcPr>
          <w:p w:rsidR="008E273C" w:rsidRDefault="008E273C" w:rsidP="001C3A5F">
            <w:pPr>
              <w:pStyle w:val="BodyText"/>
            </w:pPr>
            <w:r>
              <w:t>A statement that</w:t>
            </w:r>
          </w:p>
          <w:p w:rsidR="008E273C" w:rsidRDefault="008E273C" w:rsidP="001C3A5F">
            <w:pPr>
              <w:pStyle w:val="BodyText"/>
            </w:pPr>
            <w:r>
              <w:rPr>
                <w:rStyle w:val="Italic"/>
              </w:rPr>
              <w:t>“[Name of entity] supports small business participation in the Commonwealth Government procurement market. Small and Medium Enterprises (SME) and Small Enterprise participation statistics are available on the Department of Finance’s website.”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195</w:t>
            </w:r>
          </w:p>
        </w:tc>
      </w:tr>
      <w:tr w:rsidR="008E273C" w:rsidTr="001C3A5F">
        <w:trPr>
          <w:trHeight w:val="392"/>
        </w:trPr>
        <w:tc>
          <w:tcPr>
            <w:tcW w:w="1058" w:type="pct"/>
          </w:tcPr>
          <w:p w:rsidR="008E273C" w:rsidRDefault="008E273C" w:rsidP="001C3A5F">
            <w:pPr>
              <w:pStyle w:val="BodyText"/>
            </w:pPr>
            <w:r>
              <w:t>17AG(10)(b)</w:t>
            </w:r>
          </w:p>
        </w:tc>
        <w:tc>
          <w:tcPr>
            <w:tcW w:w="2141" w:type="pct"/>
          </w:tcPr>
          <w:p w:rsidR="008E273C" w:rsidRDefault="008E273C" w:rsidP="001C3A5F">
            <w:pPr>
              <w:pStyle w:val="BodyText"/>
            </w:pPr>
            <w:r>
              <w:t>An outline of the ways in which the procurement practices of the entity support small and medium enterprises.</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195</w:t>
            </w:r>
          </w:p>
        </w:tc>
      </w:tr>
      <w:tr w:rsidR="008E273C" w:rsidTr="001C3A5F">
        <w:trPr>
          <w:trHeight w:val="392"/>
        </w:trPr>
        <w:tc>
          <w:tcPr>
            <w:tcW w:w="1058" w:type="pct"/>
          </w:tcPr>
          <w:p w:rsidR="008E273C" w:rsidRDefault="008E273C" w:rsidP="001C3A5F">
            <w:pPr>
              <w:pStyle w:val="BodyText"/>
            </w:pPr>
            <w:r>
              <w:t>17AG(10)(b)</w:t>
            </w:r>
          </w:p>
        </w:tc>
        <w:tc>
          <w:tcPr>
            <w:tcW w:w="2141" w:type="pct"/>
          </w:tcPr>
          <w:p w:rsidR="008E273C" w:rsidRDefault="008E273C" w:rsidP="001C3A5F">
            <w:pPr>
              <w:pStyle w:val="BodyText"/>
            </w:pPr>
            <w:r>
              <w:t>If the entity is considered by the Department administered by the Finance Minister as material in nature—a statement that</w:t>
            </w:r>
          </w:p>
          <w:p w:rsidR="008E273C" w:rsidRDefault="008E273C" w:rsidP="001C3A5F">
            <w:pPr>
              <w:pStyle w:val="BodyText"/>
            </w:pPr>
            <w:r>
              <w:rPr>
                <w:rStyle w:val="Italic"/>
              </w:rPr>
              <w:t>“[Name of entity] recognises the importance of ensuring that small businesses are paid on time. The results of the Survey of Australian Government Payments to Small Business are available on the Treasury’s website.”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195</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AC4959" w:rsidP="001C3A5F">
            <w:pPr>
              <w:pStyle w:val="BodyText"/>
            </w:pPr>
            <w:r>
              <w:rPr>
                <w:rStyle w:val="Bold"/>
              </w:rPr>
              <w:t>Financial statements</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lastRenderedPageBreak/>
              <w:t>17AD(e)</w:t>
            </w:r>
          </w:p>
        </w:tc>
        <w:tc>
          <w:tcPr>
            <w:tcW w:w="2141" w:type="pct"/>
          </w:tcPr>
          <w:p w:rsidR="008E273C" w:rsidRDefault="008E273C" w:rsidP="001C3A5F">
            <w:pPr>
              <w:pStyle w:val="BodyText"/>
            </w:pPr>
            <w:r>
              <w:t>Inclusion of the annual financial statements in accordance with subsection 43(4) of the Act.</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119–159</w:t>
            </w:r>
          </w:p>
        </w:tc>
      </w:tr>
      <w:tr w:rsidR="008E273C" w:rsidTr="001C3A5F">
        <w:trPr>
          <w:trHeight w:val="392"/>
        </w:trPr>
        <w:tc>
          <w:tcPr>
            <w:tcW w:w="1058" w:type="pct"/>
          </w:tcPr>
          <w:p w:rsidR="008E273C" w:rsidRDefault="008E273C" w:rsidP="001C3A5F">
            <w:pPr>
              <w:pStyle w:val="BodyText"/>
              <w:rPr>
                <w:rFonts w:ascii="Roboto-Medium" w:hAnsi="Roboto-Medium" w:cstheme="minorBidi"/>
              </w:rPr>
            </w:pPr>
          </w:p>
        </w:tc>
        <w:tc>
          <w:tcPr>
            <w:tcW w:w="2141" w:type="pct"/>
          </w:tcPr>
          <w:p w:rsidR="008E273C" w:rsidRDefault="00AC4959" w:rsidP="001C3A5F">
            <w:pPr>
              <w:pStyle w:val="BodyText"/>
            </w:pPr>
            <w:r>
              <w:rPr>
                <w:rStyle w:val="Bold"/>
              </w:rPr>
              <w:t>Executive remuneration</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17AD(da)</w:t>
            </w:r>
          </w:p>
        </w:tc>
        <w:tc>
          <w:tcPr>
            <w:tcW w:w="2141" w:type="pct"/>
          </w:tcPr>
          <w:p w:rsidR="008E273C" w:rsidRDefault="008E273C" w:rsidP="001C3A5F">
            <w:pPr>
              <w:pStyle w:val="BodyText"/>
            </w:pPr>
            <w:r>
              <w:t>Information about executive remuneration in accordance with Subdivision C of Division 3A of Part 2-3 of the Rule.</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181</w:t>
            </w:r>
          </w:p>
          <w:p w:rsidR="008E273C" w:rsidRDefault="008E273C" w:rsidP="001C3A5F">
            <w:pPr>
              <w:pStyle w:val="BodyText"/>
            </w:pPr>
            <w:r>
              <w:t>230–233</w:t>
            </w:r>
          </w:p>
        </w:tc>
      </w:tr>
      <w:tr w:rsidR="008E273C" w:rsidTr="001C3A5F">
        <w:trPr>
          <w:trHeight w:val="392"/>
        </w:trPr>
        <w:tc>
          <w:tcPr>
            <w:tcW w:w="1058" w:type="pct"/>
          </w:tcPr>
          <w:p w:rsidR="008E273C" w:rsidRDefault="008E273C" w:rsidP="001C3A5F">
            <w:pPr>
              <w:pStyle w:val="BodyText"/>
            </w:pPr>
            <w:r>
              <w:rPr>
                <w:rStyle w:val="Bold"/>
              </w:rPr>
              <w:t>17AD(f)</w:t>
            </w:r>
          </w:p>
        </w:tc>
        <w:tc>
          <w:tcPr>
            <w:tcW w:w="2141" w:type="pct"/>
          </w:tcPr>
          <w:p w:rsidR="008E273C" w:rsidRDefault="00AC4959" w:rsidP="001C3A5F">
            <w:pPr>
              <w:pStyle w:val="BodyText"/>
            </w:pPr>
            <w:r>
              <w:rPr>
                <w:rStyle w:val="Bold"/>
              </w:rPr>
              <w:t>Other mandatory information</w:t>
            </w:r>
          </w:p>
        </w:tc>
        <w:tc>
          <w:tcPr>
            <w:tcW w:w="965" w:type="pct"/>
          </w:tcPr>
          <w:p w:rsidR="008E273C" w:rsidRDefault="008E273C" w:rsidP="001C3A5F">
            <w:pPr>
              <w:pStyle w:val="BodyText"/>
              <w:rPr>
                <w:rFonts w:ascii="Roboto-Medium" w:hAnsi="Roboto-Medium" w:cstheme="minorBidi"/>
              </w:rPr>
            </w:pPr>
          </w:p>
        </w:tc>
        <w:tc>
          <w:tcPr>
            <w:tcW w:w="836" w:type="pct"/>
          </w:tcPr>
          <w:p w:rsidR="008E273C" w:rsidRDefault="008E273C" w:rsidP="001C3A5F">
            <w:pPr>
              <w:pStyle w:val="BodyText"/>
              <w:rPr>
                <w:rFonts w:ascii="Roboto-Medium" w:hAnsi="Roboto-Medium" w:cstheme="minorBidi"/>
              </w:rPr>
            </w:pPr>
          </w:p>
        </w:tc>
      </w:tr>
      <w:tr w:rsidR="008E273C" w:rsidTr="001C3A5F">
        <w:trPr>
          <w:trHeight w:val="392"/>
        </w:trPr>
        <w:tc>
          <w:tcPr>
            <w:tcW w:w="1058" w:type="pct"/>
          </w:tcPr>
          <w:p w:rsidR="008E273C" w:rsidRDefault="008E273C" w:rsidP="001C3A5F">
            <w:pPr>
              <w:pStyle w:val="BodyText"/>
            </w:pPr>
            <w:r>
              <w:t>17AH(1)(a)(</w:t>
            </w:r>
            <w:proofErr w:type="spellStart"/>
            <w:r>
              <w:t>i</w:t>
            </w:r>
            <w:proofErr w:type="spellEnd"/>
            <w:r>
              <w:t>)</w:t>
            </w:r>
          </w:p>
        </w:tc>
        <w:tc>
          <w:tcPr>
            <w:tcW w:w="2141" w:type="pct"/>
          </w:tcPr>
          <w:p w:rsidR="008E273C" w:rsidRDefault="008E273C" w:rsidP="001C3A5F">
            <w:pPr>
              <w:pStyle w:val="BodyText"/>
            </w:pPr>
            <w:r>
              <w:t>If the entity conducted advertising campaigns, a statement that</w:t>
            </w:r>
          </w:p>
          <w:p w:rsidR="008E273C" w:rsidRDefault="008E273C" w:rsidP="001C3A5F">
            <w:pPr>
              <w:pStyle w:val="BodyText"/>
            </w:pPr>
            <w:r>
              <w:rPr>
                <w:rStyle w:val="Italic"/>
              </w:rPr>
              <w:t>“During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196</w:t>
            </w:r>
          </w:p>
        </w:tc>
      </w:tr>
      <w:tr w:rsidR="008E273C" w:rsidTr="001C3A5F">
        <w:trPr>
          <w:trHeight w:val="392"/>
        </w:trPr>
        <w:tc>
          <w:tcPr>
            <w:tcW w:w="1058" w:type="pct"/>
          </w:tcPr>
          <w:p w:rsidR="008E273C" w:rsidRDefault="008E273C" w:rsidP="001C3A5F">
            <w:pPr>
              <w:pStyle w:val="BodyText"/>
            </w:pPr>
            <w:r>
              <w:t>17AH(1)(a)(ii)</w:t>
            </w:r>
          </w:p>
        </w:tc>
        <w:tc>
          <w:tcPr>
            <w:tcW w:w="2141" w:type="pct"/>
          </w:tcPr>
          <w:p w:rsidR="008E273C" w:rsidRDefault="008E273C" w:rsidP="001C3A5F">
            <w:pPr>
              <w:pStyle w:val="BodyText"/>
            </w:pPr>
            <w:r>
              <w:t>If the entity did not conduct advertising campaigns, a statement to that effect.</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196</w:t>
            </w:r>
          </w:p>
        </w:tc>
      </w:tr>
      <w:tr w:rsidR="008E273C" w:rsidTr="001C3A5F">
        <w:trPr>
          <w:trHeight w:val="392"/>
        </w:trPr>
        <w:tc>
          <w:tcPr>
            <w:tcW w:w="1058" w:type="pct"/>
          </w:tcPr>
          <w:p w:rsidR="008E273C" w:rsidRDefault="008E273C" w:rsidP="001C3A5F">
            <w:pPr>
              <w:pStyle w:val="BodyText"/>
            </w:pPr>
            <w:r>
              <w:t>17AH(1)(b)</w:t>
            </w:r>
          </w:p>
        </w:tc>
        <w:tc>
          <w:tcPr>
            <w:tcW w:w="2141" w:type="pct"/>
          </w:tcPr>
          <w:p w:rsidR="008E273C" w:rsidRDefault="008E273C" w:rsidP="001C3A5F">
            <w:pPr>
              <w:pStyle w:val="BodyText"/>
            </w:pPr>
            <w:r>
              <w:t>A statement that</w:t>
            </w:r>
          </w:p>
          <w:p w:rsidR="008E273C" w:rsidRDefault="008E273C" w:rsidP="001C3A5F">
            <w:pPr>
              <w:pStyle w:val="BodyText"/>
            </w:pPr>
            <w:r>
              <w:rPr>
                <w:rStyle w:val="Italic"/>
              </w:rPr>
              <w:t>“Information on grants awarded by [name of entity] during [reporting period] is available at [address of entity’s website].”</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Not applicable</w:t>
            </w:r>
          </w:p>
        </w:tc>
      </w:tr>
      <w:tr w:rsidR="008E273C" w:rsidTr="001C3A5F">
        <w:trPr>
          <w:trHeight w:val="392"/>
        </w:trPr>
        <w:tc>
          <w:tcPr>
            <w:tcW w:w="1058" w:type="pct"/>
          </w:tcPr>
          <w:p w:rsidR="008E273C" w:rsidRDefault="008E273C" w:rsidP="001C3A5F">
            <w:pPr>
              <w:pStyle w:val="BodyText"/>
            </w:pPr>
            <w:r>
              <w:t>17AH(1)(c)</w:t>
            </w:r>
          </w:p>
        </w:tc>
        <w:tc>
          <w:tcPr>
            <w:tcW w:w="2141" w:type="pct"/>
          </w:tcPr>
          <w:p w:rsidR="008E273C" w:rsidRDefault="008E273C" w:rsidP="001C3A5F">
            <w:pPr>
              <w:pStyle w:val="BodyText"/>
            </w:pPr>
            <w:r>
              <w:t>Outline of mechanisms of disability reporting, including reference to website for further information.</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197</w:t>
            </w:r>
          </w:p>
        </w:tc>
      </w:tr>
      <w:tr w:rsidR="008E273C" w:rsidTr="001C3A5F">
        <w:trPr>
          <w:trHeight w:val="392"/>
        </w:trPr>
        <w:tc>
          <w:tcPr>
            <w:tcW w:w="1058" w:type="pct"/>
          </w:tcPr>
          <w:p w:rsidR="008E273C" w:rsidRDefault="008E273C" w:rsidP="001C3A5F">
            <w:pPr>
              <w:pStyle w:val="BodyText"/>
            </w:pPr>
            <w:r>
              <w:t>17AH(1)(d)</w:t>
            </w:r>
          </w:p>
        </w:tc>
        <w:tc>
          <w:tcPr>
            <w:tcW w:w="2141" w:type="pct"/>
          </w:tcPr>
          <w:p w:rsidR="008E273C" w:rsidRDefault="008E273C" w:rsidP="001C3A5F">
            <w:pPr>
              <w:pStyle w:val="BodyText"/>
            </w:pPr>
            <w:r>
              <w:t>Website reference to where the entity’s Information Publication Scheme statement pursuant to Part II of FOI Act can be found.</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198</w:t>
            </w:r>
          </w:p>
        </w:tc>
      </w:tr>
      <w:tr w:rsidR="008E273C" w:rsidTr="001C3A5F">
        <w:trPr>
          <w:trHeight w:val="392"/>
        </w:trPr>
        <w:tc>
          <w:tcPr>
            <w:tcW w:w="1058" w:type="pct"/>
          </w:tcPr>
          <w:p w:rsidR="008E273C" w:rsidRDefault="008E273C" w:rsidP="001C3A5F">
            <w:pPr>
              <w:pStyle w:val="BodyText"/>
            </w:pPr>
            <w:r>
              <w:lastRenderedPageBreak/>
              <w:t>17AH(1)(e)</w:t>
            </w:r>
          </w:p>
        </w:tc>
        <w:tc>
          <w:tcPr>
            <w:tcW w:w="2141" w:type="pct"/>
          </w:tcPr>
          <w:p w:rsidR="008E273C" w:rsidRDefault="008E273C" w:rsidP="001C3A5F">
            <w:pPr>
              <w:pStyle w:val="BodyText"/>
            </w:pPr>
            <w:r>
              <w:t>Correction of material errors in previous annual report.</w:t>
            </w:r>
          </w:p>
        </w:tc>
        <w:tc>
          <w:tcPr>
            <w:tcW w:w="965" w:type="pct"/>
          </w:tcPr>
          <w:p w:rsidR="008E273C" w:rsidRDefault="008E273C" w:rsidP="001C3A5F">
            <w:pPr>
              <w:pStyle w:val="BodyText"/>
            </w:pPr>
            <w:r>
              <w:t>If applicable, mandatory</w:t>
            </w:r>
          </w:p>
        </w:tc>
        <w:tc>
          <w:tcPr>
            <w:tcW w:w="836" w:type="pct"/>
          </w:tcPr>
          <w:p w:rsidR="008E273C" w:rsidRDefault="008E273C" w:rsidP="001C3A5F">
            <w:pPr>
              <w:pStyle w:val="BodyText"/>
            </w:pPr>
            <w:r>
              <w:t>Not applicable</w:t>
            </w:r>
          </w:p>
        </w:tc>
      </w:tr>
      <w:tr w:rsidR="008E273C" w:rsidTr="001C3A5F">
        <w:trPr>
          <w:trHeight w:val="392"/>
        </w:trPr>
        <w:tc>
          <w:tcPr>
            <w:tcW w:w="1058" w:type="pct"/>
          </w:tcPr>
          <w:p w:rsidR="008E273C" w:rsidRDefault="008E273C" w:rsidP="001C3A5F">
            <w:pPr>
              <w:pStyle w:val="BodyText"/>
            </w:pPr>
            <w:r>
              <w:t>17AH(2)</w:t>
            </w:r>
          </w:p>
        </w:tc>
        <w:tc>
          <w:tcPr>
            <w:tcW w:w="2141" w:type="pct"/>
          </w:tcPr>
          <w:p w:rsidR="008E273C" w:rsidRDefault="008E273C" w:rsidP="001C3A5F">
            <w:pPr>
              <w:pStyle w:val="BodyText"/>
            </w:pPr>
            <w:r>
              <w:t>Information required by other legislation.</w:t>
            </w:r>
          </w:p>
        </w:tc>
        <w:tc>
          <w:tcPr>
            <w:tcW w:w="965" w:type="pct"/>
          </w:tcPr>
          <w:p w:rsidR="008E273C" w:rsidRDefault="008E273C" w:rsidP="001C3A5F">
            <w:pPr>
              <w:pStyle w:val="BodyText"/>
            </w:pPr>
            <w:r>
              <w:t>Mandatory</w:t>
            </w:r>
          </w:p>
        </w:tc>
        <w:tc>
          <w:tcPr>
            <w:tcW w:w="836" w:type="pct"/>
          </w:tcPr>
          <w:p w:rsidR="008E273C" w:rsidRDefault="008E273C" w:rsidP="001C3A5F">
            <w:pPr>
              <w:pStyle w:val="BodyText"/>
            </w:pPr>
            <w:r>
              <w:t>200–208</w:t>
            </w:r>
          </w:p>
        </w:tc>
      </w:tr>
    </w:tbl>
    <w:p w:rsidR="008E273C" w:rsidRDefault="008E273C" w:rsidP="008E273C">
      <w:pPr>
        <w:pStyle w:val="Heading1"/>
      </w:pPr>
      <w:r>
        <w:t>Appendix D: Glossary</w:t>
      </w:r>
    </w:p>
    <w:p w:rsidR="008E273C" w:rsidRDefault="005D794B" w:rsidP="008E273C">
      <w:pPr>
        <w:pStyle w:val="Heading4"/>
      </w:pPr>
      <w:r>
        <w:t>Accountable authority</w:t>
      </w:r>
    </w:p>
    <w:p w:rsidR="008E273C" w:rsidRDefault="008E273C" w:rsidP="008E273C">
      <w:pPr>
        <w:pStyle w:val="BodyText"/>
      </w:pPr>
      <w:r>
        <w:t>The Chief Executive Officer of Services Australia.</w:t>
      </w:r>
    </w:p>
    <w:p w:rsidR="008E273C" w:rsidRDefault="005D794B" w:rsidP="008E273C">
      <w:pPr>
        <w:pStyle w:val="Heading4"/>
      </w:pPr>
      <w:r>
        <w:t>Administered items</w:t>
      </w:r>
    </w:p>
    <w:p w:rsidR="008E273C" w:rsidRDefault="008E273C" w:rsidP="008E273C">
      <w:pPr>
        <w:pStyle w:val="BodyText"/>
        <w:rPr>
          <w:rStyle w:val="NoBreak"/>
        </w:rPr>
      </w:pPr>
      <w:r>
        <w:t>Appropriation that consists of funding managed on behalf of the Commonwealth. This funding is not at the discretion of the entity and any unspent appropriation is returned to the Consolidated Revenue Fund at the end of the financial year. An administered item is a component of an admin</w:t>
      </w:r>
      <w:r>
        <w:rPr>
          <w:rStyle w:val="NoBreak"/>
        </w:rPr>
        <w:t>istered program.</w:t>
      </w:r>
    </w:p>
    <w:p w:rsidR="008E273C" w:rsidRDefault="005D794B" w:rsidP="008E273C">
      <w:pPr>
        <w:pStyle w:val="Heading4"/>
      </w:pPr>
      <w:r>
        <w:t>Appropriation</w:t>
      </w:r>
    </w:p>
    <w:p w:rsidR="008E273C" w:rsidRDefault="008E273C" w:rsidP="008E273C">
      <w:pPr>
        <w:pStyle w:val="BodyText"/>
      </w:pPr>
      <w:r>
        <w:t>An amount of public money parliament authorises for spending for a particular purpose.</w:t>
      </w:r>
    </w:p>
    <w:p w:rsidR="008E273C" w:rsidRDefault="005D794B" w:rsidP="008E273C">
      <w:pPr>
        <w:pStyle w:val="Heading4"/>
      </w:pPr>
      <w:proofErr w:type="spellStart"/>
      <w:r>
        <w:t>Austender</w:t>
      </w:r>
      <w:proofErr w:type="spellEnd"/>
    </w:p>
    <w:p w:rsidR="008E273C" w:rsidRDefault="008E273C" w:rsidP="008E273C">
      <w:pPr>
        <w:pStyle w:val="BodyText"/>
      </w:pPr>
      <w:r>
        <w:t>The Australian Government’s web-based procurement system, which provides centralised access to all publicly available approaches to market, multi-use lists, annual procurement plans and reported contracts.</w:t>
      </w:r>
    </w:p>
    <w:p w:rsidR="008E273C" w:rsidRDefault="005D794B" w:rsidP="008E273C">
      <w:pPr>
        <w:pStyle w:val="Heading4"/>
      </w:pPr>
      <w:r>
        <w:t>Claims finalised</w:t>
      </w:r>
    </w:p>
    <w:p w:rsidR="008E273C" w:rsidRDefault="008E273C" w:rsidP="008E273C">
      <w:pPr>
        <w:pStyle w:val="BodyText"/>
      </w:pPr>
      <w:r>
        <w:t>Claims for payments and cards that are granted or rejected.</w:t>
      </w:r>
    </w:p>
    <w:p w:rsidR="008E273C" w:rsidRDefault="005D794B" w:rsidP="008E273C">
      <w:pPr>
        <w:pStyle w:val="Heading4"/>
      </w:pPr>
      <w:r>
        <w:t>Commonwealth procurement rules</w:t>
      </w:r>
    </w:p>
    <w:p w:rsidR="008E273C" w:rsidRDefault="008E273C" w:rsidP="008E273C">
      <w:pPr>
        <w:pStyle w:val="BodyText"/>
      </w:pPr>
      <w:r>
        <w:t>Whole-of-government rules that establish the core procurement policy framework and articulate the Government’s expectations for government agencies and their officials when performing duties related to procurement.</w:t>
      </w:r>
    </w:p>
    <w:p w:rsidR="008E273C" w:rsidRDefault="005D794B" w:rsidP="008E273C">
      <w:pPr>
        <w:pStyle w:val="Heading4"/>
      </w:pPr>
      <w:r>
        <w:t>Corporate governance</w:t>
      </w:r>
    </w:p>
    <w:p w:rsidR="008E273C" w:rsidRDefault="008E273C" w:rsidP="008E273C">
      <w:pPr>
        <w:pStyle w:val="BodyText"/>
      </w:pPr>
      <w:r>
        <w:t>The process by which an agency is directed and controlled. It is generally understood to encompass authority, accountability, stewardship, leadership, direction and control.</w:t>
      </w:r>
    </w:p>
    <w:p w:rsidR="008E273C" w:rsidRDefault="005D794B" w:rsidP="008E273C">
      <w:pPr>
        <w:pStyle w:val="Heading4"/>
      </w:pPr>
      <w:r>
        <w:t>Corporate plan</w:t>
      </w:r>
    </w:p>
    <w:p w:rsidR="008E273C" w:rsidRDefault="008E273C" w:rsidP="008E273C">
      <w:pPr>
        <w:pStyle w:val="BodyText"/>
      </w:pPr>
      <w:r>
        <w:t>An outline of the strategies Services Australia will follow to achieve its objectives and how it will measure success. The agency reports on the performance measures contained in the corporate plan in annual reports and updates the plan every year.</w:t>
      </w:r>
    </w:p>
    <w:p w:rsidR="008E273C" w:rsidRDefault="005D794B" w:rsidP="008E273C">
      <w:pPr>
        <w:pStyle w:val="Heading4"/>
      </w:pPr>
      <w:r>
        <w:t>Covid-19 pandemic</w:t>
      </w:r>
    </w:p>
    <w:p w:rsidR="008E273C" w:rsidRDefault="008E273C" w:rsidP="008E273C">
      <w:pPr>
        <w:pStyle w:val="BodyText"/>
      </w:pPr>
      <w:r>
        <w:t>The worldwide pandemic of the 2019 coronavirus disease.</w:t>
      </w:r>
    </w:p>
    <w:p w:rsidR="008E273C" w:rsidRDefault="005D794B" w:rsidP="008E273C">
      <w:pPr>
        <w:pStyle w:val="Heading4"/>
      </w:pPr>
      <w:r>
        <w:lastRenderedPageBreak/>
        <w:t>Customer-centric</w:t>
      </w:r>
    </w:p>
    <w:p w:rsidR="008E273C" w:rsidRDefault="008E273C" w:rsidP="008E273C">
      <w:pPr>
        <w:pStyle w:val="BodyText"/>
      </w:pPr>
      <w:r>
        <w:t>The agency’s approach to doing business that focusses on creating a positive customer experience by maximising service delivery and building relationships.</w:t>
      </w:r>
    </w:p>
    <w:p w:rsidR="008E273C" w:rsidRDefault="005D794B" w:rsidP="008E273C">
      <w:pPr>
        <w:pStyle w:val="Heading4"/>
      </w:pPr>
      <w:proofErr w:type="spellStart"/>
      <w:r>
        <w:t>Elearning</w:t>
      </w:r>
      <w:proofErr w:type="spellEnd"/>
    </w:p>
    <w:p w:rsidR="008E273C" w:rsidRDefault="008E273C" w:rsidP="008E273C">
      <w:pPr>
        <w:pStyle w:val="BodyText"/>
      </w:pPr>
      <w:r>
        <w:t>Web-based training: anywhere, any-time instruction delivered over the internet or a corporate intranet to browser-equipped learners.</w:t>
      </w:r>
    </w:p>
    <w:p w:rsidR="008E273C" w:rsidRDefault="005D794B" w:rsidP="008E273C">
      <w:pPr>
        <w:pStyle w:val="Heading4"/>
      </w:pPr>
      <w:r>
        <w:t>Mobile app</w:t>
      </w:r>
    </w:p>
    <w:p w:rsidR="008E273C" w:rsidRDefault="008E273C" w:rsidP="008E273C">
      <w:pPr>
        <w:pStyle w:val="BodyText"/>
      </w:pPr>
      <w:r>
        <w:t>A software application designed to run on smartphones, tablet computers and other mobile devices. Usually, they are downloaded from a platform to a target device such as an iPhone, Android phone or Windows phone; an iPad or other tablet; and a laptop or desktop computer.</w:t>
      </w:r>
    </w:p>
    <w:p w:rsidR="008E273C" w:rsidRDefault="005D794B" w:rsidP="008E273C">
      <w:pPr>
        <w:pStyle w:val="Heading4"/>
      </w:pPr>
      <w:r>
        <w:t>Online services</w:t>
      </w:r>
    </w:p>
    <w:p w:rsidR="008E273C" w:rsidRDefault="008E273C" w:rsidP="008E273C">
      <w:pPr>
        <w:pStyle w:val="BodyText"/>
      </w:pPr>
      <w:r>
        <w:t>Web-based services that provide users with a wide variety of data transmitted over telecommunications networks. Services Australia offers a range of online services to recipients and other subscribers, such as health professionals. The agency’s online services include sending electronic messages and online letters, accepting payment and benefit claims, handling Low Income Card renewals and offering health professionals secure access to Medicare electronic services.</w:t>
      </w:r>
    </w:p>
    <w:p w:rsidR="008E273C" w:rsidRDefault="005D794B" w:rsidP="008E273C">
      <w:pPr>
        <w:pStyle w:val="Heading4"/>
      </w:pPr>
      <w:r>
        <w:t>Outcomes</w:t>
      </w:r>
    </w:p>
    <w:p w:rsidR="008E273C" w:rsidRDefault="008E273C" w:rsidP="008E273C">
      <w:pPr>
        <w:pStyle w:val="BodyText"/>
      </w:pPr>
      <w:r>
        <w:t>The intended result, consequence or effect of government actions on the Australian community.</w:t>
      </w:r>
    </w:p>
    <w:p w:rsidR="008E273C" w:rsidRDefault="005D794B" w:rsidP="008E273C">
      <w:pPr>
        <w:pStyle w:val="Heading4"/>
      </w:pPr>
      <w:r>
        <w:t>Portfolio additional estimates statements</w:t>
      </w:r>
    </w:p>
    <w:p w:rsidR="008E273C" w:rsidRDefault="008E273C" w:rsidP="008E273C">
      <w:pPr>
        <w:pStyle w:val="BodyText"/>
      </w:pPr>
      <w:r>
        <w:t>Statements that inform senators, members of parliament, government departments and agencies, and the public, of changes to the proposed allocation of resources to government outcomes since the Budget.</w:t>
      </w:r>
    </w:p>
    <w:p w:rsidR="008E273C" w:rsidRDefault="005D794B" w:rsidP="008E273C">
      <w:pPr>
        <w:pStyle w:val="Heading4"/>
      </w:pPr>
      <w:r>
        <w:t>Portfolio budget statements</w:t>
      </w:r>
    </w:p>
    <w:p w:rsidR="008E273C" w:rsidRDefault="008E273C" w:rsidP="008E273C">
      <w:pPr>
        <w:pStyle w:val="BodyText"/>
      </w:pPr>
      <w:r>
        <w:t>Budget-related statements which explain how the Government intends to spend the money included in the Appropriation Bills (Budget Bills).</w:t>
      </w:r>
    </w:p>
    <w:p w:rsidR="008E273C" w:rsidRDefault="005D794B" w:rsidP="008E273C">
      <w:pPr>
        <w:pStyle w:val="Heading4"/>
      </w:pPr>
      <w:r>
        <w:t>Program</w:t>
      </w:r>
    </w:p>
    <w:p w:rsidR="008E273C" w:rsidRDefault="008E273C" w:rsidP="008E273C">
      <w:pPr>
        <w:pStyle w:val="BodyText"/>
      </w:pPr>
      <w:r>
        <w:t>An activity that delivers benefits, services or transfer payments to individuals, industry and/or the community as a whole, with the aim of achieving the intended result specified in an outcome statement.</w:t>
      </w:r>
    </w:p>
    <w:p w:rsidR="008E273C" w:rsidRDefault="005D794B" w:rsidP="008E273C">
      <w:pPr>
        <w:pStyle w:val="Heading4"/>
      </w:pPr>
      <w:r>
        <w:t>Service delivery executive agency</w:t>
      </w:r>
    </w:p>
    <w:p w:rsidR="008E273C" w:rsidRDefault="008E273C" w:rsidP="008E273C">
      <w:pPr>
        <w:pStyle w:val="BodyText"/>
      </w:pPr>
      <w:r>
        <w:t>Services Australia is an Australian Government Executive agency within the Social Services Portfolio. As the Government’s main service delivery agency, it is responsible for designing, developing and delivering government services and payments and providing the Government with advice on their delivery. The agency delivers payments and services on behalf of a number of Australian Government policy departments and agencies.</w:t>
      </w:r>
    </w:p>
    <w:p w:rsidR="008E273C" w:rsidRDefault="005D794B" w:rsidP="008E273C">
      <w:pPr>
        <w:pStyle w:val="Heading4"/>
      </w:pPr>
      <w:r>
        <w:lastRenderedPageBreak/>
        <w:t>Smart centres</w:t>
      </w:r>
    </w:p>
    <w:p w:rsidR="008E273C" w:rsidRDefault="008E273C" w:rsidP="008E273C">
      <w:pPr>
        <w:pStyle w:val="BodyText"/>
      </w:pPr>
      <w:r>
        <w:t>Virtual centres located within the department which carry out telephony and processing work. In practical terms smart centres mean recipients have better experiences, more personalised phone calls from staff, and access to agency-wide assistance tailored to their individual circumstances.</w:t>
      </w:r>
    </w:p>
    <w:p w:rsidR="008E273C" w:rsidRDefault="005D794B" w:rsidP="008E273C">
      <w:pPr>
        <w:pStyle w:val="Heading4"/>
      </w:pPr>
      <w:r>
        <w:t>Telephony</w:t>
      </w:r>
    </w:p>
    <w:p w:rsidR="008E273C" w:rsidRDefault="008E273C" w:rsidP="008E273C">
      <w:pPr>
        <w:pStyle w:val="BodyText"/>
        <w:rPr>
          <w:rStyle w:val="NoBreak"/>
        </w:rPr>
      </w:pPr>
      <w:r>
        <w:t>The construction or operation of telephones and telephonic systems. Th</w:t>
      </w:r>
      <w:r>
        <w:rPr>
          <w:rStyle w:val="NoBreak"/>
        </w:rPr>
        <w:t>e t</w:t>
      </w:r>
      <w:r>
        <w:t>erm is also used to refer to computer hardware, software, and computer network systems that carry out functions traditionally performed by teleph</w:t>
      </w:r>
      <w:r>
        <w:rPr>
          <w:rStyle w:val="NoBreak"/>
        </w:rPr>
        <w:t>one equipment.</w:t>
      </w:r>
    </w:p>
    <w:p w:rsidR="008E273C" w:rsidRDefault="008E273C" w:rsidP="008E273C">
      <w:pPr>
        <w:pStyle w:val="Heading1"/>
      </w:pPr>
      <w:r>
        <w:t xml:space="preserve">Appendix E: Abbreviations and acronyms </w:t>
      </w:r>
    </w:p>
    <w:p w:rsidR="008E273C" w:rsidRDefault="008E273C" w:rsidP="008E273C">
      <w:pPr>
        <w:pStyle w:val="BodyText"/>
        <w:tabs>
          <w:tab w:val="left" w:pos="1100"/>
        </w:tabs>
      </w:pPr>
      <w:r>
        <w:t xml:space="preserve">AASB </w:t>
      </w:r>
      <w:r>
        <w:tab/>
        <w:t>Australian Accounting Standards Board</w:t>
      </w:r>
    </w:p>
    <w:p w:rsidR="008E273C" w:rsidRDefault="008E273C" w:rsidP="008E273C">
      <w:pPr>
        <w:pStyle w:val="BodyText"/>
        <w:tabs>
          <w:tab w:val="left" w:pos="1100"/>
        </w:tabs>
      </w:pPr>
      <w:r>
        <w:t xml:space="preserve">AAT </w:t>
      </w:r>
      <w:r>
        <w:tab/>
        <w:t>Administrative Appeals Tribunal</w:t>
      </w:r>
    </w:p>
    <w:p w:rsidR="008E273C" w:rsidRDefault="008E273C" w:rsidP="008E273C">
      <w:pPr>
        <w:pStyle w:val="BodyText"/>
        <w:tabs>
          <w:tab w:val="left" w:pos="1100"/>
        </w:tabs>
      </w:pPr>
      <w:r>
        <w:t xml:space="preserve">A/g </w:t>
      </w:r>
      <w:r>
        <w:tab/>
        <w:t>Acting</w:t>
      </w:r>
    </w:p>
    <w:p w:rsidR="008E273C" w:rsidRDefault="008E273C" w:rsidP="008E273C">
      <w:pPr>
        <w:pStyle w:val="BodyText"/>
        <w:tabs>
          <w:tab w:val="left" w:pos="1100"/>
        </w:tabs>
      </w:pPr>
      <w:r>
        <w:t xml:space="preserve">AGDRP </w:t>
      </w:r>
      <w:r>
        <w:tab/>
        <w:t>Australian Government Disaster Recovery Payment</w:t>
      </w:r>
    </w:p>
    <w:p w:rsidR="008E273C" w:rsidRDefault="008E273C" w:rsidP="008E273C">
      <w:pPr>
        <w:pStyle w:val="BodyText"/>
        <w:tabs>
          <w:tab w:val="left" w:pos="1100"/>
        </w:tabs>
      </w:pPr>
      <w:r>
        <w:t xml:space="preserve">ANAO </w:t>
      </w:r>
      <w:r>
        <w:tab/>
        <w:t>Australian National Audit Office</w:t>
      </w:r>
    </w:p>
    <w:p w:rsidR="008E273C" w:rsidRDefault="008E273C" w:rsidP="008E273C">
      <w:pPr>
        <w:pStyle w:val="BodyText"/>
        <w:tabs>
          <w:tab w:val="left" w:pos="1100"/>
        </w:tabs>
      </w:pPr>
      <w:r>
        <w:t xml:space="preserve">APS </w:t>
      </w:r>
      <w:r>
        <w:tab/>
        <w:t>Australian Public Service</w:t>
      </w:r>
    </w:p>
    <w:p w:rsidR="008E273C" w:rsidRDefault="008E273C" w:rsidP="008E273C">
      <w:pPr>
        <w:pStyle w:val="BodyText"/>
        <w:tabs>
          <w:tab w:val="left" w:pos="1100"/>
        </w:tabs>
      </w:pPr>
      <w:r>
        <w:t xml:space="preserve">ATO </w:t>
      </w:r>
      <w:r>
        <w:tab/>
        <w:t>Australian Taxation Office</w:t>
      </w:r>
    </w:p>
    <w:p w:rsidR="008E273C" w:rsidRDefault="008E273C" w:rsidP="008E273C">
      <w:pPr>
        <w:pStyle w:val="BodyText"/>
        <w:tabs>
          <w:tab w:val="left" w:pos="1100"/>
        </w:tabs>
      </w:pPr>
      <w:r>
        <w:t xml:space="preserve">AUSLAN </w:t>
      </w:r>
      <w:r>
        <w:tab/>
        <w:t>Australian Sign Language</w:t>
      </w:r>
    </w:p>
    <w:p w:rsidR="008E273C" w:rsidRDefault="008E273C" w:rsidP="008E273C">
      <w:pPr>
        <w:pStyle w:val="BodyText"/>
        <w:tabs>
          <w:tab w:val="left" w:pos="1100"/>
        </w:tabs>
      </w:pPr>
      <w:r>
        <w:t xml:space="preserve">AVTOP </w:t>
      </w:r>
      <w:r>
        <w:tab/>
        <w:t>Australian Victim of Terrorism Overseas Payment</w:t>
      </w:r>
    </w:p>
    <w:p w:rsidR="008E273C" w:rsidRDefault="008E273C" w:rsidP="008E273C">
      <w:pPr>
        <w:pStyle w:val="BodyText"/>
        <w:tabs>
          <w:tab w:val="left" w:pos="1100"/>
        </w:tabs>
      </w:pPr>
      <w:r>
        <w:t xml:space="preserve">CALD </w:t>
      </w:r>
      <w:r>
        <w:tab/>
        <w:t>culturally and linguistically diverse</w:t>
      </w:r>
    </w:p>
    <w:p w:rsidR="008E273C" w:rsidRDefault="008E273C" w:rsidP="008E273C">
      <w:pPr>
        <w:pStyle w:val="BodyText"/>
        <w:tabs>
          <w:tab w:val="left" w:pos="1100"/>
        </w:tabs>
      </w:pPr>
      <w:r>
        <w:t xml:space="preserve">CDPP </w:t>
      </w:r>
      <w:r>
        <w:tab/>
        <w:t>Commonwealth Director of Public Prosecutions</w:t>
      </w:r>
    </w:p>
    <w:p w:rsidR="008E273C" w:rsidRDefault="008E273C" w:rsidP="008E273C">
      <w:pPr>
        <w:pStyle w:val="BodyText"/>
        <w:tabs>
          <w:tab w:val="left" w:pos="1100"/>
        </w:tabs>
      </w:pPr>
      <w:r>
        <w:t xml:space="preserve">CEO </w:t>
      </w:r>
      <w:r>
        <w:tab/>
        <w:t>Chief Executive Officer</w:t>
      </w:r>
    </w:p>
    <w:p w:rsidR="008E273C" w:rsidRDefault="008E273C" w:rsidP="008E273C">
      <w:pPr>
        <w:pStyle w:val="BodyText"/>
        <w:tabs>
          <w:tab w:val="left" w:pos="1100"/>
        </w:tabs>
      </w:pPr>
      <w:r>
        <w:t xml:space="preserve">CEOs </w:t>
      </w:r>
      <w:r>
        <w:tab/>
        <w:t>Community Engagement Officers</w:t>
      </w:r>
    </w:p>
    <w:p w:rsidR="008E273C" w:rsidRDefault="008E273C" w:rsidP="008E273C">
      <w:pPr>
        <w:pStyle w:val="BodyText"/>
        <w:tabs>
          <w:tab w:val="left" w:pos="1100"/>
        </w:tabs>
      </w:pPr>
      <w:r>
        <w:t xml:space="preserve">CSAG </w:t>
      </w:r>
      <w:r>
        <w:tab/>
        <w:t>Civil Society Advisory Group</w:t>
      </w:r>
    </w:p>
    <w:p w:rsidR="008E273C" w:rsidRDefault="008E273C" w:rsidP="008E273C">
      <w:pPr>
        <w:pStyle w:val="BodyText"/>
        <w:tabs>
          <w:tab w:val="left" w:pos="1100"/>
        </w:tabs>
      </w:pPr>
      <w:r>
        <w:t xml:space="preserve">CSS </w:t>
      </w:r>
      <w:r>
        <w:tab/>
        <w:t>Commonwealth Superannuation Scheme</w:t>
      </w:r>
    </w:p>
    <w:p w:rsidR="008E273C" w:rsidRDefault="008E273C" w:rsidP="008E273C">
      <w:pPr>
        <w:pStyle w:val="BodyText"/>
        <w:tabs>
          <w:tab w:val="left" w:pos="1100"/>
        </w:tabs>
      </w:pPr>
      <w:r>
        <w:t xml:space="preserve">DCEO </w:t>
      </w:r>
      <w:r>
        <w:tab/>
        <w:t>Deputy Chief Executive Officer</w:t>
      </w:r>
    </w:p>
    <w:p w:rsidR="008E273C" w:rsidRDefault="008E273C" w:rsidP="008E273C">
      <w:pPr>
        <w:pStyle w:val="BodyText"/>
        <w:tabs>
          <w:tab w:val="left" w:pos="1100"/>
        </w:tabs>
      </w:pPr>
      <w:r>
        <w:t xml:space="preserve">DMP </w:t>
      </w:r>
      <w:r>
        <w:tab/>
      </w:r>
      <w:r>
        <w:rPr>
          <w:rStyle w:val="Italic"/>
        </w:rPr>
        <w:t>Act Data-matching Program (Assistance and Tax) Act 1990</w:t>
      </w:r>
    </w:p>
    <w:p w:rsidR="008E273C" w:rsidRDefault="008E273C" w:rsidP="008E273C">
      <w:pPr>
        <w:pStyle w:val="BodyText"/>
        <w:tabs>
          <w:tab w:val="left" w:pos="1100"/>
        </w:tabs>
      </w:pPr>
      <w:r>
        <w:t xml:space="preserve">DPO </w:t>
      </w:r>
      <w:r>
        <w:tab/>
        <w:t>Departure Prohibition Order</w:t>
      </w:r>
    </w:p>
    <w:p w:rsidR="008E273C" w:rsidRDefault="008E273C" w:rsidP="008E273C">
      <w:pPr>
        <w:pStyle w:val="BodyText"/>
        <w:tabs>
          <w:tab w:val="left" w:pos="1100"/>
        </w:tabs>
      </w:pPr>
      <w:r>
        <w:t xml:space="preserve">DRA </w:t>
      </w:r>
      <w:r>
        <w:tab/>
        <w:t>Disaster Recovery Allowance</w:t>
      </w:r>
    </w:p>
    <w:p w:rsidR="008E273C" w:rsidRDefault="008E273C" w:rsidP="008E273C">
      <w:pPr>
        <w:pStyle w:val="BodyText"/>
        <w:tabs>
          <w:tab w:val="left" w:pos="1100"/>
        </w:tabs>
      </w:pPr>
      <w:r>
        <w:t xml:space="preserve">DRP </w:t>
      </w:r>
      <w:r>
        <w:tab/>
        <w:t>Disaster Recovery Payment</w:t>
      </w:r>
    </w:p>
    <w:p w:rsidR="008E273C" w:rsidRDefault="008E273C" w:rsidP="008E273C">
      <w:pPr>
        <w:pStyle w:val="BodyText"/>
        <w:tabs>
          <w:tab w:val="left" w:pos="1100"/>
        </w:tabs>
      </w:pPr>
      <w:r>
        <w:t xml:space="preserve">DSP </w:t>
      </w:r>
      <w:r>
        <w:tab/>
        <w:t>Disability Support Pension</w:t>
      </w:r>
    </w:p>
    <w:p w:rsidR="008E273C" w:rsidRDefault="008E273C" w:rsidP="008E273C">
      <w:pPr>
        <w:pStyle w:val="BodyText"/>
        <w:tabs>
          <w:tab w:val="left" w:pos="1100"/>
        </w:tabs>
      </w:pPr>
      <w:r>
        <w:lastRenderedPageBreak/>
        <w:t xml:space="preserve">DSS </w:t>
      </w:r>
      <w:r>
        <w:tab/>
        <w:t>Department of Social Services</w:t>
      </w:r>
    </w:p>
    <w:p w:rsidR="008E273C" w:rsidRDefault="008E273C" w:rsidP="008E273C">
      <w:pPr>
        <w:pStyle w:val="BodyText"/>
        <w:tabs>
          <w:tab w:val="left" w:pos="1100"/>
        </w:tabs>
      </w:pPr>
      <w:r>
        <w:t xml:space="preserve">DVA </w:t>
      </w:r>
      <w:r>
        <w:tab/>
        <w:t>Department of Veterans’ Affairs</w:t>
      </w:r>
    </w:p>
    <w:p w:rsidR="008E273C" w:rsidRDefault="008E273C" w:rsidP="008E273C">
      <w:pPr>
        <w:pStyle w:val="BodyText"/>
        <w:tabs>
          <w:tab w:val="left" w:pos="1100"/>
        </w:tabs>
      </w:pPr>
      <w:r>
        <w:t xml:space="preserve">ECLIPSE </w:t>
      </w:r>
      <w:r>
        <w:tab/>
        <w:t>Electronic Claim Lodgement and Information Processing Service Environment</w:t>
      </w:r>
    </w:p>
    <w:p w:rsidR="008E273C" w:rsidRDefault="008E273C" w:rsidP="008E273C">
      <w:pPr>
        <w:pStyle w:val="BodyText"/>
        <w:tabs>
          <w:tab w:val="left" w:pos="1100"/>
        </w:tabs>
      </w:pPr>
      <w:r>
        <w:t xml:space="preserve">EEGO </w:t>
      </w:r>
      <w:r>
        <w:tab/>
        <w:t>Energy Efficiency in Government Operations</w:t>
      </w:r>
    </w:p>
    <w:p w:rsidR="008E273C" w:rsidRDefault="008E273C" w:rsidP="008E273C">
      <w:pPr>
        <w:pStyle w:val="BodyText"/>
        <w:tabs>
          <w:tab w:val="left" w:pos="1100"/>
        </w:tabs>
      </w:pPr>
      <w:r>
        <w:t xml:space="preserve">EFT </w:t>
      </w:r>
      <w:r>
        <w:tab/>
        <w:t>Electronic Funds Transfer</w:t>
      </w:r>
    </w:p>
    <w:p w:rsidR="008E273C" w:rsidRDefault="008E273C" w:rsidP="008E273C">
      <w:pPr>
        <w:pStyle w:val="BodyText"/>
        <w:tabs>
          <w:tab w:val="left" w:pos="1100"/>
        </w:tabs>
      </w:pPr>
      <w:r>
        <w:t xml:space="preserve">EFTPOS </w:t>
      </w:r>
      <w:r>
        <w:tab/>
        <w:t>Electronic Funds Transfer at Point of Sale</w:t>
      </w:r>
    </w:p>
    <w:p w:rsidR="008E273C" w:rsidRDefault="008E273C" w:rsidP="008E273C">
      <w:pPr>
        <w:pStyle w:val="BodyText"/>
        <w:tabs>
          <w:tab w:val="left" w:pos="1100"/>
        </w:tabs>
      </w:pPr>
      <w:r>
        <w:t xml:space="preserve">EL </w:t>
      </w:r>
      <w:r>
        <w:tab/>
        <w:t>Executive Level</w:t>
      </w:r>
    </w:p>
    <w:p w:rsidR="008E273C" w:rsidRDefault="008E273C" w:rsidP="008E273C">
      <w:pPr>
        <w:pStyle w:val="BodyText"/>
        <w:tabs>
          <w:tab w:val="left" w:pos="1100"/>
        </w:tabs>
      </w:pPr>
      <w:proofErr w:type="spellStart"/>
      <w:r>
        <w:t>ESAt</w:t>
      </w:r>
      <w:proofErr w:type="spellEnd"/>
      <w:r>
        <w:t xml:space="preserve"> </w:t>
      </w:r>
      <w:r>
        <w:tab/>
        <w:t>Employment Services Assessment</w:t>
      </w:r>
    </w:p>
    <w:p w:rsidR="008E273C" w:rsidRDefault="008E273C" w:rsidP="008E273C">
      <w:pPr>
        <w:pStyle w:val="BodyText"/>
        <w:tabs>
          <w:tab w:val="left" w:pos="1100"/>
        </w:tabs>
      </w:pPr>
      <w:r>
        <w:t xml:space="preserve">ESD </w:t>
      </w:r>
      <w:r>
        <w:tab/>
        <w:t>ecologically sustainable development</w:t>
      </w:r>
    </w:p>
    <w:p w:rsidR="008E273C" w:rsidRDefault="008E273C" w:rsidP="008E273C">
      <w:pPr>
        <w:pStyle w:val="BodyText"/>
        <w:tabs>
          <w:tab w:val="left" w:pos="1100"/>
        </w:tabs>
      </w:pPr>
      <w:r>
        <w:t xml:space="preserve">FIS </w:t>
      </w:r>
      <w:r>
        <w:tab/>
        <w:t>Financial Information Service</w:t>
      </w:r>
    </w:p>
    <w:p w:rsidR="008E273C" w:rsidRDefault="008E273C" w:rsidP="008E273C">
      <w:pPr>
        <w:pStyle w:val="BodyText"/>
        <w:tabs>
          <w:tab w:val="left" w:pos="1100"/>
        </w:tabs>
      </w:pPr>
      <w:r>
        <w:t xml:space="preserve">FOI </w:t>
      </w:r>
      <w:r>
        <w:tab/>
        <w:t>freedom of information</w:t>
      </w:r>
    </w:p>
    <w:p w:rsidR="008E273C" w:rsidRDefault="008E273C" w:rsidP="008E273C">
      <w:pPr>
        <w:pStyle w:val="BodyText"/>
        <w:tabs>
          <w:tab w:val="left" w:pos="1100"/>
        </w:tabs>
      </w:pPr>
      <w:r>
        <w:t xml:space="preserve">FOI Act </w:t>
      </w:r>
      <w:r>
        <w:tab/>
      </w:r>
      <w:r>
        <w:rPr>
          <w:rStyle w:val="Italic"/>
        </w:rPr>
        <w:t>Freedom of Information Act 1982</w:t>
      </w:r>
    </w:p>
    <w:p w:rsidR="008E273C" w:rsidRDefault="008E273C" w:rsidP="008E273C">
      <w:pPr>
        <w:pStyle w:val="BodyText"/>
        <w:tabs>
          <w:tab w:val="left" w:pos="1100"/>
        </w:tabs>
      </w:pPr>
      <w:r>
        <w:t xml:space="preserve">FTB </w:t>
      </w:r>
      <w:r>
        <w:tab/>
        <w:t>Family Tax Benefit</w:t>
      </w:r>
    </w:p>
    <w:p w:rsidR="008E273C" w:rsidRDefault="008E273C" w:rsidP="008E273C">
      <w:pPr>
        <w:pStyle w:val="BodyText"/>
        <w:tabs>
          <w:tab w:val="left" w:pos="1100"/>
        </w:tabs>
      </w:pPr>
      <w:r>
        <w:t xml:space="preserve">GAICD </w:t>
      </w:r>
      <w:r>
        <w:tab/>
        <w:t>Graduate of the Australian Institute of Company Directors</w:t>
      </w:r>
    </w:p>
    <w:p w:rsidR="008E273C" w:rsidRDefault="008E273C" w:rsidP="008E273C">
      <w:pPr>
        <w:pStyle w:val="BodyText"/>
        <w:tabs>
          <w:tab w:val="left" w:pos="1100"/>
        </w:tabs>
      </w:pPr>
      <w:r>
        <w:t xml:space="preserve">GMs </w:t>
      </w:r>
      <w:r>
        <w:tab/>
        <w:t>General Managers</w:t>
      </w:r>
    </w:p>
    <w:p w:rsidR="008E273C" w:rsidRDefault="008E273C" w:rsidP="008E273C">
      <w:pPr>
        <w:pStyle w:val="BodyText"/>
        <w:tabs>
          <w:tab w:val="left" w:pos="1100"/>
        </w:tabs>
      </w:pPr>
      <w:r>
        <w:t xml:space="preserve">GP </w:t>
      </w:r>
      <w:r>
        <w:tab/>
        <w:t>General Practitioner</w:t>
      </w:r>
    </w:p>
    <w:p w:rsidR="008E273C" w:rsidRDefault="008E273C" w:rsidP="008E273C">
      <w:pPr>
        <w:pStyle w:val="BodyText"/>
        <w:tabs>
          <w:tab w:val="left" w:pos="1100"/>
        </w:tabs>
      </w:pPr>
      <w:r>
        <w:t xml:space="preserve">GST </w:t>
      </w:r>
      <w:r>
        <w:tab/>
        <w:t>Goods and Services Tax</w:t>
      </w:r>
    </w:p>
    <w:p w:rsidR="008E273C" w:rsidRDefault="008E273C" w:rsidP="008E273C">
      <w:pPr>
        <w:pStyle w:val="BodyText"/>
        <w:tabs>
          <w:tab w:val="left" w:pos="1100"/>
        </w:tabs>
      </w:pPr>
      <w:r>
        <w:t xml:space="preserve">HPOS </w:t>
      </w:r>
      <w:r>
        <w:tab/>
        <w:t>Health Provider Online Services</w:t>
      </w:r>
    </w:p>
    <w:p w:rsidR="008E273C" w:rsidRDefault="008E273C" w:rsidP="008E273C">
      <w:pPr>
        <w:pStyle w:val="BodyText"/>
        <w:tabs>
          <w:tab w:val="left" w:pos="1100"/>
        </w:tabs>
      </w:pPr>
      <w:r>
        <w:t xml:space="preserve">ICT </w:t>
      </w:r>
      <w:r>
        <w:tab/>
        <w:t>Information and Communications Technology</w:t>
      </w:r>
    </w:p>
    <w:p w:rsidR="008E273C" w:rsidRDefault="008E273C" w:rsidP="008E273C">
      <w:pPr>
        <w:pStyle w:val="BodyText"/>
        <w:tabs>
          <w:tab w:val="left" w:pos="1100"/>
        </w:tabs>
      </w:pPr>
      <w:r>
        <w:t xml:space="preserve">IPS </w:t>
      </w:r>
      <w:r>
        <w:tab/>
        <w:t>Information Publication Scheme</w:t>
      </w:r>
    </w:p>
    <w:p w:rsidR="008E273C" w:rsidRDefault="008E273C" w:rsidP="008E273C">
      <w:pPr>
        <w:pStyle w:val="BodyText"/>
        <w:tabs>
          <w:tab w:val="left" w:pos="1100"/>
        </w:tabs>
      </w:pPr>
      <w:r>
        <w:t xml:space="preserve">ISO </w:t>
      </w:r>
      <w:r>
        <w:tab/>
        <w:t>Indigenous Service Officer</w:t>
      </w:r>
    </w:p>
    <w:p w:rsidR="008E273C" w:rsidRDefault="008E273C" w:rsidP="008E273C">
      <w:pPr>
        <w:pStyle w:val="BodyText"/>
        <w:tabs>
          <w:tab w:val="left" w:pos="1100"/>
        </w:tabs>
      </w:pPr>
      <w:r>
        <w:t xml:space="preserve">JCA </w:t>
      </w:r>
      <w:r>
        <w:tab/>
        <w:t>Job Capacity Assessment</w:t>
      </w:r>
    </w:p>
    <w:p w:rsidR="008E273C" w:rsidRDefault="008E273C" w:rsidP="008E273C">
      <w:pPr>
        <w:pStyle w:val="BodyText"/>
        <w:tabs>
          <w:tab w:val="left" w:pos="1100"/>
        </w:tabs>
      </w:pPr>
      <w:r>
        <w:t xml:space="preserve">KMP </w:t>
      </w:r>
      <w:r>
        <w:tab/>
        <w:t>Key management personnel</w:t>
      </w:r>
    </w:p>
    <w:p w:rsidR="008E273C" w:rsidRDefault="008E273C" w:rsidP="008E273C">
      <w:pPr>
        <w:pStyle w:val="BodyText"/>
        <w:tabs>
          <w:tab w:val="left" w:pos="1100"/>
        </w:tabs>
      </w:pPr>
      <w:r>
        <w:t xml:space="preserve">LGBTI </w:t>
      </w:r>
      <w:r>
        <w:tab/>
        <w:t>lesbian, gay, bisexual, transgender and intersex</w:t>
      </w:r>
    </w:p>
    <w:p w:rsidR="008E273C" w:rsidRDefault="008E273C" w:rsidP="008E273C">
      <w:pPr>
        <w:pStyle w:val="BodyText"/>
        <w:tabs>
          <w:tab w:val="left" w:pos="1100"/>
        </w:tabs>
      </w:pPr>
      <w:r>
        <w:t xml:space="preserve">MAT </w:t>
      </w:r>
      <w:r>
        <w:tab/>
        <w:t>Medical Assessment Team</w:t>
      </w:r>
    </w:p>
    <w:p w:rsidR="008E273C" w:rsidRDefault="008E273C" w:rsidP="008E273C">
      <w:pPr>
        <w:pStyle w:val="BodyText"/>
        <w:tabs>
          <w:tab w:val="left" w:pos="1100"/>
        </w:tabs>
      </w:pPr>
      <w:r>
        <w:t xml:space="preserve">MBS </w:t>
      </w:r>
      <w:r>
        <w:tab/>
        <w:t>Medicare Benefits Schedule</w:t>
      </w:r>
    </w:p>
    <w:p w:rsidR="008E273C" w:rsidRDefault="008E273C" w:rsidP="008E273C">
      <w:pPr>
        <w:pStyle w:val="BodyText"/>
        <w:tabs>
          <w:tab w:val="left" w:pos="1100"/>
        </w:tabs>
      </w:pPr>
      <w:r>
        <w:t xml:space="preserve">MOA </w:t>
      </w:r>
      <w:r>
        <w:tab/>
        <w:t>Medicare Online Account</w:t>
      </w:r>
    </w:p>
    <w:p w:rsidR="008E273C" w:rsidRDefault="008E273C" w:rsidP="008E273C">
      <w:pPr>
        <w:pStyle w:val="BodyText"/>
        <w:tabs>
          <w:tab w:val="left" w:pos="1100"/>
        </w:tabs>
      </w:pPr>
      <w:r>
        <w:t xml:space="preserve">MP </w:t>
      </w:r>
      <w:r>
        <w:tab/>
        <w:t>Member of Parliament</w:t>
      </w:r>
    </w:p>
    <w:p w:rsidR="008E273C" w:rsidRDefault="008E273C" w:rsidP="008E273C">
      <w:pPr>
        <w:pStyle w:val="BodyText"/>
        <w:tabs>
          <w:tab w:val="left" w:pos="1100"/>
        </w:tabs>
      </w:pPr>
      <w:r>
        <w:t xml:space="preserve">MSO </w:t>
      </w:r>
      <w:r>
        <w:tab/>
        <w:t>Multicultural Service Officer</w:t>
      </w:r>
    </w:p>
    <w:p w:rsidR="008E273C" w:rsidRDefault="008E273C" w:rsidP="008E273C">
      <w:pPr>
        <w:pStyle w:val="BodyText"/>
        <w:tabs>
          <w:tab w:val="left" w:pos="1100"/>
        </w:tabs>
      </w:pPr>
      <w:r>
        <w:lastRenderedPageBreak/>
        <w:t xml:space="preserve">NA </w:t>
      </w:r>
      <w:r>
        <w:tab/>
        <w:t>Not applicable</w:t>
      </w:r>
    </w:p>
    <w:p w:rsidR="008E273C" w:rsidRDefault="008E273C" w:rsidP="008E273C">
      <w:pPr>
        <w:pStyle w:val="BodyText"/>
        <w:tabs>
          <w:tab w:val="left" w:pos="1100"/>
        </w:tabs>
      </w:pPr>
      <w:r>
        <w:t xml:space="preserve">NABERS </w:t>
      </w:r>
      <w:r>
        <w:tab/>
        <w:t>National Australian Built Environment Rating System</w:t>
      </w:r>
    </w:p>
    <w:p w:rsidR="008E273C" w:rsidRDefault="008E273C" w:rsidP="008E273C">
      <w:pPr>
        <w:pStyle w:val="BodyText"/>
        <w:tabs>
          <w:tab w:val="left" w:pos="1100"/>
        </w:tabs>
      </w:pPr>
      <w:r>
        <w:t xml:space="preserve">NIC </w:t>
      </w:r>
      <w:r>
        <w:tab/>
        <w:t>National Indigenous Coalition</w:t>
      </w:r>
    </w:p>
    <w:p w:rsidR="008E273C" w:rsidRDefault="008E273C" w:rsidP="008E273C">
      <w:pPr>
        <w:pStyle w:val="BodyText"/>
        <w:tabs>
          <w:tab w:val="left" w:pos="1100"/>
        </w:tabs>
      </w:pPr>
      <w:r>
        <w:t xml:space="preserve">OPA </w:t>
      </w:r>
      <w:r>
        <w:tab/>
        <w:t>Official Public Account</w:t>
      </w:r>
    </w:p>
    <w:p w:rsidR="008E273C" w:rsidRDefault="008E273C" w:rsidP="008E273C">
      <w:pPr>
        <w:pStyle w:val="BodyText"/>
        <w:tabs>
          <w:tab w:val="left" w:pos="1100"/>
        </w:tabs>
      </w:pPr>
      <w:r>
        <w:t xml:space="preserve">PBS </w:t>
      </w:r>
      <w:r>
        <w:tab/>
        <w:t>Pharmaceutical Benefits Scheme</w:t>
      </w:r>
    </w:p>
    <w:p w:rsidR="008E273C" w:rsidRDefault="008E273C" w:rsidP="008E273C">
      <w:pPr>
        <w:pStyle w:val="BodyText"/>
        <w:tabs>
          <w:tab w:val="left" w:pos="1100"/>
        </w:tabs>
      </w:pPr>
      <w:r>
        <w:t xml:space="preserve">PBS </w:t>
      </w:r>
      <w:r>
        <w:tab/>
        <w:t>Portfolio Budget Statements</w:t>
      </w:r>
    </w:p>
    <w:p w:rsidR="008E273C" w:rsidRDefault="008E273C" w:rsidP="008E273C">
      <w:pPr>
        <w:pStyle w:val="BodyText"/>
        <w:tabs>
          <w:tab w:val="left" w:pos="1100"/>
        </w:tabs>
      </w:pPr>
      <w:r>
        <w:t xml:space="preserve">PGPA Act </w:t>
      </w:r>
      <w:r>
        <w:tab/>
      </w:r>
      <w:r>
        <w:rPr>
          <w:rStyle w:val="Italic"/>
        </w:rPr>
        <w:t>Public Governance, Performance and Accountability Act 2013</w:t>
      </w:r>
    </w:p>
    <w:p w:rsidR="008E273C" w:rsidRDefault="008E273C" w:rsidP="008E273C">
      <w:pPr>
        <w:pStyle w:val="BodyText"/>
        <w:tabs>
          <w:tab w:val="left" w:pos="1100"/>
        </w:tabs>
      </w:pPr>
      <w:r>
        <w:t xml:space="preserve">PGPA Rule </w:t>
      </w:r>
      <w:r>
        <w:tab/>
      </w:r>
      <w:r>
        <w:rPr>
          <w:rStyle w:val="Italic"/>
        </w:rPr>
        <w:t>Public Governance, Performance and Accountability Rule 2014</w:t>
      </w:r>
    </w:p>
    <w:p w:rsidR="008E273C" w:rsidRDefault="008E273C" w:rsidP="008E273C">
      <w:pPr>
        <w:pStyle w:val="BodyText"/>
        <w:tabs>
          <w:tab w:val="left" w:pos="1100"/>
        </w:tabs>
      </w:pPr>
      <w:r>
        <w:t xml:space="preserve">PIP </w:t>
      </w:r>
      <w:r>
        <w:tab/>
        <w:t>Practice Incentives Program</w:t>
      </w:r>
    </w:p>
    <w:p w:rsidR="008E273C" w:rsidRDefault="008E273C" w:rsidP="008E273C">
      <w:pPr>
        <w:pStyle w:val="BodyText"/>
        <w:tabs>
          <w:tab w:val="left" w:pos="1100"/>
        </w:tabs>
      </w:pPr>
      <w:r>
        <w:t xml:space="preserve">PSM </w:t>
      </w:r>
      <w:r>
        <w:tab/>
        <w:t>Public Service Medal</w:t>
      </w:r>
    </w:p>
    <w:p w:rsidR="008E273C" w:rsidRDefault="008E273C" w:rsidP="008E273C">
      <w:pPr>
        <w:pStyle w:val="BodyText"/>
        <w:tabs>
          <w:tab w:val="left" w:pos="1100"/>
        </w:tabs>
      </w:pPr>
      <w:r>
        <w:t xml:space="preserve">PSS </w:t>
      </w:r>
      <w:r>
        <w:tab/>
        <w:t>Public Sector Superannuation Scheme</w:t>
      </w:r>
    </w:p>
    <w:p w:rsidR="008E273C" w:rsidRDefault="008E273C" w:rsidP="008E273C">
      <w:pPr>
        <w:pStyle w:val="BodyText"/>
        <w:tabs>
          <w:tab w:val="left" w:pos="1100"/>
        </w:tabs>
      </w:pPr>
      <w:proofErr w:type="spellStart"/>
      <w:r>
        <w:t>PSSap</w:t>
      </w:r>
      <w:proofErr w:type="spellEnd"/>
      <w:r>
        <w:t xml:space="preserve"> </w:t>
      </w:r>
      <w:r>
        <w:tab/>
        <w:t>Public Sector Superannuation Scheme accumulation plan</w:t>
      </w:r>
    </w:p>
    <w:p w:rsidR="008E273C" w:rsidRDefault="008E273C" w:rsidP="008E273C">
      <w:pPr>
        <w:pStyle w:val="BodyText"/>
        <w:tabs>
          <w:tab w:val="left" w:pos="1100"/>
        </w:tabs>
      </w:pPr>
      <w:r>
        <w:t xml:space="preserve">RAP </w:t>
      </w:r>
      <w:r>
        <w:tab/>
        <w:t>Reconciliation Action Plan</w:t>
      </w:r>
    </w:p>
    <w:p w:rsidR="008E273C" w:rsidRDefault="008E273C" w:rsidP="008E273C">
      <w:pPr>
        <w:pStyle w:val="BodyText"/>
        <w:tabs>
          <w:tab w:val="left" w:pos="1100"/>
        </w:tabs>
      </w:pPr>
      <w:r>
        <w:t xml:space="preserve">ROU </w:t>
      </w:r>
      <w:r>
        <w:tab/>
        <w:t>right-of-use</w:t>
      </w:r>
    </w:p>
    <w:p w:rsidR="008E273C" w:rsidRDefault="008E273C" w:rsidP="008E273C">
      <w:pPr>
        <w:pStyle w:val="BodyText"/>
        <w:tabs>
          <w:tab w:val="left" w:pos="1100"/>
        </w:tabs>
      </w:pPr>
      <w:r>
        <w:t xml:space="preserve">RPBS </w:t>
      </w:r>
      <w:r>
        <w:tab/>
        <w:t>Repatriation Pharmaceutical Benefits Scheme</w:t>
      </w:r>
    </w:p>
    <w:p w:rsidR="008E273C" w:rsidRDefault="008E273C" w:rsidP="008E273C">
      <w:pPr>
        <w:pStyle w:val="BodyText"/>
        <w:tabs>
          <w:tab w:val="left" w:pos="1100"/>
        </w:tabs>
      </w:pPr>
      <w:r>
        <w:t xml:space="preserve">RRRS </w:t>
      </w:r>
      <w:r>
        <w:tab/>
        <w:t>Random Review Results System</w:t>
      </w:r>
    </w:p>
    <w:p w:rsidR="008E273C" w:rsidRDefault="008E273C" w:rsidP="008E273C">
      <w:pPr>
        <w:pStyle w:val="BodyText"/>
        <w:tabs>
          <w:tab w:val="left" w:pos="1100"/>
        </w:tabs>
      </w:pPr>
      <w:r>
        <w:t xml:space="preserve">SAS </w:t>
      </w:r>
      <w:r>
        <w:tab/>
        <w:t>Statistical Analysis System</w:t>
      </w:r>
    </w:p>
    <w:p w:rsidR="008E273C" w:rsidRDefault="008E273C" w:rsidP="008E273C">
      <w:pPr>
        <w:pStyle w:val="BodyText"/>
        <w:tabs>
          <w:tab w:val="left" w:pos="1100"/>
        </w:tabs>
      </w:pPr>
      <w:r>
        <w:t xml:space="preserve">SES </w:t>
      </w:r>
      <w:r>
        <w:tab/>
        <w:t>Senior Executive Service</w:t>
      </w:r>
    </w:p>
    <w:p w:rsidR="008E273C" w:rsidRDefault="008E273C" w:rsidP="008E273C">
      <w:pPr>
        <w:pStyle w:val="BodyText"/>
        <w:tabs>
          <w:tab w:val="left" w:pos="1100"/>
        </w:tabs>
      </w:pPr>
      <w:r>
        <w:t xml:space="preserve">SME </w:t>
      </w:r>
      <w:r>
        <w:tab/>
        <w:t>small and medium enterprises</w:t>
      </w:r>
    </w:p>
    <w:p w:rsidR="008E273C" w:rsidRDefault="008E273C" w:rsidP="008E273C">
      <w:pPr>
        <w:pStyle w:val="BodyText"/>
        <w:tabs>
          <w:tab w:val="left" w:pos="1100"/>
        </w:tabs>
      </w:pPr>
      <w:r>
        <w:t xml:space="preserve">SMS </w:t>
      </w:r>
      <w:r>
        <w:tab/>
        <w:t>Short message service</w:t>
      </w:r>
    </w:p>
    <w:p w:rsidR="008E273C" w:rsidRDefault="008E273C" w:rsidP="008E273C">
      <w:pPr>
        <w:pStyle w:val="BodyText"/>
        <w:tabs>
          <w:tab w:val="left" w:pos="1100"/>
        </w:tabs>
      </w:pPr>
      <w:r>
        <w:t xml:space="preserve">WPIT </w:t>
      </w:r>
      <w:r>
        <w:tab/>
        <w:t>Welfare Payment Infrastructure Transformation</w:t>
      </w:r>
    </w:p>
    <w:p w:rsidR="008E273C" w:rsidRDefault="008E273C" w:rsidP="008E273C">
      <w:pPr>
        <w:pStyle w:val="Heading1"/>
      </w:pPr>
      <w:r>
        <w:t>Appendix F: Index</w:t>
      </w:r>
    </w:p>
    <w:p w:rsidR="008E273C" w:rsidRPr="00DC6D62" w:rsidRDefault="008E273C" w:rsidP="00DC6D62">
      <w:pPr>
        <w:pStyle w:val="BodyText"/>
        <w:rPr>
          <w:b/>
        </w:rPr>
      </w:pPr>
      <w:r w:rsidRPr="00DC6D62">
        <w:rPr>
          <w:b/>
        </w:rPr>
        <w:t>A</w:t>
      </w:r>
    </w:p>
    <w:p w:rsidR="008E273C" w:rsidRDefault="008E273C" w:rsidP="00DC6D62">
      <w:pPr>
        <w:pStyle w:val="BodyText"/>
      </w:pPr>
      <w:proofErr w:type="gramStart"/>
      <w:r>
        <w:t>abbreviations</w:t>
      </w:r>
      <w:proofErr w:type="gramEnd"/>
      <w:r>
        <w:t xml:space="preserve"> and acronyms, 249–51</w:t>
      </w:r>
    </w:p>
    <w:p w:rsidR="008E273C" w:rsidRDefault="008E273C" w:rsidP="00DC6D62">
      <w:pPr>
        <w:pStyle w:val="BodyText"/>
      </w:pPr>
      <w:r>
        <w:t>Aboriginal and Torres Strait Islander Employees Strategy 2018–22, 187</w:t>
      </w:r>
    </w:p>
    <w:p w:rsidR="008E273C" w:rsidRDefault="008E273C" w:rsidP="00DC6D62">
      <w:pPr>
        <w:pStyle w:val="BodyText"/>
      </w:pPr>
      <w:r>
        <w:t>Aboriginal Health Services, 24</w:t>
      </w:r>
    </w:p>
    <w:p w:rsidR="008E273C" w:rsidRDefault="008E273C" w:rsidP="00DC6D62">
      <w:pPr>
        <w:pStyle w:val="BodyText"/>
      </w:pPr>
      <w:r>
        <w:t>ABSTUDY, 7</w:t>
      </w:r>
    </w:p>
    <w:p w:rsidR="008E273C" w:rsidRDefault="008E273C" w:rsidP="00DC6D62">
      <w:pPr>
        <w:pStyle w:val="BodyText"/>
      </w:pPr>
      <w:proofErr w:type="gramStart"/>
      <w:r>
        <w:t>accessibility</w:t>
      </w:r>
      <w:proofErr w:type="gramEnd"/>
      <w:r>
        <w:t xml:space="preserve"> requirements, staff with, 185</w:t>
      </w:r>
    </w:p>
    <w:p w:rsidR="008E273C" w:rsidRDefault="008E273C" w:rsidP="00DC6D62">
      <w:pPr>
        <w:pStyle w:val="BodyText"/>
      </w:pPr>
      <w:r>
        <w:lastRenderedPageBreak/>
        <w:t>Additional Child Care Subsidy, 11</w:t>
      </w:r>
    </w:p>
    <w:p w:rsidR="008E273C" w:rsidRDefault="008E273C" w:rsidP="00DC6D62">
      <w:pPr>
        <w:pStyle w:val="BodyText"/>
        <w:ind w:left="720"/>
      </w:pPr>
      <w:proofErr w:type="gramStart"/>
      <w:r>
        <w:t>claims</w:t>
      </w:r>
      <w:proofErr w:type="gramEnd"/>
      <w:r>
        <w:t xml:space="preserve"> finalised, 2019–20, 7</w:t>
      </w:r>
    </w:p>
    <w:p w:rsidR="008E273C" w:rsidRDefault="008E273C" w:rsidP="00DC6D62">
      <w:pPr>
        <w:pStyle w:val="BodyText"/>
      </w:pPr>
      <w:r>
        <w:t>Additional Payment for Children, 2019–20 bushfires, 49, 52</w:t>
      </w:r>
    </w:p>
    <w:p w:rsidR="008E273C" w:rsidRDefault="008E273C" w:rsidP="00DC6D62">
      <w:pPr>
        <w:pStyle w:val="BodyText"/>
      </w:pPr>
      <w:proofErr w:type="gramStart"/>
      <w:r>
        <w:t>administered</w:t>
      </w:r>
      <w:proofErr w:type="gramEnd"/>
      <w:r>
        <w:t xml:space="preserve"> finances, 117</w:t>
      </w:r>
    </w:p>
    <w:p w:rsidR="008E273C" w:rsidRDefault="008E273C" w:rsidP="00DC6D62">
      <w:pPr>
        <w:pStyle w:val="BodyText"/>
      </w:pPr>
      <w:r>
        <w:t>Administrative Appeals Tribunal, 172</w:t>
      </w:r>
    </w:p>
    <w:p w:rsidR="008E273C" w:rsidRDefault="008E273C" w:rsidP="00DC6D62">
      <w:pPr>
        <w:pStyle w:val="BodyText"/>
      </w:pPr>
      <w:r>
        <w:t>Administrative Arrangements Orders, 162</w:t>
      </w:r>
    </w:p>
    <w:p w:rsidR="008E273C" w:rsidRDefault="008E273C" w:rsidP="00DC6D62">
      <w:pPr>
        <w:pStyle w:val="BodyText"/>
      </w:pPr>
      <w:r>
        <w:t>Adoption, Fostering and Surrogacy Leave Information Sheet, 184</w:t>
      </w:r>
    </w:p>
    <w:p w:rsidR="008E273C" w:rsidRDefault="008E273C" w:rsidP="00DC6D62">
      <w:pPr>
        <w:pStyle w:val="BodyText"/>
      </w:pPr>
      <w:proofErr w:type="gramStart"/>
      <w:r>
        <w:t>advertising</w:t>
      </w:r>
      <w:proofErr w:type="gramEnd"/>
      <w:r>
        <w:t xml:space="preserve"> and market research, 196–7</w:t>
      </w:r>
    </w:p>
    <w:p w:rsidR="008E273C" w:rsidRDefault="008E273C" w:rsidP="00DC6D62">
      <w:pPr>
        <w:pStyle w:val="BodyText"/>
      </w:pPr>
      <w:r>
        <w:t>Age Pension, 8</w:t>
      </w:r>
    </w:p>
    <w:p w:rsidR="008E273C" w:rsidRDefault="008E273C" w:rsidP="00DC6D62">
      <w:pPr>
        <w:pStyle w:val="BodyText"/>
        <w:ind w:left="720"/>
      </w:pPr>
      <w:proofErr w:type="gramStart"/>
      <w:r>
        <w:t>claims</w:t>
      </w:r>
      <w:proofErr w:type="gramEnd"/>
      <w:r>
        <w:t xml:space="preserve"> finalised, 2019–20, 7</w:t>
      </w:r>
    </w:p>
    <w:p w:rsidR="008E273C" w:rsidRDefault="008E273C" w:rsidP="00DC6D62">
      <w:pPr>
        <w:pStyle w:val="BodyText"/>
      </w:pPr>
      <w:proofErr w:type="gramStart"/>
      <w:r>
        <w:t>aged</w:t>
      </w:r>
      <w:proofErr w:type="gramEnd"/>
      <w:r>
        <w:t xml:space="preserve"> care, 25–6</w:t>
      </w:r>
    </w:p>
    <w:p w:rsidR="008E273C" w:rsidRDefault="008E273C" w:rsidP="00DC6D62">
      <w:pPr>
        <w:pStyle w:val="BodyText"/>
        <w:ind w:left="720"/>
      </w:pPr>
      <w:r>
        <w:t>COVID-19 Support Supplement, x, 25</w:t>
      </w:r>
    </w:p>
    <w:p w:rsidR="008E273C" w:rsidRDefault="008E273C" w:rsidP="00DC6D62">
      <w:pPr>
        <w:pStyle w:val="BodyText"/>
        <w:ind w:left="720"/>
      </w:pPr>
      <w:proofErr w:type="gramStart"/>
      <w:r>
        <w:t>payment</w:t>
      </w:r>
      <w:proofErr w:type="gramEnd"/>
      <w:r>
        <w:t xml:space="preserve"> system and service improvements, 5, 26</w:t>
      </w:r>
    </w:p>
    <w:p w:rsidR="008E273C" w:rsidRDefault="008E273C" w:rsidP="00DC6D62">
      <w:pPr>
        <w:pStyle w:val="BodyText"/>
        <w:ind w:left="720"/>
      </w:pPr>
      <w:proofErr w:type="gramStart"/>
      <w:r>
        <w:t>payments</w:t>
      </w:r>
      <w:proofErr w:type="gramEnd"/>
      <w:r>
        <w:t>, 7–8</w:t>
      </w:r>
    </w:p>
    <w:p w:rsidR="008E273C" w:rsidRDefault="008E273C" w:rsidP="00DC6D62">
      <w:pPr>
        <w:pStyle w:val="BodyText"/>
        <w:ind w:left="720"/>
      </w:pPr>
      <w:proofErr w:type="gramStart"/>
      <w:r>
        <w:t>provider</w:t>
      </w:r>
      <w:proofErr w:type="gramEnd"/>
      <w:r>
        <w:t xml:space="preserve"> digital services, 5</w:t>
      </w:r>
    </w:p>
    <w:p w:rsidR="008E273C" w:rsidRDefault="008E273C" w:rsidP="00DC6D62">
      <w:pPr>
        <w:pStyle w:val="BodyText"/>
        <w:ind w:left="720"/>
      </w:pPr>
      <w:proofErr w:type="gramStart"/>
      <w:r>
        <w:t>support</w:t>
      </w:r>
      <w:proofErr w:type="gramEnd"/>
      <w:r>
        <w:t xml:space="preserve"> during COVID-19, x, xv, xvi, 25</w:t>
      </w:r>
    </w:p>
    <w:p w:rsidR="008E273C" w:rsidRDefault="008E273C" w:rsidP="00DC6D62">
      <w:pPr>
        <w:pStyle w:val="BodyText"/>
      </w:pPr>
      <w:r>
        <w:t>Aged Care Provider Portal, 26</w:t>
      </w:r>
    </w:p>
    <w:p w:rsidR="008E273C" w:rsidRDefault="008E273C" w:rsidP="00DC6D62">
      <w:pPr>
        <w:pStyle w:val="BodyText"/>
      </w:pPr>
      <w:r>
        <w:t>Agents and Access Points, 6, 43</w:t>
      </w:r>
    </w:p>
    <w:p w:rsidR="008E273C" w:rsidRDefault="008E273C" w:rsidP="00DC6D62">
      <w:pPr>
        <w:pStyle w:val="BodyText"/>
      </w:pPr>
      <w:proofErr w:type="gramStart"/>
      <w:r>
        <w:t>apprenticeships</w:t>
      </w:r>
      <w:proofErr w:type="gramEnd"/>
      <w:r>
        <w:t>, 183</w:t>
      </w:r>
    </w:p>
    <w:p w:rsidR="008E273C" w:rsidRDefault="008E273C" w:rsidP="00DC6D62">
      <w:pPr>
        <w:pStyle w:val="BodyText"/>
      </w:pPr>
      <w:proofErr w:type="gramStart"/>
      <w:r>
        <w:t>apps</w:t>
      </w:r>
      <w:proofErr w:type="gramEnd"/>
      <w:r>
        <w:t xml:space="preserve"> </w:t>
      </w:r>
      <w:r>
        <w:rPr>
          <w:rFonts w:ascii="Roboto-Italic" w:hAnsi="Roboto-Italic" w:cs="Roboto-Italic"/>
          <w:i/>
          <w:iCs/>
        </w:rPr>
        <w:t>see</w:t>
      </w:r>
      <w:r>
        <w:t xml:space="preserve"> Express Plus Centrelink mobile app; Express Plus Child Support mobile app; Express Plus Medicare mobile app</w:t>
      </w:r>
    </w:p>
    <w:p w:rsidR="008E273C" w:rsidRDefault="008E273C" w:rsidP="00DC6D62">
      <w:pPr>
        <w:pStyle w:val="BodyText"/>
      </w:pPr>
      <w:proofErr w:type="gramStart"/>
      <w:r>
        <w:t>assessment</w:t>
      </w:r>
      <w:proofErr w:type="gramEnd"/>
      <w:r>
        <w:t xml:space="preserve"> services, 14–15</w:t>
      </w:r>
    </w:p>
    <w:p w:rsidR="008E273C" w:rsidRDefault="008E273C" w:rsidP="00DC6D62">
      <w:pPr>
        <w:pStyle w:val="BodyText"/>
      </w:pPr>
      <w:proofErr w:type="gramStart"/>
      <w:r>
        <w:t>asset</w:t>
      </w:r>
      <w:proofErr w:type="gramEnd"/>
      <w:r>
        <w:t xml:space="preserve"> management, 117–18</w:t>
      </w:r>
    </w:p>
    <w:p w:rsidR="008E273C" w:rsidRDefault="008E273C" w:rsidP="00DC6D62">
      <w:pPr>
        <w:pStyle w:val="BodyText"/>
      </w:pPr>
      <w:r>
        <w:t>Assistance for Isolated Children, 7</w:t>
      </w:r>
    </w:p>
    <w:p w:rsidR="008E273C" w:rsidRDefault="008E273C" w:rsidP="00DC6D62">
      <w:pPr>
        <w:pStyle w:val="BodyText"/>
      </w:pPr>
      <w:proofErr w:type="gramStart"/>
      <w:r>
        <w:t>audit</w:t>
      </w:r>
      <w:proofErr w:type="gramEnd"/>
      <w:r>
        <w:t>, internal, 165</w:t>
      </w:r>
    </w:p>
    <w:p w:rsidR="008E273C" w:rsidRDefault="008E273C" w:rsidP="00DC6D62">
      <w:pPr>
        <w:pStyle w:val="BodyText"/>
      </w:pPr>
      <w:r>
        <w:t>Auditor-General reports, 173</w:t>
      </w:r>
    </w:p>
    <w:p w:rsidR="008E273C" w:rsidRDefault="008E273C" w:rsidP="00DC6D62">
      <w:pPr>
        <w:pStyle w:val="BodyText"/>
      </w:pPr>
      <w:r>
        <w:t>Australian Digital Health Agency, 35</w:t>
      </w:r>
    </w:p>
    <w:p w:rsidR="008E273C" w:rsidRDefault="008E273C" w:rsidP="00DC6D62">
      <w:pPr>
        <w:pStyle w:val="BodyText"/>
      </w:pPr>
      <w:r>
        <w:t>Australian Federal Police, 63–4</w:t>
      </w:r>
    </w:p>
    <w:p w:rsidR="008E273C" w:rsidRDefault="008E273C" w:rsidP="00DC6D62">
      <w:pPr>
        <w:pStyle w:val="BodyText"/>
      </w:pPr>
      <w:r>
        <w:t>Australian Government agencies, partnerships with, 192</w:t>
      </w:r>
    </w:p>
    <w:p w:rsidR="008E273C" w:rsidRDefault="008E273C" w:rsidP="00DC6D62">
      <w:pPr>
        <w:pStyle w:val="BodyText"/>
      </w:pPr>
      <w:r>
        <w:lastRenderedPageBreak/>
        <w:t>Australian Government Disaster Recovery Payment, xi, 49, 65</w:t>
      </w:r>
    </w:p>
    <w:p w:rsidR="008E273C" w:rsidRDefault="008E273C" w:rsidP="00DC6D62">
      <w:pPr>
        <w:pStyle w:val="BodyText"/>
      </w:pPr>
      <w:r>
        <w:t>Australian Government Emergency Information Line, 54</w:t>
      </w:r>
    </w:p>
    <w:p w:rsidR="008E273C" w:rsidRDefault="008E273C" w:rsidP="00DC6D62">
      <w:pPr>
        <w:pStyle w:val="BodyText"/>
      </w:pPr>
      <w:r>
        <w:t>Australian Immunisation Register, 32</w:t>
      </w:r>
    </w:p>
    <w:p w:rsidR="008E273C" w:rsidRDefault="008E273C" w:rsidP="00DC6D62">
      <w:pPr>
        <w:pStyle w:val="BodyText"/>
      </w:pPr>
      <w:r>
        <w:t>Australian Information Commissioner decisions, 173</w:t>
      </w:r>
    </w:p>
    <w:p w:rsidR="008E273C" w:rsidRDefault="008E273C" w:rsidP="00DC6D62">
      <w:pPr>
        <w:pStyle w:val="BodyText"/>
      </w:pPr>
      <w:r>
        <w:t>Australian National Audit Office, 173</w:t>
      </w:r>
    </w:p>
    <w:p w:rsidR="008E273C" w:rsidRDefault="008E273C" w:rsidP="00DC6D62">
      <w:pPr>
        <w:pStyle w:val="BodyText"/>
        <w:ind w:left="720"/>
      </w:pPr>
      <w:proofErr w:type="gramStart"/>
      <w:r>
        <w:t>access</w:t>
      </w:r>
      <w:proofErr w:type="gramEnd"/>
      <w:r>
        <w:t xml:space="preserve"> clauses, 195</w:t>
      </w:r>
    </w:p>
    <w:p w:rsidR="008E273C" w:rsidRDefault="008E273C" w:rsidP="00DC6D62">
      <w:pPr>
        <w:pStyle w:val="BodyText"/>
      </w:pPr>
      <w:r>
        <w:t>Australian Network on Disability Access and Inclusion Index, 184</w:t>
      </w:r>
    </w:p>
    <w:p w:rsidR="008E273C" w:rsidRDefault="008E273C" w:rsidP="00DC6D62">
      <w:pPr>
        <w:pStyle w:val="BodyText"/>
      </w:pPr>
      <w:r>
        <w:t>Australian Organ Donor Register, 32–3</w:t>
      </w:r>
    </w:p>
    <w:p w:rsidR="008E273C" w:rsidRDefault="008E273C" w:rsidP="00DC6D62">
      <w:pPr>
        <w:pStyle w:val="BodyText"/>
      </w:pPr>
      <w:r>
        <w:t>Australian Public Service staff redeployments, xvii, 47, 71, 83, 97, 106</w:t>
      </w:r>
    </w:p>
    <w:p w:rsidR="008E273C" w:rsidRDefault="008E273C" w:rsidP="00DC6D62">
      <w:pPr>
        <w:pStyle w:val="BodyText"/>
      </w:pPr>
      <w:r>
        <w:t>Australian Taxation Office, 38, 185, 192</w:t>
      </w:r>
    </w:p>
    <w:p w:rsidR="008E273C" w:rsidRDefault="008E273C" w:rsidP="00DC6D62">
      <w:pPr>
        <w:pStyle w:val="BodyText"/>
      </w:pPr>
      <w:r>
        <w:t>Australian Victim of Terrorism Overseas Payment, 49, 53</w:t>
      </w:r>
    </w:p>
    <w:p w:rsidR="008E273C" w:rsidRDefault="008E273C" w:rsidP="00DC6D62">
      <w:pPr>
        <w:pStyle w:val="BodyText"/>
      </w:pPr>
      <w:r>
        <w:t>Australian Workplace Equality Index, 184</w:t>
      </w:r>
    </w:p>
    <w:p w:rsidR="008E273C" w:rsidRDefault="008E273C" w:rsidP="00DC6D62">
      <w:pPr>
        <w:pStyle w:val="BodyText"/>
      </w:pPr>
      <w:proofErr w:type="spellStart"/>
      <w:r>
        <w:t>Austudy</w:t>
      </w:r>
      <w:proofErr w:type="spellEnd"/>
      <w:r>
        <w:t>, 8, 15</w:t>
      </w:r>
    </w:p>
    <w:p w:rsidR="008E273C" w:rsidRDefault="008E273C" w:rsidP="00DC6D62">
      <w:pPr>
        <w:pStyle w:val="BodyText"/>
      </w:pPr>
      <w:proofErr w:type="gramStart"/>
      <w:r>
        <w:t>authority-required</w:t>
      </w:r>
      <w:proofErr w:type="gramEnd"/>
      <w:r>
        <w:t xml:space="preserve"> medicines, 25</w:t>
      </w:r>
    </w:p>
    <w:p w:rsidR="008E273C" w:rsidRDefault="008E273C" w:rsidP="00DC6D62">
      <w:pPr>
        <w:pStyle w:val="BodyText"/>
      </w:pPr>
      <w:proofErr w:type="gramStart"/>
      <w:r>
        <w:t>autism</w:t>
      </w:r>
      <w:proofErr w:type="gramEnd"/>
      <w:r>
        <w:t xml:space="preserve"> employment programs, 184</w:t>
      </w:r>
    </w:p>
    <w:p w:rsidR="008E273C" w:rsidRDefault="008E273C" w:rsidP="00DC6D62">
      <w:pPr>
        <w:pStyle w:val="BodyText"/>
      </w:pPr>
      <w:proofErr w:type="gramStart"/>
      <w:r>
        <w:t>awards</w:t>
      </w:r>
      <w:proofErr w:type="gramEnd"/>
      <w:r>
        <w:t xml:space="preserve"> and recognition, 189–90</w:t>
      </w:r>
    </w:p>
    <w:p w:rsidR="008E273C" w:rsidRPr="00DC6D62" w:rsidRDefault="008E273C" w:rsidP="00DC6D62">
      <w:pPr>
        <w:pStyle w:val="BodyText"/>
        <w:rPr>
          <w:b/>
        </w:rPr>
      </w:pPr>
      <w:r w:rsidRPr="00DC6D62">
        <w:rPr>
          <w:b/>
        </w:rPr>
        <w:t>B</w:t>
      </w:r>
    </w:p>
    <w:p w:rsidR="008E273C" w:rsidRDefault="008E273C" w:rsidP="00DC6D62">
      <w:pPr>
        <w:pStyle w:val="BodyText"/>
      </w:pPr>
      <w:proofErr w:type="spellStart"/>
      <w:r>
        <w:t>BasicsCard</w:t>
      </w:r>
      <w:proofErr w:type="spellEnd"/>
      <w:r>
        <w:t>, 57</w:t>
      </w:r>
    </w:p>
    <w:p w:rsidR="008E273C" w:rsidRDefault="008E273C" w:rsidP="00DC6D62">
      <w:pPr>
        <w:pStyle w:val="BodyText"/>
      </w:pPr>
      <w:r>
        <w:t>Bass Strait Passenger Vehicle Equalisation Scheme, 60</w:t>
      </w:r>
    </w:p>
    <w:p w:rsidR="008E273C" w:rsidRDefault="008E273C" w:rsidP="00DC6D62">
      <w:pPr>
        <w:pStyle w:val="BodyText"/>
      </w:pPr>
      <w:proofErr w:type="gramStart"/>
      <w:r>
        <w:t>bereavement</w:t>
      </w:r>
      <w:proofErr w:type="gramEnd"/>
      <w:r>
        <w:t xml:space="preserve"> payments, 7, 60</w:t>
      </w:r>
    </w:p>
    <w:p w:rsidR="008E273C" w:rsidRDefault="008E273C" w:rsidP="00DC6D62">
      <w:pPr>
        <w:pStyle w:val="BodyText"/>
      </w:pPr>
      <w:proofErr w:type="gramStart"/>
      <w:r>
        <w:t>bill-paying</w:t>
      </w:r>
      <w:proofErr w:type="gramEnd"/>
      <w:r>
        <w:t xml:space="preserve"> service, 55</w:t>
      </w:r>
    </w:p>
    <w:p w:rsidR="008E273C" w:rsidRDefault="008E273C" w:rsidP="00DC6D62">
      <w:pPr>
        <w:pStyle w:val="BodyText"/>
      </w:pPr>
      <w:proofErr w:type="gramStart"/>
      <w:r>
        <w:t>bowel</w:t>
      </w:r>
      <w:proofErr w:type="gramEnd"/>
      <w:r>
        <w:t xml:space="preserve"> cancer, 31</w:t>
      </w:r>
    </w:p>
    <w:p w:rsidR="008E273C" w:rsidRDefault="008E273C" w:rsidP="00DC6D62">
      <w:pPr>
        <w:pStyle w:val="BodyText"/>
      </w:pPr>
      <w:proofErr w:type="gramStart"/>
      <w:r>
        <w:t>breast</w:t>
      </w:r>
      <w:proofErr w:type="gramEnd"/>
      <w:r>
        <w:t xml:space="preserve"> prostheses, 29</w:t>
      </w:r>
    </w:p>
    <w:p w:rsidR="008E273C" w:rsidRDefault="008E273C" w:rsidP="00DC6D62">
      <w:pPr>
        <w:pStyle w:val="BodyText"/>
      </w:pPr>
      <w:proofErr w:type="gramStart"/>
      <w:r>
        <w:t>bulk</w:t>
      </w:r>
      <w:proofErr w:type="gramEnd"/>
      <w:r>
        <w:t xml:space="preserve"> billing, xvi, 19–20, 21</w:t>
      </w:r>
    </w:p>
    <w:p w:rsidR="008E273C" w:rsidRDefault="008E273C" w:rsidP="00DC6D62">
      <w:pPr>
        <w:pStyle w:val="BodyText"/>
      </w:pPr>
      <w:proofErr w:type="gramStart"/>
      <w:r>
        <w:t>bushfires</w:t>
      </w:r>
      <w:proofErr w:type="gramEnd"/>
      <w:r>
        <w:t xml:space="preserve"> 2019–20, 50–1, 182</w:t>
      </w:r>
    </w:p>
    <w:p w:rsidR="008E273C" w:rsidRDefault="008E273C" w:rsidP="00DC6D62">
      <w:pPr>
        <w:pStyle w:val="BodyText"/>
        <w:ind w:left="720"/>
      </w:pPr>
      <w:proofErr w:type="gramStart"/>
      <w:r>
        <w:t>debt</w:t>
      </w:r>
      <w:proofErr w:type="gramEnd"/>
      <w:r>
        <w:t xml:space="preserve"> recovery pause, 67–8</w:t>
      </w:r>
    </w:p>
    <w:p w:rsidR="008E273C" w:rsidRDefault="008E273C" w:rsidP="00DC6D62">
      <w:pPr>
        <w:pStyle w:val="BodyText"/>
        <w:ind w:left="720"/>
      </w:pPr>
      <w:proofErr w:type="gramStart"/>
      <w:r>
        <w:t>demand</w:t>
      </w:r>
      <w:proofErr w:type="gramEnd"/>
      <w:r>
        <w:t xml:space="preserve"> for services, 71, 77</w:t>
      </w:r>
    </w:p>
    <w:p w:rsidR="008E273C" w:rsidRDefault="008E273C" w:rsidP="00DC6D62">
      <w:pPr>
        <w:pStyle w:val="BodyText"/>
        <w:ind w:left="720"/>
      </w:pPr>
      <w:proofErr w:type="gramStart"/>
      <w:r>
        <w:t>effects</w:t>
      </w:r>
      <w:proofErr w:type="gramEnd"/>
      <w:r>
        <w:t xml:space="preserve"> on performance results, 83, 87, 97, 98, 106</w:t>
      </w:r>
    </w:p>
    <w:p w:rsidR="008E273C" w:rsidRDefault="008E273C" w:rsidP="00DC6D62">
      <w:pPr>
        <w:pStyle w:val="BodyText"/>
        <w:ind w:left="720"/>
      </w:pPr>
      <w:proofErr w:type="gramStart"/>
      <w:r>
        <w:t>face-to-face</w:t>
      </w:r>
      <w:proofErr w:type="gramEnd"/>
      <w:r>
        <w:t xml:space="preserve"> services, 42</w:t>
      </w:r>
    </w:p>
    <w:p w:rsidR="008E273C" w:rsidRDefault="008E273C" w:rsidP="00DC6D62">
      <w:pPr>
        <w:pStyle w:val="BodyText"/>
        <w:ind w:left="720"/>
      </w:pPr>
      <w:proofErr w:type="gramStart"/>
      <w:r>
        <w:lastRenderedPageBreak/>
        <w:t>fraud</w:t>
      </w:r>
      <w:proofErr w:type="gramEnd"/>
      <w:r>
        <w:t xml:space="preserve"> prevention, 64–5</w:t>
      </w:r>
    </w:p>
    <w:p w:rsidR="008E273C" w:rsidRDefault="008E273C" w:rsidP="00DC6D62">
      <w:pPr>
        <w:pStyle w:val="BodyText"/>
        <w:ind w:left="720"/>
      </w:pPr>
      <w:proofErr w:type="gramStart"/>
      <w:r>
        <w:t>identity</w:t>
      </w:r>
      <w:proofErr w:type="gramEnd"/>
      <w:r>
        <w:t xml:space="preserve"> confirmation, 65</w:t>
      </w:r>
    </w:p>
    <w:p w:rsidR="008E273C" w:rsidRDefault="008E273C" w:rsidP="00DC6D62">
      <w:pPr>
        <w:pStyle w:val="BodyText"/>
        <w:ind w:left="720"/>
      </w:pPr>
      <w:proofErr w:type="gramStart"/>
      <w:r>
        <w:t>payments</w:t>
      </w:r>
      <w:proofErr w:type="gramEnd"/>
      <w:r>
        <w:t xml:space="preserve"> and services, xi, 3, 49, 52</w:t>
      </w:r>
    </w:p>
    <w:p w:rsidR="008E273C" w:rsidRDefault="008E273C" w:rsidP="00DC6D62">
      <w:pPr>
        <w:pStyle w:val="BodyText"/>
        <w:ind w:left="720"/>
      </w:pPr>
      <w:proofErr w:type="gramStart"/>
      <w:r>
        <w:t>social</w:t>
      </w:r>
      <w:proofErr w:type="gramEnd"/>
      <w:r>
        <w:t xml:space="preserve"> work services, 47</w:t>
      </w:r>
    </w:p>
    <w:p w:rsidR="008E273C" w:rsidRPr="00DC6D62" w:rsidRDefault="008E273C" w:rsidP="00DC6D62">
      <w:pPr>
        <w:pStyle w:val="BodyText"/>
        <w:rPr>
          <w:b/>
        </w:rPr>
      </w:pPr>
      <w:r w:rsidRPr="00DC6D62">
        <w:rPr>
          <w:b/>
        </w:rPr>
        <w:t>C</w:t>
      </w:r>
    </w:p>
    <w:p w:rsidR="008E273C" w:rsidRDefault="008E273C" w:rsidP="00DC6D62">
      <w:pPr>
        <w:pStyle w:val="BodyText"/>
      </w:pPr>
      <w:r>
        <w:t>Carer Allowance, 9</w:t>
      </w:r>
    </w:p>
    <w:p w:rsidR="008E273C" w:rsidRDefault="008E273C" w:rsidP="00DC6D62">
      <w:pPr>
        <w:pStyle w:val="BodyText"/>
        <w:ind w:left="720"/>
      </w:pPr>
      <w:proofErr w:type="gramStart"/>
      <w:r>
        <w:t>claims</w:t>
      </w:r>
      <w:proofErr w:type="gramEnd"/>
      <w:r>
        <w:t xml:space="preserve"> finalised, 2019–20, 7</w:t>
      </w:r>
    </w:p>
    <w:p w:rsidR="008E273C" w:rsidRDefault="008E273C" w:rsidP="00DC6D62">
      <w:pPr>
        <w:pStyle w:val="BodyText"/>
      </w:pPr>
      <w:r>
        <w:t>Carer Payment, 9</w:t>
      </w:r>
    </w:p>
    <w:p w:rsidR="008E273C" w:rsidRDefault="008E273C" w:rsidP="00DC6D62">
      <w:pPr>
        <w:pStyle w:val="BodyText"/>
        <w:ind w:left="720"/>
      </w:pPr>
      <w:proofErr w:type="gramStart"/>
      <w:r>
        <w:t>claims</w:t>
      </w:r>
      <w:proofErr w:type="gramEnd"/>
      <w:r>
        <w:t xml:space="preserve"> finalised, 2019–20, 7</w:t>
      </w:r>
    </w:p>
    <w:p w:rsidR="008E273C" w:rsidRDefault="008E273C" w:rsidP="00DC6D62">
      <w:pPr>
        <w:pStyle w:val="BodyText"/>
      </w:pPr>
      <w:proofErr w:type="gramStart"/>
      <w:r>
        <w:t>carers</w:t>
      </w:r>
      <w:proofErr w:type="gramEnd"/>
      <w:r>
        <w:t>, 4–5, 9, 185</w:t>
      </w:r>
    </w:p>
    <w:p w:rsidR="008E273C" w:rsidRDefault="008E273C" w:rsidP="00DC6D62">
      <w:pPr>
        <w:pStyle w:val="BodyText"/>
      </w:pPr>
      <w:r>
        <w:t>Cashless Debit Card, 58</w:t>
      </w:r>
    </w:p>
    <w:p w:rsidR="008E273C" w:rsidRDefault="008E273C" w:rsidP="00DC6D62">
      <w:pPr>
        <w:pStyle w:val="BodyText"/>
      </w:pPr>
      <w:r>
        <w:t>Centrelink, 3, 7–15, 55–6</w:t>
      </w:r>
    </w:p>
    <w:p w:rsidR="008E273C" w:rsidRDefault="008E273C" w:rsidP="00DC6D62">
      <w:pPr>
        <w:pStyle w:val="BodyText"/>
        <w:ind w:left="720"/>
      </w:pPr>
      <w:proofErr w:type="gramStart"/>
      <w:r>
        <w:t>agency</w:t>
      </w:r>
      <w:proofErr w:type="gramEnd"/>
      <w:r>
        <w:t xml:space="preserve"> service commitments, 109–13</w:t>
      </w:r>
    </w:p>
    <w:p w:rsidR="008E273C" w:rsidRDefault="008E273C" w:rsidP="00DC6D62">
      <w:pPr>
        <w:pStyle w:val="BodyText"/>
        <w:ind w:left="720"/>
      </w:pPr>
      <w:proofErr w:type="gramStart"/>
      <w:r>
        <w:t>feedback</w:t>
      </w:r>
      <w:proofErr w:type="gramEnd"/>
      <w:r>
        <w:t xml:space="preserve"> on services, 112</w:t>
      </w:r>
    </w:p>
    <w:p w:rsidR="008E273C" w:rsidRDefault="008E273C" w:rsidP="00DC6D62">
      <w:pPr>
        <w:pStyle w:val="BodyText"/>
        <w:ind w:left="720"/>
      </w:pPr>
      <w:proofErr w:type="gramStart"/>
      <w:r>
        <w:t>performance</w:t>
      </w:r>
      <w:proofErr w:type="gramEnd"/>
      <w:r>
        <w:t xml:space="preserve"> results, 73–85</w:t>
      </w:r>
    </w:p>
    <w:p w:rsidR="008E273C" w:rsidRDefault="008E273C" w:rsidP="00DC6D62">
      <w:pPr>
        <w:pStyle w:val="BodyText"/>
      </w:pPr>
      <w:r>
        <w:t xml:space="preserve">Centrelink Confirmation </w:t>
      </w:r>
      <w:proofErr w:type="spellStart"/>
      <w:r>
        <w:t>eServices</w:t>
      </w:r>
      <w:proofErr w:type="spellEnd"/>
      <w:r>
        <w:t>, 56</w:t>
      </w:r>
    </w:p>
    <w:p w:rsidR="008E273C" w:rsidRDefault="008E273C" w:rsidP="00DC6D62">
      <w:pPr>
        <w:pStyle w:val="BodyText"/>
      </w:pPr>
      <w:r>
        <w:t>Centrepay, 55</w:t>
      </w:r>
    </w:p>
    <w:p w:rsidR="008E273C" w:rsidRDefault="008E273C" w:rsidP="00DC6D62">
      <w:pPr>
        <w:pStyle w:val="BodyText"/>
      </w:pPr>
      <w:r>
        <w:t>Chief Executive Officer, 178, 180</w:t>
      </w:r>
    </w:p>
    <w:p w:rsidR="008E273C" w:rsidRDefault="008E273C" w:rsidP="00DC6D62">
      <w:pPr>
        <w:pStyle w:val="BodyText"/>
        <w:ind w:left="720"/>
      </w:pPr>
      <w:proofErr w:type="gramStart"/>
      <w:r>
        <w:t>review</w:t>
      </w:r>
      <w:proofErr w:type="gramEnd"/>
      <w:r>
        <w:t xml:space="preserve"> 2019–20, ix–xii</w:t>
      </w:r>
    </w:p>
    <w:p w:rsidR="008E273C" w:rsidRDefault="008E273C" w:rsidP="00DC6D62">
      <w:pPr>
        <w:pStyle w:val="BodyText"/>
      </w:pPr>
      <w:r>
        <w:t>Child Care Subsidy, 11</w:t>
      </w:r>
    </w:p>
    <w:p w:rsidR="008E273C" w:rsidRDefault="008E273C" w:rsidP="00DC6D62">
      <w:pPr>
        <w:pStyle w:val="BodyText"/>
        <w:ind w:left="720"/>
      </w:pPr>
      <w:proofErr w:type="gramStart"/>
      <w:r>
        <w:t>claims</w:t>
      </w:r>
      <w:proofErr w:type="gramEnd"/>
      <w:r>
        <w:t xml:space="preserve"> finalised, 2019–20, 7</w:t>
      </w:r>
    </w:p>
    <w:p w:rsidR="008E273C" w:rsidRDefault="008E273C" w:rsidP="00DC6D62">
      <w:pPr>
        <w:pStyle w:val="BodyText"/>
      </w:pPr>
      <w:r>
        <w:t>Child Dental Benefits Schedule, 31</w:t>
      </w:r>
    </w:p>
    <w:p w:rsidR="008E273C" w:rsidRDefault="008E273C" w:rsidP="00DC6D62">
      <w:pPr>
        <w:pStyle w:val="BodyText"/>
      </w:pPr>
      <w:r>
        <w:t>Child Support Collect, 36, 37</w:t>
      </w:r>
    </w:p>
    <w:p w:rsidR="008E273C" w:rsidRDefault="008E273C" w:rsidP="00DC6D62">
      <w:pPr>
        <w:pStyle w:val="BodyText"/>
      </w:pPr>
      <w:r>
        <w:t>Child Support program (Program 1.3), 3, 36–40, 100–8</w:t>
      </w:r>
    </w:p>
    <w:p w:rsidR="008E273C" w:rsidRDefault="008E273C" w:rsidP="00DC6D62">
      <w:pPr>
        <w:pStyle w:val="BodyText"/>
      </w:pPr>
      <w:proofErr w:type="gramStart"/>
      <w:r>
        <w:t>assessment</w:t>
      </w:r>
      <w:proofErr w:type="gramEnd"/>
      <w:r>
        <w:t xml:space="preserve"> reviews, 37–8</w:t>
      </w:r>
    </w:p>
    <w:p w:rsidR="008E273C" w:rsidRDefault="008E273C" w:rsidP="00DC6D62">
      <w:pPr>
        <w:pStyle w:val="BodyText"/>
        <w:ind w:left="720"/>
      </w:pPr>
      <w:proofErr w:type="gramStart"/>
      <w:r>
        <w:t>collections</w:t>
      </w:r>
      <w:proofErr w:type="gramEnd"/>
      <w:r>
        <w:t xml:space="preserve"> performance standards, 105–6</w:t>
      </w:r>
    </w:p>
    <w:p w:rsidR="008E273C" w:rsidRDefault="008E273C" w:rsidP="00DC6D62">
      <w:pPr>
        <w:pStyle w:val="BodyText"/>
        <w:ind w:left="720"/>
      </w:pPr>
      <w:proofErr w:type="gramStart"/>
      <w:r>
        <w:t>compliance</w:t>
      </w:r>
      <w:proofErr w:type="gramEnd"/>
      <w:r>
        <w:t xml:space="preserve"> and enforcement, 38–40</w:t>
      </w:r>
    </w:p>
    <w:p w:rsidR="008E273C" w:rsidRDefault="008E273C" w:rsidP="00DC6D62">
      <w:pPr>
        <w:pStyle w:val="BodyText"/>
        <w:ind w:left="720"/>
      </w:pPr>
      <w:proofErr w:type="gramStart"/>
      <w:r>
        <w:t>customer</w:t>
      </w:r>
      <w:proofErr w:type="gramEnd"/>
      <w:r>
        <w:t xml:space="preserve"> satisfaction performance results, 101–2</w:t>
      </w:r>
    </w:p>
    <w:p w:rsidR="008E273C" w:rsidRDefault="008E273C" w:rsidP="00DC6D62">
      <w:pPr>
        <w:pStyle w:val="BodyText"/>
        <w:ind w:left="720"/>
      </w:pPr>
      <w:proofErr w:type="gramStart"/>
      <w:r>
        <w:t>customer</w:t>
      </w:r>
      <w:proofErr w:type="gramEnd"/>
      <w:r>
        <w:t xml:space="preserve"> trust performance results, 102–3</w:t>
      </w:r>
    </w:p>
    <w:p w:rsidR="008E273C" w:rsidRDefault="008E273C" w:rsidP="00DC6D62">
      <w:pPr>
        <w:pStyle w:val="BodyText"/>
        <w:ind w:left="720"/>
      </w:pPr>
      <w:proofErr w:type="gramStart"/>
      <w:r>
        <w:lastRenderedPageBreak/>
        <w:t>digital</w:t>
      </w:r>
      <w:proofErr w:type="gramEnd"/>
      <w:r>
        <w:t xml:space="preserve"> enhancements, 36</w:t>
      </w:r>
    </w:p>
    <w:p w:rsidR="008E273C" w:rsidRDefault="008E273C" w:rsidP="00DC6D62">
      <w:pPr>
        <w:pStyle w:val="BodyText"/>
        <w:ind w:left="720"/>
      </w:pPr>
      <w:proofErr w:type="gramStart"/>
      <w:r>
        <w:t>digital</w:t>
      </w:r>
      <w:proofErr w:type="gramEnd"/>
      <w:r>
        <w:t xml:space="preserve"> services performance results, 103–5</w:t>
      </w:r>
    </w:p>
    <w:p w:rsidR="008E273C" w:rsidRDefault="008E273C" w:rsidP="00DC6D62">
      <w:pPr>
        <w:pStyle w:val="BodyText"/>
        <w:ind w:left="720"/>
      </w:pPr>
      <w:proofErr w:type="gramStart"/>
      <w:r>
        <w:t>feedback</w:t>
      </w:r>
      <w:proofErr w:type="gramEnd"/>
      <w:r>
        <w:t xml:space="preserve"> on services, 113</w:t>
      </w:r>
    </w:p>
    <w:p w:rsidR="008E273C" w:rsidRDefault="008E273C" w:rsidP="00DC6D62">
      <w:pPr>
        <w:pStyle w:val="BodyText"/>
        <w:ind w:left="720"/>
      </w:pPr>
      <w:proofErr w:type="gramStart"/>
      <w:r>
        <w:t>payment</w:t>
      </w:r>
      <w:proofErr w:type="gramEnd"/>
      <w:r>
        <w:t xml:space="preserve"> quality performance results, 109</w:t>
      </w:r>
    </w:p>
    <w:p w:rsidR="008E273C" w:rsidRDefault="008E273C" w:rsidP="00DC6D62">
      <w:pPr>
        <w:pStyle w:val="BodyText"/>
        <w:ind w:left="720"/>
      </w:pPr>
      <w:proofErr w:type="gramStart"/>
      <w:r>
        <w:t>performance</w:t>
      </w:r>
      <w:proofErr w:type="gramEnd"/>
      <w:r>
        <w:t xml:space="preserve"> overview, 100</w:t>
      </w:r>
    </w:p>
    <w:p w:rsidR="008E273C" w:rsidRDefault="008E273C" w:rsidP="00DC6D62">
      <w:pPr>
        <w:pStyle w:val="BodyText"/>
        <w:ind w:left="720"/>
      </w:pPr>
      <w:proofErr w:type="gramStart"/>
      <w:r>
        <w:t>processing</w:t>
      </w:r>
      <w:proofErr w:type="gramEnd"/>
      <w:r>
        <w:t xml:space="preserve"> performance results, 107–8</w:t>
      </w:r>
    </w:p>
    <w:p w:rsidR="008E273C" w:rsidRDefault="008E273C" w:rsidP="00DC6D62">
      <w:pPr>
        <w:pStyle w:val="BodyText"/>
        <w:ind w:left="720"/>
      </w:pPr>
      <w:proofErr w:type="gramStart"/>
      <w:r>
        <w:t>service</w:t>
      </w:r>
      <w:proofErr w:type="gramEnd"/>
      <w:r>
        <w:t xml:space="preserve"> commitments, 109–13</w:t>
      </w:r>
    </w:p>
    <w:p w:rsidR="008E273C" w:rsidRDefault="008E273C" w:rsidP="00DC6D62">
      <w:pPr>
        <w:pStyle w:val="BodyText"/>
        <w:ind w:left="720"/>
      </w:pPr>
      <w:proofErr w:type="gramStart"/>
      <w:r>
        <w:t>services</w:t>
      </w:r>
      <w:proofErr w:type="gramEnd"/>
      <w:r>
        <w:t>, 3</w:t>
      </w:r>
    </w:p>
    <w:p w:rsidR="008E273C" w:rsidRDefault="008E273C" w:rsidP="00DC6D62">
      <w:pPr>
        <w:pStyle w:val="BodyText"/>
        <w:ind w:left="720"/>
      </w:pPr>
      <w:proofErr w:type="gramStart"/>
      <w:r>
        <w:t>telephony</w:t>
      </w:r>
      <w:proofErr w:type="gramEnd"/>
      <w:r>
        <w:t xml:space="preserve"> performance results, 106–7</w:t>
      </w:r>
    </w:p>
    <w:p w:rsidR="008E273C" w:rsidRDefault="008E273C" w:rsidP="00DC6D62">
      <w:pPr>
        <w:pStyle w:val="BodyText"/>
        <w:ind w:left="720"/>
      </w:pPr>
      <w:proofErr w:type="gramStart"/>
      <w:r>
        <w:t>transfers</w:t>
      </w:r>
      <w:proofErr w:type="gramEnd"/>
      <w:r>
        <w:t>, 37</w:t>
      </w:r>
    </w:p>
    <w:p w:rsidR="008E273C" w:rsidRDefault="008E273C" w:rsidP="00DC6D62">
      <w:pPr>
        <w:pStyle w:val="BodyText"/>
      </w:pPr>
      <w:proofErr w:type="gramStart"/>
      <w:r>
        <w:t>children</w:t>
      </w:r>
      <w:proofErr w:type="gramEnd"/>
      <w:r>
        <w:t xml:space="preserve"> and young people, 7–8, 10–12, 47, 49</w:t>
      </w:r>
    </w:p>
    <w:p w:rsidR="008E273C" w:rsidRDefault="008E273C" w:rsidP="00DC6D62">
      <w:pPr>
        <w:pStyle w:val="BodyText"/>
      </w:pPr>
      <w:proofErr w:type="gramStart"/>
      <w:r>
        <w:t>citizenship</w:t>
      </w:r>
      <w:proofErr w:type="gramEnd"/>
      <w:r>
        <w:t xml:space="preserve"> testing, xviii, 48</w:t>
      </w:r>
    </w:p>
    <w:p w:rsidR="008E273C" w:rsidRDefault="008E273C" w:rsidP="00DC6D62">
      <w:pPr>
        <w:pStyle w:val="BodyText"/>
      </w:pPr>
      <w:r>
        <w:t>Closing the Gap PBS Co-Payment, 24</w:t>
      </w:r>
    </w:p>
    <w:p w:rsidR="008E273C" w:rsidRDefault="008E273C" w:rsidP="00DC6D62">
      <w:pPr>
        <w:pStyle w:val="BodyText"/>
      </w:pPr>
      <w:proofErr w:type="spellStart"/>
      <w:r>
        <w:t>Comcare</w:t>
      </w:r>
      <w:proofErr w:type="spellEnd"/>
      <w:r>
        <w:t>, 199</w:t>
      </w:r>
    </w:p>
    <w:p w:rsidR="008E273C" w:rsidRDefault="008E273C" w:rsidP="00DC6D62">
      <w:pPr>
        <w:pStyle w:val="BodyText"/>
      </w:pPr>
      <w:proofErr w:type="gramStart"/>
      <w:r>
        <w:t>committees</w:t>
      </w:r>
      <w:proofErr w:type="gramEnd"/>
      <w:r>
        <w:t xml:space="preserve"> </w:t>
      </w:r>
      <w:r>
        <w:rPr>
          <w:rFonts w:ascii="Roboto-Italic" w:hAnsi="Roboto-Italic" w:cs="Roboto-Italic"/>
          <w:i/>
          <w:iCs/>
        </w:rPr>
        <w:t>see</w:t>
      </w:r>
      <w:r>
        <w:t xml:space="preserve"> governance committees</w:t>
      </w:r>
    </w:p>
    <w:p w:rsidR="008E273C" w:rsidRDefault="008E273C" w:rsidP="00DC6D62">
      <w:pPr>
        <w:pStyle w:val="BodyText"/>
      </w:pPr>
      <w:r>
        <w:t>Commonwealth Director of Public Prosecutions, 62</w:t>
      </w:r>
    </w:p>
    <w:p w:rsidR="008E273C" w:rsidRDefault="008E273C" w:rsidP="00DC6D62">
      <w:pPr>
        <w:pStyle w:val="BodyText"/>
      </w:pPr>
      <w:r>
        <w:t>Commonwealth Risk Management Policy 2014, 164</w:t>
      </w:r>
    </w:p>
    <w:p w:rsidR="008E273C" w:rsidRDefault="008E273C" w:rsidP="00DC6D62">
      <w:pPr>
        <w:pStyle w:val="BodyText"/>
      </w:pPr>
      <w:r>
        <w:t>Community Engagement Officers, xviii, 47–8</w:t>
      </w:r>
    </w:p>
    <w:p w:rsidR="008E273C" w:rsidRDefault="008E273C" w:rsidP="00DC6D62">
      <w:pPr>
        <w:pStyle w:val="BodyText"/>
      </w:pPr>
      <w:r>
        <w:t>Community Language Allowance, 183</w:t>
      </w:r>
    </w:p>
    <w:p w:rsidR="008E273C" w:rsidRDefault="008E273C" w:rsidP="00DC6D62">
      <w:pPr>
        <w:pStyle w:val="BodyText"/>
      </w:pPr>
      <w:proofErr w:type="gramStart"/>
      <w:r>
        <w:t>compensation</w:t>
      </w:r>
      <w:proofErr w:type="gramEnd"/>
      <w:r>
        <w:t xml:space="preserve"> recovery, 22–3</w:t>
      </w:r>
    </w:p>
    <w:p w:rsidR="008E273C" w:rsidRDefault="008E273C" w:rsidP="00DC6D62">
      <w:pPr>
        <w:pStyle w:val="BodyText"/>
      </w:pPr>
      <w:proofErr w:type="gramStart"/>
      <w:r>
        <w:t>complex</w:t>
      </w:r>
      <w:proofErr w:type="gramEnd"/>
      <w:r>
        <w:t xml:space="preserve"> needs, customers with, 3, 47–8</w:t>
      </w:r>
    </w:p>
    <w:p w:rsidR="008E273C" w:rsidRDefault="008E273C" w:rsidP="00DC6D62">
      <w:pPr>
        <w:pStyle w:val="BodyText"/>
      </w:pPr>
      <w:proofErr w:type="gramStart"/>
      <w:r>
        <w:t>compliance</w:t>
      </w:r>
      <w:proofErr w:type="gramEnd"/>
      <w:r>
        <w:t xml:space="preserve"> and business integrity, 62–8</w:t>
      </w:r>
    </w:p>
    <w:p w:rsidR="008E273C" w:rsidRDefault="008E273C" w:rsidP="00DC6D62">
      <w:pPr>
        <w:pStyle w:val="BodyText"/>
      </w:pPr>
      <w:proofErr w:type="gramStart"/>
      <w:r>
        <w:t>concession</w:t>
      </w:r>
      <w:proofErr w:type="gramEnd"/>
      <w:r>
        <w:t xml:space="preserve"> cards, 8, 27</w:t>
      </w:r>
    </w:p>
    <w:p w:rsidR="008E273C" w:rsidRDefault="008E273C" w:rsidP="00DC6D62">
      <w:pPr>
        <w:pStyle w:val="BodyText"/>
        <w:ind w:left="720"/>
      </w:pPr>
      <w:r>
        <w:t>Extended Medicare Safety Net, 19</w:t>
      </w:r>
    </w:p>
    <w:p w:rsidR="008E273C" w:rsidRDefault="008E273C" w:rsidP="00DC6D62">
      <w:pPr>
        <w:pStyle w:val="BodyText"/>
      </w:pPr>
      <w:proofErr w:type="gramStart"/>
      <w:r>
        <w:t>conferences</w:t>
      </w:r>
      <w:proofErr w:type="gramEnd"/>
      <w:r>
        <w:t xml:space="preserve"> and workshops, 42, 45–6</w:t>
      </w:r>
    </w:p>
    <w:p w:rsidR="008E273C" w:rsidRDefault="008E273C" w:rsidP="00DC6D62">
      <w:pPr>
        <w:pStyle w:val="BodyText"/>
      </w:pPr>
      <w:proofErr w:type="gramStart"/>
      <w:r>
        <w:t>consultancy</w:t>
      </w:r>
      <w:proofErr w:type="gramEnd"/>
      <w:r>
        <w:t xml:space="preserve"> contracts, 194</w:t>
      </w:r>
    </w:p>
    <w:p w:rsidR="008E273C" w:rsidRDefault="008E273C" w:rsidP="00DC6D62">
      <w:pPr>
        <w:pStyle w:val="BodyText"/>
      </w:pPr>
      <w:r>
        <w:t>Continence Aids Payment Scheme, 29</w:t>
      </w:r>
    </w:p>
    <w:p w:rsidR="008E273C" w:rsidRDefault="008E273C" w:rsidP="00DC6D62">
      <w:pPr>
        <w:pStyle w:val="BodyText"/>
      </w:pPr>
      <w:r>
        <w:t>Coronavirus Supplement, x, xv, 12–13</w:t>
      </w:r>
    </w:p>
    <w:p w:rsidR="008E273C" w:rsidRDefault="008E273C" w:rsidP="00DC6D62">
      <w:pPr>
        <w:pStyle w:val="BodyText"/>
      </w:pPr>
      <w:r>
        <w:t xml:space="preserve">Corporate Plan 2019–20, 70, 71, 162, 163 </w:t>
      </w:r>
      <w:r>
        <w:rPr>
          <w:rFonts w:ascii="Roboto-Italic" w:hAnsi="Roboto-Italic" w:cs="Roboto-Italic"/>
          <w:i/>
          <w:iCs/>
        </w:rPr>
        <w:t>see</w:t>
      </w:r>
      <w:r>
        <w:t xml:space="preserve"> </w:t>
      </w:r>
      <w:r>
        <w:rPr>
          <w:rFonts w:ascii="Roboto-Italic" w:hAnsi="Roboto-Italic" w:cs="Roboto-Italic"/>
          <w:i/>
          <w:iCs/>
        </w:rPr>
        <w:t>also</w:t>
      </w:r>
      <w:r>
        <w:t xml:space="preserve"> performance reporting</w:t>
      </w:r>
    </w:p>
    <w:p w:rsidR="008E273C" w:rsidRDefault="008E273C" w:rsidP="00DC6D62">
      <w:pPr>
        <w:pStyle w:val="BodyText"/>
      </w:pPr>
      <w:r>
        <w:lastRenderedPageBreak/>
        <w:t>COVID-19 Counter-Fraud Taskforce, 64</w:t>
      </w:r>
    </w:p>
    <w:p w:rsidR="008E273C" w:rsidRDefault="008E273C" w:rsidP="00DC6D62">
      <w:pPr>
        <w:pStyle w:val="BodyText"/>
      </w:pPr>
      <w:r>
        <w:t>COVID-19 pandemic, x, xv–xviii</w:t>
      </w:r>
    </w:p>
    <w:p w:rsidR="008E273C" w:rsidRDefault="008E273C" w:rsidP="00DC6D62">
      <w:pPr>
        <w:pStyle w:val="BodyText"/>
        <w:ind w:left="720"/>
      </w:pPr>
      <w:proofErr w:type="gramStart"/>
      <w:r>
        <w:t>aged</w:t>
      </w:r>
      <w:proofErr w:type="gramEnd"/>
      <w:r>
        <w:t xml:space="preserve"> care support during, 25–6</w:t>
      </w:r>
    </w:p>
    <w:p w:rsidR="008E273C" w:rsidRDefault="008E273C" w:rsidP="00DC6D62">
      <w:pPr>
        <w:pStyle w:val="BodyText"/>
        <w:ind w:left="720"/>
      </w:pPr>
      <w:proofErr w:type="gramStart"/>
      <w:r>
        <w:t>contactless</w:t>
      </w:r>
      <w:proofErr w:type="gramEnd"/>
      <w:r>
        <w:t xml:space="preserve"> support options, xviii, 3</w:t>
      </w:r>
    </w:p>
    <w:p w:rsidR="008E273C" w:rsidRDefault="008E273C" w:rsidP="00DC6D62">
      <w:pPr>
        <w:pStyle w:val="BodyText"/>
        <w:ind w:left="720"/>
      </w:pPr>
      <w:proofErr w:type="gramStart"/>
      <w:r>
        <w:t>debt</w:t>
      </w:r>
      <w:proofErr w:type="gramEnd"/>
      <w:r>
        <w:t xml:space="preserve"> recovery pause, xviii, 67–8</w:t>
      </w:r>
    </w:p>
    <w:p w:rsidR="008E273C" w:rsidRDefault="008E273C" w:rsidP="00DC6D62">
      <w:pPr>
        <w:pStyle w:val="BodyText"/>
        <w:ind w:left="720"/>
      </w:pPr>
      <w:proofErr w:type="gramStart"/>
      <w:r>
        <w:t>demand</w:t>
      </w:r>
      <w:proofErr w:type="gramEnd"/>
      <w:r>
        <w:t xml:space="preserve"> for services, xvii, xviii, 71, 74–5</w:t>
      </w:r>
    </w:p>
    <w:p w:rsidR="008E273C" w:rsidRDefault="008E273C" w:rsidP="00DC6D62">
      <w:pPr>
        <w:pStyle w:val="BodyText"/>
        <w:ind w:left="720"/>
      </w:pPr>
      <w:r>
        <w:t>Child Support performance results, effects on, 104, 105, 106, 108</w:t>
      </w:r>
    </w:p>
    <w:p w:rsidR="008E273C" w:rsidRDefault="008E273C" w:rsidP="00DC6D62">
      <w:pPr>
        <w:pStyle w:val="BodyText"/>
        <w:ind w:left="720"/>
      </w:pPr>
      <w:r>
        <w:t>Health performance results, effects on, 87, 89, 93, 95–6, 97</w:t>
      </w:r>
    </w:p>
    <w:p w:rsidR="008E273C" w:rsidRDefault="008E273C" w:rsidP="00DC6D62">
      <w:pPr>
        <w:pStyle w:val="BodyText"/>
        <w:ind w:left="720"/>
      </w:pPr>
      <w:r>
        <w:t>Social Security and Welfare performance results, effects on, 74–5, 77, 78, 81–4</w:t>
      </w:r>
    </w:p>
    <w:p w:rsidR="008E273C" w:rsidRDefault="008E273C" w:rsidP="00DC6D62">
      <w:pPr>
        <w:pStyle w:val="BodyText"/>
        <w:ind w:left="720"/>
      </w:pPr>
      <w:proofErr w:type="gramStart"/>
      <w:r>
        <w:t>emergency</w:t>
      </w:r>
      <w:proofErr w:type="gramEnd"/>
      <w:r>
        <w:t xml:space="preserve"> payments and services, 12–13, 16–17, 19</w:t>
      </w:r>
    </w:p>
    <w:p w:rsidR="008E273C" w:rsidRDefault="008E273C" w:rsidP="00DC6D62">
      <w:pPr>
        <w:pStyle w:val="BodyText"/>
        <w:ind w:left="720"/>
      </w:pPr>
      <w:proofErr w:type="gramStart"/>
      <w:r>
        <w:t>financial</w:t>
      </w:r>
      <w:proofErr w:type="gramEnd"/>
      <w:r>
        <w:t xml:space="preserve"> information during, 55</w:t>
      </w:r>
    </w:p>
    <w:p w:rsidR="008E273C" w:rsidRDefault="008E273C" w:rsidP="00DC6D62">
      <w:pPr>
        <w:pStyle w:val="BodyText"/>
        <w:ind w:left="720"/>
      </w:pPr>
      <w:proofErr w:type="gramStart"/>
      <w:r>
        <w:t>fraud</w:t>
      </w:r>
      <w:proofErr w:type="gramEnd"/>
      <w:r>
        <w:t xml:space="preserve"> prevention during, 64–5</w:t>
      </w:r>
    </w:p>
    <w:p w:rsidR="008E273C" w:rsidRDefault="008E273C" w:rsidP="00DC6D62">
      <w:pPr>
        <w:pStyle w:val="BodyText"/>
        <w:ind w:left="720"/>
      </w:pPr>
      <w:proofErr w:type="gramStart"/>
      <w:r>
        <w:t>identity</w:t>
      </w:r>
      <w:proofErr w:type="gramEnd"/>
      <w:r>
        <w:t xml:space="preserve"> checking during, xviii, 65, 71</w:t>
      </w:r>
    </w:p>
    <w:p w:rsidR="008E273C" w:rsidRDefault="008E273C" w:rsidP="00DC6D62">
      <w:pPr>
        <w:pStyle w:val="BodyText"/>
        <w:ind w:left="720"/>
      </w:pPr>
      <w:proofErr w:type="gramStart"/>
      <w:r>
        <w:t>redeployed</w:t>
      </w:r>
      <w:proofErr w:type="gramEnd"/>
      <w:r>
        <w:t xml:space="preserve"> staff, xvii, 47, 71, 83, 97, 106</w:t>
      </w:r>
    </w:p>
    <w:p w:rsidR="008E273C" w:rsidRDefault="008E273C" w:rsidP="00DC6D62">
      <w:pPr>
        <w:pStyle w:val="BodyText"/>
        <w:ind w:left="720"/>
      </w:pPr>
      <w:proofErr w:type="gramStart"/>
      <w:r>
        <w:t>social</w:t>
      </w:r>
      <w:proofErr w:type="gramEnd"/>
      <w:r>
        <w:t xml:space="preserve"> work services, 47</w:t>
      </w:r>
    </w:p>
    <w:p w:rsidR="008E273C" w:rsidRDefault="008E273C" w:rsidP="00DC6D62">
      <w:pPr>
        <w:pStyle w:val="BodyText"/>
        <w:ind w:left="720"/>
      </w:pPr>
      <w:proofErr w:type="gramStart"/>
      <w:r>
        <w:t>students</w:t>
      </w:r>
      <w:proofErr w:type="gramEnd"/>
      <w:r>
        <w:t>, support for, 15</w:t>
      </w:r>
    </w:p>
    <w:p w:rsidR="008E273C" w:rsidRDefault="008E273C" w:rsidP="00DC6D62">
      <w:pPr>
        <w:pStyle w:val="BodyText"/>
        <w:ind w:left="720"/>
      </w:pPr>
      <w:proofErr w:type="gramStart"/>
      <w:r>
        <w:t>telehealth</w:t>
      </w:r>
      <w:proofErr w:type="gramEnd"/>
      <w:r>
        <w:t xml:space="preserve"> arrangements during, 16–17</w:t>
      </w:r>
    </w:p>
    <w:p w:rsidR="008E273C" w:rsidRDefault="008E273C" w:rsidP="00DC6D62">
      <w:pPr>
        <w:pStyle w:val="BodyText"/>
        <w:ind w:left="720"/>
      </w:pPr>
      <w:proofErr w:type="gramStart"/>
      <w:r>
        <w:t>video</w:t>
      </w:r>
      <w:proofErr w:type="gramEnd"/>
      <w:r>
        <w:t xml:space="preserve"> and teleconferencing, use of, xviii</w:t>
      </w:r>
    </w:p>
    <w:p w:rsidR="008E273C" w:rsidRDefault="008E273C" w:rsidP="00DC6D62">
      <w:pPr>
        <w:pStyle w:val="BodyText"/>
      </w:pPr>
      <w:r>
        <w:t>COVID-19 Support Supplement, xv, xvi, 25</w:t>
      </w:r>
    </w:p>
    <w:p w:rsidR="008E273C" w:rsidRDefault="008E273C" w:rsidP="00DC6D62">
      <w:pPr>
        <w:pStyle w:val="BodyText"/>
      </w:pPr>
      <w:r>
        <w:t>Crisis Payment, 41</w:t>
      </w:r>
    </w:p>
    <w:p w:rsidR="008E273C" w:rsidRDefault="008E273C" w:rsidP="00DC6D62">
      <w:pPr>
        <w:pStyle w:val="BodyText"/>
        <w:ind w:left="720"/>
      </w:pPr>
      <w:proofErr w:type="gramStart"/>
      <w:r>
        <w:t>claims</w:t>
      </w:r>
      <w:proofErr w:type="gramEnd"/>
      <w:r>
        <w:t xml:space="preserve"> finalised, 2019–20, 7</w:t>
      </w:r>
    </w:p>
    <w:p w:rsidR="008E273C" w:rsidRDefault="008E273C" w:rsidP="00DC6D62">
      <w:pPr>
        <w:pStyle w:val="BodyText"/>
      </w:pPr>
      <w:proofErr w:type="gramStart"/>
      <w:r>
        <w:t>culturally</w:t>
      </w:r>
      <w:proofErr w:type="gramEnd"/>
      <w:r>
        <w:t xml:space="preserve"> and linguistically diverse communities </w:t>
      </w:r>
      <w:r>
        <w:rPr>
          <w:rFonts w:ascii="Roboto-Italic" w:hAnsi="Roboto-Italic" w:cs="Roboto-Italic"/>
          <w:i/>
          <w:iCs/>
        </w:rPr>
        <w:t>see</w:t>
      </w:r>
      <w:r>
        <w:t xml:space="preserve"> languages other than English; multicultural services</w:t>
      </w:r>
    </w:p>
    <w:p w:rsidR="008E273C" w:rsidRDefault="008E273C" w:rsidP="00DC6D62">
      <w:pPr>
        <w:pStyle w:val="BodyText"/>
      </w:pPr>
      <w:proofErr w:type="gramStart"/>
      <w:r>
        <w:t>customer</w:t>
      </w:r>
      <w:proofErr w:type="gramEnd"/>
      <w:r>
        <w:t xml:space="preserve"> experience improvements, xi, 4–6</w:t>
      </w:r>
    </w:p>
    <w:p w:rsidR="008E273C" w:rsidRDefault="008E273C" w:rsidP="00DC6D62">
      <w:pPr>
        <w:pStyle w:val="BodyText"/>
      </w:pPr>
      <w:proofErr w:type="gramStart"/>
      <w:r>
        <w:t>customer</w:t>
      </w:r>
      <w:proofErr w:type="gramEnd"/>
      <w:r>
        <w:t xml:space="preserve"> satisfaction targets and results</w:t>
      </w:r>
    </w:p>
    <w:p w:rsidR="008E273C" w:rsidRDefault="008E273C" w:rsidP="00DC6D62">
      <w:pPr>
        <w:pStyle w:val="BodyText"/>
        <w:ind w:left="720"/>
      </w:pPr>
      <w:proofErr w:type="gramStart"/>
      <w:r>
        <w:t>child</w:t>
      </w:r>
      <w:proofErr w:type="gramEnd"/>
      <w:r>
        <w:t xml:space="preserve"> support, 101–2</w:t>
      </w:r>
    </w:p>
    <w:p w:rsidR="008E273C" w:rsidRDefault="008E273C" w:rsidP="00DC6D62">
      <w:pPr>
        <w:pStyle w:val="BodyText"/>
        <w:ind w:left="720"/>
      </w:pPr>
      <w:proofErr w:type="gramStart"/>
      <w:r>
        <w:t>health</w:t>
      </w:r>
      <w:proofErr w:type="gramEnd"/>
      <w:r>
        <w:t>, 88–9</w:t>
      </w:r>
    </w:p>
    <w:p w:rsidR="008E273C" w:rsidRDefault="008E273C" w:rsidP="00DC6D62">
      <w:pPr>
        <w:pStyle w:val="BodyText"/>
        <w:ind w:left="720"/>
      </w:pPr>
      <w:proofErr w:type="gramStart"/>
      <w:r>
        <w:t>social</w:t>
      </w:r>
      <w:proofErr w:type="gramEnd"/>
      <w:r>
        <w:t xml:space="preserve"> security and welfare, 74–5</w:t>
      </w:r>
    </w:p>
    <w:p w:rsidR="008E273C" w:rsidRDefault="008E273C" w:rsidP="00DC6D62">
      <w:pPr>
        <w:pStyle w:val="BodyText"/>
      </w:pPr>
      <w:proofErr w:type="gramStart"/>
      <w:r>
        <w:t>customer</w:t>
      </w:r>
      <w:proofErr w:type="gramEnd"/>
      <w:r>
        <w:t xml:space="preserve"> trust targets and results</w:t>
      </w:r>
    </w:p>
    <w:p w:rsidR="008E273C" w:rsidRDefault="008E273C" w:rsidP="00DC6D62">
      <w:pPr>
        <w:pStyle w:val="BodyText"/>
        <w:ind w:left="720"/>
      </w:pPr>
      <w:proofErr w:type="gramStart"/>
      <w:r>
        <w:t>child</w:t>
      </w:r>
      <w:proofErr w:type="gramEnd"/>
      <w:r>
        <w:t xml:space="preserve"> support, 102–3</w:t>
      </w:r>
    </w:p>
    <w:p w:rsidR="008E273C" w:rsidRDefault="008E273C" w:rsidP="00DC6D62">
      <w:pPr>
        <w:pStyle w:val="BodyText"/>
        <w:ind w:left="720"/>
      </w:pPr>
      <w:proofErr w:type="gramStart"/>
      <w:r>
        <w:lastRenderedPageBreak/>
        <w:t>health</w:t>
      </w:r>
      <w:proofErr w:type="gramEnd"/>
      <w:r>
        <w:t>, 90</w:t>
      </w:r>
    </w:p>
    <w:p w:rsidR="008E273C" w:rsidRDefault="008E273C" w:rsidP="00DC6D62">
      <w:pPr>
        <w:pStyle w:val="BodyText"/>
        <w:ind w:left="720"/>
      </w:pPr>
      <w:proofErr w:type="gramStart"/>
      <w:r>
        <w:t>social</w:t>
      </w:r>
      <w:proofErr w:type="gramEnd"/>
      <w:r>
        <w:t xml:space="preserve"> security and welfare, 76</w:t>
      </w:r>
    </w:p>
    <w:p w:rsidR="008E273C" w:rsidRPr="00DC6D62" w:rsidRDefault="008E273C" w:rsidP="00DC6D62">
      <w:pPr>
        <w:pStyle w:val="BodyText"/>
        <w:rPr>
          <w:b/>
        </w:rPr>
      </w:pPr>
      <w:r w:rsidRPr="00DC6D62">
        <w:rPr>
          <w:b/>
        </w:rPr>
        <w:t>D</w:t>
      </w:r>
    </w:p>
    <w:p w:rsidR="008E273C" w:rsidRDefault="008E273C" w:rsidP="00DC6D62">
      <w:pPr>
        <w:pStyle w:val="BodyText"/>
      </w:pPr>
      <w:r>
        <w:t>Dad and Partner Pay, 11</w:t>
      </w:r>
    </w:p>
    <w:p w:rsidR="008E273C" w:rsidRDefault="008E273C" w:rsidP="00DC6D62">
      <w:pPr>
        <w:pStyle w:val="BodyText"/>
        <w:ind w:left="720"/>
      </w:pPr>
      <w:proofErr w:type="gramStart"/>
      <w:r>
        <w:t>claims</w:t>
      </w:r>
      <w:proofErr w:type="gramEnd"/>
      <w:r>
        <w:t xml:space="preserve"> finalised, 2019–20, 7</w:t>
      </w:r>
    </w:p>
    <w:p w:rsidR="008E273C" w:rsidRDefault="008E273C" w:rsidP="00DC6D62">
      <w:pPr>
        <w:pStyle w:val="BodyText"/>
      </w:pPr>
      <w:proofErr w:type="gramStart"/>
      <w:r>
        <w:t>data</w:t>
      </w:r>
      <w:proofErr w:type="gramEnd"/>
      <w:r>
        <w:t xml:space="preserve"> and data analytics, improved use of, 6</w:t>
      </w:r>
    </w:p>
    <w:p w:rsidR="008E273C" w:rsidRDefault="008E273C" w:rsidP="00DC6D62">
      <w:pPr>
        <w:pStyle w:val="BodyText"/>
      </w:pPr>
      <w:proofErr w:type="gramStart"/>
      <w:r>
        <w:t>data</w:t>
      </w:r>
      <w:proofErr w:type="gramEnd"/>
      <w:r>
        <w:t xml:space="preserve"> matching, 62</w:t>
      </w:r>
    </w:p>
    <w:p w:rsidR="008E273C" w:rsidRDefault="008E273C" w:rsidP="00DC6D62">
      <w:pPr>
        <w:pStyle w:val="BodyText"/>
      </w:pPr>
      <w:r>
        <w:t>Data-matching Program reporting, 200–2</w:t>
      </w:r>
    </w:p>
    <w:p w:rsidR="008E273C" w:rsidRDefault="008E273C" w:rsidP="00DC6D62">
      <w:pPr>
        <w:pStyle w:val="BodyText"/>
      </w:pPr>
      <w:proofErr w:type="gramStart"/>
      <w:r>
        <w:t>debt</w:t>
      </w:r>
      <w:proofErr w:type="gramEnd"/>
      <w:r>
        <w:t xml:space="preserve"> management, social security, xviii, 67–8</w:t>
      </w:r>
    </w:p>
    <w:p w:rsidR="008E273C" w:rsidRDefault="008E273C" w:rsidP="00DC6D62">
      <w:pPr>
        <w:pStyle w:val="BodyText"/>
      </w:pPr>
      <w:proofErr w:type="gramStart"/>
      <w:r>
        <w:t>decisions</w:t>
      </w:r>
      <w:proofErr w:type="gramEnd"/>
      <w:r>
        <w:t xml:space="preserve"> review, 172</w:t>
      </w:r>
    </w:p>
    <w:p w:rsidR="008E273C" w:rsidRDefault="008E273C" w:rsidP="00DC6D62">
      <w:pPr>
        <w:pStyle w:val="BodyText"/>
        <w:ind w:left="720"/>
      </w:pPr>
      <w:proofErr w:type="gramStart"/>
      <w:r>
        <w:t>performance</w:t>
      </w:r>
      <w:proofErr w:type="gramEnd"/>
      <w:r>
        <w:t xml:space="preserve"> results, 2019–20, 83–4</w:t>
      </w:r>
    </w:p>
    <w:p w:rsidR="008E273C" w:rsidRDefault="008E273C" w:rsidP="00DC6D62">
      <w:pPr>
        <w:pStyle w:val="BodyText"/>
      </w:pPr>
      <w:proofErr w:type="gramStart"/>
      <w:r>
        <w:t>dental</w:t>
      </w:r>
      <w:proofErr w:type="gramEnd"/>
      <w:r>
        <w:t xml:space="preserve"> benefits, 31</w:t>
      </w:r>
    </w:p>
    <w:p w:rsidR="008E273C" w:rsidRDefault="008E273C" w:rsidP="00DC6D62">
      <w:pPr>
        <w:pStyle w:val="BodyText"/>
      </w:pPr>
      <w:r>
        <w:t>Department of Education, Skills and Employment, xi</w:t>
      </w:r>
    </w:p>
    <w:p w:rsidR="008E273C" w:rsidRDefault="008E273C" w:rsidP="00DC6D62">
      <w:pPr>
        <w:pStyle w:val="BodyText"/>
      </w:pPr>
      <w:r>
        <w:t>Department of Foreign Affairs and Trade, 49, 192</w:t>
      </w:r>
    </w:p>
    <w:p w:rsidR="008E273C" w:rsidRDefault="008E273C" w:rsidP="00DC6D62">
      <w:pPr>
        <w:pStyle w:val="BodyText"/>
      </w:pPr>
      <w:r>
        <w:t>Department of Health, xi, 5, 28</w:t>
      </w:r>
    </w:p>
    <w:p w:rsidR="008E273C" w:rsidRDefault="008E273C" w:rsidP="00DC6D62">
      <w:pPr>
        <w:pStyle w:val="BodyText"/>
      </w:pPr>
      <w:r>
        <w:t>Department of Home Affairs, 48, 53, 60, 192</w:t>
      </w:r>
    </w:p>
    <w:p w:rsidR="008E273C" w:rsidRDefault="008E273C" w:rsidP="00DC6D62">
      <w:pPr>
        <w:pStyle w:val="BodyText"/>
      </w:pPr>
      <w:r>
        <w:t>Department of Social Services, xi, 185</w:t>
      </w:r>
    </w:p>
    <w:p w:rsidR="008E273C" w:rsidRDefault="008E273C" w:rsidP="00DC6D62">
      <w:pPr>
        <w:pStyle w:val="BodyText"/>
      </w:pPr>
      <w:r>
        <w:t>Department of Veterans’ Affairs, 5–6, 22, 27, 185</w:t>
      </w:r>
    </w:p>
    <w:p w:rsidR="008E273C" w:rsidRDefault="008E273C" w:rsidP="00DC6D62">
      <w:pPr>
        <w:pStyle w:val="BodyText"/>
      </w:pPr>
      <w:r>
        <w:t>Departure Prohibition Orders, 39</w:t>
      </w:r>
    </w:p>
    <w:p w:rsidR="008E273C" w:rsidRDefault="008E273C" w:rsidP="00DC6D62">
      <w:pPr>
        <w:pStyle w:val="BodyText"/>
      </w:pPr>
      <w:proofErr w:type="gramStart"/>
      <w:r>
        <w:t>digital</w:t>
      </w:r>
      <w:proofErr w:type="gramEnd"/>
      <w:r>
        <w:t xml:space="preserve"> and online services, x, xviii, 2–3</w:t>
      </w:r>
    </w:p>
    <w:p w:rsidR="008E273C" w:rsidRDefault="008E273C" w:rsidP="00DC6D62">
      <w:pPr>
        <w:pStyle w:val="BodyText"/>
        <w:ind w:left="720"/>
      </w:pPr>
      <w:proofErr w:type="gramStart"/>
      <w:r>
        <w:t>aged</w:t>
      </w:r>
      <w:proofErr w:type="gramEnd"/>
      <w:r>
        <w:t xml:space="preserve"> care claiming, 26</w:t>
      </w:r>
    </w:p>
    <w:p w:rsidR="008E273C" w:rsidRDefault="008E273C" w:rsidP="00DC6D62">
      <w:pPr>
        <w:pStyle w:val="BodyText"/>
        <w:ind w:left="720"/>
      </w:pPr>
      <w:proofErr w:type="gramStart"/>
      <w:r>
        <w:t>availability</w:t>
      </w:r>
      <w:proofErr w:type="gramEnd"/>
      <w:r>
        <w:t>, 78–9, 93, 104–5</w:t>
      </w:r>
    </w:p>
    <w:p w:rsidR="008E273C" w:rsidRDefault="008E273C" w:rsidP="00DC6D62">
      <w:pPr>
        <w:pStyle w:val="BodyText"/>
        <w:ind w:left="720"/>
      </w:pPr>
      <w:proofErr w:type="gramStart"/>
      <w:r>
        <w:t>customer</w:t>
      </w:r>
      <w:proofErr w:type="gramEnd"/>
      <w:r>
        <w:t xml:space="preserve"> experience improvements, xi, 4–6</w:t>
      </w:r>
    </w:p>
    <w:p w:rsidR="008E273C" w:rsidRDefault="008E273C" w:rsidP="00DC6D62">
      <w:pPr>
        <w:pStyle w:val="BodyText"/>
        <w:ind w:left="720"/>
      </w:pPr>
      <w:r>
        <w:t>Disability Support Pension claiming, 10</w:t>
      </w:r>
    </w:p>
    <w:p w:rsidR="008E273C" w:rsidRDefault="008E273C" w:rsidP="00DC6D62">
      <w:pPr>
        <w:pStyle w:val="BodyText"/>
        <w:ind w:left="720"/>
      </w:pPr>
      <w:proofErr w:type="gramStart"/>
      <w:r>
        <w:t>health</w:t>
      </w:r>
      <w:proofErr w:type="gramEnd"/>
      <w:r>
        <w:t>, 35</w:t>
      </w:r>
    </w:p>
    <w:p w:rsidR="008E273C" w:rsidRDefault="008E273C" w:rsidP="00DC6D62">
      <w:pPr>
        <w:pStyle w:val="BodyText"/>
        <w:ind w:left="720"/>
      </w:pPr>
      <w:r>
        <w:t>Medicare digital claim statistics, 21</w:t>
      </w:r>
    </w:p>
    <w:p w:rsidR="008E273C" w:rsidRDefault="008E273C" w:rsidP="00DC6D62">
      <w:pPr>
        <w:pStyle w:val="BodyText"/>
        <w:ind w:left="720"/>
      </w:pPr>
      <w:proofErr w:type="gramStart"/>
      <w:r>
        <w:t>performance</w:t>
      </w:r>
      <w:proofErr w:type="gramEnd"/>
      <w:r>
        <w:t xml:space="preserve"> results, 2019–20, 73, 74, 77–9, 91–3, 103–5</w:t>
      </w:r>
    </w:p>
    <w:p w:rsidR="008E273C" w:rsidRDefault="008E273C" w:rsidP="00DC6D62">
      <w:pPr>
        <w:pStyle w:val="BodyText"/>
        <w:ind w:left="720"/>
      </w:pPr>
      <w:r>
        <w:t>Pharmaceutical Benefits Scheme, 25</w:t>
      </w:r>
    </w:p>
    <w:p w:rsidR="008E273C" w:rsidRDefault="008E273C" w:rsidP="00DC6D62">
      <w:pPr>
        <w:pStyle w:val="BodyText"/>
        <w:ind w:left="720"/>
      </w:pPr>
      <w:proofErr w:type="gramStart"/>
      <w:r>
        <w:t>students</w:t>
      </w:r>
      <w:proofErr w:type="gramEnd"/>
      <w:r>
        <w:t>, online claiming for, 15</w:t>
      </w:r>
    </w:p>
    <w:p w:rsidR="008E273C" w:rsidRDefault="008E273C" w:rsidP="00DC6D62">
      <w:pPr>
        <w:pStyle w:val="BodyText"/>
      </w:pPr>
      <w:r>
        <w:lastRenderedPageBreak/>
        <w:t>Digital Apprenticeship program, 183</w:t>
      </w:r>
    </w:p>
    <w:p w:rsidR="008E273C" w:rsidRDefault="008E273C" w:rsidP="00DC6D62">
      <w:pPr>
        <w:pStyle w:val="BodyText"/>
      </w:pPr>
      <w:r>
        <w:t>Digital Cadetship program, 183</w:t>
      </w:r>
    </w:p>
    <w:p w:rsidR="008E273C" w:rsidRDefault="008E273C" w:rsidP="00DC6D62">
      <w:pPr>
        <w:pStyle w:val="BodyText"/>
      </w:pPr>
      <w:proofErr w:type="gramStart"/>
      <w:r>
        <w:t>digital</w:t>
      </w:r>
      <w:proofErr w:type="gramEnd"/>
      <w:r>
        <w:t xml:space="preserve"> service level standards, 77–9, 91–3, 103–5</w:t>
      </w:r>
    </w:p>
    <w:p w:rsidR="008E273C" w:rsidRDefault="008E273C" w:rsidP="00DC6D62">
      <w:pPr>
        <w:pStyle w:val="BodyText"/>
      </w:pPr>
      <w:r>
        <w:t>Digital Transformation Agency, 192</w:t>
      </w:r>
    </w:p>
    <w:p w:rsidR="008E273C" w:rsidRDefault="008E273C" w:rsidP="00DC6D62">
      <w:pPr>
        <w:pStyle w:val="BodyText"/>
      </w:pPr>
      <w:proofErr w:type="gramStart"/>
      <w:r>
        <w:t>disability</w:t>
      </w:r>
      <w:proofErr w:type="gramEnd"/>
      <w:r>
        <w:t xml:space="preserve"> employment programs, 184</w:t>
      </w:r>
    </w:p>
    <w:p w:rsidR="008E273C" w:rsidRDefault="008E273C" w:rsidP="00DC6D62">
      <w:pPr>
        <w:pStyle w:val="BodyText"/>
      </w:pPr>
      <w:r>
        <w:t>Disability Medical Assessments, 10</w:t>
      </w:r>
    </w:p>
    <w:p w:rsidR="008E273C" w:rsidRDefault="008E273C" w:rsidP="00DC6D62">
      <w:pPr>
        <w:pStyle w:val="BodyText"/>
      </w:pPr>
      <w:proofErr w:type="gramStart"/>
      <w:r>
        <w:t>disability</w:t>
      </w:r>
      <w:proofErr w:type="gramEnd"/>
      <w:r>
        <w:t xml:space="preserve"> reporting, 197</w:t>
      </w:r>
    </w:p>
    <w:p w:rsidR="008E273C" w:rsidRDefault="008E273C" w:rsidP="00DC6D62">
      <w:pPr>
        <w:pStyle w:val="BodyText"/>
      </w:pPr>
      <w:r>
        <w:t>Disability Support Pension, xviii, 9–10</w:t>
      </w:r>
    </w:p>
    <w:p w:rsidR="008E273C" w:rsidRDefault="008E273C" w:rsidP="00DC6D62">
      <w:pPr>
        <w:pStyle w:val="BodyText"/>
        <w:ind w:left="720"/>
      </w:pPr>
      <w:proofErr w:type="gramStart"/>
      <w:r>
        <w:t>claims</w:t>
      </w:r>
      <w:proofErr w:type="gramEnd"/>
      <w:r>
        <w:t xml:space="preserve"> finalised, 2019–20, 7</w:t>
      </w:r>
    </w:p>
    <w:p w:rsidR="008E273C" w:rsidRDefault="008E273C" w:rsidP="00DC6D62">
      <w:pPr>
        <w:pStyle w:val="BodyText"/>
        <w:ind w:left="720"/>
      </w:pPr>
      <w:proofErr w:type="gramStart"/>
      <w:r>
        <w:t>online</w:t>
      </w:r>
      <w:proofErr w:type="gramEnd"/>
      <w:r>
        <w:t xml:space="preserve"> claims, 4–5, 10</w:t>
      </w:r>
    </w:p>
    <w:p w:rsidR="008E273C" w:rsidRDefault="008E273C" w:rsidP="00DC6D62">
      <w:pPr>
        <w:pStyle w:val="BodyText"/>
        <w:ind w:left="720"/>
      </w:pPr>
      <w:proofErr w:type="gramStart"/>
      <w:r>
        <w:t>pre-claim</w:t>
      </w:r>
      <w:proofErr w:type="gramEnd"/>
      <w:r>
        <w:t xml:space="preserve"> guide, 9</w:t>
      </w:r>
    </w:p>
    <w:p w:rsidR="008E273C" w:rsidRDefault="008E273C" w:rsidP="00DC6D62">
      <w:pPr>
        <w:pStyle w:val="BodyText"/>
      </w:pPr>
      <w:r>
        <w:t>Disaster Health Care Assistance Scheme, 53</w:t>
      </w:r>
    </w:p>
    <w:p w:rsidR="008E273C" w:rsidRDefault="008E273C" w:rsidP="00DC6D62">
      <w:pPr>
        <w:pStyle w:val="BodyText"/>
      </w:pPr>
      <w:proofErr w:type="gramStart"/>
      <w:r>
        <w:t>disaster</w:t>
      </w:r>
      <w:proofErr w:type="gramEnd"/>
      <w:r>
        <w:t xml:space="preserve"> payments hotline, xi</w:t>
      </w:r>
    </w:p>
    <w:p w:rsidR="008E273C" w:rsidRDefault="008E273C" w:rsidP="00DC6D62">
      <w:pPr>
        <w:pStyle w:val="BodyText"/>
      </w:pPr>
      <w:r>
        <w:t>Disaster Recovery Allowance, 49, 52</w:t>
      </w:r>
    </w:p>
    <w:p w:rsidR="008E273C" w:rsidRDefault="008E273C" w:rsidP="00DC6D62">
      <w:pPr>
        <w:pStyle w:val="BodyText"/>
      </w:pPr>
      <w:proofErr w:type="gramStart"/>
      <w:r>
        <w:t>diversity</w:t>
      </w:r>
      <w:proofErr w:type="gramEnd"/>
      <w:r>
        <w:t xml:space="preserve"> and inclusion initiatives, 183–7</w:t>
      </w:r>
    </w:p>
    <w:p w:rsidR="008E273C" w:rsidRDefault="008E273C" w:rsidP="00DC6D62">
      <w:pPr>
        <w:pStyle w:val="BodyText"/>
      </w:pPr>
      <w:proofErr w:type="gramStart"/>
      <w:r>
        <w:t>domestic</w:t>
      </w:r>
      <w:proofErr w:type="gramEnd"/>
      <w:r>
        <w:t xml:space="preserve"> violence </w:t>
      </w:r>
      <w:r>
        <w:rPr>
          <w:rFonts w:ascii="Roboto-Italic" w:hAnsi="Roboto-Italic" w:cs="Roboto-Italic"/>
          <w:i/>
          <w:iCs/>
        </w:rPr>
        <w:t>see</w:t>
      </w:r>
      <w:r>
        <w:t xml:space="preserve"> family and domestic violence</w:t>
      </w:r>
    </w:p>
    <w:p w:rsidR="008E273C" w:rsidRDefault="008E273C" w:rsidP="00DC6D62">
      <w:pPr>
        <w:pStyle w:val="BodyText"/>
      </w:pPr>
      <w:r>
        <w:t>Double Orphan Pension, 7, 11</w:t>
      </w:r>
    </w:p>
    <w:p w:rsidR="008E273C" w:rsidRDefault="008E273C" w:rsidP="00DC6D62">
      <w:pPr>
        <w:pStyle w:val="BodyText"/>
      </w:pPr>
      <w:proofErr w:type="gramStart"/>
      <w:r>
        <w:t>drought</w:t>
      </w:r>
      <w:proofErr w:type="gramEnd"/>
      <w:r>
        <w:t xml:space="preserve"> assistance, 59</w:t>
      </w:r>
    </w:p>
    <w:p w:rsidR="008E273C" w:rsidRPr="00DC6D62" w:rsidRDefault="008E273C" w:rsidP="00DC6D62">
      <w:pPr>
        <w:pStyle w:val="BodyText"/>
        <w:rPr>
          <w:b/>
        </w:rPr>
      </w:pPr>
      <w:r w:rsidRPr="00DC6D62">
        <w:rPr>
          <w:b/>
        </w:rPr>
        <w:t>E</w:t>
      </w:r>
    </w:p>
    <w:p w:rsidR="008E273C" w:rsidRDefault="008E273C" w:rsidP="00DC6D62">
      <w:pPr>
        <w:pStyle w:val="BodyText"/>
      </w:pPr>
      <w:proofErr w:type="gramStart"/>
      <w:r>
        <w:t>ecologically</w:t>
      </w:r>
      <w:proofErr w:type="gramEnd"/>
      <w:r>
        <w:t xml:space="preserve"> sustainable development, 203–8</w:t>
      </w:r>
    </w:p>
    <w:p w:rsidR="008E273C" w:rsidRDefault="008E273C" w:rsidP="00DC6D62">
      <w:pPr>
        <w:pStyle w:val="BodyText"/>
      </w:pPr>
      <w:r>
        <w:t>Economic Support Payment, x, xv, xvi</w:t>
      </w:r>
    </w:p>
    <w:p w:rsidR="008E273C" w:rsidRDefault="008E273C" w:rsidP="00DC6D62">
      <w:pPr>
        <w:pStyle w:val="BodyText"/>
      </w:pPr>
      <w:proofErr w:type="gramStart"/>
      <w:r>
        <w:t>educational</w:t>
      </w:r>
      <w:proofErr w:type="gramEnd"/>
      <w:r>
        <w:t xml:space="preserve"> resources, 9, 184</w:t>
      </w:r>
    </w:p>
    <w:p w:rsidR="008E273C" w:rsidRDefault="008E273C" w:rsidP="00DC6D62">
      <w:pPr>
        <w:pStyle w:val="BodyText"/>
      </w:pPr>
      <w:proofErr w:type="gramStart"/>
      <w:r>
        <w:t>support</w:t>
      </w:r>
      <w:proofErr w:type="gramEnd"/>
      <w:r>
        <w:t xml:space="preserve"> for health professionals, 35</w:t>
      </w:r>
    </w:p>
    <w:p w:rsidR="008E273C" w:rsidRDefault="008E273C" w:rsidP="00DC6D62">
      <w:pPr>
        <w:pStyle w:val="BodyText"/>
      </w:pPr>
      <w:proofErr w:type="gramStart"/>
      <w:r>
        <w:t>emergency</w:t>
      </w:r>
      <w:proofErr w:type="gramEnd"/>
      <w:r>
        <w:t xml:space="preserve"> events, 2019–20, 50–2</w:t>
      </w:r>
    </w:p>
    <w:p w:rsidR="008E273C" w:rsidRDefault="008E273C" w:rsidP="00DC6D62">
      <w:pPr>
        <w:pStyle w:val="BodyText"/>
        <w:ind w:left="720"/>
      </w:pPr>
      <w:proofErr w:type="gramStart"/>
      <w:r>
        <w:t>claim</w:t>
      </w:r>
      <w:proofErr w:type="gramEnd"/>
      <w:r>
        <w:t xml:space="preserve"> statistics, 54</w:t>
      </w:r>
    </w:p>
    <w:p w:rsidR="008E273C" w:rsidRDefault="008E273C" w:rsidP="00DC6D62">
      <w:pPr>
        <w:pStyle w:val="BodyText"/>
      </w:pPr>
      <w:proofErr w:type="gramStart"/>
      <w:r>
        <w:t>emergency</w:t>
      </w:r>
      <w:proofErr w:type="gramEnd"/>
      <w:r>
        <w:t xml:space="preserve"> leave provision, aged care, x, xv, 25</w:t>
      </w:r>
    </w:p>
    <w:p w:rsidR="008E273C" w:rsidRDefault="008E273C" w:rsidP="00DC6D62">
      <w:pPr>
        <w:pStyle w:val="BodyText"/>
      </w:pPr>
      <w:proofErr w:type="gramStart"/>
      <w:r>
        <w:t>emergency</w:t>
      </w:r>
      <w:proofErr w:type="gramEnd"/>
      <w:r>
        <w:t xml:space="preserve"> payments and services, xv–xvi, 3, 7, 19, 49–54</w:t>
      </w:r>
    </w:p>
    <w:p w:rsidR="008E273C" w:rsidRDefault="008E273C" w:rsidP="00DC6D62">
      <w:pPr>
        <w:pStyle w:val="BodyText"/>
        <w:ind w:left="720"/>
      </w:pPr>
      <w:proofErr w:type="gramStart"/>
      <w:r>
        <w:t>claiming</w:t>
      </w:r>
      <w:proofErr w:type="gramEnd"/>
      <w:r>
        <w:t xml:space="preserve"> statistics, 54</w:t>
      </w:r>
    </w:p>
    <w:p w:rsidR="008E273C" w:rsidRDefault="008E273C" w:rsidP="00DC6D62">
      <w:pPr>
        <w:pStyle w:val="BodyText"/>
        <w:ind w:left="720"/>
      </w:pPr>
      <w:proofErr w:type="gramStart"/>
      <w:r>
        <w:t>fraud</w:t>
      </w:r>
      <w:proofErr w:type="gramEnd"/>
      <w:r>
        <w:t xml:space="preserve"> prevention, 64–5</w:t>
      </w:r>
    </w:p>
    <w:p w:rsidR="008E273C" w:rsidRDefault="008E273C" w:rsidP="00DC6D62">
      <w:pPr>
        <w:pStyle w:val="BodyText"/>
      </w:pPr>
      <w:r>
        <w:lastRenderedPageBreak/>
        <w:t>Emergency Reserve staff, 49, 50</w:t>
      </w:r>
    </w:p>
    <w:p w:rsidR="008E273C" w:rsidRDefault="008E273C" w:rsidP="00DC6D62">
      <w:pPr>
        <w:pStyle w:val="BodyText"/>
      </w:pPr>
      <w:proofErr w:type="gramStart"/>
      <w:r>
        <w:t>employees</w:t>
      </w:r>
      <w:proofErr w:type="gramEnd"/>
      <w:r>
        <w:t xml:space="preserve"> </w:t>
      </w:r>
      <w:r>
        <w:rPr>
          <w:rFonts w:ascii="Roboto-Italic" w:hAnsi="Roboto-Italic" w:cs="Roboto-Italic"/>
          <w:i/>
          <w:iCs/>
        </w:rPr>
        <w:t>see</w:t>
      </w:r>
      <w:r>
        <w:t xml:space="preserve"> staff</w:t>
      </w:r>
    </w:p>
    <w:p w:rsidR="008E273C" w:rsidRDefault="008E273C" w:rsidP="00DC6D62">
      <w:pPr>
        <w:pStyle w:val="BodyText"/>
      </w:pPr>
      <w:proofErr w:type="gramStart"/>
      <w:r>
        <w:t>employment</w:t>
      </w:r>
      <w:proofErr w:type="gramEnd"/>
      <w:r>
        <w:t xml:space="preserve"> arrangements, 183, 191, 226, 228</w:t>
      </w:r>
    </w:p>
    <w:p w:rsidR="008E273C" w:rsidRDefault="008E273C" w:rsidP="00DC6D62">
      <w:pPr>
        <w:pStyle w:val="BodyText"/>
      </w:pPr>
      <w:r>
        <w:t>Employment Services Assessments, 14</w:t>
      </w:r>
    </w:p>
    <w:p w:rsidR="008E273C" w:rsidRDefault="008E273C" w:rsidP="00DC6D62">
      <w:pPr>
        <w:pStyle w:val="BodyText"/>
      </w:pPr>
      <w:r>
        <w:t>Enterprise Agreement 2017–2020, 183, 191, 228</w:t>
      </w:r>
    </w:p>
    <w:p w:rsidR="008E273C" w:rsidRDefault="008E273C" w:rsidP="00DC6D62">
      <w:pPr>
        <w:pStyle w:val="BodyText"/>
      </w:pPr>
      <w:r>
        <w:t>Enterprise Risk Management Model, 164</w:t>
      </w:r>
    </w:p>
    <w:p w:rsidR="008E273C" w:rsidRDefault="008E273C" w:rsidP="00DC6D62">
      <w:pPr>
        <w:pStyle w:val="BodyText"/>
      </w:pPr>
      <w:r>
        <w:t>Environment Protection and Biodiversity Conservation Act 1999, 203</w:t>
      </w:r>
    </w:p>
    <w:p w:rsidR="008E273C" w:rsidRDefault="008E273C" w:rsidP="00DC6D62">
      <w:pPr>
        <w:pStyle w:val="BodyText"/>
      </w:pPr>
      <w:proofErr w:type="gramStart"/>
      <w:r>
        <w:t>environmental</w:t>
      </w:r>
      <w:proofErr w:type="gramEnd"/>
      <w:r>
        <w:t xml:space="preserve"> management, 203–8</w:t>
      </w:r>
    </w:p>
    <w:p w:rsidR="008E273C" w:rsidRDefault="008E273C" w:rsidP="00DC6D62">
      <w:pPr>
        <w:pStyle w:val="BodyText"/>
      </w:pPr>
      <w:r>
        <w:t>Essential Medical Equipment Payment, 10</w:t>
      </w:r>
    </w:p>
    <w:p w:rsidR="008E273C" w:rsidRDefault="008E273C" w:rsidP="00DC6D62">
      <w:pPr>
        <w:pStyle w:val="BodyText"/>
      </w:pPr>
      <w:proofErr w:type="gramStart"/>
      <w:r>
        <w:t>events</w:t>
      </w:r>
      <w:proofErr w:type="gramEnd"/>
      <w:r>
        <w:t xml:space="preserve"> of significance, 183</w:t>
      </w:r>
    </w:p>
    <w:p w:rsidR="008E273C" w:rsidRDefault="008E273C" w:rsidP="00DC6D62">
      <w:pPr>
        <w:pStyle w:val="BodyText"/>
      </w:pPr>
      <w:r>
        <w:t>Ex-gratia Disaster Recovery Payment, 52</w:t>
      </w:r>
    </w:p>
    <w:p w:rsidR="008E273C" w:rsidRDefault="008E273C" w:rsidP="00DC6D62">
      <w:pPr>
        <w:pStyle w:val="BodyText"/>
      </w:pPr>
      <w:proofErr w:type="gramStart"/>
      <w:r>
        <w:t>executives</w:t>
      </w:r>
      <w:proofErr w:type="gramEnd"/>
      <w:r>
        <w:t>, senior, 177–81</w:t>
      </w:r>
    </w:p>
    <w:p w:rsidR="008E273C" w:rsidRDefault="008E273C" w:rsidP="00DC6D62">
      <w:pPr>
        <w:pStyle w:val="BodyText"/>
      </w:pPr>
      <w:proofErr w:type="gramStart"/>
      <w:r>
        <w:t>exempt</w:t>
      </w:r>
      <w:proofErr w:type="gramEnd"/>
      <w:r>
        <w:t xml:space="preserve"> contracts, 195</w:t>
      </w:r>
    </w:p>
    <w:p w:rsidR="008E273C" w:rsidRDefault="008E273C" w:rsidP="00DC6D62">
      <w:pPr>
        <w:pStyle w:val="BodyText"/>
      </w:pPr>
      <w:proofErr w:type="gramStart"/>
      <w:r>
        <w:t>expenses</w:t>
      </w:r>
      <w:proofErr w:type="gramEnd"/>
      <w:r>
        <w:t>, 116</w:t>
      </w:r>
    </w:p>
    <w:p w:rsidR="008E273C" w:rsidRDefault="008E273C" w:rsidP="00DC6D62">
      <w:pPr>
        <w:pStyle w:val="BodyText"/>
      </w:pPr>
      <w:proofErr w:type="gramStart"/>
      <w:r>
        <w:t>expenses</w:t>
      </w:r>
      <w:proofErr w:type="gramEnd"/>
      <w:r>
        <w:t xml:space="preserve"> by outcome 2019–20, 212–13</w:t>
      </w:r>
    </w:p>
    <w:p w:rsidR="008E273C" w:rsidRDefault="008E273C" w:rsidP="00DC6D62">
      <w:pPr>
        <w:pStyle w:val="BodyText"/>
      </w:pPr>
      <w:r>
        <w:t xml:space="preserve">Express </w:t>
      </w:r>
      <w:proofErr w:type="gramStart"/>
      <w:r>
        <w:t>Plus</w:t>
      </w:r>
      <w:proofErr w:type="gramEnd"/>
      <w:r>
        <w:t xml:space="preserve"> Centrelink mobile app, 57, 78–9</w:t>
      </w:r>
    </w:p>
    <w:p w:rsidR="008E273C" w:rsidRDefault="008E273C" w:rsidP="00DC6D62">
      <w:pPr>
        <w:pStyle w:val="BodyText"/>
      </w:pPr>
      <w:r>
        <w:t xml:space="preserve">Express </w:t>
      </w:r>
      <w:proofErr w:type="gramStart"/>
      <w:r>
        <w:t>Plus</w:t>
      </w:r>
      <w:proofErr w:type="gramEnd"/>
      <w:r>
        <w:t xml:space="preserve"> Child Support mobile app, 36, 104</w:t>
      </w:r>
    </w:p>
    <w:p w:rsidR="008E273C" w:rsidRDefault="008E273C" w:rsidP="00DC6D62">
      <w:pPr>
        <w:pStyle w:val="BodyText"/>
      </w:pPr>
      <w:r>
        <w:t xml:space="preserve">Express </w:t>
      </w:r>
      <w:proofErr w:type="gramStart"/>
      <w:r>
        <w:t>Plus</w:t>
      </w:r>
      <w:proofErr w:type="gramEnd"/>
      <w:r>
        <w:t xml:space="preserve"> Medicare mobile app, 21, 32</w:t>
      </w:r>
    </w:p>
    <w:p w:rsidR="008E273C" w:rsidRDefault="008E273C" w:rsidP="00DC6D62">
      <w:pPr>
        <w:pStyle w:val="BodyText"/>
      </w:pPr>
      <w:r>
        <w:t xml:space="preserve">Express Plus mobile app upgrade, 3 </w:t>
      </w:r>
    </w:p>
    <w:p w:rsidR="008E273C" w:rsidRDefault="008E273C" w:rsidP="00DC6D62">
      <w:pPr>
        <w:pStyle w:val="BodyText"/>
      </w:pPr>
      <w:r>
        <w:t>External Breast Prostheses Reimbursement Program, 29</w:t>
      </w:r>
    </w:p>
    <w:p w:rsidR="008E273C" w:rsidRDefault="008E273C" w:rsidP="00DC6D62">
      <w:pPr>
        <w:pStyle w:val="BodyText"/>
      </w:pPr>
      <w:proofErr w:type="gramStart"/>
      <w:r>
        <w:t>external</w:t>
      </w:r>
      <w:proofErr w:type="gramEnd"/>
      <w:r>
        <w:t xml:space="preserve"> scrutiny, 171</w:t>
      </w:r>
    </w:p>
    <w:p w:rsidR="008E273C" w:rsidRPr="00DC6D62" w:rsidRDefault="008E273C" w:rsidP="00DC6D62">
      <w:pPr>
        <w:pStyle w:val="BodyText"/>
        <w:rPr>
          <w:b/>
        </w:rPr>
      </w:pPr>
      <w:r w:rsidRPr="00DC6D62">
        <w:rPr>
          <w:b/>
        </w:rPr>
        <w:t>F</w:t>
      </w:r>
    </w:p>
    <w:p w:rsidR="008E273C" w:rsidRDefault="008E273C" w:rsidP="00DC6D62">
      <w:pPr>
        <w:pStyle w:val="BodyText"/>
      </w:pPr>
      <w:proofErr w:type="gramStart"/>
      <w:r>
        <w:t>face-to-face</w:t>
      </w:r>
      <w:proofErr w:type="gramEnd"/>
      <w:r>
        <w:t xml:space="preserve"> services</w:t>
      </w:r>
    </w:p>
    <w:p w:rsidR="008E273C" w:rsidRDefault="008E273C" w:rsidP="00DC6D62">
      <w:pPr>
        <w:pStyle w:val="BodyText"/>
        <w:ind w:left="720"/>
      </w:pPr>
      <w:proofErr w:type="gramStart"/>
      <w:r>
        <w:t>effect</w:t>
      </w:r>
      <w:proofErr w:type="gramEnd"/>
      <w:r>
        <w:t xml:space="preserve"> of COVID-19 on, x, xviii, 95</w:t>
      </w:r>
    </w:p>
    <w:p w:rsidR="008E273C" w:rsidRDefault="008E273C" w:rsidP="00DC6D62">
      <w:pPr>
        <w:pStyle w:val="BodyText"/>
        <w:ind w:left="720"/>
      </w:pPr>
      <w:proofErr w:type="gramStart"/>
      <w:r>
        <w:t>performance</w:t>
      </w:r>
      <w:proofErr w:type="gramEnd"/>
      <w:r>
        <w:t xml:space="preserve"> results, 2019–20, 73, 74, 80–1, 95</w:t>
      </w:r>
    </w:p>
    <w:p w:rsidR="008E273C" w:rsidRDefault="008E273C" w:rsidP="00DC6D62">
      <w:pPr>
        <w:pStyle w:val="BodyText"/>
        <w:ind w:left="720"/>
      </w:pPr>
      <w:proofErr w:type="gramStart"/>
      <w:r>
        <w:rPr>
          <w:rFonts w:ascii="Roboto-Italic" w:hAnsi="Roboto-Italic" w:cs="Roboto-Italic"/>
          <w:i/>
          <w:iCs/>
        </w:rPr>
        <w:t>see</w:t>
      </w:r>
      <w:proofErr w:type="gramEnd"/>
      <w:r>
        <w:rPr>
          <w:rFonts w:ascii="Roboto-Italic" w:hAnsi="Roboto-Italic" w:cs="Roboto-Italic"/>
          <w:i/>
          <w:iCs/>
        </w:rPr>
        <w:t xml:space="preserve"> also</w:t>
      </w:r>
      <w:r>
        <w:t xml:space="preserve"> Mobile Service Centres; Service Centres</w:t>
      </w:r>
    </w:p>
    <w:p w:rsidR="008E273C" w:rsidRDefault="008E273C" w:rsidP="00DC6D62">
      <w:pPr>
        <w:pStyle w:val="BodyText"/>
      </w:pPr>
      <w:proofErr w:type="gramStart"/>
      <w:r>
        <w:t>facial</w:t>
      </w:r>
      <w:proofErr w:type="gramEnd"/>
      <w:r>
        <w:t xml:space="preserve"> biometrics, 65</w:t>
      </w:r>
    </w:p>
    <w:p w:rsidR="008E273C" w:rsidRDefault="008E273C" w:rsidP="00DC6D62">
      <w:pPr>
        <w:pStyle w:val="BodyText"/>
      </w:pPr>
      <w:proofErr w:type="gramStart"/>
      <w:r>
        <w:t>families</w:t>
      </w:r>
      <w:proofErr w:type="gramEnd"/>
      <w:r>
        <w:t>, 7–8, 10–12</w:t>
      </w:r>
    </w:p>
    <w:p w:rsidR="008E273C" w:rsidRDefault="008E273C" w:rsidP="00DC6D62">
      <w:pPr>
        <w:pStyle w:val="BodyText"/>
      </w:pPr>
      <w:proofErr w:type="gramStart"/>
      <w:r>
        <w:t>family</w:t>
      </w:r>
      <w:proofErr w:type="gramEnd"/>
      <w:r>
        <w:t xml:space="preserve"> and domestic violence, 41, 44, 47</w:t>
      </w:r>
    </w:p>
    <w:p w:rsidR="008E273C" w:rsidRDefault="008E273C" w:rsidP="00DC6D62">
      <w:pPr>
        <w:pStyle w:val="BodyText"/>
      </w:pPr>
      <w:r>
        <w:lastRenderedPageBreak/>
        <w:t>Family Tax Benefit, 10</w:t>
      </w:r>
    </w:p>
    <w:p w:rsidR="008E273C" w:rsidRDefault="008E273C" w:rsidP="00DC6D62">
      <w:pPr>
        <w:pStyle w:val="BodyText"/>
      </w:pPr>
      <w:proofErr w:type="gramStart"/>
      <w:r>
        <w:t>claims</w:t>
      </w:r>
      <w:proofErr w:type="gramEnd"/>
      <w:r>
        <w:t xml:space="preserve"> finalised, 2019–20, 7</w:t>
      </w:r>
    </w:p>
    <w:p w:rsidR="008E273C" w:rsidRDefault="008E273C" w:rsidP="00DC6D62">
      <w:pPr>
        <w:pStyle w:val="BodyText"/>
      </w:pPr>
      <w:r>
        <w:t>Extended Medicare Safety Net, 19</w:t>
      </w:r>
    </w:p>
    <w:p w:rsidR="008E273C" w:rsidRDefault="008E273C" w:rsidP="00DC6D62">
      <w:pPr>
        <w:pStyle w:val="BodyText"/>
      </w:pPr>
      <w:r>
        <w:t>Farm Household Allowance, 58–9</w:t>
      </w:r>
    </w:p>
    <w:p w:rsidR="008E273C" w:rsidRDefault="008E273C" w:rsidP="00DC6D62">
      <w:pPr>
        <w:pStyle w:val="BodyText"/>
      </w:pPr>
      <w:r>
        <w:t>Federal Court of Australia, 171</w:t>
      </w:r>
    </w:p>
    <w:p w:rsidR="008E273C" w:rsidRDefault="008E273C" w:rsidP="00DC6D62">
      <w:pPr>
        <w:pStyle w:val="BodyText"/>
      </w:pPr>
      <w:proofErr w:type="gramStart"/>
      <w:r>
        <w:t>feedback</w:t>
      </w:r>
      <w:proofErr w:type="gramEnd"/>
      <w:r>
        <w:t xml:space="preserve"> on services, xi, 112–13</w:t>
      </w:r>
    </w:p>
    <w:p w:rsidR="008E273C" w:rsidRDefault="008E273C" w:rsidP="00DC6D62">
      <w:pPr>
        <w:pStyle w:val="BodyText"/>
      </w:pPr>
      <w:r>
        <w:t>Financial Information Service, 55</w:t>
      </w:r>
    </w:p>
    <w:p w:rsidR="008E273C" w:rsidRDefault="008E273C" w:rsidP="00DC6D62">
      <w:pPr>
        <w:pStyle w:val="BodyText"/>
      </w:pPr>
      <w:proofErr w:type="gramStart"/>
      <w:r>
        <w:t>financial</w:t>
      </w:r>
      <w:proofErr w:type="gramEnd"/>
      <w:r>
        <w:t xml:space="preserve"> performance summary, xi–xii, 116–18</w:t>
      </w:r>
    </w:p>
    <w:p w:rsidR="008E273C" w:rsidRDefault="008E273C" w:rsidP="00DC6D62">
      <w:pPr>
        <w:pStyle w:val="BodyText"/>
      </w:pPr>
      <w:proofErr w:type="spellStart"/>
      <w:r>
        <w:t>Fintel</w:t>
      </w:r>
      <w:proofErr w:type="spellEnd"/>
      <w:r>
        <w:t xml:space="preserve"> Alliance, 64</w:t>
      </w:r>
    </w:p>
    <w:p w:rsidR="008E273C" w:rsidRDefault="008E273C" w:rsidP="00DC6D62">
      <w:pPr>
        <w:pStyle w:val="BodyText"/>
      </w:pPr>
      <w:proofErr w:type="gramStart"/>
      <w:r>
        <w:t>flexible</w:t>
      </w:r>
      <w:proofErr w:type="gramEnd"/>
      <w:r>
        <w:t xml:space="preserve"> working arrangements, 191, 226</w:t>
      </w:r>
    </w:p>
    <w:p w:rsidR="008E273C" w:rsidRDefault="008E273C" w:rsidP="00DC6D62">
      <w:pPr>
        <w:pStyle w:val="BodyText"/>
      </w:pPr>
      <w:proofErr w:type="gramStart"/>
      <w:r>
        <w:t>forensic</w:t>
      </w:r>
      <w:proofErr w:type="gramEnd"/>
      <w:r>
        <w:t xml:space="preserve"> capability, 64</w:t>
      </w:r>
    </w:p>
    <w:p w:rsidR="008E273C" w:rsidRDefault="008E273C" w:rsidP="00DC6D62">
      <w:pPr>
        <w:pStyle w:val="BodyText"/>
      </w:pPr>
      <w:r>
        <w:t>Fraud and Corruption Control Plan, 63</w:t>
      </w:r>
    </w:p>
    <w:p w:rsidR="008E273C" w:rsidRDefault="008E273C" w:rsidP="00DC6D62">
      <w:pPr>
        <w:pStyle w:val="BodyText"/>
      </w:pPr>
      <w:proofErr w:type="gramStart"/>
      <w:r>
        <w:t>fraud</w:t>
      </w:r>
      <w:proofErr w:type="gramEnd"/>
      <w:r>
        <w:t xml:space="preserve"> control, internal, 170</w:t>
      </w:r>
    </w:p>
    <w:p w:rsidR="008E273C" w:rsidRDefault="008E273C" w:rsidP="00DC6D62">
      <w:pPr>
        <w:pStyle w:val="BodyText"/>
      </w:pPr>
      <w:proofErr w:type="gramStart"/>
      <w:r>
        <w:t>fraud</w:t>
      </w:r>
      <w:proofErr w:type="gramEnd"/>
      <w:r>
        <w:t xml:space="preserve"> prevention, detection and disruption, 62–4</w:t>
      </w:r>
    </w:p>
    <w:p w:rsidR="008E273C" w:rsidRDefault="008E273C" w:rsidP="00DC6D62">
      <w:pPr>
        <w:pStyle w:val="BodyText"/>
      </w:pPr>
      <w:proofErr w:type="gramStart"/>
      <w:r>
        <w:t>freedom</w:t>
      </w:r>
      <w:proofErr w:type="gramEnd"/>
      <w:r>
        <w:t xml:space="preserve"> of information, 198</w:t>
      </w:r>
    </w:p>
    <w:p w:rsidR="008E273C" w:rsidRDefault="008E273C" w:rsidP="00DC6D62">
      <w:pPr>
        <w:pStyle w:val="BodyText"/>
      </w:pPr>
      <w:proofErr w:type="gramStart"/>
      <w:r>
        <w:t>funding</w:t>
      </w:r>
      <w:proofErr w:type="gramEnd"/>
      <w:r>
        <w:t>, xi, 116</w:t>
      </w:r>
    </w:p>
    <w:p w:rsidR="008E273C" w:rsidRPr="00DC6D62" w:rsidRDefault="008E273C" w:rsidP="00DC6D62">
      <w:pPr>
        <w:pStyle w:val="BodyText"/>
        <w:rPr>
          <w:b/>
        </w:rPr>
      </w:pPr>
      <w:r w:rsidRPr="00DC6D62">
        <w:rPr>
          <w:b/>
        </w:rPr>
        <w:t>G</w:t>
      </w:r>
    </w:p>
    <w:p w:rsidR="008E273C" w:rsidRDefault="008E273C" w:rsidP="00DC6D62">
      <w:pPr>
        <w:pStyle w:val="BodyText"/>
      </w:pPr>
      <w:r>
        <w:t>Gender Affirmation Information Sheet, 184</w:t>
      </w:r>
    </w:p>
    <w:p w:rsidR="008E273C" w:rsidRDefault="008E273C" w:rsidP="00DC6D62">
      <w:pPr>
        <w:pStyle w:val="BodyText"/>
      </w:pPr>
      <w:proofErr w:type="gramStart"/>
      <w:r>
        <w:t>glossary</w:t>
      </w:r>
      <w:proofErr w:type="gramEnd"/>
      <w:r>
        <w:t>, 246–8</w:t>
      </w:r>
    </w:p>
    <w:p w:rsidR="008E273C" w:rsidRDefault="008E273C" w:rsidP="00DC6D62">
      <w:pPr>
        <w:pStyle w:val="BodyText"/>
      </w:pPr>
      <w:proofErr w:type="gramStart"/>
      <w:r>
        <w:t>governance</w:t>
      </w:r>
      <w:proofErr w:type="gramEnd"/>
      <w:r>
        <w:t xml:space="preserve"> committees, 164–9</w:t>
      </w:r>
    </w:p>
    <w:p w:rsidR="008E273C" w:rsidRDefault="008E273C" w:rsidP="00DC6D62">
      <w:pPr>
        <w:pStyle w:val="BodyText"/>
      </w:pPr>
      <w:proofErr w:type="gramStart"/>
      <w:r>
        <w:t>graduates</w:t>
      </w:r>
      <w:proofErr w:type="gramEnd"/>
      <w:r>
        <w:t>, 183, 184</w:t>
      </w:r>
    </w:p>
    <w:p w:rsidR="008E273C" w:rsidRDefault="008E273C" w:rsidP="00DC6D62">
      <w:pPr>
        <w:pStyle w:val="BodyText"/>
      </w:pPr>
      <w:r>
        <w:t>Grandparent Adviser Program, 12</w:t>
      </w:r>
    </w:p>
    <w:p w:rsidR="008E273C" w:rsidRPr="00DC6D62" w:rsidRDefault="008E273C" w:rsidP="00DC6D62">
      <w:pPr>
        <w:pStyle w:val="BodyText"/>
        <w:rPr>
          <w:b/>
        </w:rPr>
      </w:pPr>
      <w:r w:rsidRPr="00DC6D62">
        <w:rPr>
          <w:b/>
        </w:rPr>
        <w:t>H</w:t>
      </w:r>
    </w:p>
    <w:p w:rsidR="008E273C" w:rsidRDefault="008E273C" w:rsidP="00DC6D62">
      <w:pPr>
        <w:pStyle w:val="BodyText"/>
      </w:pPr>
      <w:proofErr w:type="gramStart"/>
      <w:r>
        <w:t>hardship</w:t>
      </w:r>
      <w:proofErr w:type="gramEnd"/>
      <w:r>
        <w:t>, financial, 60, 67–8</w:t>
      </w:r>
    </w:p>
    <w:p w:rsidR="008E273C" w:rsidRDefault="008E273C" w:rsidP="00DC6D62">
      <w:pPr>
        <w:pStyle w:val="BodyText"/>
      </w:pPr>
      <w:r>
        <w:t>Health Care Homes, 29</w:t>
      </w:r>
    </w:p>
    <w:p w:rsidR="008E273C" w:rsidRDefault="008E273C" w:rsidP="00DC6D62">
      <w:pPr>
        <w:pStyle w:val="BodyText"/>
      </w:pPr>
      <w:r>
        <w:t>Health Delivery Modernisation Project, 5</w:t>
      </w:r>
    </w:p>
    <w:p w:rsidR="008E273C" w:rsidRDefault="008E273C" w:rsidP="00DC6D62">
      <w:pPr>
        <w:pStyle w:val="BodyText"/>
      </w:pPr>
      <w:proofErr w:type="gramStart"/>
      <w:r>
        <w:t>health</w:t>
      </w:r>
      <w:proofErr w:type="gramEnd"/>
      <w:r>
        <w:t xml:space="preserve"> insurance, 28</w:t>
      </w:r>
    </w:p>
    <w:p w:rsidR="008E273C" w:rsidRDefault="008E273C" w:rsidP="00DC6D62">
      <w:pPr>
        <w:pStyle w:val="BodyText"/>
      </w:pPr>
      <w:r>
        <w:t>Health Professional Advisory Unit, 15</w:t>
      </w:r>
    </w:p>
    <w:p w:rsidR="008E273C" w:rsidRDefault="008E273C" w:rsidP="00DC6D62">
      <w:pPr>
        <w:pStyle w:val="BodyText"/>
      </w:pPr>
      <w:proofErr w:type="gramStart"/>
      <w:r>
        <w:t>health</w:t>
      </w:r>
      <w:proofErr w:type="gramEnd"/>
      <w:r>
        <w:t xml:space="preserve"> professionals</w:t>
      </w:r>
    </w:p>
    <w:p w:rsidR="008E273C" w:rsidRDefault="008E273C" w:rsidP="00DC6D62">
      <w:pPr>
        <w:pStyle w:val="BodyText"/>
        <w:ind w:left="720"/>
      </w:pPr>
      <w:proofErr w:type="gramStart"/>
      <w:r>
        <w:lastRenderedPageBreak/>
        <w:t>bulk</w:t>
      </w:r>
      <w:proofErr w:type="gramEnd"/>
      <w:r>
        <w:t xml:space="preserve"> billing, 19–20, 21</w:t>
      </w:r>
    </w:p>
    <w:p w:rsidR="008E273C" w:rsidRDefault="008E273C" w:rsidP="00DC6D62">
      <w:pPr>
        <w:pStyle w:val="BodyText"/>
        <w:ind w:left="720"/>
      </w:pPr>
      <w:proofErr w:type="gramStart"/>
      <w:r>
        <w:t>digital</w:t>
      </w:r>
      <w:proofErr w:type="gramEnd"/>
      <w:r>
        <w:t xml:space="preserve"> services, 5</w:t>
      </w:r>
    </w:p>
    <w:p w:rsidR="008E273C" w:rsidRDefault="008E273C" w:rsidP="00DC6D62">
      <w:pPr>
        <w:pStyle w:val="BodyText"/>
        <w:ind w:left="720"/>
      </w:pPr>
      <w:proofErr w:type="gramStart"/>
      <w:r>
        <w:t>incentives</w:t>
      </w:r>
      <w:proofErr w:type="gramEnd"/>
      <w:r>
        <w:t>, 30–1</w:t>
      </w:r>
    </w:p>
    <w:p w:rsidR="008E273C" w:rsidRDefault="008E273C" w:rsidP="00DC6D62">
      <w:pPr>
        <w:pStyle w:val="BodyText"/>
        <w:ind w:left="720"/>
      </w:pPr>
      <w:proofErr w:type="gramStart"/>
      <w:r>
        <w:t>medical</w:t>
      </w:r>
      <w:proofErr w:type="gramEnd"/>
      <w:r>
        <w:t xml:space="preserve"> indemnity, 33–5</w:t>
      </w:r>
    </w:p>
    <w:p w:rsidR="008E273C" w:rsidRDefault="008E273C" w:rsidP="00DC6D62">
      <w:pPr>
        <w:pStyle w:val="BodyText"/>
        <w:ind w:left="720"/>
      </w:pPr>
      <w:r>
        <w:t>Medicare provider numbers, 22</w:t>
      </w:r>
    </w:p>
    <w:p w:rsidR="008E273C" w:rsidRDefault="008E273C" w:rsidP="00DC6D62">
      <w:pPr>
        <w:pStyle w:val="BodyText"/>
        <w:ind w:left="720"/>
      </w:pPr>
      <w:proofErr w:type="gramStart"/>
      <w:r>
        <w:t>performance</w:t>
      </w:r>
      <w:proofErr w:type="gramEnd"/>
      <w:r>
        <w:t xml:space="preserve"> results, 2019–20, 87–8</w:t>
      </w:r>
    </w:p>
    <w:p w:rsidR="008E273C" w:rsidRDefault="008E273C" w:rsidP="00DC6D62">
      <w:pPr>
        <w:pStyle w:val="BodyText"/>
        <w:ind w:left="720"/>
      </w:pPr>
      <w:proofErr w:type="gramStart"/>
      <w:r>
        <w:t>services</w:t>
      </w:r>
      <w:proofErr w:type="gramEnd"/>
      <w:r>
        <w:t xml:space="preserve"> for, 3</w:t>
      </w:r>
    </w:p>
    <w:p w:rsidR="008E273C" w:rsidRDefault="008E273C" w:rsidP="00DC6D62">
      <w:pPr>
        <w:pStyle w:val="BodyText"/>
        <w:ind w:left="720"/>
      </w:pPr>
      <w:proofErr w:type="gramStart"/>
      <w:r>
        <w:t>system</w:t>
      </w:r>
      <w:proofErr w:type="gramEnd"/>
      <w:r>
        <w:t xml:space="preserve"> modernisation and remediation, 5</w:t>
      </w:r>
    </w:p>
    <w:p w:rsidR="008E273C" w:rsidRDefault="008E273C" w:rsidP="00DC6D62">
      <w:pPr>
        <w:pStyle w:val="BodyText"/>
        <w:ind w:left="720"/>
      </w:pPr>
      <w:proofErr w:type="gramStart"/>
      <w:r>
        <w:t>use</w:t>
      </w:r>
      <w:proofErr w:type="gramEnd"/>
      <w:r>
        <w:t xml:space="preserve"> of telehealth during COVID-19, xvi, 16–17</w:t>
      </w:r>
    </w:p>
    <w:p w:rsidR="008E273C" w:rsidRDefault="008E273C" w:rsidP="00DC6D62">
      <w:pPr>
        <w:pStyle w:val="BodyText"/>
      </w:pPr>
      <w:r>
        <w:t>Health Professionals Online Service, 21</w:t>
      </w:r>
    </w:p>
    <w:p w:rsidR="008E273C" w:rsidRDefault="008E273C" w:rsidP="00DC6D62">
      <w:pPr>
        <w:pStyle w:val="BodyText"/>
      </w:pPr>
      <w:r>
        <w:t>Health program (Program 1.2), 16–35, 27–8, 86–100</w:t>
      </w:r>
    </w:p>
    <w:p w:rsidR="008E273C" w:rsidRDefault="008E273C" w:rsidP="00DC6D62">
      <w:pPr>
        <w:pStyle w:val="BodyText"/>
        <w:ind w:left="720"/>
      </w:pPr>
      <w:proofErr w:type="gramStart"/>
      <w:r>
        <w:t>customer</w:t>
      </w:r>
      <w:proofErr w:type="gramEnd"/>
      <w:r>
        <w:t xml:space="preserve"> satisfaction performance results, 88–9</w:t>
      </w:r>
    </w:p>
    <w:p w:rsidR="008E273C" w:rsidRDefault="008E273C" w:rsidP="00DC6D62">
      <w:pPr>
        <w:pStyle w:val="BodyText"/>
        <w:ind w:left="720"/>
      </w:pPr>
      <w:proofErr w:type="gramStart"/>
      <w:r>
        <w:t>customer</w:t>
      </w:r>
      <w:proofErr w:type="gramEnd"/>
      <w:r>
        <w:t xml:space="preserve"> trust performance results, 90</w:t>
      </w:r>
    </w:p>
    <w:p w:rsidR="008E273C" w:rsidRDefault="008E273C" w:rsidP="00DC6D62">
      <w:pPr>
        <w:pStyle w:val="BodyText"/>
        <w:ind w:left="720"/>
      </w:pPr>
      <w:proofErr w:type="gramStart"/>
      <w:r>
        <w:t>digital</w:t>
      </w:r>
      <w:proofErr w:type="gramEnd"/>
      <w:r>
        <w:t xml:space="preserve"> performance results, 91–3</w:t>
      </w:r>
    </w:p>
    <w:p w:rsidR="008E273C" w:rsidRDefault="008E273C" w:rsidP="00DC6D62">
      <w:pPr>
        <w:pStyle w:val="BodyText"/>
        <w:ind w:left="720"/>
      </w:pPr>
      <w:proofErr w:type="gramStart"/>
      <w:r>
        <w:t>health</w:t>
      </w:r>
      <w:proofErr w:type="gramEnd"/>
      <w:r>
        <w:t xml:space="preserve"> professionals performance results, 87–8</w:t>
      </w:r>
    </w:p>
    <w:p w:rsidR="008E273C" w:rsidRDefault="008E273C" w:rsidP="00DC6D62">
      <w:pPr>
        <w:pStyle w:val="BodyText"/>
        <w:ind w:left="720"/>
      </w:pPr>
      <w:proofErr w:type="gramStart"/>
      <w:r>
        <w:t>payment</w:t>
      </w:r>
      <w:proofErr w:type="gramEnd"/>
      <w:r>
        <w:t xml:space="preserve"> quality standards performance results, 94</w:t>
      </w:r>
    </w:p>
    <w:p w:rsidR="008E273C" w:rsidRDefault="008E273C" w:rsidP="00DC6D62">
      <w:pPr>
        <w:pStyle w:val="BodyText"/>
        <w:ind w:left="720"/>
      </w:pPr>
      <w:proofErr w:type="gramStart"/>
      <w:r>
        <w:t>payment</w:t>
      </w:r>
      <w:proofErr w:type="gramEnd"/>
      <w:r>
        <w:t xml:space="preserve"> system modernisation, 5</w:t>
      </w:r>
    </w:p>
    <w:p w:rsidR="008E273C" w:rsidRDefault="008E273C" w:rsidP="00DC6D62">
      <w:pPr>
        <w:pStyle w:val="BodyText"/>
        <w:ind w:left="720"/>
      </w:pPr>
      <w:proofErr w:type="gramStart"/>
      <w:r>
        <w:t>performance</w:t>
      </w:r>
      <w:proofErr w:type="gramEnd"/>
      <w:r>
        <w:t xml:space="preserve"> overview, 86–7</w:t>
      </w:r>
    </w:p>
    <w:p w:rsidR="008E273C" w:rsidRDefault="008E273C" w:rsidP="00DC6D62">
      <w:pPr>
        <w:pStyle w:val="BodyText"/>
        <w:ind w:left="720"/>
      </w:pPr>
      <w:proofErr w:type="gramStart"/>
      <w:r>
        <w:t>processing</w:t>
      </w:r>
      <w:proofErr w:type="gramEnd"/>
      <w:r>
        <w:t xml:space="preserve"> performance results, 99</w:t>
      </w:r>
    </w:p>
    <w:p w:rsidR="008E273C" w:rsidRDefault="008E273C" w:rsidP="00DC6D62">
      <w:pPr>
        <w:pStyle w:val="BodyText"/>
        <w:ind w:left="720"/>
      </w:pPr>
      <w:proofErr w:type="gramStart"/>
      <w:r>
        <w:t>service</w:t>
      </w:r>
      <w:proofErr w:type="gramEnd"/>
      <w:r>
        <w:t xml:space="preserve"> commitments, 109–13</w:t>
      </w:r>
    </w:p>
    <w:p w:rsidR="008E273C" w:rsidRDefault="008E273C" w:rsidP="00DC6D62">
      <w:pPr>
        <w:pStyle w:val="BodyText"/>
        <w:ind w:left="720"/>
      </w:pPr>
      <w:proofErr w:type="gramStart"/>
      <w:r>
        <w:t>telephony</w:t>
      </w:r>
      <w:proofErr w:type="gramEnd"/>
      <w:r>
        <w:t xml:space="preserve"> services performance results, 96–8</w:t>
      </w:r>
    </w:p>
    <w:p w:rsidR="008E273C" w:rsidRDefault="008E273C" w:rsidP="00DC6D62">
      <w:pPr>
        <w:pStyle w:val="BodyText"/>
      </w:pPr>
      <w:r>
        <w:t>Healthcare Identifiers Service, 35</w:t>
      </w:r>
    </w:p>
    <w:p w:rsidR="008E273C" w:rsidRDefault="008E273C" w:rsidP="00DC6D62">
      <w:pPr>
        <w:pStyle w:val="BodyText"/>
      </w:pPr>
      <w:r>
        <w:t>Hearing Services Program, 28</w:t>
      </w:r>
    </w:p>
    <w:p w:rsidR="008E273C" w:rsidRDefault="008E273C" w:rsidP="00DC6D62">
      <w:pPr>
        <w:pStyle w:val="BodyText"/>
      </w:pPr>
      <w:r>
        <w:t>High Cost Claims Indemnity Scheme, 33–4</w:t>
      </w:r>
    </w:p>
    <w:p w:rsidR="008E273C" w:rsidRDefault="008E273C" w:rsidP="00DC6D62">
      <w:pPr>
        <w:pStyle w:val="BodyText"/>
      </w:pPr>
      <w:proofErr w:type="gramStart"/>
      <w:r>
        <w:t>high</w:t>
      </w:r>
      <w:proofErr w:type="gramEnd"/>
      <w:r>
        <w:t xml:space="preserve"> medical expenses, people with, 18–19</w:t>
      </w:r>
    </w:p>
    <w:p w:rsidR="008E273C" w:rsidRDefault="008E273C" w:rsidP="00DC6D62">
      <w:pPr>
        <w:pStyle w:val="BodyText"/>
      </w:pPr>
      <w:proofErr w:type="gramStart"/>
      <w:r>
        <w:t>highly</w:t>
      </w:r>
      <w:proofErr w:type="gramEnd"/>
      <w:r>
        <w:t xml:space="preserve"> paid staff, 234</w:t>
      </w:r>
    </w:p>
    <w:p w:rsidR="008E273C" w:rsidRDefault="008E273C" w:rsidP="00DC6D62">
      <w:pPr>
        <w:pStyle w:val="BodyText"/>
      </w:pPr>
      <w:proofErr w:type="gramStart"/>
      <w:r>
        <w:t>hospitals</w:t>
      </w:r>
      <w:proofErr w:type="gramEnd"/>
      <w:r>
        <w:t>, 27, 33</w:t>
      </w:r>
    </w:p>
    <w:p w:rsidR="008E273C" w:rsidRDefault="008E273C" w:rsidP="00DC6D62">
      <w:pPr>
        <w:pStyle w:val="BodyText"/>
      </w:pPr>
      <w:r>
        <w:t>Humanitarian Settlement Program, 48</w:t>
      </w:r>
    </w:p>
    <w:p w:rsidR="008E273C" w:rsidRPr="00DC6D62" w:rsidRDefault="008E273C" w:rsidP="00DC6D62">
      <w:pPr>
        <w:pStyle w:val="BodyText"/>
        <w:rPr>
          <w:b/>
        </w:rPr>
      </w:pPr>
      <w:r w:rsidRPr="00DC6D62">
        <w:rPr>
          <w:b/>
        </w:rPr>
        <w:t>I</w:t>
      </w:r>
    </w:p>
    <w:p w:rsidR="008E273C" w:rsidRDefault="008E273C" w:rsidP="00DC6D62">
      <w:pPr>
        <w:pStyle w:val="BodyText"/>
      </w:pPr>
      <w:proofErr w:type="spellStart"/>
      <w:r>
        <w:lastRenderedPageBreak/>
        <w:t>IDCare</w:t>
      </w:r>
      <w:proofErr w:type="spellEnd"/>
      <w:r>
        <w:t>, 65</w:t>
      </w:r>
    </w:p>
    <w:p w:rsidR="008E273C" w:rsidRDefault="008E273C" w:rsidP="00DC6D62">
      <w:pPr>
        <w:pStyle w:val="BodyText"/>
      </w:pPr>
      <w:proofErr w:type="gramStart"/>
      <w:r>
        <w:t>identity</w:t>
      </w:r>
      <w:proofErr w:type="gramEnd"/>
      <w:r>
        <w:t xml:space="preserve"> theft and verification, 65, 71, 192</w:t>
      </w:r>
    </w:p>
    <w:p w:rsidR="008E273C" w:rsidRDefault="008E273C" w:rsidP="00DC6D62">
      <w:pPr>
        <w:pStyle w:val="BodyText"/>
      </w:pPr>
      <w:proofErr w:type="gramStart"/>
      <w:r>
        <w:t>immunisation</w:t>
      </w:r>
      <w:proofErr w:type="gramEnd"/>
      <w:r>
        <w:t>, 12, 32</w:t>
      </w:r>
    </w:p>
    <w:p w:rsidR="008E273C" w:rsidRDefault="008E273C" w:rsidP="00DC6D62">
      <w:pPr>
        <w:pStyle w:val="BodyText"/>
      </w:pPr>
      <w:proofErr w:type="gramStart"/>
      <w:r>
        <w:t>incarcerated</w:t>
      </w:r>
      <w:proofErr w:type="gramEnd"/>
      <w:r>
        <w:t xml:space="preserve"> customers, xviii, 61</w:t>
      </w:r>
    </w:p>
    <w:p w:rsidR="008E273C" w:rsidRDefault="008E273C" w:rsidP="00DC6D62">
      <w:pPr>
        <w:pStyle w:val="BodyText"/>
      </w:pPr>
      <w:r>
        <w:t>Inclusion Action Plan 2019–20, 184</w:t>
      </w:r>
    </w:p>
    <w:p w:rsidR="008E273C" w:rsidRDefault="008E273C" w:rsidP="00DC6D62">
      <w:pPr>
        <w:pStyle w:val="BodyText"/>
      </w:pPr>
      <w:proofErr w:type="gramStart"/>
      <w:r>
        <w:t>income</w:t>
      </w:r>
      <w:proofErr w:type="gramEnd"/>
      <w:r>
        <w:t>, 116</w:t>
      </w:r>
    </w:p>
    <w:p w:rsidR="008E273C" w:rsidRDefault="008E273C" w:rsidP="00DC6D62">
      <w:pPr>
        <w:pStyle w:val="BodyText"/>
      </w:pPr>
      <w:r>
        <w:t>Income Management, 56–7</w:t>
      </w:r>
    </w:p>
    <w:p w:rsidR="008E273C" w:rsidRDefault="008E273C" w:rsidP="00DC6D62">
      <w:pPr>
        <w:pStyle w:val="BodyText"/>
      </w:pPr>
      <w:r>
        <w:t xml:space="preserve">Incurred </w:t>
      </w:r>
      <w:proofErr w:type="gramStart"/>
      <w:r>
        <w:t>But</w:t>
      </w:r>
      <w:proofErr w:type="gramEnd"/>
      <w:r>
        <w:t xml:space="preserve"> Not Reported Indemnity Scheme, 34–5</w:t>
      </w:r>
    </w:p>
    <w:p w:rsidR="008E273C" w:rsidRDefault="008E273C" w:rsidP="00DC6D62">
      <w:pPr>
        <w:pStyle w:val="BodyText"/>
      </w:pPr>
      <w:r>
        <w:t>Indigenous Apprenticeships Program, 186</w:t>
      </w:r>
    </w:p>
    <w:p w:rsidR="008E273C" w:rsidRDefault="008E273C" w:rsidP="00DC6D62">
      <w:pPr>
        <w:pStyle w:val="BodyText"/>
      </w:pPr>
      <w:r>
        <w:t>Indigenous Australians, 24, 41–2, 43</w:t>
      </w:r>
    </w:p>
    <w:p w:rsidR="008E273C" w:rsidRDefault="008E273C" w:rsidP="00DC6D62">
      <w:pPr>
        <w:pStyle w:val="BodyText"/>
        <w:ind w:left="720"/>
      </w:pPr>
      <w:proofErr w:type="gramStart"/>
      <w:r>
        <w:t>interpreter</w:t>
      </w:r>
      <w:proofErr w:type="gramEnd"/>
      <w:r>
        <w:t xml:space="preserve"> services, 46</w:t>
      </w:r>
    </w:p>
    <w:p w:rsidR="008E273C" w:rsidRDefault="008E273C" w:rsidP="00DC6D62">
      <w:pPr>
        <w:pStyle w:val="BodyText"/>
        <w:ind w:left="720"/>
      </w:pPr>
      <w:proofErr w:type="gramStart"/>
      <w:r>
        <w:t>payments</w:t>
      </w:r>
      <w:proofErr w:type="gramEnd"/>
      <w:r>
        <w:t xml:space="preserve"> for, 7</w:t>
      </w:r>
    </w:p>
    <w:p w:rsidR="008E273C" w:rsidRDefault="008E273C" w:rsidP="00DC6D62">
      <w:pPr>
        <w:pStyle w:val="BodyText"/>
      </w:pPr>
      <w:r>
        <w:t>Indigenous graduates, 186</w:t>
      </w:r>
    </w:p>
    <w:p w:rsidR="008E273C" w:rsidRDefault="008E273C" w:rsidP="00DC6D62">
      <w:pPr>
        <w:pStyle w:val="BodyText"/>
      </w:pPr>
      <w:r>
        <w:t>Indigenous leadership development, 188</w:t>
      </w:r>
    </w:p>
    <w:p w:rsidR="008E273C" w:rsidRDefault="008E273C" w:rsidP="00DC6D62">
      <w:pPr>
        <w:pStyle w:val="BodyText"/>
      </w:pPr>
      <w:r>
        <w:t>Indigenous Service Officers, 42</w:t>
      </w:r>
    </w:p>
    <w:p w:rsidR="008E273C" w:rsidRDefault="008E273C" w:rsidP="00DC6D62">
      <w:pPr>
        <w:pStyle w:val="BodyText"/>
      </w:pPr>
      <w:r>
        <w:t>Indigenous Servicing Strategy 2018–22, 41, 187</w:t>
      </w:r>
    </w:p>
    <w:p w:rsidR="008E273C" w:rsidRDefault="008E273C" w:rsidP="00DC6D62">
      <w:pPr>
        <w:pStyle w:val="BodyText"/>
      </w:pPr>
      <w:r>
        <w:t>Indigenous staff, 185–7</w:t>
      </w:r>
    </w:p>
    <w:p w:rsidR="008E273C" w:rsidRDefault="008E273C" w:rsidP="00DC6D62">
      <w:pPr>
        <w:pStyle w:val="BodyText"/>
        <w:ind w:left="720"/>
      </w:pPr>
      <w:proofErr w:type="gramStart"/>
      <w:r>
        <w:t>statistics</w:t>
      </w:r>
      <w:proofErr w:type="gramEnd"/>
      <w:r>
        <w:t xml:space="preserve"> on, 226</w:t>
      </w:r>
    </w:p>
    <w:p w:rsidR="008E273C" w:rsidRDefault="008E273C" w:rsidP="00DC6D62">
      <w:pPr>
        <w:pStyle w:val="BodyText"/>
      </w:pPr>
      <w:proofErr w:type="gramStart"/>
      <w:r>
        <w:t>individual</w:t>
      </w:r>
      <w:proofErr w:type="gramEnd"/>
      <w:r>
        <w:t xml:space="preserve"> flexibility arrangements, 191, 226</w:t>
      </w:r>
    </w:p>
    <w:p w:rsidR="008E273C" w:rsidRDefault="008E273C" w:rsidP="00DC6D62">
      <w:pPr>
        <w:pStyle w:val="BodyText"/>
      </w:pPr>
      <w:proofErr w:type="gramStart"/>
      <w:r>
        <w:t>information</w:t>
      </w:r>
      <w:proofErr w:type="gramEnd"/>
      <w:r>
        <w:t xml:space="preserve"> and communications technology, 118</w:t>
      </w:r>
    </w:p>
    <w:p w:rsidR="008E273C" w:rsidRDefault="008E273C" w:rsidP="00DC6D62">
      <w:pPr>
        <w:pStyle w:val="BodyText"/>
      </w:pPr>
      <w:r>
        <w:t>Information Publication Scheme, 198</w:t>
      </w:r>
    </w:p>
    <w:p w:rsidR="008E273C" w:rsidRDefault="008E273C" w:rsidP="00DC6D62">
      <w:pPr>
        <w:pStyle w:val="BodyText"/>
      </w:pPr>
      <w:proofErr w:type="gramStart"/>
      <w:r>
        <w:t>injury</w:t>
      </w:r>
      <w:proofErr w:type="gramEnd"/>
      <w:r>
        <w:t xml:space="preserve"> management, 198–9</w:t>
      </w:r>
    </w:p>
    <w:p w:rsidR="008E273C" w:rsidRDefault="008E273C" w:rsidP="00DC6D62">
      <w:pPr>
        <w:pStyle w:val="BodyText"/>
      </w:pPr>
      <w:r>
        <w:t>Innovation Challenge, xi</w:t>
      </w:r>
    </w:p>
    <w:p w:rsidR="008E273C" w:rsidRDefault="008E273C" w:rsidP="00DC6D62">
      <w:pPr>
        <w:pStyle w:val="BodyText"/>
      </w:pPr>
      <w:proofErr w:type="gramStart"/>
      <w:r>
        <w:t>international</w:t>
      </w:r>
      <w:proofErr w:type="gramEnd"/>
      <w:r>
        <w:t xml:space="preserve"> partnerships, 193</w:t>
      </w:r>
    </w:p>
    <w:p w:rsidR="008E273C" w:rsidRDefault="008E273C" w:rsidP="00DC6D62">
      <w:pPr>
        <w:pStyle w:val="BodyText"/>
      </w:pPr>
      <w:proofErr w:type="gramStart"/>
      <w:r>
        <w:t>interpreter</w:t>
      </w:r>
      <w:proofErr w:type="gramEnd"/>
      <w:r>
        <w:t xml:space="preserve"> and translation services, xviii, 44–6</w:t>
      </w:r>
    </w:p>
    <w:p w:rsidR="008E273C" w:rsidRDefault="008E273C" w:rsidP="00DC6D62">
      <w:pPr>
        <w:pStyle w:val="BodyText"/>
      </w:pPr>
      <w:proofErr w:type="gramStart"/>
      <w:r>
        <w:t>investigations</w:t>
      </w:r>
      <w:proofErr w:type="gramEnd"/>
      <w:r>
        <w:t>, criminal and administrative, 62, 63</w:t>
      </w:r>
    </w:p>
    <w:p w:rsidR="008E273C" w:rsidRPr="00DC6D62" w:rsidRDefault="008E273C" w:rsidP="00DC6D62">
      <w:pPr>
        <w:pStyle w:val="BodyText"/>
        <w:rPr>
          <w:b/>
        </w:rPr>
      </w:pPr>
      <w:r w:rsidRPr="00DC6D62">
        <w:rPr>
          <w:b/>
        </w:rPr>
        <w:t>J</w:t>
      </w:r>
    </w:p>
    <w:p w:rsidR="008E273C" w:rsidRDefault="008E273C" w:rsidP="00DC6D62">
      <w:pPr>
        <w:pStyle w:val="BodyText"/>
      </w:pPr>
      <w:r>
        <w:t>Job Capacity Assessments, 14</w:t>
      </w:r>
    </w:p>
    <w:p w:rsidR="008E273C" w:rsidRDefault="008E273C" w:rsidP="00DC6D62">
      <w:pPr>
        <w:pStyle w:val="BodyText"/>
      </w:pPr>
      <w:r>
        <w:t>Job Placement Scheme, 182</w:t>
      </w:r>
    </w:p>
    <w:p w:rsidR="008E273C" w:rsidRDefault="008E273C" w:rsidP="00DC6D62">
      <w:pPr>
        <w:pStyle w:val="BodyText"/>
      </w:pPr>
      <w:proofErr w:type="gramStart"/>
      <w:r>
        <w:lastRenderedPageBreak/>
        <w:t>job</w:t>
      </w:r>
      <w:proofErr w:type="gramEnd"/>
      <w:r>
        <w:t xml:space="preserve"> seekers, 12–14</w:t>
      </w:r>
    </w:p>
    <w:p w:rsidR="008E273C" w:rsidRDefault="008E273C" w:rsidP="00DC6D62">
      <w:pPr>
        <w:pStyle w:val="BodyText"/>
        <w:ind w:left="720"/>
      </w:pPr>
      <w:proofErr w:type="gramStart"/>
      <w:r>
        <w:t>online</w:t>
      </w:r>
      <w:proofErr w:type="gramEnd"/>
      <w:r>
        <w:t xml:space="preserve"> claims, 4–5</w:t>
      </w:r>
    </w:p>
    <w:p w:rsidR="008E273C" w:rsidRDefault="008E273C" w:rsidP="00DC6D62">
      <w:pPr>
        <w:pStyle w:val="BodyText"/>
        <w:ind w:left="720"/>
      </w:pPr>
      <w:proofErr w:type="gramStart"/>
      <w:r>
        <w:t>payments</w:t>
      </w:r>
      <w:proofErr w:type="gramEnd"/>
      <w:r>
        <w:t xml:space="preserve"> for, 7</w:t>
      </w:r>
    </w:p>
    <w:p w:rsidR="008E273C" w:rsidRDefault="008E273C" w:rsidP="00DC6D62">
      <w:pPr>
        <w:pStyle w:val="BodyText"/>
      </w:pPr>
      <w:proofErr w:type="spellStart"/>
      <w:r>
        <w:t>JobSeeker</w:t>
      </w:r>
      <w:proofErr w:type="spellEnd"/>
      <w:r>
        <w:t xml:space="preserve"> payment, x, xv, 5, 12–13</w:t>
      </w:r>
    </w:p>
    <w:p w:rsidR="008E273C" w:rsidRDefault="008E273C" w:rsidP="00DC6D62">
      <w:pPr>
        <w:pStyle w:val="BodyText"/>
        <w:ind w:left="720"/>
      </w:pPr>
      <w:proofErr w:type="gramStart"/>
      <w:r>
        <w:t>claims</w:t>
      </w:r>
      <w:proofErr w:type="gramEnd"/>
      <w:r>
        <w:t xml:space="preserve"> finalised, 2019–20, 7</w:t>
      </w:r>
    </w:p>
    <w:p w:rsidR="008E273C" w:rsidRDefault="008E273C" w:rsidP="00DC6D62">
      <w:pPr>
        <w:pStyle w:val="BodyText"/>
      </w:pPr>
      <w:proofErr w:type="gramStart"/>
      <w:r>
        <w:t>judicial</w:t>
      </w:r>
      <w:proofErr w:type="gramEnd"/>
      <w:r>
        <w:t xml:space="preserve"> decisions, 171</w:t>
      </w:r>
    </w:p>
    <w:p w:rsidR="008E273C" w:rsidRPr="00DC6D62" w:rsidRDefault="008E273C" w:rsidP="00DC6D62">
      <w:pPr>
        <w:pStyle w:val="BodyText"/>
        <w:rPr>
          <w:b/>
        </w:rPr>
      </w:pPr>
      <w:r w:rsidRPr="00DC6D62">
        <w:rPr>
          <w:b/>
        </w:rPr>
        <w:t>K</w:t>
      </w:r>
    </w:p>
    <w:p w:rsidR="008E273C" w:rsidRDefault="008E273C" w:rsidP="00DC6D62">
      <w:pPr>
        <w:pStyle w:val="BodyText"/>
      </w:pPr>
      <w:proofErr w:type="gramStart"/>
      <w:r>
        <w:t>key</w:t>
      </w:r>
      <w:proofErr w:type="gramEnd"/>
      <w:r>
        <w:t xml:space="preserve"> management personnel, 228–9</w:t>
      </w:r>
    </w:p>
    <w:p w:rsidR="008E273C" w:rsidRDefault="008E273C" w:rsidP="00DC6D62">
      <w:pPr>
        <w:pStyle w:val="BodyText"/>
        <w:ind w:left="720"/>
      </w:pPr>
      <w:proofErr w:type="gramStart"/>
      <w:r>
        <w:t>remuneration</w:t>
      </w:r>
      <w:proofErr w:type="gramEnd"/>
      <w:r>
        <w:t>, 230–1</w:t>
      </w:r>
    </w:p>
    <w:p w:rsidR="008E273C" w:rsidRPr="00DC6D62" w:rsidRDefault="008E273C" w:rsidP="00DC6D62">
      <w:pPr>
        <w:pStyle w:val="BodyText"/>
        <w:rPr>
          <w:b/>
        </w:rPr>
      </w:pPr>
      <w:r w:rsidRPr="00DC6D62">
        <w:rPr>
          <w:b/>
        </w:rPr>
        <w:t>L</w:t>
      </w:r>
    </w:p>
    <w:p w:rsidR="008E273C" w:rsidRDefault="008E273C" w:rsidP="00DC6D62">
      <w:pPr>
        <w:pStyle w:val="BodyText"/>
      </w:pPr>
      <w:proofErr w:type="gramStart"/>
      <w:r>
        <w:t>languages</w:t>
      </w:r>
      <w:proofErr w:type="gramEnd"/>
      <w:r>
        <w:t xml:space="preserve"> other than English, 44–6, 183 </w:t>
      </w:r>
      <w:r>
        <w:rPr>
          <w:rFonts w:ascii="Roboto-Italic" w:hAnsi="Roboto-Italic" w:cs="Roboto-Italic"/>
          <w:i/>
          <w:iCs/>
        </w:rPr>
        <w:t>see also</w:t>
      </w:r>
      <w:r>
        <w:t xml:space="preserve"> multicultural services</w:t>
      </w:r>
    </w:p>
    <w:p w:rsidR="008E273C" w:rsidRDefault="008E273C" w:rsidP="00DC6D62">
      <w:pPr>
        <w:pStyle w:val="BodyText"/>
      </w:pPr>
      <w:proofErr w:type="gramStart"/>
      <w:r>
        <w:t>leadership</w:t>
      </w:r>
      <w:proofErr w:type="gramEnd"/>
      <w:r>
        <w:t xml:space="preserve"> changes, xii</w:t>
      </w:r>
    </w:p>
    <w:p w:rsidR="008E273C" w:rsidRDefault="008E273C" w:rsidP="00DC6D62">
      <w:pPr>
        <w:pStyle w:val="BodyText"/>
      </w:pPr>
      <w:proofErr w:type="gramStart"/>
      <w:r>
        <w:t>leadership</w:t>
      </w:r>
      <w:proofErr w:type="gramEnd"/>
      <w:r>
        <w:t xml:space="preserve"> development, 188</w:t>
      </w:r>
    </w:p>
    <w:p w:rsidR="008E273C" w:rsidRDefault="008E273C" w:rsidP="00DC6D62">
      <w:pPr>
        <w:pStyle w:val="BodyText"/>
      </w:pPr>
      <w:proofErr w:type="gramStart"/>
      <w:r>
        <w:t>learning</w:t>
      </w:r>
      <w:proofErr w:type="gramEnd"/>
      <w:r>
        <w:t xml:space="preserve"> and development, staff, 187–9</w:t>
      </w:r>
    </w:p>
    <w:p w:rsidR="008E273C" w:rsidRDefault="008E273C" w:rsidP="00DC6D62">
      <w:pPr>
        <w:pStyle w:val="BodyText"/>
      </w:pPr>
      <w:r>
        <w:t>LGBTI+ networks and resources, 184</w:t>
      </w:r>
    </w:p>
    <w:p w:rsidR="008E273C" w:rsidRDefault="008E273C" w:rsidP="00DC6D62">
      <w:pPr>
        <w:pStyle w:val="BodyText"/>
      </w:pPr>
      <w:r>
        <w:t>Low Income Card, 7</w:t>
      </w:r>
    </w:p>
    <w:p w:rsidR="008E273C" w:rsidRPr="00DC6D62" w:rsidRDefault="008E273C" w:rsidP="00DC6D62">
      <w:pPr>
        <w:pStyle w:val="BodyText"/>
        <w:rPr>
          <w:b/>
        </w:rPr>
      </w:pPr>
      <w:r w:rsidRPr="00DC6D62">
        <w:rPr>
          <w:b/>
        </w:rPr>
        <w:t>M</w:t>
      </w:r>
    </w:p>
    <w:p w:rsidR="008E273C" w:rsidRDefault="008E273C" w:rsidP="00DC6D62">
      <w:pPr>
        <w:pStyle w:val="BodyText"/>
      </w:pPr>
      <w:proofErr w:type="gramStart"/>
      <w:r>
        <w:t>machinery</w:t>
      </w:r>
      <w:proofErr w:type="gramEnd"/>
      <w:r>
        <w:t xml:space="preserve"> of government changes, 70</w:t>
      </w:r>
    </w:p>
    <w:p w:rsidR="008E273C" w:rsidRDefault="008E273C" w:rsidP="00DC6D62">
      <w:pPr>
        <w:pStyle w:val="BodyText"/>
      </w:pPr>
      <w:proofErr w:type="gramStart"/>
      <w:r>
        <w:t>market</w:t>
      </w:r>
      <w:proofErr w:type="gramEnd"/>
      <w:r>
        <w:t xml:space="preserve"> research </w:t>
      </w:r>
      <w:r>
        <w:rPr>
          <w:rFonts w:ascii="Roboto-Italic" w:hAnsi="Roboto-Italic" w:cs="Roboto-Italic"/>
          <w:i/>
          <w:iCs/>
        </w:rPr>
        <w:t>see</w:t>
      </w:r>
      <w:r>
        <w:t xml:space="preserve"> advertising and market research</w:t>
      </w:r>
    </w:p>
    <w:p w:rsidR="008E273C" w:rsidRDefault="008E273C" w:rsidP="00DC6D62">
      <w:pPr>
        <w:pStyle w:val="BodyText"/>
      </w:pPr>
      <w:proofErr w:type="gramStart"/>
      <w:r>
        <w:t>medical</w:t>
      </w:r>
      <w:proofErr w:type="gramEnd"/>
      <w:r>
        <w:t xml:space="preserve"> assessments </w:t>
      </w:r>
      <w:r>
        <w:rPr>
          <w:rFonts w:ascii="Roboto-Italic" w:hAnsi="Roboto-Italic" w:cs="Roboto-Italic"/>
          <w:i/>
          <w:iCs/>
        </w:rPr>
        <w:t>see</w:t>
      </w:r>
      <w:r>
        <w:t xml:space="preserve"> assessment services</w:t>
      </w:r>
    </w:p>
    <w:p w:rsidR="008E273C" w:rsidRDefault="008E273C" w:rsidP="00DC6D62">
      <w:pPr>
        <w:pStyle w:val="BodyText"/>
      </w:pPr>
      <w:proofErr w:type="gramStart"/>
      <w:r>
        <w:t>medical</w:t>
      </w:r>
      <w:proofErr w:type="gramEnd"/>
      <w:r>
        <w:t xml:space="preserve"> indemnity, 33–5</w:t>
      </w:r>
    </w:p>
    <w:p w:rsidR="008E273C" w:rsidRDefault="008E273C" w:rsidP="00DC6D62">
      <w:pPr>
        <w:pStyle w:val="BodyText"/>
      </w:pPr>
      <w:proofErr w:type="gramStart"/>
      <w:r>
        <w:t>medical</w:t>
      </w:r>
      <w:proofErr w:type="gramEnd"/>
      <w:r>
        <w:t xml:space="preserve"> interns, 5</w:t>
      </w:r>
    </w:p>
    <w:p w:rsidR="008E273C" w:rsidRDefault="008E273C" w:rsidP="00DC6D62">
      <w:pPr>
        <w:pStyle w:val="BodyText"/>
      </w:pPr>
      <w:r>
        <w:t>Medicare, 3, 16–23</w:t>
      </w:r>
    </w:p>
    <w:p w:rsidR="008E273C" w:rsidRDefault="008E273C" w:rsidP="00DC6D62">
      <w:pPr>
        <w:pStyle w:val="BodyText"/>
        <w:ind w:left="720"/>
      </w:pPr>
      <w:proofErr w:type="gramStart"/>
      <w:r>
        <w:t>agency</w:t>
      </w:r>
      <w:proofErr w:type="gramEnd"/>
      <w:r>
        <w:t xml:space="preserve"> service commitments, 109–13</w:t>
      </w:r>
    </w:p>
    <w:p w:rsidR="008E273C" w:rsidRDefault="008E273C" w:rsidP="00DC6D62">
      <w:pPr>
        <w:pStyle w:val="BodyText"/>
        <w:ind w:left="720"/>
      </w:pPr>
      <w:proofErr w:type="gramStart"/>
      <w:r>
        <w:t>enrolments</w:t>
      </w:r>
      <w:proofErr w:type="gramEnd"/>
      <w:r>
        <w:t>, 18</w:t>
      </w:r>
    </w:p>
    <w:p w:rsidR="008E273C" w:rsidRDefault="008E273C" w:rsidP="00DC6D62">
      <w:pPr>
        <w:pStyle w:val="BodyText"/>
        <w:ind w:left="720"/>
      </w:pPr>
      <w:proofErr w:type="gramStart"/>
      <w:r>
        <w:t>feedback</w:t>
      </w:r>
      <w:proofErr w:type="gramEnd"/>
      <w:r>
        <w:t xml:space="preserve"> on services, 113</w:t>
      </w:r>
    </w:p>
    <w:p w:rsidR="008E273C" w:rsidRDefault="008E273C" w:rsidP="00DC6D62">
      <w:pPr>
        <w:pStyle w:val="BodyText"/>
        <w:ind w:left="720"/>
      </w:pPr>
      <w:proofErr w:type="gramStart"/>
      <w:r>
        <w:t>performance</w:t>
      </w:r>
      <w:proofErr w:type="gramEnd"/>
      <w:r>
        <w:t xml:space="preserve"> results, 86–100</w:t>
      </w:r>
    </w:p>
    <w:p w:rsidR="008E273C" w:rsidRDefault="008E273C" w:rsidP="00DC6D62">
      <w:pPr>
        <w:pStyle w:val="BodyText"/>
        <w:ind w:left="720"/>
      </w:pPr>
      <w:proofErr w:type="gramStart"/>
      <w:r>
        <w:t>provider</w:t>
      </w:r>
      <w:proofErr w:type="gramEnd"/>
      <w:r>
        <w:t xml:space="preserve"> numbers, 22</w:t>
      </w:r>
    </w:p>
    <w:p w:rsidR="008E273C" w:rsidRDefault="008E273C" w:rsidP="00DC6D62">
      <w:pPr>
        <w:pStyle w:val="BodyText"/>
        <w:ind w:left="720"/>
      </w:pPr>
      <w:proofErr w:type="gramStart"/>
      <w:r>
        <w:t>statistics</w:t>
      </w:r>
      <w:proofErr w:type="gramEnd"/>
      <w:r>
        <w:t>, 20–1</w:t>
      </w:r>
    </w:p>
    <w:p w:rsidR="008E273C" w:rsidRDefault="008E273C" w:rsidP="00DC6D62">
      <w:pPr>
        <w:pStyle w:val="BodyText"/>
        <w:ind w:left="720"/>
      </w:pPr>
      <w:proofErr w:type="gramStart"/>
      <w:r>
        <w:lastRenderedPageBreak/>
        <w:t>telehealth</w:t>
      </w:r>
      <w:proofErr w:type="gramEnd"/>
      <w:r>
        <w:t xml:space="preserve"> arrangements during COVID-19, 16–17</w:t>
      </w:r>
    </w:p>
    <w:p w:rsidR="008E273C" w:rsidRDefault="008E273C" w:rsidP="00DC6D62">
      <w:pPr>
        <w:pStyle w:val="BodyText"/>
      </w:pPr>
      <w:r>
        <w:t>Medicare Benefits Schedule, xvi, 16–17, 19</w:t>
      </w:r>
    </w:p>
    <w:p w:rsidR="008E273C" w:rsidRDefault="008E273C" w:rsidP="00DC6D62">
      <w:pPr>
        <w:pStyle w:val="BodyText"/>
      </w:pPr>
      <w:r>
        <w:t>Medicare Entitlement Statements, 18</w:t>
      </w:r>
    </w:p>
    <w:p w:rsidR="008E273C" w:rsidRDefault="008E273C" w:rsidP="00DC6D62">
      <w:pPr>
        <w:pStyle w:val="BodyText"/>
      </w:pPr>
      <w:r>
        <w:t>Medicare Safety Net, 18–19</w:t>
      </w:r>
    </w:p>
    <w:p w:rsidR="008E273C" w:rsidRDefault="008E273C" w:rsidP="00DC6D62">
      <w:pPr>
        <w:pStyle w:val="BodyText"/>
      </w:pPr>
      <w:proofErr w:type="gramStart"/>
      <w:r>
        <w:t>medicines</w:t>
      </w:r>
      <w:proofErr w:type="gramEnd"/>
      <w:r>
        <w:t>, 23–5</w:t>
      </w:r>
    </w:p>
    <w:p w:rsidR="008E273C" w:rsidRDefault="008E273C" w:rsidP="00DC6D62">
      <w:pPr>
        <w:pStyle w:val="BodyText"/>
      </w:pPr>
      <w:r>
        <w:t>Mental Health Safety Policy, 198</w:t>
      </w:r>
    </w:p>
    <w:p w:rsidR="008E273C" w:rsidRDefault="008E273C" w:rsidP="00DC6D62">
      <w:pPr>
        <w:pStyle w:val="BodyText"/>
      </w:pPr>
      <w:proofErr w:type="gramStart"/>
      <w:r>
        <w:t>merits</w:t>
      </w:r>
      <w:proofErr w:type="gramEnd"/>
      <w:r>
        <w:t xml:space="preserve"> review, 172</w:t>
      </w:r>
    </w:p>
    <w:p w:rsidR="008E273C" w:rsidRDefault="008E273C" w:rsidP="00DC6D62">
      <w:pPr>
        <w:pStyle w:val="BodyText"/>
      </w:pPr>
      <w:r>
        <w:t>MH17 Family Support Package, 49, 53</w:t>
      </w:r>
    </w:p>
    <w:p w:rsidR="008E273C" w:rsidRDefault="008E273C" w:rsidP="00DC6D62">
      <w:pPr>
        <w:pStyle w:val="BodyText"/>
      </w:pPr>
      <w:r>
        <w:t>Midwife Professional Indemnity Scheme, 35</w:t>
      </w:r>
    </w:p>
    <w:p w:rsidR="008E273C" w:rsidRDefault="008E273C" w:rsidP="00DC6D62">
      <w:pPr>
        <w:pStyle w:val="BodyText"/>
      </w:pPr>
      <w:r>
        <w:t>Minister for Families and Social Services, 163</w:t>
      </w:r>
    </w:p>
    <w:p w:rsidR="008E273C" w:rsidRDefault="008E273C" w:rsidP="00DC6D62">
      <w:pPr>
        <w:pStyle w:val="BodyText"/>
      </w:pPr>
      <w:r>
        <w:t>Minister for Government Services, 163</w:t>
      </w:r>
    </w:p>
    <w:p w:rsidR="008E273C" w:rsidRDefault="008E273C" w:rsidP="00DC6D62">
      <w:pPr>
        <w:pStyle w:val="BodyText"/>
      </w:pPr>
      <w:proofErr w:type="gramStart"/>
      <w:r>
        <w:t>mobile</w:t>
      </w:r>
      <w:proofErr w:type="gramEnd"/>
      <w:r>
        <w:t xml:space="preserve"> apps </w:t>
      </w:r>
      <w:r>
        <w:rPr>
          <w:rFonts w:ascii="Roboto-Italic" w:hAnsi="Roboto-Italic" w:cs="Roboto-Italic"/>
          <w:i/>
          <w:iCs/>
        </w:rPr>
        <w:t>see</w:t>
      </w:r>
      <w:r>
        <w:t xml:space="preserve"> Express Plus Centrelink mobile app; Express Plus Child Support mobile app; Express Plus Medicare mobile app</w:t>
      </w:r>
    </w:p>
    <w:p w:rsidR="008E273C" w:rsidRDefault="008E273C" w:rsidP="00DC6D62">
      <w:pPr>
        <w:pStyle w:val="BodyText"/>
      </w:pPr>
      <w:r>
        <w:t>Mobile Service Centres, xviii, 6, 42, 47, 49, 51</w:t>
      </w:r>
    </w:p>
    <w:p w:rsidR="008E273C" w:rsidRDefault="008E273C" w:rsidP="00DC6D62">
      <w:pPr>
        <w:pStyle w:val="BodyText"/>
      </w:pPr>
      <w:r>
        <w:t>Mobile Service Teams, 47, 49, 51</w:t>
      </w:r>
    </w:p>
    <w:p w:rsidR="008E273C" w:rsidRDefault="008E273C" w:rsidP="00DC6D62">
      <w:pPr>
        <w:pStyle w:val="BodyText"/>
      </w:pPr>
      <w:r>
        <w:t>Mobility Allowance, 7</w:t>
      </w:r>
    </w:p>
    <w:p w:rsidR="008E273C" w:rsidRDefault="008E273C" w:rsidP="00DC6D62">
      <w:pPr>
        <w:pStyle w:val="BodyText"/>
      </w:pPr>
      <w:proofErr w:type="gramStart"/>
      <w:r>
        <w:t>money</w:t>
      </w:r>
      <w:proofErr w:type="gramEnd"/>
      <w:r>
        <w:t xml:space="preserve"> management, 55–61</w:t>
      </w:r>
    </w:p>
    <w:p w:rsidR="008E273C" w:rsidRDefault="008E273C" w:rsidP="00DC6D62">
      <w:pPr>
        <w:pStyle w:val="BodyText"/>
      </w:pPr>
      <w:r>
        <w:t>Multicultural Access and Equity Policy, 44–5</w:t>
      </w:r>
    </w:p>
    <w:p w:rsidR="008E273C" w:rsidRDefault="008E273C" w:rsidP="00DC6D62">
      <w:pPr>
        <w:pStyle w:val="BodyText"/>
      </w:pPr>
      <w:r>
        <w:t>Multicultural Advisory Forums, 45</w:t>
      </w:r>
    </w:p>
    <w:p w:rsidR="008E273C" w:rsidRDefault="008E273C" w:rsidP="00DC6D62">
      <w:pPr>
        <w:pStyle w:val="BodyText"/>
      </w:pPr>
      <w:r>
        <w:t>Multicultural Community Engagement Group, 45</w:t>
      </w:r>
    </w:p>
    <w:p w:rsidR="008E273C" w:rsidRDefault="008E273C" w:rsidP="00DC6D62">
      <w:pPr>
        <w:pStyle w:val="BodyText"/>
      </w:pPr>
      <w:r>
        <w:t>Multicultural Service Officers, 44–5</w:t>
      </w:r>
    </w:p>
    <w:p w:rsidR="008E273C" w:rsidRDefault="008E273C" w:rsidP="00DC6D62">
      <w:pPr>
        <w:pStyle w:val="BodyText"/>
      </w:pPr>
      <w:proofErr w:type="gramStart"/>
      <w:r>
        <w:t>multicultural</w:t>
      </w:r>
      <w:proofErr w:type="gramEnd"/>
      <w:r>
        <w:t xml:space="preserve"> services, 3, 43–6</w:t>
      </w:r>
    </w:p>
    <w:p w:rsidR="008E273C" w:rsidRDefault="008E273C" w:rsidP="00DC6D62">
      <w:pPr>
        <w:pStyle w:val="BodyText"/>
      </w:pPr>
      <w:r>
        <w:t>Multicultural Servicing Strategy 2019–22, 44</w:t>
      </w:r>
    </w:p>
    <w:p w:rsidR="008E273C" w:rsidRDefault="008E273C" w:rsidP="00DC6D62">
      <w:pPr>
        <w:pStyle w:val="BodyText"/>
      </w:pPr>
      <w:proofErr w:type="gramStart"/>
      <w:r>
        <w:t>mutual</w:t>
      </w:r>
      <w:proofErr w:type="gramEnd"/>
      <w:r>
        <w:t xml:space="preserve"> obligation requirements, xviii</w:t>
      </w:r>
    </w:p>
    <w:p w:rsidR="008E273C" w:rsidRDefault="008E273C" w:rsidP="00DC6D62">
      <w:pPr>
        <w:pStyle w:val="BodyText"/>
      </w:pPr>
      <w:r>
        <w:t>My Health Record, 35</w:t>
      </w:r>
    </w:p>
    <w:p w:rsidR="008E273C" w:rsidRDefault="008E273C" w:rsidP="00DC6D62">
      <w:pPr>
        <w:pStyle w:val="BodyText"/>
      </w:pPr>
      <w:proofErr w:type="spellStart"/>
      <w:proofErr w:type="gramStart"/>
      <w:r>
        <w:t>myGov</w:t>
      </w:r>
      <w:proofErr w:type="spellEnd"/>
      <w:proofErr w:type="gramEnd"/>
      <w:r>
        <w:t>, x, 2, 71, 192</w:t>
      </w:r>
    </w:p>
    <w:p w:rsidR="008E273C" w:rsidRDefault="008E273C" w:rsidP="00DC6D62">
      <w:pPr>
        <w:pStyle w:val="BodyText"/>
        <w:ind w:left="720"/>
      </w:pPr>
      <w:proofErr w:type="gramStart"/>
      <w:r>
        <w:t>new</w:t>
      </w:r>
      <w:proofErr w:type="gramEnd"/>
      <w:r>
        <w:t xml:space="preserve"> intention to claim feature, xvi</w:t>
      </w:r>
    </w:p>
    <w:p w:rsidR="008E273C" w:rsidRDefault="008E273C" w:rsidP="00DC6D62">
      <w:pPr>
        <w:pStyle w:val="BodyText"/>
      </w:pPr>
      <w:proofErr w:type="spellStart"/>
      <w:r>
        <w:t>MyGov</w:t>
      </w:r>
      <w:proofErr w:type="spellEnd"/>
      <w:r>
        <w:t>, 32</w:t>
      </w:r>
    </w:p>
    <w:p w:rsidR="008E273C" w:rsidRPr="00DC6D62" w:rsidRDefault="008E273C" w:rsidP="00DC6D62">
      <w:pPr>
        <w:pStyle w:val="BodyText"/>
        <w:rPr>
          <w:b/>
        </w:rPr>
      </w:pPr>
      <w:r w:rsidRPr="00DC6D62">
        <w:rPr>
          <w:b/>
        </w:rPr>
        <w:t>N</w:t>
      </w:r>
    </w:p>
    <w:p w:rsidR="008E273C" w:rsidRDefault="008E273C" w:rsidP="00DC6D62">
      <w:pPr>
        <w:pStyle w:val="BodyText"/>
      </w:pPr>
      <w:r>
        <w:lastRenderedPageBreak/>
        <w:t>National Anti-Racism Partnership, 183</w:t>
      </w:r>
    </w:p>
    <w:p w:rsidR="008E273C" w:rsidRDefault="008E273C" w:rsidP="00DC6D62">
      <w:pPr>
        <w:pStyle w:val="BodyText"/>
      </w:pPr>
      <w:r>
        <w:t>National Authentication Service for Health, 35</w:t>
      </w:r>
    </w:p>
    <w:p w:rsidR="008E273C" w:rsidRDefault="008E273C" w:rsidP="00DC6D62">
      <w:pPr>
        <w:pStyle w:val="BodyText"/>
      </w:pPr>
      <w:r>
        <w:t>National Bowel Cancer Screening Program, 31</w:t>
      </w:r>
    </w:p>
    <w:p w:rsidR="008E273C" w:rsidRDefault="008E273C" w:rsidP="00DC6D62">
      <w:pPr>
        <w:pStyle w:val="BodyText"/>
      </w:pPr>
      <w:r>
        <w:t>National Consultative Committee, 189</w:t>
      </w:r>
    </w:p>
    <w:p w:rsidR="008E273C" w:rsidRDefault="008E273C" w:rsidP="00DC6D62">
      <w:pPr>
        <w:pStyle w:val="BodyText"/>
      </w:pPr>
      <w:r>
        <w:t>National Disability Insurance Agency, 185</w:t>
      </w:r>
    </w:p>
    <w:p w:rsidR="008E273C" w:rsidRDefault="008E273C" w:rsidP="00DC6D62">
      <w:pPr>
        <w:pStyle w:val="BodyText"/>
      </w:pPr>
      <w:r>
        <w:t>National Emergency Call Centre Surge Capacity, 54, 192, 193</w:t>
      </w:r>
    </w:p>
    <w:p w:rsidR="008E273C" w:rsidRDefault="008E273C" w:rsidP="00DC6D62">
      <w:pPr>
        <w:pStyle w:val="BodyText"/>
      </w:pPr>
      <w:r>
        <w:t>National Graduate Program, 183, 184, 186</w:t>
      </w:r>
    </w:p>
    <w:p w:rsidR="008E273C" w:rsidRDefault="008E273C" w:rsidP="00DC6D62">
      <w:pPr>
        <w:pStyle w:val="BodyText"/>
      </w:pPr>
      <w:r>
        <w:t>National Health Funding Administrator Payments System, 33</w:t>
      </w:r>
    </w:p>
    <w:p w:rsidR="008E273C" w:rsidRDefault="008E273C" w:rsidP="00DC6D62">
      <w:pPr>
        <w:pStyle w:val="BodyText"/>
      </w:pPr>
      <w:r>
        <w:t>National Indigenous Coalition, 42</w:t>
      </w:r>
    </w:p>
    <w:p w:rsidR="008E273C" w:rsidRDefault="008E273C" w:rsidP="00DC6D62">
      <w:pPr>
        <w:pStyle w:val="BodyText"/>
      </w:pPr>
      <w:r>
        <w:t>National Leadership Programs, 188</w:t>
      </w:r>
    </w:p>
    <w:p w:rsidR="008E273C" w:rsidRDefault="008E273C" w:rsidP="00DC6D62">
      <w:pPr>
        <w:pStyle w:val="BodyText"/>
      </w:pPr>
      <w:r>
        <w:t>National Multicultural Advisory Group, 44–5</w:t>
      </w:r>
    </w:p>
    <w:p w:rsidR="008E273C" w:rsidRDefault="008E273C" w:rsidP="00DC6D62">
      <w:pPr>
        <w:pStyle w:val="BodyText"/>
      </w:pPr>
      <w:r>
        <w:t>National Security Hotline, 54</w:t>
      </w:r>
    </w:p>
    <w:p w:rsidR="008E273C" w:rsidRDefault="008E273C" w:rsidP="00DC6D62">
      <w:pPr>
        <w:pStyle w:val="BodyText"/>
      </w:pPr>
      <w:proofErr w:type="gramStart"/>
      <w:r>
        <w:t>natural</w:t>
      </w:r>
      <w:proofErr w:type="gramEnd"/>
      <w:r>
        <w:t xml:space="preserve"> disasters </w:t>
      </w:r>
      <w:r>
        <w:rPr>
          <w:rFonts w:ascii="Roboto-Italic" w:hAnsi="Roboto-Italic" w:cs="Roboto-Italic"/>
          <w:i/>
          <w:iCs/>
        </w:rPr>
        <w:t>see</w:t>
      </w:r>
      <w:r>
        <w:t xml:space="preserve"> emergency events, 2019–20; emergency payments and services</w:t>
      </w:r>
    </w:p>
    <w:p w:rsidR="008E273C" w:rsidRDefault="008E273C" w:rsidP="00DC6D62">
      <w:pPr>
        <w:pStyle w:val="BodyText"/>
      </w:pPr>
      <w:r>
        <w:t>New Payments Platform, xi, 49, 51</w:t>
      </w:r>
    </w:p>
    <w:p w:rsidR="008E273C" w:rsidRDefault="008E273C" w:rsidP="00DC6D62">
      <w:pPr>
        <w:pStyle w:val="BodyText"/>
      </w:pPr>
      <w:r>
        <w:t>New Zealand residents, payments for, 49, 52</w:t>
      </w:r>
    </w:p>
    <w:p w:rsidR="008E273C" w:rsidRDefault="008E273C" w:rsidP="00DC6D62">
      <w:pPr>
        <w:pStyle w:val="BodyText"/>
      </w:pPr>
      <w:proofErr w:type="gramStart"/>
      <w:r>
        <w:t>newborns</w:t>
      </w:r>
      <w:proofErr w:type="gramEnd"/>
      <w:r>
        <w:t xml:space="preserve"> and newly adopted children, 11</w:t>
      </w:r>
    </w:p>
    <w:p w:rsidR="008E273C" w:rsidRDefault="008E273C" w:rsidP="00DC6D62">
      <w:pPr>
        <w:pStyle w:val="BodyText"/>
      </w:pPr>
      <w:proofErr w:type="spellStart"/>
      <w:r>
        <w:t>Newstart</w:t>
      </w:r>
      <w:proofErr w:type="spellEnd"/>
      <w:r>
        <w:t xml:space="preserve"> Allowance, 7</w:t>
      </w:r>
    </w:p>
    <w:p w:rsidR="008E273C" w:rsidRDefault="008E273C" w:rsidP="00DC6D62">
      <w:pPr>
        <w:pStyle w:val="BodyText"/>
      </w:pPr>
      <w:r>
        <w:t>No Jab No Pay and Healthy Start for School, 12</w:t>
      </w:r>
    </w:p>
    <w:p w:rsidR="008E273C" w:rsidRDefault="008E273C" w:rsidP="00DC6D62">
      <w:pPr>
        <w:pStyle w:val="BodyText"/>
      </w:pPr>
      <w:proofErr w:type="gramStart"/>
      <w:r>
        <w:t>non-salary</w:t>
      </w:r>
      <w:proofErr w:type="gramEnd"/>
      <w:r>
        <w:t xml:space="preserve"> benefits, 228</w:t>
      </w:r>
    </w:p>
    <w:p w:rsidR="008E273C" w:rsidRDefault="008E273C" w:rsidP="00DC6D62">
      <w:pPr>
        <w:pStyle w:val="BodyText"/>
      </w:pPr>
      <w:proofErr w:type="gramStart"/>
      <w:r>
        <w:t>notifiable</w:t>
      </w:r>
      <w:proofErr w:type="gramEnd"/>
      <w:r>
        <w:t xml:space="preserve"> incidents, 199</w:t>
      </w:r>
    </w:p>
    <w:p w:rsidR="008E273C" w:rsidRPr="00DC6D62" w:rsidRDefault="008E273C" w:rsidP="00DC6D62">
      <w:pPr>
        <w:pStyle w:val="BodyText"/>
        <w:rPr>
          <w:b/>
        </w:rPr>
      </w:pPr>
      <w:r w:rsidRPr="00DC6D62">
        <w:rPr>
          <w:b/>
        </w:rPr>
        <w:t>O</w:t>
      </w:r>
    </w:p>
    <w:p w:rsidR="008E273C" w:rsidRDefault="008E273C" w:rsidP="00DC6D62">
      <w:pPr>
        <w:pStyle w:val="BodyText"/>
      </w:pPr>
      <w:r>
        <w:t>Office in a Box kits, xviii</w:t>
      </w:r>
    </w:p>
    <w:p w:rsidR="008E273C" w:rsidRDefault="008E273C" w:rsidP="00DC6D62">
      <w:pPr>
        <w:pStyle w:val="BodyText"/>
      </w:pPr>
      <w:proofErr w:type="gramStart"/>
      <w:r>
        <w:t>older</w:t>
      </w:r>
      <w:proofErr w:type="gramEnd"/>
      <w:r>
        <w:t xml:space="preserve"> Australians</w:t>
      </w:r>
    </w:p>
    <w:p w:rsidR="008E273C" w:rsidRDefault="008E273C" w:rsidP="00DC6D62">
      <w:pPr>
        <w:pStyle w:val="BodyText"/>
        <w:ind w:left="720"/>
      </w:pPr>
      <w:proofErr w:type="gramStart"/>
      <w:r>
        <w:t>online</w:t>
      </w:r>
      <w:proofErr w:type="gramEnd"/>
      <w:r>
        <w:t xml:space="preserve"> claims, 4–5</w:t>
      </w:r>
    </w:p>
    <w:p w:rsidR="008E273C" w:rsidRDefault="008E273C" w:rsidP="00DC6D62">
      <w:pPr>
        <w:pStyle w:val="BodyText"/>
        <w:ind w:left="720"/>
      </w:pPr>
      <w:proofErr w:type="gramStart"/>
      <w:r>
        <w:t>payments</w:t>
      </w:r>
      <w:proofErr w:type="gramEnd"/>
      <w:r>
        <w:t xml:space="preserve"> for, 7–8</w:t>
      </w:r>
    </w:p>
    <w:p w:rsidR="008E273C" w:rsidRDefault="008E273C" w:rsidP="00DC6D62">
      <w:pPr>
        <w:pStyle w:val="BodyText"/>
      </w:pPr>
      <w:proofErr w:type="gramStart"/>
      <w:r>
        <w:t>online</w:t>
      </w:r>
      <w:proofErr w:type="gramEnd"/>
      <w:r>
        <w:t xml:space="preserve"> services </w:t>
      </w:r>
      <w:r>
        <w:rPr>
          <w:rFonts w:ascii="Roboto-Italic" w:hAnsi="Roboto-Italic" w:cs="Roboto-Italic"/>
          <w:i/>
          <w:iCs/>
        </w:rPr>
        <w:t>see</w:t>
      </w:r>
      <w:r>
        <w:t xml:space="preserve"> digital and online services</w:t>
      </w:r>
    </w:p>
    <w:p w:rsidR="008E273C" w:rsidRDefault="008E273C" w:rsidP="00DC6D62">
      <w:pPr>
        <w:pStyle w:val="BodyText"/>
      </w:pPr>
      <w:proofErr w:type="gramStart"/>
      <w:r>
        <w:t>operating</w:t>
      </w:r>
      <w:proofErr w:type="gramEnd"/>
      <w:r>
        <w:t xml:space="preserve"> surplus, xii</w:t>
      </w:r>
    </w:p>
    <w:p w:rsidR="008E273C" w:rsidRDefault="008E273C" w:rsidP="00DC6D62">
      <w:pPr>
        <w:pStyle w:val="BodyText"/>
      </w:pPr>
      <w:proofErr w:type="gramStart"/>
      <w:r>
        <w:t>operational</w:t>
      </w:r>
      <w:proofErr w:type="gramEnd"/>
      <w:r>
        <w:t xml:space="preserve"> snapshot, xiii–xiv</w:t>
      </w:r>
    </w:p>
    <w:p w:rsidR="008E273C" w:rsidRDefault="008E273C" w:rsidP="00DC6D62">
      <w:pPr>
        <w:pStyle w:val="BodyText"/>
      </w:pPr>
      <w:proofErr w:type="gramStart"/>
      <w:r>
        <w:t>organ</w:t>
      </w:r>
      <w:proofErr w:type="gramEnd"/>
      <w:r>
        <w:t xml:space="preserve"> donation, 32–3</w:t>
      </w:r>
    </w:p>
    <w:p w:rsidR="008E273C" w:rsidRDefault="008E273C" w:rsidP="00DC6D62">
      <w:pPr>
        <w:pStyle w:val="BodyText"/>
      </w:pPr>
      <w:proofErr w:type="gramStart"/>
      <w:r>
        <w:lastRenderedPageBreak/>
        <w:t>organisational</w:t>
      </w:r>
      <w:proofErr w:type="gramEnd"/>
      <w:r>
        <w:t xml:space="preserve"> structure, 177–9</w:t>
      </w:r>
    </w:p>
    <w:p w:rsidR="008E273C" w:rsidRDefault="008E273C" w:rsidP="00DC6D62">
      <w:pPr>
        <w:pStyle w:val="BodyText"/>
      </w:pPr>
      <w:proofErr w:type="gramStart"/>
      <w:r>
        <w:t>outcome</w:t>
      </w:r>
      <w:proofErr w:type="gramEnd"/>
      <w:r>
        <w:t>, 70, 162–3</w:t>
      </w:r>
    </w:p>
    <w:p w:rsidR="008E273C" w:rsidRPr="00DC6D62" w:rsidRDefault="008E273C" w:rsidP="00DC6D62">
      <w:pPr>
        <w:pStyle w:val="BodyText"/>
        <w:rPr>
          <w:b/>
        </w:rPr>
      </w:pPr>
      <w:r w:rsidRPr="00DC6D62">
        <w:rPr>
          <w:b/>
        </w:rPr>
        <w:t>P</w:t>
      </w:r>
    </w:p>
    <w:p w:rsidR="008E273C" w:rsidRDefault="008E273C" w:rsidP="00DC6D62">
      <w:pPr>
        <w:pStyle w:val="BodyText"/>
      </w:pPr>
      <w:r>
        <w:t>Paid Parental Leave, 11</w:t>
      </w:r>
    </w:p>
    <w:p w:rsidR="008E273C" w:rsidRDefault="008E273C" w:rsidP="00DC6D62">
      <w:pPr>
        <w:pStyle w:val="BodyText"/>
        <w:ind w:left="720"/>
      </w:pPr>
      <w:proofErr w:type="gramStart"/>
      <w:r>
        <w:t>claims</w:t>
      </w:r>
      <w:proofErr w:type="gramEnd"/>
      <w:r>
        <w:t xml:space="preserve"> finalised, 2019–20, 7</w:t>
      </w:r>
    </w:p>
    <w:p w:rsidR="008E273C" w:rsidRDefault="008E273C" w:rsidP="00DC6D62">
      <w:pPr>
        <w:pStyle w:val="BodyText"/>
      </w:pPr>
      <w:r>
        <w:t>Parenting Payment, 7–8</w:t>
      </w:r>
    </w:p>
    <w:p w:rsidR="008E273C" w:rsidRDefault="008E273C" w:rsidP="00DC6D62">
      <w:pPr>
        <w:pStyle w:val="BodyText"/>
      </w:pPr>
      <w:proofErr w:type="gramStart"/>
      <w:r>
        <w:t>parliamentary</w:t>
      </w:r>
      <w:proofErr w:type="gramEnd"/>
      <w:r>
        <w:t xml:space="preserve"> committee reports, 173–6</w:t>
      </w:r>
    </w:p>
    <w:p w:rsidR="008E273C" w:rsidRDefault="008E273C" w:rsidP="00DC6D62">
      <w:pPr>
        <w:pStyle w:val="BodyText"/>
      </w:pPr>
      <w:proofErr w:type="gramStart"/>
      <w:r>
        <w:t>partnerships</w:t>
      </w:r>
      <w:proofErr w:type="gramEnd"/>
      <w:r>
        <w:t xml:space="preserve"> and collaboration, 5, 35, 63–4, 192–3</w:t>
      </w:r>
    </w:p>
    <w:p w:rsidR="008E273C" w:rsidRDefault="008E273C" w:rsidP="00DC6D62">
      <w:pPr>
        <w:pStyle w:val="BodyText"/>
      </w:pPr>
      <w:proofErr w:type="gramStart"/>
      <w:r>
        <w:t>payment</w:t>
      </w:r>
      <w:proofErr w:type="gramEnd"/>
      <w:r>
        <w:t xml:space="preserve"> accuracy and correctness, 66–7</w:t>
      </w:r>
    </w:p>
    <w:p w:rsidR="008E273C" w:rsidRDefault="008E273C" w:rsidP="00DC6D62">
      <w:pPr>
        <w:pStyle w:val="BodyText"/>
        <w:ind w:left="720"/>
      </w:pPr>
      <w:proofErr w:type="gramStart"/>
      <w:r>
        <w:t>performance</w:t>
      </w:r>
      <w:proofErr w:type="gramEnd"/>
      <w:r>
        <w:t xml:space="preserve"> results, 2019–20, 79–80, 84–5, 94, 109</w:t>
      </w:r>
    </w:p>
    <w:p w:rsidR="008E273C" w:rsidRDefault="008E273C" w:rsidP="00DC6D62">
      <w:pPr>
        <w:pStyle w:val="BodyText"/>
      </w:pPr>
      <w:r>
        <w:t>Payment and Service Finder tool, xi</w:t>
      </w:r>
    </w:p>
    <w:p w:rsidR="008E273C" w:rsidRDefault="008E273C" w:rsidP="00DC6D62">
      <w:pPr>
        <w:pStyle w:val="BodyText"/>
      </w:pPr>
      <w:proofErr w:type="gramStart"/>
      <w:r>
        <w:t>payment</w:t>
      </w:r>
      <w:proofErr w:type="gramEnd"/>
      <w:r>
        <w:t xml:space="preserve"> portability, 60</w:t>
      </w:r>
    </w:p>
    <w:p w:rsidR="008E273C" w:rsidRDefault="008E273C" w:rsidP="00DC6D62">
      <w:pPr>
        <w:pStyle w:val="BodyText"/>
      </w:pPr>
      <w:proofErr w:type="gramStart"/>
      <w:r>
        <w:t>payments</w:t>
      </w:r>
      <w:proofErr w:type="gramEnd"/>
      <w:r>
        <w:t xml:space="preserve"> and services</w:t>
      </w:r>
    </w:p>
    <w:p w:rsidR="008E273C" w:rsidRDefault="008E273C" w:rsidP="00DC6D62">
      <w:pPr>
        <w:pStyle w:val="BodyText"/>
        <w:ind w:left="720"/>
      </w:pPr>
      <w:proofErr w:type="gramStart"/>
      <w:r>
        <w:t>customer</w:t>
      </w:r>
      <w:proofErr w:type="gramEnd"/>
      <w:r>
        <w:t xml:space="preserve"> experience service improvements, 4–5</w:t>
      </w:r>
    </w:p>
    <w:p w:rsidR="008E273C" w:rsidRDefault="008E273C" w:rsidP="00DC6D62">
      <w:pPr>
        <w:pStyle w:val="BodyText"/>
        <w:ind w:left="720"/>
      </w:pPr>
      <w:proofErr w:type="gramStart"/>
      <w:r>
        <w:t>delivery</w:t>
      </w:r>
      <w:proofErr w:type="gramEnd"/>
      <w:r>
        <w:t xml:space="preserve"> of, 2–3</w:t>
      </w:r>
    </w:p>
    <w:p w:rsidR="008E273C" w:rsidRDefault="008E273C" w:rsidP="00DC6D62">
      <w:pPr>
        <w:pStyle w:val="BodyText"/>
        <w:ind w:left="720"/>
      </w:pPr>
      <w:proofErr w:type="gramStart"/>
      <w:r>
        <w:t>claims</w:t>
      </w:r>
      <w:proofErr w:type="gramEnd"/>
      <w:r>
        <w:t xml:space="preserve"> finalised, 2019–20, 7–8</w:t>
      </w:r>
    </w:p>
    <w:p w:rsidR="008E273C" w:rsidRDefault="008E273C" w:rsidP="00DC6D62">
      <w:pPr>
        <w:pStyle w:val="BodyText"/>
      </w:pPr>
      <w:r>
        <w:t>PBS Safety Net, 24</w:t>
      </w:r>
    </w:p>
    <w:p w:rsidR="008E273C" w:rsidRDefault="008E273C" w:rsidP="00DC6D62">
      <w:pPr>
        <w:pStyle w:val="BodyText"/>
      </w:pPr>
      <w:proofErr w:type="gramStart"/>
      <w:r>
        <w:t>peak</w:t>
      </w:r>
      <w:proofErr w:type="gramEnd"/>
      <w:r>
        <w:t xml:space="preserve"> body partnerships, 193</w:t>
      </w:r>
    </w:p>
    <w:p w:rsidR="008E273C" w:rsidRDefault="008E273C" w:rsidP="00DC6D62">
      <w:pPr>
        <w:pStyle w:val="BodyText"/>
      </w:pPr>
      <w:r>
        <w:t>Pension Concession Card, 8</w:t>
      </w:r>
    </w:p>
    <w:p w:rsidR="008E273C" w:rsidRDefault="008E273C" w:rsidP="00DC6D62">
      <w:pPr>
        <w:pStyle w:val="BodyText"/>
      </w:pPr>
      <w:r>
        <w:t>Pensioner Education Supplement, 8</w:t>
      </w:r>
    </w:p>
    <w:p w:rsidR="008E273C" w:rsidRDefault="008E273C" w:rsidP="00DC6D62">
      <w:pPr>
        <w:pStyle w:val="BodyText"/>
      </w:pPr>
      <w:proofErr w:type="gramStart"/>
      <w:r>
        <w:t>performance</w:t>
      </w:r>
      <w:proofErr w:type="gramEnd"/>
      <w:r>
        <w:t xml:space="preserve"> management, 187</w:t>
      </w:r>
    </w:p>
    <w:p w:rsidR="008E273C" w:rsidRDefault="008E273C" w:rsidP="00DC6D62">
      <w:pPr>
        <w:pStyle w:val="BodyText"/>
      </w:pPr>
      <w:proofErr w:type="gramStart"/>
      <w:r>
        <w:t>performance</w:t>
      </w:r>
      <w:proofErr w:type="gramEnd"/>
      <w:r>
        <w:t xml:space="preserve"> pay, 190, 214</w:t>
      </w:r>
    </w:p>
    <w:p w:rsidR="008E273C" w:rsidRDefault="008E273C" w:rsidP="00DC6D62">
      <w:pPr>
        <w:pStyle w:val="BodyText"/>
      </w:pPr>
      <w:proofErr w:type="gramStart"/>
      <w:r>
        <w:t>performance</w:t>
      </w:r>
      <w:proofErr w:type="gramEnd"/>
      <w:r>
        <w:t xml:space="preserve"> reporting, 70–114</w:t>
      </w:r>
    </w:p>
    <w:p w:rsidR="008E273C" w:rsidRDefault="008E273C" w:rsidP="00DC6D62">
      <w:pPr>
        <w:pStyle w:val="BodyText"/>
      </w:pPr>
      <w:proofErr w:type="gramStart"/>
      <w:r>
        <w:t>performance</w:t>
      </w:r>
      <w:proofErr w:type="gramEnd"/>
      <w:r>
        <w:t xml:space="preserve"> summary, 70–2</w:t>
      </w:r>
    </w:p>
    <w:p w:rsidR="008E273C" w:rsidRDefault="008E273C" w:rsidP="00DC6D62">
      <w:pPr>
        <w:pStyle w:val="BodyText"/>
      </w:pPr>
      <w:r>
        <w:t>Pharmaceutical Benefits Scheme, 23–5</w:t>
      </w:r>
    </w:p>
    <w:p w:rsidR="008E273C" w:rsidRDefault="008E273C" w:rsidP="00DC6D62">
      <w:pPr>
        <w:pStyle w:val="BodyText"/>
        <w:ind w:left="720"/>
      </w:pPr>
      <w:proofErr w:type="gramStart"/>
      <w:r>
        <w:t>authority-required</w:t>
      </w:r>
      <w:proofErr w:type="gramEnd"/>
      <w:r>
        <w:t xml:space="preserve"> medicines, 25</w:t>
      </w:r>
    </w:p>
    <w:p w:rsidR="008E273C" w:rsidRDefault="008E273C" w:rsidP="00DC6D62">
      <w:pPr>
        <w:pStyle w:val="BodyText"/>
        <w:ind w:left="720"/>
      </w:pPr>
      <w:proofErr w:type="gramStart"/>
      <w:r>
        <w:t>expenditure</w:t>
      </w:r>
      <w:proofErr w:type="gramEnd"/>
      <w:r>
        <w:t>, 23</w:t>
      </w:r>
    </w:p>
    <w:p w:rsidR="008E273C" w:rsidRDefault="008E273C" w:rsidP="00DC6D62">
      <w:pPr>
        <w:pStyle w:val="BodyText"/>
        <w:ind w:left="720"/>
      </w:pPr>
      <w:r>
        <w:t>Indigenous access to, 24</w:t>
      </w:r>
    </w:p>
    <w:p w:rsidR="008E273C" w:rsidRDefault="008E273C" w:rsidP="00DC6D62">
      <w:pPr>
        <w:pStyle w:val="BodyText"/>
        <w:ind w:left="720"/>
      </w:pPr>
      <w:proofErr w:type="gramStart"/>
      <w:r>
        <w:t>online</w:t>
      </w:r>
      <w:proofErr w:type="gramEnd"/>
      <w:r>
        <w:t xml:space="preserve"> claiming, 25</w:t>
      </w:r>
    </w:p>
    <w:p w:rsidR="008E273C" w:rsidRDefault="008E273C" w:rsidP="00DC6D62">
      <w:pPr>
        <w:pStyle w:val="BodyText"/>
        <w:ind w:left="720"/>
      </w:pPr>
      <w:proofErr w:type="gramStart"/>
      <w:r>
        <w:lastRenderedPageBreak/>
        <w:t>rates</w:t>
      </w:r>
      <w:proofErr w:type="gramEnd"/>
      <w:r>
        <w:t>, 24</w:t>
      </w:r>
    </w:p>
    <w:p w:rsidR="008E273C" w:rsidRDefault="008E273C" w:rsidP="00DC6D62">
      <w:pPr>
        <w:pStyle w:val="BodyText"/>
        <w:ind w:left="720"/>
      </w:pPr>
      <w:r>
        <w:t>Safety Net, 24</w:t>
      </w:r>
    </w:p>
    <w:p w:rsidR="008E273C" w:rsidRDefault="008E273C" w:rsidP="00DC6D62">
      <w:pPr>
        <w:pStyle w:val="BodyText"/>
        <w:ind w:left="720"/>
      </w:pPr>
      <w:proofErr w:type="gramStart"/>
      <w:r>
        <w:t>travelling</w:t>
      </w:r>
      <w:proofErr w:type="gramEnd"/>
      <w:r>
        <w:t xml:space="preserve"> with PBS medicines, 25</w:t>
      </w:r>
    </w:p>
    <w:p w:rsidR="008E273C" w:rsidRDefault="008E273C" w:rsidP="00DC6D62">
      <w:pPr>
        <w:pStyle w:val="BodyText"/>
      </w:pPr>
      <w:proofErr w:type="gramStart"/>
      <w:r>
        <w:t>portfolio</w:t>
      </w:r>
      <w:proofErr w:type="gramEnd"/>
      <w:r>
        <w:t xml:space="preserve"> structure, 162</w:t>
      </w:r>
    </w:p>
    <w:p w:rsidR="008E273C" w:rsidRDefault="008E273C" w:rsidP="00DC6D62">
      <w:pPr>
        <w:pStyle w:val="BodyText"/>
      </w:pPr>
      <w:r>
        <w:t>Practice Incentives Program, xvi, 30</w:t>
      </w:r>
    </w:p>
    <w:p w:rsidR="008E273C" w:rsidRDefault="008E273C" w:rsidP="00DC6D62">
      <w:pPr>
        <w:pStyle w:val="BodyText"/>
      </w:pPr>
      <w:r>
        <w:t>Practice Nurse Incentives Program, 30</w:t>
      </w:r>
    </w:p>
    <w:p w:rsidR="008E273C" w:rsidRDefault="008E273C" w:rsidP="00DC6D62">
      <w:pPr>
        <w:pStyle w:val="BodyText"/>
      </w:pPr>
      <w:proofErr w:type="gramStart"/>
      <w:r>
        <w:t>pre-filled</w:t>
      </w:r>
      <w:proofErr w:type="gramEnd"/>
      <w:r>
        <w:t xml:space="preserve"> digital forms, xi</w:t>
      </w:r>
    </w:p>
    <w:p w:rsidR="008E273C" w:rsidRDefault="008E273C" w:rsidP="00DC6D62">
      <w:pPr>
        <w:pStyle w:val="BodyText"/>
      </w:pPr>
      <w:r>
        <w:t>Premium Support Scheme, 34</w:t>
      </w:r>
    </w:p>
    <w:p w:rsidR="008E273C" w:rsidRDefault="008E273C" w:rsidP="00DC6D62">
      <w:pPr>
        <w:pStyle w:val="BodyText"/>
      </w:pPr>
      <w:proofErr w:type="gramStart"/>
      <w:r>
        <w:t>prisoners</w:t>
      </w:r>
      <w:proofErr w:type="gramEnd"/>
      <w:r>
        <w:t xml:space="preserve"> </w:t>
      </w:r>
      <w:r>
        <w:rPr>
          <w:rFonts w:ascii="Roboto-Italic" w:hAnsi="Roboto-Italic" w:cs="Roboto-Italic"/>
          <w:i/>
          <w:iCs/>
        </w:rPr>
        <w:t>see</w:t>
      </w:r>
      <w:r>
        <w:t xml:space="preserve"> incarcerated customers</w:t>
      </w:r>
    </w:p>
    <w:p w:rsidR="008E273C" w:rsidRDefault="008E273C" w:rsidP="00DC6D62">
      <w:pPr>
        <w:pStyle w:val="BodyText"/>
      </w:pPr>
      <w:r>
        <w:t>Private Collect, 36, 37</w:t>
      </w:r>
    </w:p>
    <w:p w:rsidR="008E273C" w:rsidRDefault="008E273C" w:rsidP="00DC6D62">
      <w:pPr>
        <w:pStyle w:val="BodyText"/>
      </w:pPr>
      <w:r>
        <w:t>Private Health Insurance Rebate, 28</w:t>
      </w:r>
    </w:p>
    <w:p w:rsidR="008E273C" w:rsidRDefault="008E273C" w:rsidP="00DC6D62">
      <w:pPr>
        <w:pStyle w:val="BodyText"/>
      </w:pPr>
      <w:proofErr w:type="gramStart"/>
      <w:r>
        <w:t>processing</w:t>
      </w:r>
      <w:proofErr w:type="gramEnd"/>
      <w:r>
        <w:t xml:space="preserve"> service level standards</w:t>
      </w:r>
    </w:p>
    <w:p w:rsidR="008E273C" w:rsidRDefault="008E273C" w:rsidP="00DC6D62">
      <w:pPr>
        <w:pStyle w:val="BodyText"/>
        <w:ind w:left="720"/>
      </w:pPr>
      <w:proofErr w:type="gramStart"/>
      <w:r>
        <w:t>performance</w:t>
      </w:r>
      <w:proofErr w:type="gramEnd"/>
      <w:r>
        <w:t xml:space="preserve"> results, 2019–20, 82–3, 99, 107–8</w:t>
      </w:r>
    </w:p>
    <w:p w:rsidR="008E273C" w:rsidRDefault="008E273C" w:rsidP="00DC6D62">
      <w:pPr>
        <w:pStyle w:val="BodyText"/>
        <w:ind w:left="720"/>
      </w:pPr>
      <w:r>
        <w:t>Social Security and Welfare program, 74</w:t>
      </w:r>
    </w:p>
    <w:p w:rsidR="008E273C" w:rsidRDefault="008E273C" w:rsidP="00DC6D62">
      <w:pPr>
        <w:pStyle w:val="BodyText"/>
      </w:pPr>
      <w:proofErr w:type="gramStart"/>
      <w:r>
        <w:t>programs</w:t>
      </w:r>
      <w:proofErr w:type="gramEnd"/>
      <w:r>
        <w:t>, 70, 162–3</w:t>
      </w:r>
    </w:p>
    <w:p w:rsidR="008E273C" w:rsidRDefault="008E273C" w:rsidP="00DC6D62">
      <w:pPr>
        <w:pStyle w:val="BodyText"/>
      </w:pPr>
      <w:proofErr w:type="gramStart"/>
      <w:r>
        <w:t>property</w:t>
      </w:r>
      <w:proofErr w:type="gramEnd"/>
      <w:r>
        <w:t xml:space="preserve"> portfolio, 118</w:t>
      </w:r>
    </w:p>
    <w:p w:rsidR="008E273C" w:rsidRDefault="008E273C" w:rsidP="00DC6D62">
      <w:pPr>
        <w:pStyle w:val="BodyText"/>
      </w:pPr>
      <w:r>
        <w:t>Public Governance, Performance and Accountability Act 2013, 164</w:t>
      </w:r>
    </w:p>
    <w:p w:rsidR="008E273C" w:rsidRDefault="008E273C" w:rsidP="00DC6D62">
      <w:pPr>
        <w:pStyle w:val="BodyText"/>
      </w:pPr>
      <w:r>
        <w:t>Public Governance, Performance and Accountability Rule 2014, 194</w:t>
      </w:r>
    </w:p>
    <w:p w:rsidR="008E273C" w:rsidRDefault="008E273C" w:rsidP="00DC6D62">
      <w:pPr>
        <w:pStyle w:val="BodyText"/>
      </w:pPr>
      <w:proofErr w:type="gramStart"/>
      <w:r>
        <w:t>purchasing</w:t>
      </w:r>
      <w:proofErr w:type="gramEnd"/>
      <w:r>
        <w:t>, 170</w:t>
      </w:r>
    </w:p>
    <w:p w:rsidR="008E273C" w:rsidRDefault="008E273C" w:rsidP="00DC6D62">
      <w:pPr>
        <w:pStyle w:val="BodyText"/>
      </w:pPr>
      <w:proofErr w:type="gramStart"/>
      <w:r>
        <w:t>purpose</w:t>
      </w:r>
      <w:proofErr w:type="gramEnd"/>
      <w:r>
        <w:t>, 70, 162</w:t>
      </w:r>
    </w:p>
    <w:p w:rsidR="008E273C" w:rsidRPr="00DC6D62" w:rsidRDefault="008E273C" w:rsidP="00DC6D62">
      <w:pPr>
        <w:pStyle w:val="BodyText"/>
        <w:rPr>
          <w:b/>
        </w:rPr>
      </w:pPr>
      <w:r w:rsidRPr="00DC6D62">
        <w:rPr>
          <w:b/>
        </w:rPr>
        <w:t>R</w:t>
      </w:r>
    </w:p>
    <w:p w:rsidR="008E273C" w:rsidRDefault="008E273C" w:rsidP="00DC6D62">
      <w:pPr>
        <w:pStyle w:val="BodyText"/>
      </w:pPr>
      <w:r>
        <w:t>Reconciliation Action Plan 2018–22, 41, 187</w:t>
      </w:r>
    </w:p>
    <w:p w:rsidR="008E273C" w:rsidRDefault="008E273C" w:rsidP="00DC6D62">
      <w:pPr>
        <w:pStyle w:val="BodyText"/>
      </w:pPr>
      <w:proofErr w:type="gramStart"/>
      <w:r>
        <w:t>recruitment</w:t>
      </w:r>
      <w:proofErr w:type="gramEnd"/>
      <w:r>
        <w:t>, 182–3</w:t>
      </w:r>
    </w:p>
    <w:p w:rsidR="008E273C" w:rsidRDefault="008E273C" w:rsidP="00DC6D62">
      <w:pPr>
        <w:pStyle w:val="BodyText"/>
      </w:pPr>
      <w:proofErr w:type="gramStart"/>
      <w:r>
        <w:t>redeployments</w:t>
      </w:r>
      <w:proofErr w:type="gramEnd"/>
      <w:r>
        <w:t>, COVID-19, xvii, 47, 71, 83, 97, 106</w:t>
      </w:r>
    </w:p>
    <w:p w:rsidR="008E273C" w:rsidRDefault="008E273C" w:rsidP="00DC6D62">
      <w:pPr>
        <w:pStyle w:val="BodyText"/>
      </w:pPr>
      <w:proofErr w:type="gramStart"/>
      <w:r>
        <w:t>refugees</w:t>
      </w:r>
      <w:proofErr w:type="gramEnd"/>
      <w:r>
        <w:t xml:space="preserve"> and humanitarian entrants, xviii, 46, 48</w:t>
      </w:r>
    </w:p>
    <w:p w:rsidR="008E273C" w:rsidRDefault="008E273C" w:rsidP="00DC6D62">
      <w:pPr>
        <w:pStyle w:val="BodyText"/>
      </w:pPr>
      <w:r>
        <w:t>Remote Service Centres, 43</w:t>
      </w:r>
    </w:p>
    <w:p w:rsidR="008E273C" w:rsidRDefault="008E273C" w:rsidP="00DC6D62">
      <w:pPr>
        <w:pStyle w:val="BodyText"/>
      </w:pPr>
      <w:r>
        <w:t>Remote Service Teams, xviii, 43</w:t>
      </w:r>
    </w:p>
    <w:p w:rsidR="008E273C" w:rsidRDefault="008E273C" w:rsidP="00DC6D62">
      <w:pPr>
        <w:pStyle w:val="BodyText"/>
      </w:pPr>
      <w:proofErr w:type="gramStart"/>
      <w:r>
        <w:t>remuneration</w:t>
      </w:r>
      <w:proofErr w:type="gramEnd"/>
      <w:r>
        <w:t>, staff, 227, 230–4</w:t>
      </w:r>
    </w:p>
    <w:p w:rsidR="008E273C" w:rsidRDefault="008E273C" w:rsidP="00DC6D62">
      <w:pPr>
        <w:pStyle w:val="BodyText"/>
      </w:pPr>
      <w:r>
        <w:t>Rent Deduction Scheme, 56</w:t>
      </w:r>
    </w:p>
    <w:p w:rsidR="008E273C" w:rsidRDefault="008E273C" w:rsidP="00DC6D62">
      <w:pPr>
        <w:pStyle w:val="BodyText"/>
      </w:pPr>
      <w:r>
        <w:lastRenderedPageBreak/>
        <w:t>Repatriation Pharmaceutical Benefits Scheme, 23</w:t>
      </w:r>
    </w:p>
    <w:p w:rsidR="008E273C" w:rsidRDefault="008E273C" w:rsidP="00DC6D62">
      <w:pPr>
        <w:pStyle w:val="BodyText"/>
      </w:pPr>
      <w:proofErr w:type="gramStart"/>
      <w:r>
        <w:t>resource</w:t>
      </w:r>
      <w:proofErr w:type="gramEnd"/>
      <w:r>
        <w:t xml:space="preserve"> statement 2019–20, 210–11</w:t>
      </w:r>
    </w:p>
    <w:p w:rsidR="008E273C" w:rsidRDefault="008E273C" w:rsidP="00DC6D62">
      <w:pPr>
        <w:pStyle w:val="BodyText"/>
      </w:pPr>
      <w:proofErr w:type="gramStart"/>
      <w:r>
        <w:t>responsible</w:t>
      </w:r>
      <w:proofErr w:type="gramEnd"/>
      <w:r>
        <w:t xml:space="preserve"> ministers, 163</w:t>
      </w:r>
    </w:p>
    <w:p w:rsidR="008E273C" w:rsidRDefault="008E273C" w:rsidP="00DC6D62">
      <w:pPr>
        <w:pStyle w:val="BodyText"/>
      </w:pPr>
      <w:r>
        <w:t>Risk Identification and Referral Model for domestic violence, 41</w:t>
      </w:r>
    </w:p>
    <w:p w:rsidR="008E273C" w:rsidRDefault="008E273C" w:rsidP="00DC6D62">
      <w:pPr>
        <w:pStyle w:val="BodyText"/>
      </w:pPr>
      <w:proofErr w:type="gramStart"/>
      <w:r>
        <w:t>risk</w:t>
      </w:r>
      <w:proofErr w:type="gramEnd"/>
      <w:r>
        <w:t xml:space="preserve"> management, 164</w:t>
      </w:r>
    </w:p>
    <w:p w:rsidR="008E273C" w:rsidRDefault="008E273C" w:rsidP="00DC6D62">
      <w:pPr>
        <w:pStyle w:val="BodyText"/>
      </w:pPr>
      <w:r>
        <w:t>Robert, the Hon Stuart MP, 163</w:t>
      </w:r>
    </w:p>
    <w:p w:rsidR="008E273C" w:rsidRDefault="008E273C" w:rsidP="00DC6D62">
      <w:pPr>
        <w:pStyle w:val="BodyText"/>
      </w:pPr>
      <w:proofErr w:type="gramStart"/>
      <w:r>
        <w:t>role</w:t>
      </w:r>
      <w:proofErr w:type="gramEnd"/>
      <w:r>
        <w:t xml:space="preserve"> and functions, 162</w:t>
      </w:r>
    </w:p>
    <w:p w:rsidR="008E273C" w:rsidRDefault="008E273C" w:rsidP="00DC6D62">
      <w:pPr>
        <w:pStyle w:val="BodyText"/>
      </w:pPr>
      <w:r>
        <w:t>Run-off Cover Indemnity Scheme, 34</w:t>
      </w:r>
    </w:p>
    <w:p w:rsidR="008E273C" w:rsidRDefault="008E273C" w:rsidP="00DC6D62">
      <w:pPr>
        <w:pStyle w:val="BodyText"/>
      </w:pPr>
      <w:r>
        <w:t>Rural Procedural Grants Program, 30–1</w:t>
      </w:r>
    </w:p>
    <w:p w:rsidR="008E273C" w:rsidRDefault="008E273C" w:rsidP="00DC6D62">
      <w:pPr>
        <w:pStyle w:val="BodyText"/>
      </w:pPr>
      <w:proofErr w:type="gramStart"/>
      <w:r>
        <w:t>rural</w:t>
      </w:r>
      <w:proofErr w:type="gramEnd"/>
      <w:r>
        <w:t>, regional and remote communities, xviii, 3, 24, 42–3</w:t>
      </w:r>
    </w:p>
    <w:p w:rsidR="008E273C" w:rsidRDefault="008E273C" w:rsidP="00DC6D62">
      <w:pPr>
        <w:pStyle w:val="BodyText"/>
        <w:ind w:left="720"/>
      </w:pPr>
      <w:r>
        <w:t>Disability Medical Assessment improvements, 10</w:t>
      </w:r>
    </w:p>
    <w:p w:rsidR="008E273C" w:rsidRDefault="008E273C" w:rsidP="00DC6D62">
      <w:pPr>
        <w:pStyle w:val="BodyText"/>
        <w:ind w:left="720"/>
      </w:pPr>
      <w:proofErr w:type="gramStart"/>
      <w:r>
        <w:t>practice</w:t>
      </w:r>
      <w:proofErr w:type="gramEnd"/>
      <w:r>
        <w:t xml:space="preserve"> incentives in, 30–1</w:t>
      </w:r>
    </w:p>
    <w:p w:rsidR="008E273C" w:rsidRDefault="008E273C" w:rsidP="00DC6D62">
      <w:pPr>
        <w:pStyle w:val="BodyText"/>
      </w:pPr>
      <w:r>
        <w:t>Ruston, Senator the Hon Anne, 163</w:t>
      </w:r>
    </w:p>
    <w:p w:rsidR="008E273C" w:rsidRPr="00DC6D62" w:rsidRDefault="008E273C" w:rsidP="00DC6D62">
      <w:pPr>
        <w:pStyle w:val="BodyText"/>
        <w:rPr>
          <w:b/>
        </w:rPr>
      </w:pPr>
      <w:r w:rsidRPr="00DC6D62">
        <w:rPr>
          <w:b/>
        </w:rPr>
        <w:t>S</w:t>
      </w:r>
    </w:p>
    <w:p w:rsidR="008E273C" w:rsidRDefault="008E273C" w:rsidP="00DC6D62">
      <w:pPr>
        <w:pStyle w:val="BodyText"/>
      </w:pPr>
      <w:proofErr w:type="gramStart"/>
      <w:r>
        <w:t>salary</w:t>
      </w:r>
      <w:proofErr w:type="gramEnd"/>
      <w:r>
        <w:t xml:space="preserve"> ranges, 227</w:t>
      </w:r>
    </w:p>
    <w:p w:rsidR="008E273C" w:rsidRDefault="008E273C" w:rsidP="00DC6D62">
      <w:pPr>
        <w:pStyle w:val="BodyText"/>
      </w:pPr>
      <w:r>
        <w:t>Satisfaction Research Program, 110</w:t>
      </w:r>
    </w:p>
    <w:p w:rsidR="008E273C" w:rsidRDefault="008E273C" w:rsidP="00DC6D62">
      <w:pPr>
        <w:pStyle w:val="BodyText"/>
      </w:pPr>
      <w:proofErr w:type="gramStart"/>
      <w:r>
        <w:t>scams</w:t>
      </w:r>
      <w:proofErr w:type="gramEnd"/>
      <w:r>
        <w:t>, 63, 65</w:t>
      </w:r>
    </w:p>
    <w:p w:rsidR="008E273C" w:rsidRDefault="008E273C" w:rsidP="00DC6D62">
      <w:pPr>
        <w:pStyle w:val="BodyText"/>
      </w:pPr>
      <w:r>
        <w:t>Scams and Identity Theft Helpdesk, 65</w:t>
      </w:r>
    </w:p>
    <w:p w:rsidR="008E273C" w:rsidRDefault="008E273C" w:rsidP="00DC6D62">
      <w:pPr>
        <w:pStyle w:val="BodyText"/>
      </w:pPr>
      <w:proofErr w:type="gramStart"/>
      <w:r>
        <w:t>self-service</w:t>
      </w:r>
      <w:proofErr w:type="gramEnd"/>
      <w:r>
        <w:t xml:space="preserve"> options, 3</w:t>
      </w:r>
    </w:p>
    <w:p w:rsidR="008E273C" w:rsidRDefault="008E273C" w:rsidP="00DC6D62">
      <w:pPr>
        <w:pStyle w:val="BodyText"/>
      </w:pPr>
      <w:proofErr w:type="gramStart"/>
      <w:r>
        <w:t>senior</w:t>
      </w:r>
      <w:proofErr w:type="gramEnd"/>
      <w:r>
        <w:t xml:space="preserve"> executive remuneration, 232–3</w:t>
      </w:r>
    </w:p>
    <w:p w:rsidR="008E273C" w:rsidRDefault="008E273C" w:rsidP="00DC6D62">
      <w:pPr>
        <w:pStyle w:val="BodyText"/>
      </w:pPr>
      <w:proofErr w:type="gramStart"/>
      <w:r>
        <w:t>senior</w:t>
      </w:r>
      <w:proofErr w:type="gramEnd"/>
      <w:r>
        <w:t xml:space="preserve"> leadership, 177–81</w:t>
      </w:r>
    </w:p>
    <w:p w:rsidR="008E273C" w:rsidRDefault="008E273C" w:rsidP="00DC6D62">
      <w:pPr>
        <w:pStyle w:val="BodyText"/>
      </w:pPr>
      <w:r>
        <w:t>Seniors Health Card, 8</w:t>
      </w:r>
    </w:p>
    <w:p w:rsidR="008E273C" w:rsidRDefault="008E273C" w:rsidP="00DC6D62">
      <w:pPr>
        <w:pStyle w:val="BodyText"/>
      </w:pPr>
      <w:r>
        <w:t>Service Centres, x, xvii, 3, 73, 81, 95</w:t>
      </w:r>
    </w:p>
    <w:p w:rsidR="008E273C" w:rsidRDefault="008E273C" w:rsidP="00DC6D62">
      <w:pPr>
        <w:pStyle w:val="BodyText"/>
      </w:pPr>
      <w:proofErr w:type="gramStart"/>
      <w:r>
        <w:t>service</w:t>
      </w:r>
      <w:proofErr w:type="gramEnd"/>
      <w:r>
        <w:t xml:space="preserve"> commitments, performance against, 109–13</w:t>
      </w:r>
    </w:p>
    <w:p w:rsidR="008E273C" w:rsidRDefault="008E273C" w:rsidP="00DC6D62">
      <w:pPr>
        <w:pStyle w:val="BodyText"/>
      </w:pPr>
      <w:proofErr w:type="gramStart"/>
      <w:r>
        <w:t>service</w:t>
      </w:r>
      <w:proofErr w:type="gramEnd"/>
      <w:r>
        <w:t xml:space="preserve"> level standards </w:t>
      </w:r>
      <w:r>
        <w:rPr>
          <w:rFonts w:ascii="Roboto-Italic" w:hAnsi="Roboto-Italic" w:cs="Roboto-Italic"/>
          <w:i/>
          <w:iCs/>
        </w:rPr>
        <w:t>see</w:t>
      </w:r>
      <w:r>
        <w:t xml:space="preserve"> digital service level standards; processing service level standards; telephony service level standards</w:t>
      </w:r>
    </w:p>
    <w:p w:rsidR="008E273C" w:rsidRDefault="008E273C" w:rsidP="00DC6D62">
      <w:pPr>
        <w:pStyle w:val="BodyText"/>
      </w:pPr>
      <w:r>
        <w:t>Service Skills Learning Program review, 187</w:t>
      </w:r>
    </w:p>
    <w:p w:rsidR="008E273C" w:rsidRDefault="008E273C" w:rsidP="00DC6D62">
      <w:pPr>
        <w:pStyle w:val="BodyText"/>
      </w:pPr>
      <w:proofErr w:type="gramStart"/>
      <w:r>
        <w:t>shared</w:t>
      </w:r>
      <w:proofErr w:type="gramEnd"/>
      <w:r>
        <w:t xml:space="preserve"> services, 192</w:t>
      </w:r>
    </w:p>
    <w:p w:rsidR="008E273C" w:rsidRDefault="008E273C" w:rsidP="00DC6D62">
      <w:pPr>
        <w:pStyle w:val="BodyText"/>
      </w:pPr>
      <w:r>
        <w:t>Sickness Allowance, 8</w:t>
      </w:r>
    </w:p>
    <w:p w:rsidR="008E273C" w:rsidRDefault="008E273C" w:rsidP="00DC6D62">
      <w:pPr>
        <w:pStyle w:val="BodyText"/>
      </w:pPr>
      <w:proofErr w:type="gramStart"/>
      <w:r>
        <w:lastRenderedPageBreak/>
        <w:t>significant</w:t>
      </w:r>
      <w:proofErr w:type="gramEnd"/>
      <w:r>
        <w:t xml:space="preserve"> non-compliance with financial law, 117</w:t>
      </w:r>
    </w:p>
    <w:p w:rsidR="008E273C" w:rsidRDefault="008E273C" w:rsidP="00DC6D62">
      <w:pPr>
        <w:pStyle w:val="BodyText"/>
      </w:pPr>
      <w:proofErr w:type="gramStart"/>
      <w:r>
        <w:t>simplified</w:t>
      </w:r>
      <w:proofErr w:type="gramEnd"/>
      <w:r>
        <w:t xml:space="preserve"> billing for in-hospital services, 19–20, 21</w:t>
      </w:r>
    </w:p>
    <w:p w:rsidR="008E273C" w:rsidRDefault="008E273C" w:rsidP="00DC6D62">
      <w:pPr>
        <w:pStyle w:val="BodyText"/>
      </w:pPr>
      <w:r>
        <w:t>Skinner, Rebecca (Chief Executive Officer), 178</w:t>
      </w:r>
    </w:p>
    <w:p w:rsidR="008E273C" w:rsidRDefault="008E273C" w:rsidP="00DC6D62">
      <w:pPr>
        <w:pStyle w:val="BodyText"/>
        <w:ind w:left="720"/>
      </w:pPr>
      <w:proofErr w:type="gramStart"/>
      <w:r>
        <w:t>review</w:t>
      </w:r>
      <w:proofErr w:type="gramEnd"/>
      <w:r>
        <w:t xml:space="preserve"> 2019–20, ix–xii</w:t>
      </w:r>
    </w:p>
    <w:p w:rsidR="008E273C" w:rsidRDefault="008E273C" w:rsidP="00DC6D62">
      <w:pPr>
        <w:pStyle w:val="BodyText"/>
      </w:pPr>
      <w:proofErr w:type="gramStart"/>
      <w:r>
        <w:t>small</w:t>
      </w:r>
      <w:proofErr w:type="gramEnd"/>
      <w:r>
        <w:t xml:space="preserve"> business procurement, 195</w:t>
      </w:r>
    </w:p>
    <w:p w:rsidR="008E273C" w:rsidRDefault="008E273C" w:rsidP="00DC6D62">
      <w:pPr>
        <w:pStyle w:val="BodyText"/>
      </w:pPr>
      <w:r>
        <w:t>Smart Centres, 3</w:t>
      </w:r>
    </w:p>
    <w:p w:rsidR="008E273C" w:rsidRDefault="008E273C" w:rsidP="00DC6D62">
      <w:pPr>
        <w:pStyle w:val="BodyText"/>
      </w:pPr>
      <w:proofErr w:type="gramStart"/>
      <w:r>
        <w:t>social</w:t>
      </w:r>
      <w:proofErr w:type="gramEnd"/>
      <w:r>
        <w:t xml:space="preserve"> distancing, 81, 95</w:t>
      </w:r>
    </w:p>
    <w:p w:rsidR="008E273C" w:rsidRDefault="008E273C" w:rsidP="00DC6D62">
      <w:pPr>
        <w:pStyle w:val="BodyText"/>
      </w:pPr>
      <w:proofErr w:type="gramStart"/>
      <w:r>
        <w:t>social</w:t>
      </w:r>
      <w:proofErr w:type="gramEnd"/>
      <w:r>
        <w:t xml:space="preserve"> media, x</w:t>
      </w:r>
    </w:p>
    <w:p w:rsidR="008E273C" w:rsidRDefault="008E273C" w:rsidP="00DC6D62">
      <w:pPr>
        <w:pStyle w:val="BodyText"/>
      </w:pPr>
      <w:r>
        <w:t>Social Security and Welfare program (Program 1), 7–15, 73–85</w:t>
      </w:r>
    </w:p>
    <w:p w:rsidR="008E273C" w:rsidRDefault="008E273C" w:rsidP="00DC6D62">
      <w:pPr>
        <w:pStyle w:val="BodyText"/>
        <w:ind w:left="720"/>
      </w:pPr>
      <w:proofErr w:type="gramStart"/>
      <w:r>
        <w:t>claims</w:t>
      </w:r>
      <w:proofErr w:type="gramEnd"/>
      <w:r>
        <w:t xml:space="preserve"> finalised, 2019–20, 7–8</w:t>
      </w:r>
    </w:p>
    <w:p w:rsidR="008E273C" w:rsidRDefault="008E273C" w:rsidP="00DC6D62">
      <w:pPr>
        <w:pStyle w:val="BodyText"/>
        <w:ind w:left="720"/>
      </w:pPr>
      <w:proofErr w:type="gramStart"/>
      <w:r>
        <w:t>customer</w:t>
      </w:r>
      <w:proofErr w:type="gramEnd"/>
      <w:r>
        <w:t xml:space="preserve"> satisfaction results, 74–5</w:t>
      </w:r>
    </w:p>
    <w:p w:rsidR="008E273C" w:rsidRDefault="008E273C" w:rsidP="00DC6D62">
      <w:pPr>
        <w:pStyle w:val="BodyText"/>
        <w:ind w:left="720"/>
      </w:pPr>
      <w:proofErr w:type="gramStart"/>
      <w:r>
        <w:t>customer</w:t>
      </w:r>
      <w:proofErr w:type="gramEnd"/>
      <w:r>
        <w:t xml:space="preserve"> trust results, 76</w:t>
      </w:r>
    </w:p>
    <w:p w:rsidR="008E273C" w:rsidRDefault="008E273C" w:rsidP="00DC6D62">
      <w:pPr>
        <w:pStyle w:val="BodyText"/>
        <w:ind w:left="720"/>
      </w:pPr>
      <w:proofErr w:type="gramStart"/>
      <w:r>
        <w:t>debt</w:t>
      </w:r>
      <w:proofErr w:type="gramEnd"/>
      <w:r>
        <w:t xml:space="preserve"> recovery performance results, 84–5</w:t>
      </w:r>
    </w:p>
    <w:p w:rsidR="008E273C" w:rsidRDefault="008E273C" w:rsidP="00DC6D62">
      <w:pPr>
        <w:pStyle w:val="BodyText"/>
        <w:ind w:left="720"/>
      </w:pPr>
      <w:proofErr w:type="gramStart"/>
      <w:r>
        <w:t>digital</w:t>
      </w:r>
      <w:proofErr w:type="gramEnd"/>
      <w:r>
        <w:t xml:space="preserve"> services performance results, 77–9</w:t>
      </w:r>
    </w:p>
    <w:p w:rsidR="008E273C" w:rsidRDefault="008E273C" w:rsidP="00DC6D62">
      <w:pPr>
        <w:pStyle w:val="BodyText"/>
        <w:ind w:left="720"/>
      </w:pPr>
      <w:proofErr w:type="gramStart"/>
      <w:r>
        <w:t>payment</w:t>
      </w:r>
      <w:proofErr w:type="gramEnd"/>
      <w:r>
        <w:t xml:space="preserve"> correctness performance results, 79–80, 80–1</w:t>
      </w:r>
    </w:p>
    <w:p w:rsidR="008E273C" w:rsidRDefault="008E273C" w:rsidP="00DC6D62">
      <w:pPr>
        <w:pStyle w:val="BodyText"/>
        <w:ind w:left="720"/>
      </w:pPr>
      <w:proofErr w:type="gramStart"/>
      <w:r>
        <w:t>performance</w:t>
      </w:r>
      <w:proofErr w:type="gramEnd"/>
      <w:r>
        <w:t xml:space="preserve"> overview, 73</w:t>
      </w:r>
    </w:p>
    <w:p w:rsidR="008E273C" w:rsidRDefault="008E273C" w:rsidP="00DC6D62">
      <w:pPr>
        <w:pStyle w:val="BodyText"/>
        <w:ind w:left="720"/>
      </w:pPr>
      <w:proofErr w:type="gramStart"/>
      <w:r>
        <w:t>processing</w:t>
      </w:r>
      <w:proofErr w:type="gramEnd"/>
      <w:r>
        <w:t xml:space="preserve"> performance results, 82–3</w:t>
      </w:r>
    </w:p>
    <w:p w:rsidR="008E273C" w:rsidRDefault="008E273C" w:rsidP="00DC6D62">
      <w:pPr>
        <w:pStyle w:val="BodyText"/>
        <w:ind w:left="720"/>
      </w:pPr>
      <w:proofErr w:type="gramStart"/>
      <w:r>
        <w:t>service</w:t>
      </w:r>
      <w:proofErr w:type="gramEnd"/>
      <w:r>
        <w:t xml:space="preserve"> commitments, 109–13</w:t>
      </w:r>
    </w:p>
    <w:p w:rsidR="008E273C" w:rsidRDefault="008E273C" w:rsidP="00DC6D62">
      <w:pPr>
        <w:pStyle w:val="BodyText"/>
        <w:ind w:left="720"/>
      </w:pPr>
      <w:proofErr w:type="gramStart"/>
      <w:r>
        <w:t>service</w:t>
      </w:r>
      <w:proofErr w:type="gramEnd"/>
      <w:r>
        <w:t xml:space="preserve"> level standards, 73–4</w:t>
      </w:r>
    </w:p>
    <w:p w:rsidR="008E273C" w:rsidRDefault="008E273C" w:rsidP="00DC6D62">
      <w:pPr>
        <w:pStyle w:val="BodyText"/>
        <w:ind w:left="720"/>
      </w:pPr>
      <w:proofErr w:type="gramStart"/>
      <w:r>
        <w:t>telephony</w:t>
      </w:r>
      <w:proofErr w:type="gramEnd"/>
      <w:r>
        <w:t xml:space="preserve"> performance results, 81–2</w:t>
      </w:r>
    </w:p>
    <w:p w:rsidR="008E273C" w:rsidRDefault="008E273C" w:rsidP="00DC6D62">
      <w:pPr>
        <w:pStyle w:val="BodyText"/>
      </w:pPr>
      <w:r>
        <w:t>Social Security Income and Assets Test, 8</w:t>
      </w:r>
    </w:p>
    <w:p w:rsidR="008E273C" w:rsidRDefault="008E273C" w:rsidP="00DC6D62">
      <w:pPr>
        <w:pStyle w:val="BodyText"/>
      </w:pPr>
      <w:proofErr w:type="gramStart"/>
      <w:r>
        <w:t>social</w:t>
      </w:r>
      <w:proofErr w:type="gramEnd"/>
      <w:r>
        <w:t xml:space="preserve"> work services, 47–8</w:t>
      </w:r>
    </w:p>
    <w:p w:rsidR="008E273C" w:rsidRDefault="008E273C" w:rsidP="00DC6D62">
      <w:pPr>
        <w:pStyle w:val="BodyText"/>
        <w:ind w:left="720"/>
      </w:pPr>
      <w:proofErr w:type="gramStart"/>
      <w:r>
        <w:t>during</w:t>
      </w:r>
      <w:proofErr w:type="gramEnd"/>
      <w:r>
        <w:t xml:space="preserve"> emergencies, 49</w:t>
      </w:r>
    </w:p>
    <w:p w:rsidR="008E273C" w:rsidRDefault="008E273C" w:rsidP="00DC6D62">
      <w:pPr>
        <w:pStyle w:val="BodyText"/>
      </w:pPr>
      <w:r>
        <w:t>Special Benefit, 8, 60</w:t>
      </w:r>
    </w:p>
    <w:p w:rsidR="008E273C" w:rsidRDefault="008E273C" w:rsidP="00DC6D62">
      <w:pPr>
        <w:pStyle w:val="BodyText"/>
      </w:pPr>
      <w:proofErr w:type="gramStart"/>
      <w:r>
        <w:t>staff</w:t>
      </w:r>
      <w:proofErr w:type="gramEnd"/>
      <w:r>
        <w:t>, 3</w:t>
      </w:r>
    </w:p>
    <w:p w:rsidR="008E273C" w:rsidRDefault="008E273C" w:rsidP="00DC6D62">
      <w:pPr>
        <w:pStyle w:val="BodyText"/>
        <w:ind w:left="720"/>
      </w:pPr>
      <w:proofErr w:type="gramStart"/>
      <w:r>
        <w:t>carers</w:t>
      </w:r>
      <w:proofErr w:type="gramEnd"/>
      <w:r>
        <w:t>, 185</w:t>
      </w:r>
    </w:p>
    <w:p w:rsidR="008E273C" w:rsidRDefault="008E273C" w:rsidP="00DC6D62">
      <w:pPr>
        <w:pStyle w:val="BodyText"/>
        <w:ind w:left="720"/>
      </w:pPr>
      <w:r>
        <w:t>COVID-19 redeployments, xvii, 47, 71, 83, 97, 106</w:t>
      </w:r>
    </w:p>
    <w:p w:rsidR="008E273C" w:rsidRDefault="008E273C" w:rsidP="00DC6D62">
      <w:pPr>
        <w:pStyle w:val="BodyText"/>
        <w:ind w:left="720"/>
      </w:pPr>
      <w:proofErr w:type="gramStart"/>
      <w:r>
        <w:t>cultural</w:t>
      </w:r>
      <w:proofErr w:type="gramEnd"/>
      <w:r>
        <w:t xml:space="preserve"> and linguistic diversity, 183</w:t>
      </w:r>
    </w:p>
    <w:p w:rsidR="008E273C" w:rsidRDefault="008E273C" w:rsidP="00DC6D62">
      <w:pPr>
        <w:pStyle w:val="BodyText"/>
        <w:ind w:left="720"/>
      </w:pPr>
      <w:proofErr w:type="gramStart"/>
      <w:r>
        <w:t>with</w:t>
      </w:r>
      <w:proofErr w:type="gramEnd"/>
      <w:r>
        <w:t xml:space="preserve"> disability, 184–5</w:t>
      </w:r>
    </w:p>
    <w:p w:rsidR="008E273C" w:rsidRDefault="008E273C" w:rsidP="00DC6D62">
      <w:pPr>
        <w:pStyle w:val="BodyText"/>
        <w:ind w:left="720"/>
      </w:pPr>
      <w:proofErr w:type="gramStart"/>
      <w:r>
        <w:lastRenderedPageBreak/>
        <w:t>engagement</w:t>
      </w:r>
      <w:proofErr w:type="gramEnd"/>
      <w:r>
        <w:t xml:space="preserve"> and recognition, 189</w:t>
      </w:r>
    </w:p>
    <w:p w:rsidR="008E273C" w:rsidRDefault="008E273C" w:rsidP="00DC6D62">
      <w:pPr>
        <w:pStyle w:val="BodyText"/>
        <w:ind w:left="720"/>
      </w:pPr>
      <w:proofErr w:type="gramStart"/>
      <w:r>
        <w:t>family</w:t>
      </w:r>
      <w:proofErr w:type="gramEnd"/>
      <w:r>
        <w:t xml:space="preserve"> and domestic violence training, 41</w:t>
      </w:r>
    </w:p>
    <w:p w:rsidR="008E273C" w:rsidRDefault="008E273C" w:rsidP="00DC6D62">
      <w:pPr>
        <w:pStyle w:val="BodyText"/>
        <w:ind w:left="720"/>
      </w:pPr>
      <w:proofErr w:type="gramStart"/>
      <w:r>
        <w:t>fraud</w:t>
      </w:r>
      <w:proofErr w:type="gramEnd"/>
      <w:r>
        <w:t xml:space="preserve"> training, 64</w:t>
      </w:r>
    </w:p>
    <w:p w:rsidR="008E273C" w:rsidRDefault="008E273C" w:rsidP="00DC6D62">
      <w:pPr>
        <w:pStyle w:val="BodyText"/>
        <w:ind w:left="720"/>
      </w:pPr>
      <w:r>
        <w:t>Indigenous, 185–7</w:t>
      </w:r>
    </w:p>
    <w:p w:rsidR="008E273C" w:rsidRDefault="008E273C" w:rsidP="00DC6D62">
      <w:pPr>
        <w:pStyle w:val="BodyText"/>
        <w:ind w:left="720"/>
      </w:pPr>
      <w:proofErr w:type="gramStart"/>
      <w:r>
        <w:t>learning</w:t>
      </w:r>
      <w:proofErr w:type="gramEnd"/>
      <w:r>
        <w:t xml:space="preserve"> and development, 187–9</w:t>
      </w:r>
    </w:p>
    <w:p w:rsidR="008E273C" w:rsidRDefault="008E273C" w:rsidP="00DC6D62">
      <w:pPr>
        <w:pStyle w:val="BodyText"/>
        <w:ind w:left="720"/>
      </w:pPr>
      <w:proofErr w:type="gramStart"/>
      <w:r>
        <w:t>multicultural</w:t>
      </w:r>
      <w:proofErr w:type="gramEnd"/>
      <w:r>
        <w:t xml:space="preserve"> awareness training, 44, 183</w:t>
      </w:r>
    </w:p>
    <w:p w:rsidR="008E273C" w:rsidRDefault="008E273C" w:rsidP="00DC6D62">
      <w:pPr>
        <w:pStyle w:val="BodyText"/>
        <w:ind w:left="720"/>
      </w:pPr>
      <w:proofErr w:type="gramStart"/>
      <w:r>
        <w:t>payment</w:t>
      </w:r>
      <w:proofErr w:type="gramEnd"/>
      <w:r>
        <w:t xml:space="preserve"> correctness training, 80</w:t>
      </w:r>
    </w:p>
    <w:p w:rsidR="008E273C" w:rsidRDefault="008E273C" w:rsidP="00DC6D62">
      <w:pPr>
        <w:pStyle w:val="BodyText"/>
        <w:ind w:left="720"/>
      </w:pPr>
      <w:proofErr w:type="gramStart"/>
      <w:r>
        <w:t>recruitment</w:t>
      </w:r>
      <w:proofErr w:type="gramEnd"/>
      <w:r>
        <w:t>, xvii, 182–3</w:t>
      </w:r>
    </w:p>
    <w:p w:rsidR="008E273C" w:rsidRDefault="008E273C" w:rsidP="00DC6D62">
      <w:pPr>
        <w:pStyle w:val="BodyText"/>
        <w:ind w:left="720"/>
      </w:pPr>
      <w:proofErr w:type="gramStart"/>
      <w:r>
        <w:t>redeployment</w:t>
      </w:r>
      <w:proofErr w:type="gramEnd"/>
      <w:r>
        <w:t>, 182</w:t>
      </w:r>
    </w:p>
    <w:p w:rsidR="008E273C" w:rsidRDefault="008E273C" w:rsidP="00DC6D62">
      <w:pPr>
        <w:pStyle w:val="BodyText"/>
        <w:ind w:left="720"/>
      </w:pPr>
      <w:proofErr w:type="gramStart"/>
      <w:r>
        <w:t>remuneration</w:t>
      </w:r>
      <w:proofErr w:type="gramEnd"/>
      <w:r>
        <w:t>, 191, 227</w:t>
      </w:r>
    </w:p>
    <w:p w:rsidR="008E273C" w:rsidRDefault="008E273C" w:rsidP="00DC6D62">
      <w:pPr>
        <w:pStyle w:val="BodyText"/>
        <w:ind w:left="720"/>
      </w:pPr>
      <w:proofErr w:type="gramStart"/>
      <w:r>
        <w:t>statistics</w:t>
      </w:r>
      <w:proofErr w:type="gramEnd"/>
      <w:r>
        <w:t>, 182, 214–34</w:t>
      </w:r>
    </w:p>
    <w:p w:rsidR="008E273C" w:rsidRDefault="008E273C" w:rsidP="00DC6D62">
      <w:pPr>
        <w:pStyle w:val="BodyText"/>
        <w:ind w:left="720"/>
      </w:pPr>
      <w:proofErr w:type="gramStart"/>
      <w:r>
        <w:t>surveys</w:t>
      </w:r>
      <w:proofErr w:type="gramEnd"/>
      <w:r>
        <w:t>, 64, 177</w:t>
      </w:r>
    </w:p>
    <w:p w:rsidR="008E273C" w:rsidRDefault="008E273C" w:rsidP="00DC6D62">
      <w:pPr>
        <w:pStyle w:val="BodyText"/>
        <w:ind w:left="720"/>
      </w:pPr>
      <w:proofErr w:type="gramStart"/>
      <w:r>
        <w:t>training</w:t>
      </w:r>
      <w:proofErr w:type="gramEnd"/>
      <w:r>
        <w:t xml:space="preserve">, redeployed COVID-19 staff, xvii, 47, 71, 82 </w:t>
      </w:r>
    </w:p>
    <w:p w:rsidR="008E273C" w:rsidRDefault="008E273C" w:rsidP="00DC6D62">
      <w:pPr>
        <w:pStyle w:val="BodyText"/>
        <w:ind w:left="720"/>
      </w:pPr>
      <w:proofErr w:type="gramStart"/>
      <w:r>
        <w:t>working</w:t>
      </w:r>
      <w:proofErr w:type="gramEnd"/>
      <w:r>
        <w:t xml:space="preserve"> from home, xviii</w:t>
      </w:r>
    </w:p>
    <w:p w:rsidR="008E273C" w:rsidRDefault="008E273C" w:rsidP="00DC6D62">
      <w:pPr>
        <w:pStyle w:val="BodyText"/>
        <w:ind w:left="720"/>
      </w:pPr>
      <w:proofErr w:type="gramStart"/>
      <w:r>
        <w:t>workplace</w:t>
      </w:r>
      <w:proofErr w:type="gramEnd"/>
      <w:r>
        <w:t xml:space="preserve"> accessibility training, 185</w:t>
      </w:r>
    </w:p>
    <w:p w:rsidR="008E273C" w:rsidRDefault="008E273C" w:rsidP="00DC6D62">
      <w:pPr>
        <w:pStyle w:val="BodyText"/>
      </w:pPr>
      <w:proofErr w:type="gramStart"/>
      <w:r>
        <w:t>state</w:t>
      </w:r>
      <w:proofErr w:type="gramEnd"/>
      <w:r>
        <w:t xml:space="preserve"> and territory governments, partnerships with, 193</w:t>
      </w:r>
    </w:p>
    <w:p w:rsidR="008E273C" w:rsidRDefault="008E273C" w:rsidP="00DC6D62">
      <w:pPr>
        <w:pStyle w:val="BodyText"/>
      </w:pPr>
      <w:r>
        <w:t>Statement for Australia’s Carers, 185</w:t>
      </w:r>
    </w:p>
    <w:p w:rsidR="008E273C" w:rsidRDefault="008E273C" w:rsidP="00DC6D62">
      <w:pPr>
        <w:pStyle w:val="BodyText"/>
      </w:pPr>
      <w:r>
        <w:t>Status Resolution Support Services Payment, 46</w:t>
      </w:r>
    </w:p>
    <w:p w:rsidR="008E273C" w:rsidRDefault="008E273C" w:rsidP="00DC6D62">
      <w:pPr>
        <w:pStyle w:val="BodyText"/>
      </w:pPr>
      <w:r>
        <w:t>Stillborn Baby Payment, 8, 11</w:t>
      </w:r>
    </w:p>
    <w:p w:rsidR="008E273C" w:rsidRDefault="008E273C" w:rsidP="00DC6D62">
      <w:pPr>
        <w:pStyle w:val="BodyText"/>
      </w:pPr>
      <w:r>
        <w:t>Stoma Appliance Scheme, 5</w:t>
      </w:r>
    </w:p>
    <w:p w:rsidR="008E273C" w:rsidRDefault="008E273C" w:rsidP="00DC6D62">
      <w:pPr>
        <w:pStyle w:val="BodyText"/>
      </w:pPr>
      <w:r>
        <w:t>Strategic Workforce Plan 2019–23, 182</w:t>
      </w:r>
    </w:p>
    <w:p w:rsidR="008E273C" w:rsidRDefault="008E273C" w:rsidP="00DC6D62">
      <w:pPr>
        <w:pStyle w:val="BodyText"/>
      </w:pPr>
      <w:proofErr w:type="gramStart"/>
      <w:r>
        <w:t>students</w:t>
      </w:r>
      <w:proofErr w:type="gramEnd"/>
      <w:r>
        <w:t>, 15, 78</w:t>
      </w:r>
    </w:p>
    <w:p w:rsidR="008E273C" w:rsidRDefault="008E273C" w:rsidP="00DC6D62">
      <w:pPr>
        <w:pStyle w:val="BodyText"/>
        <w:ind w:left="720"/>
      </w:pPr>
      <w:proofErr w:type="gramStart"/>
      <w:r>
        <w:t>payments</w:t>
      </w:r>
      <w:proofErr w:type="gramEnd"/>
      <w:r>
        <w:t xml:space="preserve"> for, 7–8</w:t>
      </w:r>
    </w:p>
    <w:p w:rsidR="008E273C" w:rsidRDefault="008E273C" w:rsidP="00DC6D62">
      <w:pPr>
        <w:pStyle w:val="BodyText"/>
      </w:pPr>
      <w:proofErr w:type="gramStart"/>
      <w:r>
        <w:t>suicide</w:t>
      </w:r>
      <w:proofErr w:type="gramEnd"/>
      <w:r>
        <w:t xml:space="preserve"> and self-harm, 47</w:t>
      </w:r>
    </w:p>
    <w:p w:rsidR="008E273C" w:rsidRDefault="008E273C" w:rsidP="00DC6D62">
      <w:pPr>
        <w:pStyle w:val="BodyText"/>
      </w:pPr>
      <w:proofErr w:type="gramStart"/>
      <w:r>
        <w:t>surveys</w:t>
      </w:r>
      <w:proofErr w:type="gramEnd"/>
      <w:r>
        <w:t>, 64, 66, 75, 79, 90, 110–11</w:t>
      </w:r>
    </w:p>
    <w:p w:rsidR="008E273C" w:rsidRDefault="008E273C" w:rsidP="00DC6D62">
      <w:pPr>
        <w:pStyle w:val="BodyText"/>
        <w:ind w:left="720"/>
      </w:pPr>
      <w:proofErr w:type="gramStart"/>
      <w:r>
        <w:t>customer</w:t>
      </w:r>
      <w:proofErr w:type="gramEnd"/>
      <w:r>
        <w:t xml:space="preserve"> satisfaction and feedback, 75, 76, 90, 102, 109–13</w:t>
      </w:r>
    </w:p>
    <w:p w:rsidR="008E273C" w:rsidRDefault="008E273C" w:rsidP="00DC6D62">
      <w:pPr>
        <w:pStyle w:val="BodyText"/>
        <w:ind w:left="720"/>
      </w:pPr>
      <w:proofErr w:type="gramStart"/>
      <w:r>
        <w:t>health</w:t>
      </w:r>
      <w:proofErr w:type="gramEnd"/>
      <w:r>
        <w:t xml:space="preserve"> provider, 88</w:t>
      </w:r>
    </w:p>
    <w:p w:rsidR="008E273C" w:rsidRDefault="008E273C" w:rsidP="00DC6D62">
      <w:pPr>
        <w:pStyle w:val="BodyText"/>
        <w:ind w:left="720"/>
      </w:pPr>
      <w:proofErr w:type="gramStart"/>
      <w:r>
        <w:t>payment</w:t>
      </w:r>
      <w:proofErr w:type="gramEnd"/>
      <w:r>
        <w:t xml:space="preserve"> accuracy, 66, 79</w:t>
      </w:r>
    </w:p>
    <w:p w:rsidR="008E273C" w:rsidRDefault="008E273C" w:rsidP="00DC6D62">
      <w:pPr>
        <w:pStyle w:val="BodyText"/>
        <w:ind w:left="720"/>
      </w:pPr>
      <w:proofErr w:type="gramStart"/>
      <w:r>
        <w:t>staff</w:t>
      </w:r>
      <w:proofErr w:type="gramEnd"/>
      <w:r>
        <w:t>, 64</w:t>
      </w:r>
    </w:p>
    <w:p w:rsidR="008E273C" w:rsidRPr="00DC6D62" w:rsidRDefault="008E273C" w:rsidP="00DC6D62">
      <w:pPr>
        <w:pStyle w:val="BodyText"/>
        <w:rPr>
          <w:b/>
        </w:rPr>
      </w:pPr>
      <w:r w:rsidRPr="00DC6D62">
        <w:rPr>
          <w:b/>
        </w:rPr>
        <w:lastRenderedPageBreak/>
        <w:t>T</w:t>
      </w:r>
    </w:p>
    <w:p w:rsidR="008E273C" w:rsidRDefault="008E273C" w:rsidP="00DC6D62">
      <w:pPr>
        <w:pStyle w:val="BodyText"/>
      </w:pPr>
      <w:r>
        <w:t>Tasmanian transport equalisation schemes, 60</w:t>
      </w:r>
    </w:p>
    <w:p w:rsidR="008E273C" w:rsidRDefault="008E273C" w:rsidP="00DC6D62">
      <w:pPr>
        <w:pStyle w:val="BodyText"/>
      </w:pPr>
      <w:proofErr w:type="gramStart"/>
      <w:r>
        <w:t>tax</w:t>
      </w:r>
      <w:proofErr w:type="gramEnd"/>
      <w:r>
        <w:t xml:space="preserve"> deduction service, 56</w:t>
      </w:r>
    </w:p>
    <w:p w:rsidR="008E273C" w:rsidRDefault="008E273C" w:rsidP="00DC6D62">
      <w:pPr>
        <w:pStyle w:val="BodyText"/>
      </w:pPr>
      <w:proofErr w:type="gramStart"/>
      <w:r>
        <w:t>telephone</w:t>
      </w:r>
      <w:proofErr w:type="gramEnd"/>
      <w:r>
        <w:t xml:space="preserve"> services, x, xviii, 3, 54</w:t>
      </w:r>
    </w:p>
    <w:p w:rsidR="008E273C" w:rsidRDefault="008E273C" w:rsidP="00DC6D62">
      <w:pPr>
        <w:pStyle w:val="BodyText"/>
        <w:ind w:left="720"/>
      </w:pPr>
      <w:proofErr w:type="gramStart"/>
      <w:r>
        <w:t>customer</w:t>
      </w:r>
      <w:proofErr w:type="gramEnd"/>
      <w:r>
        <w:t xml:space="preserve"> experience improvements, 5–6</w:t>
      </w:r>
    </w:p>
    <w:p w:rsidR="008E273C" w:rsidRDefault="008E273C" w:rsidP="00DC6D62">
      <w:pPr>
        <w:pStyle w:val="BodyText"/>
        <w:ind w:left="720"/>
      </w:pPr>
      <w:proofErr w:type="gramStart"/>
      <w:r>
        <w:t>effect</w:t>
      </w:r>
      <w:proofErr w:type="gramEnd"/>
      <w:r>
        <w:t xml:space="preserve"> of COVID-19 on, 97–8</w:t>
      </w:r>
    </w:p>
    <w:p w:rsidR="008E273C" w:rsidRDefault="008E273C" w:rsidP="00DC6D62">
      <w:pPr>
        <w:pStyle w:val="BodyText"/>
        <w:ind w:left="720"/>
      </w:pPr>
      <w:proofErr w:type="gramStart"/>
      <w:r>
        <w:t>performance</w:t>
      </w:r>
      <w:proofErr w:type="gramEnd"/>
      <w:r>
        <w:t xml:space="preserve"> results 2019–20, 73, 74, 81–2, 96–8, 106–7</w:t>
      </w:r>
    </w:p>
    <w:p w:rsidR="008E273C" w:rsidRDefault="008E273C" w:rsidP="00DC6D62">
      <w:pPr>
        <w:pStyle w:val="BodyText"/>
      </w:pPr>
      <w:proofErr w:type="gramStart"/>
      <w:r>
        <w:t>telephony</w:t>
      </w:r>
      <w:proofErr w:type="gramEnd"/>
      <w:r>
        <w:t xml:space="preserve"> service level standards, 81–2, 96–8, 106–7</w:t>
      </w:r>
    </w:p>
    <w:p w:rsidR="008E273C" w:rsidRDefault="008E273C" w:rsidP="00DC6D62">
      <w:pPr>
        <w:pStyle w:val="BodyText"/>
      </w:pPr>
      <w:proofErr w:type="gramStart"/>
      <w:r>
        <w:t>terrorism</w:t>
      </w:r>
      <w:proofErr w:type="gramEnd"/>
      <w:r>
        <w:t>, payments for victims of, 53</w:t>
      </w:r>
    </w:p>
    <w:p w:rsidR="008E273C" w:rsidRDefault="008E273C" w:rsidP="00DC6D62">
      <w:pPr>
        <w:pStyle w:val="BodyText"/>
      </w:pPr>
      <w:r>
        <w:t>Third Party Portal, DVA, 6</w:t>
      </w:r>
    </w:p>
    <w:p w:rsidR="008E273C" w:rsidRDefault="008E273C" w:rsidP="00DC6D62">
      <w:pPr>
        <w:pStyle w:val="BodyText"/>
      </w:pPr>
      <w:proofErr w:type="gramStart"/>
      <w:r>
        <w:t>tip-offs</w:t>
      </w:r>
      <w:proofErr w:type="gramEnd"/>
      <w:r>
        <w:t>, public, 63, 170</w:t>
      </w:r>
    </w:p>
    <w:p w:rsidR="008E273C" w:rsidRPr="00DC6D62" w:rsidRDefault="008E273C" w:rsidP="00DC6D62">
      <w:pPr>
        <w:pStyle w:val="BodyText"/>
        <w:rPr>
          <w:b/>
        </w:rPr>
      </w:pPr>
      <w:r w:rsidRPr="00DC6D62">
        <w:rPr>
          <w:b/>
        </w:rPr>
        <w:t>U</w:t>
      </w:r>
    </w:p>
    <w:p w:rsidR="008E273C" w:rsidRDefault="008E273C" w:rsidP="00DC6D62">
      <w:pPr>
        <w:pStyle w:val="BodyText"/>
      </w:pPr>
      <w:proofErr w:type="gramStart"/>
      <w:r>
        <w:t>unemployed</w:t>
      </w:r>
      <w:proofErr w:type="gramEnd"/>
      <w:r>
        <w:t xml:space="preserve"> Australians </w:t>
      </w:r>
      <w:r>
        <w:rPr>
          <w:rFonts w:ascii="Roboto-Italic" w:hAnsi="Roboto-Italic" w:cs="Roboto-Italic"/>
          <w:i/>
          <w:iCs/>
        </w:rPr>
        <w:t>see</w:t>
      </w:r>
      <w:r>
        <w:t xml:space="preserve"> job seekers</w:t>
      </w:r>
    </w:p>
    <w:p w:rsidR="008E273C" w:rsidRDefault="008E273C" w:rsidP="00DC6D62">
      <w:pPr>
        <w:pStyle w:val="BodyText"/>
      </w:pPr>
      <w:r>
        <w:t>Update Study Details service, 78</w:t>
      </w:r>
    </w:p>
    <w:p w:rsidR="008E273C" w:rsidRPr="00DC6D62" w:rsidRDefault="008E273C" w:rsidP="00DC6D62">
      <w:pPr>
        <w:pStyle w:val="BodyText"/>
        <w:rPr>
          <w:b/>
        </w:rPr>
      </w:pPr>
      <w:r w:rsidRPr="00DC6D62">
        <w:rPr>
          <w:b/>
        </w:rPr>
        <w:t>V</w:t>
      </w:r>
    </w:p>
    <w:p w:rsidR="008E273C" w:rsidRDefault="008E273C" w:rsidP="00DC6D62">
      <w:pPr>
        <w:pStyle w:val="BodyText"/>
      </w:pPr>
      <w:proofErr w:type="gramStart"/>
      <w:r>
        <w:t>vaccines</w:t>
      </w:r>
      <w:proofErr w:type="gramEnd"/>
      <w:r>
        <w:t xml:space="preserve"> </w:t>
      </w:r>
      <w:r>
        <w:rPr>
          <w:rFonts w:ascii="Roboto-Italic" w:hAnsi="Roboto-Italic" w:cs="Roboto-Italic"/>
          <w:i/>
          <w:iCs/>
        </w:rPr>
        <w:t>see</w:t>
      </w:r>
      <w:r>
        <w:t xml:space="preserve"> immunisation</w:t>
      </w:r>
    </w:p>
    <w:p w:rsidR="008E273C" w:rsidRDefault="008E273C" w:rsidP="00DC6D62">
      <w:pPr>
        <w:pStyle w:val="BodyText"/>
      </w:pPr>
      <w:r>
        <w:t>Veteran Centric Reform—Putting Veterans and Their Families First Program, 5–6</w:t>
      </w:r>
    </w:p>
    <w:p w:rsidR="008E273C" w:rsidRDefault="008E273C" w:rsidP="00DC6D62">
      <w:pPr>
        <w:pStyle w:val="BodyText"/>
      </w:pPr>
      <w:proofErr w:type="gramStart"/>
      <w:r>
        <w:t>veterans</w:t>
      </w:r>
      <w:proofErr w:type="gramEnd"/>
      <w:r>
        <w:t>, 23, 27</w:t>
      </w:r>
    </w:p>
    <w:p w:rsidR="008E273C" w:rsidRDefault="008E273C" w:rsidP="00DC6D62">
      <w:pPr>
        <w:pStyle w:val="BodyText"/>
        <w:ind w:left="720"/>
      </w:pPr>
      <w:proofErr w:type="gramStart"/>
      <w:r>
        <w:t>service</w:t>
      </w:r>
      <w:proofErr w:type="gramEnd"/>
      <w:r>
        <w:t xml:space="preserve"> improvements, 5–6</w:t>
      </w:r>
    </w:p>
    <w:p w:rsidR="008E273C" w:rsidRDefault="008E273C" w:rsidP="00DC6D62">
      <w:pPr>
        <w:pStyle w:val="BodyText"/>
      </w:pPr>
      <w:proofErr w:type="gramStart"/>
      <w:r>
        <w:t>virtual</w:t>
      </w:r>
      <w:proofErr w:type="gramEnd"/>
      <w:r>
        <w:t xml:space="preserve"> assistants, use of, 15</w:t>
      </w:r>
    </w:p>
    <w:p w:rsidR="008E273C" w:rsidRDefault="008E273C" w:rsidP="00DC6D62">
      <w:pPr>
        <w:pStyle w:val="BodyText"/>
      </w:pPr>
      <w:proofErr w:type="gramStart"/>
      <w:r>
        <w:t>vulnerable</w:t>
      </w:r>
      <w:proofErr w:type="gramEnd"/>
      <w:r>
        <w:t xml:space="preserve"> customers, 47–8, 55, 67–8</w:t>
      </w:r>
    </w:p>
    <w:p w:rsidR="008E273C" w:rsidRDefault="008E273C" w:rsidP="00DC6D62">
      <w:pPr>
        <w:pStyle w:val="BodyText"/>
        <w:ind w:left="720"/>
      </w:pPr>
      <w:r>
        <w:t>Disability Medical Assessment improvements, 10</w:t>
      </w:r>
    </w:p>
    <w:p w:rsidR="008E273C" w:rsidRPr="00DC6D62" w:rsidRDefault="008E273C" w:rsidP="00DC6D62">
      <w:pPr>
        <w:pStyle w:val="BodyText"/>
        <w:rPr>
          <w:b/>
        </w:rPr>
      </w:pPr>
      <w:r w:rsidRPr="00DC6D62">
        <w:rPr>
          <w:b/>
        </w:rPr>
        <w:t>W</w:t>
      </w:r>
    </w:p>
    <w:p w:rsidR="008E273C" w:rsidRDefault="008E273C" w:rsidP="00DC6D62">
      <w:pPr>
        <w:pStyle w:val="BodyText"/>
      </w:pPr>
      <w:proofErr w:type="gramStart"/>
      <w:r>
        <w:t>wait</w:t>
      </w:r>
      <w:proofErr w:type="gramEnd"/>
      <w:r>
        <w:t xml:space="preserve"> times, 81, 95, 106–7</w:t>
      </w:r>
    </w:p>
    <w:p w:rsidR="008E273C" w:rsidRDefault="008E273C" w:rsidP="00DC6D62">
      <w:pPr>
        <w:pStyle w:val="BodyText"/>
      </w:pPr>
      <w:proofErr w:type="spellStart"/>
      <w:r>
        <w:t>Webclaim</w:t>
      </w:r>
      <w:proofErr w:type="spellEnd"/>
      <w:r>
        <w:t>, DVA, 27</w:t>
      </w:r>
    </w:p>
    <w:p w:rsidR="008E273C" w:rsidRDefault="008E273C" w:rsidP="00DC6D62">
      <w:pPr>
        <w:pStyle w:val="BodyText"/>
      </w:pPr>
      <w:proofErr w:type="gramStart"/>
      <w:r>
        <w:t>website</w:t>
      </w:r>
      <w:proofErr w:type="gramEnd"/>
      <w:r>
        <w:t>, 16, 41, 163, 197</w:t>
      </w:r>
    </w:p>
    <w:p w:rsidR="008E273C" w:rsidRDefault="008E273C" w:rsidP="00DC6D62">
      <w:pPr>
        <w:pStyle w:val="BodyText"/>
      </w:pPr>
      <w:r>
        <w:t>Welfare Payment Infrastructure Transformation (WPIT) Programme, xi, xii, 4–5</w:t>
      </w:r>
    </w:p>
    <w:p w:rsidR="008E273C" w:rsidRDefault="008E273C" w:rsidP="00DC6D62">
      <w:pPr>
        <w:pStyle w:val="BodyText"/>
      </w:pPr>
      <w:r>
        <w:t>Whole of Government Provider Digital Access, 6</w:t>
      </w:r>
    </w:p>
    <w:p w:rsidR="008E273C" w:rsidRDefault="008E273C" w:rsidP="00DC6D62">
      <w:pPr>
        <w:pStyle w:val="BodyText"/>
      </w:pPr>
      <w:r>
        <w:t>Work Bonus, 8</w:t>
      </w:r>
    </w:p>
    <w:p w:rsidR="008E273C" w:rsidRDefault="008E273C" w:rsidP="00DC6D62">
      <w:pPr>
        <w:pStyle w:val="BodyText"/>
      </w:pPr>
      <w:proofErr w:type="gramStart"/>
      <w:r>
        <w:lastRenderedPageBreak/>
        <w:t>work</w:t>
      </w:r>
      <w:proofErr w:type="gramEnd"/>
      <w:r>
        <w:t xml:space="preserve"> capacity assessments </w:t>
      </w:r>
      <w:r>
        <w:rPr>
          <w:rFonts w:ascii="Roboto-Italic" w:hAnsi="Roboto-Italic" w:cs="Roboto-Italic"/>
          <w:i/>
          <w:iCs/>
        </w:rPr>
        <w:t>see</w:t>
      </w:r>
      <w:r>
        <w:t xml:space="preserve"> assessment services</w:t>
      </w:r>
    </w:p>
    <w:p w:rsidR="008E273C" w:rsidRDefault="008E273C" w:rsidP="00DC6D62">
      <w:pPr>
        <w:pStyle w:val="BodyText"/>
      </w:pPr>
      <w:proofErr w:type="gramStart"/>
      <w:r>
        <w:t>work</w:t>
      </w:r>
      <w:proofErr w:type="gramEnd"/>
      <w:r>
        <w:t xml:space="preserve"> health and safety, 198–9</w:t>
      </w:r>
    </w:p>
    <w:p w:rsidR="008E273C" w:rsidRDefault="008E273C" w:rsidP="00DC6D62">
      <w:pPr>
        <w:pStyle w:val="BodyText"/>
      </w:pPr>
      <w:r>
        <w:t>Work Health and Safety Act 2011 reporting, 199</w:t>
      </w:r>
    </w:p>
    <w:p w:rsidR="008E273C" w:rsidRDefault="008E273C" w:rsidP="00DC6D62">
      <w:pPr>
        <w:pStyle w:val="BodyText"/>
      </w:pPr>
      <w:proofErr w:type="gramStart"/>
      <w:r>
        <w:t>workers</w:t>
      </w:r>
      <w:proofErr w:type="gramEnd"/>
      <w:r>
        <w:t xml:space="preserve"> compensation, 198–9</w:t>
      </w:r>
    </w:p>
    <w:p w:rsidR="008E273C" w:rsidRDefault="008E273C" w:rsidP="00DC6D62">
      <w:pPr>
        <w:pStyle w:val="BodyText"/>
      </w:pPr>
      <w:r>
        <w:t>Workforce Incentive Program, 30–1</w:t>
      </w:r>
    </w:p>
    <w:p w:rsidR="008E273C" w:rsidRDefault="008E273C" w:rsidP="00DC6D62">
      <w:pPr>
        <w:pStyle w:val="BodyText"/>
      </w:pPr>
      <w:proofErr w:type="gramStart"/>
      <w:r>
        <w:t>workforce</w:t>
      </w:r>
      <w:proofErr w:type="gramEnd"/>
      <w:r>
        <w:t xml:space="preserve"> planning, 182</w:t>
      </w:r>
    </w:p>
    <w:p w:rsidR="008E273C" w:rsidRDefault="008E273C" w:rsidP="00DC6D62">
      <w:pPr>
        <w:pStyle w:val="BodyText"/>
      </w:pPr>
      <w:proofErr w:type="gramStart"/>
      <w:r>
        <w:t>workplace</w:t>
      </w:r>
      <w:proofErr w:type="gramEnd"/>
      <w:r>
        <w:t xml:space="preserve"> culture, 177</w:t>
      </w:r>
    </w:p>
    <w:p w:rsidR="008E273C" w:rsidRDefault="008E273C" w:rsidP="00DC6D62">
      <w:pPr>
        <w:pStyle w:val="BodyText"/>
      </w:pPr>
      <w:r>
        <w:t>Workplace Inclusion and Diversity Strategy 2019–23, 183, 184</w:t>
      </w:r>
    </w:p>
    <w:p w:rsidR="008E273C" w:rsidRDefault="008E273C" w:rsidP="00DC6D62">
      <w:pPr>
        <w:pStyle w:val="BodyText"/>
      </w:pPr>
      <w:proofErr w:type="gramStart"/>
      <w:r>
        <w:t>workshops</w:t>
      </w:r>
      <w:proofErr w:type="gramEnd"/>
      <w:r>
        <w:t xml:space="preserve"> </w:t>
      </w:r>
      <w:r>
        <w:rPr>
          <w:rFonts w:ascii="Roboto-Italic" w:hAnsi="Roboto-Italic" w:cs="Roboto-Italic"/>
          <w:i/>
          <w:iCs/>
        </w:rPr>
        <w:t>see</w:t>
      </w:r>
      <w:r>
        <w:t xml:space="preserve"> conferences and workshops</w:t>
      </w:r>
    </w:p>
    <w:p w:rsidR="008E273C" w:rsidRPr="00DC6D62" w:rsidRDefault="008E273C" w:rsidP="00DC6D62">
      <w:pPr>
        <w:pStyle w:val="BodyText"/>
        <w:rPr>
          <w:b/>
        </w:rPr>
      </w:pPr>
      <w:r w:rsidRPr="00DC6D62">
        <w:rPr>
          <w:b/>
        </w:rPr>
        <w:t>Y</w:t>
      </w:r>
    </w:p>
    <w:p w:rsidR="008E273C" w:rsidRDefault="008E273C" w:rsidP="00DC6D62">
      <w:pPr>
        <w:pStyle w:val="BodyText"/>
      </w:pPr>
      <w:proofErr w:type="gramStart"/>
      <w:r>
        <w:t>year</w:t>
      </w:r>
      <w:proofErr w:type="gramEnd"/>
      <w:r>
        <w:t xml:space="preserve"> ahead, xii</w:t>
      </w:r>
    </w:p>
    <w:p w:rsidR="008E273C" w:rsidRDefault="008E273C" w:rsidP="00DC6D62">
      <w:pPr>
        <w:pStyle w:val="BodyText"/>
      </w:pPr>
      <w:r>
        <w:t>Youth Allowance, 8, 15</w:t>
      </w:r>
    </w:p>
    <w:p w:rsidR="008E273C" w:rsidRDefault="008E273C" w:rsidP="00DC6D62">
      <w:pPr>
        <w:pStyle w:val="BodyText"/>
      </w:pPr>
      <w:r>
        <w:t>Youth Allowance (Job Seeker), xv, 14</w:t>
      </w:r>
    </w:p>
    <w:p w:rsidR="008E273C" w:rsidRPr="008E273C" w:rsidRDefault="00DC6D62" w:rsidP="00DC6D62">
      <w:pPr>
        <w:pStyle w:val="ProductCode"/>
      </w:pPr>
      <w:r>
        <w:t>8802.2010</w:t>
      </w:r>
    </w:p>
    <w:sectPr w:rsidR="008E273C" w:rsidRPr="008E273C" w:rsidSect="00877919">
      <w:headerReference w:type="even" r:id="rId8"/>
      <w:headerReference w:type="default" r:id="rId9"/>
      <w:footerReference w:type="even" r:id="rId10"/>
      <w:footerReference w:type="default" r:id="rId11"/>
      <w:headerReference w:type="first" r:id="rId12"/>
      <w:footerReference w:type="first" r:id="rId1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56" w:rsidRDefault="00327456" w:rsidP="00C77FE4">
      <w:r>
        <w:separator/>
      </w:r>
    </w:p>
  </w:endnote>
  <w:endnote w:type="continuationSeparator" w:id="0">
    <w:p w:rsidR="00327456" w:rsidRDefault="00327456"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Medium">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Roboto-Bold">
    <w:panose1 w:val="00000000000000000000"/>
    <w:charset w:val="00"/>
    <w:family w:val="auto"/>
    <w:notTrueType/>
    <w:pitch w:val="default"/>
    <w:sig w:usb0="00000003" w:usb1="00000000" w:usb2="00000000" w:usb3="00000000" w:csb0="00000001" w:csb1="00000000"/>
  </w:font>
  <w:font w:name="Roboto-Medium">
    <w:panose1 w:val="00000000000000000000"/>
    <w:charset w:val="00"/>
    <w:family w:val="auto"/>
    <w:notTrueType/>
    <w:pitch w:val="default"/>
    <w:sig w:usb0="00000003" w:usb1="00000000" w:usb2="00000000" w:usb3="00000000" w:csb0="00000001" w:csb1="00000000"/>
  </w:font>
  <w:font w:name="Roboto-Italic">
    <w:panose1 w:val="00000000000000000000"/>
    <w:charset w:val="00"/>
    <w:family w:val="auto"/>
    <w:notTrueType/>
    <w:pitch w:val="default"/>
    <w:sig w:usb0="00000003" w:usb1="00000000" w:usb2="00000000" w:usb3="00000000" w:csb0="00000001" w:csb1="00000000"/>
  </w:font>
  <w:font w:name="Roboto-BoldItalic">
    <w:panose1 w:val="00000000000000000000"/>
    <w:charset w:val="00"/>
    <w:family w:val="auto"/>
    <w:notTrueType/>
    <w:pitch w:val="default"/>
    <w:sig w:usb0="00000003" w:usb1="00000000" w:usb2="00000000" w:usb3="00000000" w:csb0="00000001" w:csb1="00000000"/>
  </w:font>
  <w:font w:name="Roboto-Medium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DF" w:rsidRDefault="00E51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DF" w:rsidRDefault="00E51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DF" w:rsidRDefault="00E51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56" w:rsidRDefault="00327456" w:rsidP="00C77FE4">
      <w:r>
        <w:separator/>
      </w:r>
    </w:p>
  </w:footnote>
  <w:footnote w:type="continuationSeparator" w:id="0">
    <w:p w:rsidR="00327456" w:rsidRDefault="00327456"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DF" w:rsidRDefault="00E51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DF" w:rsidRDefault="00E51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5DF" w:rsidRDefault="00E51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3C"/>
    <w:rsid w:val="000076F8"/>
    <w:rsid w:val="00015456"/>
    <w:rsid w:val="000156A2"/>
    <w:rsid w:val="00015AE7"/>
    <w:rsid w:val="00017F7D"/>
    <w:rsid w:val="00032A7E"/>
    <w:rsid w:val="00041C90"/>
    <w:rsid w:val="00044271"/>
    <w:rsid w:val="00047ECA"/>
    <w:rsid w:val="00052A54"/>
    <w:rsid w:val="00054392"/>
    <w:rsid w:val="00054F06"/>
    <w:rsid w:val="000671E4"/>
    <w:rsid w:val="00071651"/>
    <w:rsid w:val="00091FBD"/>
    <w:rsid w:val="000967ED"/>
    <w:rsid w:val="000A254A"/>
    <w:rsid w:val="000A5E33"/>
    <w:rsid w:val="000B4048"/>
    <w:rsid w:val="000C5A32"/>
    <w:rsid w:val="000D246D"/>
    <w:rsid w:val="000E2170"/>
    <w:rsid w:val="000E5AEE"/>
    <w:rsid w:val="000F2731"/>
    <w:rsid w:val="000F40EE"/>
    <w:rsid w:val="0010299A"/>
    <w:rsid w:val="00105ADB"/>
    <w:rsid w:val="00106CBE"/>
    <w:rsid w:val="00111E1D"/>
    <w:rsid w:val="00120212"/>
    <w:rsid w:val="0012437B"/>
    <w:rsid w:val="001311BA"/>
    <w:rsid w:val="00132C19"/>
    <w:rsid w:val="00140AB3"/>
    <w:rsid w:val="00141944"/>
    <w:rsid w:val="001505B8"/>
    <w:rsid w:val="001678AC"/>
    <w:rsid w:val="001718F2"/>
    <w:rsid w:val="00171B3E"/>
    <w:rsid w:val="001859C2"/>
    <w:rsid w:val="00196A88"/>
    <w:rsid w:val="001A17C8"/>
    <w:rsid w:val="001A7379"/>
    <w:rsid w:val="001A7D06"/>
    <w:rsid w:val="001C0E50"/>
    <w:rsid w:val="001C3A5F"/>
    <w:rsid w:val="001E0BFD"/>
    <w:rsid w:val="001E5563"/>
    <w:rsid w:val="001E55A2"/>
    <w:rsid w:val="001F312C"/>
    <w:rsid w:val="00211456"/>
    <w:rsid w:val="00244B07"/>
    <w:rsid w:val="00251E3F"/>
    <w:rsid w:val="002556F0"/>
    <w:rsid w:val="00256A48"/>
    <w:rsid w:val="002608D5"/>
    <w:rsid w:val="002705E1"/>
    <w:rsid w:val="00280896"/>
    <w:rsid w:val="002B682A"/>
    <w:rsid w:val="002C67B2"/>
    <w:rsid w:val="002E0853"/>
    <w:rsid w:val="002F3DA7"/>
    <w:rsid w:val="00300910"/>
    <w:rsid w:val="00313C9F"/>
    <w:rsid w:val="00327456"/>
    <w:rsid w:val="00331B6F"/>
    <w:rsid w:val="0033237E"/>
    <w:rsid w:val="0036715B"/>
    <w:rsid w:val="00372C03"/>
    <w:rsid w:val="00374B97"/>
    <w:rsid w:val="0037551D"/>
    <w:rsid w:val="00382845"/>
    <w:rsid w:val="003868BB"/>
    <w:rsid w:val="00386ECC"/>
    <w:rsid w:val="003926AC"/>
    <w:rsid w:val="00393DCE"/>
    <w:rsid w:val="003A29E7"/>
    <w:rsid w:val="003A5874"/>
    <w:rsid w:val="003E0728"/>
    <w:rsid w:val="003E4B19"/>
    <w:rsid w:val="003F2DCC"/>
    <w:rsid w:val="003F3FE6"/>
    <w:rsid w:val="003F6EAC"/>
    <w:rsid w:val="004027EB"/>
    <w:rsid w:val="004046AA"/>
    <w:rsid w:val="00404F1C"/>
    <w:rsid w:val="00412B68"/>
    <w:rsid w:val="004202FF"/>
    <w:rsid w:val="004353EC"/>
    <w:rsid w:val="0043780F"/>
    <w:rsid w:val="00442B0D"/>
    <w:rsid w:val="0044432E"/>
    <w:rsid w:val="00451B0A"/>
    <w:rsid w:val="00454A1A"/>
    <w:rsid w:val="00464F97"/>
    <w:rsid w:val="004655D8"/>
    <w:rsid w:val="004760B3"/>
    <w:rsid w:val="00480407"/>
    <w:rsid w:val="004967BA"/>
    <w:rsid w:val="00496E7D"/>
    <w:rsid w:val="004A56A1"/>
    <w:rsid w:val="004B05EB"/>
    <w:rsid w:val="004C2789"/>
    <w:rsid w:val="004C3F91"/>
    <w:rsid w:val="004C46FC"/>
    <w:rsid w:val="004C7427"/>
    <w:rsid w:val="004E064F"/>
    <w:rsid w:val="004F0442"/>
    <w:rsid w:val="00502B72"/>
    <w:rsid w:val="00515AE9"/>
    <w:rsid w:val="00515B62"/>
    <w:rsid w:val="00521EBE"/>
    <w:rsid w:val="00522E98"/>
    <w:rsid w:val="00523070"/>
    <w:rsid w:val="0053686B"/>
    <w:rsid w:val="005447EC"/>
    <w:rsid w:val="00547164"/>
    <w:rsid w:val="00567226"/>
    <w:rsid w:val="005706D2"/>
    <w:rsid w:val="00586555"/>
    <w:rsid w:val="005A433D"/>
    <w:rsid w:val="005B081F"/>
    <w:rsid w:val="005B092F"/>
    <w:rsid w:val="005B17EB"/>
    <w:rsid w:val="005B69B7"/>
    <w:rsid w:val="005D794B"/>
    <w:rsid w:val="005E6C88"/>
    <w:rsid w:val="005F00EB"/>
    <w:rsid w:val="005F107D"/>
    <w:rsid w:val="005F1D36"/>
    <w:rsid w:val="005F5542"/>
    <w:rsid w:val="00604426"/>
    <w:rsid w:val="00606393"/>
    <w:rsid w:val="006225D9"/>
    <w:rsid w:val="00642687"/>
    <w:rsid w:val="00657D31"/>
    <w:rsid w:val="00660806"/>
    <w:rsid w:val="00665C7F"/>
    <w:rsid w:val="00677137"/>
    <w:rsid w:val="00677713"/>
    <w:rsid w:val="0069046E"/>
    <w:rsid w:val="006B07C6"/>
    <w:rsid w:val="006B3127"/>
    <w:rsid w:val="006C3DEB"/>
    <w:rsid w:val="006C762C"/>
    <w:rsid w:val="006D08E2"/>
    <w:rsid w:val="006D2988"/>
    <w:rsid w:val="006D35B7"/>
    <w:rsid w:val="006D5715"/>
    <w:rsid w:val="006D6F0A"/>
    <w:rsid w:val="006F14D2"/>
    <w:rsid w:val="006F3A95"/>
    <w:rsid w:val="00705895"/>
    <w:rsid w:val="00705D14"/>
    <w:rsid w:val="00716746"/>
    <w:rsid w:val="00726026"/>
    <w:rsid w:val="00727EE5"/>
    <w:rsid w:val="00733DA5"/>
    <w:rsid w:val="007350CF"/>
    <w:rsid w:val="0075047E"/>
    <w:rsid w:val="00750D76"/>
    <w:rsid w:val="0075125F"/>
    <w:rsid w:val="00754ED8"/>
    <w:rsid w:val="00755F9C"/>
    <w:rsid w:val="00765891"/>
    <w:rsid w:val="00772358"/>
    <w:rsid w:val="00772850"/>
    <w:rsid w:val="007771BF"/>
    <w:rsid w:val="00782E7E"/>
    <w:rsid w:val="007832E8"/>
    <w:rsid w:val="0078491F"/>
    <w:rsid w:val="007868CA"/>
    <w:rsid w:val="0079242F"/>
    <w:rsid w:val="00792D7C"/>
    <w:rsid w:val="00794733"/>
    <w:rsid w:val="007A3699"/>
    <w:rsid w:val="007A6B1C"/>
    <w:rsid w:val="007B3F73"/>
    <w:rsid w:val="007B4AC9"/>
    <w:rsid w:val="007B5011"/>
    <w:rsid w:val="007B72F3"/>
    <w:rsid w:val="007C4725"/>
    <w:rsid w:val="007D2AE4"/>
    <w:rsid w:val="007D3C35"/>
    <w:rsid w:val="007D500B"/>
    <w:rsid w:val="007D761E"/>
    <w:rsid w:val="007E5532"/>
    <w:rsid w:val="007F7BFB"/>
    <w:rsid w:val="008004E6"/>
    <w:rsid w:val="00802139"/>
    <w:rsid w:val="00803635"/>
    <w:rsid w:val="00861535"/>
    <w:rsid w:val="0086273D"/>
    <w:rsid w:val="00875BC1"/>
    <w:rsid w:val="00876891"/>
    <w:rsid w:val="00877919"/>
    <w:rsid w:val="008806FF"/>
    <w:rsid w:val="008842C6"/>
    <w:rsid w:val="008879DA"/>
    <w:rsid w:val="0089348B"/>
    <w:rsid w:val="008A165E"/>
    <w:rsid w:val="008A31BD"/>
    <w:rsid w:val="008B2193"/>
    <w:rsid w:val="008B23EF"/>
    <w:rsid w:val="008B25AD"/>
    <w:rsid w:val="008B54E0"/>
    <w:rsid w:val="008C199A"/>
    <w:rsid w:val="008E273C"/>
    <w:rsid w:val="009102B3"/>
    <w:rsid w:val="00910FA2"/>
    <w:rsid w:val="009118A6"/>
    <w:rsid w:val="0094424A"/>
    <w:rsid w:val="00947B63"/>
    <w:rsid w:val="009539AE"/>
    <w:rsid w:val="009654DA"/>
    <w:rsid w:val="00972D45"/>
    <w:rsid w:val="00976C5F"/>
    <w:rsid w:val="00985EC6"/>
    <w:rsid w:val="00987378"/>
    <w:rsid w:val="009920AD"/>
    <w:rsid w:val="00997B75"/>
    <w:rsid w:val="009B6CC2"/>
    <w:rsid w:val="009C6B09"/>
    <w:rsid w:val="009D16AA"/>
    <w:rsid w:val="009E59EB"/>
    <w:rsid w:val="009F0717"/>
    <w:rsid w:val="00A06486"/>
    <w:rsid w:val="00A11D8E"/>
    <w:rsid w:val="00A21258"/>
    <w:rsid w:val="00A265A0"/>
    <w:rsid w:val="00A41E85"/>
    <w:rsid w:val="00A52B74"/>
    <w:rsid w:val="00A537F5"/>
    <w:rsid w:val="00A83997"/>
    <w:rsid w:val="00A95C0E"/>
    <w:rsid w:val="00AA3023"/>
    <w:rsid w:val="00AA4D96"/>
    <w:rsid w:val="00AB125B"/>
    <w:rsid w:val="00AB3973"/>
    <w:rsid w:val="00AB4F8F"/>
    <w:rsid w:val="00AC2098"/>
    <w:rsid w:val="00AC4959"/>
    <w:rsid w:val="00AD7DEA"/>
    <w:rsid w:val="00AE6BC5"/>
    <w:rsid w:val="00AF2611"/>
    <w:rsid w:val="00AF2766"/>
    <w:rsid w:val="00AF59AF"/>
    <w:rsid w:val="00B105F1"/>
    <w:rsid w:val="00B20D55"/>
    <w:rsid w:val="00B27DB9"/>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07FC"/>
    <w:rsid w:val="00BD2D68"/>
    <w:rsid w:val="00BD773A"/>
    <w:rsid w:val="00BF032E"/>
    <w:rsid w:val="00C245AC"/>
    <w:rsid w:val="00C25262"/>
    <w:rsid w:val="00C31DF7"/>
    <w:rsid w:val="00C3620B"/>
    <w:rsid w:val="00C4340D"/>
    <w:rsid w:val="00C43A50"/>
    <w:rsid w:val="00C46790"/>
    <w:rsid w:val="00C50C30"/>
    <w:rsid w:val="00C713F5"/>
    <w:rsid w:val="00C77FE4"/>
    <w:rsid w:val="00C86E67"/>
    <w:rsid w:val="00C91EEF"/>
    <w:rsid w:val="00C95A69"/>
    <w:rsid w:val="00C96772"/>
    <w:rsid w:val="00CA2FB4"/>
    <w:rsid w:val="00CA3C73"/>
    <w:rsid w:val="00CB2A52"/>
    <w:rsid w:val="00CB6314"/>
    <w:rsid w:val="00CC520F"/>
    <w:rsid w:val="00CD7C3B"/>
    <w:rsid w:val="00CE4300"/>
    <w:rsid w:val="00CE5D91"/>
    <w:rsid w:val="00D05662"/>
    <w:rsid w:val="00D05A32"/>
    <w:rsid w:val="00D22D34"/>
    <w:rsid w:val="00D27B93"/>
    <w:rsid w:val="00D4092F"/>
    <w:rsid w:val="00D471E5"/>
    <w:rsid w:val="00D61251"/>
    <w:rsid w:val="00D62DEA"/>
    <w:rsid w:val="00D65810"/>
    <w:rsid w:val="00D7585D"/>
    <w:rsid w:val="00D90171"/>
    <w:rsid w:val="00D95D2A"/>
    <w:rsid w:val="00DA1FF6"/>
    <w:rsid w:val="00DB50EE"/>
    <w:rsid w:val="00DB5AB6"/>
    <w:rsid w:val="00DC6D62"/>
    <w:rsid w:val="00DF0E65"/>
    <w:rsid w:val="00DF3345"/>
    <w:rsid w:val="00DF39AF"/>
    <w:rsid w:val="00DF6DA7"/>
    <w:rsid w:val="00E018DC"/>
    <w:rsid w:val="00E05521"/>
    <w:rsid w:val="00E075E7"/>
    <w:rsid w:val="00E22EB2"/>
    <w:rsid w:val="00E24639"/>
    <w:rsid w:val="00E24EC1"/>
    <w:rsid w:val="00E352AC"/>
    <w:rsid w:val="00E36B3F"/>
    <w:rsid w:val="00E42522"/>
    <w:rsid w:val="00E454C6"/>
    <w:rsid w:val="00E45D23"/>
    <w:rsid w:val="00E515DF"/>
    <w:rsid w:val="00E66C20"/>
    <w:rsid w:val="00E75E33"/>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1074"/>
    <w:rsid w:val="00F260CA"/>
    <w:rsid w:val="00F43665"/>
    <w:rsid w:val="00F52C15"/>
    <w:rsid w:val="00F612F8"/>
    <w:rsid w:val="00F65C44"/>
    <w:rsid w:val="00F708F0"/>
    <w:rsid w:val="00F75113"/>
    <w:rsid w:val="00F9462E"/>
    <w:rsid w:val="00F94A6B"/>
    <w:rsid w:val="00FA3BCF"/>
    <w:rsid w:val="00FA722D"/>
    <w:rsid w:val="00FB1389"/>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link w:val="Heading1Char"/>
    <w:autoRedefine/>
    <w:uiPriority w:val="99"/>
    <w:qFormat/>
    <w:rsid w:val="00C3620B"/>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link w:val="Heading5Char"/>
    <w:uiPriority w:val="99"/>
    <w:qFormat/>
    <w:rsid w:val="00AC4959"/>
    <w:pPr>
      <w:spacing w:before="60" w:after="120"/>
      <w:outlineLvl w:val="4"/>
    </w:pPr>
    <w:rPr>
      <w:b/>
      <w:bCs/>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3620B"/>
    <w:rPr>
      <w:rFonts w:ascii="Arial" w:hAnsi="Arial" w:cs="Arial"/>
      <w:b/>
      <w:bCs/>
      <w:kern w:val="32"/>
      <w:sz w:val="44"/>
      <w:szCs w:val="32"/>
      <w:lang w:eastAsia="en-US"/>
    </w:rPr>
  </w:style>
  <w:style w:type="character" w:customStyle="1" w:styleId="Heading2Char">
    <w:name w:val="Heading 2 Char"/>
    <w:basedOn w:val="DefaultParagraphFont"/>
    <w:link w:val="Heading2"/>
    <w:uiPriority w:val="9"/>
    <w:rsid w:val="008E273C"/>
    <w:rPr>
      <w:rFonts w:ascii="Arial" w:hAnsi="Arial" w:cs="Arial"/>
      <w:b/>
      <w:bCs/>
      <w:iCs/>
      <w:sz w:val="36"/>
      <w:szCs w:val="28"/>
      <w:lang w:eastAsia="en-US"/>
    </w:rPr>
  </w:style>
  <w:style w:type="character" w:customStyle="1" w:styleId="Heading3Char">
    <w:name w:val="Heading 3 Char"/>
    <w:basedOn w:val="DefaultParagraphFont"/>
    <w:link w:val="Heading3"/>
    <w:uiPriority w:val="9"/>
    <w:rsid w:val="008E273C"/>
    <w:rPr>
      <w:rFonts w:ascii="Arial" w:hAnsi="Arial" w:cs="Arial"/>
      <w:b/>
      <w:bCs/>
      <w:sz w:val="32"/>
      <w:szCs w:val="26"/>
      <w:lang w:eastAsia="en-US"/>
    </w:rPr>
  </w:style>
  <w:style w:type="character" w:customStyle="1" w:styleId="Heading4Char">
    <w:name w:val="Heading 4 Char"/>
    <w:basedOn w:val="DefaultParagraphFont"/>
    <w:link w:val="Heading4"/>
    <w:uiPriority w:val="9"/>
    <w:rsid w:val="008E273C"/>
    <w:rPr>
      <w:rFonts w:ascii="Arial" w:hAnsi="Arial"/>
      <w:b/>
      <w:bCs/>
      <w:sz w:val="28"/>
      <w:szCs w:val="28"/>
      <w:lang w:eastAsia="en-US"/>
    </w:rPr>
  </w:style>
  <w:style w:type="character" w:customStyle="1" w:styleId="Heading5Char">
    <w:name w:val="Heading 5 Char"/>
    <w:basedOn w:val="DefaultParagraphFont"/>
    <w:link w:val="Heading5"/>
    <w:uiPriority w:val="99"/>
    <w:rsid w:val="00AC4959"/>
    <w:rPr>
      <w:rFonts w:ascii="Arial" w:hAnsi="Arial"/>
      <w:b/>
      <w:bCs/>
      <w:iCs/>
      <w:sz w:val="26"/>
      <w:szCs w:val="26"/>
      <w:lang w:eastAsia="en-US"/>
    </w:rPr>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link w:val="BodyTextChar"/>
    <w:uiPriority w:val="99"/>
    <w:qFormat/>
    <w:rsid w:val="00B87C17"/>
    <w:pPr>
      <w:spacing w:before="120" w:after="200"/>
    </w:pPr>
  </w:style>
  <w:style w:type="character" w:customStyle="1" w:styleId="BodyTextChar">
    <w:name w:val="Body Text Char"/>
    <w:basedOn w:val="DefaultParagraphFont"/>
    <w:link w:val="BodyText"/>
    <w:uiPriority w:val="99"/>
    <w:rsid w:val="008E273C"/>
    <w:rPr>
      <w:rFonts w:ascii="Arial" w:hAnsi="Arial"/>
      <w:sz w:val="24"/>
      <w:szCs w:val="24"/>
      <w:lang w:eastAsia="en-US"/>
    </w:r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Intropara">
    <w:name w:val="Intro para"/>
    <w:basedOn w:val="Normal"/>
    <w:uiPriority w:val="99"/>
    <w:rsid w:val="008E273C"/>
    <w:pPr>
      <w:widowControl w:val="0"/>
      <w:pBdr>
        <w:top w:val="single" w:sz="6" w:space="28" w:color="000000"/>
        <w:bottom w:val="single" w:sz="6" w:space="14" w:color="000000"/>
      </w:pBdr>
      <w:tabs>
        <w:tab w:val="clear" w:pos="1066"/>
      </w:tabs>
      <w:suppressAutoHyphens/>
      <w:autoSpaceDE w:val="0"/>
      <w:autoSpaceDN w:val="0"/>
      <w:adjustRightInd w:val="0"/>
      <w:spacing w:before="567" w:after="567" w:line="288" w:lineRule="auto"/>
      <w:textAlignment w:val="center"/>
    </w:pPr>
    <w:rPr>
      <w:rFonts w:ascii="Roboto-Regular" w:eastAsiaTheme="minorEastAsia" w:hAnsi="Roboto-Regular" w:cs="Roboto-Regular"/>
      <w:color w:val="000000"/>
      <w:sz w:val="32"/>
      <w:szCs w:val="32"/>
      <w:lang w:val="en-GB" w:eastAsia="en-AU"/>
    </w:rPr>
  </w:style>
  <w:style w:type="paragraph" w:customStyle="1" w:styleId="BodyTextlast">
    <w:name w:val="Body Text (last)"/>
    <w:basedOn w:val="BodyText"/>
    <w:uiPriority w:val="99"/>
    <w:rsid w:val="008E273C"/>
    <w:pPr>
      <w:widowControl w:val="0"/>
      <w:tabs>
        <w:tab w:val="clear" w:pos="1066"/>
      </w:tabs>
      <w:suppressAutoHyphens/>
      <w:autoSpaceDE w:val="0"/>
      <w:autoSpaceDN w:val="0"/>
      <w:adjustRightInd w:val="0"/>
      <w:spacing w:before="0" w:after="57" w:line="288" w:lineRule="auto"/>
      <w:textAlignment w:val="center"/>
    </w:pPr>
    <w:rPr>
      <w:rFonts w:ascii="Roboto-Regular" w:eastAsiaTheme="minorEastAsia" w:hAnsi="Roboto-Regular" w:cs="Roboto-Regular"/>
      <w:color w:val="000000"/>
      <w:sz w:val="20"/>
      <w:szCs w:val="20"/>
      <w:lang w:val="en-GB" w:eastAsia="en-AU"/>
    </w:rPr>
  </w:style>
  <w:style w:type="paragraph" w:customStyle="1" w:styleId="Bullets1">
    <w:name w:val="Bullets 1"/>
    <w:basedOn w:val="Normal"/>
    <w:uiPriority w:val="99"/>
    <w:rsid w:val="008E273C"/>
    <w:pPr>
      <w:widowControl w:val="0"/>
      <w:tabs>
        <w:tab w:val="clear" w:pos="1066"/>
        <w:tab w:val="left" w:pos="283"/>
      </w:tabs>
      <w:suppressAutoHyphens/>
      <w:autoSpaceDE w:val="0"/>
      <w:autoSpaceDN w:val="0"/>
      <w:adjustRightInd w:val="0"/>
      <w:spacing w:after="57" w:line="288" w:lineRule="auto"/>
      <w:ind w:left="283" w:hanging="283"/>
      <w:textAlignment w:val="center"/>
    </w:pPr>
    <w:rPr>
      <w:rFonts w:ascii="Roboto-Regular" w:eastAsiaTheme="minorEastAsia" w:hAnsi="Roboto-Regular" w:cs="Roboto-Regular"/>
      <w:color w:val="000000"/>
      <w:sz w:val="20"/>
      <w:szCs w:val="20"/>
      <w:lang w:val="en-GB" w:eastAsia="en-AU"/>
    </w:rPr>
  </w:style>
  <w:style w:type="paragraph" w:customStyle="1" w:styleId="Bullet1last">
    <w:name w:val="Bullet 1 last"/>
    <w:basedOn w:val="Bullets1"/>
    <w:uiPriority w:val="99"/>
    <w:rsid w:val="008E273C"/>
    <w:pPr>
      <w:spacing w:after="170"/>
    </w:pPr>
  </w:style>
  <w:style w:type="character" w:customStyle="1" w:styleId="NoBreak">
    <w:name w:val="No Break"/>
    <w:uiPriority w:val="99"/>
    <w:rsid w:val="008E273C"/>
  </w:style>
  <w:style w:type="character" w:customStyle="1" w:styleId="Italic">
    <w:name w:val="Italic"/>
    <w:uiPriority w:val="99"/>
    <w:rsid w:val="008E273C"/>
    <w:rPr>
      <w:i/>
      <w:iCs/>
    </w:rPr>
  </w:style>
  <w:style w:type="paragraph" w:customStyle="1" w:styleId="ChapterHeading">
    <w:name w:val="Chapter Heading"/>
    <w:basedOn w:val="NoParagraphStyle"/>
    <w:uiPriority w:val="99"/>
    <w:rsid w:val="00E42522"/>
    <w:pPr>
      <w:widowControl/>
      <w:suppressAutoHyphens/>
      <w:spacing w:line="700" w:lineRule="atLeast"/>
      <w:jc w:val="right"/>
    </w:pPr>
    <w:rPr>
      <w:rFonts w:ascii="Roboto Medium" w:eastAsia="Times New Roman" w:hAnsi="Roboto Medium" w:cs="Roboto Medium"/>
      <w:spacing w:val="-4"/>
      <w:sz w:val="64"/>
      <w:szCs w:val="64"/>
    </w:rPr>
  </w:style>
  <w:style w:type="paragraph" w:customStyle="1" w:styleId="NoParagraphStyle">
    <w:name w:val="[No Paragraph Style]"/>
    <w:rsid w:val="008E273C"/>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character" w:customStyle="1" w:styleId="Boldnobreak">
    <w:name w:val="Bold no break"/>
    <w:basedOn w:val="Bold"/>
    <w:uiPriority w:val="99"/>
    <w:rsid w:val="008E273C"/>
    <w:rPr>
      <w:b/>
      <w:bCs/>
      <w:color w:val="000000"/>
    </w:rPr>
  </w:style>
  <w:style w:type="character" w:customStyle="1" w:styleId="Bold">
    <w:name w:val="Bold"/>
    <w:uiPriority w:val="99"/>
    <w:rsid w:val="008E273C"/>
    <w:rPr>
      <w:b/>
      <w:bCs/>
      <w:color w:val="000000"/>
    </w:rPr>
  </w:style>
  <w:style w:type="paragraph" w:customStyle="1" w:styleId="FigureHeader">
    <w:name w:val="Figure Header"/>
    <w:basedOn w:val="NoParagraphStyle"/>
    <w:uiPriority w:val="99"/>
    <w:rsid w:val="008E273C"/>
    <w:pPr>
      <w:suppressAutoHyphens/>
      <w:spacing w:before="57"/>
    </w:pPr>
    <w:rPr>
      <w:rFonts w:ascii="Roboto-Bold" w:hAnsi="Roboto-Bold" w:cs="Roboto-Bold"/>
      <w:b/>
      <w:bCs/>
      <w:sz w:val="20"/>
      <w:szCs w:val="20"/>
    </w:rPr>
  </w:style>
  <w:style w:type="paragraph" w:customStyle="1" w:styleId="TableHeader">
    <w:name w:val="Table Header"/>
    <w:basedOn w:val="BodyText"/>
    <w:uiPriority w:val="99"/>
    <w:rsid w:val="008E273C"/>
    <w:pPr>
      <w:widowControl w:val="0"/>
      <w:tabs>
        <w:tab w:val="clear" w:pos="1066"/>
      </w:tabs>
      <w:suppressAutoHyphens/>
      <w:autoSpaceDE w:val="0"/>
      <w:autoSpaceDN w:val="0"/>
      <w:adjustRightInd w:val="0"/>
      <w:spacing w:before="0" w:after="0" w:line="288" w:lineRule="auto"/>
      <w:jc w:val="right"/>
      <w:textAlignment w:val="center"/>
    </w:pPr>
    <w:rPr>
      <w:rFonts w:ascii="Roboto-Bold" w:eastAsiaTheme="minorEastAsia" w:hAnsi="Roboto-Bold" w:cs="Roboto-Bold"/>
      <w:b/>
      <w:bCs/>
      <w:color w:val="000000"/>
      <w:sz w:val="20"/>
      <w:szCs w:val="20"/>
      <w:lang w:val="en-GB" w:eastAsia="en-AU"/>
    </w:rPr>
  </w:style>
  <w:style w:type="character" w:customStyle="1" w:styleId="Bulletcolour">
    <w:name w:val="Bullet colour"/>
    <w:uiPriority w:val="99"/>
    <w:rsid w:val="008E273C"/>
    <w:rPr>
      <w:color w:val="000000"/>
    </w:rPr>
  </w:style>
  <w:style w:type="paragraph" w:customStyle="1" w:styleId="Tabletext-LHS">
    <w:name w:val="Table text - LHS"/>
    <w:basedOn w:val="NoParagraphStyle"/>
    <w:uiPriority w:val="99"/>
    <w:rsid w:val="008E273C"/>
    <w:pPr>
      <w:suppressAutoHyphens/>
      <w:spacing w:after="170"/>
    </w:pPr>
    <w:rPr>
      <w:rFonts w:ascii="Roboto-Regular" w:hAnsi="Roboto-Regular" w:cs="Roboto-Regular"/>
      <w:sz w:val="20"/>
      <w:szCs w:val="20"/>
    </w:rPr>
  </w:style>
  <w:style w:type="paragraph" w:customStyle="1" w:styleId="Tabletext-RHS">
    <w:name w:val="Table text - RHS"/>
    <w:basedOn w:val="BodyText"/>
    <w:uiPriority w:val="99"/>
    <w:rsid w:val="008E273C"/>
    <w:pPr>
      <w:widowControl w:val="0"/>
      <w:tabs>
        <w:tab w:val="clear" w:pos="1066"/>
      </w:tabs>
      <w:suppressAutoHyphens/>
      <w:autoSpaceDE w:val="0"/>
      <w:autoSpaceDN w:val="0"/>
      <w:adjustRightInd w:val="0"/>
      <w:spacing w:before="0" w:after="170" w:line="288" w:lineRule="auto"/>
      <w:jc w:val="right"/>
      <w:textAlignment w:val="center"/>
    </w:pPr>
    <w:rPr>
      <w:rFonts w:ascii="Roboto-Regular" w:eastAsiaTheme="minorEastAsia" w:hAnsi="Roboto-Regular" w:cs="Roboto-Regular"/>
      <w:color w:val="000000"/>
      <w:sz w:val="20"/>
      <w:szCs w:val="20"/>
      <w:lang w:val="en-GB" w:eastAsia="en-AU"/>
    </w:rPr>
  </w:style>
  <w:style w:type="paragraph" w:customStyle="1" w:styleId="StoryHeading">
    <w:name w:val="Story Heading"/>
    <w:basedOn w:val="NoParagraphStyle"/>
    <w:uiPriority w:val="99"/>
    <w:rsid w:val="008E273C"/>
    <w:pPr>
      <w:suppressAutoHyphens/>
      <w:spacing w:after="283" w:line="700" w:lineRule="atLeast"/>
    </w:pPr>
    <w:rPr>
      <w:rFonts w:ascii="Roboto-Medium" w:hAnsi="Roboto-Medium" w:cs="Roboto-Medium"/>
      <w:color w:val="002D64"/>
      <w:spacing w:val="-4"/>
      <w:sz w:val="64"/>
      <w:szCs w:val="64"/>
    </w:rPr>
  </w:style>
  <w:style w:type="paragraph" w:customStyle="1" w:styleId="Bullet2">
    <w:name w:val="Bullet 2"/>
    <w:basedOn w:val="NoParagraphStyle"/>
    <w:uiPriority w:val="99"/>
    <w:rsid w:val="008E273C"/>
    <w:pPr>
      <w:suppressAutoHyphens/>
      <w:spacing w:after="57"/>
      <w:ind w:left="567" w:hanging="283"/>
    </w:pPr>
    <w:rPr>
      <w:rFonts w:ascii="Roboto-Regular" w:hAnsi="Roboto-Regular" w:cs="Roboto-Regular"/>
      <w:sz w:val="20"/>
      <w:szCs w:val="20"/>
    </w:rPr>
  </w:style>
  <w:style w:type="paragraph" w:customStyle="1" w:styleId="Footnote">
    <w:name w:val="Footnote"/>
    <w:basedOn w:val="NoParagraphStyle"/>
    <w:uiPriority w:val="99"/>
    <w:rsid w:val="008E273C"/>
    <w:pPr>
      <w:suppressAutoHyphens/>
      <w:spacing w:after="57"/>
      <w:ind w:left="283" w:hanging="283"/>
    </w:pPr>
    <w:rPr>
      <w:rFonts w:ascii="Roboto-Regular" w:hAnsi="Roboto-Regular" w:cs="Roboto-Regular"/>
      <w:sz w:val="16"/>
      <w:szCs w:val="16"/>
    </w:rPr>
  </w:style>
  <w:style w:type="paragraph" w:customStyle="1" w:styleId="BulletNumber">
    <w:name w:val="Bullet_Number"/>
    <w:basedOn w:val="Bullets1"/>
    <w:uiPriority w:val="99"/>
    <w:rsid w:val="008E273C"/>
  </w:style>
  <w:style w:type="character" w:customStyle="1" w:styleId="Bolditalic">
    <w:name w:val="Bold + italic"/>
    <w:uiPriority w:val="99"/>
    <w:rsid w:val="008E273C"/>
    <w:rPr>
      <w:b/>
      <w:bCs/>
      <w:i/>
      <w:iCs/>
      <w:color w:val="000000"/>
    </w:rPr>
  </w:style>
  <w:style w:type="paragraph" w:customStyle="1" w:styleId="Bulletscriterion">
    <w:name w:val="Bullets_criterion"/>
    <w:basedOn w:val="NoParagraphStyle"/>
    <w:uiPriority w:val="99"/>
    <w:rsid w:val="008E273C"/>
    <w:pPr>
      <w:tabs>
        <w:tab w:val="left" w:pos="283"/>
      </w:tabs>
      <w:suppressAutoHyphens/>
      <w:ind w:left="1701" w:hanging="283"/>
    </w:pPr>
    <w:rPr>
      <w:rFonts w:ascii="Roboto-Regular" w:hAnsi="Roboto-Regular" w:cs="Roboto-Regular"/>
      <w:sz w:val="20"/>
      <w:szCs w:val="20"/>
    </w:rPr>
  </w:style>
  <w:style w:type="paragraph" w:customStyle="1" w:styleId="Bulletscriterionlast">
    <w:name w:val="Bullets_criterion (last)"/>
    <w:basedOn w:val="Bulletscriterion"/>
    <w:uiPriority w:val="99"/>
    <w:rsid w:val="008E273C"/>
    <w:pPr>
      <w:spacing w:after="170"/>
    </w:pPr>
  </w:style>
  <w:style w:type="character" w:customStyle="1" w:styleId="01bodybold">
    <w:name w:val="01 body bold"/>
    <w:uiPriority w:val="99"/>
    <w:rsid w:val="008E273C"/>
    <w:rPr>
      <w:b/>
      <w:bCs/>
      <w:color w:val="000000"/>
    </w:rPr>
  </w:style>
  <w:style w:type="paragraph" w:customStyle="1" w:styleId="Indexheading0">
    <w:name w:val="Index_heading"/>
    <w:basedOn w:val="NoParagraphStyle"/>
    <w:uiPriority w:val="99"/>
    <w:rsid w:val="008E273C"/>
    <w:pPr>
      <w:tabs>
        <w:tab w:val="left" w:pos="283"/>
      </w:tabs>
      <w:spacing w:before="170" w:after="57"/>
    </w:pPr>
    <w:rPr>
      <w:rFonts w:ascii="Roboto-Bold" w:hAnsi="Roboto-Bold" w:cs="Roboto-Bold"/>
      <w:b/>
      <w:bCs/>
      <w:sz w:val="28"/>
      <w:szCs w:val="28"/>
      <w:lang w:val="en-US"/>
    </w:rPr>
  </w:style>
  <w:style w:type="paragraph" w:customStyle="1" w:styleId="Indexbody">
    <w:name w:val="Index_body"/>
    <w:basedOn w:val="NoParagraphStyle"/>
    <w:uiPriority w:val="99"/>
    <w:rsid w:val="008E273C"/>
    <w:pPr>
      <w:tabs>
        <w:tab w:val="left" w:pos="283"/>
      </w:tabs>
      <w:suppressAutoHyphens/>
      <w:ind w:left="283" w:hanging="283"/>
    </w:pPr>
    <w:rPr>
      <w:rFonts w:ascii="Roboto-Regular" w:hAnsi="Roboto-Regular" w:cs="Roboto-Regular"/>
      <w:sz w:val="20"/>
      <w:szCs w:val="20"/>
      <w:lang w:val="en-US"/>
    </w:rPr>
  </w:style>
  <w:style w:type="paragraph" w:customStyle="1" w:styleId="Indexbodyindent">
    <w:name w:val="Index_body (indent)"/>
    <w:basedOn w:val="NoParagraphStyle"/>
    <w:uiPriority w:val="99"/>
    <w:rsid w:val="008E273C"/>
    <w:pPr>
      <w:tabs>
        <w:tab w:val="left" w:pos="283"/>
      </w:tabs>
      <w:suppressAutoHyphens/>
      <w:ind w:left="567" w:hanging="283"/>
    </w:pPr>
    <w:rPr>
      <w:rFonts w:ascii="Roboto-Regular" w:hAnsi="Roboto-Regular" w:cs="Roboto-Regular"/>
      <w:sz w:val="20"/>
      <w:szCs w:val="20"/>
      <w:lang w:val="en-US"/>
    </w:rPr>
  </w:style>
  <w:style w:type="paragraph" w:styleId="Header">
    <w:name w:val="header"/>
    <w:basedOn w:val="Normal"/>
    <w:link w:val="HeaderChar"/>
    <w:uiPriority w:val="99"/>
    <w:unhideWhenUsed/>
    <w:rsid w:val="00E515DF"/>
    <w:pPr>
      <w:tabs>
        <w:tab w:val="clear" w:pos="1066"/>
        <w:tab w:val="center" w:pos="4513"/>
        <w:tab w:val="right" w:pos="9026"/>
      </w:tabs>
    </w:pPr>
  </w:style>
  <w:style w:type="character" w:customStyle="1" w:styleId="HeaderChar">
    <w:name w:val="Header Char"/>
    <w:basedOn w:val="DefaultParagraphFont"/>
    <w:link w:val="Header"/>
    <w:uiPriority w:val="99"/>
    <w:rsid w:val="00E515DF"/>
    <w:rPr>
      <w:rFonts w:ascii="Arial" w:hAnsi="Arial"/>
      <w:sz w:val="24"/>
      <w:szCs w:val="24"/>
      <w:lang w:eastAsia="en-US"/>
    </w:rPr>
  </w:style>
  <w:style w:type="paragraph" w:styleId="Footer">
    <w:name w:val="footer"/>
    <w:basedOn w:val="Normal"/>
    <w:link w:val="FooterChar"/>
    <w:uiPriority w:val="99"/>
    <w:unhideWhenUsed/>
    <w:rsid w:val="00E515DF"/>
    <w:pPr>
      <w:tabs>
        <w:tab w:val="clear" w:pos="1066"/>
        <w:tab w:val="center" w:pos="4513"/>
        <w:tab w:val="right" w:pos="9026"/>
      </w:tabs>
    </w:pPr>
  </w:style>
  <w:style w:type="character" w:customStyle="1" w:styleId="FooterChar">
    <w:name w:val="Footer Char"/>
    <w:basedOn w:val="DefaultParagraphFont"/>
    <w:link w:val="Footer"/>
    <w:uiPriority w:val="99"/>
    <w:rsid w:val="00E515DF"/>
    <w:rPr>
      <w:rFonts w:ascii="Arial" w:hAnsi="Arial"/>
      <w:sz w:val="24"/>
      <w:szCs w:val="24"/>
      <w:lang w:eastAsia="en-US"/>
    </w:rPr>
  </w:style>
  <w:style w:type="character" w:styleId="Hyperlink">
    <w:name w:val="Hyperlink"/>
    <w:basedOn w:val="DefaultParagraphFont"/>
    <w:uiPriority w:val="99"/>
    <w:unhideWhenUsed/>
    <w:rsid w:val="007723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ervicesaustralia.gov.au/organisations/about-us/corporate-publications-and-resources/audit-and-risk-committee-char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190</Pages>
  <Words>51151</Words>
  <Characters>291562</Characters>
  <Application>Microsoft Office Word</Application>
  <DocSecurity>0</DocSecurity>
  <Lines>2429</Lines>
  <Paragraphs>684</Paragraphs>
  <ScaleCrop>false</ScaleCrop>
  <HeadingPairs>
    <vt:vector size="2" baseType="variant">
      <vt:variant>
        <vt:lpstr>Title</vt:lpstr>
      </vt:variant>
      <vt:variant>
        <vt:i4>1</vt:i4>
      </vt:variant>
    </vt:vector>
  </HeadingPairs>
  <TitlesOfParts>
    <vt:vector size="1" baseType="lpstr">
      <vt:lpstr>Australian Government Services Australia Annual Report 2019-20</vt:lpstr>
    </vt:vector>
  </TitlesOfParts>
  <Manager/>
  <Company/>
  <LinksUpToDate>false</LinksUpToDate>
  <CharactersWithSpaces>342029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Services Australia Annual Report 2019-20</dc:title>
  <dc:subject/>
  <dc:creator>Services Australia</dc:creator>
  <cp:keywords>8802.2010</cp:keywords>
  <dc:description/>
  <cp:lastModifiedBy/>
  <cp:revision>1</cp:revision>
  <dcterms:created xsi:type="dcterms:W3CDTF">2020-10-01T05:02:00Z</dcterms:created>
  <dcterms:modified xsi:type="dcterms:W3CDTF">2021-05-17T02:51:00Z</dcterms:modified>
</cp:coreProperties>
</file>