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25A" w:rsidRDefault="00D5225A" w:rsidP="00D5225A">
      <w:pPr>
        <w:pStyle w:val="Heading1"/>
      </w:pPr>
      <w:r>
        <w:t>Healthcare Identifiers Service</w:t>
      </w:r>
    </w:p>
    <w:p w:rsidR="00D5225A" w:rsidRDefault="00D5225A" w:rsidP="00D5225A">
      <w:pPr>
        <w:pStyle w:val="Heading2"/>
      </w:pPr>
      <w:r>
        <w:t>Annual Report 2019–20</w:t>
      </w:r>
    </w:p>
    <w:p w:rsidR="000943DD" w:rsidRDefault="000943DD" w:rsidP="000943DD">
      <w:pPr>
        <w:pStyle w:val="BodyText"/>
      </w:pPr>
      <w:r>
        <w:t>Services Australia is proud to operate the Healthcare Identifiers Service (HI Service) on behalf of the Australian Government and state and territory governments. Every year the HI Service grows and improves, and this year we recognise its 10</w:t>
      </w:r>
      <w:r>
        <w:rPr>
          <w:vertAlign w:val="superscript"/>
        </w:rPr>
        <w:t>th</w:t>
      </w:r>
      <w:r>
        <w:t xml:space="preserve"> anniversary.</w:t>
      </w:r>
    </w:p>
    <w:p w:rsidR="000943DD" w:rsidRDefault="000943DD" w:rsidP="000943DD">
      <w:pPr>
        <w:pStyle w:val="BodyText"/>
      </w:pPr>
      <w:r>
        <w:t>The HI Service is a foundational service for the broader digital health ecosystem in Australia, including the My Health Record system. The value of the HI Service lies in the foundation it provides for the systems in Australia’s health settings, to uniquely identify and verify individuals, healthcare providers and healthcare organisations. Accurate identification in health systems is a fundamental requirement when a transfer of patient care and information occurs between providers and organisations. The best health systems in the world use a single patient identifier. The HI Service enables that single identifier for Australians, helping to ensure our health systems associate information with the right patient and provider at the point of care.</w:t>
      </w:r>
    </w:p>
    <w:p w:rsidR="000943DD" w:rsidRDefault="000943DD" w:rsidP="000943DD">
      <w:pPr>
        <w:pStyle w:val="BodyText"/>
      </w:pPr>
      <w:r>
        <w:t>During the 2019–20 financial year, Services Australia was established, and with a clear vision from Government, we’ve begun transforming how we deliver our services to Australians and reorienting service delivery. We’re working with the Commonwealth Department of Health and key stakeholders to explore opportunities to leverage the HI Service as the source for a single health identifier, which can be used with all health programs administered by Services Australia, and possibly more broadly. Although we’re in the early stages, this work has the potential to improve services for our customers, including healthcare providers. We look forward to exploring this next year.</w:t>
      </w:r>
    </w:p>
    <w:p w:rsidR="000943DD" w:rsidRDefault="000943DD" w:rsidP="000943DD">
      <w:pPr>
        <w:pStyle w:val="BodyText"/>
      </w:pPr>
      <w:r>
        <w:t>The last 12 months have been a significant time of change and challenge for all Australians. During the national bushfire emergencies and worldwide COVID-19 pandemic, the foundational aspects of the HI Service came to the fore. Implementing Services Australia’s Pandemic Operational Plan, our staff worked to safeguard the availability of the HI Service. Significantly, there was minimal disruption to services that support the My Health Record system during these crises. This allowed healthcare providers to continue to access their patients’ My Health Records, including records of patients who visited medical practitioners and other providers who they would not usually attend.</w:t>
      </w:r>
    </w:p>
    <w:p w:rsidR="000943DD" w:rsidRDefault="000943DD" w:rsidP="000943DD">
      <w:pPr>
        <w:pStyle w:val="BodyText"/>
      </w:pPr>
      <w:r>
        <w:t xml:space="preserve">In the face of these challenges, we’ve continued to achieve the Government’s vision to transform how we deliver services to Australians. </w:t>
      </w:r>
    </w:p>
    <w:p w:rsidR="000943DD" w:rsidRDefault="000943DD" w:rsidP="000943DD">
      <w:pPr>
        <w:pStyle w:val="BodyText"/>
      </w:pPr>
      <w:r>
        <w:t>In collaboration with the Australian Digital Health Agency, other notable achievements this year include:</w:t>
      </w:r>
    </w:p>
    <w:p w:rsidR="000943DD" w:rsidRPr="000943DD" w:rsidRDefault="000943DD" w:rsidP="000943DD">
      <w:pPr>
        <w:pStyle w:val="BodyText"/>
        <w:numPr>
          <w:ilvl w:val="0"/>
          <w:numId w:val="14"/>
        </w:numPr>
      </w:pPr>
      <w:r w:rsidRPr="000943DD">
        <w:t>developing an online registration process for allied healthcare providers</w:t>
      </w:r>
    </w:p>
    <w:p w:rsidR="000943DD" w:rsidRPr="000943DD" w:rsidRDefault="000943DD" w:rsidP="000943DD">
      <w:pPr>
        <w:pStyle w:val="BodyText"/>
        <w:numPr>
          <w:ilvl w:val="0"/>
          <w:numId w:val="14"/>
        </w:numPr>
      </w:pPr>
      <w:proofErr w:type="gramStart"/>
      <w:r w:rsidRPr="000943DD">
        <w:t>improving</w:t>
      </w:r>
      <w:proofErr w:type="gramEnd"/>
      <w:r w:rsidRPr="000943DD">
        <w:t xml:space="preserve"> our data analytics skills, allowing us to deliver data quality improvements and efficiencies for healthcare organisations that use the HI Service. </w:t>
      </w:r>
    </w:p>
    <w:p w:rsidR="000943DD" w:rsidRDefault="000943DD" w:rsidP="000943DD">
      <w:pPr>
        <w:pStyle w:val="BodyText"/>
        <w:spacing w:after="397"/>
      </w:pPr>
      <w:r>
        <w:t>I’d like to thank all our partners for their collaboration to improve services for our customers. I’d especially like to thank our staff, who worked diligently on the HI Service during a most challenging year.</w:t>
      </w:r>
    </w:p>
    <w:p w:rsidR="00D5225A" w:rsidRDefault="000943DD" w:rsidP="000943DD">
      <w:pPr>
        <w:pStyle w:val="BodyText"/>
        <w:rPr>
          <w:rStyle w:val="01Bodybold"/>
        </w:rPr>
      </w:pPr>
      <w:r>
        <w:t xml:space="preserve">Signed </w:t>
      </w:r>
      <w:r>
        <w:rPr>
          <w:rStyle w:val="01Bodybold"/>
        </w:rPr>
        <w:t>Vanessa Beck</w:t>
      </w:r>
    </w:p>
    <w:p w:rsidR="000943DD" w:rsidRDefault="000943DD" w:rsidP="000943DD">
      <w:pPr>
        <w:pStyle w:val="BodyText"/>
      </w:pPr>
      <w:r>
        <w:t>A/g Chief Executive Medicare</w:t>
      </w:r>
    </w:p>
    <w:p w:rsidR="000943DD" w:rsidRDefault="000943DD" w:rsidP="000943DD">
      <w:pPr>
        <w:pStyle w:val="Heading1"/>
        <w:suppressAutoHyphens/>
      </w:pPr>
      <w:r>
        <w:t>Introduction</w:t>
      </w:r>
    </w:p>
    <w:p w:rsidR="000943DD" w:rsidRDefault="000943DD" w:rsidP="000943DD">
      <w:pPr>
        <w:pStyle w:val="BodyText"/>
        <w:rPr>
          <w:spacing w:val="-10"/>
        </w:rPr>
      </w:pPr>
      <w:r>
        <w:t xml:space="preserve">Services Australia delivers the Healthcare Identifiers Service (HI Service) on behalf of the Australian Government and state and territory governments under an agreement with the Australian Digital Health Agency (ADHA). </w:t>
      </w:r>
    </w:p>
    <w:p w:rsidR="000943DD" w:rsidRDefault="000943DD" w:rsidP="000943DD">
      <w:pPr>
        <w:pStyle w:val="BodyText"/>
      </w:pPr>
      <w:r>
        <w:t xml:space="preserve">The </w:t>
      </w:r>
      <w:r>
        <w:rPr>
          <w:rStyle w:val="01Bodyitalics"/>
          <w:spacing w:val="-1"/>
        </w:rPr>
        <w:t>Healthcare Identifiers Act 2010</w:t>
      </w:r>
      <w:r>
        <w:t xml:space="preserve"> (HI Act) and </w:t>
      </w:r>
      <w:r>
        <w:rPr>
          <w:rStyle w:val="01Bodyitalics"/>
          <w:spacing w:val="-1"/>
        </w:rPr>
        <w:t>Healthcare Identifiers Regulations 2010</w:t>
      </w:r>
      <w:r>
        <w:t xml:space="preserve"> (regulations) set the framework and rules for the HI Service.</w:t>
      </w:r>
    </w:p>
    <w:p w:rsidR="000943DD" w:rsidRDefault="000943DD" w:rsidP="000943DD">
      <w:pPr>
        <w:pStyle w:val="BodyText"/>
      </w:pPr>
      <w:r>
        <w:rPr>
          <w:spacing w:val="-2"/>
        </w:rPr>
        <w:lastRenderedPageBreak/>
        <w:t xml:space="preserve">This annual report captures the details of our activities, finances, and operations </w:t>
      </w:r>
      <w:r>
        <w:t xml:space="preserve">for the 2019–20 financial year as they relate to the HI Act and regulations. </w:t>
      </w:r>
    </w:p>
    <w:p w:rsidR="000943DD" w:rsidRDefault="000943DD" w:rsidP="000943DD">
      <w:pPr>
        <w:pStyle w:val="Heading2"/>
      </w:pPr>
      <w:r>
        <w:t>About the HI Service</w:t>
      </w:r>
    </w:p>
    <w:p w:rsidR="000943DD" w:rsidRDefault="000943DD" w:rsidP="000943DD">
      <w:pPr>
        <w:pStyle w:val="BodyText"/>
      </w:pPr>
      <w:r>
        <w:t xml:space="preserve">The HI Service is a national system for identifying patients, healthcare providers and healthcare organisations. This service is the foundation of digital health in Australia and a key building block for the My Health Record system. </w:t>
      </w:r>
    </w:p>
    <w:p w:rsidR="000943DD" w:rsidRDefault="000943DD" w:rsidP="000943DD">
      <w:pPr>
        <w:pStyle w:val="BodyText"/>
      </w:pPr>
      <w:r>
        <w:t xml:space="preserve">Through the HI Service, people, healthcare providers and healthcare </w:t>
      </w:r>
      <w:r>
        <w:rPr>
          <w:spacing w:val="-2"/>
        </w:rPr>
        <w:t xml:space="preserve">organisations are assigned a unique 16-digit number that enables them to be correctly identified by electronic systems across our national healthcare system. </w:t>
      </w:r>
    </w:p>
    <w:p w:rsidR="000943DD" w:rsidRDefault="000943DD" w:rsidP="000943DD">
      <w:pPr>
        <w:pStyle w:val="BodyText"/>
      </w:pPr>
      <w:r>
        <w:t xml:space="preserve">Accurate identification is a fundamental requirement whenever patient information or care transfers between providers or organisations. The HI Service ensures providers and patients can be confident that the right information is associated with the right person at the point of care. </w:t>
      </w:r>
    </w:p>
    <w:p w:rsidR="000943DD" w:rsidRDefault="000943DD" w:rsidP="000943DD">
      <w:pPr>
        <w:pStyle w:val="BodyText"/>
      </w:pPr>
      <w:r>
        <w:t xml:space="preserve">People who have an active Medicare enrolment or register with the Department of Veterans’ Affairs (DVA) are automatically assigned a healthcare identifier. </w:t>
      </w:r>
    </w:p>
    <w:p w:rsidR="000943DD" w:rsidRDefault="000943DD" w:rsidP="000943DD">
      <w:pPr>
        <w:pStyle w:val="BodyText"/>
      </w:pPr>
      <w:r>
        <w:t xml:space="preserve">Information linked to a healthcare identifier is limited to demographic details, such as name, date of birth and gender. The identifier doesn’t contain health care information. </w:t>
      </w:r>
    </w:p>
    <w:p w:rsidR="000943DD" w:rsidRDefault="000943DD" w:rsidP="000943DD">
      <w:pPr>
        <w:pStyle w:val="BodyText"/>
        <w:spacing w:after="57"/>
      </w:pPr>
      <w:r>
        <w:t xml:space="preserve">Providers and organisations get a healthcare identifier in the following ways: </w:t>
      </w:r>
    </w:p>
    <w:p w:rsidR="000943DD" w:rsidRDefault="000943DD" w:rsidP="000943DD">
      <w:pPr>
        <w:pStyle w:val="BodyText"/>
        <w:numPr>
          <w:ilvl w:val="0"/>
          <w:numId w:val="13"/>
        </w:numPr>
        <w:spacing w:after="57"/>
      </w:pPr>
      <w:r>
        <w:t>The Australian Health Practitioner Regulation Agency (</w:t>
      </w:r>
      <w:proofErr w:type="spellStart"/>
      <w:r>
        <w:t>Ahpra</w:t>
      </w:r>
      <w:proofErr w:type="spellEnd"/>
      <w:r>
        <w:t>) allocates healthcare identifiers to providers.</w:t>
      </w:r>
    </w:p>
    <w:p w:rsidR="000943DD" w:rsidRDefault="000943DD" w:rsidP="000943DD">
      <w:pPr>
        <w:pStyle w:val="BodyText"/>
        <w:numPr>
          <w:ilvl w:val="0"/>
          <w:numId w:val="13"/>
        </w:numPr>
        <w:spacing w:after="57"/>
      </w:pPr>
      <w:r>
        <w:t xml:space="preserve">Providers apply directly to the HI Service if they aren’t registered by one of the national boards supporting </w:t>
      </w:r>
      <w:proofErr w:type="spellStart"/>
      <w:r>
        <w:t>Ahpra</w:t>
      </w:r>
      <w:proofErr w:type="spellEnd"/>
      <w:r>
        <w:t>.</w:t>
      </w:r>
    </w:p>
    <w:p w:rsidR="000943DD" w:rsidRDefault="000943DD" w:rsidP="000943DD">
      <w:pPr>
        <w:pStyle w:val="BodyText"/>
        <w:numPr>
          <w:ilvl w:val="0"/>
          <w:numId w:val="13"/>
        </w:numPr>
        <w:spacing w:after="57"/>
      </w:pPr>
      <w:r>
        <w:t>Organisations apply directly to the HI Service.</w:t>
      </w:r>
    </w:p>
    <w:p w:rsidR="000943DD" w:rsidRDefault="000943DD" w:rsidP="000943DD">
      <w:pPr>
        <w:pStyle w:val="BodyText"/>
      </w:pPr>
      <w:r>
        <w:t>Organisations assigned a HPI–O can create a hierarchy of HPI–</w:t>
      </w:r>
      <w:proofErr w:type="spellStart"/>
      <w:r>
        <w:t>Os</w:t>
      </w:r>
      <w:proofErr w:type="spellEnd"/>
      <w:r>
        <w:t xml:space="preserve"> (referred to as ‘network HPI–Os’) according to the organisation’s requirements. For example, to identify important business areas or functions, or to group healthcare organisations, such as franchises, under the one hierarchy. </w:t>
      </w:r>
    </w:p>
    <w:p w:rsidR="000943DD" w:rsidRDefault="000943DD" w:rsidP="000943DD">
      <w:pPr>
        <w:pStyle w:val="Heading2"/>
      </w:pPr>
      <w:r>
        <w:t>Our responsibilities as HI Service Operator</w:t>
      </w:r>
    </w:p>
    <w:p w:rsidR="000943DD" w:rsidRDefault="000943DD" w:rsidP="000943DD">
      <w:pPr>
        <w:pStyle w:val="BodyText"/>
        <w:spacing w:after="57"/>
      </w:pPr>
      <w:r>
        <w:t>As the HI Service Operator, our responsibilities are to:</w:t>
      </w:r>
    </w:p>
    <w:p w:rsidR="000943DD" w:rsidRPr="000943DD" w:rsidRDefault="000943DD" w:rsidP="000943DD">
      <w:pPr>
        <w:pStyle w:val="BodyText"/>
        <w:numPr>
          <w:ilvl w:val="0"/>
          <w:numId w:val="14"/>
        </w:numPr>
      </w:pPr>
      <w:r w:rsidRPr="000943DD">
        <w:t xml:space="preserve">assign healthcare identifiers to people, healthcare providers and healthcare organisations </w:t>
      </w:r>
    </w:p>
    <w:p w:rsidR="000943DD" w:rsidRPr="000943DD" w:rsidRDefault="000943DD" w:rsidP="000943DD">
      <w:pPr>
        <w:pStyle w:val="BodyText"/>
        <w:numPr>
          <w:ilvl w:val="0"/>
          <w:numId w:val="14"/>
        </w:numPr>
      </w:pPr>
      <w:r w:rsidRPr="000943DD">
        <w:t xml:space="preserve">work with </w:t>
      </w:r>
      <w:proofErr w:type="spellStart"/>
      <w:r w:rsidRPr="000943DD">
        <w:t>Ahpra</w:t>
      </w:r>
      <w:proofErr w:type="spellEnd"/>
      <w:r w:rsidRPr="000943DD">
        <w:t xml:space="preserve"> to maintain a single, complete record of provider-assigned healthcare identifiers</w:t>
      </w:r>
    </w:p>
    <w:p w:rsidR="000943DD" w:rsidRPr="000943DD" w:rsidRDefault="000943DD" w:rsidP="000943DD">
      <w:pPr>
        <w:pStyle w:val="BodyText"/>
        <w:numPr>
          <w:ilvl w:val="0"/>
          <w:numId w:val="14"/>
        </w:numPr>
      </w:pPr>
      <w:r w:rsidRPr="000943DD">
        <w:t>administer secure processes for sharing healthcare identifiers with healthcare providers, healthcare organisations and contracted service providers</w:t>
      </w:r>
    </w:p>
    <w:p w:rsidR="000943DD" w:rsidRPr="000943DD" w:rsidRDefault="000943DD" w:rsidP="000943DD">
      <w:pPr>
        <w:pStyle w:val="BodyText"/>
        <w:numPr>
          <w:ilvl w:val="0"/>
          <w:numId w:val="14"/>
        </w:numPr>
      </w:pPr>
      <w:r w:rsidRPr="000943DD">
        <w:t xml:space="preserve">disclose healthcare identifiers to contracted service providers that help manage health information for healthcare organisations </w:t>
      </w:r>
    </w:p>
    <w:p w:rsidR="000943DD" w:rsidRPr="000943DD" w:rsidRDefault="000943DD" w:rsidP="000943DD">
      <w:pPr>
        <w:pStyle w:val="BodyText"/>
        <w:numPr>
          <w:ilvl w:val="0"/>
          <w:numId w:val="14"/>
        </w:numPr>
      </w:pPr>
      <w:r w:rsidRPr="000943DD">
        <w:t xml:space="preserve">disclose healthcare identifiers to healthcare providers and healthcare organisations </w:t>
      </w:r>
    </w:p>
    <w:p w:rsidR="000943DD" w:rsidRPr="000943DD" w:rsidRDefault="000943DD" w:rsidP="000943DD">
      <w:pPr>
        <w:pStyle w:val="BodyText"/>
        <w:numPr>
          <w:ilvl w:val="0"/>
          <w:numId w:val="14"/>
        </w:numPr>
      </w:pPr>
      <w:r w:rsidRPr="000943DD">
        <w:t>log each time a healthcare identifier is accessed or retrieved</w:t>
      </w:r>
    </w:p>
    <w:p w:rsidR="000943DD" w:rsidRPr="000943DD" w:rsidRDefault="000943DD" w:rsidP="000943DD">
      <w:pPr>
        <w:pStyle w:val="BodyText"/>
        <w:numPr>
          <w:ilvl w:val="0"/>
          <w:numId w:val="14"/>
        </w:numPr>
      </w:pPr>
      <w:r w:rsidRPr="000943DD">
        <w:t xml:space="preserve">maintain the Healthcare Provider Directory </w:t>
      </w:r>
    </w:p>
    <w:p w:rsidR="000943DD" w:rsidRPr="000943DD" w:rsidRDefault="000943DD" w:rsidP="000943DD">
      <w:pPr>
        <w:pStyle w:val="BodyText"/>
        <w:numPr>
          <w:ilvl w:val="0"/>
          <w:numId w:val="14"/>
        </w:numPr>
      </w:pPr>
      <w:r w:rsidRPr="000943DD">
        <w:t xml:space="preserve">provide information to key stakeholders about the HI Service </w:t>
      </w:r>
    </w:p>
    <w:p w:rsidR="000943DD" w:rsidRPr="000943DD" w:rsidRDefault="000943DD" w:rsidP="000943DD">
      <w:pPr>
        <w:pStyle w:val="BodyText"/>
        <w:numPr>
          <w:ilvl w:val="0"/>
          <w:numId w:val="14"/>
        </w:numPr>
      </w:pPr>
      <w:r w:rsidRPr="000943DD">
        <w:t>provide reports to the ADHA about the finances and operations of the HI Service</w:t>
      </w:r>
    </w:p>
    <w:p w:rsidR="000943DD" w:rsidRPr="000943DD" w:rsidRDefault="000943DD" w:rsidP="000943DD">
      <w:pPr>
        <w:pStyle w:val="BodyText"/>
        <w:numPr>
          <w:ilvl w:val="0"/>
          <w:numId w:val="14"/>
        </w:numPr>
      </w:pPr>
      <w:proofErr w:type="gramStart"/>
      <w:r w:rsidRPr="000943DD">
        <w:t>provide</w:t>
      </w:r>
      <w:proofErr w:type="gramEnd"/>
      <w:r w:rsidRPr="000943DD">
        <w:t xml:space="preserve"> data and analytical information to the ADHA to identify and encourage better practice for our users.</w:t>
      </w:r>
    </w:p>
    <w:p w:rsidR="000943DD" w:rsidRDefault="000943DD" w:rsidP="000943DD">
      <w:pPr>
        <w:pStyle w:val="Heading2"/>
      </w:pPr>
      <w:r>
        <w:t>The year in review</w:t>
      </w:r>
    </w:p>
    <w:p w:rsidR="000943DD" w:rsidRDefault="000943DD" w:rsidP="000943DD">
      <w:pPr>
        <w:pStyle w:val="BodyText"/>
      </w:pPr>
      <w:r>
        <w:t>In 2019–20, there was a steady growth in active identifiers and increased connections using the HI Service. During the year we:</w:t>
      </w:r>
    </w:p>
    <w:p w:rsidR="000943DD" w:rsidRDefault="000943DD" w:rsidP="000943DD">
      <w:pPr>
        <w:pStyle w:val="BodyText"/>
        <w:numPr>
          <w:ilvl w:val="0"/>
          <w:numId w:val="14"/>
        </w:numPr>
      </w:pPr>
      <w:r>
        <w:t>assigned 520,972 healthcare identifiers to people</w:t>
      </w:r>
    </w:p>
    <w:p w:rsidR="000943DD" w:rsidRDefault="000943DD" w:rsidP="000943DD">
      <w:pPr>
        <w:pStyle w:val="BodyText"/>
        <w:numPr>
          <w:ilvl w:val="0"/>
          <w:numId w:val="14"/>
        </w:numPr>
      </w:pPr>
      <w:r>
        <w:t>collected or assigned 46,420 healthcare identifiers for healthcare providers</w:t>
      </w:r>
    </w:p>
    <w:p w:rsidR="000943DD" w:rsidRDefault="000943DD" w:rsidP="000943DD">
      <w:pPr>
        <w:pStyle w:val="BodyText"/>
        <w:numPr>
          <w:ilvl w:val="0"/>
          <w:numId w:val="14"/>
        </w:numPr>
        <w:rPr>
          <w:spacing w:val="-5"/>
        </w:rPr>
      </w:pPr>
      <w:r>
        <w:rPr>
          <w:spacing w:val="-5"/>
        </w:rPr>
        <w:t>assigned 1,988 healthcare identifiers to healthcare organisations</w:t>
      </w:r>
    </w:p>
    <w:p w:rsidR="000943DD" w:rsidRDefault="000943DD" w:rsidP="000943DD">
      <w:pPr>
        <w:pStyle w:val="BodyText"/>
        <w:numPr>
          <w:ilvl w:val="0"/>
          <w:numId w:val="14"/>
        </w:numPr>
        <w:rPr>
          <w:spacing w:val="-4"/>
        </w:rPr>
      </w:pPr>
      <w:r>
        <w:rPr>
          <w:spacing w:val="-4"/>
        </w:rPr>
        <w:t>assigned 4 registration numbers to contracted service providers</w:t>
      </w:r>
    </w:p>
    <w:p w:rsidR="000943DD" w:rsidRDefault="000943DD" w:rsidP="000943DD">
      <w:pPr>
        <w:pStyle w:val="BodyText"/>
        <w:numPr>
          <w:ilvl w:val="0"/>
          <w:numId w:val="14"/>
        </w:numPr>
      </w:pPr>
      <w:r>
        <w:t>published 340 entries in the Healthcare Provider Directory for consenting healthcare providers</w:t>
      </w:r>
    </w:p>
    <w:p w:rsidR="000943DD" w:rsidRDefault="000943DD" w:rsidP="000943DD">
      <w:pPr>
        <w:pStyle w:val="BodyText"/>
        <w:numPr>
          <w:ilvl w:val="0"/>
          <w:numId w:val="14"/>
        </w:numPr>
      </w:pPr>
      <w:r>
        <w:t>published 1,732 entries in the Healthcare Provider Directory for healthcare organisations</w:t>
      </w:r>
    </w:p>
    <w:p w:rsidR="000943DD" w:rsidRDefault="000943DD" w:rsidP="000943DD">
      <w:pPr>
        <w:pStyle w:val="BodyText"/>
        <w:numPr>
          <w:ilvl w:val="0"/>
          <w:numId w:val="14"/>
        </w:numPr>
      </w:pPr>
      <w:proofErr w:type="gramStart"/>
      <w:r>
        <w:t>responded</w:t>
      </w:r>
      <w:proofErr w:type="gramEnd"/>
      <w:r>
        <w:t xml:space="preserve"> to 13,416 enquiries from people and healthcare providers. Enquiries included requests for healthcare identifiers and questions about registering with the HI Service.</w:t>
      </w:r>
    </w:p>
    <w:p w:rsidR="000943DD" w:rsidRDefault="000943DD" w:rsidP="000943DD">
      <w:pPr>
        <w:pStyle w:val="BodyText"/>
        <w:spacing w:before="170"/>
      </w:pPr>
      <w:r>
        <w:t xml:space="preserve">There were no complaints. </w:t>
      </w:r>
    </w:p>
    <w:p w:rsidR="000943DD" w:rsidRDefault="000943DD" w:rsidP="000943DD">
      <w:pPr>
        <w:pStyle w:val="Heading1"/>
      </w:pPr>
      <w:r>
        <w:t xml:space="preserve">Delivering HI Service initiatives </w:t>
      </w:r>
    </w:p>
    <w:p w:rsidR="000943DD" w:rsidRDefault="000943DD" w:rsidP="000943DD">
      <w:pPr>
        <w:pStyle w:val="BodyText"/>
      </w:pPr>
      <w:r>
        <w:t xml:space="preserve">In addition to the normal operations of the HI Service, we implemented a number of improvements in 2019–20. </w:t>
      </w:r>
    </w:p>
    <w:p w:rsidR="000943DD" w:rsidRDefault="000943DD" w:rsidP="000943DD">
      <w:pPr>
        <w:pStyle w:val="BodyText"/>
      </w:pPr>
      <w:r>
        <w:t>We continued to build on a reporting modernisation initiative in collaboration with the ADHA, which aligns with the Government’s mandate to enhance our data capability. This initiative continues to strengthen our use of data to improve customer services and inform decision making. We drew on this improved data surveillance to highlight areas where users could improve their interactions with the HI Service. This has seen fewer errors and less unnecessary transactions. As a result, the average daily transaction volume reduced by 23.53% from 2018–19, to 776,365 in 2019–20.</w:t>
      </w:r>
    </w:p>
    <w:p w:rsidR="000943DD" w:rsidRDefault="000943DD" w:rsidP="000943DD">
      <w:pPr>
        <w:pStyle w:val="BodyText"/>
      </w:pPr>
      <w:r>
        <w:t>We worked with the ADHA to establish an online registration channel for allied health professionals. The online channel enables health professionals to register and manage their identifier registration. Importantly, the process is more convenient and faster for users to obtain their unique healthcare identifier.</w:t>
      </w:r>
    </w:p>
    <w:p w:rsidR="000943DD" w:rsidRDefault="000943DD" w:rsidP="000943DD">
      <w:pPr>
        <w:pStyle w:val="BodyText"/>
      </w:pPr>
      <w:r>
        <w:rPr>
          <w:spacing w:val="-2"/>
        </w:rPr>
        <w:t xml:space="preserve">Together with the ADHA, we demonstrated the new registration channel to peak body associations. The associations who attended the demonstration represented approximately 25,000 allied health professionals. They were strongly in support of the new online process with all providing positive feedback. </w:t>
      </w:r>
    </w:p>
    <w:p w:rsidR="000943DD" w:rsidRDefault="000943DD" w:rsidP="000943DD">
      <w:pPr>
        <w:pStyle w:val="BodyText"/>
      </w:pPr>
      <w:r>
        <w:t xml:space="preserve">In our role as HI Service Operator, we also continued to work with and securely exchange data with </w:t>
      </w:r>
      <w:proofErr w:type="spellStart"/>
      <w:r>
        <w:t>Ahpra</w:t>
      </w:r>
      <w:proofErr w:type="spellEnd"/>
      <w:r>
        <w:t>.</w:t>
      </w:r>
    </w:p>
    <w:p w:rsidR="000943DD" w:rsidRDefault="000943DD" w:rsidP="000943DD">
      <w:pPr>
        <w:pStyle w:val="Heading2"/>
      </w:pPr>
      <w:r>
        <w:t>Assignment of healthcare identifiers</w:t>
      </w:r>
    </w:p>
    <w:p w:rsidR="000943DD" w:rsidRDefault="000943DD" w:rsidP="000943DD">
      <w:pPr>
        <w:pStyle w:val="BodyText"/>
        <w:spacing w:after="57"/>
      </w:pPr>
      <w:r>
        <w:t>The HI Act defines 3 types of healthcare identifiers. These are assigned to:</w:t>
      </w:r>
    </w:p>
    <w:p w:rsidR="000943DD" w:rsidRDefault="000943DD" w:rsidP="000943DD">
      <w:pPr>
        <w:pStyle w:val="BodyText"/>
        <w:numPr>
          <w:ilvl w:val="0"/>
          <w:numId w:val="14"/>
        </w:numPr>
      </w:pPr>
      <w:r>
        <w:t>healthcare recipients—we call these Individual Healthcare Identifiers (IHI)</w:t>
      </w:r>
    </w:p>
    <w:p w:rsidR="000943DD" w:rsidRDefault="000943DD" w:rsidP="000943DD">
      <w:pPr>
        <w:pStyle w:val="BodyText"/>
        <w:numPr>
          <w:ilvl w:val="0"/>
          <w:numId w:val="14"/>
        </w:numPr>
      </w:pPr>
      <w:r>
        <w:t>individual healthcare providers—we call these Healthcare Provider Identifier—Individuals (HPI–I)</w:t>
      </w:r>
    </w:p>
    <w:p w:rsidR="000943DD" w:rsidRDefault="000943DD" w:rsidP="000943DD">
      <w:pPr>
        <w:pStyle w:val="BodyText"/>
        <w:numPr>
          <w:ilvl w:val="0"/>
          <w:numId w:val="14"/>
        </w:numPr>
      </w:pPr>
      <w:proofErr w:type="gramStart"/>
      <w:r>
        <w:t>healthcare</w:t>
      </w:r>
      <w:proofErr w:type="gramEnd"/>
      <w:r>
        <w:t xml:space="preserve"> organisations—we call these Healthcare Provider Identifier—Organisations (HPI–O).</w:t>
      </w:r>
    </w:p>
    <w:p w:rsidR="000943DD" w:rsidRDefault="000943DD" w:rsidP="000943DD">
      <w:pPr>
        <w:pStyle w:val="BodyText"/>
        <w:rPr>
          <w:rStyle w:val="01Bodybold"/>
        </w:rPr>
      </w:pPr>
      <w:r>
        <w:rPr>
          <w:rStyle w:val="01Bodybold"/>
        </w:rPr>
        <w:t>Table 1: Number of identifiers assigned</w:t>
      </w:r>
    </w:p>
    <w:tbl>
      <w:tblPr>
        <w:tblStyle w:val="TableGrid"/>
        <w:tblW w:w="5000" w:type="pct"/>
        <w:tblLook w:val="0000" w:firstRow="0" w:lastRow="0" w:firstColumn="0" w:lastColumn="0" w:noHBand="0" w:noVBand="0"/>
        <w:tblCaption w:val="Table 1: Number of identifiers assigned"/>
        <w:tblDescription w:val="Table 1: Number of identifiers assigned"/>
      </w:tblPr>
      <w:tblGrid>
        <w:gridCol w:w="2699"/>
        <w:gridCol w:w="1883"/>
        <w:gridCol w:w="1883"/>
        <w:gridCol w:w="1886"/>
        <w:gridCol w:w="2411"/>
      </w:tblGrid>
      <w:tr w:rsidR="000943DD" w:rsidTr="00D5225A">
        <w:trPr>
          <w:trHeight w:val="60"/>
          <w:tblHeader/>
        </w:trPr>
        <w:tc>
          <w:tcPr>
            <w:tcW w:w="1254" w:type="pct"/>
          </w:tcPr>
          <w:p w:rsidR="000943DD" w:rsidRDefault="000943DD" w:rsidP="00A86919">
            <w:pPr>
              <w:pStyle w:val="NoParagraphStyle"/>
              <w:spacing w:line="240" w:lineRule="auto"/>
              <w:textAlignment w:val="auto"/>
              <w:rPr>
                <w:rFonts w:ascii="Roboto-Regular" w:hAnsi="Roboto-Regular" w:cstheme="minorBidi"/>
                <w:color w:val="auto"/>
                <w:lang w:val="en-AU"/>
              </w:rPr>
            </w:pPr>
          </w:p>
        </w:tc>
        <w:tc>
          <w:tcPr>
            <w:tcW w:w="875" w:type="pct"/>
          </w:tcPr>
          <w:p w:rsidR="000943DD" w:rsidRDefault="000943DD" w:rsidP="00A86919">
            <w:pPr>
              <w:pStyle w:val="BodyText"/>
              <w:jc w:val="right"/>
            </w:pPr>
            <w:r>
              <w:rPr>
                <w:rStyle w:val="01Bodybold"/>
              </w:rPr>
              <w:t>2018–19</w:t>
            </w:r>
          </w:p>
        </w:tc>
        <w:tc>
          <w:tcPr>
            <w:tcW w:w="875" w:type="pct"/>
          </w:tcPr>
          <w:p w:rsidR="000943DD" w:rsidRDefault="000943DD" w:rsidP="00A86919">
            <w:pPr>
              <w:pStyle w:val="BodyText"/>
              <w:jc w:val="right"/>
            </w:pPr>
            <w:r>
              <w:rPr>
                <w:rStyle w:val="01Bodybold"/>
              </w:rPr>
              <w:t>2019–20</w:t>
            </w:r>
          </w:p>
        </w:tc>
        <w:tc>
          <w:tcPr>
            <w:tcW w:w="876" w:type="pct"/>
          </w:tcPr>
          <w:p w:rsidR="000943DD" w:rsidRDefault="000943DD" w:rsidP="00A86919">
            <w:pPr>
              <w:pStyle w:val="BodyText"/>
              <w:jc w:val="right"/>
            </w:pPr>
            <w:r>
              <w:rPr>
                <w:rStyle w:val="01Bodybold"/>
              </w:rPr>
              <w:t>% change since 2018–19</w:t>
            </w:r>
          </w:p>
        </w:tc>
        <w:tc>
          <w:tcPr>
            <w:tcW w:w="1120" w:type="pct"/>
          </w:tcPr>
          <w:p w:rsidR="000943DD" w:rsidRDefault="000943DD" w:rsidP="00A86919">
            <w:pPr>
              <w:pStyle w:val="BodyText"/>
              <w:jc w:val="right"/>
            </w:pPr>
            <w:r>
              <w:rPr>
                <w:rStyle w:val="01Bodybold"/>
              </w:rPr>
              <w:t>Total 1 July 2010 to 30 June 2020</w:t>
            </w:r>
          </w:p>
        </w:tc>
      </w:tr>
      <w:tr w:rsidR="000943DD" w:rsidTr="00D5225A">
        <w:trPr>
          <w:trHeight w:val="60"/>
        </w:trPr>
        <w:tc>
          <w:tcPr>
            <w:tcW w:w="1254" w:type="pct"/>
          </w:tcPr>
          <w:p w:rsidR="000943DD" w:rsidRDefault="000943DD" w:rsidP="00A86919">
            <w:pPr>
              <w:pStyle w:val="BodyText"/>
            </w:pPr>
            <w:r>
              <w:t>Assigned IHIs</w:t>
            </w:r>
          </w:p>
        </w:tc>
        <w:tc>
          <w:tcPr>
            <w:tcW w:w="875" w:type="pct"/>
          </w:tcPr>
          <w:p w:rsidR="000943DD" w:rsidRDefault="000943DD" w:rsidP="00A86919">
            <w:pPr>
              <w:pStyle w:val="BodyText"/>
              <w:jc w:val="right"/>
            </w:pPr>
            <w:r>
              <w:t>568,896</w:t>
            </w:r>
          </w:p>
        </w:tc>
        <w:tc>
          <w:tcPr>
            <w:tcW w:w="875" w:type="pct"/>
          </w:tcPr>
          <w:p w:rsidR="000943DD" w:rsidRDefault="000943DD" w:rsidP="00A86919">
            <w:pPr>
              <w:pStyle w:val="BodyText"/>
              <w:jc w:val="right"/>
            </w:pPr>
            <w:r>
              <w:t>520,972</w:t>
            </w:r>
          </w:p>
        </w:tc>
        <w:tc>
          <w:tcPr>
            <w:tcW w:w="876" w:type="pct"/>
          </w:tcPr>
          <w:p w:rsidR="000943DD" w:rsidRDefault="000943DD" w:rsidP="00A86919">
            <w:pPr>
              <w:pStyle w:val="BodyText"/>
              <w:jc w:val="right"/>
            </w:pPr>
            <w:r>
              <w:t>-8.42%</w:t>
            </w:r>
          </w:p>
        </w:tc>
        <w:tc>
          <w:tcPr>
            <w:tcW w:w="1120" w:type="pct"/>
          </w:tcPr>
          <w:p w:rsidR="000943DD" w:rsidRDefault="000943DD" w:rsidP="00A86919">
            <w:pPr>
              <w:pStyle w:val="BodyText"/>
              <w:jc w:val="right"/>
            </w:pPr>
            <w:r>
              <w:t>29,324,605</w:t>
            </w:r>
          </w:p>
        </w:tc>
      </w:tr>
      <w:tr w:rsidR="000943DD" w:rsidTr="00D5225A">
        <w:trPr>
          <w:trHeight w:val="60"/>
        </w:trPr>
        <w:tc>
          <w:tcPr>
            <w:tcW w:w="1254" w:type="pct"/>
          </w:tcPr>
          <w:p w:rsidR="000943DD" w:rsidRDefault="000943DD" w:rsidP="00A86919">
            <w:pPr>
              <w:pStyle w:val="BodyText"/>
            </w:pPr>
            <w:r>
              <w:t>Assigned HPI–Is</w:t>
            </w:r>
          </w:p>
        </w:tc>
        <w:tc>
          <w:tcPr>
            <w:tcW w:w="875" w:type="pct"/>
          </w:tcPr>
          <w:p w:rsidR="000943DD" w:rsidRDefault="000943DD" w:rsidP="00A86919">
            <w:pPr>
              <w:pStyle w:val="BodyText"/>
              <w:jc w:val="right"/>
            </w:pPr>
            <w:r>
              <w:t>61,525</w:t>
            </w:r>
          </w:p>
        </w:tc>
        <w:tc>
          <w:tcPr>
            <w:tcW w:w="875" w:type="pct"/>
          </w:tcPr>
          <w:p w:rsidR="000943DD" w:rsidRDefault="000943DD" w:rsidP="00A86919">
            <w:pPr>
              <w:pStyle w:val="BodyText"/>
              <w:jc w:val="right"/>
            </w:pPr>
            <w:r>
              <w:t>46,420</w:t>
            </w:r>
          </w:p>
        </w:tc>
        <w:tc>
          <w:tcPr>
            <w:tcW w:w="876" w:type="pct"/>
          </w:tcPr>
          <w:p w:rsidR="000943DD" w:rsidRDefault="000943DD" w:rsidP="00A86919">
            <w:pPr>
              <w:pStyle w:val="BodyText"/>
              <w:jc w:val="right"/>
            </w:pPr>
            <w:r>
              <w:t>-24.55%</w:t>
            </w:r>
          </w:p>
        </w:tc>
        <w:tc>
          <w:tcPr>
            <w:tcW w:w="1120" w:type="pct"/>
          </w:tcPr>
          <w:p w:rsidR="000943DD" w:rsidRDefault="000943DD" w:rsidP="00A86919">
            <w:pPr>
              <w:pStyle w:val="BodyText"/>
              <w:jc w:val="right"/>
            </w:pPr>
            <w:r>
              <w:t>936,311</w:t>
            </w:r>
          </w:p>
        </w:tc>
      </w:tr>
      <w:tr w:rsidR="000943DD" w:rsidTr="00D5225A">
        <w:trPr>
          <w:trHeight w:val="60"/>
        </w:trPr>
        <w:tc>
          <w:tcPr>
            <w:tcW w:w="1254" w:type="pct"/>
          </w:tcPr>
          <w:p w:rsidR="000943DD" w:rsidRDefault="000943DD" w:rsidP="00A86919">
            <w:pPr>
              <w:pStyle w:val="BodyText"/>
            </w:pPr>
            <w:r>
              <w:t>Assigned HPI–</w:t>
            </w:r>
            <w:proofErr w:type="spellStart"/>
            <w:r>
              <w:t>Os</w:t>
            </w:r>
            <w:proofErr w:type="spellEnd"/>
          </w:p>
        </w:tc>
        <w:tc>
          <w:tcPr>
            <w:tcW w:w="875" w:type="pct"/>
          </w:tcPr>
          <w:p w:rsidR="000943DD" w:rsidRDefault="000943DD" w:rsidP="00A86919">
            <w:pPr>
              <w:pStyle w:val="BodyText"/>
              <w:jc w:val="right"/>
            </w:pPr>
            <w:r>
              <w:t>3,586</w:t>
            </w:r>
          </w:p>
        </w:tc>
        <w:tc>
          <w:tcPr>
            <w:tcW w:w="875" w:type="pct"/>
          </w:tcPr>
          <w:p w:rsidR="000943DD" w:rsidRDefault="000943DD" w:rsidP="00A86919">
            <w:pPr>
              <w:pStyle w:val="BodyText"/>
              <w:jc w:val="right"/>
            </w:pPr>
            <w:r>
              <w:t>1,988</w:t>
            </w:r>
          </w:p>
        </w:tc>
        <w:tc>
          <w:tcPr>
            <w:tcW w:w="876" w:type="pct"/>
          </w:tcPr>
          <w:p w:rsidR="000943DD" w:rsidRDefault="000943DD" w:rsidP="00A86919">
            <w:pPr>
              <w:pStyle w:val="BodyText"/>
              <w:jc w:val="right"/>
            </w:pPr>
            <w:r>
              <w:t>-44.56%</w:t>
            </w:r>
          </w:p>
        </w:tc>
        <w:tc>
          <w:tcPr>
            <w:tcW w:w="1120" w:type="pct"/>
          </w:tcPr>
          <w:p w:rsidR="000943DD" w:rsidRDefault="000943DD" w:rsidP="00A86919">
            <w:pPr>
              <w:pStyle w:val="BodyText"/>
              <w:jc w:val="right"/>
            </w:pPr>
            <w:r>
              <w:t>18,914</w:t>
            </w:r>
          </w:p>
        </w:tc>
      </w:tr>
    </w:tbl>
    <w:p w:rsidR="000943DD" w:rsidRDefault="000943DD" w:rsidP="000943DD">
      <w:pPr>
        <w:pStyle w:val="BodyText"/>
      </w:pPr>
      <w:r>
        <w:t xml:space="preserve">The volume of assigned HPI–Is declined as expected in 2019–20. This followed a significant increase in 2018–19 due to the regulation of </w:t>
      </w:r>
      <w:proofErr w:type="spellStart"/>
      <w:r>
        <w:t>paramedicine</w:t>
      </w:r>
      <w:proofErr w:type="spellEnd"/>
      <w:r>
        <w:t xml:space="preserve"> under the National Registration and Accreditation Scheme. The volume of assigned HPI-Os declined as expected in 2019–20. This followed a significant increase in 2018–19 as part of the ADHA’s take-up strategy for pharmacy registrations.</w:t>
      </w:r>
    </w:p>
    <w:p w:rsidR="000943DD" w:rsidRDefault="000943DD" w:rsidP="000943DD">
      <w:pPr>
        <w:pStyle w:val="Heading2"/>
      </w:pPr>
      <w:r>
        <w:t>Disclosure of healthcare identifiers for authorised purposes</w:t>
      </w:r>
    </w:p>
    <w:p w:rsidR="000943DD" w:rsidRDefault="000943DD" w:rsidP="000943DD">
      <w:pPr>
        <w:pStyle w:val="BodyText"/>
      </w:pPr>
      <w:r>
        <w:t>Under the HI Act, we’re authorised to disclose healthcare identifiers to:</w:t>
      </w:r>
    </w:p>
    <w:p w:rsidR="000943DD" w:rsidRDefault="000943DD" w:rsidP="000943DD">
      <w:pPr>
        <w:pStyle w:val="BodyText"/>
        <w:numPr>
          <w:ilvl w:val="0"/>
          <w:numId w:val="14"/>
        </w:numPr>
      </w:pPr>
      <w:r>
        <w:t>healthcare providers, so they can communicate and manage patient information as part of their healthcare</w:t>
      </w:r>
    </w:p>
    <w:p w:rsidR="000943DD" w:rsidRDefault="000943DD" w:rsidP="000943DD">
      <w:pPr>
        <w:pStyle w:val="BodyText"/>
        <w:numPr>
          <w:ilvl w:val="0"/>
          <w:numId w:val="14"/>
        </w:numPr>
      </w:pPr>
      <w:r>
        <w:t>people who ask for their own healthcare identifier</w:t>
      </w:r>
    </w:p>
    <w:p w:rsidR="000943DD" w:rsidRDefault="000943DD" w:rsidP="000943DD">
      <w:pPr>
        <w:pStyle w:val="BodyText"/>
        <w:numPr>
          <w:ilvl w:val="0"/>
          <w:numId w:val="14"/>
        </w:numPr>
      </w:pPr>
      <w:r>
        <w:t>registration authorities, so they can assign healthcare identifiers to their registrants</w:t>
      </w:r>
    </w:p>
    <w:p w:rsidR="000943DD" w:rsidRDefault="000943DD" w:rsidP="000943DD">
      <w:pPr>
        <w:pStyle w:val="BodyText"/>
        <w:numPr>
          <w:ilvl w:val="0"/>
          <w:numId w:val="14"/>
        </w:numPr>
      </w:pPr>
      <w:r>
        <w:t>entities that issue security credentials, so they can authenticate a provider’s identity in electronic transmissions</w:t>
      </w:r>
    </w:p>
    <w:p w:rsidR="000943DD" w:rsidRDefault="000943DD" w:rsidP="000943DD">
      <w:pPr>
        <w:pStyle w:val="BodyText"/>
        <w:numPr>
          <w:ilvl w:val="0"/>
          <w:numId w:val="14"/>
        </w:numPr>
      </w:pPr>
      <w:proofErr w:type="gramStart"/>
      <w:r>
        <w:t>the</w:t>
      </w:r>
      <w:proofErr w:type="gramEnd"/>
      <w:r>
        <w:t xml:space="preserve"> My Health Record System Operator for the My Health Record system.</w:t>
      </w:r>
    </w:p>
    <w:p w:rsidR="000943DD" w:rsidRDefault="000943DD" w:rsidP="000943DD">
      <w:pPr>
        <w:pStyle w:val="Heading3"/>
      </w:pPr>
      <w:r>
        <w:t xml:space="preserve">Disclosure of healthcare identifiers for individuals </w:t>
      </w:r>
    </w:p>
    <w:p w:rsidR="000943DD" w:rsidRDefault="000943DD" w:rsidP="000943DD">
      <w:pPr>
        <w:pStyle w:val="BodyText"/>
      </w:pPr>
      <w:r>
        <w:t>Registered healthcare providers and healthcare organisations access their patient’s IHI when their health system software interacts with the HI Service using the authorised web service channel. Appropriate software and approved authentication technology is required to use the web service channel.</w:t>
      </w:r>
    </w:p>
    <w:p w:rsidR="000943DD" w:rsidRDefault="000943DD" w:rsidP="000943DD">
      <w:pPr>
        <w:pStyle w:val="BodyText"/>
      </w:pPr>
      <w:r>
        <w:t xml:space="preserve">People can also access their own IHI number by contacting us. </w:t>
      </w:r>
    </w:p>
    <w:p w:rsidR="000943DD" w:rsidRDefault="000943DD" w:rsidP="000943DD">
      <w:pPr>
        <w:pStyle w:val="BodyText"/>
      </w:pPr>
      <w:r>
        <w:t xml:space="preserve">Each time the HI Service discloses an IHI it counts as a disclosure under the HI Act. The number of disclosures doesn’t represent the number of people who have an IHI. For example, a healthcare provider may search for the same IHI on multiple occasions, such as each time their patient has an appointment. </w:t>
      </w:r>
    </w:p>
    <w:p w:rsidR="000943DD" w:rsidRDefault="000943DD" w:rsidP="000943DD">
      <w:pPr>
        <w:pStyle w:val="BodyText"/>
        <w:rPr>
          <w:rStyle w:val="01Bodybold"/>
        </w:rPr>
      </w:pPr>
      <w:r>
        <w:rPr>
          <w:rStyle w:val="01Bodybold"/>
        </w:rPr>
        <w:t xml:space="preserve">Table 2: Number of Individual Healthcare Identifiers disclosed </w:t>
      </w:r>
    </w:p>
    <w:tbl>
      <w:tblPr>
        <w:tblStyle w:val="TableGrid"/>
        <w:tblW w:w="5000" w:type="pct"/>
        <w:tblLook w:val="0000" w:firstRow="0" w:lastRow="0" w:firstColumn="0" w:lastColumn="0" w:noHBand="0" w:noVBand="0"/>
        <w:tblCaption w:val="Table 2: Number of Individual Healthcare Identifiers disclosed"/>
        <w:tblDescription w:val="Table 2: Number of Individual Healthcare Identifiers disclosed"/>
      </w:tblPr>
      <w:tblGrid>
        <w:gridCol w:w="2692"/>
        <w:gridCol w:w="2691"/>
        <w:gridCol w:w="2688"/>
        <w:gridCol w:w="2691"/>
      </w:tblGrid>
      <w:tr w:rsidR="000943DD" w:rsidTr="00D5225A">
        <w:trPr>
          <w:trHeight w:val="60"/>
          <w:tblHeader/>
        </w:trPr>
        <w:tc>
          <w:tcPr>
            <w:tcW w:w="1250" w:type="pct"/>
          </w:tcPr>
          <w:p w:rsidR="000943DD" w:rsidRDefault="000943DD" w:rsidP="00A86919">
            <w:pPr>
              <w:pStyle w:val="NoParagraphStyle"/>
              <w:spacing w:line="240" w:lineRule="auto"/>
              <w:textAlignment w:val="auto"/>
              <w:rPr>
                <w:rFonts w:ascii="Roboto-Regular" w:hAnsi="Roboto-Regular" w:cstheme="minorBidi"/>
                <w:color w:val="auto"/>
                <w:lang w:val="en-AU"/>
              </w:rPr>
            </w:pPr>
          </w:p>
        </w:tc>
        <w:tc>
          <w:tcPr>
            <w:tcW w:w="1250" w:type="pct"/>
          </w:tcPr>
          <w:p w:rsidR="000943DD" w:rsidRDefault="000943DD" w:rsidP="00A86919">
            <w:pPr>
              <w:pStyle w:val="BodyText"/>
              <w:jc w:val="right"/>
            </w:pPr>
            <w:r>
              <w:rPr>
                <w:rStyle w:val="01Bodybold"/>
              </w:rPr>
              <w:t>2018–19</w:t>
            </w:r>
          </w:p>
        </w:tc>
        <w:tc>
          <w:tcPr>
            <w:tcW w:w="1249" w:type="pct"/>
          </w:tcPr>
          <w:p w:rsidR="000943DD" w:rsidRDefault="000943DD" w:rsidP="00A86919">
            <w:pPr>
              <w:pStyle w:val="BodyText"/>
              <w:jc w:val="right"/>
            </w:pPr>
            <w:r>
              <w:rPr>
                <w:rStyle w:val="01Bodybold"/>
              </w:rPr>
              <w:t>2019–20</w:t>
            </w:r>
          </w:p>
        </w:tc>
        <w:tc>
          <w:tcPr>
            <w:tcW w:w="1250" w:type="pct"/>
          </w:tcPr>
          <w:p w:rsidR="000943DD" w:rsidRDefault="000943DD" w:rsidP="00A86919">
            <w:pPr>
              <w:pStyle w:val="BodyText"/>
              <w:jc w:val="right"/>
            </w:pPr>
            <w:r>
              <w:rPr>
                <w:rStyle w:val="01Bodybold"/>
              </w:rPr>
              <w:t>% change since 2018–19</w:t>
            </w:r>
          </w:p>
        </w:tc>
      </w:tr>
      <w:tr w:rsidR="000943DD" w:rsidTr="00D5225A">
        <w:trPr>
          <w:trHeight w:val="60"/>
        </w:trPr>
        <w:tc>
          <w:tcPr>
            <w:tcW w:w="1250" w:type="pct"/>
          </w:tcPr>
          <w:p w:rsidR="000943DD" w:rsidRDefault="000943DD" w:rsidP="00A86919">
            <w:pPr>
              <w:pStyle w:val="BodyText"/>
            </w:pPr>
            <w:r>
              <w:t>IHIs disclosed by telephone and service centres</w:t>
            </w:r>
          </w:p>
        </w:tc>
        <w:tc>
          <w:tcPr>
            <w:tcW w:w="1250" w:type="pct"/>
          </w:tcPr>
          <w:p w:rsidR="000943DD" w:rsidRDefault="000943DD" w:rsidP="00A86919">
            <w:pPr>
              <w:pStyle w:val="BodyText"/>
              <w:jc w:val="right"/>
            </w:pPr>
            <w:r>
              <w:t>274</w:t>
            </w:r>
          </w:p>
        </w:tc>
        <w:tc>
          <w:tcPr>
            <w:tcW w:w="1249" w:type="pct"/>
          </w:tcPr>
          <w:p w:rsidR="000943DD" w:rsidRDefault="000943DD" w:rsidP="00A86919">
            <w:pPr>
              <w:pStyle w:val="BodyText"/>
              <w:jc w:val="right"/>
            </w:pPr>
            <w:r>
              <w:t>166</w:t>
            </w:r>
          </w:p>
        </w:tc>
        <w:tc>
          <w:tcPr>
            <w:tcW w:w="1250" w:type="pct"/>
          </w:tcPr>
          <w:p w:rsidR="000943DD" w:rsidRDefault="000943DD" w:rsidP="00A86919">
            <w:pPr>
              <w:pStyle w:val="BodyText"/>
              <w:jc w:val="right"/>
            </w:pPr>
            <w:r>
              <w:t>-39.42%</w:t>
            </w:r>
          </w:p>
        </w:tc>
      </w:tr>
      <w:tr w:rsidR="000943DD" w:rsidTr="00D5225A">
        <w:trPr>
          <w:trHeight w:val="60"/>
        </w:trPr>
        <w:tc>
          <w:tcPr>
            <w:tcW w:w="1250" w:type="pct"/>
          </w:tcPr>
          <w:p w:rsidR="000943DD" w:rsidRDefault="000943DD" w:rsidP="00A86919">
            <w:pPr>
              <w:pStyle w:val="BodyText"/>
            </w:pPr>
            <w:r>
              <w:t>IHIs disclosed through web services</w:t>
            </w:r>
          </w:p>
        </w:tc>
        <w:tc>
          <w:tcPr>
            <w:tcW w:w="1250" w:type="pct"/>
          </w:tcPr>
          <w:p w:rsidR="000943DD" w:rsidRDefault="000943DD" w:rsidP="00A86919">
            <w:pPr>
              <w:pStyle w:val="BodyText"/>
              <w:jc w:val="right"/>
            </w:pPr>
            <w:r>
              <w:t>370,805,053</w:t>
            </w:r>
          </w:p>
        </w:tc>
        <w:tc>
          <w:tcPr>
            <w:tcW w:w="1249" w:type="pct"/>
          </w:tcPr>
          <w:p w:rsidR="000943DD" w:rsidRDefault="000943DD" w:rsidP="00A86919">
            <w:pPr>
              <w:pStyle w:val="BodyText"/>
              <w:jc w:val="right"/>
            </w:pPr>
            <w:r>
              <w:t>283,567,251</w:t>
            </w:r>
          </w:p>
        </w:tc>
        <w:tc>
          <w:tcPr>
            <w:tcW w:w="1250" w:type="pct"/>
          </w:tcPr>
          <w:p w:rsidR="000943DD" w:rsidRDefault="000943DD" w:rsidP="00A86919">
            <w:pPr>
              <w:pStyle w:val="BodyText"/>
              <w:jc w:val="right"/>
            </w:pPr>
            <w:r>
              <w:t>-23.53%</w:t>
            </w:r>
          </w:p>
        </w:tc>
      </w:tr>
    </w:tbl>
    <w:p w:rsidR="000943DD" w:rsidRDefault="000943DD" w:rsidP="000943DD">
      <w:pPr>
        <w:pStyle w:val="BodyText"/>
      </w:pPr>
      <w:r>
        <w:t>The number of IHIs disclosed declined in 2019–20. This was expected and is driven by improved data surveillance to identify where users could improve their interactions with the HI Service.</w:t>
      </w:r>
    </w:p>
    <w:p w:rsidR="000943DD" w:rsidRDefault="000943DD" w:rsidP="000943DD">
      <w:pPr>
        <w:pStyle w:val="Heading3"/>
        <w:rPr>
          <w:spacing w:val="-2"/>
        </w:rPr>
      </w:pPr>
      <w:r>
        <w:rPr>
          <w:spacing w:val="-4"/>
        </w:rPr>
        <w:t xml:space="preserve">Disclosure of healthcare identifiers for healthcare providers </w:t>
      </w:r>
      <w:r>
        <w:rPr>
          <w:spacing w:val="-2"/>
        </w:rPr>
        <w:t>and organisations</w:t>
      </w:r>
    </w:p>
    <w:p w:rsidR="000943DD" w:rsidRDefault="000943DD" w:rsidP="000943DD">
      <w:pPr>
        <w:pStyle w:val="BodyText"/>
      </w:pPr>
      <w:r>
        <w:t>In 2019–20, we disclosed 557,943 HPI–Is and HPI–</w:t>
      </w:r>
      <w:proofErr w:type="spellStart"/>
      <w:r>
        <w:t>Os</w:t>
      </w:r>
      <w:proofErr w:type="spellEnd"/>
      <w:r>
        <w:t xml:space="preserve">. In line with the HI Act, we made the disclosures to entities that authenticate healthcare providers and healthcare organisations in digital health transmissions. </w:t>
      </w:r>
    </w:p>
    <w:p w:rsidR="000943DD" w:rsidRDefault="000943DD" w:rsidP="000943DD">
      <w:pPr>
        <w:pStyle w:val="BodyText"/>
        <w:rPr>
          <w:rStyle w:val="01Bodybold"/>
        </w:rPr>
      </w:pPr>
      <w:r>
        <w:rPr>
          <w:rStyle w:val="01Bodybold"/>
        </w:rPr>
        <w:t>Table 3: Number of HPI–Is and HPI–</w:t>
      </w:r>
      <w:proofErr w:type="spellStart"/>
      <w:r>
        <w:rPr>
          <w:rStyle w:val="01Bodybold"/>
        </w:rPr>
        <w:t>Os</w:t>
      </w:r>
      <w:proofErr w:type="spellEnd"/>
      <w:r>
        <w:rPr>
          <w:rStyle w:val="01Bodybold"/>
        </w:rPr>
        <w:t xml:space="preserve"> disclosed</w:t>
      </w:r>
    </w:p>
    <w:tbl>
      <w:tblPr>
        <w:tblStyle w:val="TableGrid"/>
        <w:tblW w:w="5000" w:type="pct"/>
        <w:tblLook w:val="0000" w:firstRow="0" w:lastRow="0" w:firstColumn="0" w:lastColumn="0" w:noHBand="0" w:noVBand="0"/>
        <w:tblCaption w:val="Table 3: Number of HPI–Is and HPI–Os disclosed"/>
        <w:tblDescription w:val="Table 3: Number of HPI–Is and HPI–Os disclosed"/>
      </w:tblPr>
      <w:tblGrid>
        <w:gridCol w:w="2692"/>
        <w:gridCol w:w="2691"/>
        <w:gridCol w:w="2688"/>
        <w:gridCol w:w="2691"/>
      </w:tblGrid>
      <w:tr w:rsidR="000943DD" w:rsidTr="00D5225A">
        <w:trPr>
          <w:trHeight w:val="60"/>
          <w:tblHeader/>
        </w:trPr>
        <w:tc>
          <w:tcPr>
            <w:tcW w:w="1250" w:type="pct"/>
          </w:tcPr>
          <w:p w:rsidR="000943DD" w:rsidRDefault="000943DD" w:rsidP="00A86919">
            <w:pPr>
              <w:pStyle w:val="NoParagraphStyle"/>
              <w:spacing w:line="240" w:lineRule="auto"/>
              <w:textAlignment w:val="auto"/>
              <w:rPr>
                <w:rFonts w:ascii="Roboto-Regular" w:hAnsi="Roboto-Regular" w:cstheme="minorBidi"/>
                <w:color w:val="auto"/>
                <w:lang w:val="en-AU"/>
              </w:rPr>
            </w:pPr>
          </w:p>
        </w:tc>
        <w:tc>
          <w:tcPr>
            <w:tcW w:w="1250" w:type="pct"/>
          </w:tcPr>
          <w:p w:rsidR="000943DD" w:rsidRDefault="000943DD" w:rsidP="00A86919">
            <w:pPr>
              <w:pStyle w:val="BodyText"/>
              <w:jc w:val="right"/>
            </w:pPr>
            <w:r>
              <w:rPr>
                <w:rStyle w:val="01Bodybold"/>
              </w:rPr>
              <w:t>2018–19</w:t>
            </w:r>
          </w:p>
        </w:tc>
        <w:tc>
          <w:tcPr>
            <w:tcW w:w="1249" w:type="pct"/>
          </w:tcPr>
          <w:p w:rsidR="000943DD" w:rsidRDefault="000943DD" w:rsidP="00A86919">
            <w:pPr>
              <w:pStyle w:val="BodyText"/>
              <w:jc w:val="right"/>
            </w:pPr>
            <w:r>
              <w:rPr>
                <w:rStyle w:val="01Bodybold"/>
              </w:rPr>
              <w:t>2019–20</w:t>
            </w:r>
          </w:p>
        </w:tc>
        <w:tc>
          <w:tcPr>
            <w:tcW w:w="1250" w:type="pct"/>
          </w:tcPr>
          <w:p w:rsidR="000943DD" w:rsidRDefault="000943DD" w:rsidP="00A86919">
            <w:pPr>
              <w:pStyle w:val="BodyText"/>
              <w:jc w:val="right"/>
            </w:pPr>
            <w:r>
              <w:rPr>
                <w:rStyle w:val="01Bodybold"/>
              </w:rPr>
              <w:t>% change since 2018–19</w:t>
            </w:r>
          </w:p>
        </w:tc>
      </w:tr>
      <w:tr w:rsidR="000943DD" w:rsidTr="00D5225A">
        <w:trPr>
          <w:trHeight w:val="60"/>
        </w:trPr>
        <w:tc>
          <w:tcPr>
            <w:tcW w:w="1250" w:type="pct"/>
          </w:tcPr>
          <w:p w:rsidR="000943DD" w:rsidRDefault="000943DD" w:rsidP="00A86919">
            <w:pPr>
              <w:pStyle w:val="BodyText"/>
            </w:pPr>
            <w:r>
              <w:t>HPI–Is and HPI–</w:t>
            </w:r>
            <w:proofErr w:type="spellStart"/>
            <w:r>
              <w:t>Os</w:t>
            </w:r>
            <w:proofErr w:type="spellEnd"/>
            <w:r>
              <w:t xml:space="preserve"> disclosed via web services</w:t>
            </w:r>
          </w:p>
        </w:tc>
        <w:tc>
          <w:tcPr>
            <w:tcW w:w="1250" w:type="pct"/>
          </w:tcPr>
          <w:p w:rsidR="000943DD" w:rsidRDefault="000943DD" w:rsidP="00A86919">
            <w:pPr>
              <w:pStyle w:val="BodyText"/>
              <w:jc w:val="right"/>
            </w:pPr>
            <w:r>
              <w:t>518,662</w:t>
            </w:r>
          </w:p>
        </w:tc>
        <w:tc>
          <w:tcPr>
            <w:tcW w:w="1249" w:type="pct"/>
          </w:tcPr>
          <w:p w:rsidR="000943DD" w:rsidRDefault="000943DD" w:rsidP="00A86919">
            <w:pPr>
              <w:pStyle w:val="BodyText"/>
              <w:jc w:val="right"/>
            </w:pPr>
            <w:r>
              <w:t>557,943</w:t>
            </w:r>
          </w:p>
        </w:tc>
        <w:tc>
          <w:tcPr>
            <w:tcW w:w="1250" w:type="pct"/>
          </w:tcPr>
          <w:p w:rsidR="000943DD" w:rsidRDefault="000943DD" w:rsidP="00A86919">
            <w:pPr>
              <w:pStyle w:val="BodyText"/>
              <w:jc w:val="right"/>
            </w:pPr>
            <w:r>
              <w:t>+7.57%</w:t>
            </w:r>
          </w:p>
        </w:tc>
      </w:tr>
    </w:tbl>
    <w:p w:rsidR="000943DD" w:rsidRDefault="000943DD" w:rsidP="000943DD">
      <w:pPr>
        <w:pStyle w:val="Heading2"/>
      </w:pPr>
      <w:r>
        <w:t>Provision of the Healthcare Provider Directory</w:t>
      </w:r>
    </w:p>
    <w:p w:rsidR="000943DD" w:rsidRDefault="000943DD" w:rsidP="000943DD">
      <w:pPr>
        <w:pStyle w:val="BodyText"/>
      </w:pPr>
      <w:r>
        <w:t xml:space="preserve">Healthcare providers and healthcare organisations use the Healthcare Provider Directory to access information about each other. </w:t>
      </w:r>
    </w:p>
    <w:p w:rsidR="000943DD" w:rsidRDefault="000943DD" w:rsidP="000943DD">
      <w:pPr>
        <w:pStyle w:val="BodyText"/>
      </w:pPr>
      <w:r>
        <w:t xml:space="preserve">During 2019–20, the number of healthcare providers and organisations whose details were published in the directory increased by 2,072, bringing the total number of entries published since 1 July 2010 to 33,795. </w:t>
      </w:r>
    </w:p>
    <w:p w:rsidR="000943DD" w:rsidRDefault="000943DD" w:rsidP="000943DD">
      <w:pPr>
        <w:pStyle w:val="Heading2"/>
      </w:pPr>
      <w:r>
        <w:t>Policies, processes and systems used to operate the HI</w:t>
      </w:r>
      <w:r w:rsidR="00D5225A">
        <w:t> </w:t>
      </w:r>
      <w:r>
        <w:t>Service</w:t>
      </w:r>
    </w:p>
    <w:p w:rsidR="000943DD" w:rsidRDefault="000943DD" w:rsidP="000943DD">
      <w:pPr>
        <w:pStyle w:val="BodyText"/>
      </w:pPr>
      <w:r>
        <w:t xml:space="preserve">The HI Service operates with well-defined policies, procedures, processes and systems. </w:t>
      </w:r>
    </w:p>
    <w:p w:rsidR="000943DD" w:rsidRDefault="000943DD" w:rsidP="000943DD">
      <w:pPr>
        <w:pStyle w:val="Heading3"/>
      </w:pPr>
      <w:r>
        <w:t>Policies and processes</w:t>
      </w:r>
    </w:p>
    <w:p w:rsidR="000943DD" w:rsidRDefault="000943DD" w:rsidP="000943DD">
      <w:pPr>
        <w:pStyle w:val="BodyText"/>
      </w:pPr>
      <w:r>
        <w:t>HI Service operational policies and procedures are available for staff who manage enquiries from the general public and healthcare providers. We review our policies and procedures every 6 months or when changes are required.</w:t>
      </w:r>
    </w:p>
    <w:p w:rsidR="000943DD" w:rsidRDefault="000943DD" w:rsidP="000943DD">
      <w:pPr>
        <w:pStyle w:val="Heading3"/>
      </w:pPr>
      <w:r>
        <w:t>Healthcare identifier information systems</w:t>
      </w:r>
    </w:p>
    <w:p w:rsidR="000943DD" w:rsidRDefault="000943DD" w:rsidP="000943DD">
      <w:pPr>
        <w:pStyle w:val="BodyText"/>
        <w:spacing w:after="57"/>
      </w:pPr>
      <w:r>
        <w:t>We maintain systems that contain:</w:t>
      </w:r>
    </w:p>
    <w:p w:rsidR="000943DD" w:rsidRDefault="000943DD" w:rsidP="0056258E">
      <w:pPr>
        <w:pStyle w:val="ListBullet"/>
      </w:pPr>
      <w:r>
        <w:t>IHI information (demographic details and addresses)</w:t>
      </w:r>
    </w:p>
    <w:p w:rsidR="000943DD" w:rsidRDefault="000943DD" w:rsidP="0056258E">
      <w:pPr>
        <w:pStyle w:val="ListBullet"/>
      </w:pPr>
      <w:r>
        <w:t xml:space="preserve">HPI–I information (demographic details, addresses and field of practice) </w:t>
      </w:r>
    </w:p>
    <w:p w:rsidR="000943DD" w:rsidRDefault="000943DD" w:rsidP="0056258E">
      <w:pPr>
        <w:pStyle w:val="ListBullet"/>
      </w:pPr>
      <w:r>
        <w:t xml:space="preserve">HPI–O information (organisation names, addresses, services provided and demographic details of the responsible officer and organisation maintenance officer where applicable). </w:t>
      </w:r>
    </w:p>
    <w:p w:rsidR="000943DD" w:rsidRDefault="000943DD" w:rsidP="000943DD">
      <w:pPr>
        <w:pStyle w:val="BodyText"/>
      </w:pPr>
      <w:r>
        <w:t>No health information is stored in the HI Service.</w:t>
      </w:r>
    </w:p>
    <w:p w:rsidR="000943DD" w:rsidRDefault="000943DD" w:rsidP="000943DD">
      <w:pPr>
        <w:pStyle w:val="Heading3"/>
      </w:pPr>
      <w:r>
        <w:t>Managing business continuity plans</w:t>
      </w:r>
    </w:p>
    <w:p w:rsidR="000943DD" w:rsidRDefault="000943DD" w:rsidP="000943DD">
      <w:pPr>
        <w:pStyle w:val="BodyText"/>
        <w:rPr>
          <w:spacing w:val="-2"/>
        </w:rPr>
      </w:pPr>
      <w:r>
        <w:t xml:space="preserve">As part of our program assurance responsibilities, every year we undertake business continuity and disaster recovery planning for the HI Service. During 2019–20, under the guidance of the Services Australia Coronavirus Taskforce, </w:t>
      </w:r>
      <w:r>
        <w:rPr>
          <w:spacing w:val="-2"/>
        </w:rPr>
        <w:t>we reviewed and adapted our plans to prioritise our critical functions. This action ensured we remained vigilant and well placed to maintain our essential services.</w:t>
      </w:r>
    </w:p>
    <w:p w:rsidR="000943DD" w:rsidRDefault="000943DD" w:rsidP="000943DD">
      <w:pPr>
        <w:pStyle w:val="Heading2"/>
      </w:pPr>
      <w:r>
        <w:t>Interactions with software vendors and contracted service providers</w:t>
      </w:r>
    </w:p>
    <w:p w:rsidR="000943DD" w:rsidRDefault="000943DD" w:rsidP="000943DD">
      <w:pPr>
        <w:pStyle w:val="BodyText"/>
      </w:pPr>
      <w:r>
        <w:t>During 2019–20, in collaboration with the ADHA, we used our enhanced data capability to improve the way we work with software vendors and contracted service providers.</w:t>
      </w:r>
    </w:p>
    <w:p w:rsidR="000943DD" w:rsidRDefault="000943DD" w:rsidP="000943DD">
      <w:pPr>
        <w:pStyle w:val="Heading3"/>
      </w:pPr>
      <w:r>
        <w:t>Software vendors</w:t>
      </w:r>
    </w:p>
    <w:p w:rsidR="000943DD" w:rsidRDefault="000943DD" w:rsidP="000943DD">
      <w:pPr>
        <w:pStyle w:val="BodyText"/>
      </w:pPr>
      <w:r>
        <w:t>In 2019–20, we continued to engage with software vendors to develop their products for the HI Service.</w:t>
      </w:r>
    </w:p>
    <w:p w:rsidR="000943DD" w:rsidRDefault="000943DD" w:rsidP="000943DD">
      <w:pPr>
        <w:pStyle w:val="BodyText"/>
      </w:pPr>
      <w:r>
        <w:t xml:space="preserve">Software vendors can find information on connecting with the HI Service at </w:t>
      </w:r>
      <w:r>
        <w:rPr>
          <w:rStyle w:val="01Bodybold"/>
        </w:rPr>
        <w:t>servicesaustralia.gov.au/organisations/health-professionals/subjects/healthcare-identifiers-service-software-developers</w:t>
      </w:r>
    </w:p>
    <w:p w:rsidR="000943DD" w:rsidRDefault="000943DD" w:rsidP="000943DD">
      <w:pPr>
        <w:pStyle w:val="BodyText"/>
      </w:pPr>
      <w:r>
        <w:t>In 2019–20, 37 software vendors registered to develop compatible software for the HI Service.</w:t>
      </w:r>
    </w:p>
    <w:p w:rsidR="000943DD" w:rsidRDefault="000943DD" w:rsidP="000943DD">
      <w:pPr>
        <w:pStyle w:val="Heading3"/>
      </w:pPr>
      <w:r>
        <w:t>Contracted service providers</w:t>
      </w:r>
    </w:p>
    <w:p w:rsidR="000943DD" w:rsidRDefault="000943DD" w:rsidP="000943DD">
      <w:pPr>
        <w:pStyle w:val="BodyText"/>
      </w:pPr>
      <w:r>
        <w:t xml:space="preserve">Healthcare organisations can engage contracted service providers to provide ICT services to communicate and manage health information. </w:t>
      </w:r>
    </w:p>
    <w:p w:rsidR="000943DD" w:rsidRDefault="000943DD" w:rsidP="000943DD">
      <w:pPr>
        <w:pStyle w:val="BodyText"/>
      </w:pPr>
      <w:r>
        <w:t>A contracted service provider applies to us for a unique HI Service registration number. Once registered, a healthcare organisation can link the contracted service provider in the HI Service so they can access the HI Service on behalf of the healthcare organisation.</w:t>
      </w:r>
    </w:p>
    <w:p w:rsidR="000943DD" w:rsidRDefault="000943DD" w:rsidP="000943DD">
      <w:pPr>
        <w:pStyle w:val="Heading1"/>
      </w:pPr>
      <w:r>
        <w:t>Service level results</w:t>
      </w:r>
    </w:p>
    <w:p w:rsidR="000943DD" w:rsidRDefault="000943DD" w:rsidP="00D5225A">
      <w:pPr>
        <w:pStyle w:val="BodyText"/>
      </w:pPr>
      <w:r>
        <w:rPr>
          <w:spacing w:val="-3"/>
        </w:rPr>
        <w:t xml:space="preserve">Performance of the HI Service is measured against </w:t>
      </w:r>
      <w:r>
        <w:t xml:space="preserve">service levels agreed between Services Australia and the ADHA. </w:t>
      </w:r>
    </w:p>
    <w:p w:rsidR="000943DD" w:rsidRDefault="000943DD" w:rsidP="000943DD">
      <w:pPr>
        <w:pStyle w:val="BodyText"/>
      </w:pPr>
      <w:r>
        <w:rPr>
          <w:rStyle w:val="01Bodybold"/>
        </w:rPr>
        <w:t>Table 4: Service levels for 2019–20</w:t>
      </w:r>
    </w:p>
    <w:tbl>
      <w:tblPr>
        <w:tblStyle w:val="TableGrid"/>
        <w:tblW w:w="5000" w:type="pct"/>
        <w:tblLook w:val="0000" w:firstRow="0" w:lastRow="0" w:firstColumn="0" w:lastColumn="0" w:noHBand="0" w:noVBand="0"/>
        <w:tblCaption w:val="Table 4: Service levels for 2019–20"/>
        <w:tblDescription w:val="Table 4: Service levels for 2019–20"/>
      </w:tblPr>
      <w:tblGrid>
        <w:gridCol w:w="8379"/>
        <w:gridCol w:w="2383"/>
      </w:tblGrid>
      <w:tr w:rsidR="000943DD" w:rsidTr="00D5225A">
        <w:trPr>
          <w:trHeight w:val="60"/>
          <w:tblHeader/>
        </w:trPr>
        <w:tc>
          <w:tcPr>
            <w:tcW w:w="3893" w:type="pct"/>
          </w:tcPr>
          <w:p w:rsidR="000943DD" w:rsidRDefault="000943DD" w:rsidP="00A86919">
            <w:pPr>
              <w:pStyle w:val="BodyText"/>
            </w:pPr>
            <w:r>
              <w:rPr>
                <w:rStyle w:val="01Bodybold"/>
              </w:rPr>
              <w:t>Service level description</w:t>
            </w:r>
          </w:p>
        </w:tc>
        <w:tc>
          <w:tcPr>
            <w:tcW w:w="1107" w:type="pct"/>
          </w:tcPr>
          <w:p w:rsidR="000943DD" w:rsidRDefault="000943DD" w:rsidP="00A86919">
            <w:pPr>
              <w:pStyle w:val="BodyText"/>
              <w:jc w:val="right"/>
            </w:pPr>
            <w:r>
              <w:rPr>
                <w:rStyle w:val="01Bodybold"/>
              </w:rPr>
              <w:t>Target</w:t>
            </w:r>
          </w:p>
        </w:tc>
      </w:tr>
      <w:tr w:rsidR="000943DD" w:rsidTr="00D5225A">
        <w:trPr>
          <w:trHeight w:val="60"/>
        </w:trPr>
        <w:tc>
          <w:tcPr>
            <w:tcW w:w="3893" w:type="pct"/>
          </w:tcPr>
          <w:p w:rsidR="000943DD" w:rsidRDefault="000943DD" w:rsidP="00A86919">
            <w:pPr>
              <w:pStyle w:val="BodyText"/>
            </w:pPr>
            <w:r>
              <w:t>Platform availability</w:t>
            </w:r>
          </w:p>
        </w:tc>
        <w:tc>
          <w:tcPr>
            <w:tcW w:w="1107" w:type="pct"/>
          </w:tcPr>
          <w:p w:rsidR="000943DD" w:rsidRDefault="000943DD" w:rsidP="00A86919">
            <w:pPr>
              <w:pStyle w:val="BodyText"/>
              <w:jc w:val="right"/>
            </w:pPr>
            <w:r>
              <w:t>≥ 99.5%</w:t>
            </w:r>
          </w:p>
        </w:tc>
      </w:tr>
      <w:tr w:rsidR="000943DD" w:rsidTr="00D5225A">
        <w:trPr>
          <w:trHeight w:val="60"/>
        </w:trPr>
        <w:tc>
          <w:tcPr>
            <w:tcW w:w="3893" w:type="pct"/>
          </w:tcPr>
          <w:p w:rsidR="000943DD" w:rsidRDefault="000943DD" w:rsidP="00D5225A">
            <w:pPr>
              <w:pStyle w:val="BodyText"/>
            </w:pPr>
            <w:r>
              <w:t>Platform responsiveness (within Services Australia’s environment is &lt; 4 seconds)</w:t>
            </w:r>
          </w:p>
        </w:tc>
        <w:tc>
          <w:tcPr>
            <w:tcW w:w="1107" w:type="pct"/>
          </w:tcPr>
          <w:p w:rsidR="000943DD" w:rsidRDefault="000943DD" w:rsidP="00A86919">
            <w:pPr>
              <w:pStyle w:val="BodyText"/>
              <w:jc w:val="right"/>
            </w:pPr>
            <w:r>
              <w:t>≥ 99%</w:t>
            </w:r>
          </w:p>
        </w:tc>
      </w:tr>
      <w:tr w:rsidR="000943DD" w:rsidTr="00D5225A">
        <w:trPr>
          <w:trHeight w:val="60"/>
        </w:trPr>
        <w:tc>
          <w:tcPr>
            <w:tcW w:w="3893" w:type="pct"/>
          </w:tcPr>
          <w:p w:rsidR="000943DD" w:rsidRDefault="000943DD" w:rsidP="00D5225A">
            <w:pPr>
              <w:pStyle w:val="BodyText"/>
            </w:pPr>
            <w:r>
              <w:t>Call centre responsiveness</w:t>
            </w:r>
            <w:r w:rsidR="00D5225A">
              <w:t xml:space="preserve"> </w:t>
            </w:r>
            <w:r>
              <w:t>(average speed of answer)</w:t>
            </w:r>
          </w:p>
        </w:tc>
        <w:tc>
          <w:tcPr>
            <w:tcW w:w="1107" w:type="pct"/>
          </w:tcPr>
          <w:p w:rsidR="000943DD" w:rsidRDefault="000943DD" w:rsidP="00A86919">
            <w:pPr>
              <w:pStyle w:val="BodyText"/>
              <w:jc w:val="right"/>
            </w:pPr>
            <w:r>
              <w:t>≤ 2 minutes</w:t>
            </w:r>
          </w:p>
        </w:tc>
      </w:tr>
      <w:tr w:rsidR="000943DD" w:rsidTr="00D5225A">
        <w:trPr>
          <w:trHeight w:val="60"/>
        </w:trPr>
        <w:tc>
          <w:tcPr>
            <w:tcW w:w="3893" w:type="pct"/>
          </w:tcPr>
          <w:p w:rsidR="000943DD" w:rsidRDefault="000943DD" w:rsidP="00A86919">
            <w:pPr>
              <w:pStyle w:val="BodyText"/>
            </w:pPr>
            <w:r>
              <w:t>Call abandonment rate</w:t>
            </w:r>
          </w:p>
        </w:tc>
        <w:tc>
          <w:tcPr>
            <w:tcW w:w="1107" w:type="pct"/>
          </w:tcPr>
          <w:p w:rsidR="000943DD" w:rsidRDefault="000943DD" w:rsidP="00A86919">
            <w:pPr>
              <w:pStyle w:val="BodyText"/>
              <w:jc w:val="right"/>
            </w:pPr>
            <w:r>
              <w:t>&lt; 10%</w:t>
            </w:r>
          </w:p>
        </w:tc>
      </w:tr>
      <w:tr w:rsidR="000943DD" w:rsidTr="00D5225A">
        <w:trPr>
          <w:trHeight w:val="60"/>
        </w:trPr>
        <w:tc>
          <w:tcPr>
            <w:tcW w:w="3893" w:type="pct"/>
          </w:tcPr>
          <w:p w:rsidR="000943DD" w:rsidRDefault="000943DD" w:rsidP="00D5225A">
            <w:pPr>
              <w:pStyle w:val="BodyText"/>
            </w:pPr>
            <w:r>
              <w:t xml:space="preserve">Online service request </w:t>
            </w:r>
            <w:r>
              <w:rPr>
                <w:spacing w:val="-3"/>
              </w:rPr>
              <w:t>(successful validation requests processed within &lt; 5 minutes)</w:t>
            </w:r>
          </w:p>
        </w:tc>
        <w:tc>
          <w:tcPr>
            <w:tcW w:w="1107" w:type="pct"/>
          </w:tcPr>
          <w:p w:rsidR="000943DD" w:rsidRDefault="000943DD" w:rsidP="00A86919">
            <w:pPr>
              <w:pStyle w:val="BodyText"/>
              <w:jc w:val="right"/>
            </w:pPr>
            <w:r>
              <w:t>≥ 95%</w:t>
            </w:r>
          </w:p>
        </w:tc>
      </w:tr>
      <w:tr w:rsidR="000943DD" w:rsidTr="00D5225A">
        <w:trPr>
          <w:trHeight w:val="60"/>
        </w:trPr>
        <w:tc>
          <w:tcPr>
            <w:tcW w:w="3893" w:type="pct"/>
          </w:tcPr>
          <w:p w:rsidR="000943DD" w:rsidRDefault="000943DD" w:rsidP="00D5225A">
            <w:pPr>
              <w:pStyle w:val="BodyText"/>
            </w:pPr>
            <w:r>
              <w:t>Online service request—staff intervention</w:t>
            </w:r>
            <w:r w:rsidR="00D5225A">
              <w:t xml:space="preserve"> </w:t>
            </w:r>
            <w:r>
              <w:t>(request resolved within 5 business days from submission)</w:t>
            </w:r>
          </w:p>
        </w:tc>
        <w:tc>
          <w:tcPr>
            <w:tcW w:w="1107" w:type="pct"/>
          </w:tcPr>
          <w:p w:rsidR="000943DD" w:rsidRDefault="000943DD" w:rsidP="00A86919">
            <w:pPr>
              <w:pStyle w:val="BodyText"/>
              <w:jc w:val="right"/>
            </w:pPr>
            <w:r>
              <w:t>≥ 95%</w:t>
            </w:r>
          </w:p>
        </w:tc>
      </w:tr>
      <w:tr w:rsidR="000943DD" w:rsidTr="00D5225A">
        <w:trPr>
          <w:trHeight w:val="60"/>
        </w:trPr>
        <w:tc>
          <w:tcPr>
            <w:tcW w:w="3893" w:type="pct"/>
          </w:tcPr>
          <w:p w:rsidR="000943DD" w:rsidRDefault="000943DD" w:rsidP="00D5225A">
            <w:pPr>
              <w:pStyle w:val="BodyText"/>
            </w:pPr>
            <w:r>
              <w:t>Paper form and mail-out fulfilment</w:t>
            </w:r>
            <w:r w:rsidR="00D5225A">
              <w:t xml:space="preserve"> </w:t>
            </w:r>
            <w:r>
              <w:rPr>
                <w:spacing w:val="-2"/>
              </w:rPr>
              <w:t>(processed with 10 business days of completed application)</w:t>
            </w:r>
          </w:p>
        </w:tc>
        <w:tc>
          <w:tcPr>
            <w:tcW w:w="1107" w:type="pct"/>
          </w:tcPr>
          <w:p w:rsidR="000943DD" w:rsidRDefault="000943DD" w:rsidP="00A86919">
            <w:pPr>
              <w:pStyle w:val="BodyText"/>
              <w:jc w:val="right"/>
            </w:pPr>
            <w:r>
              <w:t>≥ 95%</w:t>
            </w:r>
          </w:p>
        </w:tc>
      </w:tr>
      <w:tr w:rsidR="000943DD" w:rsidTr="00D5225A">
        <w:trPr>
          <w:trHeight w:val="60"/>
        </w:trPr>
        <w:tc>
          <w:tcPr>
            <w:tcW w:w="3893" w:type="pct"/>
          </w:tcPr>
          <w:p w:rsidR="000943DD" w:rsidRDefault="000943DD" w:rsidP="00D5225A">
            <w:pPr>
              <w:pStyle w:val="BodyText"/>
            </w:pPr>
            <w:r>
              <w:t>Complaints</w:t>
            </w:r>
            <w:r w:rsidR="00D5225A">
              <w:t xml:space="preserve"> </w:t>
            </w:r>
            <w:r>
              <w:t>(acknowledged within 2 business days)</w:t>
            </w:r>
          </w:p>
        </w:tc>
        <w:tc>
          <w:tcPr>
            <w:tcW w:w="1107" w:type="pct"/>
          </w:tcPr>
          <w:p w:rsidR="000943DD" w:rsidRDefault="000943DD" w:rsidP="00A86919">
            <w:pPr>
              <w:pStyle w:val="BodyText"/>
              <w:jc w:val="right"/>
            </w:pPr>
            <w:r>
              <w:t>≥ 98%</w:t>
            </w:r>
          </w:p>
        </w:tc>
      </w:tr>
      <w:tr w:rsidR="000943DD" w:rsidTr="00D5225A">
        <w:trPr>
          <w:trHeight w:val="60"/>
        </w:trPr>
        <w:tc>
          <w:tcPr>
            <w:tcW w:w="3893" w:type="pct"/>
          </w:tcPr>
          <w:p w:rsidR="000943DD" w:rsidRDefault="000943DD" w:rsidP="00D5225A">
            <w:pPr>
              <w:pStyle w:val="BodyText"/>
            </w:pPr>
            <w:r>
              <w:t>Complaints</w:t>
            </w:r>
            <w:r w:rsidR="00D5225A">
              <w:t xml:space="preserve"> </w:t>
            </w:r>
            <w:r>
              <w:t>(responded to within 15 business days)</w:t>
            </w:r>
          </w:p>
        </w:tc>
        <w:tc>
          <w:tcPr>
            <w:tcW w:w="1107" w:type="pct"/>
          </w:tcPr>
          <w:p w:rsidR="000943DD" w:rsidRDefault="000943DD" w:rsidP="00A86919">
            <w:pPr>
              <w:pStyle w:val="BodyText"/>
              <w:jc w:val="right"/>
            </w:pPr>
            <w:r>
              <w:t>100%</w:t>
            </w:r>
          </w:p>
        </w:tc>
      </w:tr>
      <w:tr w:rsidR="000943DD" w:rsidTr="00D5225A">
        <w:trPr>
          <w:trHeight w:val="60"/>
        </w:trPr>
        <w:tc>
          <w:tcPr>
            <w:tcW w:w="3893" w:type="pct"/>
          </w:tcPr>
          <w:p w:rsidR="000943DD" w:rsidRDefault="000943DD" w:rsidP="00D5225A">
            <w:pPr>
              <w:pStyle w:val="BodyText"/>
            </w:pPr>
            <w:r>
              <w:t>System incident management</w:t>
            </w:r>
            <w:r w:rsidR="00D5225A">
              <w:t xml:space="preserve"> </w:t>
            </w:r>
            <w:r>
              <w:t xml:space="preserve">(resolved within timeframe applicable to the severity level) </w:t>
            </w:r>
          </w:p>
        </w:tc>
        <w:tc>
          <w:tcPr>
            <w:tcW w:w="1107" w:type="pct"/>
          </w:tcPr>
          <w:p w:rsidR="000943DD" w:rsidRDefault="000943DD" w:rsidP="00A86919">
            <w:pPr>
              <w:pStyle w:val="BodyText"/>
              <w:jc w:val="right"/>
            </w:pPr>
            <w:r>
              <w:t>≥ 80%</w:t>
            </w:r>
          </w:p>
        </w:tc>
      </w:tr>
      <w:tr w:rsidR="000943DD" w:rsidTr="00D5225A">
        <w:trPr>
          <w:trHeight w:val="60"/>
        </w:trPr>
        <w:tc>
          <w:tcPr>
            <w:tcW w:w="3893" w:type="pct"/>
          </w:tcPr>
          <w:p w:rsidR="000943DD" w:rsidRDefault="000943DD" w:rsidP="00D5225A">
            <w:pPr>
              <w:pStyle w:val="BodyText"/>
            </w:pPr>
            <w:r>
              <w:t>Security policy compliance</w:t>
            </w:r>
            <w:r w:rsidR="00D5225A">
              <w:t xml:space="preserve"> </w:t>
            </w:r>
            <w:r>
              <w:t>(breach of)</w:t>
            </w:r>
          </w:p>
        </w:tc>
        <w:tc>
          <w:tcPr>
            <w:tcW w:w="1107" w:type="pct"/>
          </w:tcPr>
          <w:p w:rsidR="000943DD" w:rsidRDefault="000943DD" w:rsidP="00A86919">
            <w:pPr>
              <w:pStyle w:val="BodyText"/>
              <w:jc w:val="right"/>
            </w:pPr>
            <w:r>
              <w:t>= 0</w:t>
            </w:r>
          </w:p>
        </w:tc>
      </w:tr>
      <w:tr w:rsidR="000943DD" w:rsidTr="00D5225A">
        <w:trPr>
          <w:trHeight w:val="60"/>
        </w:trPr>
        <w:tc>
          <w:tcPr>
            <w:tcW w:w="3893" w:type="pct"/>
          </w:tcPr>
          <w:p w:rsidR="000943DD" w:rsidRDefault="000943DD" w:rsidP="00D5225A">
            <w:pPr>
              <w:pStyle w:val="BodyText"/>
            </w:pPr>
            <w:r>
              <w:t>Data source integration—</w:t>
            </w:r>
            <w:proofErr w:type="spellStart"/>
            <w:r>
              <w:t>eBusiness</w:t>
            </w:r>
            <w:proofErr w:type="spellEnd"/>
            <w:r>
              <w:t xml:space="preserve"> Gateway (submissions integrated within 2 business days)</w:t>
            </w:r>
          </w:p>
        </w:tc>
        <w:tc>
          <w:tcPr>
            <w:tcW w:w="1107" w:type="pct"/>
          </w:tcPr>
          <w:p w:rsidR="000943DD" w:rsidRDefault="000943DD" w:rsidP="00A86919">
            <w:pPr>
              <w:pStyle w:val="BodyText"/>
              <w:jc w:val="right"/>
            </w:pPr>
            <w:r>
              <w:t>≥ 80%</w:t>
            </w:r>
          </w:p>
        </w:tc>
      </w:tr>
    </w:tbl>
    <w:p w:rsidR="000943DD" w:rsidRDefault="000943DD" w:rsidP="000943DD">
      <w:pPr>
        <w:pStyle w:val="BodyText"/>
      </w:pPr>
      <w:r>
        <w:t>We report each month to the ADHA on the service level performance. Over the course of the year we met or exceeded the agreed service levels, except in two areas as outlined on the next page.</w:t>
      </w:r>
    </w:p>
    <w:p w:rsidR="000943DD" w:rsidRDefault="000943DD" w:rsidP="000943DD">
      <w:pPr>
        <w:pStyle w:val="Heading3"/>
      </w:pPr>
      <w:r>
        <w:t>Paper form service</w:t>
      </w:r>
      <w:bookmarkStart w:id="0" w:name="_GoBack"/>
      <w:bookmarkEnd w:id="0"/>
      <w:r>
        <w:t xml:space="preserve"> requests and mail</w:t>
      </w:r>
      <w:r>
        <w:rPr>
          <w:spacing w:val="7"/>
        </w:rPr>
        <w:t>-</w:t>
      </w:r>
      <w:r>
        <w:t xml:space="preserve">out fulfilment </w:t>
      </w:r>
    </w:p>
    <w:p w:rsidR="000943DD" w:rsidRDefault="000943DD" w:rsidP="000943DD">
      <w:pPr>
        <w:pStyle w:val="BodyText"/>
      </w:pPr>
      <w:r>
        <w:t>The service level for these requests is 95% of applications processed. Processed means either finalised or notifying the applicant of an incomplete application within 10 business days from receipt of an application.</w:t>
      </w:r>
    </w:p>
    <w:p w:rsidR="000943DD" w:rsidRDefault="000943DD" w:rsidP="000943DD">
      <w:pPr>
        <w:pStyle w:val="BodyText"/>
        <w:spacing w:after="57"/>
      </w:pPr>
      <w:r>
        <w:t>We didn’t meet this service level in November 2019. This was due to:</w:t>
      </w:r>
    </w:p>
    <w:p w:rsidR="000943DD" w:rsidRDefault="000943DD" w:rsidP="0056258E">
      <w:pPr>
        <w:pStyle w:val="ListBullet"/>
      </w:pPr>
      <w:r>
        <w:t>low volumes of requests</w:t>
      </w:r>
    </w:p>
    <w:p w:rsidR="000943DD" w:rsidRDefault="000943DD" w:rsidP="0056258E">
      <w:pPr>
        <w:pStyle w:val="ListBullet"/>
      </w:pPr>
      <w:proofErr w:type="gramStart"/>
      <w:r>
        <w:t>training</w:t>
      </w:r>
      <w:proofErr w:type="gramEnd"/>
      <w:r>
        <w:t xml:space="preserve"> new staff, resulting in a delay to processing.</w:t>
      </w:r>
    </w:p>
    <w:p w:rsidR="000943DD" w:rsidRDefault="000943DD" w:rsidP="000943DD">
      <w:pPr>
        <w:pStyle w:val="Heading3"/>
      </w:pPr>
      <w:r>
        <w:t>Online service request—staff intervention</w:t>
      </w:r>
    </w:p>
    <w:p w:rsidR="000943DD" w:rsidRDefault="000943DD" w:rsidP="000943DD">
      <w:pPr>
        <w:pStyle w:val="BodyText"/>
      </w:pPr>
      <w:r>
        <w:t>The service level for this request is 95% resolved within 5 business days from time of submission.</w:t>
      </w:r>
    </w:p>
    <w:p w:rsidR="000943DD" w:rsidRDefault="000943DD" w:rsidP="000943DD">
      <w:pPr>
        <w:pStyle w:val="BodyText"/>
        <w:spacing w:after="57"/>
      </w:pPr>
      <w:r>
        <w:rPr>
          <w:spacing w:val="-2"/>
        </w:rPr>
        <w:t xml:space="preserve">We didn’t meet the service level in October and December 2019. This was due to: </w:t>
      </w:r>
    </w:p>
    <w:p w:rsidR="000943DD" w:rsidRDefault="000943DD" w:rsidP="0056258E">
      <w:pPr>
        <w:pStyle w:val="ListBullet"/>
      </w:pPr>
      <w:r>
        <w:t xml:space="preserve">staff unplanned leave in October </w:t>
      </w:r>
    </w:p>
    <w:p w:rsidR="000943DD" w:rsidRDefault="000943DD" w:rsidP="0056258E">
      <w:pPr>
        <w:pStyle w:val="ListBullet"/>
      </w:pPr>
      <w:proofErr w:type="gramStart"/>
      <w:r>
        <w:t>prioritising</w:t>
      </w:r>
      <w:proofErr w:type="gramEnd"/>
      <w:r>
        <w:t xml:space="preserve"> support to healthcare providers affected by bushfires in December.</w:t>
      </w:r>
    </w:p>
    <w:p w:rsidR="000943DD" w:rsidRDefault="000943DD" w:rsidP="00D5225A">
      <w:pPr>
        <w:pStyle w:val="BodyText"/>
      </w:pPr>
      <w:r>
        <w:t>We identified the service levels weren’t met following a retrospective change to the way the service level result was calculated. We addressed this by training additional staff in February 2020.</w:t>
      </w:r>
    </w:p>
    <w:p w:rsidR="000943DD" w:rsidRDefault="000943DD" w:rsidP="00D5225A">
      <w:pPr>
        <w:pStyle w:val="Heading1"/>
      </w:pPr>
      <w:r>
        <w:t>Communication activities to support the HI Service</w:t>
      </w:r>
    </w:p>
    <w:p w:rsidR="000943DD" w:rsidRDefault="000943DD" w:rsidP="00D5225A">
      <w:pPr>
        <w:pStyle w:val="BodyText"/>
        <w:rPr>
          <w:rStyle w:val="01Bodybold"/>
        </w:rPr>
      </w:pPr>
      <w:r>
        <w:t xml:space="preserve">We continued to publish and maintain information about healthcare identifiers for healthcare providers and organisations at </w:t>
      </w:r>
      <w:r>
        <w:rPr>
          <w:rStyle w:val="01Bodybold"/>
        </w:rPr>
        <w:t>servicesaustralia.gov.au</w:t>
      </w:r>
    </w:p>
    <w:p w:rsidR="000943DD" w:rsidRDefault="000943DD" w:rsidP="00D5225A">
      <w:pPr>
        <w:pStyle w:val="Heading1"/>
      </w:pPr>
      <w:r>
        <w:t>Operating Statement</w:t>
      </w:r>
    </w:p>
    <w:p w:rsidR="000943DD" w:rsidRDefault="000943DD" w:rsidP="00D5225A">
      <w:pPr>
        <w:pStyle w:val="BodyText"/>
      </w:pPr>
      <w:r>
        <w:t xml:space="preserve">The ADHA funds the operation of the HI Service. </w:t>
      </w:r>
    </w:p>
    <w:p w:rsidR="000943DD" w:rsidRDefault="000943DD" w:rsidP="000943DD">
      <w:pPr>
        <w:pStyle w:val="BodyText"/>
      </w:pPr>
      <w:r>
        <w:rPr>
          <w:spacing w:val="-4"/>
        </w:rPr>
        <w:t>Operating statements for the 2019–20 financial year are included on the next page.</w:t>
      </w:r>
      <w:r>
        <w:t xml:space="preserve"> There were no additional expenses for system enhancements this year. </w:t>
      </w:r>
    </w:p>
    <w:p w:rsidR="000943DD" w:rsidRDefault="000943DD" w:rsidP="000943DD">
      <w:pPr>
        <w:pStyle w:val="BodyText"/>
        <w:rPr>
          <w:rStyle w:val="01Bodybold"/>
        </w:rPr>
      </w:pPr>
      <w:r>
        <w:rPr>
          <w:rStyle w:val="01Bodybold"/>
        </w:rPr>
        <w:t>Table 5: HI Service operating statement 2019–20</w:t>
      </w:r>
    </w:p>
    <w:tbl>
      <w:tblPr>
        <w:tblStyle w:val="TableGrid"/>
        <w:tblW w:w="5000" w:type="pct"/>
        <w:tblLook w:val="0000" w:firstRow="0" w:lastRow="0" w:firstColumn="0" w:lastColumn="0" w:noHBand="0" w:noVBand="0"/>
        <w:tblCaption w:val="Table 5: HI Service operating statement 2019–20"/>
        <w:tblDescription w:val="Table 5: HI Service operating statement 2019–20"/>
      </w:tblPr>
      <w:tblGrid>
        <w:gridCol w:w="4352"/>
        <w:gridCol w:w="1188"/>
        <w:gridCol w:w="1304"/>
        <w:gridCol w:w="1304"/>
        <w:gridCol w:w="1307"/>
        <w:gridCol w:w="1307"/>
      </w:tblGrid>
      <w:tr w:rsidR="000943DD" w:rsidTr="00DB65C1">
        <w:trPr>
          <w:trHeight w:val="226"/>
          <w:tblHeader/>
        </w:trPr>
        <w:tc>
          <w:tcPr>
            <w:tcW w:w="2022" w:type="pct"/>
          </w:tcPr>
          <w:p w:rsidR="000943DD" w:rsidRDefault="000943DD" w:rsidP="00D5225A">
            <w:pPr>
              <w:pStyle w:val="BodyText"/>
            </w:pPr>
          </w:p>
        </w:tc>
        <w:tc>
          <w:tcPr>
            <w:tcW w:w="552" w:type="pct"/>
          </w:tcPr>
          <w:p w:rsidR="000943DD" w:rsidRPr="0056258E" w:rsidRDefault="000943DD" w:rsidP="00D5225A">
            <w:pPr>
              <w:pStyle w:val="BodyText"/>
            </w:pPr>
            <w:proofErr w:type="spellStart"/>
            <w:r w:rsidRPr="0056258E">
              <w:rPr>
                <w:rStyle w:val="01Bodybold"/>
                <w:bCs w:val="0"/>
                <w:color w:val="auto"/>
              </w:rPr>
              <w:t>Qtr</w:t>
            </w:r>
            <w:proofErr w:type="spellEnd"/>
            <w:r w:rsidRPr="0056258E">
              <w:rPr>
                <w:rStyle w:val="01Bodybold"/>
                <w:bCs w:val="0"/>
                <w:color w:val="auto"/>
              </w:rPr>
              <w:t xml:space="preserve"> 1</w:t>
            </w:r>
          </w:p>
        </w:tc>
        <w:tc>
          <w:tcPr>
            <w:tcW w:w="606" w:type="pct"/>
          </w:tcPr>
          <w:p w:rsidR="000943DD" w:rsidRPr="0056258E" w:rsidRDefault="000943DD" w:rsidP="00D5225A">
            <w:pPr>
              <w:pStyle w:val="BodyText"/>
            </w:pPr>
            <w:proofErr w:type="spellStart"/>
            <w:r w:rsidRPr="0056258E">
              <w:rPr>
                <w:rStyle w:val="01Bodybold"/>
                <w:bCs w:val="0"/>
                <w:color w:val="auto"/>
              </w:rPr>
              <w:t>Qtr</w:t>
            </w:r>
            <w:proofErr w:type="spellEnd"/>
            <w:r w:rsidRPr="0056258E">
              <w:rPr>
                <w:rStyle w:val="01Bodybold"/>
                <w:bCs w:val="0"/>
                <w:color w:val="auto"/>
              </w:rPr>
              <w:t xml:space="preserve"> 2</w:t>
            </w:r>
          </w:p>
        </w:tc>
        <w:tc>
          <w:tcPr>
            <w:tcW w:w="606" w:type="pct"/>
          </w:tcPr>
          <w:p w:rsidR="000943DD" w:rsidRPr="0056258E" w:rsidRDefault="000943DD" w:rsidP="00D5225A">
            <w:pPr>
              <w:pStyle w:val="BodyText"/>
            </w:pPr>
            <w:proofErr w:type="spellStart"/>
            <w:r w:rsidRPr="0056258E">
              <w:rPr>
                <w:rStyle w:val="01Bodybold"/>
                <w:bCs w:val="0"/>
                <w:color w:val="auto"/>
              </w:rPr>
              <w:t>Qtr</w:t>
            </w:r>
            <w:proofErr w:type="spellEnd"/>
            <w:r w:rsidRPr="0056258E">
              <w:rPr>
                <w:rStyle w:val="01Bodybold"/>
                <w:bCs w:val="0"/>
                <w:color w:val="auto"/>
              </w:rPr>
              <w:t xml:space="preserve"> 3</w:t>
            </w:r>
          </w:p>
        </w:tc>
        <w:tc>
          <w:tcPr>
            <w:tcW w:w="607" w:type="pct"/>
          </w:tcPr>
          <w:p w:rsidR="000943DD" w:rsidRPr="0056258E" w:rsidRDefault="000943DD" w:rsidP="00D5225A">
            <w:pPr>
              <w:pStyle w:val="BodyText"/>
            </w:pPr>
            <w:proofErr w:type="spellStart"/>
            <w:r w:rsidRPr="0056258E">
              <w:rPr>
                <w:rStyle w:val="01Bodybold"/>
                <w:bCs w:val="0"/>
                <w:color w:val="auto"/>
              </w:rPr>
              <w:t>Qtr</w:t>
            </w:r>
            <w:proofErr w:type="spellEnd"/>
            <w:r w:rsidRPr="0056258E">
              <w:rPr>
                <w:rStyle w:val="01Bodybold"/>
                <w:bCs w:val="0"/>
                <w:color w:val="auto"/>
              </w:rPr>
              <w:t xml:space="preserve"> 4</w:t>
            </w:r>
          </w:p>
        </w:tc>
        <w:tc>
          <w:tcPr>
            <w:tcW w:w="607" w:type="pct"/>
          </w:tcPr>
          <w:p w:rsidR="000943DD" w:rsidRPr="0056258E" w:rsidRDefault="000943DD" w:rsidP="00D5225A">
            <w:pPr>
              <w:pStyle w:val="BodyText"/>
            </w:pPr>
            <w:r w:rsidRPr="0056258E">
              <w:rPr>
                <w:rStyle w:val="01Bodybold"/>
                <w:bCs w:val="0"/>
                <w:color w:val="auto"/>
              </w:rPr>
              <w:t>2019–20</w:t>
            </w:r>
          </w:p>
        </w:tc>
      </w:tr>
      <w:tr w:rsidR="000943DD" w:rsidTr="0056258E">
        <w:trPr>
          <w:trHeight w:val="226"/>
          <w:tblHeader/>
        </w:trPr>
        <w:tc>
          <w:tcPr>
            <w:tcW w:w="2022" w:type="pct"/>
          </w:tcPr>
          <w:p w:rsidR="000943DD" w:rsidRDefault="000943DD" w:rsidP="00D5225A">
            <w:pPr>
              <w:pStyle w:val="BodyText"/>
            </w:pPr>
          </w:p>
        </w:tc>
        <w:tc>
          <w:tcPr>
            <w:tcW w:w="552" w:type="pct"/>
          </w:tcPr>
          <w:p w:rsidR="000943DD" w:rsidRPr="0056258E" w:rsidRDefault="000943DD" w:rsidP="00D5225A">
            <w:pPr>
              <w:pStyle w:val="BodyText"/>
            </w:pPr>
            <w:r w:rsidRPr="0056258E">
              <w:rPr>
                <w:rStyle w:val="01Bodybold"/>
                <w:bCs w:val="0"/>
                <w:color w:val="auto"/>
              </w:rPr>
              <w:t>Jul–Sep</w:t>
            </w:r>
          </w:p>
        </w:tc>
        <w:tc>
          <w:tcPr>
            <w:tcW w:w="606" w:type="pct"/>
          </w:tcPr>
          <w:p w:rsidR="000943DD" w:rsidRPr="0056258E" w:rsidRDefault="000943DD" w:rsidP="00D5225A">
            <w:pPr>
              <w:pStyle w:val="BodyText"/>
            </w:pPr>
            <w:r w:rsidRPr="0056258E">
              <w:rPr>
                <w:rStyle w:val="01Bodybold"/>
                <w:bCs w:val="0"/>
                <w:color w:val="auto"/>
              </w:rPr>
              <w:t>Oct–Dec</w:t>
            </w:r>
          </w:p>
        </w:tc>
        <w:tc>
          <w:tcPr>
            <w:tcW w:w="606" w:type="pct"/>
          </w:tcPr>
          <w:p w:rsidR="000943DD" w:rsidRPr="0056258E" w:rsidRDefault="000943DD" w:rsidP="00D5225A">
            <w:pPr>
              <w:pStyle w:val="BodyText"/>
            </w:pPr>
            <w:r w:rsidRPr="0056258E">
              <w:rPr>
                <w:rStyle w:val="01Bodybold"/>
                <w:bCs w:val="0"/>
                <w:color w:val="auto"/>
              </w:rPr>
              <w:t>Jan–Mar</w:t>
            </w:r>
          </w:p>
        </w:tc>
        <w:tc>
          <w:tcPr>
            <w:tcW w:w="607" w:type="pct"/>
          </w:tcPr>
          <w:p w:rsidR="000943DD" w:rsidRPr="0056258E" w:rsidRDefault="000943DD" w:rsidP="00D5225A">
            <w:pPr>
              <w:pStyle w:val="BodyText"/>
            </w:pPr>
            <w:r w:rsidRPr="0056258E">
              <w:rPr>
                <w:rStyle w:val="01Bodybold"/>
                <w:bCs w:val="0"/>
                <w:color w:val="auto"/>
              </w:rPr>
              <w:t>Apr–Jun</w:t>
            </w:r>
          </w:p>
        </w:tc>
        <w:tc>
          <w:tcPr>
            <w:tcW w:w="607" w:type="pct"/>
          </w:tcPr>
          <w:p w:rsidR="000943DD" w:rsidRPr="0056258E" w:rsidRDefault="000943DD" w:rsidP="00D5225A">
            <w:pPr>
              <w:pStyle w:val="BodyText"/>
            </w:pPr>
            <w:r w:rsidRPr="0056258E">
              <w:rPr>
                <w:rStyle w:val="01Bodybold"/>
                <w:bCs w:val="0"/>
                <w:color w:val="auto"/>
              </w:rPr>
              <w:t>Total</w:t>
            </w:r>
          </w:p>
        </w:tc>
      </w:tr>
      <w:tr w:rsidR="000943DD" w:rsidTr="0056258E">
        <w:trPr>
          <w:trHeight w:val="226"/>
          <w:tblHeader/>
        </w:trPr>
        <w:tc>
          <w:tcPr>
            <w:tcW w:w="2022" w:type="pct"/>
          </w:tcPr>
          <w:p w:rsidR="000943DD" w:rsidRDefault="000943DD" w:rsidP="00D5225A">
            <w:pPr>
              <w:pStyle w:val="BodyText"/>
            </w:pPr>
          </w:p>
        </w:tc>
        <w:tc>
          <w:tcPr>
            <w:tcW w:w="552" w:type="pct"/>
          </w:tcPr>
          <w:p w:rsidR="000943DD" w:rsidRPr="0056258E" w:rsidRDefault="000943DD" w:rsidP="00D5225A">
            <w:pPr>
              <w:pStyle w:val="BodyText"/>
            </w:pPr>
            <w:r w:rsidRPr="0056258E">
              <w:rPr>
                <w:rStyle w:val="01Bodybold"/>
                <w:bCs w:val="0"/>
                <w:color w:val="auto"/>
              </w:rPr>
              <w:t xml:space="preserve"> $'000 </w:t>
            </w:r>
          </w:p>
        </w:tc>
        <w:tc>
          <w:tcPr>
            <w:tcW w:w="606" w:type="pct"/>
          </w:tcPr>
          <w:p w:rsidR="000943DD" w:rsidRPr="0056258E" w:rsidRDefault="000943DD" w:rsidP="00D5225A">
            <w:pPr>
              <w:pStyle w:val="BodyText"/>
            </w:pPr>
            <w:r w:rsidRPr="0056258E">
              <w:rPr>
                <w:rStyle w:val="01Bodybold"/>
                <w:bCs w:val="0"/>
                <w:color w:val="auto"/>
              </w:rPr>
              <w:t xml:space="preserve"> $'000 </w:t>
            </w:r>
          </w:p>
        </w:tc>
        <w:tc>
          <w:tcPr>
            <w:tcW w:w="606" w:type="pct"/>
          </w:tcPr>
          <w:p w:rsidR="000943DD" w:rsidRPr="0056258E" w:rsidRDefault="000943DD" w:rsidP="00D5225A">
            <w:pPr>
              <w:pStyle w:val="BodyText"/>
            </w:pPr>
            <w:r w:rsidRPr="0056258E">
              <w:rPr>
                <w:rStyle w:val="01Bodybold"/>
                <w:bCs w:val="0"/>
                <w:color w:val="auto"/>
              </w:rPr>
              <w:t xml:space="preserve"> $'000 </w:t>
            </w:r>
          </w:p>
        </w:tc>
        <w:tc>
          <w:tcPr>
            <w:tcW w:w="607" w:type="pct"/>
          </w:tcPr>
          <w:p w:rsidR="000943DD" w:rsidRPr="0056258E" w:rsidRDefault="000943DD" w:rsidP="00D5225A">
            <w:pPr>
              <w:pStyle w:val="BodyText"/>
            </w:pPr>
            <w:r w:rsidRPr="0056258E">
              <w:rPr>
                <w:rStyle w:val="01Bodybold"/>
                <w:bCs w:val="0"/>
                <w:color w:val="auto"/>
              </w:rPr>
              <w:t xml:space="preserve"> $'000 </w:t>
            </w:r>
          </w:p>
        </w:tc>
        <w:tc>
          <w:tcPr>
            <w:tcW w:w="607" w:type="pct"/>
          </w:tcPr>
          <w:p w:rsidR="000943DD" w:rsidRPr="0056258E" w:rsidRDefault="000943DD" w:rsidP="00D5225A">
            <w:pPr>
              <w:pStyle w:val="BodyText"/>
            </w:pPr>
            <w:r w:rsidRPr="0056258E">
              <w:rPr>
                <w:rStyle w:val="01Bodybold"/>
                <w:bCs w:val="0"/>
                <w:color w:val="auto"/>
              </w:rPr>
              <w:t xml:space="preserve"> $'000 </w:t>
            </w:r>
          </w:p>
        </w:tc>
      </w:tr>
      <w:tr w:rsidR="00DB65C1" w:rsidTr="00DB65C1">
        <w:trPr>
          <w:trHeight w:val="226"/>
        </w:trPr>
        <w:tc>
          <w:tcPr>
            <w:tcW w:w="5000" w:type="pct"/>
            <w:gridSpan w:val="6"/>
          </w:tcPr>
          <w:p w:rsidR="00DB65C1" w:rsidRDefault="00DB65C1" w:rsidP="00D5225A">
            <w:pPr>
              <w:pStyle w:val="BodyText"/>
            </w:pPr>
            <w:r w:rsidRPr="00D5225A">
              <w:rPr>
                <w:b/>
              </w:rPr>
              <w:t>Income</w:t>
            </w:r>
          </w:p>
        </w:tc>
      </w:tr>
      <w:tr w:rsidR="000943DD" w:rsidTr="0056258E">
        <w:trPr>
          <w:trHeight w:val="255"/>
        </w:trPr>
        <w:tc>
          <w:tcPr>
            <w:tcW w:w="2022" w:type="pct"/>
          </w:tcPr>
          <w:p w:rsidR="000943DD" w:rsidRDefault="000943DD" w:rsidP="00D5225A">
            <w:pPr>
              <w:pStyle w:val="BodyText"/>
            </w:pPr>
            <w:r>
              <w:t>Operational Revenue</w:t>
            </w:r>
          </w:p>
        </w:tc>
        <w:tc>
          <w:tcPr>
            <w:tcW w:w="552" w:type="pct"/>
          </w:tcPr>
          <w:p w:rsidR="000943DD" w:rsidRDefault="000943DD" w:rsidP="00D5225A">
            <w:pPr>
              <w:pStyle w:val="BodyText"/>
            </w:pPr>
            <w:r>
              <w:t xml:space="preserve">2,703 </w:t>
            </w:r>
          </w:p>
        </w:tc>
        <w:tc>
          <w:tcPr>
            <w:tcW w:w="606" w:type="pct"/>
          </w:tcPr>
          <w:p w:rsidR="000943DD" w:rsidRDefault="000943DD" w:rsidP="00D5225A">
            <w:pPr>
              <w:pStyle w:val="BodyText"/>
            </w:pPr>
            <w:r>
              <w:t xml:space="preserve">3,023 </w:t>
            </w:r>
          </w:p>
        </w:tc>
        <w:tc>
          <w:tcPr>
            <w:tcW w:w="606" w:type="pct"/>
          </w:tcPr>
          <w:p w:rsidR="000943DD" w:rsidRDefault="000943DD" w:rsidP="00D5225A">
            <w:pPr>
              <w:pStyle w:val="BodyText"/>
            </w:pPr>
            <w:r>
              <w:t xml:space="preserve">3,558 </w:t>
            </w:r>
          </w:p>
        </w:tc>
        <w:tc>
          <w:tcPr>
            <w:tcW w:w="607" w:type="pct"/>
          </w:tcPr>
          <w:p w:rsidR="000943DD" w:rsidRDefault="000943DD" w:rsidP="00D5225A">
            <w:pPr>
              <w:pStyle w:val="BodyText"/>
            </w:pPr>
            <w:r>
              <w:t xml:space="preserve">3,978 </w:t>
            </w:r>
          </w:p>
        </w:tc>
        <w:tc>
          <w:tcPr>
            <w:tcW w:w="607" w:type="pct"/>
          </w:tcPr>
          <w:p w:rsidR="000943DD" w:rsidRDefault="000943DD" w:rsidP="00D5225A">
            <w:pPr>
              <w:pStyle w:val="BodyText"/>
            </w:pPr>
            <w:r>
              <w:t xml:space="preserve">13,262 </w:t>
            </w:r>
          </w:p>
        </w:tc>
      </w:tr>
      <w:tr w:rsidR="000943DD" w:rsidTr="0056258E">
        <w:trPr>
          <w:trHeight w:val="226"/>
        </w:trPr>
        <w:tc>
          <w:tcPr>
            <w:tcW w:w="2022" w:type="pct"/>
          </w:tcPr>
          <w:p w:rsidR="000943DD" w:rsidRPr="00D5225A" w:rsidRDefault="000943DD" w:rsidP="00D5225A">
            <w:pPr>
              <w:pStyle w:val="BodyText"/>
              <w:rPr>
                <w:b/>
              </w:rPr>
            </w:pPr>
            <w:r w:rsidRPr="00D5225A">
              <w:rPr>
                <w:b/>
              </w:rPr>
              <w:t>Total Income</w:t>
            </w:r>
          </w:p>
        </w:tc>
        <w:tc>
          <w:tcPr>
            <w:tcW w:w="552" w:type="pct"/>
          </w:tcPr>
          <w:p w:rsidR="000943DD" w:rsidRDefault="000943DD" w:rsidP="00D5225A">
            <w:pPr>
              <w:pStyle w:val="BodyText"/>
            </w:pPr>
            <w:r>
              <w:rPr>
                <w:rStyle w:val="01Bodybold"/>
              </w:rPr>
              <w:t xml:space="preserve">2,703 </w:t>
            </w:r>
          </w:p>
        </w:tc>
        <w:tc>
          <w:tcPr>
            <w:tcW w:w="606" w:type="pct"/>
          </w:tcPr>
          <w:p w:rsidR="000943DD" w:rsidRDefault="000943DD" w:rsidP="00D5225A">
            <w:pPr>
              <w:pStyle w:val="BodyText"/>
            </w:pPr>
            <w:r>
              <w:rPr>
                <w:rStyle w:val="01Bodybold"/>
              </w:rPr>
              <w:t xml:space="preserve">3,023 </w:t>
            </w:r>
          </w:p>
        </w:tc>
        <w:tc>
          <w:tcPr>
            <w:tcW w:w="606" w:type="pct"/>
          </w:tcPr>
          <w:p w:rsidR="000943DD" w:rsidRDefault="000943DD" w:rsidP="00D5225A">
            <w:pPr>
              <w:pStyle w:val="BodyText"/>
            </w:pPr>
            <w:r>
              <w:rPr>
                <w:rStyle w:val="01Bodybold"/>
              </w:rPr>
              <w:t xml:space="preserve">3,558 </w:t>
            </w:r>
          </w:p>
        </w:tc>
        <w:tc>
          <w:tcPr>
            <w:tcW w:w="607" w:type="pct"/>
          </w:tcPr>
          <w:p w:rsidR="000943DD" w:rsidRDefault="000943DD" w:rsidP="00D5225A">
            <w:pPr>
              <w:pStyle w:val="BodyText"/>
            </w:pPr>
            <w:r>
              <w:rPr>
                <w:rStyle w:val="01Bodybold"/>
              </w:rPr>
              <w:t xml:space="preserve">3,978 </w:t>
            </w:r>
          </w:p>
        </w:tc>
        <w:tc>
          <w:tcPr>
            <w:tcW w:w="607" w:type="pct"/>
          </w:tcPr>
          <w:p w:rsidR="000943DD" w:rsidRDefault="000943DD" w:rsidP="00D5225A">
            <w:pPr>
              <w:pStyle w:val="BodyText"/>
            </w:pPr>
            <w:r>
              <w:rPr>
                <w:rStyle w:val="01Bodybold"/>
              </w:rPr>
              <w:t xml:space="preserve">13,262 </w:t>
            </w:r>
          </w:p>
        </w:tc>
      </w:tr>
      <w:tr w:rsidR="00DB65C1" w:rsidTr="0056258E">
        <w:trPr>
          <w:trHeight w:val="255"/>
        </w:trPr>
        <w:tc>
          <w:tcPr>
            <w:tcW w:w="5000" w:type="pct"/>
            <w:gridSpan w:val="6"/>
          </w:tcPr>
          <w:p w:rsidR="00DB65C1" w:rsidRDefault="00DB65C1" w:rsidP="00D5225A">
            <w:pPr>
              <w:pStyle w:val="BodyText"/>
            </w:pPr>
            <w:r w:rsidRPr="00D5225A">
              <w:rPr>
                <w:b/>
              </w:rPr>
              <w:t>Expenditure</w:t>
            </w:r>
          </w:p>
        </w:tc>
      </w:tr>
      <w:tr w:rsidR="000943DD" w:rsidTr="00DB65C1">
        <w:trPr>
          <w:trHeight w:val="255"/>
        </w:trPr>
        <w:tc>
          <w:tcPr>
            <w:tcW w:w="2022" w:type="pct"/>
          </w:tcPr>
          <w:p w:rsidR="000943DD" w:rsidRDefault="000943DD" w:rsidP="00D5225A">
            <w:pPr>
              <w:pStyle w:val="BodyText"/>
            </w:pPr>
            <w:r>
              <w:t>Program Management</w:t>
            </w:r>
          </w:p>
        </w:tc>
        <w:tc>
          <w:tcPr>
            <w:tcW w:w="552" w:type="pct"/>
          </w:tcPr>
          <w:p w:rsidR="000943DD" w:rsidRDefault="000943DD" w:rsidP="00D5225A">
            <w:pPr>
              <w:pStyle w:val="BodyText"/>
            </w:pPr>
          </w:p>
        </w:tc>
        <w:tc>
          <w:tcPr>
            <w:tcW w:w="606" w:type="pct"/>
          </w:tcPr>
          <w:p w:rsidR="000943DD" w:rsidRDefault="000943DD" w:rsidP="00D5225A">
            <w:pPr>
              <w:pStyle w:val="BodyText"/>
            </w:pPr>
          </w:p>
        </w:tc>
        <w:tc>
          <w:tcPr>
            <w:tcW w:w="606" w:type="pct"/>
          </w:tcPr>
          <w:p w:rsidR="000943DD" w:rsidRDefault="000943DD" w:rsidP="00D5225A">
            <w:pPr>
              <w:pStyle w:val="BodyText"/>
            </w:pPr>
          </w:p>
        </w:tc>
        <w:tc>
          <w:tcPr>
            <w:tcW w:w="607" w:type="pct"/>
          </w:tcPr>
          <w:p w:rsidR="000943DD" w:rsidRDefault="000943DD" w:rsidP="00D5225A">
            <w:pPr>
              <w:pStyle w:val="BodyText"/>
            </w:pPr>
          </w:p>
        </w:tc>
        <w:tc>
          <w:tcPr>
            <w:tcW w:w="607" w:type="pct"/>
          </w:tcPr>
          <w:p w:rsidR="000943DD" w:rsidRDefault="000943DD" w:rsidP="00D5225A">
            <w:pPr>
              <w:pStyle w:val="BodyText"/>
            </w:pPr>
            <w:r>
              <w:t xml:space="preserve"> </w:t>
            </w:r>
          </w:p>
        </w:tc>
      </w:tr>
      <w:tr w:rsidR="000943DD" w:rsidTr="00DB65C1">
        <w:trPr>
          <w:trHeight w:val="255"/>
        </w:trPr>
        <w:tc>
          <w:tcPr>
            <w:tcW w:w="2022" w:type="pct"/>
          </w:tcPr>
          <w:p w:rsidR="000943DD" w:rsidRDefault="000943DD" w:rsidP="00D5225A">
            <w:pPr>
              <w:pStyle w:val="BodyText"/>
            </w:pPr>
            <w:r>
              <w:t>Staff Costs</w:t>
            </w:r>
          </w:p>
        </w:tc>
        <w:tc>
          <w:tcPr>
            <w:tcW w:w="552" w:type="pct"/>
          </w:tcPr>
          <w:p w:rsidR="000943DD" w:rsidRDefault="000943DD" w:rsidP="00D5225A">
            <w:pPr>
              <w:pStyle w:val="BodyText"/>
            </w:pPr>
            <w:r>
              <w:t xml:space="preserve">294 </w:t>
            </w:r>
          </w:p>
        </w:tc>
        <w:tc>
          <w:tcPr>
            <w:tcW w:w="606" w:type="pct"/>
          </w:tcPr>
          <w:p w:rsidR="000943DD" w:rsidRDefault="000943DD" w:rsidP="00D5225A">
            <w:pPr>
              <w:pStyle w:val="BodyText"/>
            </w:pPr>
            <w:r>
              <w:t xml:space="preserve">312 </w:t>
            </w:r>
          </w:p>
        </w:tc>
        <w:tc>
          <w:tcPr>
            <w:tcW w:w="606" w:type="pct"/>
          </w:tcPr>
          <w:p w:rsidR="000943DD" w:rsidRDefault="000943DD" w:rsidP="00D5225A">
            <w:pPr>
              <w:pStyle w:val="BodyText"/>
            </w:pPr>
            <w:r>
              <w:t xml:space="preserve">321 </w:t>
            </w:r>
          </w:p>
        </w:tc>
        <w:tc>
          <w:tcPr>
            <w:tcW w:w="607" w:type="pct"/>
          </w:tcPr>
          <w:p w:rsidR="000943DD" w:rsidRDefault="000943DD" w:rsidP="00D5225A">
            <w:pPr>
              <w:pStyle w:val="BodyText"/>
            </w:pPr>
            <w:r>
              <w:t xml:space="preserve">332 </w:t>
            </w:r>
          </w:p>
        </w:tc>
        <w:tc>
          <w:tcPr>
            <w:tcW w:w="607" w:type="pct"/>
          </w:tcPr>
          <w:p w:rsidR="000943DD" w:rsidRDefault="000943DD" w:rsidP="00D5225A">
            <w:pPr>
              <w:pStyle w:val="BodyText"/>
            </w:pPr>
            <w:r>
              <w:t xml:space="preserve">1,259 </w:t>
            </w:r>
          </w:p>
        </w:tc>
      </w:tr>
      <w:tr w:rsidR="000943DD" w:rsidTr="00DB65C1">
        <w:trPr>
          <w:trHeight w:val="255"/>
        </w:trPr>
        <w:tc>
          <w:tcPr>
            <w:tcW w:w="2022" w:type="pct"/>
          </w:tcPr>
          <w:p w:rsidR="000943DD" w:rsidRDefault="000943DD" w:rsidP="00D5225A">
            <w:pPr>
              <w:pStyle w:val="BodyText"/>
            </w:pPr>
            <w:r>
              <w:t>Contractors</w:t>
            </w:r>
          </w:p>
        </w:tc>
        <w:tc>
          <w:tcPr>
            <w:tcW w:w="552" w:type="pct"/>
          </w:tcPr>
          <w:p w:rsidR="000943DD" w:rsidRDefault="000943DD" w:rsidP="00D5225A">
            <w:pPr>
              <w:pStyle w:val="BodyText"/>
            </w:pPr>
            <w:r>
              <w:t xml:space="preserve">(35) </w:t>
            </w:r>
          </w:p>
        </w:tc>
        <w:tc>
          <w:tcPr>
            <w:tcW w:w="606" w:type="pct"/>
          </w:tcPr>
          <w:p w:rsidR="000943DD" w:rsidRDefault="000943DD" w:rsidP="00D5225A">
            <w:pPr>
              <w:pStyle w:val="BodyText"/>
            </w:pPr>
            <w:r>
              <w:t xml:space="preserve">272 </w:t>
            </w:r>
          </w:p>
        </w:tc>
        <w:tc>
          <w:tcPr>
            <w:tcW w:w="606" w:type="pct"/>
          </w:tcPr>
          <w:p w:rsidR="000943DD" w:rsidRDefault="000943DD" w:rsidP="00D5225A">
            <w:pPr>
              <w:pStyle w:val="BodyText"/>
            </w:pPr>
            <w:r>
              <w:t xml:space="preserve">197 </w:t>
            </w:r>
          </w:p>
        </w:tc>
        <w:tc>
          <w:tcPr>
            <w:tcW w:w="607" w:type="pct"/>
          </w:tcPr>
          <w:p w:rsidR="000943DD" w:rsidRDefault="000943DD" w:rsidP="00D5225A">
            <w:pPr>
              <w:pStyle w:val="BodyText"/>
            </w:pPr>
            <w:r>
              <w:t xml:space="preserve">150 </w:t>
            </w:r>
          </w:p>
        </w:tc>
        <w:tc>
          <w:tcPr>
            <w:tcW w:w="607" w:type="pct"/>
          </w:tcPr>
          <w:p w:rsidR="000943DD" w:rsidRDefault="000943DD" w:rsidP="00D5225A">
            <w:pPr>
              <w:pStyle w:val="BodyText"/>
            </w:pPr>
            <w:r>
              <w:t xml:space="preserve">584 </w:t>
            </w:r>
          </w:p>
        </w:tc>
      </w:tr>
      <w:tr w:rsidR="000943DD" w:rsidTr="00DB65C1">
        <w:trPr>
          <w:trHeight w:val="255"/>
        </w:trPr>
        <w:tc>
          <w:tcPr>
            <w:tcW w:w="2022" w:type="pct"/>
          </w:tcPr>
          <w:p w:rsidR="000943DD" w:rsidRDefault="000943DD" w:rsidP="00D5225A">
            <w:pPr>
              <w:pStyle w:val="BodyText"/>
            </w:pPr>
            <w:r>
              <w:t>Staff Related Costs</w:t>
            </w:r>
          </w:p>
        </w:tc>
        <w:tc>
          <w:tcPr>
            <w:tcW w:w="552" w:type="pct"/>
          </w:tcPr>
          <w:p w:rsidR="000943DD" w:rsidRDefault="000943DD" w:rsidP="00D5225A">
            <w:pPr>
              <w:pStyle w:val="BodyText"/>
            </w:pPr>
            <w:r>
              <w:t>–</w:t>
            </w:r>
          </w:p>
        </w:tc>
        <w:tc>
          <w:tcPr>
            <w:tcW w:w="606" w:type="pct"/>
          </w:tcPr>
          <w:p w:rsidR="000943DD" w:rsidRDefault="000943DD" w:rsidP="00D5225A">
            <w:pPr>
              <w:pStyle w:val="BodyText"/>
            </w:pPr>
            <w:r>
              <w:t>1</w:t>
            </w:r>
          </w:p>
        </w:tc>
        <w:tc>
          <w:tcPr>
            <w:tcW w:w="606" w:type="pct"/>
          </w:tcPr>
          <w:p w:rsidR="000943DD" w:rsidRDefault="000943DD" w:rsidP="00D5225A">
            <w:pPr>
              <w:pStyle w:val="BodyText"/>
            </w:pPr>
            <w:r>
              <w:t>–</w:t>
            </w:r>
          </w:p>
        </w:tc>
        <w:tc>
          <w:tcPr>
            <w:tcW w:w="607" w:type="pct"/>
          </w:tcPr>
          <w:p w:rsidR="000943DD" w:rsidRDefault="000943DD" w:rsidP="00D5225A">
            <w:pPr>
              <w:pStyle w:val="BodyText"/>
            </w:pPr>
            <w:r>
              <w:t>–</w:t>
            </w:r>
          </w:p>
        </w:tc>
        <w:tc>
          <w:tcPr>
            <w:tcW w:w="607" w:type="pct"/>
          </w:tcPr>
          <w:p w:rsidR="000943DD" w:rsidRDefault="000943DD" w:rsidP="00D5225A">
            <w:pPr>
              <w:pStyle w:val="BodyText"/>
            </w:pPr>
            <w:r>
              <w:t>1</w:t>
            </w:r>
          </w:p>
        </w:tc>
      </w:tr>
      <w:tr w:rsidR="000943DD" w:rsidTr="00DB65C1">
        <w:trPr>
          <w:trHeight w:val="255"/>
        </w:trPr>
        <w:tc>
          <w:tcPr>
            <w:tcW w:w="2022" w:type="pct"/>
          </w:tcPr>
          <w:p w:rsidR="000943DD" w:rsidRDefault="000943DD" w:rsidP="00D5225A">
            <w:pPr>
              <w:pStyle w:val="BodyText"/>
            </w:pPr>
            <w:r>
              <w:t>Travel</w:t>
            </w:r>
          </w:p>
        </w:tc>
        <w:tc>
          <w:tcPr>
            <w:tcW w:w="552" w:type="pct"/>
          </w:tcPr>
          <w:p w:rsidR="000943DD" w:rsidRDefault="000943DD" w:rsidP="00D5225A">
            <w:pPr>
              <w:pStyle w:val="BodyText"/>
            </w:pPr>
            <w:r>
              <w:t>–</w:t>
            </w:r>
          </w:p>
        </w:tc>
        <w:tc>
          <w:tcPr>
            <w:tcW w:w="606" w:type="pct"/>
          </w:tcPr>
          <w:p w:rsidR="000943DD" w:rsidRDefault="000943DD" w:rsidP="00D5225A">
            <w:pPr>
              <w:pStyle w:val="BodyText"/>
            </w:pPr>
            <w:r>
              <w:t xml:space="preserve"> –</w:t>
            </w:r>
          </w:p>
        </w:tc>
        <w:tc>
          <w:tcPr>
            <w:tcW w:w="606" w:type="pct"/>
          </w:tcPr>
          <w:p w:rsidR="000943DD" w:rsidRDefault="000943DD" w:rsidP="00D5225A">
            <w:pPr>
              <w:pStyle w:val="BodyText"/>
            </w:pPr>
            <w:r>
              <w:t xml:space="preserve">– </w:t>
            </w:r>
          </w:p>
        </w:tc>
        <w:tc>
          <w:tcPr>
            <w:tcW w:w="607" w:type="pct"/>
          </w:tcPr>
          <w:p w:rsidR="000943DD" w:rsidRDefault="000943DD" w:rsidP="00D5225A">
            <w:pPr>
              <w:pStyle w:val="BodyText"/>
            </w:pPr>
            <w:r>
              <w:t>–</w:t>
            </w:r>
          </w:p>
        </w:tc>
        <w:tc>
          <w:tcPr>
            <w:tcW w:w="607" w:type="pct"/>
          </w:tcPr>
          <w:p w:rsidR="000943DD" w:rsidRDefault="000943DD" w:rsidP="00D5225A">
            <w:pPr>
              <w:pStyle w:val="BodyText"/>
            </w:pPr>
            <w:r>
              <w:t>–</w:t>
            </w:r>
          </w:p>
        </w:tc>
      </w:tr>
      <w:tr w:rsidR="000943DD" w:rsidTr="00DB65C1">
        <w:trPr>
          <w:trHeight w:val="255"/>
        </w:trPr>
        <w:tc>
          <w:tcPr>
            <w:tcW w:w="2022" w:type="pct"/>
          </w:tcPr>
          <w:p w:rsidR="000943DD" w:rsidRDefault="000943DD" w:rsidP="00D5225A">
            <w:pPr>
              <w:pStyle w:val="BodyText"/>
            </w:pPr>
            <w:r>
              <w:t>Other Operational Costs</w:t>
            </w:r>
          </w:p>
        </w:tc>
        <w:tc>
          <w:tcPr>
            <w:tcW w:w="552" w:type="pct"/>
          </w:tcPr>
          <w:p w:rsidR="000943DD" w:rsidRDefault="000943DD" w:rsidP="00D5225A">
            <w:pPr>
              <w:pStyle w:val="BodyText"/>
            </w:pPr>
            <w:r>
              <w:t xml:space="preserve">13 </w:t>
            </w:r>
          </w:p>
        </w:tc>
        <w:tc>
          <w:tcPr>
            <w:tcW w:w="606" w:type="pct"/>
          </w:tcPr>
          <w:p w:rsidR="000943DD" w:rsidRDefault="000943DD" w:rsidP="00D5225A">
            <w:pPr>
              <w:pStyle w:val="BodyText"/>
            </w:pPr>
            <w:r>
              <w:t xml:space="preserve">13 </w:t>
            </w:r>
          </w:p>
        </w:tc>
        <w:tc>
          <w:tcPr>
            <w:tcW w:w="606" w:type="pct"/>
          </w:tcPr>
          <w:p w:rsidR="000943DD" w:rsidRDefault="000943DD" w:rsidP="00D5225A">
            <w:pPr>
              <w:pStyle w:val="BodyText"/>
            </w:pPr>
            <w:r>
              <w:t xml:space="preserve">13 </w:t>
            </w:r>
          </w:p>
        </w:tc>
        <w:tc>
          <w:tcPr>
            <w:tcW w:w="607" w:type="pct"/>
          </w:tcPr>
          <w:p w:rsidR="000943DD" w:rsidRDefault="000943DD" w:rsidP="00D5225A">
            <w:pPr>
              <w:pStyle w:val="BodyText"/>
            </w:pPr>
            <w:r>
              <w:t xml:space="preserve">13 </w:t>
            </w:r>
          </w:p>
        </w:tc>
        <w:tc>
          <w:tcPr>
            <w:tcW w:w="607" w:type="pct"/>
          </w:tcPr>
          <w:p w:rsidR="000943DD" w:rsidRDefault="000943DD" w:rsidP="00D5225A">
            <w:pPr>
              <w:pStyle w:val="BodyText"/>
            </w:pPr>
            <w:r>
              <w:t xml:space="preserve">52 </w:t>
            </w:r>
          </w:p>
        </w:tc>
      </w:tr>
      <w:tr w:rsidR="000943DD" w:rsidTr="00DB65C1">
        <w:trPr>
          <w:trHeight w:val="226"/>
        </w:trPr>
        <w:tc>
          <w:tcPr>
            <w:tcW w:w="2022" w:type="pct"/>
          </w:tcPr>
          <w:p w:rsidR="000943DD" w:rsidRDefault="000943DD" w:rsidP="00D5225A">
            <w:pPr>
              <w:pStyle w:val="BodyText"/>
            </w:pPr>
          </w:p>
        </w:tc>
        <w:tc>
          <w:tcPr>
            <w:tcW w:w="552" w:type="pct"/>
          </w:tcPr>
          <w:p w:rsidR="000943DD" w:rsidRDefault="000943DD" w:rsidP="00D5225A">
            <w:pPr>
              <w:pStyle w:val="BodyText"/>
            </w:pPr>
            <w:r>
              <w:rPr>
                <w:rStyle w:val="01Bodybold"/>
              </w:rPr>
              <w:t xml:space="preserve">272 </w:t>
            </w:r>
          </w:p>
        </w:tc>
        <w:tc>
          <w:tcPr>
            <w:tcW w:w="606" w:type="pct"/>
          </w:tcPr>
          <w:p w:rsidR="000943DD" w:rsidRDefault="000943DD" w:rsidP="00D5225A">
            <w:pPr>
              <w:pStyle w:val="BodyText"/>
            </w:pPr>
            <w:r>
              <w:rPr>
                <w:rStyle w:val="01Bodybold"/>
              </w:rPr>
              <w:t xml:space="preserve">598 </w:t>
            </w:r>
          </w:p>
        </w:tc>
        <w:tc>
          <w:tcPr>
            <w:tcW w:w="606" w:type="pct"/>
          </w:tcPr>
          <w:p w:rsidR="000943DD" w:rsidRDefault="000943DD" w:rsidP="00D5225A">
            <w:pPr>
              <w:pStyle w:val="BodyText"/>
            </w:pPr>
            <w:r>
              <w:rPr>
                <w:rStyle w:val="01Bodybold"/>
              </w:rPr>
              <w:t xml:space="preserve">531 </w:t>
            </w:r>
          </w:p>
        </w:tc>
        <w:tc>
          <w:tcPr>
            <w:tcW w:w="607" w:type="pct"/>
          </w:tcPr>
          <w:p w:rsidR="000943DD" w:rsidRDefault="000943DD" w:rsidP="00D5225A">
            <w:pPr>
              <w:pStyle w:val="BodyText"/>
            </w:pPr>
            <w:r>
              <w:rPr>
                <w:rStyle w:val="01Bodybold"/>
              </w:rPr>
              <w:t xml:space="preserve">495 </w:t>
            </w:r>
          </w:p>
        </w:tc>
        <w:tc>
          <w:tcPr>
            <w:tcW w:w="607" w:type="pct"/>
          </w:tcPr>
          <w:p w:rsidR="000943DD" w:rsidRDefault="000943DD" w:rsidP="00D5225A">
            <w:pPr>
              <w:pStyle w:val="BodyText"/>
            </w:pPr>
            <w:r>
              <w:rPr>
                <w:rStyle w:val="01Bodybold"/>
              </w:rPr>
              <w:t xml:space="preserve">1,896 </w:t>
            </w:r>
          </w:p>
        </w:tc>
      </w:tr>
      <w:tr w:rsidR="000943DD" w:rsidTr="00DB65C1">
        <w:trPr>
          <w:trHeight w:val="255"/>
        </w:trPr>
        <w:tc>
          <w:tcPr>
            <w:tcW w:w="2022" w:type="pct"/>
          </w:tcPr>
          <w:p w:rsidR="000943DD" w:rsidRDefault="000943DD" w:rsidP="00D5225A">
            <w:pPr>
              <w:pStyle w:val="BodyText"/>
            </w:pPr>
            <w:r>
              <w:t>Service Delivery</w:t>
            </w:r>
          </w:p>
        </w:tc>
        <w:tc>
          <w:tcPr>
            <w:tcW w:w="552" w:type="pct"/>
          </w:tcPr>
          <w:p w:rsidR="000943DD" w:rsidRDefault="000943DD" w:rsidP="00D5225A">
            <w:pPr>
              <w:pStyle w:val="BodyText"/>
            </w:pPr>
          </w:p>
        </w:tc>
        <w:tc>
          <w:tcPr>
            <w:tcW w:w="606" w:type="pct"/>
          </w:tcPr>
          <w:p w:rsidR="000943DD" w:rsidRDefault="000943DD" w:rsidP="00D5225A">
            <w:pPr>
              <w:pStyle w:val="BodyText"/>
            </w:pPr>
          </w:p>
        </w:tc>
        <w:tc>
          <w:tcPr>
            <w:tcW w:w="606" w:type="pct"/>
          </w:tcPr>
          <w:p w:rsidR="000943DD" w:rsidRDefault="000943DD" w:rsidP="00D5225A">
            <w:pPr>
              <w:pStyle w:val="BodyText"/>
            </w:pPr>
          </w:p>
        </w:tc>
        <w:tc>
          <w:tcPr>
            <w:tcW w:w="607" w:type="pct"/>
          </w:tcPr>
          <w:p w:rsidR="000943DD" w:rsidRDefault="000943DD" w:rsidP="00D5225A">
            <w:pPr>
              <w:pStyle w:val="BodyText"/>
            </w:pPr>
          </w:p>
        </w:tc>
        <w:tc>
          <w:tcPr>
            <w:tcW w:w="607" w:type="pct"/>
          </w:tcPr>
          <w:p w:rsidR="000943DD" w:rsidRDefault="000943DD" w:rsidP="00D5225A">
            <w:pPr>
              <w:pStyle w:val="BodyText"/>
            </w:pPr>
          </w:p>
        </w:tc>
      </w:tr>
      <w:tr w:rsidR="000943DD" w:rsidTr="00DB65C1">
        <w:trPr>
          <w:trHeight w:val="255"/>
        </w:trPr>
        <w:tc>
          <w:tcPr>
            <w:tcW w:w="2022" w:type="pct"/>
          </w:tcPr>
          <w:p w:rsidR="000943DD" w:rsidRDefault="000943DD" w:rsidP="00D5225A">
            <w:pPr>
              <w:pStyle w:val="BodyText"/>
            </w:pPr>
            <w:r>
              <w:t>Staff Costs</w:t>
            </w:r>
          </w:p>
        </w:tc>
        <w:tc>
          <w:tcPr>
            <w:tcW w:w="552" w:type="pct"/>
          </w:tcPr>
          <w:p w:rsidR="000943DD" w:rsidRDefault="000943DD" w:rsidP="00D5225A">
            <w:pPr>
              <w:pStyle w:val="BodyText"/>
            </w:pPr>
            <w:r>
              <w:t xml:space="preserve">177 </w:t>
            </w:r>
          </w:p>
        </w:tc>
        <w:tc>
          <w:tcPr>
            <w:tcW w:w="606" w:type="pct"/>
          </w:tcPr>
          <w:p w:rsidR="000943DD" w:rsidRDefault="000943DD" w:rsidP="00D5225A">
            <w:pPr>
              <w:pStyle w:val="BodyText"/>
            </w:pPr>
            <w:r>
              <w:t xml:space="preserve">42 </w:t>
            </w:r>
          </w:p>
        </w:tc>
        <w:tc>
          <w:tcPr>
            <w:tcW w:w="606" w:type="pct"/>
          </w:tcPr>
          <w:p w:rsidR="000943DD" w:rsidRDefault="000943DD" w:rsidP="00D5225A">
            <w:pPr>
              <w:pStyle w:val="BodyText"/>
            </w:pPr>
            <w:r>
              <w:t xml:space="preserve">228 </w:t>
            </w:r>
          </w:p>
        </w:tc>
        <w:tc>
          <w:tcPr>
            <w:tcW w:w="607" w:type="pct"/>
          </w:tcPr>
          <w:p w:rsidR="000943DD" w:rsidRDefault="000943DD" w:rsidP="00D5225A">
            <w:pPr>
              <w:pStyle w:val="BodyText"/>
            </w:pPr>
            <w:r>
              <w:t xml:space="preserve">781 </w:t>
            </w:r>
          </w:p>
        </w:tc>
        <w:tc>
          <w:tcPr>
            <w:tcW w:w="607" w:type="pct"/>
          </w:tcPr>
          <w:p w:rsidR="000943DD" w:rsidRDefault="000943DD" w:rsidP="00D5225A">
            <w:pPr>
              <w:pStyle w:val="BodyText"/>
            </w:pPr>
            <w:r>
              <w:t xml:space="preserve">1,228 </w:t>
            </w:r>
          </w:p>
        </w:tc>
      </w:tr>
      <w:tr w:rsidR="000943DD" w:rsidTr="00DB65C1">
        <w:trPr>
          <w:trHeight w:val="255"/>
        </w:trPr>
        <w:tc>
          <w:tcPr>
            <w:tcW w:w="2022" w:type="pct"/>
          </w:tcPr>
          <w:p w:rsidR="000943DD" w:rsidRDefault="000943DD" w:rsidP="00D5225A">
            <w:pPr>
              <w:pStyle w:val="BodyText"/>
            </w:pPr>
            <w:r>
              <w:t>Contractors</w:t>
            </w:r>
          </w:p>
        </w:tc>
        <w:tc>
          <w:tcPr>
            <w:tcW w:w="552" w:type="pct"/>
          </w:tcPr>
          <w:p w:rsidR="000943DD" w:rsidRDefault="000943DD" w:rsidP="00D5225A">
            <w:pPr>
              <w:pStyle w:val="BodyText"/>
            </w:pPr>
            <w:r>
              <w:t>–</w:t>
            </w:r>
          </w:p>
        </w:tc>
        <w:tc>
          <w:tcPr>
            <w:tcW w:w="606" w:type="pct"/>
          </w:tcPr>
          <w:p w:rsidR="000943DD" w:rsidRDefault="000943DD" w:rsidP="00D5225A">
            <w:pPr>
              <w:pStyle w:val="BodyText"/>
            </w:pPr>
            <w:r>
              <w:t xml:space="preserve">– </w:t>
            </w:r>
          </w:p>
        </w:tc>
        <w:tc>
          <w:tcPr>
            <w:tcW w:w="606" w:type="pct"/>
          </w:tcPr>
          <w:p w:rsidR="000943DD" w:rsidRDefault="000943DD" w:rsidP="00D5225A">
            <w:pPr>
              <w:pStyle w:val="BodyText"/>
            </w:pPr>
            <w:r>
              <w:t xml:space="preserve">– </w:t>
            </w:r>
          </w:p>
        </w:tc>
        <w:tc>
          <w:tcPr>
            <w:tcW w:w="607" w:type="pct"/>
          </w:tcPr>
          <w:p w:rsidR="000943DD" w:rsidRDefault="000943DD" w:rsidP="00D5225A">
            <w:pPr>
              <w:pStyle w:val="BodyText"/>
            </w:pPr>
            <w:r>
              <w:t xml:space="preserve">– </w:t>
            </w:r>
          </w:p>
        </w:tc>
        <w:tc>
          <w:tcPr>
            <w:tcW w:w="607" w:type="pct"/>
          </w:tcPr>
          <w:p w:rsidR="000943DD" w:rsidRDefault="000943DD" w:rsidP="00D5225A">
            <w:pPr>
              <w:pStyle w:val="BodyText"/>
            </w:pPr>
            <w:r>
              <w:t xml:space="preserve">– </w:t>
            </w:r>
          </w:p>
        </w:tc>
      </w:tr>
      <w:tr w:rsidR="000943DD" w:rsidTr="00DB65C1">
        <w:trPr>
          <w:trHeight w:val="242"/>
        </w:trPr>
        <w:tc>
          <w:tcPr>
            <w:tcW w:w="2022" w:type="pct"/>
          </w:tcPr>
          <w:p w:rsidR="000943DD" w:rsidRDefault="000943DD" w:rsidP="00D5225A">
            <w:pPr>
              <w:pStyle w:val="BodyText"/>
            </w:pPr>
            <w:r>
              <w:t>Staff Related Costs</w:t>
            </w:r>
          </w:p>
        </w:tc>
        <w:tc>
          <w:tcPr>
            <w:tcW w:w="552" w:type="pct"/>
          </w:tcPr>
          <w:p w:rsidR="000943DD" w:rsidRDefault="000943DD" w:rsidP="00D5225A">
            <w:pPr>
              <w:pStyle w:val="BodyText"/>
            </w:pPr>
            <w:r>
              <w:t>–</w:t>
            </w:r>
          </w:p>
        </w:tc>
        <w:tc>
          <w:tcPr>
            <w:tcW w:w="606" w:type="pct"/>
          </w:tcPr>
          <w:p w:rsidR="000943DD" w:rsidRDefault="000943DD" w:rsidP="00D5225A">
            <w:pPr>
              <w:pStyle w:val="BodyText"/>
            </w:pPr>
            <w:r>
              <w:t xml:space="preserve">– </w:t>
            </w:r>
          </w:p>
        </w:tc>
        <w:tc>
          <w:tcPr>
            <w:tcW w:w="606" w:type="pct"/>
          </w:tcPr>
          <w:p w:rsidR="000943DD" w:rsidRDefault="000943DD" w:rsidP="00D5225A">
            <w:pPr>
              <w:pStyle w:val="BodyText"/>
            </w:pPr>
            <w:r>
              <w:t xml:space="preserve">– </w:t>
            </w:r>
          </w:p>
        </w:tc>
        <w:tc>
          <w:tcPr>
            <w:tcW w:w="607" w:type="pct"/>
          </w:tcPr>
          <w:p w:rsidR="000943DD" w:rsidRDefault="000943DD" w:rsidP="00D5225A">
            <w:pPr>
              <w:pStyle w:val="BodyText"/>
            </w:pPr>
            <w:r>
              <w:t xml:space="preserve">–  </w:t>
            </w:r>
          </w:p>
        </w:tc>
        <w:tc>
          <w:tcPr>
            <w:tcW w:w="607" w:type="pct"/>
          </w:tcPr>
          <w:p w:rsidR="000943DD" w:rsidRDefault="000943DD" w:rsidP="00D5225A">
            <w:pPr>
              <w:pStyle w:val="BodyText"/>
            </w:pPr>
            <w:r>
              <w:t>–</w:t>
            </w:r>
          </w:p>
        </w:tc>
      </w:tr>
      <w:tr w:rsidR="000943DD" w:rsidTr="00DB65C1">
        <w:trPr>
          <w:trHeight w:val="242"/>
        </w:trPr>
        <w:tc>
          <w:tcPr>
            <w:tcW w:w="2022" w:type="pct"/>
          </w:tcPr>
          <w:p w:rsidR="000943DD" w:rsidRDefault="000943DD" w:rsidP="00D5225A">
            <w:pPr>
              <w:pStyle w:val="BodyText"/>
            </w:pPr>
            <w:r>
              <w:t>Travel</w:t>
            </w:r>
          </w:p>
        </w:tc>
        <w:tc>
          <w:tcPr>
            <w:tcW w:w="552" w:type="pct"/>
          </w:tcPr>
          <w:p w:rsidR="000943DD" w:rsidRDefault="000943DD" w:rsidP="00D5225A">
            <w:pPr>
              <w:pStyle w:val="BodyText"/>
            </w:pPr>
            <w:r>
              <w:t>–</w:t>
            </w:r>
          </w:p>
        </w:tc>
        <w:tc>
          <w:tcPr>
            <w:tcW w:w="606" w:type="pct"/>
          </w:tcPr>
          <w:p w:rsidR="000943DD" w:rsidRDefault="000943DD" w:rsidP="00D5225A">
            <w:pPr>
              <w:pStyle w:val="BodyText"/>
            </w:pPr>
            <w:r>
              <w:t>–</w:t>
            </w:r>
          </w:p>
        </w:tc>
        <w:tc>
          <w:tcPr>
            <w:tcW w:w="606" w:type="pct"/>
          </w:tcPr>
          <w:p w:rsidR="000943DD" w:rsidRDefault="000943DD" w:rsidP="00D5225A">
            <w:pPr>
              <w:pStyle w:val="BodyText"/>
            </w:pPr>
            <w:r>
              <w:t xml:space="preserve">– </w:t>
            </w:r>
          </w:p>
        </w:tc>
        <w:tc>
          <w:tcPr>
            <w:tcW w:w="607" w:type="pct"/>
          </w:tcPr>
          <w:p w:rsidR="000943DD" w:rsidRDefault="000943DD" w:rsidP="00D5225A">
            <w:pPr>
              <w:pStyle w:val="BodyText"/>
            </w:pPr>
            <w:r>
              <w:t>–</w:t>
            </w:r>
          </w:p>
        </w:tc>
        <w:tc>
          <w:tcPr>
            <w:tcW w:w="607" w:type="pct"/>
          </w:tcPr>
          <w:p w:rsidR="000943DD" w:rsidRDefault="000943DD" w:rsidP="00D5225A">
            <w:pPr>
              <w:pStyle w:val="BodyText"/>
            </w:pPr>
            <w:r>
              <w:t>–</w:t>
            </w:r>
          </w:p>
        </w:tc>
      </w:tr>
      <w:tr w:rsidR="000943DD" w:rsidTr="00DB65C1">
        <w:trPr>
          <w:trHeight w:val="255"/>
        </w:trPr>
        <w:tc>
          <w:tcPr>
            <w:tcW w:w="2022" w:type="pct"/>
          </w:tcPr>
          <w:p w:rsidR="000943DD" w:rsidRDefault="000943DD" w:rsidP="00D5225A">
            <w:pPr>
              <w:pStyle w:val="BodyText"/>
            </w:pPr>
            <w:r>
              <w:t>Other Operational Costs</w:t>
            </w:r>
          </w:p>
        </w:tc>
        <w:tc>
          <w:tcPr>
            <w:tcW w:w="552" w:type="pct"/>
          </w:tcPr>
          <w:p w:rsidR="000943DD" w:rsidRDefault="000943DD" w:rsidP="00D5225A">
            <w:pPr>
              <w:pStyle w:val="BodyText"/>
            </w:pPr>
            <w:r>
              <w:t xml:space="preserve">– </w:t>
            </w:r>
          </w:p>
        </w:tc>
        <w:tc>
          <w:tcPr>
            <w:tcW w:w="606" w:type="pct"/>
          </w:tcPr>
          <w:p w:rsidR="000943DD" w:rsidRDefault="000943DD" w:rsidP="00D5225A">
            <w:pPr>
              <w:pStyle w:val="BodyText"/>
            </w:pPr>
            <w:r>
              <w:t xml:space="preserve">– </w:t>
            </w:r>
          </w:p>
        </w:tc>
        <w:tc>
          <w:tcPr>
            <w:tcW w:w="606" w:type="pct"/>
          </w:tcPr>
          <w:p w:rsidR="000943DD" w:rsidRDefault="000943DD" w:rsidP="00D5225A">
            <w:pPr>
              <w:pStyle w:val="BodyText"/>
            </w:pPr>
            <w:r>
              <w:t xml:space="preserve">– </w:t>
            </w:r>
          </w:p>
        </w:tc>
        <w:tc>
          <w:tcPr>
            <w:tcW w:w="607" w:type="pct"/>
          </w:tcPr>
          <w:p w:rsidR="000943DD" w:rsidRDefault="000943DD" w:rsidP="00D5225A">
            <w:pPr>
              <w:pStyle w:val="BodyText"/>
            </w:pPr>
            <w:r>
              <w:t xml:space="preserve">41 </w:t>
            </w:r>
          </w:p>
        </w:tc>
        <w:tc>
          <w:tcPr>
            <w:tcW w:w="607" w:type="pct"/>
          </w:tcPr>
          <w:p w:rsidR="000943DD" w:rsidRDefault="000943DD" w:rsidP="00D5225A">
            <w:pPr>
              <w:pStyle w:val="BodyText"/>
            </w:pPr>
            <w:r>
              <w:t xml:space="preserve">41 </w:t>
            </w:r>
          </w:p>
        </w:tc>
      </w:tr>
      <w:tr w:rsidR="000943DD" w:rsidTr="00DB65C1">
        <w:trPr>
          <w:trHeight w:val="226"/>
        </w:trPr>
        <w:tc>
          <w:tcPr>
            <w:tcW w:w="2022" w:type="pct"/>
          </w:tcPr>
          <w:p w:rsidR="000943DD" w:rsidRDefault="000943DD" w:rsidP="00D5225A">
            <w:pPr>
              <w:pStyle w:val="BodyText"/>
            </w:pPr>
          </w:p>
        </w:tc>
        <w:tc>
          <w:tcPr>
            <w:tcW w:w="552" w:type="pct"/>
          </w:tcPr>
          <w:p w:rsidR="000943DD" w:rsidRDefault="000943DD" w:rsidP="00D5225A">
            <w:pPr>
              <w:pStyle w:val="BodyText"/>
            </w:pPr>
            <w:r>
              <w:rPr>
                <w:rStyle w:val="01Bodybold"/>
              </w:rPr>
              <w:t xml:space="preserve">177 </w:t>
            </w:r>
          </w:p>
        </w:tc>
        <w:tc>
          <w:tcPr>
            <w:tcW w:w="606" w:type="pct"/>
          </w:tcPr>
          <w:p w:rsidR="000943DD" w:rsidRDefault="000943DD" w:rsidP="00D5225A">
            <w:pPr>
              <w:pStyle w:val="BodyText"/>
            </w:pPr>
            <w:r>
              <w:rPr>
                <w:rStyle w:val="01Bodybold"/>
              </w:rPr>
              <w:t xml:space="preserve">42 </w:t>
            </w:r>
          </w:p>
        </w:tc>
        <w:tc>
          <w:tcPr>
            <w:tcW w:w="606" w:type="pct"/>
          </w:tcPr>
          <w:p w:rsidR="000943DD" w:rsidRDefault="000943DD" w:rsidP="00D5225A">
            <w:pPr>
              <w:pStyle w:val="BodyText"/>
            </w:pPr>
            <w:r>
              <w:rPr>
                <w:rStyle w:val="01Bodybold"/>
              </w:rPr>
              <w:t xml:space="preserve">228 </w:t>
            </w:r>
          </w:p>
        </w:tc>
        <w:tc>
          <w:tcPr>
            <w:tcW w:w="607" w:type="pct"/>
          </w:tcPr>
          <w:p w:rsidR="000943DD" w:rsidRDefault="000943DD" w:rsidP="00D5225A">
            <w:pPr>
              <w:pStyle w:val="BodyText"/>
            </w:pPr>
            <w:r>
              <w:rPr>
                <w:rStyle w:val="01Bodybold"/>
              </w:rPr>
              <w:t xml:space="preserve">822 </w:t>
            </w:r>
          </w:p>
        </w:tc>
        <w:tc>
          <w:tcPr>
            <w:tcW w:w="607" w:type="pct"/>
          </w:tcPr>
          <w:p w:rsidR="000943DD" w:rsidRDefault="000943DD" w:rsidP="00D5225A">
            <w:pPr>
              <w:pStyle w:val="BodyText"/>
            </w:pPr>
            <w:r>
              <w:rPr>
                <w:rStyle w:val="01Bodybold"/>
              </w:rPr>
              <w:t xml:space="preserve">1,269 </w:t>
            </w:r>
          </w:p>
        </w:tc>
      </w:tr>
      <w:tr w:rsidR="000943DD" w:rsidTr="00DB65C1">
        <w:trPr>
          <w:trHeight w:val="255"/>
        </w:trPr>
        <w:tc>
          <w:tcPr>
            <w:tcW w:w="2022" w:type="pct"/>
          </w:tcPr>
          <w:p w:rsidR="000943DD" w:rsidRDefault="000943DD" w:rsidP="00D5225A">
            <w:pPr>
              <w:pStyle w:val="BodyText"/>
            </w:pPr>
            <w:r>
              <w:t>Information Technology</w:t>
            </w:r>
          </w:p>
        </w:tc>
        <w:tc>
          <w:tcPr>
            <w:tcW w:w="552" w:type="pct"/>
          </w:tcPr>
          <w:p w:rsidR="000943DD" w:rsidRDefault="000943DD" w:rsidP="00D5225A">
            <w:pPr>
              <w:pStyle w:val="BodyText"/>
            </w:pPr>
          </w:p>
        </w:tc>
        <w:tc>
          <w:tcPr>
            <w:tcW w:w="606" w:type="pct"/>
          </w:tcPr>
          <w:p w:rsidR="000943DD" w:rsidRDefault="000943DD" w:rsidP="00D5225A">
            <w:pPr>
              <w:pStyle w:val="BodyText"/>
            </w:pPr>
          </w:p>
        </w:tc>
        <w:tc>
          <w:tcPr>
            <w:tcW w:w="606" w:type="pct"/>
          </w:tcPr>
          <w:p w:rsidR="000943DD" w:rsidRDefault="000943DD" w:rsidP="00D5225A">
            <w:pPr>
              <w:pStyle w:val="BodyText"/>
            </w:pPr>
          </w:p>
        </w:tc>
        <w:tc>
          <w:tcPr>
            <w:tcW w:w="607" w:type="pct"/>
          </w:tcPr>
          <w:p w:rsidR="000943DD" w:rsidRDefault="000943DD" w:rsidP="00D5225A">
            <w:pPr>
              <w:pStyle w:val="BodyText"/>
            </w:pPr>
          </w:p>
        </w:tc>
        <w:tc>
          <w:tcPr>
            <w:tcW w:w="607" w:type="pct"/>
          </w:tcPr>
          <w:p w:rsidR="000943DD" w:rsidRDefault="000943DD" w:rsidP="00D5225A">
            <w:pPr>
              <w:pStyle w:val="BodyText"/>
            </w:pPr>
          </w:p>
        </w:tc>
      </w:tr>
      <w:tr w:rsidR="000943DD" w:rsidTr="00DB65C1">
        <w:trPr>
          <w:trHeight w:val="255"/>
        </w:trPr>
        <w:tc>
          <w:tcPr>
            <w:tcW w:w="2022" w:type="pct"/>
          </w:tcPr>
          <w:p w:rsidR="000943DD" w:rsidRDefault="000943DD" w:rsidP="00D5225A">
            <w:pPr>
              <w:pStyle w:val="BodyText"/>
            </w:pPr>
            <w:r>
              <w:t>Staff Costs</w:t>
            </w:r>
          </w:p>
        </w:tc>
        <w:tc>
          <w:tcPr>
            <w:tcW w:w="552" w:type="pct"/>
          </w:tcPr>
          <w:p w:rsidR="000943DD" w:rsidRDefault="000943DD" w:rsidP="00D5225A">
            <w:pPr>
              <w:pStyle w:val="BodyText"/>
            </w:pPr>
            <w:r>
              <w:t xml:space="preserve">241 </w:t>
            </w:r>
          </w:p>
        </w:tc>
        <w:tc>
          <w:tcPr>
            <w:tcW w:w="606" w:type="pct"/>
          </w:tcPr>
          <w:p w:rsidR="000943DD" w:rsidRDefault="000943DD" w:rsidP="00D5225A">
            <w:pPr>
              <w:pStyle w:val="BodyText"/>
            </w:pPr>
            <w:r>
              <w:t xml:space="preserve">293 </w:t>
            </w:r>
          </w:p>
        </w:tc>
        <w:tc>
          <w:tcPr>
            <w:tcW w:w="606" w:type="pct"/>
          </w:tcPr>
          <w:p w:rsidR="000943DD" w:rsidRDefault="000943DD" w:rsidP="00D5225A">
            <w:pPr>
              <w:pStyle w:val="BodyText"/>
            </w:pPr>
            <w:r>
              <w:t xml:space="preserve">327 </w:t>
            </w:r>
          </w:p>
        </w:tc>
        <w:tc>
          <w:tcPr>
            <w:tcW w:w="607" w:type="pct"/>
          </w:tcPr>
          <w:p w:rsidR="000943DD" w:rsidRDefault="000943DD" w:rsidP="00D5225A">
            <w:pPr>
              <w:pStyle w:val="BodyText"/>
            </w:pPr>
            <w:r>
              <w:t xml:space="preserve">253 </w:t>
            </w:r>
          </w:p>
        </w:tc>
        <w:tc>
          <w:tcPr>
            <w:tcW w:w="607" w:type="pct"/>
          </w:tcPr>
          <w:p w:rsidR="000943DD" w:rsidRDefault="000943DD" w:rsidP="00D5225A">
            <w:pPr>
              <w:pStyle w:val="BodyText"/>
            </w:pPr>
            <w:r>
              <w:t xml:space="preserve">1,114 </w:t>
            </w:r>
          </w:p>
        </w:tc>
      </w:tr>
      <w:tr w:rsidR="000943DD" w:rsidTr="00DB65C1">
        <w:trPr>
          <w:trHeight w:val="255"/>
        </w:trPr>
        <w:tc>
          <w:tcPr>
            <w:tcW w:w="2022" w:type="pct"/>
          </w:tcPr>
          <w:p w:rsidR="000943DD" w:rsidRDefault="000943DD" w:rsidP="00D5225A">
            <w:pPr>
              <w:pStyle w:val="BodyText"/>
            </w:pPr>
            <w:r>
              <w:t>Contractors</w:t>
            </w:r>
          </w:p>
        </w:tc>
        <w:tc>
          <w:tcPr>
            <w:tcW w:w="552" w:type="pct"/>
          </w:tcPr>
          <w:p w:rsidR="000943DD" w:rsidRDefault="000943DD" w:rsidP="00D5225A">
            <w:pPr>
              <w:pStyle w:val="BodyText"/>
            </w:pPr>
            <w:r>
              <w:t xml:space="preserve">901 </w:t>
            </w:r>
          </w:p>
        </w:tc>
        <w:tc>
          <w:tcPr>
            <w:tcW w:w="606" w:type="pct"/>
          </w:tcPr>
          <w:p w:rsidR="000943DD" w:rsidRDefault="000943DD" w:rsidP="00D5225A">
            <w:pPr>
              <w:pStyle w:val="BodyText"/>
            </w:pPr>
            <w:r>
              <w:t xml:space="preserve">978 </w:t>
            </w:r>
          </w:p>
        </w:tc>
        <w:tc>
          <w:tcPr>
            <w:tcW w:w="606" w:type="pct"/>
          </w:tcPr>
          <w:p w:rsidR="000943DD" w:rsidRDefault="000943DD" w:rsidP="00D5225A">
            <w:pPr>
              <w:pStyle w:val="BodyText"/>
            </w:pPr>
            <w:r>
              <w:t xml:space="preserve">1,360 </w:t>
            </w:r>
          </w:p>
        </w:tc>
        <w:tc>
          <w:tcPr>
            <w:tcW w:w="607" w:type="pct"/>
          </w:tcPr>
          <w:p w:rsidR="000943DD" w:rsidRDefault="000943DD" w:rsidP="00D5225A">
            <w:pPr>
              <w:pStyle w:val="BodyText"/>
            </w:pPr>
            <w:r>
              <w:t xml:space="preserve">1,292 </w:t>
            </w:r>
          </w:p>
        </w:tc>
        <w:tc>
          <w:tcPr>
            <w:tcW w:w="607" w:type="pct"/>
          </w:tcPr>
          <w:p w:rsidR="000943DD" w:rsidRDefault="000943DD" w:rsidP="00D5225A">
            <w:pPr>
              <w:pStyle w:val="BodyText"/>
            </w:pPr>
            <w:r>
              <w:t xml:space="preserve">4,531 </w:t>
            </w:r>
          </w:p>
        </w:tc>
      </w:tr>
      <w:tr w:rsidR="000943DD" w:rsidTr="00DB65C1">
        <w:trPr>
          <w:trHeight w:val="255"/>
        </w:trPr>
        <w:tc>
          <w:tcPr>
            <w:tcW w:w="2022" w:type="pct"/>
          </w:tcPr>
          <w:p w:rsidR="000943DD" w:rsidRDefault="000943DD" w:rsidP="00D5225A">
            <w:pPr>
              <w:pStyle w:val="BodyText"/>
            </w:pPr>
            <w:r>
              <w:t>Staff Related Costs</w:t>
            </w:r>
          </w:p>
        </w:tc>
        <w:tc>
          <w:tcPr>
            <w:tcW w:w="552" w:type="pct"/>
          </w:tcPr>
          <w:p w:rsidR="000943DD" w:rsidRDefault="000943DD" w:rsidP="00D5225A">
            <w:pPr>
              <w:pStyle w:val="BodyText"/>
            </w:pPr>
            <w:r>
              <w:t>–</w:t>
            </w:r>
          </w:p>
        </w:tc>
        <w:tc>
          <w:tcPr>
            <w:tcW w:w="606" w:type="pct"/>
          </w:tcPr>
          <w:p w:rsidR="000943DD" w:rsidRDefault="000943DD" w:rsidP="00D5225A">
            <w:pPr>
              <w:pStyle w:val="BodyText"/>
            </w:pPr>
            <w:r>
              <w:t>–</w:t>
            </w:r>
          </w:p>
        </w:tc>
        <w:tc>
          <w:tcPr>
            <w:tcW w:w="606" w:type="pct"/>
          </w:tcPr>
          <w:p w:rsidR="000943DD" w:rsidRDefault="000943DD" w:rsidP="00D5225A">
            <w:pPr>
              <w:pStyle w:val="BodyText"/>
            </w:pPr>
            <w:r>
              <w:t>–</w:t>
            </w:r>
          </w:p>
        </w:tc>
        <w:tc>
          <w:tcPr>
            <w:tcW w:w="607" w:type="pct"/>
          </w:tcPr>
          <w:p w:rsidR="000943DD" w:rsidRDefault="000943DD" w:rsidP="00D5225A">
            <w:pPr>
              <w:pStyle w:val="BodyText"/>
            </w:pPr>
            <w:r>
              <w:t>–</w:t>
            </w:r>
          </w:p>
        </w:tc>
        <w:tc>
          <w:tcPr>
            <w:tcW w:w="607" w:type="pct"/>
          </w:tcPr>
          <w:p w:rsidR="000943DD" w:rsidRDefault="000943DD" w:rsidP="00D5225A">
            <w:pPr>
              <w:pStyle w:val="BodyText"/>
            </w:pPr>
            <w:r>
              <w:t>–</w:t>
            </w:r>
          </w:p>
        </w:tc>
      </w:tr>
      <w:tr w:rsidR="000943DD" w:rsidTr="00DB65C1">
        <w:trPr>
          <w:trHeight w:val="255"/>
        </w:trPr>
        <w:tc>
          <w:tcPr>
            <w:tcW w:w="2022" w:type="pct"/>
          </w:tcPr>
          <w:p w:rsidR="000943DD" w:rsidRDefault="000943DD" w:rsidP="00D5225A">
            <w:pPr>
              <w:pStyle w:val="BodyText"/>
            </w:pPr>
            <w:r>
              <w:t>Travel</w:t>
            </w:r>
          </w:p>
        </w:tc>
        <w:tc>
          <w:tcPr>
            <w:tcW w:w="552" w:type="pct"/>
          </w:tcPr>
          <w:p w:rsidR="000943DD" w:rsidRDefault="000943DD" w:rsidP="00D5225A">
            <w:pPr>
              <w:pStyle w:val="BodyText"/>
            </w:pPr>
            <w:r>
              <w:t xml:space="preserve">– </w:t>
            </w:r>
          </w:p>
        </w:tc>
        <w:tc>
          <w:tcPr>
            <w:tcW w:w="606" w:type="pct"/>
          </w:tcPr>
          <w:p w:rsidR="000943DD" w:rsidRDefault="000943DD" w:rsidP="00D5225A">
            <w:pPr>
              <w:pStyle w:val="BodyText"/>
            </w:pPr>
            <w:r>
              <w:t>–</w:t>
            </w:r>
          </w:p>
        </w:tc>
        <w:tc>
          <w:tcPr>
            <w:tcW w:w="606" w:type="pct"/>
          </w:tcPr>
          <w:p w:rsidR="000943DD" w:rsidRDefault="000943DD" w:rsidP="00D5225A">
            <w:pPr>
              <w:pStyle w:val="BodyText"/>
            </w:pPr>
            <w:r>
              <w:t>–</w:t>
            </w:r>
          </w:p>
        </w:tc>
        <w:tc>
          <w:tcPr>
            <w:tcW w:w="607" w:type="pct"/>
          </w:tcPr>
          <w:p w:rsidR="000943DD" w:rsidRDefault="000943DD" w:rsidP="00D5225A">
            <w:pPr>
              <w:pStyle w:val="BodyText"/>
            </w:pPr>
            <w:r>
              <w:t xml:space="preserve">– </w:t>
            </w:r>
          </w:p>
        </w:tc>
        <w:tc>
          <w:tcPr>
            <w:tcW w:w="607" w:type="pct"/>
          </w:tcPr>
          <w:p w:rsidR="000943DD" w:rsidRDefault="000943DD" w:rsidP="00D5225A">
            <w:pPr>
              <w:pStyle w:val="BodyText"/>
            </w:pPr>
            <w:r>
              <w:t>–</w:t>
            </w:r>
          </w:p>
        </w:tc>
      </w:tr>
      <w:tr w:rsidR="000943DD" w:rsidTr="00DB65C1">
        <w:trPr>
          <w:trHeight w:val="266"/>
        </w:trPr>
        <w:tc>
          <w:tcPr>
            <w:tcW w:w="2022" w:type="pct"/>
          </w:tcPr>
          <w:p w:rsidR="000943DD" w:rsidRDefault="000943DD" w:rsidP="00D5225A">
            <w:pPr>
              <w:pStyle w:val="BodyText"/>
            </w:pPr>
            <w:r>
              <w:t>Computer Hardware &amp; Software</w:t>
            </w:r>
          </w:p>
        </w:tc>
        <w:tc>
          <w:tcPr>
            <w:tcW w:w="552" w:type="pct"/>
          </w:tcPr>
          <w:p w:rsidR="000943DD" w:rsidRDefault="000943DD" w:rsidP="00D5225A">
            <w:pPr>
              <w:pStyle w:val="BodyText"/>
            </w:pPr>
            <w:r>
              <w:t xml:space="preserve">784 </w:t>
            </w:r>
          </w:p>
        </w:tc>
        <w:tc>
          <w:tcPr>
            <w:tcW w:w="606" w:type="pct"/>
          </w:tcPr>
          <w:p w:rsidR="000943DD" w:rsidRDefault="000943DD" w:rsidP="00D5225A">
            <w:pPr>
              <w:pStyle w:val="BodyText"/>
            </w:pPr>
            <w:r>
              <w:t xml:space="preserve">784 </w:t>
            </w:r>
          </w:p>
        </w:tc>
        <w:tc>
          <w:tcPr>
            <w:tcW w:w="606" w:type="pct"/>
          </w:tcPr>
          <w:p w:rsidR="000943DD" w:rsidRDefault="000943DD" w:rsidP="00D5225A">
            <w:pPr>
              <w:pStyle w:val="BodyText"/>
            </w:pPr>
            <w:r>
              <w:t xml:space="preserve">784 </w:t>
            </w:r>
          </w:p>
        </w:tc>
        <w:tc>
          <w:tcPr>
            <w:tcW w:w="607" w:type="pct"/>
          </w:tcPr>
          <w:p w:rsidR="000943DD" w:rsidRDefault="000943DD" w:rsidP="00D5225A">
            <w:pPr>
              <w:pStyle w:val="BodyText"/>
            </w:pPr>
            <w:r>
              <w:t xml:space="preserve">784 </w:t>
            </w:r>
          </w:p>
        </w:tc>
        <w:tc>
          <w:tcPr>
            <w:tcW w:w="607" w:type="pct"/>
          </w:tcPr>
          <w:p w:rsidR="000943DD" w:rsidRDefault="000943DD" w:rsidP="00D5225A">
            <w:pPr>
              <w:pStyle w:val="BodyText"/>
            </w:pPr>
            <w:r>
              <w:t xml:space="preserve">3,136 </w:t>
            </w:r>
          </w:p>
        </w:tc>
      </w:tr>
      <w:tr w:rsidR="000943DD" w:rsidTr="00DB65C1">
        <w:trPr>
          <w:trHeight w:val="255"/>
        </w:trPr>
        <w:tc>
          <w:tcPr>
            <w:tcW w:w="2022" w:type="pct"/>
          </w:tcPr>
          <w:p w:rsidR="000943DD" w:rsidRDefault="000943DD" w:rsidP="00D5225A">
            <w:pPr>
              <w:pStyle w:val="BodyText"/>
            </w:pPr>
          </w:p>
        </w:tc>
        <w:tc>
          <w:tcPr>
            <w:tcW w:w="552" w:type="pct"/>
          </w:tcPr>
          <w:p w:rsidR="000943DD" w:rsidRDefault="000943DD" w:rsidP="00D5225A">
            <w:pPr>
              <w:pStyle w:val="BodyText"/>
            </w:pPr>
            <w:r>
              <w:rPr>
                <w:rStyle w:val="01Bodybold"/>
              </w:rPr>
              <w:t xml:space="preserve">1,926 </w:t>
            </w:r>
          </w:p>
        </w:tc>
        <w:tc>
          <w:tcPr>
            <w:tcW w:w="606" w:type="pct"/>
          </w:tcPr>
          <w:p w:rsidR="000943DD" w:rsidRDefault="000943DD" w:rsidP="00D5225A">
            <w:pPr>
              <w:pStyle w:val="BodyText"/>
            </w:pPr>
            <w:r>
              <w:rPr>
                <w:rStyle w:val="01Bodybold"/>
              </w:rPr>
              <w:t xml:space="preserve">2,055 </w:t>
            </w:r>
          </w:p>
        </w:tc>
        <w:tc>
          <w:tcPr>
            <w:tcW w:w="606" w:type="pct"/>
          </w:tcPr>
          <w:p w:rsidR="000943DD" w:rsidRDefault="000943DD" w:rsidP="00D5225A">
            <w:pPr>
              <w:pStyle w:val="BodyText"/>
            </w:pPr>
            <w:r>
              <w:rPr>
                <w:rStyle w:val="01Bodybold"/>
              </w:rPr>
              <w:t xml:space="preserve">2,471 </w:t>
            </w:r>
          </w:p>
        </w:tc>
        <w:tc>
          <w:tcPr>
            <w:tcW w:w="607" w:type="pct"/>
          </w:tcPr>
          <w:p w:rsidR="000943DD" w:rsidRDefault="000943DD" w:rsidP="00D5225A">
            <w:pPr>
              <w:pStyle w:val="BodyText"/>
            </w:pPr>
            <w:r>
              <w:rPr>
                <w:rStyle w:val="01Bodybold"/>
              </w:rPr>
              <w:t xml:space="preserve">2,329 </w:t>
            </w:r>
          </w:p>
        </w:tc>
        <w:tc>
          <w:tcPr>
            <w:tcW w:w="607" w:type="pct"/>
          </w:tcPr>
          <w:p w:rsidR="000943DD" w:rsidRDefault="000943DD" w:rsidP="00D5225A">
            <w:pPr>
              <w:pStyle w:val="BodyText"/>
            </w:pPr>
            <w:r>
              <w:rPr>
                <w:rStyle w:val="01Bodybold"/>
              </w:rPr>
              <w:t xml:space="preserve">8,781 </w:t>
            </w:r>
          </w:p>
        </w:tc>
      </w:tr>
      <w:tr w:rsidR="000943DD" w:rsidTr="00DB65C1">
        <w:trPr>
          <w:trHeight w:val="255"/>
        </w:trPr>
        <w:tc>
          <w:tcPr>
            <w:tcW w:w="2022" w:type="pct"/>
          </w:tcPr>
          <w:p w:rsidR="000943DD" w:rsidRDefault="000943DD" w:rsidP="00D5225A">
            <w:pPr>
              <w:pStyle w:val="BodyText"/>
            </w:pPr>
            <w:r>
              <w:t>Overheads</w:t>
            </w:r>
          </w:p>
        </w:tc>
        <w:tc>
          <w:tcPr>
            <w:tcW w:w="552" w:type="pct"/>
          </w:tcPr>
          <w:p w:rsidR="000943DD" w:rsidRDefault="000943DD" w:rsidP="00D5225A">
            <w:pPr>
              <w:pStyle w:val="BodyText"/>
            </w:pPr>
            <w:r>
              <w:rPr>
                <w:rStyle w:val="01Bodybold"/>
              </w:rPr>
              <w:t xml:space="preserve">328 </w:t>
            </w:r>
          </w:p>
        </w:tc>
        <w:tc>
          <w:tcPr>
            <w:tcW w:w="606" w:type="pct"/>
          </w:tcPr>
          <w:p w:rsidR="000943DD" w:rsidRDefault="000943DD" w:rsidP="00D5225A">
            <w:pPr>
              <w:pStyle w:val="BodyText"/>
            </w:pPr>
            <w:r>
              <w:rPr>
                <w:rStyle w:val="01Bodybold"/>
              </w:rPr>
              <w:t xml:space="preserve">328 </w:t>
            </w:r>
          </w:p>
        </w:tc>
        <w:tc>
          <w:tcPr>
            <w:tcW w:w="606" w:type="pct"/>
          </w:tcPr>
          <w:p w:rsidR="000943DD" w:rsidRDefault="000943DD" w:rsidP="00D5225A">
            <w:pPr>
              <w:pStyle w:val="BodyText"/>
            </w:pPr>
            <w:r>
              <w:rPr>
                <w:rStyle w:val="01Bodybold"/>
              </w:rPr>
              <w:t xml:space="preserve">328 </w:t>
            </w:r>
          </w:p>
        </w:tc>
        <w:tc>
          <w:tcPr>
            <w:tcW w:w="607" w:type="pct"/>
          </w:tcPr>
          <w:p w:rsidR="000943DD" w:rsidRDefault="000943DD" w:rsidP="00D5225A">
            <w:pPr>
              <w:pStyle w:val="BodyText"/>
            </w:pPr>
            <w:r>
              <w:rPr>
                <w:rStyle w:val="01Bodybold"/>
              </w:rPr>
              <w:t xml:space="preserve">328 </w:t>
            </w:r>
          </w:p>
        </w:tc>
        <w:tc>
          <w:tcPr>
            <w:tcW w:w="607" w:type="pct"/>
          </w:tcPr>
          <w:p w:rsidR="000943DD" w:rsidRDefault="000943DD" w:rsidP="00D5225A">
            <w:pPr>
              <w:pStyle w:val="BodyText"/>
            </w:pPr>
            <w:r>
              <w:rPr>
                <w:rStyle w:val="01Bodybold"/>
              </w:rPr>
              <w:t xml:space="preserve">1,312 </w:t>
            </w:r>
          </w:p>
        </w:tc>
      </w:tr>
      <w:tr w:rsidR="000943DD" w:rsidTr="00DB65C1">
        <w:trPr>
          <w:trHeight w:val="283"/>
        </w:trPr>
        <w:tc>
          <w:tcPr>
            <w:tcW w:w="2022" w:type="pct"/>
          </w:tcPr>
          <w:p w:rsidR="000943DD" w:rsidRPr="00D5225A" w:rsidRDefault="000943DD" w:rsidP="00D5225A">
            <w:pPr>
              <w:pStyle w:val="BodyText"/>
            </w:pPr>
            <w:r w:rsidRPr="00D5225A">
              <w:rPr>
                <w:rStyle w:val="01Bodybold"/>
                <w:bCs w:val="0"/>
                <w:color w:val="auto"/>
              </w:rPr>
              <w:t>Total Expenditure</w:t>
            </w:r>
          </w:p>
        </w:tc>
        <w:tc>
          <w:tcPr>
            <w:tcW w:w="552" w:type="pct"/>
          </w:tcPr>
          <w:p w:rsidR="000943DD" w:rsidRPr="00D5225A" w:rsidRDefault="000943DD" w:rsidP="00D5225A">
            <w:pPr>
              <w:pStyle w:val="BodyText"/>
            </w:pPr>
            <w:r w:rsidRPr="00D5225A">
              <w:rPr>
                <w:rStyle w:val="01Bodybold"/>
                <w:bCs w:val="0"/>
                <w:color w:val="auto"/>
              </w:rPr>
              <w:t xml:space="preserve">2,703 </w:t>
            </w:r>
          </w:p>
        </w:tc>
        <w:tc>
          <w:tcPr>
            <w:tcW w:w="606" w:type="pct"/>
          </w:tcPr>
          <w:p w:rsidR="000943DD" w:rsidRPr="00D5225A" w:rsidRDefault="000943DD" w:rsidP="00D5225A">
            <w:pPr>
              <w:pStyle w:val="BodyText"/>
            </w:pPr>
            <w:r w:rsidRPr="00D5225A">
              <w:rPr>
                <w:rStyle w:val="01Bodybold"/>
                <w:bCs w:val="0"/>
                <w:color w:val="auto"/>
              </w:rPr>
              <w:t xml:space="preserve">3,023 </w:t>
            </w:r>
          </w:p>
        </w:tc>
        <w:tc>
          <w:tcPr>
            <w:tcW w:w="606" w:type="pct"/>
          </w:tcPr>
          <w:p w:rsidR="000943DD" w:rsidRPr="00D5225A" w:rsidRDefault="000943DD" w:rsidP="00D5225A">
            <w:pPr>
              <w:pStyle w:val="BodyText"/>
            </w:pPr>
            <w:r w:rsidRPr="00D5225A">
              <w:rPr>
                <w:rStyle w:val="01Bodybold"/>
                <w:bCs w:val="0"/>
                <w:color w:val="auto"/>
              </w:rPr>
              <w:t xml:space="preserve">3,558 </w:t>
            </w:r>
          </w:p>
        </w:tc>
        <w:tc>
          <w:tcPr>
            <w:tcW w:w="607" w:type="pct"/>
          </w:tcPr>
          <w:p w:rsidR="000943DD" w:rsidRPr="00D5225A" w:rsidRDefault="000943DD" w:rsidP="00D5225A">
            <w:pPr>
              <w:pStyle w:val="BodyText"/>
            </w:pPr>
            <w:r w:rsidRPr="00D5225A">
              <w:rPr>
                <w:rStyle w:val="01Bodybold"/>
                <w:bCs w:val="0"/>
                <w:color w:val="auto"/>
              </w:rPr>
              <w:t xml:space="preserve">3,974 </w:t>
            </w:r>
          </w:p>
        </w:tc>
        <w:tc>
          <w:tcPr>
            <w:tcW w:w="607" w:type="pct"/>
          </w:tcPr>
          <w:p w:rsidR="000943DD" w:rsidRPr="00D5225A" w:rsidRDefault="000943DD" w:rsidP="00D5225A">
            <w:pPr>
              <w:pStyle w:val="BodyText"/>
            </w:pPr>
            <w:r w:rsidRPr="00D5225A">
              <w:rPr>
                <w:rStyle w:val="01Bodybold"/>
                <w:bCs w:val="0"/>
                <w:color w:val="auto"/>
              </w:rPr>
              <w:t xml:space="preserve">13,258 </w:t>
            </w:r>
          </w:p>
        </w:tc>
      </w:tr>
      <w:tr w:rsidR="000943DD" w:rsidTr="00DB65C1">
        <w:trPr>
          <w:trHeight w:val="283"/>
        </w:trPr>
        <w:tc>
          <w:tcPr>
            <w:tcW w:w="2022" w:type="pct"/>
          </w:tcPr>
          <w:p w:rsidR="000943DD" w:rsidRDefault="000943DD" w:rsidP="00D5225A">
            <w:pPr>
              <w:pStyle w:val="BodyText"/>
            </w:pPr>
            <w:r>
              <w:t>Operating Surplus/(Deficit)</w:t>
            </w:r>
          </w:p>
        </w:tc>
        <w:tc>
          <w:tcPr>
            <w:tcW w:w="552" w:type="pct"/>
          </w:tcPr>
          <w:p w:rsidR="000943DD" w:rsidRDefault="000943DD" w:rsidP="00D5225A">
            <w:pPr>
              <w:pStyle w:val="BodyText"/>
            </w:pPr>
            <w:r>
              <w:rPr>
                <w:rStyle w:val="01Bodybold"/>
              </w:rPr>
              <w:t>–</w:t>
            </w:r>
          </w:p>
        </w:tc>
        <w:tc>
          <w:tcPr>
            <w:tcW w:w="606" w:type="pct"/>
          </w:tcPr>
          <w:p w:rsidR="000943DD" w:rsidRDefault="000943DD" w:rsidP="00D5225A">
            <w:pPr>
              <w:pStyle w:val="BodyText"/>
            </w:pPr>
            <w:r>
              <w:rPr>
                <w:rStyle w:val="01Bodybold"/>
              </w:rPr>
              <w:t xml:space="preserve">– </w:t>
            </w:r>
          </w:p>
        </w:tc>
        <w:tc>
          <w:tcPr>
            <w:tcW w:w="606" w:type="pct"/>
          </w:tcPr>
          <w:p w:rsidR="000943DD" w:rsidRDefault="000943DD" w:rsidP="00D5225A">
            <w:pPr>
              <w:pStyle w:val="BodyText"/>
            </w:pPr>
            <w:r>
              <w:rPr>
                <w:rStyle w:val="01Bodybold"/>
              </w:rPr>
              <w:t xml:space="preserve"> – </w:t>
            </w:r>
          </w:p>
        </w:tc>
        <w:tc>
          <w:tcPr>
            <w:tcW w:w="607" w:type="pct"/>
          </w:tcPr>
          <w:p w:rsidR="000943DD" w:rsidRDefault="000943DD" w:rsidP="00D5225A">
            <w:pPr>
              <w:pStyle w:val="BodyText"/>
            </w:pPr>
            <w:r>
              <w:rPr>
                <w:rStyle w:val="01Bodybold"/>
              </w:rPr>
              <w:t xml:space="preserve">4 </w:t>
            </w:r>
          </w:p>
        </w:tc>
        <w:tc>
          <w:tcPr>
            <w:tcW w:w="607" w:type="pct"/>
          </w:tcPr>
          <w:p w:rsidR="000943DD" w:rsidRDefault="000943DD" w:rsidP="00D5225A">
            <w:pPr>
              <w:pStyle w:val="BodyText"/>
            </w:pPr>
            <w:r>
              <w:rPr>
                <w:rStyle w:val="01Bodybold"/>
              </w:rPr>
              <w:t xml:space="preserve">4 </w:t>
            </w:r>
          </w:p>
        </w:tc>
      </w:tr>
    </w:tbl>
    <w:p w:rsidR="000943DD" w:rsidRDefault="000943DD" w:rsidP="000943DD">
      <w:pPr>
        <w:pStyle w:val="Heading1"/>
      </w:pPr>
      <w:r>
        <w:t>Security, privacy and confidentiality</w:t>
      </w:r>
    </w:p>
    <w:p w:rsidR="000943DD" w:rsidRDefault="000943DD" w:rsidP="00D5225A">
      <w:pPr>
        <w:pStyle w:val="BodyText"/>
      </w:pPr>
      <w:r>
        <w:rPr>
          <w:spacing w:val="-8"/>
        </w:rPr>
        <w:t xml:space="preserve">The </w:t>
      </w:r>
      <w:r>
        <w:rPr>
          <w:rStyle w:val="01Bodyitalics"/>
          <w:spacing w:val="-8"/>
        </w:rPr>
        <w:t>Privacy Act 1988</w:t>
      </w:r>
      <w:r>
        <w:rPr>
          <w:spacing w:val="-8"/>
        </w:rPr>
        <w:t xml:space="preserve"> (the Privacy Act) regulates </w:t>
      </w:r>
      <w:r>
        <w:t xml:space="preserve">the way Services Australia collects, handles and discloses personal information. </w:t>
      </w:r>
    </w:p>
    <w:p w:rsidR="000943DD" w:rsidRDefault="000943DD" w:rsidP="000943DD">
      <w:pPr>
        <w:pStyle w:val="BodyText"/>
      </w:pPr>
      <w:r>
        <w:t>We also comply with the secrecy provisions in the legislation governing the programs we deliver.</w:t>
      </w:r>
    </w:p>
    <w:p w:rsidR="000943DD" w:rsidRDefault="000943DD" w:rsidP="000943DD">
      <w:pPr>
        <w:pStyle w:val="BodyText"/>
      </w:pPr>
      <w:r>
        <w:t>We have strict controls and policies in place for access and disclosure of personal information for all programs. We apply appropriate penalties, including staff dismissal, for unauthorised access.</w:t>
      </w:r>
    </w:p>
    <w:p w:rsidR="000943DD" w:rsidRDefault="000943DD" w:rsidP="000943DD">
      <w:pPr>
        <w:pStyle w:val="Heading2"/>
      </w:pPr>
      <w:r>
        <w:t>Online security</w:t>
      </w:r>
    </w:p>
    <w:p w:rsidR="000943DD" w:rsidRDefault="000943DD" w:rsidP="000943DD">
      <w:pPr>
        <w:pStyle w:val="BodyText"/>
        <w:spacing w:after="57"/>
      </w:pPr>
      <w:r>
        <w:t xml:space="preserve">The HI Service uses online authentication systems to protect the security and privacy of information transmitted between the HI Service, healthcare providers and the My Health Record system: </w:t>
      </w:r>
    </w:p>
    <w:p w:rsidR="000943DD" w:rsidRDefault="000943DD" w:rsidP="0056258E">
      <w:pPr>
        <w:pStyle w:val="ListBullet"/>
      </w:pPr>
      <w:r>
        <w:t>Provider Digital Access (PRODA)—a two-step online authentication system used by providers to securely access government online services</w:t>
      </w:r>
    </w:p>
    <w:p w:rsidR="000943DD" w:rsidRDefault="000943DD" w:rsidP="0056258E">
      <w:pPr>
        <w:pStyle w:val="ListBullet"/>
      </w:pPr>
      <w:r>
        <w:t>Public Key Infrastructure (PKI)—a set of procedures and technology that provides security and confidentiality for electronic business.</w:t>
      </w:r>
    </w:p>
    <w:p w:rsidR="000943DD" w:rsidRDefault="000943DD" w:rsidP="000943DD">
      <w:pPr>
        <w:pStyle w:val="Heading2"/>
      </w:pPr>
      <w:r>
        <w:t xml:space="preserve">Privacy management procedures </w:t>
      </w:r>
    </w:p>
    <w:p w:rsidR="000943DD" w:rsidRDefault="000943DD" w:rsidP="000943DD">
      <w:pPr>
        <w:pStyle w:val="BodyText"/>
        <w:spacing w:after="57"/>
      </w:pPr>
      <w:r>
        <w:t>We adhere to policies and procedures to protect all personal information. This includes:</w:t>
      </w:r>
    </w:p>
    <w:p w:rsidR="000943DD" w:rsidRDefault="000943DD" w:rsidP="0056258E">
      <w:pPr>
        <w:pStyle w:val="ListBullet"/>
      </w:pPr>
      <w:r>
        <w:t xml:space="preserve">collecting all personal information in accordance with the Privacy Act </w:t>
      </w:r>
    </w:p>
    <w:p w:rsidR="000943DD" w:rsidRDefault="000943DD" w:rsidP="0056258E">
      <w:pPr>
        <w:pStyle w:val="ListBullet"/>
      </w:pPr>
      <w:r>
        <w:t>all staff completing privacy training</w:t>
      </w:r>
    </w:p>
    <w:p w:rsidR="000943DD" w:rsidRDefault="000943DD" w:rsidP="0056258E">
      <w:pPr>
        <w:pStyle w:val="ListBullet"/>
      </w:pPr>
      <w:r>
        <w:t xml:space="preserve">maintaining a Privacy Management Plan </w:t>
      </w:r>
    </w:p>
    <w:p w:rsidR="000943DD" w:rsidRDefault="000943DD" w:rsidP="0056258E">
      <w:pPr>
        <w:pStyle w:val="ListBullet"/>
      </w:pPr>
      <w:r>
        <w:t xml:space="preserve">undertaking privacy impact assessments and audits where required </w:t>
      </w:r>
    </w:p>
    <w:p w:rsidR="000943DD" w:rsidRDefault="000943DD" w:rsidP="0056258E">
      <w:pPr>
        <w:pStyle w:val="ListBullet"/>
      </w:pPr>
      <w:r>
        <w:t xml:space="preserve">providing up to date privacy advice </w:t>
      </w:r>
    </w:p>
    <w:p w:rsidR="000943DD" w:rsidRDefault="000943DD" w:rsidP="0056258E">
      <w:pPr>
        <w:pStyle w:val="ListBullet"/>
      </w:pPr>
      <w:r>
        <w:t xml:space="preserve">investigating complaints and possible breaches </w:t>
      </w:r>
    </w:p>
    <w:p w:rsidR="000943DD" w:rsidRDefault="000943DD" w:rsidP="0056258E">
      <w:pPr>
        <w:pStyle w:val="ListBullet"/>
        <w:rPr>
          <w:spacing w:val="-2"/>
        </w:rPr>
      </w:pPr>
      <w:proofErr w:type="gramStart"/>
      <w:r>
        <w:t>complying</w:t>
      </w:r>
      <w:proofErr w:type="gramEnd"/>
      <w:r>
        <w:t xml:space="preserve"> with specific processes and legislation when disclosing information</w:t>
      </w:r>
      <w:r>
        <w:rPr>
          <w:spacing w:val="-2"/>
        </w:rPr>
        <w:t>.</w:t>
      </w:r>
    </w:p>
    <w:p w:rsidR="000943DD" w:rsidRDefault="000943DD" w:rsidP="000943DD">
      <w:pPr>
        <w:pStyle w:val="BodyText"/>
      </w:pPr>
      <w:r>
        <w:t xml:space="preserve">The HI Act also imposes restrictions on the collection, use or disclosure of </w:t>
      </w:r>
      <w:r>
        <w:rPr>
          <w:spacing w:val="-2"/>
        </w:rPr>
        <w:t xml:space="preserve">healthcare identifiers and identifying information. It is an offence for a person or organisation to collect, use or disclose certain healthcare identifiers or identifying </w:t>
      </w:r>
      <w:r>
        <w:t xml:space="preserve">information. This is unless it is authorised by the HI Act or another law. </w:t>
      </w:r>
    </w:p>
    <w:p w:rsidR="000943DD" w:rsidRDefault="000943DD" w:rsidP="000943DD">
      <w:pPr>
        <w:pStyle w:val="BodyText"/>
      </w:pPr>
      <w:r>
        <w:t>A breach of the HI Act relating to a person is a breach of the Privacy Act, and the Office of the Australian Information Commissioner (OAIC) may investigate.</w:t>
      </w:r>
    </w:p>
    <w:p w:rsidR="000943DD" w:rsidRDefault="000943DD" w:rsidP="000943DD">
      <w:pPr>
        <w:pStyle w:val="Heading2"/>
      </w:pPr>
      <w:r>
        <w:t>Dealing with breaches</w:t>
      </w:r>
    </w:p>
    <w:p w:rsidR="000943DD" w:rsidRDefault="000943DD" w:rsidP="000943DD">
      <w:pPr>
        <w:pStyle w:val="BodyText"/>
      </w:pPr>
      <w:r>
        <w:t>If a person thinks their healthcare identifier or identifying information has been inappropriately accessed they can contact us for help. They can also contact their healthcare provider or ask the OAIC to investigate. The HI Service keeps a full audit of all system interactions for use in investigations if required.</w:t>
      </w:r>
    </w:p>
    <w:p w:rsidR="000943DD" w:rsidRDefault="000943DD" w:rsidP="000943DD">
      <w:pPr>
        <w:pStyle w:val="BodyText"/>
      </w:pPr>
      <w:r>
        <w:t>There have been no privacy or confidentiality breaches by staff in relation to the HI Service since the service started on 1 July 2010.</w:t>
      </w:r>
    </w:p>
    <w:p w:rsidR="000943DD" w:rsidRDefault="000943DD" w:rsidP="000943DD">
      <w:pPr>
        <w:pStyle w:val="BodyText"/>
        <w:spacing w:after="57"/>
      </w:pPr>
      <w:r>
        <w:t>On 22 February 2018, the Notifiable Data Breaches Scheme under the Privacy Act came into effect. Under the scheme, Services Australia must notify affected people and the OAIC if there is:</w:t>
      </w:r>
    </w:p>
    <w:p w:rsidR="000943DD" w:rsidRDefault="000943DD" w:rsidP="0056258E">
      <w:pPr>
        <w:pStyle w:val="ListBullet"/>
      </w:pPr>
      <w:r>
        <w:t>unauthorised access to personal information</w:t>
      </w:r>
    </w:p>
    <w:p w:rsidR="000943DD" w:rsidRDefault="000943DD" w:rsidP="0056258E">
      <w:pPr>
        <w:pStyle w:val="ListBullet"/>
      </w:pPr>
      <w:proofErr w:type="gramStart"/>
      <w:r>
        <w:t>unauthorised</w:t>
      </w:r>
      <w:proofErr w:type="gramEnd"/>
      <w:r>
        <w:t xml:space="preserve"> disclosure or loss of personal information likely to result in harm to the person.</w:t>
      </w:r>
    </w:p>
    <w:p w:rsidR="000943DD" w:rsidRDefault="000943DD" w:rsidP="000943DD">
      <w:pPr>
        <w:pStyle w:val="BodyText"/>
        <w:spacing w:after="1134"/>
      </w:pPr>
      <w:r>
        <w:t>Services Australia has had no notifiable data breaches reported for the HI Service since the Notifiable Data Breaches Scheme started.</w:t>
      </w:r>
    </w:p>
    <w:p w:rsidR="000943DD" w:rsidRDefault="000943DD" w:rsidP="000943DD">
      <w:pPr>
        <w:pStyle w:val="Heading1"/>
        <w:spacing w:after="397"/>
      </w:pPr>
      <w:r>
        <w:t>Audits and reviews</w:t>
      </w:r>
    </w:p>
    <w:p w:rsidR="000943DD" w:rsidRDefault="000943DD" w:rsidP="000943DD">
      <w:pPr>
        <w:pStyle w:val="BodyText"/>
      </w:pPr>
      <w:r>
        <w:t xml:space="preserve">There were no audits or reviews of the HI Service during 2019–20. </w:t>
      </w:r>
    </w:p>
    <w:p w:rsidR="00E018DC" w:rsidRPr="000943DD" w:rsidRDefault="0056258E" w:rsidP="0056258E">
      <w:pPr>
        <w:pStyle w:val="ProductCode"/>
      </w:pPr>
      <w:r>
        <w:t>8101.2010</w:t>
      </w:r>
    </w:p>
    <w:sectPr w:rsidR="00E018DC" w:rsidRPr="000943DD" w:rsidSect="00D5225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8EC" w:rsidRDefault="002918EC" w:rsidP="00C77FE4">
      <w:r>
        <w:separator/>
      </w:r>
    </w:p>
  </w:endnote>
  <w:endnote w:type="continuationSeparator" w:id="0">
    <w:p w:rsidR="002918EC" w:rsidRDefault="002918EC"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Roboto-Regular">
    <w:panose1 w:val="00000000000000000000"/>
    <w:charset w:val="00"/>
    <w:family w:val="auto"/>
    <w:notTrueType/>
    <w:pitch w:val="default"/>
    <w:sig w:usb0="00000003" w:usb1="00000000" w:usb2="00000000" w:usb3="00000000" w:csb0="00000001" w:csb1="00000000"/>
  </w:font>
  <w:font w:name="Roboto Regular">
    <w:panose1 w:val="00000000000000000000"/>
    <w:charset w:val="00"/>
    <w:family w:val="auto"/>
    <w:notTrueType/>
    <w:pitch w:val="default"/>
    <w:sig w:usb0="00000003" w:usb1="00000000" w:usb2="00000000" w:usb3="00000000" w:csb0="00000001" w:csb1="00000000"/>
  </w:font>
  <w:font w:name="Roboto-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464" w:rsidRDefault="003D4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464" w:rsidRDefault="003D4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464" w:rsidRDefault="003D4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8EC" w:rsidRDefault="002918EC" w:rsidP="00C77FE4">
      <w:r>
        <w:separator/>
      </w:r>
    </w:p>
  </w:footnote>
  <w:footnote w:type="continuationSeparator" w:id="0">
    <w:p w:rsidR="002918EC" w:rsidRDefault="002918EC"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464" w:rsidRDefault="003D4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464" w:rsidRDefault="003D44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464" w:rsidRDefault="003D4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667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BA5D73"/>
    <w:multiLevelType w:val="hybridMultilevel"/>
    <w:tmpl w:val="39BE8D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CC744EC"/>
    <w:multiLevelType w:val="hybridMultilevel"/>
    <w:tmpl w:val="ABF0A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05FFC"/>
    <w:multiLevelType w:val="hybridMultilevel"/>
    <w:tmpl w:val="30A0E680"/>
    <w:lvl w:ilvl="0" w:tplc="364ECC30">
      <w:numFmt w:val="bullet"/>
      <w:lvlText w:val="•"/>
      <w:lvlJc w:val="left"/>
      <w:pPr>
        <w:ind w:left="1425" w:hanging="106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A4ACE"/>
    <w:multiLevelType w:val="hybridMultilevel"/>
    <w:tmpl w:val="C1D49032"/>
    <w:lvl w:ilvl="0" w:tplc="364ECC30">
      <w:numFmt w:val="bullet"/>
      <w:lvlText w:val="•"/>
      <w:lvlJc w:val="left"/>
      <w:pPr>
        <w:ind w:left="1425" w:hanging="106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2C03AE"/>
    <w:multiLevelType w:val="hybridMultilevel"/>
    <w:tmpl w:val="CE7C0760"/>
    <w:lvl w:ilvl="0" w:tplc="364ECC30">
      <w:numFmt w:val="bullet"/>
      <w:lvlText w:val="•"/>
      <w:lvlJc w:val="left"/>
      <w:pPr>
        <w:ind w:left="1785" w:hanging="1065"/>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CCC4934"/>
    <w:multiLevelType w:val="hybridMultilevel"/>
    <w:tmpl w:val="0DCCA4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A32183"/>
    <w:multiLevelType w:val="hybridMultilevel"/>
    <w:tmpl w:val="AE50A052"/>
    <w:lvl w:ilvl="0" w:tplc="364ECC30">
      <w:numFmt w:val="bullet"/>
      <w:lvlText w:val="•"/>
      <w:lvlJc w:val="left"/>
      <w:pPr>
        <w:ind w:left="1425" w:hanging="106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5B4B65"/>
    <w:multiLevelType w:val="hybridMultilevel"/>
    <w:tmpl w:val="34D2CA6A"/>
    <w:lvl w:ilvl="0" w:tplc="364ECC30">
      <w:numFmt w:val="bullet"/>
      <w:lvlText w:val="•"/>
      <w:lvlJc w:val="left"/>
      <w:pPr>
        <w:ind w:left="1425" w:hanging="106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5"/>
  </w:num>
  <w:num w:numId="14">
    <w:abstractNumId w:val="10"/>
  </w:num>
  <w:num w:numId="15">
    <w:abstractNumId w:val="11"/>
  </w:num>
  <w:num w:numId="16">
    <w:abstractNumId w:val="13"/>
  </w:num>
  <w:num w:numId="17">
    <w:abstractNumId w:val="14"/>
  </w:num>
  <w:num w:numId="18">
    <w:abstractNumId w:val="12"/>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EC"/>
    <w:rsid w:val="000076F8"/>
    <w:rsid w:val="00015456"/>
    <w:rsid w:val="000156A2"/>
    <w:rsid w:val="00015AE7"/>
    <w:rsid w:val="00032A7E"/>
    <w:rsid w:val="00044271"/>
    <w:rsid w:val="00047ECA"/>
    <w:rsid w:val="00054392"/>
    <w:rsid w:val="0005459C"/>
    <w:rsid w:val="00054F06"/>
    <w:rsid w:val="000671E4"/>
    <w:rsid w:val="00071651"/>
    <w:rsid w:val="00091FBD"/>
    <w:rsid w:val="000943DD"/>
    <w:rsid w:val="000967ED"/>
    <w:rsid w:val="000A254A"/>
    <w:rsid w:val="000A5E33"/>
    <w:rsid w:val="000B27D3"/>
    <w:rsid w:val="000B4048"/>
    <w:rsid w:val="000C5A32"/>
    <w:rsid w:val="000D246D"/>
    <w:rsid w:val="000E2170"/>
    <w:rsid w:val="000E5AEE"/>
    <w:rsid w:val="000F2731"/>
    <w:rsid w:val="00105ADB"/>
    <w:rsid w:val="00106CBE"/>
    <w:rsid w:val="00111E1D"/>
    <w:rsid w:val="00120212"/>
    <w:rsid w:val="0012437B"/>
    <w:rsid w:val="001257FB"/>
    <w:rsid w:val="00132C19"/>
    <w:rsid w:val="00140AB3"/>
    <w:rsid w:val="001678AC"/>
    <w:rsid w:val="001718F2"/>
    <w:rsid w:val="001859C2"/>
    <w:rsid w:val="001A7379"/>
    <w:rsid w:val="001A7D06"/>
    <w:rsid w:val="001C0E50"/>
    <w:rsid w:val="001E5563"/>
    <w:rsid w:val="001E55A2"/>
    <w:rsid w:val="001F312C"/>
    <w:rsid w:val="00211456"/>
    <w:rsid w:val="00227263"/>
    <w:rsid w:val="00244B07"/>
    <w:rsid w:val="00251E3F"/>
    <w:rsid w:val="002556F0"/>
    <w:rsid w:val="00256A48"/>
    <w:rsid w:val="00280896"/>
    <w:rsid w:val="002918EC"/>
    <w:rsid w:val="002B682A"/>
    <w:rsid w:val="002C67B2"/>
    <w:rsid w:val="002E0853"/>
    <w:rsid w:val="002F3DA7"/>
    <w:rsid w:val="00300910"/>
    <w:rsid w:val="00313C9F"/>
    <w:rsid w:val="00331B6F"/>
    <w:rsid w:val="00334285"/>
    <w:rsid w:val="0036715B"/>
    <w:rsid w:val="00372C03"/>
    <w:rsid w:val="00374B97"/>
    <w:rsid w:val="00382845"/>
    <w:rsid w:val="003868BB"/>
    <w:rsid w:val="00386ECC"/>
    <w:rsid w:val="003926AC"/>
    <w:rsid w:val="00393DCE"/>
    <w:rsid w:val="003A29E7"/>
    <w:rsid w:val="003D4464"/>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B54C9"/>
    <w:rsid w:val="004C2789"/>
    <w:rsid w:val="004C3F91"/>
    <w:rsid w:val="004C46FC"/>
    <w:rsid w:val="004E064F"/>
    <w:rsid w:val="004F0442"/>
    <w:rsid w:val="00515AE9"/>
    <w:rsid w:val="00515B62"/>
    <w:rsid w:val="00521EBE"/>
    <w:rsid w:val="00522E98"/>
    <w:rsid w:val="0053686B"/>
    <w:rsid w:val="005447EC"/>
    <w:rsid w:val="00547164"/>
    <w:rsid w:val="0056258E"/>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5225A"/>
    <w:rsid w:val="00D61251"/>
    <w:rsid w:val="00D62DEA"/>
    <w:rsid w:val="00D65810"/>
    <w:rsid w:val="00D7585D"/>
    <w:rsid w:val="00D90171"/>
    <w:rsid w:val="00D95D2A"/>
    <w:rsid w:val="00DB50EE"/>
    <w:rsid w:val="00DB5AB6"/>
    <w:rsid w:val="00DB65C1"/>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AB7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2918EC"/>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uiPriority w:val="99"/>
    <w:qFormat/>
    <w:rsid w:val="0056258E"/>
    <w:pPr>
      <w:keepNext/>
      <w:tabs>
        <w:tab w:val="left" w:pos="1066"/>
      </w:tabs>
      <w:spacing w:before="120" w:after="200" w:line="240" w:lineRule="auto"/>
      <w:outlineLvl w:val="0"/>
    </w:pPr>
    <w:rPr>
      <w:rFonts w:ascii="Arial" w:eastAsia="Times New Roman" w:hAnsi="Arial" w:cs="Arial"/>
      <w:b/>
      <w:bCs/>
      <w:kern w:val="32"/>
      <w:sz w:val="44"/>
      <w:szCs w:val="32"/>
      <w:lang w:eastAsia="en-US"/>
    </w:rPr>
  </w:style>
  <w:style w:type="paragraph" w:styleId="Heading2">
    <w:name w:val="heading 2"/>
    <w:basedOn w:val="Normal"/>
    <w:next w:val="Normal"/>
    <w:link w:val="Heading2Char"/>
    <w:autoRedefine/>
    <w:uiPriority w:val="99"/>
    <w:qFormat/>
    <w:rsid w:val="00B87C17"/>
    <w:pPr>
      <w:keepNext/>
      <w:tabs>
        <w:tab w:val="left" w:pos="1066"/>
      </w:tabs>
      <w:spacing w:before="240" w:after="240" w:line="240" w:lineRule="auto"/>
      <w:outlineLvl w:val="1"/>
    </w:pPr>
    <w:rPr>
      <w:rFonts w:ascii="Arial" w:eastAsia="Times New Roman" w:hAnsi="Arial" w:cs="Arial"/>
      <w:b/>
      <w:bCs/>
      <w:iCs/>
      <w:sz w:val="36"/>
      <w:szCs w:val="28"/>
      <w:lang w:eastAsia="en-US"/>
    </w:rPr>
  </w:style>
  <w:style w:type="paragraph" w:styleId="Heading3">
    <w:name w:val="heading 3"/>
    <w:basedOn w:val="Normal"/>
    <w:next w:val="Normal"/>
    <w:link w:val="Heading3Char"/>
    <w:autoRedefine/>
    <w:uiPriority w:val="99"/>
    <w:qFormat/>
    <w:rsid w:val="00B87C17"/>
    <w:pPr>
      <w:keepNext/>
      <w:tabs>
        <w:tab w:val="left" w:pos="0"/>
        <w:tab w:val="left" w:pos="1066"/>
      </w:tabs>
      <w:spacing w:before="240" w:after="240" w:line="240" w:lineRule="auto"/>
      <w:outlineLvl w:val="2"/>
    </w:pPr>
    <w:rPr>
      <w:rFonts w:ascii="Arial" w:eastAsia="Times New Roman" w:hAnsi="Arial" w:cs="Arial"/>
      <w:b/>
      <w:bCs/>
      <w:sz w:val="32"/>
      <w:szCs w:val="26"/>
      <w:lang w:eastAsia="en-US"/>
    </w:rPr>
  </w:style>
  <w:style w:type="paragraph" w:styleId="Heading4">
    <w:name w:val="heading 4"/>
    <w:basedOn w:val="Normal"/>
    <w:next w:val="Normal"/>
    <w:qFormat/>
    <w:rsid w:val="00B87C17"/>
    <w:pPr>
      <w:keepNext/>
      <w:tabs>
        <w:tab w:val="left" w:pos="1066"/>
      </w:tabs>
      <w:spacing w:before="60" w:after="120" w:line="240" w:lineRule="auto"/>
      <w:outlineLvl w:val="3"/>
    </w:pPr>
    <w:rPr>
      <w:rFonts w:ascii="Arial" w:eastAsia="Times New Roman" w:hAnsi="Arial" w:cs="Times New Roman"/>
      <w:b/>
      <w:bCs/>
      <w:sz w:val="28"/>
      <w:szCs w:val="28"/>
      <w:lang w:eastAsia="en-US"/>
    </w:rPr>
  </w:style>
  <w:style w:type="paragraph" w:styleId="Heading5">
    <w:name w:val="heading 5"/>
    <w:basedOn w:val="Normal"/>
    <w:next w:val="Normal"/>
    <w:qFormat/>
    <w:rsid w:val="00B87C17"/>
    <w:pPr>
      <w:tabs>
        <w:tab w:val="left" w:pos="1066"/>
      </w:tabs>
      <w:spacing w:before="60" w:after="120" w:line="240" w:lineRule="auto"/>
      <w:outlineLvl w:val="4"/>
    </w:pPr>
    <w:rPr>
      <w:rFonts w:ascii="Arial" w:eastAsia="Times New Roman" w:hAnsi="Arial" w:cs="Times New Roman"/>
      <w:b/>
      <w:bCs/>
      <w:i/>
      <w:iCs/>
      <w:sz w:val="26"/>
      <w:szCs w:val="26"/>
      <w:lang w:eastAsia="en-US"/>
    </w:rPr>
  </w:style>
  <w:style w:type="paragraph" w:styleId="Heading6">
    <w:name w:val="heading 6"/>
    <w:basedOn w:val="Normal"/>
    <w:next w:val="Normal"/>
    <w:qFormat/>
    <w:rsid w:val="00B87C17"/>
    <w:pPr>
      <w:tabs>
        <w:tab w:val="left" w:pos="1066"/>
      </w:tabs>
      <w:spacing w:before="60" w:after="120" w:line="240" w:lineRule="auto"/>
      <w:outlineLvl w:val="5"/>
    </w:pPr>
    <w:rPr>
      <w:rFonts w:ascii="Arial" w:eastAsia="Times New Roman" w:hAnsi="Arial" w:cs="Times New Roman"/>
      <w:b/>
      <w:bCs/>
      <w:sz w:val="24"/>
      <w:lang w:eastAsia="en-US"/>
    </w:rPr>
  </w:style>
  <w:style w:type="paragraph" w:styleId="Heading7">
    <w:name w:val="heading 7"/>
    <w:basedOn w:val="Normal"/>
    <w:next w:val="Normal"/>
    <w:qFormat/>
    <w:rsid w:val="000F2731"/>
    <w:pPr>
      <w:tabs>
        <w:tab w:val="left" w:pos="1066"/>
      </w:tabs>
      <w:spacing w:before="240" w:after="60" w:line="240" w:lineRule="auto"/>
      <w:outlineLvl w:val="6"/>
    </w:pPr>
    <w:rPr>
      <w:rFonts w:ascii="Arial" w:eastAsia="Times New Roman" w:hAnsi="Arial" w:cs="Times New Roman"/>
      <w:sz w:val="24"/>
      <w:szCs w:val="24"/>
      <w:lang w:eastAsia="en-US"/>
    </w:rPr>
  </w:style>
  <w:style w:type="paragraph" w:styleId="Heading8">
    <w:name w:val="heading 8"/>
    <w:basedOn w:val="Normal"/>
    <w:next w:val="Normal"/>
    <w:qFormat/>
    <w:rsid w:val="000F2731"/>
    <w:pPr>
      <w:tabs>
        <w:tab w:val="left" w:pos="1066"/>
      </w:tabs>
      <w:spacing w:before="240" w:after="60" w:line="240" w:lineRule="auto"/>
      <w:outlineLvl w:val="7"/>
    </w:pPr>
    <w:rPr>
      <w:rFonts w:ascii="Arial" w:eastAsia="Times New Roman" w:hAnsi="Arial" w:cs="Times New Roman"/>
      <w:i/>
      <w:iCs/>
      <w:sz w:val="24"/>
      <w:szCs w:val="24"/>
      <w:lang w:eastAsia="en-US"/>
    </w:rPr>
  </w:style>
  <w:style w:type="paragraph" w:styleId="Heading9">
    <w:name w:val="heading 9"/>
    <w:basedOn w:val="Normal"/>
    <w:next w:val="Normal"/>
    <w:qFormat/>
    <w:rsid w:val="000F2731"/>
    <w:pPr>
      <w:tabs>
        <w:tab w:val="left" w:pos="1066"/>
      </w:tabs>
      <w:spacing w:before="240" w:after="60" w:line="240" w:lineRule="auto"/>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pPr>
      <w:tabs>
        <w:tab w:val="left" w:pos="1066"/>
      </w:tabs>
      <w:spacing w:after="0" w:line="240" w:lineRule="auto"/>
    </w:pPr>
    <w:rPr>
      <w:rFonts w:ascii="Tahoma" w:eastAsia="Times New Roman" w:hAnsi="Tahoma" w:cs="Tahoma"/>
      <w:sz w:val="16"/>
      <w:szCs w:val="16"/>
      <w:lang w:eastAsia="en-US"/>
    </w:rPr>
  </w:style>
  <w:style w:type="paragraph" w:styleId="BodyText">
    <w:name w:val="Body Text"/>
    <w:basedOn w:val="Normal"/>
    <w:link w:val="BodyTextChar"/>
    <w:uiPriority w:val="99"/>
    <w:qFormat/>
    <w:rsid w:val="00B87C17"/>
    <w:pPr>
      <w:tabs>
        <w:tab w:val="left" w:pos="1066"/>
      </w:tabs>
      <w:spacing w:before="120" w:after="200" w:line="240" w:lineRule="auto"/>
    </w:pPr>
    <w:rPr>
      <w:rFonts w:ascii="Arial" w:eastAsia="Times New Roman" w:hAnsi="Arial" w:cs="Times New Roman"/>
      <w:sz w:val="24"/>
      <w:szCs w:val="24"/>
      <w:lang w:eastAsia="en-US"/>
    </w:rPr>
  </w:style>
  <w:style w:type="paragraph" w:styleId="CommentText">
    <w:name w:val="annotation text"/>
    <w:basedOn w:val="Normal"/>
    <w:semiHidden/>
    <w:rsid w:val="000F2731"/>
    <w:pPr>
      <w:tabs>
        <w:tab w:val="left" w:pos="1066"/>
      </w:tabs>
      <w:spacing w:after="0" w:line="240" w:lineRule="auto"/>
    </w:pPr>
    <w:rPr>
      <w:rFonts w:ascii="Arial" w:eastAsia="Times New Roman" w:hAnsi="Arial" w:cs="Times New Roman"/>
      <w:sz w:val="20"/>
      <w:szCs w:val="20"/>
      <w:lang w:eastAsia="en-US"/>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tabs>
        <w:tab w:val="left" w:pos="1066"/>
      </w:tabs>
      <w:spacing w:after="0" w:line="240" w:lineRule="auto"/>
    </w:pPr>
    <w:rPr>
      <w:rFonts w:ascii="Tahoma" w:eastAsia="Times New Roman" w:hAnsi="Tahoma" w:cs="Tahoma"/>
      <w:sz w:val="24"/>
      <w:szCs w:val="24"/>
      <w:lang w:eastAsia="en-US"/>
    </w:rPr>
  </w:style>
  <w:style w:type="paragraph" w:styleId="EndnoteText">
    <w:name w:val="endnote text"/>
    <w:basedOn w:val="Normal"/>
    <w:semiHidden/>
    <w:rsid w:val="000F2731"/>
    <w:pPr>
      <w:tabs>
        <w:tab w:val="left" w:pos="1066"/>
      </w:tabs>
      <w:spacing w:after="0" w:line="240" w:lineRule="auto"/>
    </w:pPr>
    <w:rPr>
      <w:rFonts w:ascii="Arial" w:eastAsia="Times New Roman" w:hAnsi="Arial" w:cs="Times New Roman"/>
      <w:sz w:val="20"/>
      <w:szCs w:val="20"/>
      <w:lang w:eastAsia="en-US"/>
    </w:rPr>
  </w:style>
  <w:style w:type="paragraph" w:styleId="FootnoteText">
    <w:name w:val="footnote text"/>
    <w:basedOn w:val="Normal"/>
    <w:semiHidden/>
    <w:rsid w:val="000F2731"/>
    <w:pPr>
      <w:tabs>
        <w:tab w:val="left" w:pos="1066"/>
      </w:tabs>
      <w:spacing w:after="0" w:line="240" w:lineRule="auto"/>
    </w:pPr>
    <w:rPr>
      <w:rFonts w:ascii="Arial" w:eastAsia="Times New Roman" w:hAnsi="Arial" w:cs="Times New Roman"/>
      <w:sz w:val="20"/>
      <w:szCs w:val="20"/>
      <w:lang w:eastAsia="en-US"/>
    </w:rPr>
  </w:style>
  <w:style w:type="paragraph" w:styleId="Index1">
    <w:name w:val="index 1"/>
    <w:basedOn w:val="Normal"/>
    <w:next w:val="Normal"/>
    <w:autoRedefine/>
    <w:semiHidden/>
    <w:rsid w:val="000F2731"/>
    <w:pPr>
      <w:spacing w:after="0" w:line="240" w:lineRule="auto"/>
      <w:ind w:left="240" w:hanging="240"/>
    </w:pPr>
    <w:rPr>
      <w:rFonts w:ascii="Arial" w:eastAsia="Times New Roman" w:hAnsi="Arial" w:cs="Times New Roman"/>
      <w:sz w:val="24"/>
      <w:szCs w:val="24"/>
      <w:lang w:eastAsia="en-US"/>
    </w:rPr>
  </w:style>
  <w:style w:type="paragraph" w:styleId="Index2">
    <w:name w:val="index 2"/>
    <w:basedOn w:val="Normal"/>
    <w:next w:val="Normal"/>
    <w:autoRedefine/>
    <w:semiHidden/>
    <w:rsid w:val="000F2731"/>
    <w:pPr>
      <w:spacing w:after="0" w:line="240" w:lineRule="auto"/>
      <w:ind w:left="480" w:hanging="240"/>
    </w:pPr>
    <w:rPr>
      <w:rFonts w:ascii="Arial" w:eastAsia="Times New Roman" w:hAnsi="Arial" w:cs="Times New Roman"/>
      <w:sz w:val="24"/>
      <w:szCs w:val="24"/>
      <w:lang w:eastAsia="en-US"/>
    </w:rPr>
  </w:style>
  <w:style w:type="paragraph" w:styleId="Index3">
    <w:name w:val="index 3"/>
    <w:basedOn w:val="Normal"/>
    <w:next w:val="Normal"/>
    <w:autoRedefine/>
    <w:semiHidden/>
    <w:rsid w:val="000F2731"/>
    <w:pPr>
      <w:spacing w:after="0" w:line="240" w:lineRule="auto"/>
      <w:ind w:left="720" w:hanging="240"/>
    </w:pPr>
    <w:rPr>
      <w:rFonts w:ascii="Arial" w:eastAsia="Times New Roman" w:hAnsi="Arial" w:cs="Times New Roman"/>
      <w:sz w:val="24"/>
      <w:szCs w:val="24"/>
      <w:lang w:eastAsia="en-US"/>
    </w:rPr>
  </w:style>
  <w:style w:type="paragraph" w:styleId="Index4">
    <w:name w:val="index 4"/>
    <w:basedOn w:val="Normal"/>
    <w:next w:val="Normal"/>
    <w:autoRedefine/>
    <w:semiHidden/>
    <w:rsid w:val="000F2731"/>
    <w:pPr>
      <w:spacing w:after="0" w:line="240" w:lineRule="auto"/>
      <w:ind w:left="960" w:hanging="240"/>
    </w:pPr>
    <w:rPr>
      <w:rFonts w:ascii="Arial" w:eastAsia="Times New Roman" w:hAnsi="Arial" w:cs="Times New Roman"/>
      <w:sz w:val="24"/>
      <w:szCs w:val="24"/>
      <w:lang w:eastAsia="en-US"/>
    </w:rPr>
  </w:style>
  <w:style w:type="paragraph" w:styleId="Index5">
    <w:name w:val="index 5"/>
    <w:basedOn w:val="Normal"/>
    <w:next w:val="Normal"/>
    <w:autoRedefine/>
    <w:semiHidden/>
    <w:rsid w:val="000F2731"/>
    <w:pPr>
      <w:spacing w:after="0" w:line="240" w:lineRule="auto"/>
      <w:ind w:left="1200" w:hanging="240"/>
    </w:pPr>
    <w:rPr>
      <w:rFonts w:ascii="Arial" w:eastAsia="Times New Roman" w:hAnsi="Arial" w:cs="Times New Roman"/>
      <w:sz w:val="24"/>
      <w:szCs w:val="24"/>
      <w:lang w:eastAsia="en-US"/>
    </w:rPr>
  </w:style>
  <w:style w:type="paragraph" w:styleId="Index6">
    <w:name w:val="index 6"/>
    <w:basedOn w:val="Normal"/>
    <w:next w:val="Normal"/>
    <w:autoRedefine/>
    <w:semiHidden/>
    <w:rsid w:val="000F2731"/>
    <w:pPr>
      <w:spacing w:after="0" w:line="240" w:lineRule="auto"/>
      <w:ind w:left="1440" w:hanging="240"/>
    </w:pPr>
    <w:rPr>
      <w:rFonts w:ascii="Arial" w:eastAsia="Times New Roman" w:hAnsi="Arial" w:cs="Times New Roman"/>
      <w:sz w:val="24"/>
      <w:szCs w:val="24"/>
      <w:lang w:eastAsia="en-US"/>
    </w:rPr>
  </w:style>
  <w:style w:type="paragraph" w:styleId="Index7">
    <w:name w:val="index 7"/>
    <w:basedOn w:val="Normal"/>
    <w:next w:val="Normal"/>
    <w:autoRedefine/>
    <w:semiHidden/>
    <w:rsid w:val="000F2731"/>
    <w:pPr>
      <w:spacing w:after="0" w:line="240" w:lineRule="auto"/>
      <w:ind w:left="1680" w:hanging="240"/>
    </w:pPr>
    <w:rPr>
      <w:rFonts w:ascii="Arial" w:eastAsia="Times New Roman" w:hAnsi="Arial" w:cs="Times New Roman"/>
      <w:sz w:val="24"/>
      <w:szCs w:val="24"/>
      <w:lang w:eastAsia="en-US"/>
    </w:rPr>
  </w:style>
  <w:style w:type="paragraph" w:styleId="Index8">
    <w:name w:val="index 8"/>
    <w:basedOn w:val="Normal"/>
    <w:next w:val="Normal"/>
    <w:autoRedefine/>
    <w:semiHidden/>
    <w:rsid w:val="000F2731"/>
    <w:pPr>
      <w:spacing w:after="0" w:line="240" w:lineRule="auto"/>
      <w:ind w:left="1920" w:hanging="240"/>
    </w:pPr>
    <w:rPr>
      <w:rFonts w:ascii="Arial" w:eastAsia="Times New Roman" w:hAnsi="Arial" w:cs="Times New Roman"/>
      <w:sz w:val="24"/>
      <w:szCs w:val="24"/>
      <w:lang w:eastAsia="en-US"/>
    </w:rPr>
  </w:style>
  <w:style w:type="paragraph" w:styleId="Index9">
    <w:name w:val="index 9"/>
    <w:basedOn w:val="Normal"/>
    <w:next w:val="Normal"/>
    <w:autoRedefine/>
    <w:semiHidden/>
    <w:rsid w:val="000F2731"/>
    <w:pPr>
      <w:spacing w:after="0" w:line="240" w:lineRule="auto"/>
      <w:ind w:left="2160" w:hanging="240"/>
    </w:pPr>
    <w:rPr>
      <w:rFonts w:ascii="Arial" w:eastAsia="Times New Roman" w:hAnsi="Arial" w:cs="Times New Roman"/>
      <w:sz w:val="24"/>
      <w:szCs w:val="24"/>
      <w:lang w:eastAsia="en-US"/>
    </w:rPr>
  </w:style>
  <w:style w:type="paragraph" w:styleId="IndexHeading">
    <w:name w:val="index heading"/>
    <w:basedOn w:val="Normal"/>
    <w:next w:val="Index1"/>
    <w:semiHidden/>
    <w:rsid w:val="000F2731"/>
    <w:pPr>
      <w:tabs>
        <w:tab w:val="left" w:pos="1066"/>
      </w:tabs>
      <w:spacing w:after="0" w:line="240" w:lineRule="auto"/>
    </w:pPr>
    <w:rPr>
      <w:rFonts w:ascii="Arial" w:eastAsia="Times New Roman" w:hAnsi="Arial" w:cs="Arial"/>
      <w:b/>
      <w:bCs/>
      <w:sz w:val="24"/>
      <w:szCs w:val="24"/>
      <w:lang w:eastAsia="en-US"/>
    </w:rPr>
  </w:style>
  <w:style w:type="paragraph" w:styleId="ListBullet">
    <w:name w:val="List Bullet"/>
    <w:basedOn w:val="Normal"/>
    <w:autoRedefine/>
    <w:qFormat/>
    <w:rsid w:val="0056258E"/>
    <w:pPr>
      <w:numPr>
        <w:numId w:val="1"/>
      </w:numPr>
      <w:tabs>
        <w:tab w:val="left" w:pos="1066"/>
      </w:tabs>
      <w:spacing w:after="120" w:line="240" w:lineRule="auto"/>
      <w:ind w:left="357" w:hanging="357"/>
    </w:pPr>
    <w:rPr>
      <w:rFonts w:ascii="Arial" w:eastAsia="Times New Roman" w:hAnsi="Arial" w:cs="Times New Roman"/>
      <w:sz w:val="24"/>
      <w:szCs w:val="24"/>
      <w:lang w:eastAsia="en-US"/>
    </w:rPr>
  </w:style>
  <w:style w:type="paragraph" w:styleId="ListBullet2">
    <w:name w:val="List Bullet 2"/>
    <w:basedOn w:val="Normal"/>
    <w:autoRedefine/>
    <w:qFormat/>
    <w:rsid w:val="003E0728"/>
    <w:pPr>
      <w:numPr>
        <w:numId w:val="2"/>
      </w:numPr>
      <w:tabs>
        <w:tab w:val="left" w:pos="1066"/>
      </w:tabs>
      <w:spacing w:after="120" w:line="240" w:lineRule="auto"/>
    </w:pPr>
    <w:rPr>
      <w:rFonts w:ascii="Arial" w:eastAsia="Times New Roman" w:hAnsi="Arial" w:cs="Times New Roman"/>
      <w:sz w:val="24"/>
      <w:szCs w:val="24"/>
      <w:lang w:eastAsia="en-US"/>
    </w:rPr>
  </w:style>
  <w:style w:type="paragraph" w:styleId="ListBullet3">
    <w:name w:val="List Bullet 3"/>
    <w:basedOn w:val="Normal"/>
    <w:autoRedefine/>
    <w:rsid w:val="000F2731"/>
    <w:pPr>
      <w:numPr>
        <w:numId w:val="3"/>
      </w:numPr>
      <w:spacing w:after="0" w:line="240" w:lineRule="auto"/>
    </w:pPr>
    <w:rPr>
      <w:rFonts w:ascii="Arial" w:eastAsia="Times New Roman" w:hAnsi="Arial" w:cs="Times New Roman"/>
      <w:sz w:val="24"/>
      <w:szCs w:val="24"/>
      <w:lang w:eastAsia="en-US"/>
    </w:rPr>
  </w:style>
  <w:style w:type="paragraph" w:styleId="ListNumber">
    <w:name w:val="List Number"/>
    <w:basedOn w:val="Normal"/>
    <w:qFormat/>
    <w:rsid w:val="00B87C17"/>
    <w:pPr>
      <w:numPr>
        <w:numId w:val="6"/>
      </w:numPr>
      <w:tabs>
        <w:tab w:val="left" w:pos="1066"/>
      </w:tabs>
      <w:spacing w:after="120" w:line="240" w:lineRule="auto"/>
      <w:ind w:left="357" w:hanging="357"/>
    </w:pPr>
    <w:rPr>
      <w:rFonts w:ascii="Arial" w:eastAsia="Times New Roman" w:hAnsi="Arial" w:cs="Times New Roman"/>
      <w:sz w:val="24"/>
      <w:szCs w:val="24"/>
      <w:lang w:eastAsia="en-US"/>
    </w:rPr>
  </w:style>
  <w:style w:type="paragraph" w:styleId="ListNumber2">
    <w:name w:val="List Number 2"/>
    <w:basedOn w:val="Normal"/>
    <w:qFormat/>
    <w:rsid w:val="00B87C17"/>
    <w:pPr>
      <w:numPr>
        <w:numId w:val="7"/>
      </w:numPr>
      <w:tabs>
        <w:tab w:val="left" w:pos="1066"/>
      </w:tabs>
      <w:spacing w:after="120" w:line="240" w:lineRule="auto"/>
      <w:ind w:left="714" w:hanging="357"/>
    </w:pPr>
    <w:rPr>
      <w:rFonts w:ascii="Arial" w:eastAsia="Times New Roman" w:hAnsi="Arial" w:cs="Times New Roman"/>
      <w:sz w:val="24"/>
      <w:szCs w:val="24"/>
      <w:lang w:eastAsia="en-US"/>
    </w:r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spacing w:after="0" w:line="240" w:lineRule="auto"/>
      <w:ind w:left="240" w:hanging="240"/>
    </w:pPr>
    <w:rPr>
      <w:rFonts w:ascii="Arial" w:eastAsia="Times New Roman" w:hAnsi="Arial" w:cs="Times New Roman"/>
      <w:sz w:val="24"/>
      <w:szCs w:val="24"/>
      <w:lang w:eastAsia="en-US"/>
    </w:rPr>
  </w:style>
  <w:style w:type="paragraph" w:styleId="TableofFigures">
    <w:name w:val="table of figures"/>
    <w:basedOn w:val="Normal"/>
    <w:next w:val="Normal"/>
    <w:semiHidden/>
    <w:rsid w:val="000F2731"/>
    <w:pPr>
      <w:spacing w:after="0" w:line="240" w:lineRule="auto"/>
      <w:ind w:left="480" w:hanging="480"/>
    </w:pPr>
    <w:rPr>
      <w:rFonts w:ascii="Arial" w:eastAsia="Times New Roman" w:hAnsi="Arial" w:cs="Times New Roman"/>
      <w:sz w:val="24"/>
      <w:szCs w:val="24"/>
      <w:lang w:eastAsia="en-US"/>
    </w:rPr>
  </w:style>
  <w:style w:type="paragraph" w:styleId="TOAHeading">
    <w:name w:val="toa heading"/>
    <w:basedOn w:val="Normal"/>
    <w:next w:val="Normal"/>
    <w:semiHidden/>
    <w:rsid w:val="000F2731"/>
    <w:pPr>
      <w:tabs>
        <w:tab w:val="left" w:pos="1066"/>
      </w:tabs>
      <w:spacing w:before="120" w:after="0" w:line="240" w:lineRule="auto"/>
    </w:pPr>
    <w:rPr>
      <w:rFonts w:ascii="Arial" w:eastAsia="Times New Roman" w:hAnsi="Arial" w:cs="Arial"/>
      <w:b/>
      <w:bCs/>
      <w:sz w:val="24"/>
      <w:szCs w:val="24"/>
      <w:lang w:eastAsia="en-US"/>
    </w:rPr>
  </w:style>
  <w:style w:type="paragraph" w:styleId="TOC1">
    <w:name w:val="toc 1"/>
    <w:basedOn w:val="Normal"/>
    <w:next w:val="Normal"/>
    <w:autoRedefine/>
    <w:semiHidden/>
    <w:rsid w:val="000F2731"/>
    <w:pPr>
      <w:spacing w:after="0" w:line="240" w:lineRule="auto"/>
    </w:pPr>
    <w:rPr>
      <w:rFonts w:ascii="Arial" w:eastAsia="Times New Roman" w:hAnsi="Arial" w:cs="Times New Roman"/>
      <w:sz w:val="24"/>
      <w:szCs w:val="24"/>
      <w:lang w:eastAsia="en-US"/>
    </w:rPr>
  </w:style>
  <w:style w:type="paragraph" w:styleId="TOC2">
    <w:name w:val="toc 2"/>
    <w:basedOn w:val="Normal"/>
    <w:next w:val="Normal"/>
    <w:autoRedefine/>
    <w:semiHidden/>
    <w:rsid w:val="000F2731"/>
    <w:pPr>
      <w:spacing w:after="0" w:line="240" w:lineRule="auto"/>
      <w:ind w:left="240"/>
    </w:pPr>
    <w:rPr>
      <w:rFonts w:ascii="Arial" w:eastAsia="Times New Roman" w:hAnsi="Arial" w:cs="Times New Roman"/>
      <w:sz w:val="24"/>
      <w:szCs w:val="24"/>
      <w:lang w:eastAsia="en-US"/>
    </w:rPr>
  </w:style>
  <w:style w:type="paragraph" w:styleId="TOC3">
    <w:name w:val="toc 3"/>
    <w:basedOn w:val="Normal"/>
    <w:next w:val="Normal"/>
    <w:autoRedefine/>
    <w:semiHidden/>
    <w:rsid w:val="000F2731"/>
    <w:pPr>
      <w:spacing w:after="0" w:line="240" w:lineRule="auto"/>
      <w:ind w:left="480"/>
    </w:pPr>
    <w:rPr>
      <w:rFonts w:ascii="Arial" w:eastAsia="Times New Roman" w:hAnsi="Arial" w:cs="Times New Roman"/>
      <w:sz w:val="24"/>
      <w:szCs w:val="24"/>
      <w:lang w:eastAsia="en-US"/>
    </w:rPr>
  </w:style>
  <w:style w:type="paragraph" w:styleId="TOC4">
    <w:name w:val="toc 4"/>
    <w:basedOn w:val="Normal"/>
    <w:next w:val="Normal"/>
    <w:autoRedefine/>
    <w:semiHidden/>
    <w:rsid w:val="000F2731"/>
    <w:pPr>
      <w:spacing w:after="0" w:line="240" w:lineRule="auto"/>
      <w:ind w:left="720"/>
    </w:pPr>
    <w:rPr>
      <w:rFonts w:ascii="Arial" w:eastAsia="Times New Roman" w:hAnsi="Arial" w:cs="Times New Roman"/>
      <w:sz w:val="24"/>
      <w:szCs w:val="24"/>
      <w:lang w:eastAsia="en-US"/>
    </w:rPr>
  </w:style>
  <w:style w:type="paragraph" w:styleId="TOC5">
    <w:name w:val="toc 5"/>
    <w:basedOn w:val="Normal"/>
    <w:next w:val="Normal"/>
    <w:autoRedefine/>
    <w:semiHidden/>
    <w:rsid w:val="000F2731"/>
    <w:pPr>
      <w:spacing w:after="0" w:line="240" w:lineRule="auto"/>
      <w:ind w:left="960"/>
    </w:pPr>
    <w:rPr>
      <w:rFonts w:ascii="Arial" w:eastAsia="Times New Roman" w:hAnsi="Arial" w:cs="Times New Roman"/>
      <w:sz w:val="24"/>
      <w:szCs w:val="24"/>
      <w:lang w:eastAsia="en-US"/>
    </w:rPr>
  </w:style>
  <w:style w:type="paragraph" w:styleId="TOC6">
    <w:name w:val="toc 6"/>
    <w:basedOn w:val="Normal"/>
    <w:next w:val="Normal"/>
    <w:autoRedefine/>
    <w:semiHidden/>
    <w:rsid w:val="000F2731"/>
    <w:pPr>
      <w:spacing w:after="0" w:line="240" w:lineRule="auto"/>
      <w:ind w:left="1200"/>
    </w:pPr>
    <w:rPr>
      <w:rFonts w:ascii="Arial" w:eastAsia="Times New Roman" w:hAnsi="Arial" w:cs="Times New Roman"/>
      <w:sz w:val="24"/>
      <w:szCs w:val="24"/>
      <w:lang w:eastAsia="en-US"/>
    </w:rPr>
  </w:style>
  <w:style w:type="paragraph" w:styleId="TOC7">
    <w:name w:val="toc 7"/>
    <w:basedOn w:val="Normal"/>
    <w:next w:val="Normal"/>
    <w:autoRedefine/>
    <w:semiHidden/>
    <w:rsid w:val="000F2731"/>
    <w:pPr>
      <w:spacing w:after="0" w:line="240" w:lineRule="auto"/>
      <w:ind w:left="1440"/>
    </w:pPr>
    <w:rPr>
      <w:rFonts w:ascii="Arial" w:eastAsia="Times New Roman" w:hAnsi="Arial" w:cs="Times New Roman"/>
      <w:sz w:val="24"/>
      <w:szCs w:val="24"/>
      <w:lang w:eastAsia="en-US"/>
    </w:rPr>
  </w:style>
  <w:style w:type="paragraph" w:styleId="TOC8">
    <w:name w:val="toc 8"/>
    <w:basedOn w:val="Normal"/>
    <w:next w:val="Normal"/>
    <w:autoRedefine/>
    <w:semiHidden/>
    <w:rsid w:val="000F2731"/>
    <w:pPr>
      <w:spacing w:after="0" w:line="240" w:lineRule="auto"/>
      <w:ind w:left="1680"/>
    </w:pPr>
    <w:rPr>
      <w:rFonts w:ascii="Arial" w:eastAsia="Times New Roman" w:hAnsi="Arial" w:cs="Times New Roman"/>
      <w:sz w:val="24"/>
      <w:szCs w:val="24"/>
      <w:lang w:eastAsia="en-US"/>
    </w:rPr>
  </w:style>
  <w:style w:type="paragraph" w:styleId="TOC9">
    <w:name w:val="toc 9"/>
    <w:basedOn w:val="Normal"/>
    <w:next w:val="Normal"/>
    <w:autoRedefine/>
    <w:semiHidden/>
    <w:rsid w:val="000F2731"/>
    <w:pPr>
      <w:spacing w:after="0" w:line="240" w:lineRule="auto"/>
      <w:ind w:left="1920"/>
    </w:pPr>
    <w:rPr>
      <w:rFonts w:ascii="Arial" w:eastAsia="Times New Roman" w:hAnsi="Arial" w:cs="Times New Roman"/>
      <w:sz w:val="24"/>
      <w:szCs w:val="24"/>
      <w:lang w:eastAsia="en-US"/>
    </w:r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NoParagraphStyle">
    <w:name w:val="[No Paragraph Style]"/>
    <w:rsid w:val="002918EC"/>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character" w:customStyle="1" w:styleId="Heading1Char">
    <w:name w:val="Heading 1 Char"/>
    <w:basedOn w:val="DefaultParagraphFont"/>
    <w:link w:val="Heading1"/>
    <w:uiPriority w:val="99"/>
    <w:rsid w:val="0056258E"/>
    <w:rPr>
      <w:rFonts w:ascii="Arial" w:hAnsi="Arial" w:cs="Arial"/>
      <w:b/>
      <w:bCs/>
      <w:kern w:val="32"/>
      <w:sz w:val="44"/>
      <w:szCs w:val="32"/>
      <w:lang w:eastAsia="en-US"/>
    </w:rPr>
  </w:style>
  <w:style w:type="paragraph" w:customStyle="1" w:styleId="Intropara">
    <w:name w:val="Intro para"/>
    <w:basedOn w:val="NoParagraphStyle"/>
    <w:uiPriority w:val="99"/>
    <w:rsid w:val="002918EC"/>
    <w:pPr>
      <w:pBdr>
        <w:top w:val="single" w:sz="6" w:space="28" w:color="000000"/>
        <w:bottom w:val="single" w:sz="6" w:space="14" w:color="000000"/>
      </w:pBdr>
      <w:suppressAutoHyphens/>
      <w:spacing w:after="567"/>
    </w:pPr>
    <w:rPr>
      <w:rFonts w:ascii="Roboto-Regular" w:hAnsi="Roboto-Regular" w:cs="Roboto-Regular"/>
      <w:sz w:val="32"/>
      <w:szCs w:val="32"/>
    </w:rPr>
  </w:style>
  <w:style w:type="character" w:customStyle="1" w:styleId="BodyTextChar">
    <w:name w:val="Body Text Char"/>
    <w:basedOn w:val="DefaultParagraphFont"/>
    <w:link w:val="BodyText"/>
    <w:uiPriority w:val="99"/>
    <w:rsid w:val="002918EC"/>
    <w:rPr>
      <w:rFonts w:ascii="Arial" w:hAnsi="Arial"/>
      <w:sz w:val="24"/>
      <w:szCs w:val="24"/>
      <w:lang w:eastAsia="en-US"/>
    </w:rPr>
  </w:style>
  <w:style w:type="character" w:customStyle="1" w:styleId="Heading2Char">
    <w:name w:val="Heading 2 Char"/>
    <w:basedOn w:val="DefaultParagraphFont"/>
    <w:link w:val="Heading2"/>
    <w:uiPriority w:val="99"/>
    <w:rsid w:val="002918EC"/>
    <w:rPr>
      <w:rFonts w:ascii="Arial" w:hAnsi="Arial" w:cs="Arial"/>
      <w:b/>
      <w:bCs/>
      <w:iCs/>
      <w:sz w:val="36"/>
      <w:szCs w:val="28"/>
      <w:lang w:eastAsia="en-US"/>
    </w:rPr>
  </w:style>
  <w:style w:type="paragraph" w:customStyle="1" w:styleId="Bullet">
    <w:name w:val="Bullet"/>
    <w:basedOn w:val="BodyText"/>
    <w:uiPriority w:val="99"/>
    <w:rsid w:val="002918EC"/>
    <w:pPr>
      <w:widowControl w:val="0"/>
      <w:tabs>
        <w:tab w:val="clear" w:pos="1066"/>
      </w:tabs>
      <w:suppressAutoHyphens/>
      <w:autoSpaceDE w:val="0"/>
      <w:autoSpaceDN w:val="0"/>
      <w:adjustRightInd w:val="0"/>
      <w:spacing w:before="0" w:after="57" w:line="288" w:lineRule="auto"/>
      <w:ind w:left="283" w:hanging="283"/>
      <w:textAlignment w:val="center"/>
    </w:pPr>
    <w:rPr>
      <w:rFonts w:ascii="Roboto-Regular" w:eastAsiaTheme="minorEastAsia" w:hAnsi="Roboto-Regular" w:cs="Roboto-Regular"/>
      <w:color w:val="000000"/>
      <w:sz w:val="20"/>
      <w:szCs w:val="20"/>
      <w:lang w:val="en-GB" w:eastAsia="en-AU"/>
    </w:rPr>
  </w:style>
  <w:style w:type="character" w:customStyle="1" w:styleId="Heading3Char">
    <w:name w:val="Heading 3 Char"/>
    <w:basedOn w:val="DefaultParagraphFont"/>
    <w:link w:val="Heading3"/>
    <w:uiPriority w:val="99"/>
    <w:rsid w:val="002918EC"/>
    <w:rPr>
      <w:rFonts w:ascii="Arial" w:hAnsi="Arial" w:cs="Arial"/>
      <w:b/>
      <w:bCs/>
      <w:sz w:val="32"/>
      <w:szCs w:val="26"/>
      <w:lang w:eastAsia="en-US"/>
    </w:rPr>
  </w:style>
  <w:style w:type="character" w:customStyle="1" w:styleId="01Bodyitalics">
    <w:name w:val="01 Body italics"/>
    <w:uiPriority w:val="99"/>
    <w:rsid w:val="002918EC"/>
    <w:rPr>
      <w:i/>
      <w:iCs/>
      <w:color w:val="000000"/>
      <w:u w:val="none"/>
      <w:vertAlign w:val="baseline"/>
    </w:rPr>
  </w:style>
  <w:style w:type="character" w:customStyle="1" w:styleId="01Bodybold">
    <w:name w:val="01 Body bold"/>
    <w:uiPriority w:val="99"/>
    <w:rsid w:val="002918EC"/>
    <w:rPr>
      <w:b/>
      <w:bCs/>
      <w:color w:val="000000"/>
      <w:u w:val="none"/>
      <w:vertAlign w:val="baseline"/>
    </w:rPr>
  </w:style>
  <w:style w:type="paragraph" w:customStyle="1" w:styleId="Footnotedisclaimer">
    <w:name w:val="Footnote/disclaimer"/>
    <w:basedOn w:val="NoParagraphStyle"/>
    <w:uiPriority w:val="99"/>
    <w:rsid w:val="002918EC"/>
    <w:pPr>
      <w:widowControl/>
      <w:tabs>
        <w:tab w:val="left" w:pos="170"/>
      </w:tabs>
      <w:suppressAutoHyphens/>
      <w:spacing w:line="180" w:lineRule="atLeast"/>
    </w:pPr>
    <w:rPr>
      <w:rFonts w:ascii="Roboto Regular" w:hAnsi="Roboto Regular" w:cs="Roboto Regular"/>
      <w:spacing w:val="-1"/>
      <w:sz w:val="14"/>
      <w:szCs w:val="14"/>
    </w:rPr>
  </w:style>
  <w:style w:type="paragraph" w:styleId="Header">
    <w:name w:val="header"/>
    <w:basedOn w:val="Normal"/>
    <w:link w:val="HeaderChar"/>
    <w:uiPriority w:val="99"/>
    <w:unhideWhenUsed/>
    <w:rsid w:val="003D4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46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3D4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464"/>
    <w:rPr>
      <w:rFonts w:asciiTheme="minorHAnsi" w:eastAsiaTheme="minorEastAsia" w:hAnsiTheme="minorHAnsi" w:cstheme="minorBidi"/>
      <w:sz w:val="22"/>
      <w:szCs w:val="22"/>
    </w:rPr>
  </w:style>
  <w:style w:type="paragraph" w:customStyle="1" w:styleId="Bulletlast">
    <w:name w:val="Bullet last"/>
    <w:basedOn w:val="Bullet"/>
    <w:uiPriority w:val="99"/>
    <w:rsid w:val="000943DD"/>
    <w:pPr>
      <w:spacing w:after="170"/>
    </w:pPr>
  </w:style>
  <w:style w:type="paragraph" w:customStyle="1" w:styleId="06TableHeading">
    <w:name w:val="06 Table Heading"/>
    <w:basedOn w:val="Heading2"/>
    <w:uiPriority w:val="99"/>
    <w:rsid w:val="000943DD"/>
    <w:pPr>
      <w:keepNext w:val="0"/>
      <w:widowControl w:val="0"/>
      <w:tabs>
        <w:tab w:val="clear" w:pos="1066"/>
      </w:tabs>
      <w:suppressAutoHyphens/>
      <w:autoSpaceDE w:val="0"/>
      <w:autoSpaceDN w:val="0"/>
      <w:adjustRightInd w:val="0"/>
      <w:spacing w:before="113" w:after="113" w:line="240" w:lineRule="atLeast"/>
      <w:textAlignment w:val="center"/>
      <w:outlineLvl w:val="9"/>
    </w:pPr>
    <w:rPr>
      <w:rFonts w:ascii="Roboto-Bold" w:eastAsiaTheme="minorEastAsia" w:hAnsi="Roboto-Bold" w:cs="Roboto-Bold"/>
      <w:iCs w:val="0"/>
      <w:caps/>
      <w:color w:val="000000"/>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3111</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Healthcare Identifiers Service Annual Report 19-20</vt:lpstr>
    </vt:vector>
  </TitlesOfParts>
  <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Identifiers Service Annual Report 19-20</dc:title>
  <dc:subject/>
  <dc:creator>Services Australia</dc:creator>
  <cp:keywords>8101.2010</cp:keywords>
  <dc:description/>
  <cp:lastModifiedBy/>
  <cp:revision>1</cp:revision>
  <dcterms:created xsi:type="dcterms:W3CDTF">2020-08-28T05:48:00Z</dcterms:created>
  <dcterms:modified xsi:type="dcterms:W3CDTF">2020-08-28T05:49:00Z</dcterms:modified>
</cp:coreProperties>
</file>