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F8A1" w14:textId="287B8E35" w:rsidR="00683B89" w:rsidRDefault="00EE67E4" w:rsidP="00EE67E4">
      <w:pPr>
        <w:pStyle w:val="Title"/>
      </w:pPr>
      <w:bookmarkStart w:id="0" w:name="_Toc142718988"/>
      <w:r w:rsidRPr="00EE67E4">
        <w:t>Budget</w:t>
      </w:r>
      <w:r>
        <w:t xml:space="preserve"> 202</w:t>
      </w:r>
      <w:r w:rsidR="00E623E6">
        <w:t>6</w:t>
      </w:r>
      <w:r w:rsidR="00397256">
        <w:t>-</w:t>
      </w:r>
      <w:r>
        <w:t>2</w:t>
      </w:r>
      <w:r w:rsidR="00E623E6">
        <w:t>7</w:t>
      </w:r>
    </w:p>
    <w:p w14:paraId="169DA289" w14:textId="380FC784" w:rsidR="00EE67E4" w:rsidRPr="00EE67E4" w:rsidRDefault="00EE67E4" w:rsidP="00EE67E4">
      <w:pPr>
        <w:pStyle w:val="DHSBodytext"/>
        <w:rPr>
          <w:rFonts w:asciiTheme="minorHAnsi" w:hAnsiTheme="minorHAnsi"/>
          <w:sz w:val="20"/>
          <w:szCs w:val="20"/>
        </w:rPr>
      </w:pPr>
      <w:r w:rsidRPr="00EE67E4">
        <w:rPr>
          <w:rFonts w:asciiTheme="minorHAnsi" w:hAnsiTheme="minorHAnsi"/>
          <w:sz w:val="20"/>
          <w:szCs w:val="20"/>
        </w:rPr>
        <w:t xml:space="preserve">This information is accurate as of </w:t>
      </w:r>
      <w:r w:rsidR="00E623E6">
        <w:rPr>
          <w:rFonts w:asciiTheme="minorHAnsi" w:hAnsiTheme="minorHAnsi"/>
          <w:sz w:val="20"/>
          <w:szCs w:val="20"/>
        </w:rPr>
        <w:t>12 May</w:t>
      </w:r>
      <w:r w:rsidRPr="00EE67E4">
        <w:rPr>
          <w:rFonts w:asciiTheme="minorHAnsi" w:hAnsiTheme="minorHAnsi"/>
          <w:sz w:val="20"/>
          <w:szCs w:val="20"/>
        </w:rPr>
        <w:t xml:space="preserve"> 202</w:t>
      </w:r>
      <w:r w:rsidR="00E623E6">
        <w:rPr>
          <w:rFonts w:asciiTheme="minorHAnsi" w:hAnsiTheme="minorHAnsi"/>
          <w:sz w:val="20"/>
          <w:szCs w:val="20"/>
        </w:rPr>
        <w:t>6</w:t>
      </w:r>
      <w:r w:rsidRPr="00EE67E4">
        <w:rPr>
          <w:rFonts w:asciiTheme="minorHAnsi" w:hAnsiTheme="minorHAnsi"/>
          <w:sz w:val="20"/>
          <w:szCs w:val="20"/>
        </w:rPr>
        <w:t>.</w:t>
      </w:r>
    </w:p>
    <w:p w14:paraId="2EBBFA3F" w14:textId="5487F452" w:rsidR="00DE20C6" w:rsidRDefault="00DE20C6" w:rsidP="00DE20C6">
      <w:pPr>
        <w:pStyle w:val="Heading1"/>
      </w:pPr>
      <w:r>
        <w:t xml:space="preserve">Services Australia – </w:t>
      </w:r>
      <w:r w:rsidR="00FB1AA8">
        <w:t>additional resourcing</w:t>
      </w:r>
    </w:p>
    <w:p w14:paraId="47FE89DE" w14:textId="45AB2169" w:rsidR="00FB1AA8" w:rsidRDefault="00EE67E4" w:rsidP="00867E8B">
      <w:pPr>
        <w:pStyle w:val="BodyText"/>
        <w:rPr>
          <w:rFonts w:asciiTheme="majorHAnsi" w:hAnsiTheme="majorHAnsi"/>
          <w:b/>
          <w:bCs/>
          <w:sz w:val="24"/>
          <w:szCs w:val="24"/>
        </w:rPr>
      </w:pPr>
      <w:r w:rsidRPr="00F85C8F">
        <w:t xml:space="preserve">CATEGORY: </w:t>
      </w:r>
      <w:r w:rsidR="001B408E">
        <w:t>Services Australia</w:t>
      </w:r>
    </w:p>
    <w:p w14:paraId="403E1CF2" w14:textId="63287788" w:rsidR="00A31770" w:rsidRPr="002B3DAC" w:rsidRDefault="001B408E" w:rsidP="00E45A93">
      <w:pPr>
        <w:pStyle w:val="BodyText"/>
        <w:tabs>
          <w:tab w:val="left" w:pos="1985"/>
        </w:tabs>
        <w:rPr>
          <w:rFonts w:asciiTheme="majorHAnsi" w:hAnsiTheme="majorHAnsi"/>
          <w:b/>
          <w:bCs/>
          <w:sz w:val="32"/>
          <w:szCs w:val="32"/>
        </w:rPr>
      </w:pPr>
      <w:r w:rsidRPr="002B3DAC">
        <w:rPr>
          <w:rFonts w:asciiTheme="majorHAnsi" w:hAnsiTheme="majorHAnsi"/>
          <w:b/>
          <w:bCs/>
          <w:sz w:val="32"/>
          <w:szCs w:val="32"/>
        </w:rPr>
        <w:t>Maintaining</w:t>
      </w:r>
      <w:r w:rsidR="004A7206" w:rsidRPr="002B3DAC">
        <w:rPr>
          <w:rFonts w:asciiTheme="majorHAnsi" w:hAnsiTheme="majorHAnsi"/>
          <w:b/>
          <w:bCs/>
          <w:sz w:val="32"/>
          <w:szCs w:val="32"/>
        </w:rPr>
        <w:t xml:space="preserve"> </w:t>
      </w:r>
      <w:r w:rsidR="00FB1AA8" w:rsidRPr="002B3DAC">
        <w:rPr>
          <w:rFonts w:asciiTheme="majorHAnsi" w:hAnsiTheme="majorHAnsi"/>
          <w:b/>
          <w:bCs/>
          <w:sz w:val="32"/>
          <w:szCs w:val="32"/>
        </w:rPr>
        <w:t>service delivery</w:t>
      </w:r>
    </w:p>
    <w:p w14:paraId="4266356F" w14:textId="512D8858" w:rsidR="0070497A" w:rsidRPr="00E26872" w:rsidRDefault="00D32D7B" w:rsidP="00E26872">
      <w:pPr>
        <w:autoSpaceDE w:val="0"/>
        <w:autoSpaceDN w:val="0"/>
        <w:adjustRightInd w:val="0"/>
        <w:spacing w:after="0"/>
        <w:rPr>
          <w:rFonts w:ascii="ArialMT" w:eastAsiaTheme="minorHAnsi" w:hAnsi="ArialMT" w:cs="ArialMT"/>
          <w:sz w:val="18"/>
          <w:szCs w:val="18"/>
          <w:lang w:eastAsia="en-US"/>
        </w:rPr>
      </w:pPr>
      <w:r>
        <w:t>Services Australia will get $1</w:t>
      </w:r>
      <w:r w:rsidR="00F71E85">
        <w:t>.</w:t>
      </w:r>
      <w:r>
        <w:t xml:space="preserve">7 </w:t>
      </w:r>
      <w:r w:rsidR="00F71E85">
        <w:t>billion</w:t>
      </w:r>
      <w:r>
        <w:t xml:space="preserve"> over 2 financial years</w:t>
      </w:r>
      <w:r w:rsidR="0070497A">
        <w:t>,</w:t>
      </w:r>
      <w:r>
        <w:t xml:space="preserve"> </w:t>
      </w:r>
      <w:r w:rsidR="0070497A" w:rsidRPr="00514333">
        <w:t>with $892 million in 2026</w:t>
      </w:r>
      <w:r w:rsidR="00397256">
        <w:t>-</w:t>
      </w:r>
      <w:r w:rsidR="0070497A" w:rsidRPr="00514333">
        <w:t>27 and $854.</w:t>
      </w:r>
      <w:r w:rsidR="00F71E85" w:rsidRPr="00514333">
        <w:t>4</w:t>
      </w:r>
      <w:r w:rsidR="00397256">
        <w:t xml:space="preserve"> </w:t>
      </w:r>
      <w:r w:rsidR="0070497A" w:rsidRPr="00514333">
        <w:t>million in 2027</w:t>
      </w:r>
      <w:r w:rsidR="00397256">
        <w:t>-</w:t>
      </w:r>
      <w:r w:rsidR="0070497A" w:rsidRPr="00514333">
        <w:t>28</w:t>
      </w:r>
      <w:r w:rsidR="0070497A">
        <w:rPr>
          <w:rFonts w:ascii="ArialMT" w:eastAsiaTheme="minorHAnsi" w:hAnsi="ArialMT" w:cs="ArialMT"/>
          <w:sz w:val="18"/>
          <w:szCs w:val="18"/>
          <w:lang w:eastAsia="en-US"/>
        </w:rPr>
        <w:t xml:space="preserve"> to:</w:t>
      </w:r>
    </w:p>
    <w:p w14:paraId="09F73875" w14:textId="65C84AB3" w:rsidR="00D32D7B" w:rsidRPr="00867E8B" w:rsidRDefault="00FB1AA8" w:rsidP="00E269D2">
      <w:pPr>
        <w:pStyle w:val="BodyText"/>
        <w:numPr>
          <w:ilvl w:val="0"/>
          <w:numId w:val="19"/>
        </w:numPr>
        <w:spacing w:before="120"/>
        <w:ind w:left="714" w:hanging="357"/>
        <w:rPr>
          <w:color w:val="000000" w:themeColor="text1"/>
        </w:rPr>
      </w:pPr>
      <w:r>
        <w:rPr>
          <w:color w:val="000000" w:themeColor="text1"/>
        </w:rPr>
        <w:t>maintain</w:t>
      </w:r>
      <w:r w:rsidRPr="00867E8B">
        <w:rPr>
          <w:color w:val="000000" w:themeColor="text1"/>
        </w:rPr>
        <w:t xml:space="preserve"> </w:t>
      </w:r>
      <w:r w:rsidR="00D32D7B" w:rsidRPr="00867E8B">
        <w:rPr>
          <w:color w:val="000000" w:themeColor="text1"/>
        </w:rPr>
        <w:t xml:space="preserve">a customer service workforce to deliver services and payments to Australians experiencing vulnerability </w:t>
      </w:r>
      <w:r w:rsidR="002B3DAC" w:rsidRPr="00867E8B">
        <w:rPr>
          <w:color w:val="000000" w:themeColor="text1"/>
        </w:rPr>
        <w:t>amid</w:t>
      </w:r>
      <w:r w:rsidR="00D32D7B" w:rsidRPr="00867E8B">
        <w:rPr>
          <w:color w:val="000000" w:themeColor="text1"/>
        </w:rPr>
        <w:t xml:space="preserve"> a </w:t>
      </w:r>
      <w:r w:rsidR="00F71E85" w:rsidRPr="00867E8B">
        <w:rPr>
          <w:color w:val="000000" w:themeColor="text1"/>
        </w:rPr>
        <w:t>cost</w:t>
      </w:r>
      <w:r w:rsidR="00F71E85">
        <w:rPr>
          <w:color w:val="000000" w:themeColor="text1"/>
        </w:rPr>
        <w:t>-of-living</w:t>
      </w:r>
      <w:r w:rsidR="00D32D7B" w:rsidRPr="00867E8B">
        <w:rPr>
          <w:color w:val="000000" w:themeColor="text1"/>
        </w:rPr>
        <w:t xml:space="preserve"> crisis</w:t>
      </w:r>
    </w:p>
    <w:p w14:paraId="6C3DA5E3" w14:textId="71C6E218" w:rsidR="00D32D7B" w:rsidRPr="00867E8B" w:rsidRDefault="00D32D7B" w:rsidP="00867E8B">
      <w:pPr>
        <w:pStyle w:val="BodyText"/>
        <w:numPr>
          <w:ilvl w:val="0"/>
          <w:numId w:val="19"/>
        </w:numPr>
        <w:rPr>
          <w:color w:val="000000" w:themeColor="text1"/>
        </w:rPr>
      </w:pPr>
      <w:r w:rsidRPr="00867E8B">
        <w:rPr>
          <w:color w:val="000000" w:themeColor="text1"/>
        </w:rPr>
        <w:t xml:space="preserve">sustain emergency response capability </w:t>
      </w:r>
    </w:p>
    <w:p w14:paraId="1411D6F3" w14:textId="2EC039CC" w:rsidR="00D32D7B" w:rsidRPr="00867E8B" w:rsidRDefault="00D32D7B" w:rsidP="00867E8B">
      <w:pPr>
        <w:pStyle w:val="BodyText"/>
        <w:numPr>
          <w:ilvl w:val="0"/>
          <w:numId w:val="19"/>
        </w:numPr>
        <w:rPr>
          <w:color w:val="000000" w:themeColor="text1"/>
        </w:rPr>
      </w:pPr>
      <w:r w:rsidRPr="00867E8B">
        <w:rPr>
          <w:color w:val="000000" w:themeColor="text1"/>
        </w:rPr>
        <w:t>support other aspects of the agency’s operations.</w:t>
      </w:r>
    </w:p>
    <w:p w14:paraId="32363326" w14:textId="78BB6E94" w:rsidR="00F71E85" w:rsidRDefault="00D32D7B" w:rsidP="00F71E85">
      <w:pPr>
        <w:autoSpaceDE w:val="0"/>
        <w:autoSpaceDN w:val="0"/>
        <w:adjustRightInd w:val="0"/>
        <w:spacing w:before="120"/>
      </w:pPr>
      <w:r>
        <w:t>This measure will see the</w:t>
      </w:r>
      <w:r w:rsidR="0000661A" w:rsidRPr="00A71FB7">
        <w:t xml:space="preserve"> continuation of </w:t>
      </w:r>
      <w:r w:rsidR="002B3DAC">
        <w:t>about</w:t>
      </w:r>
      <w:r w:rsidR="0000661A" w:rsidRPr="00A71FB7">
        <w:t xml:space="preserve"> </w:t>
      </w:r>
      <w:r w:rsidR="00E45A93" w:rsidRPr="00A71FB7">
        <w:t xml:space="preserve">3,000 </w:t>
      </w:r>
      <w:r w:rsidR="00F71E85">
        <w:t xml:space="preserve">additional </w:t>
      </w:r>
      <w:r w:rsidR="00FB1AA8">
        <w:t>staff</w:t>
      </w:r>
      <w:r w:rsidR="00FE15C2">
        <w:t xml:space="preserve"> </w:t>
      </w:r>
      <w:r w:rsidR="003F55AD" w:rsidRPr="00E45A93">
        <w:rPr>
          <w:rFonts w:asciiTheme="minorHAnsi" w:eastAsiaTheme="minorHAnsi" w:hAnsiTheme="minorHAnsi" w:cs="Calibri"/>
          <w:szCs w:val="20"/>
          <w:lang w:eastAsia="en-US"/>
        </w:rPr>
        <w:t xml:space="preserve">to </w:t>
      </w:r>
      <w:r w:rsidR="0000661A">
        <w:rPr>
          <w:rFonts w:asciiTheme="minorHAnsi" w:eastAsiaTheme="minorHAnsi" w:hAnsiTheme="minorHAnsi" w:cs="Calibri"/>
          <w:szCs w:val="20"/>
          <w:lang w:eastAsia="en-US"/>
        </w:rPr>
        <w:t>maintain</w:t>
      </w:r>
      <w:r w:rsidR="003F55AD" w:rsidRPr="00E45A93">
        <w:rPr>
          <w:rFonts w:asciiTheme="minorHAnsi" w:eastAsiaTheme="minorHAnsi" w:hAnsiTheme="minorHAnsi" w:cs="Calibri"/>
          <w:szCs w:val="20"/>
          <w:lang w:eastAsia="en-US"/>
        </w:rPr>
        <w:t xml:space="preserve"> </w:t>
      </w:r>
      <w:r w:rsidR="00F71E85">
        <w:rPr>
          <w:rFonts w:asciiTheme="minorHAnsi" w:eastAsiaTheme="minorHAnsi" w:hAnsiTheme="minorHAnsi" w:cs="Calibri"/>
          <w:szCs w:val="20"/>
          <w:lang w:eastAsia="en-US"/>
        </w:rPr>
        <w:t xml:space="preserve">levels of </w:t>
      </w:r>
      <w:r w:rsidR="003F55AD" w:rsidRPr="00E45A93">
        <w:rPr>
          <w:rFonts w:asciiTheme="minorHAnsi" w:eastAsiaTheme="minorHAnsi" w:hAnsiTheme="minorHAnsi" w:cs="Calibri"/>
          <w:szCs w:val="20"/>
          <w:lang w:eastAsia="en-US"/>
        </w:rPr>
        <w:t>claims processing</w:t>
      </w:r>
      <w:r w:rsidR="00FB1AA8">
        <w:rPr>
          <w:rFonts w:asciiTheme="minorHAnsi" w:eastAsiaTheme="minorHAnsi" w:hAnsiTheme="minorHAnsi" w:cs="Calibri"/>
          <w:szCs w:val="20"/>
          <w:lang w:eastAsia="en-US"/>
        </w:rPr>
        <w:t xml:space="preserve">. Retaining these </w:t>
      </w:r>
      <w:r>
        <w:t xml:space="preserve">staff will better position the agency to </w:t>
      </w:r>
      <w:r w:rsidR="00F71E85">
        <w:t xml:space="preserve">fulfil </w:t>
      </w:r>
      <w:r>
        <w:t>government and community expectations of service delivery performance.</w:t>
      </w:r>
    </w:p>
    <w:p w14:paraId="38B04109" w14:textId="507A6715" w:rsidR="004B1595" w:rsidRPr="00E45A93" w:rsidRDefault="00F71E85" w:rsidP="00E269D2">
      <w:pPr>
        <w:autoSpaceDE w:val="0"/>
        <w:autoSpaceDN w:val="0"/>
        <w:adjustRightInd w:val="0"/>
        <w:spacing w:before="120"/>
        <w:rPr>
          <w:rFonts w:asciiTheme="minorHAnsi" w:eastAsiaTheme="minorHAnsi" w:hAnsiTheme="minorHAnsi" w:cs="Calibri"/>
          <w:szCs w:val="20"/>
          <w:lang w:eastAsia="en-US"/>
        </w:rPr>
      </w:pPr>
      <w:r>
        <w:t xml:space="preserve">The </w:t>
      </w:r>
      <w:r w:rsidR="004B1595">
        <w:t>measure</w:t>
      </w:r>
      <w:r w:rsidR="00D32D7B">
        <w:t xml:space="preserve"> </w:t>
      </w:r>
      <w:r>
        <w:t xml:space="preserve">also </w:t>
      </w:r>
      <w:r w:rsidR="00D32D7B">
        <w:t>continu</w:t>
      </w:r>
      <w:r>
        <w:t>es</w:t>
      </w:r>
      <w:r w:rsidR="00D32D7B">
        <w:t xml:space="preserve"> current emergency response capability of 850 staff</w:t>
      </w:r>
      <w:r>
        <w:t>, which</w:t>
      </w:r>
      <w:r w:rsidR="00D32D7B">
        <w:t xml:space="preserve"> help</w:t>
      </w:r>
      <w:r>
        <w:t>s</w:t>
      </w:r>
      <w:r w:rsidR="00D32D7B">
        <w:t xml:space="preserve"> the agency </w:t>
      </w:r>
      <w:r>
        <w:t xml:space="preserve">to </w:t>
      </w:r>
      <w:r w:rsidR="00D32D7B">
        <w:t>deliver up to 1.1 million staff-assisted customer interactions for natural disasters each financial year.</w:t>
      </w:r>
      <w:r w:rsidR="00E45A93">
        <w:t xml:space="preserve"> </w:t>
      </w:r>
      <w:r w:rsidR="004B1595">
        <w:t>Th</w:t>
      </w:r>
      <w:r>
        <w:t>is</w:t>
      </w:r>
      <w:r w:rsidR="004B1595">
        <w:t xml:space="preserve"> measure will also relieve financial pressures relating to operational costs.</w:t>
      </w:r>
    </w:p>
    <w:p w14:paraId="38FA844E" w14:textId="7F0388FC" w:rsidR="00A31770" w:rsidRPr="002B3DAC" w:rsidRDefault="00D4325C" w:rsidP="00D87815">
      <w:pPr>
        <w:pStyle w:val="BodyText"/>
        <w:tabs>
          <w:tab w:val="left" w:pos="1985"/>
        </w:tabs>
        <w:rPr>
          <w:rFonts w:asciiTheme="majorHAnsi" w:hAnsiTheme="majorHAnsi"/>
          <w:b/>
          <w:bCs/>
          <w:sz w:val="32"/>
          <w:szCs w:val="32"/>
        </w:rPr>
      </w:pPr>
      <w:r w:rsidRPr="002B3DAC">
        <w:rPr>
          <w:rFonts w:asciiTheme="majorHAnsi" w:hAnsiTheme="majorHAnsi"/>
          <w:b/>
          <w:bCs/>
          <w:sz w:val="32"/>
          <w:szCs w:val="32"/>
        </w:rPr>
        <w:t>Effectiveness of Services Australia’s service centres</w:t>
      </w:r>
    </w:p>
    <w:p w14:paraId="16B00432" w14:textId="6A54D1E0" w:rsidR="005F2781" w:rsidRPr="00CD658A" w:rsidRDefault="005F2781" w:rsidP="005F2781">
      <w:pPr>
        <w:pStyle w:val="BodyText"/>
        <w:rPr>
          <w:color w:val="000000" w:themeColor="text1"/>
        </w:rPr>
      </w:pPr>
      <w:r>
        <w:rPr>
          <w:color w:val="000000" w:themeColor="text1"/>
        </w:rPr>
        <w:t>The Australian G</w:t>
      </w:r>
      <w:r w:rsidRPr="00CD658A">
        <w:rPr>
          <w:color w:val="000000" w:themeColor="text1"/>
        </w:rPr>
        <w:t xml:space="preserve">overnment </w:t>
      </w:r>
      <w:r w:rsidR="004A7206">
        <w:rPr>
          <w:color w:val="000000" w:themeColor="text1"/>
        </w:rPr>
        <w:t>has invested</w:t>
      </w:r>
      <w:r w:rsidRPr="00CD658A">
        <w:rPr>
          <w:color w:val="000000" w:themeColor="text1"/>
        </w:rPr>
        <w:t xml:space="preserve"> $</w:t>
      </w:r>
      <w:r>
        <w:rPr>
          <w:color w:val="000000" w:themeColor="text1"/>
        </w:rPr>
        <w:t>28</w:t>
      </w:r>
      <w:r w:rsidR="004A7206">
        <w:rPr>
          <w:color w:val="000000" w:themeColor="text1"/>
        </w:rPr>
        <w:t>7</w:t>
      </w:r>
      <w:r w:rsidRPr="00CD658A">
        <w:rPr>
          <w:color w:val="000000" w:themeColor="text1"/>
        </w:rPr>
        <w:t xml:space="preserve"> million </w:t>
      </w:r>
      <w:r w:rsidR="004A7206">
        <w:rPr>
          <w:color w:val="000000" w:themeColor="text1"/>
        </w:rPr>
        <w:t>since the 2025</w:t>
      </w:r>
      <w:r w:rsidR="00397256">
        <w:rPr>
          <w:color w:val="000000" w:themeColor="text1"/>
        </w:rPr>
        <w:t>-</w:t>
      </w:r>
      <w:r w:rsidR="004A7206">
        <w:rPr>
          <w:color w:val="000000" w:themeColor="text1"/>
        </w:rPr>
        <w:t>26 Budget</w:t>
      </w:r>
      <w:r w:rsidRPr="00CD658A">
        <w:rPr>
          <w:color w:val="000000" w:themeColor="text1"/>
        </w:rPr>
        <w:t xml:space="preserve"> to extend and sustain safety and security measures for </w:t>
      </w:r>
      <w:r>
        <w:rPr>
          <w:color w:val="000000" w:themeColor="text1"/>
        </w:rPr>
        <w:t xml:space="preserve">Services Australia </w:t>
      </w:r>
      <w:r w:rsidRPr="00CD658A">
        <w:rPr>
          <w:color w:val="000000" w:themeColor="text1"/>
        </w:rPr>
        <w:t>staff and customers.</w:t>
      </w:r>
    </w:p>
    <w:p w14:paraId="799DB43F" w14:textId="09C89383" w:rsidR="005F2781" w:rsidRPr="00CD658A" w:rsidRDefault="005F2781" w:rsidP="005F2781">
      <w:pPr>
        <w:pStyle w:val="BodyText"/>
        <w:rPr>
          <w:color w:val="000000" w:themeColor="text1"/>
        </w:rPr>
      </w:pPr>
      <w:r w:rsidRPr="00CD658A">
        <w:rPr>
          <w:color w:val="000000" w:themeColor="text1"/>
        </w:rPr>
        <w:t>Services Australia service centres are central to delivering essential government services</w:t>
      </w:r>
      <w:r>
        <w:rPr>
          <w:color w:val="000000" w:themeColor="text1"/>
        </w:rPr>
        <w:t xml:space="preserve"> for customers </w:t>
      </w:r>
      <w:r w:rsidR="00FB1AA8">
        <w:rPr>
          <w:color w:val="000000" w:themeColor="text1"/>
        </w:rPr>
        <w:t>who are experiencing</w:t>
      </w:r>
      <w:r>
        <w:rPr>
          <w:color w:val="000000" w:themeColor="text1"/>
        </w:rPr>
        <w:t xml:space="preserve"> vulnerab</w:t>
      </w:r>
      <w:r w:rsidR="00FB1AA8">
        <w:rPr>
          <w:color w:val="000000" w:themeColor="text1"/>
        </w:rPr>
        <w:t xml:space="preserve">ility </w:t>
      </w:r>
      <w:r>
        <w:rPr>
          <w:color w:val="000000" w:themeColor="text1"/>
        </w:rPr>
        <w:t>and need support</w:t>
      </w:r>
      <w:r w:rsidRPr="00CD658A">
        <w:rPr>
          <w:color w:val="000000" w:themeColor="text1"/>
        </w:rPr>
        <w:t xml:space="preserve">. </w:t>
      </w:r>
      <w:r>
        <w:rPr>
          <w:color w:val="000000" w:themeColor="text1"/>
        </w:rPr>
        <w:t>It’s</w:t>
      </w:r>
      <w:r w:rsidRPr="00CD658A">
        <w:rPr>
          <w:color w:val="000000" w:themeColor="text1"/>
        </w:rPr>
        <w:t xml:space="preserve"> critical for the </w:t>
      </w:r>
      <w:r>
        <w:rPr>
          <w:color w:val="000000" w:themeColor="text1"/>
        </w:rPr>
        <w:t>a</w:t>
      </w:r>
      <w:r w:rsidRPr="00CD658A">
        <w:rPr>
          <w:color w:val="000000" w:themeColor="text1"/>
        </w:rPr>
        <w:t>gency to sustain its uplifted security capability to manage the risk environment in service centres.</w:t>
      </w:r>
    </w:p>
    <w:p w14:paraId="3218DD08" w14:textId="53047CB4" w:rsidR="005F2781" w:rsidRDefault="005F2781" w:rsidP="005F2781">
      <w:pPr>
        <w:pStyle w:val="BodyText"/>
        <w:rPr>
          <w:color w:val="000000" w:themeColor="text1"/>
        </w:rPr>
      </w:pPr>
      <w:r>
        <w:rPr>
          <w:color w:val="000000" w:themeColor="text1"/>
        </w:rPr>
        <w:t>The</w:t>
      </w:r>
      <w:r w:rsidRPr="00CD658A">
        <w:rPr>
          <w:color w:val="000000" w:themeColor="text1"/>
        </w:rPr>
        <w:t xml:space="preserve"> </w:t>
      </w:r>
      <w:r>
        <w:rPr>
          <w:color w:val="000000" w:themeColor="text1"/>
        </w:rPr>
        <w:t>a</w:t>
      </w:r>
      <w:r w:rsidRPr="00CD658A">
        <w:rPr>
          <w:color w:val="000000" w:themeColor="text1"/>
        </w:rPr>
        <w:t xml:space="preserve">gency has made significant improvements to the safety and security of its service centres </w:t>
      </w:r>
      <w:r>
        <w:rPr>
          <w:color w:val="000000" w:themeColor="text1"/>
        </w:rPr>
        <w:t>by:</w:t>
      </w:r>
    </w:p>
    <w:p w14:paraId="7EE45764" w14:textId="77777777" w:rsidR="005F2781" w:rsidRDefault="005F2781" w:rsidP="005F2781">
      <w:pPr>
        <w:pStyle w:val="BodyText"/>
        <w:numPr>
          <w:ilvl w:val="0"/>
          <w:numId w:val="19"/>
        </w:numPr>
        <w:rPr>
          <w:color w:val="000000" w:themeColor="text1"/>
        </w:rPr>
      </w:pPr>
      <w:r w:rsidRPr="00CD658A">
        <w:rPr>
          <w:color w:val="000000" w:themeColor="text1"/>
        </w:rPr>
        <w:t>implementing</w:t>
      </w:r>
      <w:r>
        <w:rPr>
          <w:color w:val="000000" w:themeColor="text1"/>
        </w:rPr>
        <w:t xml:space="preserve"> </w:t>
      </w:r>
      <w:r w:rsidRPr="00CD658A">
        <w:rPr>
          <w:color w:val="000000" w:themeColor="text1"/>
        </w:rPr>
        <w:t>recommendations from the Security Risk Management Review led by Graham Ashton AM APM</w:t>
      </w:r>
    </w:p>
    <w:p w14:paraId="18F98F37" w14:textId="6E30E8AB" w:rsidR="005F2781" w:rsidRDefault="00F71E85" w:rsidP="005F2781">
      <w:pPr>
        <w:pStyle w:val="BodyText"/>
        <w:numPr>
          <w:ilvl w:val="0"/>
          <w:numId w:val="19"/>
        </w:numPr>
        <w:rPr>
          <w:color w:val="000000" w:themeColor="text1"/>
        </w:rPr>
      </w:pPr>
      <w:r>
        <w:rPr>
          <w:color w:val="000000" w:themeColor="text1"/>
        </w:rPr>
        <w:t xml:space="preserve">supplementing </w:t>
      </w:r>
      <w:r w:rsidR="005F2781" w:rsidRPr="00CD658A">
        <w:rPr>
          <w:color w:val="000000" w:themeColor="text1"/>
        </w:rPr>
        <w:t xml:space="preserve">the </w:t>
      </w:r>
      <w:r w:rsidR="005F2781">
        <w:rPr>
          <w:color w:val="000000" w:themeColor="text1"/>
        </w:rPr>
        <w:t>a</w:t>
      </w:r>
      <w:r w:rsidR="005F2781" w:rsidRPr="00CD658A">
        <w:rPr>
          <w:color w:val="000000" w:themeColor="text1"/>
        </w:rPr>
        <w:t>gency’s service centre transformation program.</w:t>
      </w:r>
    </w:p>
    <w:p w14:paraId="38F7FC6F" w14:textId="76D4EA6E" w:rsidR="005F2781" w:rsidRDefault="005F2781" w:rsidP="005F2781">
      <w:pPr>
        <w:pStyle w:val="BodyText"/>
        <w:rPr>
          <w:color w:val="000000" w:themeColor="text1"/>
        </w:rPr>
      </w:pPr>
      <w:r w:rsidRPr="00CD658A">
        <w:rPr>
          <w:color w:val="000000" w:themeColor="text1"/>
        </w:rPr>
        <w:t xml:space="preserve">Through this measure, the agency will continue to implement and sustain </w:t>
      </w:r>
      <w:r>
        <w:rPr>
          <w:color w:val="000000" w:themeColor="text1"/>
        </w:rPr>
        <w:t xml:space="preserve">the review’s </w:t>
      </w:r>
      <w:r w:rsidRPr="00CD658A">
        <w:rPr>
          <w:color w:val="000000" w:themeColor="text1"/>
        </w:rPr>
        <w:t>recommendations</w:t>
      </w:r>
      <w:r w:rsidR="00FB1AA8">
        <w:rPr>
          <w:color w:val="000000" w:themeColor="text1"/>
        </w:rPr>
        <w:t>,</w:t>
      </w:r>
      <w:r w:rsidR="00E45A93">
        <w:rPr>
          <w:color w:val="000000" w:themeColor="text1"/>
        </w:rPr>
        <w:t xml:space="preserve"> </w:t>
      </w:r>
      <w:r>
        <w:rPr>
          <w:color w:val="000000" w:themeColor="text1"/>
        </w:rPr>
        <w:t>which</w:t>
      </w:r>
      <w:r w:rsidRPr="00CD658A">
        <w:rPr>
          <w:color w:val="000000" w:themeColor="text1"/>
        </w:rPr>
        <w:t xml:space="preserve"> aim to curb unacceptable </w:t>
      </w:r>
      <w:r>
        <w:rPr>
          <w:color w:val="000000" w:themeColor="text1"/>
        </w:rPr>
        <w:t>aggression</w:t>
      </w:r>
      <w:r w:rsidRPr="00CD658A">
        <w:rPr>
          <w:color w:val="000000" w:themeColor="text1"/>
        </w:rPr>
        <w:t xml:space="preserve"> occurring at Service</w:t>
      </w:r>
      <w:r w:rsidR="002B3DAC">
        <w:rPr>
          <w:color w:val="000000" w:themeColor="text1"/>
        </w:rPr>
        <w:t>s</w:t>
      </w:r>
      <w:r w:rsidRPr="00CD658A">
        <w:rPr>
          <w:color w:val="000000" w:themeColor="text1"/>
        </w:rPr>
        <w:t xml:space="preserve"> Australia sites.</w:t>
      </w:r>
    </w:p>
    <w:p w14:paraId="1C9C04CB" w14:textId="77777777" w:rsidR="005F2781" w:rsidRPr="00CD658A" w:rsidRDefault="005F2781" w:rsidP="005F2781">
      <w:pPr>
        <w:pStyle w:val="BodyText"/>
        <w:rPr>
          <w:color w:val="000000" w:themeColor="text1"/>
        </w:rPr>
      </w:pPr>
      <w:r>
        <w:rPr>
          <w:color w:val="000000" w:themeColor="text1"/>
        </w:rPr>
        <w:t>This measure will strengthen the integrated physical, technological and operational safety and security features in service centres. It will extend property upgrades to more service centres creating safer environments for staff, and an improved experience for customers, particularly those who require additional support.</w:t>
      </w:r>
    </w:p>
    <w:p w14:paraId="2870AAC0" w14:textId="1ACFD0E4" w:rsidR="005F2781" w:rsidRPr="00CD658A" w:rsidRDefault="005F2781" w:rsidP="005F2781">
      <w:pPr>
        <w:pStyle w:val="BodyText"/>
        <w:rPr>
          <w:color w:val="000000" w:themeColor="text1"/>
        </w:rPr>
      </w:pPr>
      <w:r w:rsidRPr="00CD658A">
        <w:rPr>
          <w:color w:val="000000" w:themeColor="text1"/>
        </w:rPr>
        <w:t xml:space="preserve">Services Australia has </w:t>
      </w:r>
      <w:r>
        <w:rPr>
          <w:color w:val="000000" w:themeColor="text1"/>
        </w:rPr>
        <w:t>about</w:t>
      </w:r>
      <w:r w:rsidRPr="00CD658A">
        <w:rPr>
          <w:color w:val="000000" w:themeColor="text1"/>
        </w:rPr>
        <w:t xml:space="preserve"> 6,</w:t>
      </w:r>
      <w:r>
        <w:rPr>
          <w:color w:val="000000" w:themeColor="text1"/>
        </w:rPr>
        <w:t>2</w:t>
      </w:r>
      <w:r w:rsidRPr="00CD658A">
        <w:rPr>
          <w:color w:val="000000" w:themeColor="text1"/>
        </w:rPr>
        <w:t>00 staff working across 318 service centres, with more than 10 million customer visits to these centres</w:t>
      </w:r>
      <w:r>
        <w:rPr>
          <w:color w:val="000000" w:themeColor="text1"/>
        </w:rPr>
        <w:t xml:space="preserve"> each year</w:t>
      </w:r>
      <w:r w:rsidRPr="00CD658A">
        <w:rPr>
          <w:color w:val="000000" w:themeColor="text1"/>
        </w:rPr>
        <w:t>. It</w:t>
      </w:r>
      <w:r>
        <w:rPr>
          <w:color w:val="000000" w:themeColor="text1"/>
        </w:rPr>
        <w:t>’</w:t>
      </w:r>
      <w:r w:rsidRPr="00CD658A">
        <w:rPr>
          <w:color w:val="000000" w:themeColor="text1"/>
        </w:rPr>
        <w:t xml:space="preserve">s a key </w:t>
      </w:r>
      <w:r w:rsidR="00F71E85">
        <w:rPr>
          <w:color w:val="000000" w:themeColor="text1"/>
        </w:rPr>
        <w:t xml:space="preserve">government </w:t>
      </w:r>
      <w:r w:rsidRPr="00CD658A">
        <w:rPr>
          <w:color w:val="000000" w:themeColor="text1"/>
        </w:rPr>
        <w:t xml:space="preserve">priority that </w:t>
      </w:r>
      <w:r>
        <w:rPr>
          <w:color w:val="000000" w:themeColor="text1"/>
        </w:rPr>
        <w:t>a</w:t>
      </w:r>
      <w:r w:rsidRPr="00CD658A">
        <w:rPr>
          <w:color w:val="000000" w:themeColor="text1"/>
        </w:rPr>
        <w:t>gency staff and customers feel safe and are protected from aggression, violence and abuse.</w:t>
      </w:r>
    </w:p>
    <w:p w14:paraId="49239AA8" w14:textId="77777777" w:rsidR="00F71E85" w:rsidRDefault="00F71E85">
      <w:pPr>
        <w:spacing w:after="160" w:line="259" w:lineRule="auto"/>
        <w:rPr>
          <w:color w:val="000000" w:themeColor="text1"/>
        </w:rPr>
      </w:pPr>
      <w:r>
        <w:rPr>
          <w:color w:val="000000" w:themeColor="text1"/>
        </w:rPr>
        <w:br w:type="page"/>
      </w:r>
    </w:p>
    <w:p w14:paraId="05535AC6" w14:textId="0CE85C24" w:rsidR="005F2781" w:rsidRPr="00CD658A" w:rsidRDefault="005F2781" w:rsidP="005F2781">
      <w:pPr>
        <w:pStyle w:val="BodyText"/>
        <w:rPr>
          <w:color w:val="000000" w:themeColor="text1"/>
        </w:rPr>
      </w:pPr>
      <w:r w:rsidRPr="00CD658A">
        <w:rPr>
          <w:color w:val="000000" w:themeColor="text1"/>
        </w:rPr>
        <w:lastRenderedPageBreak/>
        <w:t xml:space="preserve">This measure will assist Services Australia to </w:t>
      </w:r>
      <w:r>
        <w:rPr>
          <w:color w:val="000000" w:themeColor="text1"/>
        </w:rPr>
        <w:t>prevent</w:t>
      </w:r>
      <w:r w:rsidRPr="00CD658A">
        <w:rPr>
          <w:color w:val="000000" w:themeColor="text1"/>
        </w:rPr>
        <w:t xml:space="preserve"> risks to the health and safety of staff and customers visiting service centres and will include:</w:t>
      </w:r>
    </w:p>
    <w:p w14:paraId="69CE1B4B" w14:textId="77777777" w:rsidR="005F2781" w:rsidRPr="00CD658A" w:rsidRDefault="005F2781" w:rsidP="005F2781">
      <w:pPr>
        <w:pStyle w:val="BodyText"/>
        <w:numPr>
          <w:ilvl w:val="0"/>
          <w:numId w:val="18"/>
        </w:numPr>
        <w:rPr>
          <w:color w:val="000000" w:themeColor="text1"/>
        </w:rPr>
      </w:pPr>
      <w:r w:rsidRPr="00CD658A">
        <w:rPr>
          <w:color w:val="000000" w:themeColor="text1"/>
        </w:rPr>
        <w:t>enhanced service centre design</w:t>
      </w:r>
    </w:p>
    <w:p w14:paraId="22FA0362" w14:textId="77777777" w:rsidR="005F2781" w:rsidRPr="00CD658A" w:rsidRDefault="005F2781" w:rsidP="005F2781">
      <w:pPr>
        <w:pStyle w:val="BodyText"/>
        <w:numPr>
          <w:ilvl w:val="0"/>
          <w:numId w:val="18"/>
        </w:numPr>
        <w:rPr>
          <w:color w:val="000000" w:themeColor="text1"/>
        </w:rPr>
      </w:pPr>
      <w:r w:rsidRPr="00CD658A">
        <w:rPr>
          <w:color w:val="000000" w:themeColor="text1"/>
        </w:rPr>
        <w:t>increased security guard utilisation</w:t>
      </w:r>
    </w:p>
    <w:p w14:paraId="6C609918" w14:textId="77777777" w:rsidR="005F2781" w:rsidRPr="00CD658A" w:rsidRDefault="005F2781" w:rsidP="005F2781">
      <w:pPr>
        <w:pStyle w:val="BodyText"/>
        <w:numPr>
          <w:ilvl w:val="0"/>
          <w:numId w:val="18"/>
        </w:numPr>
        <w:rPr>
          <w:color w:val="000000" w:themeColor="text1"/>
        </w:rPr>
      </w:pPr>
      <w:r w:rsidRPr="00CD658A">
        <w:rPr>
          <w:color w:val="000000" w:themeColor="text1"/>
        </w:rPr>
        <w:t>improved security capability</w:t>
      </w:r>
    </w:p>
    <w:p w14:paraId="50DE2D65" w14:textId="77777777" w:rsidR="005F2781" w:rsidRPr="00CD658A" w:rsidRDefault="005F2781" w:rsidP="005F2781">
      <w:pPr>
        <w:pStyle w:val="BodyText"/>
        <w:numPr>
          <w:ilvl w:val="0"/>
          <w:numId w:val="18"/>
        </w:numPr>
        <w:rPr>
          <w:color w:val="000000" w:themeColor="text1"/>
        </w:rPr>
      </w:pPr>
      <w:r w:rsidRPr="00CD658A">
        <w:rPr>
          <w:color w:val="000000" w:themeColor="text1"/>
        </w:rPr>
        <w:t>technology enhancements</w:t>
      </w:r>
    </w:p>
    <w:p w14:paraId="7680694F" w14:textId="77777777" w:rsidR="005F2781" w:rsidRPr="00CD658A" w:rsidRDefault="005F2781" w:rsidP="005F2781">
      <w:pPr>
        <w:pStyle w:val="BodyText"/>
        <w:numPr>
          <w:ilvl w:val="0"/>
          <w:numId w:val="18"/>
        </w:numPr>
        <w:rPr>
          <w:color w:val="000000" w:themeColor="text1"/>
        </w:rPr>
      </w:pPr>
      <w:r w:rsidRPr="00CD658A">
        <w:rPr>
          <w:color w:val="000000" w:themeColor="text1"/>
        </w:rPr>
        <w:t>uplifted staff capability</w:t>
      </w:r>
    </w:p>
    <w:p w14:paraId="3754F1F0" w14:textId="77777777" w:rsidR="005F2781" w:rsidRPr="00CD658A" w:rsidRDefault="005F2781" w:rsidP="005F2781">
      <w:pPr>
        <w:pStyle w:val="BodyText"/>
        <w:numPr>
          <w:ilvl w:val="0"/>
          <w:numId w:val="18"/>
        </w:numPr>
        <w:rPr>
          <w:color w:val="000000" w:themeColor="text1"/>
        </w:rPr>
      </w:pPr>
      <w:r w:rsidRPr="00CD658A">
        <w:rPr>
          <w:color w:val="000000" w:themeColor="text1"/>
        </w:rPr>
        <w:t>legal measures.</w:t>
      </w:r>
    </w:p>
    <w:p w14:paraId="3962796F" w14:textId="3F830AA8" w:rsidR="007F4989" w:rsidRPr="002B3DAC" w:rsidRDefault="00175F41" w:rsidP="00D87815">
      <w:pPr>
        <w:pStyle w:val="BodyText"/>
        <w:tabs>
          <w:tab w:val="left" w:pos="1985"/>
        </w:tabs>
        <w:rPr>
          <w:rFonts w:asciiTheme="majorHAnsi" w:hAnsiTheme="majorHAnsi"/>
          <w:b/>
          <w:bCs/>
          <w:sz w:val="32"/>
          <w:szCs w:val="32"/>
        </w:rPr>
      </w:pPr>
      <w:r w:rsidRPr="002B3DAC">
        <w:rPr>
          <w:rFonts w:asciiTheme="majorHAnsi" w:hAnsiTheme="majorHAnsi"/>
          <w:b/>
          <w:bCs/>
          <w:sz w:val="32"/>
          <w:szCs w:val="32"/>
        </w:rPr>
        <w:t xml:space="preserve">Making more services available in </w:t>
      </w:r>
      <w:proofErr w:type="spellStart"/>
      <w:r w:rsidRPr="002B3DAC">
        <w:rPr>
          <w:rFonts w:asciiTheme="majorHAnsi" w:hAnsiTheme="majorHAnsi"/>
          <w:b/>
          <w:bCs/>
          <w:sz w:val="32"/>
          <w:szCs w:val="32"/>
        </w:rPr>
        <w:t>myGov</w:t>
      </w:r>
      <w:proofErr w:type="spellEnd"/>
      <w:r w:rsidRPr="002B3DAC">
        <w:rPr>
          <w:rFonts w:asciiTheme="majorHAnsi" w:hAnsiTheme="majorHAnsi"/>
          <w:b/>
          <w:bCs/>
          <w:sz w:val="32"/>
          <w:szCs w:val="32"/>
        </w:rPr>
        <w:t xml:space="preserve"> for Australians</w:t>
      </w:r>
    </w:p>
    <w:p w14:paraId="7EA50CF6" w14:textId="10154B5D" w:rsidR="007F4989" w:rsidRPr="008F690F" w:rsidRDefault="007F4989" w:rsidP="007F4989">
      <w:pPr>
        <w:pStyle w:val="BodyText"/>
        <w:rPr>
          <w:color w:val="000000" w:themeColor="text1"/>
        </w:rPr>
      </w:pPr>
      <w:r w:rsidRPr="008F690F">
        <w:rPr>
          <w:color w:val="000000" w:themeColor="text1"/>
        </w:rPr>
        <w:t xml:space="preserve">Services Australia will </w:t>
      </w:r>
      <w:r>
        <w:rPr>
          <w:color w:val="000000" w:themeColor="text1"/>
        </w:rPr>
        <w:t>get</w:t>
      </w:r>
      <w:r w:rsidRPr="008F690F">
        <w:rPr>
          <w:color w:val="000000" w:themeColor="text1"/>
        </w:rPr>
        <w:t xml:space="preserve"> $24.8 million </w:t>
      </w:r>
      <w:r>
        <w:rPr>
          <w:color w:val="000000" w:themeColor="text1"/>
        </w:rPr>
        <w:t>through to</w:t>
      </w:r>
      <w:r w:rsidRPr="008F690F">
        <w:rPr>
          <w:color w:val="000000" w:themeColor="text1"/>
        </w:rPr>
        <w:t xml:space="preserve"> 2026</w:t>
      </w:r>
      <w:r w:rsidR="00397256">
        <w:rPr>
          <w:color w:val="000000" w:themeColor="text1"/>
        </w:rPr>
        <w:t>-</w:t>
      </w:r>
      <w:r w:rsidRPr="008F690F">
        <w:rPr>
          <w:color w:val="000000" w:themeColor="text1"/>
        </w:rPr>
        <w:t>27</w:t>
      </w:r>
      <w:r w:rsidR="007B6A9D">
        <w:rPr>
          <w:color w:val="000000" w:themeColor="text1"/>
        </w:rPr>
        <w:t>, as published in the 2025</w:t>
      </w:r>
      <w:r w:rsidR="00397256">
        <w:rPr>
          <w:color w:val="000000" w:themeColor="text1"/>
        </w:rPr>
        <w:t>-</w:t>
      </w:r>
      <w:r w:rsidR="007B6A9D">
        <w:rPr>
          <w:color w:val="000000" w:themeColor="text1"/>
        </w:rPr>
        <w:t xml:space="preserve">26 </w:t>
      </w:r>
      <w:r w:rsidR="00D118B1">
        <w:rPr>
          <w:color w:val="000000" w:themeColor="text1"/>
        </w:rPr>
        <w:t>Portfolio Additional Estimates Statements (PAES)</w:t>
      </w:r>
      <w:r w:rsidR="007B6A9D">
        <w:rPr>
          <w:color w:val="000000" w:themeColor="text1"/>
        </w:rPr>
        <w:t>,</w:t>
      </w:r>
      <w:r w:rsidRPr="008F690F">
        <w:rPr>
          <w:color w:val="000000" w:themeColor="text1"/>
        </w:rPr>
        <w:t xml:space="preserve"> to:</w:t>
      </w:r>
    </w:p>
    <w:p w14:paraId="1CEF3141" w14:textId="318D8C34" w:rsidR="007F4989" w:rsidRPr="008F690F" w:rsidRDefault="007F4989" w:rsidP="007F4989">
      <w:pPr>
        <w:pStyle w:val="BodyText"/>
        <w:numPr>
          <w:ilvl w:val="0"/>
          <w:numId w:val="21"/>
        </w:numPr>
        <w:rPr>
          <w:color w:val="000000" w:themeColor="text1"/>
        </w:rPr>
      </w:pPr>
      <w:r w:rsidRPr="008F690F">
        <w:rPr>
          <w:color w:val="000000" w:themeColor="text1"/>
        </w:rPr>
        <w:t xml:space="preserve">develop </w:t>
      </w:r>
      <w:r>
        <w:rPr>
          <w:color w:val="000000" w:themeColor="text1"/>
        </w:rPr>
        <w:t>the capability for</w:t>
      </w:r>
      <w:r w:rsidRPr="008F690F">
        <w:rPr>
          <w:color w:val="000000" w:themeColor="text1"/>
        </w:rPr>
        <w:t xml:space="preserve"> whole-of-government </w:t>
      </w:r>
      <w:proofErr w:type="spellStart"/>
      <w:r w:rsidRPr="008F690F">
        <w:rPr>
          <w:color w:val="000000" w:themeColor="text1"/>
        </w:rPr>
        <w:t>myGov</w:t>
      </w:r>
      <w:proofErr w:type="spellEnd"/>
      <w:r w:rsidRPr="008F690F">
        <w:rPr>
          <w:color w:val="000000" w:themeColor="text1"/>
        </w:rPr>
        <w:t xml:space="preserve"> notifications </w:t>
      </w:r>
      <w:r w:rsidR="00F71E85" w:rsidRPr="008F690F">
        <w:rPr>
          <w:color w:val="000000" w:themeColor="text1"/>
        </w:rPr>
        <w:t>t</w:t>
      </w:r>
      <w:r w:rsidR="00F71E85">
        <w:rPr>
          <w:color w:val="000000" w:themeColor="text1"/>
        </w:rPr>
        <w:t>hat</w:t>
      </w:r>
      <w:r w:rsidR="00F71E85" w:rsidRPr="008F690F">
        <w:rPr>
          <w:color w:val="000000" w:themeColor="text1"/>
        </w:rPr>
        <w:t xml:space="preserve"> </w:t>
      </w:r>
      <w:r w:rsidRPr="008F690F">
        <w:rPr>
          <w:color w:val="000000" w:themeColor="text1"/>
        </w:rPr>
        <w:t xml:space="preserve">enable partner agencies to send </w:t>
      </w:r>
      <w:r>
        <w:rPr>
          <w:color w:val="000000" w:themeColor="text1"/>
        </w:rPr>
        <w:t xml:space="preserve">push </w:t>
      </w:r>
      <w:r w:rsidRPr="008F690F">
        <w:rPr>
          <w:color w:val="000000" w:themeColor="text1"/>
        </w:rPr>
        <w:t>notification</w:t>
      </w:r>
      <w:r>
        <w:rPr>
          <w:color w:val="000000" w:themeColor="text1"/>
        </w:rPr>
        <w:t>s</w:t>
      </w:r>
      <w:r w:rsidRPr="008F690F">
        <w:rPr>
          <w:color w:val="000000" w:themeColor="text1"/>
        </w:rPr>
        <w:t xml:space="preserve"> directly to users</w:t>
      </w:r>
    </w:p>
    <w:p w14:paraId="1F415612" w14:textId="77777777" w:rsidR="007F4989" w:rsidRPr="008F690F" w:rsidRDefault="007F4989" w:rsidP="007F4989">
      <w:pPr>
        <w:pStyle w:val="BodyText"/>
        <w:numPr>
          <w:ilvl w:val="0"/>
          <w:numId w:val="21"/>
        </w:numPr>
        <w:rPr>
          <w:color w:val="000000" w:themeColor="text1"/>
        </w:rPr>
      </w:pPr>
      <w:r w:rsidRPr="008F690F">
        <w:rPr>
          <w:color w:val="000000" w:themeColor="text1"/>
        </w:rPr>
        <w:t xml:space="preserve">streamline </w:t>
      </w:r>
      <w:proofErr w:type="spellStart"/>
      <w:r w:rsidRPr="008F690F">
        <w:rPr>
          <w:color w:val="000000" w:themeColor="text1"/>
        </w:rPr>
        <w:t>myGov</w:t>
      </w:r>
      <w:proofErr w:type="spellEnd"/>
      <w:r w:rsidRPr="008F690F">
        <w:rPr>
          <w:color w:val="000000" w:themeColor="text1"/>
        </w:rPr>
        <w:t xml:space="preserve"> onboarding </w:t>
      </w:r>
      <w:r>
        <w:rPr>
          <w:color w:val="000000" w:themeColor="text1"/>
        </w:rPr>
        <w:t>to</w:t>
      </w:r>
      <w:r w:rsidRPr="008F690F">
        <w:rPr>
          <w:color w:val="000000" w:themeColor="text1"/>
        </w:rPr>
        <w:t xml:space="preserve"> make it easier for government agencies to </w:t>
      </w:r>
      <w:r>
        <w:rPr>
          <w:color w:val="000000" w:themeColor="text1"/>
        </w:rPr>
        <w:t>add</w:t>
      </w:r>
      <w:r w:rsidRPr="008F690F">
        <w:rPr>
          <w:color w:val="000000" w:themeColor="text1"/>
        </w:rPr>
        <w:t xml:space="preserve"> services to </w:t>
      </w:r>
      <w:proofErr w:type="spellStart"/>
      <w:r w:rsidRPr="008F690F">
        <w:rPr>
          <w:color w:val="000000" w:themeColor="text1"/>
        </w:rPr>
        <w:t>myGov</w:t>
      </w:r>
      <w:proofErr w:type="spellEnd"/>
    </w:p>
    <w:p w14:paraId="288FA0A5" w14:textId="35D65878" w:rsidR="007F4989" w:rsidRPr="008F690F" w:rsidRDefault="007F4989" w:rsidP="007F4989">
      <w:pPr>
        <w:pStyle w:val="BodyText"/>
        <w:numPr>
          <w:ilvl w:val="0"/>
          <w:numId w:val="21"/>
        </w:numPr>
        <w:rPr>
          <w:color w:val="000000" w:themeColor="text1"/>
        </w:rPr>
      </w:pPr>
      <w:r w:rsidRPr="008F690F">
        <w:rPr>
          <w:color w:val="000000" w:themeColor="text1"/>
        </w:rPr>
        <w:t>enhance</w:t>
      </w:r>
      <w:r>
        <w:rPr>
          <w:color w:val="000000" w:themeColor="text1"/>
        </w:rPr>
        <w:t xml:space="preserve"> the</w:t>
      </w:r>
      <w:r w:rsidRPr="008F690F">
        <w:rPr>
          <w:color w:val="000000" w:themeColor="text1"/>
        </w:rPr>
        <w:t xml:space="preserve"> </w:t>
      </w:r>
      <w:proofErr w:type="spellStart"/>
      <w:r w:rsidRPr="008F690F">
        <w:rPr>
          <w:color w:val="000000" w:themeColor="text1"/>
        </w:rPr>
        <w:t>myGov</w:t>
      </w:r>
      <w:proofErr w:type="spellEnd"/>
      <w:r w:rsidRPr="008F690F">
        <w:rPr>
          <w:color w:val="000000" w:themeColor="text1"/>
        </w:rPr>
        <w:t xml:space="preserve"> account creation and recovery process.</w:t>
      </w:r>
    </w:p>
    <w:p w14:paraId="2912A4F2" w14:textId="427C42E6" w:rsidR="007F4989" w:rsidRPr="008F690F" w:rsidRDefault="007F4989" w:rsidP="007F4989">
      <w:pPr>
        <w:pStyle w:val="BodyText"/>
        <w:rPr>
          <w:color w:val="000000" w:themeColor="text1"/>
        </w:rPr>
      </w:pPr>
      <w:r w:rsidRPr="008F690F">
        <w:rPr>
          <w:color w:val="000000" w:themeColor="text1"/>
        </w:rPr>
        <w:t xml:space="preserve">Investment in </w:t>
      </w:r>
      <w:proofErr w:type="spellStart"/>
      <w:r w:rsidRPr="008F690F">
        <w:rPr>
          <w:color w:val="000000" w:themeColor="text1"/>
        </w:rPr>
        <w:t>myGov</w:t>
      </w:r>
      <w:proofErr w:type="spellEnd"/>
      <w:r w:rsidRPr="008F690F">
        <w:rPr>
          <w:color w:val="000000" w:themeColor="text1"/>
        </w:rPr>
        <w:t xml:space="preserve"> delivers on the </w:t>
      </w:r>
      <w:r w:rsidR="002B3DAC">
        <w:rPr>
          <w:color w:val="000000" w:themeColor="text1"/>
        </w:rPr>
        <w:t>g</w:t>
      </w:r>
      <w:r w:rsidRPr="008F690F">
        <w:rPr>
          <w:color w:val="000000" w:themeColor="text1"/>
        </w:rPr>
        <w:t xml:space="preserve">overnment’s commitment to modernise service delivery for </w:t>
      </w:r>
      <w:r>
        <w:rPr>
          <w:color w:val="000000" w:themeColor="text1"/>
        </w:rPr>
        <w:t>Australians</w:t>
      </w:r>
      <w:r w:rsidRPr="008F690F">
        <w:rPr>
          <w:color w:val="000000" w:themeColor="text1"/>
        </w:rPr>
        <w:t xml:space="preserve">. </w:t>
      </w:r>
      <w:r>
        <w:rPr>
          <w:color w:val="000000" w:themeColor="text1"/>
        </w:rPr>
        <w:t xml:space="preserve">The expansion of </w:t>
      </w:r>
      <w:proofErr w:type="spellStart"/>
      <w:r w:rsidRPr="008F690F">
        <w:rPr>
          <w:color w:val="000000" w:themeColor="text1"/>
        </w:rPr>
        <w:t>myGov</w:t>
      </w:r>
      <w:proofErr w:type="spellEnd"/>
      <w:r w:rsidRPr="008F690F">
        <w:rPr>
          <w:color w:val="000000" w:themeColor="text1"/>
        </w:rPr>
        <w:t xml:space="preserve"> notifications will provide </w:t>
      </w:r>
      <w:r>
        <w:rPr>
          <w:color w:val="000000" w:themeColor="text1"/>
        </w:rPr>
        <w:t>customers</w:t>
      </w:r>
      <w:r w:rsidRPr="008F690F">
        <w:rPr>
          <w:color w:val="000000" w:themeColor="text1"/>
        </w:rPr>
        <w:t xml:space="preserve"> with a safe and trusted alternative to </w:t>
      </w:r>
      <w:r>
        <w:rPr>
          <w:color w:val="000000" w:themeColor="text1"/>
        </w:rPr>
        <w:t xml:space="preserve">get </w:t>
      </w:r>
      <w:r w:rsidRPr="008F690F">
        <w:rPr>
          <w:color w:val="000000" w:themeColor="text1"/>
        </w:rPr>
        <w:t>important and proactive messages from government agencies</w:t>
      </w:r>
      <w:r>
        <w:rPr>
          <w:color w:val="000000" w:themeColor="text1"/>
        </w:rPr>
        <w:t xml:space="preserve"> they interact with</w:t>
      </w:r>
      <w:r w:rsidRPr="008F690F">
        <w:rPr>
          <w:color w:val="000000" w:themeColor="text1"/>
        </w:rPr>
        <w:t>.</w:t>
      </w:r>
    </w:p>
    <w:p w14:paraId="4B4EAAEF" w14:textId="77777777" w:rsidR="007F4989" w:rsidRPr="008F690F" w:rsidRDefault="007F4989" w:rsidP="007F4989">
      <w:pPr>
        <w:pStyle w:val="BodyText"/>
        <w:rPr>
          <w:color w:val="000000" w:themeColor="text1"/>
        </w:rPr>
      </w:pPr>
      <w:r w:rsidRPr="008F690F">
        <w:rPr>
          <w:color w:val="000000" w:themeColor="text1"/>
        </w:rPr>
        <w:t xml:space="preserve">A streamlined </w:t>
      </w:r>
      <w:proofErr w:type="spellStart"/>
      <w:r w:rsidRPr="008F690F">
        <w:rPr>
          <w:color w:val="000000" w:themeColor="text1"/>
        </w:rPr>
        <w:t>myGov</w:t>
      </w:r>
      <w:proofErr w:type="spellEnd"/>
      <w:r w:rsidRPr="008F690F">
        <w:rPr>
          <w:color w:val="000000" w:themeColor="text1"/>
        </w:rPr>
        <w:t xml:space="preserve"> onboarding platform will allow more government agencies to </w:t>
      </w:r>
      <w:r>
        <w:rPr>
          <w:color w:val="000000" w:themeColor="text1"/>
        </w:rPr>
        <w:t>add</w:t>
      </w:r>
      <w:r w:rsidRPr="008F690F">
        <w:rPr>
          <w:color w:val="000000" w:themeColor="text1"/>
        </w:rPr>
        <w:t xml:space="preserve"> services to </w:t>
      </w:r>
      <w:proofErr w:type="spellStart"/>
      <w:r w:rsidRPr="008F690F">
        <w:rPr>
          <w:color w:val="000000" w:themeColor="text1"/>
        </w:rPr>
        <w:t>myGov</w:t>
      </w:r>
      <w:proofErr w:type="spellEnd"/>
      <w:r w:rsidRPr="008F690F">
        <w:rPr>
          <w:color w:val="000000" w:themeColor="text1"/>
        </w:rPr>
        <w:t xml:space="preserve">, </w:t>
      </w:r>
      <w:r>
        <w:rPr>
          <w:color w:val="000000" w:themeColor="text1"/>
        </w:rPr>
        <w:t>giving</w:t>
      </w:r>
      <w:r w:rsidRPr="008F690F">
        <w:rPr>
          <w:color w:val="000000" w:themeColor="text1"/>
        </w:rPr>
        <w:t xml:space="preserve"> Australians access to a broader range of government services</w:t>
      </w:r>
      <w:r>
        <w:rPr>
          <w:color w:val="000000" w:themeColor="text1"/>
        </w:rPr>
        <w:t xml:space="preserve"> all</w:t>
      </w:r>
      <w:r w:rsidRPr="008F690F">
        <w:rPr>
          <w:color w:val="000000" w:themeColor="text1"/>
        </w:rPr>
        <w:t xml:space="preserve"> in </w:t>
      </w:r>
      <w:r>
        <w:rPr>
          <w:color w:val="000000" w:themeColor="text1"/>
        </w:rPr>
        <w:t xml:space="preserve">the </w:t>
      </w:r>
      <w:r w:rsidRPr="008F690F">
        <w:rPr>
          <w:color w:val="000000" w:themeColor="text1"/>
        </w:rPr>
        <w:t>one place.</w:t>
      </w:r>
    </w:p>
    <w:p w14:paraId="2400768E" w14:textId="66EF224B" w:rsidR="007F4989" w:rsidRDefault="007F4989" w:rsidP="007F4989">
      <w:pPr>
        <w:pStyle w:val="BodyText"/>
      </w:pPr>
      <w:r w:rsidRPr="008F690F">
        <w:rPr>
          <w:color w:val="000000" w:themeColor="text1"/>
        </w:rPr>
        <w:t>Improving</w:t>
      </w:r>
      <w:r>
        <w:rPr>
          <w:color w:val="000000" w:themeColor="text1"/>
        </w:rPr>
        <w:t xml:space="preserve"> the</w:t>
      </w:r>
      <w:r w:rsidRPr="008F690F">
        <w:rPr>
          <w:color w:val="000000" w:themeColor="text1"/>
        </w:rPr>
        <w:t xml:space="preserve"> </w:t>
      </w:r>
      <w:proofErr w:type="spellStart"/>
      <w:r w:rsidRPr="008F690F">
        <w:rPr>
          <w:color w:val="000000" w:themeColor="text1"/>
        </w:rPr>
        <w:t>myGov</w:t>
      </w:r>
      <w:proofErr w:type="spellEnd"/>
      <w:r w:rsidRPr="008F690F">
        <w:rPr>
          <w:color w:val="000000" w:themeColor="text1"/>
        </w:rPr>
        <w:t xml:space="preserve"> account creation and recovery process will strengthen account security and enable users to regain access to their accounts more quickly and securely.</w:t>
      </w:r>
    </w:p>
    <w:p w14:paraId="63E86FA2" w14:textId="4822C0E5" w:rsidR="005F2781" w:rsidRPr="0096644D" w:rsidRDefault="00212FED" w:rsidP="00D87815">
      <w:pPr>
        <w:pStyle w:val="BodyText"/>
        <w:tabs>
          <w:tab w:val="left" w:pos="1985"/>
        </w:tabs>
        <w:rPr>
          <w:rFonts w:asciiTheme="majorHAnsi" w:hAnsiTheme="majorHAnsi"/>
          <w:b/>
          <w:bCs/>
          <w:sz w:val="28"/>
          <w:szCs w:val="28"/>
        </w:rPr>
      </w:pPr>
      <w:r w:rsidRPr="0096644D">
        <w:rPr>
          <w:rFonts w:asciiTheme="majorHAnsi" w:hAnsiTheme="majorHAnsi"/>
          <w:b/>
          <w:bCs/>
          <w:sz w:val="28"/>
          <w:szCs w:val="28"/>
        </w:rPr>
        <w:t>Other components</w:t>
      </w:r>
    </w:p>
    <w:p w14:paraId="0EF93756" w14:textId="6ECFB971" w:rsidR="00742091" w:rsidRDefault="00212FED" w:rsidP="00D32D7B">
      <w:pPr>
        <w:pStyle w:val="BodyText"/>
        <w:rPr>
          <w:color w:val="000000" w:themeColor="text1"/>
        </w:rPr>
      </w:pPr>
      <w:r>
        <w:rPr>
          <w:color w:val="000000" w:themeColor="text1"/>
        </w:rPr>
        <w:t xml:space="preserve">This measure also </w:t>
      </w:r>
      <w:r w:rsidR="008F61B7">
        <w:rPr>
          <w:color w:val="000000" w:themeColor="text1"/>
        </w:rPr>
        <w:t>delivers on the</w:t>
      </w:r>
      <w:r w:rsidR="00742091">
        <w:rPr>
          <w:color w:val="000000" w:themeColor="text1"/>
        </w:rPr>
        <w:t>:</w:t>
      </w:r>
    </w:p>
    <w:p w14:paraId="44A9A836" w14:textId="7B0CCE8E" w:rsidR="00742091" w:rsidRDefault="002C5C2B" w:rsidP="00742091">
      <w:pPr>
        <w:pStyle w:val="BodyText"/>
        <w:numPr>
          <w:ilvl w:val="0"/>
          <w:numId w:val="22"/>
        </w:numPr>
        <w:rPr>
          <w:color w:val="000000" w:themeColor="text1"/>
        </w:rPr>
      </w:pPr>
      <w:r w:rsidRPr="002C5C2B">
        <w:rPr>
          <w:i/>
          <w:iCs/>
          <w:color w:val="000000" w:themeColor="text1"/>
        </w:rPr>
        <w:t>Services Australia C</w:t>
      </w:r>
      <w:r w:rsidR="008F61B7" w:rsidRPr="002C5C2B">
        <w:rPr>
          <w:i/>
          <w:iCs/>
          <w:color w:val="000000" w:themeColor="text1"/>
        </w:rPr>
        <w:t>yber</w:t>
      </w:r>
      <w:r w:rsidRPr="002C5C2B">
        <w:rPr>
          <w:i/>
          <w:iCs/>
          <w:color w:val="000000" w:themeColor="text1"/>
        </w:rPr>
        <w:t xml:space="preserve"> S</w:t>
      </w:r>
      <w:r w:rsidR="008F61B7" w:rsidRPr="002C5C2B">
        <w:rPr>
          <w:i/>
          <w:iCs/>
          <w:color w:val="000000" w:themeColor="text1"/>
        </w:rPr>
        <w:t xml:space="preserve">ecurity </w:t>
      </w:r>
      <w:r w:rsidRPr="002C5C2B">
        <w:rPr>
          <w:i/>
          <w:iCs/>
          <w:color w:val="000000" w:themeColor="text1"/>
        </w:rPr>
        <w:t>U</w:t>
      </w:r>
      <w:r w:rsidR="008F61B7" w:rsidRPr="002C5C2B">
        <w:rPr>
          <w:i/>
          <w:iCs/>
          <w:color w:val="000000" w:themeColor="text1"/>
        </w:rPr>
        <w:t>plift</w:t>
      </w:r>
      <w:r w:rsidR="008F61B7" w:rsidRPr="00FE24DC">
        <w:rPr>
          <w:color w:val="000000" w:themeColor="text1"/>
        </w:rPr>
        <w:t xml:space="preserve"> p</w:t>
      </w:r>
      <w:r>
        <w:rPr>
          <w:color w:val="000000" w:themeColor="text1"/>
        </w:rPr>
        <w:t>rogram</w:t>
      </w:r>
    </w:p>
    <w:p w14:paraId="6DC6D251" w14:textId="4D7E0076" w:rsidR="00742091" w:rsidRDefault="002C5C2B" w:rsidP="00742091">
      <w:pPr>
        <w:pStyle w:val="BodyText"/>
        <w:numPr>
          <w:ilvl w:val="0"/>
          <w:numId w:val="22"/>
        </w:numPr>
        <w:rPr>
          <w:color w:val="000000" w:themeColor="text1"/>
        </w:rPr>
      </w:pPr>
      <w:r w:rsidRPr="002C5C2B">
        <w:rPr>
          <w:i/>
          <w:iCs/>
          <w:color w:val="000000" w:themeColor="text1"/>
        </w:rPr>
        <w:t>Services Australia long-term ICT Architecture Strategy</w:t>
      </w:r>
      <w:r>
        <w:rPr>
          <w:color w:val="000000" w:themeColor="text1"/>
        </w:rPr>
        <w:t>,</w:t>
      </w:r>
      <w:r w:rsidR="008F61B7">
        <w:rPr>
          <w:color w:val="000000" w:themeColor="text1"/>
        </w:rPr>
        <w:t xml:space="preserve"> published in the 2025</w:t>
      </w:r>
      <w:r w:rsidR="00397256">
        <w:rPr>
          <w:color w:val="000000" w:themeColor="text1"/>
        </w:rPr>
        <w:t>-</w:t>
      </w:r>
      <w:r w:rsidR="008F61B7">
        <w:rPr>
          <w:color w:val="000000" w:themeColor="text1"/>
        </w:rPr>
        <w:t xml:space="preserve">26 </w:t>
      </w:r>
      <w:r w:rsidR="00D118B1">
        <w:rPr>
          <w:color w:val="000000" w:themeColor="text1"/>
        </w:rPr>
        <w:t>PAES</w:t>
      </w:r>
      <w:r w:rsidR="008F61B7">
        <w:rPr>
          <w:color w:val="000000" w:themeColor="text1"/>
        </w:rPr>
        <w:t>.</w:t>
      </w:r>
    </w:p>
    <w:p w14:paraId="579F55EB" w14:textId="5B82B7BE" w:rsidR="005F2781" w:rsidRDefault="00742091">
      <w:pPr>
        <w:pStyle w:val="BodyText"/>
        <w:rPr>
          <w:color w:val="000000" w:themeColor="text1"/>
        </w:rPr>
      </w:pPr>
      <w:r>
        <w:rPr>
          <w:color w:val="000000" w:themeColor="text1"/>
        </w:rPr>
        <w:t>This</w:t>
      </w:r>
      <w:r w:rsidR="008F61B7">
        <w:rPr>
          <w:color w:val="000000" w:themeColor="text1"/>
        </w:rPr>
        <w:t xml:space="preserve"> measure include</w:t>
      </w:r>
      <w:r>
        <w:rPr>
          <w:color w:val="000000" w:themeColor="text1"/>
        </w:rPr>
        <w:t>s</w:t>
      </w:r>
      <w:r w:rsidR="008F61B7">
        <w:rPr>
          <w:color w:val="000000" w:themeColor="text1"/>
        </w:rPr>
        <w:t xml:space="preserve"> </w:t>
      </w:r>
      <w:r w:rsidR="00212FED">
        <w:rPr>
          <w:color w:val="000000" w:themeColor="text1"/>
        </w:rPr>
        <w:t xml:space="preserve">adjustments to the </w:t>
      </w:r>
      <w:r w:rsidR="00212FED" w:rsidRPr="00212FED">
        <w:rPr>
          <w:color w:val="000000" w:themeColor="text1"/>
        </w:rPr>
        <w:t>Services Australia</w:t>
      </w:r>
      <w:r w:rsidR="00212FED">
        <w:rPr>
          <w:color w:val="000000" w:themeColor="text1"/>
        </w:rPr>
        <w:t xml:space="preserve"> </w:t>
      </w:r>
      <w:r w:rsidR="00DD1858">
        <w:rPr>
          <w:color w:val="000000" w:themeColor="text1"/>
        </w:rPr>
        <w:t>b</w:t>
      </w:r>
      <w:r w:rsidR="00212FED">
        <w:rPr>
          <w:color w:val="000000" w:themeColor="text1"/>
        </w:rPr>
        <w:t>udget</w:t>
      </w:r>
      <w:r>
        <w:rPr>
          <w:color w:val="000000" w:themeColor="text1"/>
        </w:rPr>
        <w:t>. This relates</w:t>
      </w:r>
      <w:r w:rsidR="00212FED">
        <w:rPr>
          <w:color w:val="000000" w:themeColor="text1"/>
        </w:rPr>
        <w:t xml:space="preserve"> to</w:t>
      </w:r>
      <w:r w:rsidR="002C5C2B">
        <w:rPr>
          <w:color w:val="000000" w:themeColor="text1"/>
        </w:rPr>
        <w:t xml:space="preserve"> savings </w:t>
      </w:r>
      <w:r>
        <w:rPr>
          <w:color w:val="000000" w:themeColor="text1"/>
        </w:rPr>
        <w:t>from</w:t>
      </w:r>
      <w:r w:rsidR="002C5C2B">
        <w:rPr>
          <w:color w:val="000000" w:themeColor="text1"/>
        </w:rPr>
        <w:t xml:space="preserve"> re-prioritisation of funding from the 2023</w:t>
      </w:r>
      <w:r w:rsidR="00397256">
        <w:rPr>
          <w:color w:val="000000" w:themeColor="text1"/>
        </w:rPr>
        <w:t>-</w:t>
      </w:r>
      <w:r w:rsidR="002C5C2B">
        <w:rPr>
          <w:color w:val="000000" w:themeColor="text1"/>
        </w:rPr>
        <w:t xml:space="preserve">24 MYEFO measure </w:t>
      </w:r>
      <w:r w:rsidR="00212FED" w:rsidRPr="002C5C2B">
        <w:rPr>
          <w:i/>
          <w:iCs/>
          <w:color w:val="000000" w:themeColor="text1"/>
        </w:rPr>
        <w:t>Income</w:t>
      </w:r>
      <w:r w:rsidR="00E45A93" w:rsidRPr="002C5C2B">
        <w:rPr>
          <w:i/>
          <w:iCs/>
          <w:color w:val="000000" w:themeColor="text1"/>
        </w:rPr>
        <w:t xml:space="preserve"> </w:t>
      </w:r>
      <w:r w:rsidR="00212FED" w:rsidRPr="002C5C2B">
        <w:rPr>
          <w:i/>
          <w:iCs/>
          <w:color w:val="000000" w:themeColor="text1"/>
        </w:rPr>
        <w:t xml:space="preserve">Management </w:t>
      </w:r>
      <w:r w:rsidR="002C5C2B" w:rsidRPr="002C5C2B">
        <w:rPr>
          <w:i/>
          <w:iCs/>
          <w:color w:val="000000" w:themeColor="text1"/>
        </w:rPr>
        <w:t xml:space="preserve">and Enhanced Income Management </w:t>
      </w:r>
      <w:r w:rsidR="002C5C2B">
        <w:rPr>
          <w:i/>
          <w:iCs/>
          <w:color w:val="000000" w:themeColor="text1"/>
        </w:rPr>
        <w:t>–</w:t>
      </w:r>
      <w:r w:rsidR="002C5C2B" w:rsidRPr="002C5C2B">
        <w:rPr>
          <w:i/>
          <w:iCs/>
          <w:color w:val="000000" w:themeColor="text1"/>
        </w:rPr>
        <w:t xml:space="preserve"> </w:t>
      </w:r>
      <w:r w:rsidR="002C5C2B">
        <w:rPr>
          <w:i/>
          <w:iCs/>
          <w:color w:val="000000" w:themeColor="text1"/>
        </w:rPr>
        <w:t>t</w:t>
      </w:r>
      <w:r w:rsidR="002C5C2B" w:rsidRPr="002C5C2B">
        <w:rPr>
          <w:i/>
          <w:iCs/>
          <w:color w:val="000000" w:themeColor="text1"/>
        </w:rPr>
        <w:t xml:space="preserve">ransition </w:t>
      </w:r>
      <w:r w:rsidR="002C5C2B">
        <w:rPr>
          <w:i/>
          <w:iCs/>
          <w:color w:val="000000" w:themeColor="text1"/>
        </w:rPr>
        <w:t>a</w:t>
      </w:r>
      <w:r w:rsidR="002C5C2B" w:rsidRPr="002C5C2B">
        <w:rPr>
          <w:i/>
          <w:iCs/>
          <w:color w:val="000000" w:themeColor="text1"/>
        </w:rPr>
        <w:t>rrangements</w:t>
      </w:r>
      <w:r w:rsidR="00212FED">
        <w:rPr>
          <w:color w:val="000000" w:themeColor="text1"/>
        </w:rPr>
        <w:t>.</w:t>
      </w:r>
    </w:p>
    <w:p w14:paraId="0CB10BD5" w14:textId="028341A5" w:rsidR="00F76AB1" w:rsidRPr="00F76AB1" w:rsidRDefault="00F76AB1" w:rsidP="00D32D7B">
      <w:pPr>
        <w:pStyle w:val="BodyText"/>
        <w:rPr>
          <w:color w:val="000000" w:themeColor="text1"/>
        </w:rPr>
      </w:pPr>
      <w:r>
        <w:rPr>
          <w:color w:val="000000" w:themeColor="text1"/>
        </w:rPr>
        <w:t>This measure builds on the 2024</w:t>
      </w:r>
      <w:r w:rsidR="00397256">
        <w:rPr>
          <w:color w:val="000000" w:themeColor="text1"/>
        </w:rPr>
        <w:t>-</w:t>
      </w:r>
      <w:r>
        <w:rPr>
          <w:color w:val="000000" w:themeColor="text1"/>
        </w:rPr>
        <w:t xml:space="preserve">25 Budget measure </w:t>
      </w:r>
      <w:r w:rsidRPr="00F76AB1">
        <w:rPr>
          <w:i/>
          <w:iCs/>
          <w:color w:val="000000" w:themeColor="text1"/>
        </w:rPr>
        <w:t>Services Australia</w:t>
      </w:r>
      <w:r>
        <w:rPr>
          <w:i/>
          <w:iCs/>
          <w:color w:val="000000" w:themeColor="text1"/>
        </w:rPr>
        <w:t xml:space="preserve"> – additional resources</w:t>
      </w:r>
      <w:r>
        <w:rPr>
          <w:color w:val="000000" w:themeColor="text1"/>
        </w:rPr>
        <w:t>.</w:t>
      </w:r>
    </w:p>
    <w:p w14:paraId="006DC105" w14:textId="77777777" w:rsidR="00D87815" w:rsidRDefault="00D87815" w:rsidP="00D87815">
      <w:pPr>
        <w:pStyle w:val="BodyText"/>
      </w:pPr>
      <w:r>
        <w:t>This measure is led by Services Australia.</w:t>
      </w:r>
    </w:p>
    <w:p w14:paraId="0D928AD3" w14:textId="007A1729" w:rsidR="00D87815" w:rsidRDefault="00D87815" w:rsidP="00D87815">
      <w:pPr>
        <w:pStyle w:val="BodyText"/>
      </w:pPr>
      <w:r>
        <w:t>This measure isn’t subject to legislation passing.</w:t>
      </w:r>
    </w:p>
    <w:p w14:paraId="3D64A64A" w14:textId="77777777" w:rsidR="00EE67E4" w:rsidRPr="00D52C59" w:rsidRDefault="00EE67E4" w:rsidP="00EE67E4">
      <w:pPr>
        <w:pStyle w:val="Heading2"/>
      </w:pPr>
      <w:r w:rsidRPr="00D52C59">
        <w:t>Who this measure affect</w:t>
      </w:r>
      <w:r>
        <w:t>s</w:t>
      </w:r>
    </w:p>
    <w:p w14:paraId="594C2A0A" w14:textId="27AF549F" w:rsidR="00EE67E4" w:rsidRPr="008E4E63" w:rsidRDefault="00EE67E4" w:rsidP="00EE67E4">
      <w:pPr>
        <w:pStyle w:val="BodyText"/>
      </w:pPr>
      <w:r>
        <w:t>This affect</w:t>
      </w:r>
      <w:r w:rsidR="00DB4FFD">
        <w:t>s</w:t>
      </w:r>
      <w:r w:rsidR="00DE20C6">
        <w:t xml:space="preserve"> </w:t>
      </w:r>
      <w:r w:rsidR="00DE20C6" w:rsidRPr="00DE20C6">
        <w:t>all Services Australia customers and staff.</w:t>
      </w:r>
    </w:p>
    <w:p w14:paraId="59F5B492" w14:textId="77777777" w:rsidR="00EE67E4" w:rsidRPr="00D52C59" w:rsidRDefault="00EE67E4" w:rsidP="00EE67E4">
      <w:pPr>
        <w:pStyle w:val="Heading2"/>
      </w:pPr>
      <w:r w:rsidRPr="00D52C59">
        <w:t>When this start</w:t>
      </w:r>
      <w:r>
        <w:t>s</w:t>
      </w:r>
      <w:r w:rsidRPr="00D52C59">
        <w:t xml:space="preserve"> and finish</w:t>
      </w:r>
      <w:r>
        <w:t>es</w:t>
      </w:r>
    </w:p>
    <w:p w14:paraId="78D675D1" w14:textId="19D9EEE9" w:rsidR="006E1230" w:rsidRDefault="00DE20C6" w:rsidP="006E1230">
      <w:pPr>
        <w:pStyle w:val="BodyText"/>
      </w:pPr>
      <w:r w:rsidRPr="00DE20C6">
        <w:t>This measure start</w:t>
      </w:r>
      <w:r w:rsidR="0056563A">
        <w:t>ed</w:t>
      </w:r>
      <w:r w:rsidRPr="00DE20C6">
        <w:t xml:space="preserve"> on </w:t>
      </w:r>
      <w:r w:rsidR="0056563A">
        <w:t>5</w:t>
      </w:r>
      <w:r w:rsidRPr="00DE20C6">
        <w:t xml:space="preserve"> </w:t>
      </w:r>
      <w:r w:rsidR="0056563A">
        <w:t>February</w:t>
      </w:r>
      <w:r w:rsidRPr="00DE20C6">
        <w:t xml:space="preserve"> 2026 and ends on 30 June 2028.</w:t>
      </w:r>
    </w:p>
    <w:bookmarkEnd w:id="0"/>
    <w:sectPr w:rsidR="006E1230" w:rsidSect="0018373A">
      <w:headerReference w:type="default" r:id="rId10"/>
      <w:footerReference w:type="default" r:id="rId11"/>
      <w:headerReference w:type="first" r:id="rId12"/>
      <w:footerReference w:type="first" r:id="rId13"/>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0463" w14:textId="77777777" w:rsidR="006F40E2" w:rsidRDefault="006F40E2" w:rsidP="004E6AEA">
      <w:r>
        <w:separator/>
      </w:r>
    </w:p>
  </w:endnote>
  <w:endnote w:type="continuationSeparator" w:id="0">
    <w:p w14:paraId="0F509111" w14:textId="77777777" w:rsidR="006F40E2" w:rsidRDefault="006F40E2"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0593" w14:textId="4FF05EFA"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6ACB" w14:textId="6082FC2B"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72D9" w14:textId="77777777" w:rsidR="006F40E2" w:rsidRDefault="006F40E2" w:rsidP="004E6AEA">
      <w:r>
        <w:separator/>
      </w:r>
    </w:p>
  </w:footnote>
  <w:footnote w:type="continuationSeparator" w:id="0">
    <w:p w14:paraId="537F8AF3" w14:textId="77777777" w:rsidR="006F40E2" w:rsidRDefault="006F40E2"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0B8E" w14:textId="675A7E5D" w:rsidR="0092265D" w:rsidRPr="00415BA9" w:rsidRDefault="00EE67E4" w:rsidP="0092265D">
    <w:pPr>
      <w:pStyle w:val="BodyText"/>
      <w:pBdr>
        <w:bottom w:val="single" w:sz="4" w:space="3" w:color="auto"/>
      </w:pBdr>
    </w:pPr>
    <w:r>
      <w:t>Budget 202</w:t>
    </w:r>
    <w:r w:rsidR="00DE20C6">
      <w:t>6</w:t>
    </w:r>
    <w:r>
      <w:t>–2</w:t>
    </w:r>
    <w:r w:rsidR="00DE20C6">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EC7A" w14:textId="59E5F21A" w:rsidR="001F77EC" w:rsidRDefault="002A2347">
    <w:pPr>
      <w:pStyle w:val="Header"/>
    </w:pPr>
    <w:r>
      <w:rPr>
        <w:noProof/>
      </w:rPr>
      <w:drawing>
        <wp:inline distT="0" distB="0" distL="0" distR="0" wp14:anchorId="6585BBCB" wp14:editId="56823E40">
          <wp:extent cx="2236484" cy="610716"/>
          <wp:effectExtent l="0" t="0" r="0" b="0"/>
          <wp:docPr id="2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0"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0586E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65DD5"/>
    <w:multiLevelType w:val="hybridMultilevel"/>
    <w:tmpl w:val="149E5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161444"/>
    <w:multiLevelType w:val="hybridMultilevel"/>
    <w:tmpl w:val="3942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122ED"/>
    <w:multiLevelType w:val="hybridMultilevel"/>
    <w:tmpl w:val="4BD6D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B32219"/>
    <w:multiLevelType w:val="hybridMultilevel"/>
    <w:tmpl w:val="8174C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751656"/>
    <w:multiLevelType w:val="hybridMultilevel"/>
    <w:tmpl w:val="39421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83870347">
    <w:abstractNumId w:val="13"/>
  </w:num>
  <w:num w:numId="2" w16cid:durableId="1616054958">
    <w:abstractNumId w:val="10"/>
  </w:num>
  <w:num w:numId="3" w16cid:durableId="748893712">
    <w:abstractNumId w:val="12"/>
  </w:num>
  <w:num w:numId="4" w16cid:durableId="2085252927">
    <w:abstractNumId w:val="16"/>
  </w:num>
  <w:num w:numId="5" w16cid:durableId="430708627">
    <w:abstractNumId w:val="3"/>
  </w:num>
  <w:num w:numId="6" w16cid:durableId="918902543">
    <w:abstractNumId w:val="1"/>
  </w:num>
  <w:num w:numId="7" w16cid:durableId="396561142">
    <w:abstractNumId w:val="2"/>
  </w:num>
  <w:num w:numId="8" w16cid:durableId="1333797984">
    <w:abstractNumId w:val="0"/>
  </w:num>
  <w:num w:numId="9" w16cid:durableId="780538749">
    <w:abstractNumId w:val="15"/>
  </w:num>
  <w:num w:numId="10" w16cid:durableId="987781208">
    <w:abstractNumId w:val="2"/>
  </w:num>
  <w:num w:numId="11" w16cid:durableId="1852909080">
    <w:abstractNumId w:val="12"/>
    <w:lvlOverride w:ilvl="0">
      <w:startOverride w:val="1"/>
    </w:lvlOverride>
  </w:num>
  <w:num w:numId="12" w16cid:durableId="1561357952">
    <w:abstractNumId w:val="12"/>
    <w:lvlOverride w:ilvl="0">
      <w:startOverride w:val="1"/>
    </w:lvlOverride>
  </w:num>
  <w:num w:numId="13" w16cid:durableId="230892337">
    <w:abstractNumId w:val="11"/>
  </w:num>
  <w:num w:numId="14" w16cid:durableId="1466124686">
    <w:abstractNumId w:val="17"/>
  </w:num>
  <w:num w:numId="15" w16cid:durableId="1078361825">
    <w:abstractNumId w:val="4"/>
  </w:num>
  <w:num w:numId="16" w16cid:durableId="558324081">
    <w:abstractNumId w:val="14"/>
  </w:num>
  <w:num w:numId="17" w16cid:durableId="100420547">
    <w:abstractNumId w:val="13"/>
  </w:num>
  <w:num w:numId="18" w16cid:durableId="2126994963">
    <w:abstractNumId w:val="6"/>
  </w:num>
  <w:num w:numId="19" w16cid:durableId="929197285">
    <w:abstractNumId w:val="5"/>
  </w:num>
  <w:num w:numId="20" w16cid:durableId="657537858">
    <w:abstractNumId w:val="8"/>
  </w:num>
  <w:num w:numId="21" w16cid:durableId="355237099">
    <w:abstractNumId w:val="7"/>
  </w:num>
  <w:num w:numId="22" w16cid:durableId="396785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E4"/>
    <w:rsid w:val="000047F4"/>
    <w:rsid w:val="0000661A"/>
    <w:rsid w:val="00026444"/>
    <w:rsid w:val="000304D3"/>
    <w:rsid w:val="00037BBD"/>
    <w:rsid w:val="00076D34"/>
    <w:rsid w:val="00086472"/>
    <w:rsid w:val="000A05EC"/>
    <w:rsid w:val="000B15CD"/>
    <w:rsid w:val="000B24C5"/>
    <w:rsid w:val="000D208D"/>
    <w:rsid w:val="00133096"/>
    <w:rsid w:val="00145C8E"/>
    <w:rsid w:val="00175F41"/>
    <w:rsid w:val="0018373A"/>
    <w:rsid w:val="001B408E"/>
    <w:rsid w:val="001D4AB4"/>
    <w:rsid w:val="001F77EC"/>
    <w:rsid w:val="00212FED"/>
    <w:rsid w:val="002355E7"/>
    <w:rsid w:val="00242A4E"/>
    <w:rsid w:val="00250991"/>
    <w:rsid w:val="00257CA7"/>
    <w:rsid w:val="00272A1A"/>
    <w:rsid w:val="00283885"/>
    <w:rsid w:val="00291A38"/>
    <w:rsid w:val="0029788B"/>
    <w:rsid w:val="002A2347"/>
    <w:rsid w:val="002B3DAC"/>
    <w:rsid w:val="002C14C3"/>
    <w:rsid w:val="002C5C2B"/>
    <w:rsid w:val="00382659"/>
    <w:rsid w:val="00397256"/>
    <w:rsid w:val="003B62E1"/>
    <w:rsid w:val="003C3042"/>
    <w:rsid w:val="003F55AD"/>
    <w:rsid w:val="004047C9"/>
    <w:rsid w:val="0041526C"/>
    <w:rsid w:val="004722D7"/>
    <w:rsid w:val="0048747A"/>
    <w:rsid w:val="00492E73"/>
    <w:rsid w:val="004A65EC"/>
    <w:rsid w:val="004A7206"/>
    <w:rsid w:val="004B1595"/>
    <w:rsid w:val="004C26DC"/>
    <w:rsid w:val="004E1A66"/>
    <w:rsid w:val="004E6AEA"/>
    <w:rsid w:val="005035F5"/>
    <w:rsid w:val="00514333"/>
    <w:rsid w:val="0053414E"/>
    <w:rsid w:val="00540E0D"/>
    <w:rsid w:val="0056563A"/>
    <w:rsid w:val="005817B5"/>
    <w:rsid w:val="005A1C4D"/>
    <w:rsid w:val="005A777C"/>
    <w:rsid w:val="005B76F0"/>
    <w:rsid w:val="005E7245"/>
    <w:rsid w:val="005F2781"/>
    <w:rsid w:val="006037A5"/>
    <w:rsid w:val="006103A0"/>
    <w:rsid w:val="00615162"/>
    <w:rsid w:val="00621F5A"/>
    <w:rsid w:val="0064368D"/>
    <w:rsid w:val="006531C0"/>
    <w:rsid w:val="006759D4"/>
    <w:rsid w:val="00683B89"/>
    <w:rsid w:val="00690359"/>
    <w:rsid w:val="006938FD"/>
    <w:rsid w:val="006C6DBC"/>
    <w:rsid w:val="006D0926"/>
    <w:rsid w:val="006E1230"/>
    <w:rsid w:val="006E33EA"/>
    <w:rsid w:val="006F40E2"/>
    <w:rsid w:val="0070497A"/>
    <w:rsid w:val="00711788"/>
    <w:rsid w:val="00717384"/>
    <w:rsid w:val="00730090"/>
    <w:rsid w:val="00733FD7"/>
    <w:rsid w:val="00742091"/>
    <w:rsid w:val="00767810"/>
    <w:rsid w:val="00770CFD"/>
    <w:rsid w:val="007941A4"/>
    <w:rsid w:val="007B6A9D"/>
    <w:rsid w:val="007F4989"/>
    <w:rsid w:val="00800268"/>
    <w:rsid w:val="00816AC0"/>
    <w:rsid w:val="008261F0"/>
    <w:rsid w:val="00844838"/>
    <w:rsid w:val="008557F5"/>
    <w:rsid w:val="00856048"/>
    <w:rsid w:val="00857DDC"/>
    <w:rsid w:val="00867E8B"/>
    <w:rsid w:val="00883C5C"/>
    <w:rsid w:val="008A17B0"/>
    <w:rsid w:val="008D6724"/>
    <w:rsid w:val="008E2D47"/>
    <w:rsid w:val="008F61B7"/>
    <w:rsid w:val="0092265D"/>
    <w:rsid w:val="00925623"/>
    <w:rsid w:val="009646C2"/>
    <w:rsid w:val="0096644D"/>
    <w:rsid w:val="009804D4"/>
    <w:rsid w:val="0099537C"/>
    <w:rsid w:val="009B2AC7"/>
    <w:rsid w:val="009E5FE4"/>
    <w:rsid w:val="00A31770"/>
    <w:rsid w:val="00A34437"/>
    <w:rsid w:val="00A57DDC"/>
    <w:rsid w:val="00A62F7D"/>
    <w:rsid w:val="00A85DCD"/>
    <w:rsid w:val="00AB57D1"/>
    <w:rsid w:val="00AC3617"/>
    <w:rsid w:val="00AC4960"/>
    <w:rsid w:val="00AF0290"/>
    <w:rsid w:val="00B04DB0"/>
    <w:rsid w:val="00B04FAD"/>
    <w:rsid w:val="00B06B52"/>
    <w:rsid w:val="00B666E9"/>
    <w:rsid w:val="00B71E1C"/>
    <w:rsid w:val="00BB339A"/>
    <w:rsid w:val="00BF0372"/>
    <w:rsid w:val="00C352E1"/>
    <w:rsid w:val="00C36735"/>
    <w:rsid w:val="00C513A6"/>
    <w:rsid w:val="00C702D4"/>
    <w:rsid w:val="00C72793"/>
    <w:rsid w:val="00C8706A"/>
    <w:rsid w:val="00C93577"/>
    <w:rsid w:val="00CC5E8E"/>
    <w:rsid w:val="00CE4822"/>
    <w:rsid w:val="00D036A3"/>
    <w:rsid w:val="00D118B1"/>
    <w:rsid w:val="00D32D7B"/>
    <w:rsid w:val="00D4325C"/>
    <w:rsid w:val="00D87815"/>
    <w:rsid w:val="00D90EB3"/>
    <w:rsid w:val="00DA14C1"/>
    <w:rsid w:val="00DB4FFD"/>
    <w:rsid w:val="00DD1858"/>
    <w:rsid w:val="00DE20C6"/>
    <w:rsid w:val="00DF5C15"/>
    <w:rsid w:val="00E05F8E"/>
    <w:rsid w:val="00E26872"/>
    <w:rsid w:val="00E269D2"/>
    <w:rsid w:val="00E45A93"/>
    <w:rsid w:val="00E61B08"/>
    <w:rsid w:val="00E623E6"/>
    <w:rsid w:val="00E63986"/>
    <w:rsid w:val="00E74ED5"/>
    <w:rsid w:val="00EE67E4"/>
    <w:rsid w:val="00F031F8"/>
    <w:rsid w:val="00F04C7F"/>
    <w:rsid w:val="00F316D5"/>
    <w:rsid w:val="00F35374"/>
    <w:rsid w:val="00F71E85"/>
    <w:rsid w:val="00F76AB1"/>
    <w:rsid w:val="00F82A6F"/>
    <w:rsid w:val="00FA2C46"/>
    <w:rsid w:val="00FA42ED"/>
    <w:rsid w:val="00FB1AA8"/>
    <w:rsid w:val="00FD4325"/>
    <w:rsid w:val="00FE15C2"/>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04C0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 w:type="paragraph" w:customStyle="1" w:styleId="DHSHeadinglevel3">
    <w:name w:val="DHS Heading level 3"/>
    <w:basedOn w:val="Heading3"/>
    <w:next w:val="DHSBodytext"/>
    <w:locked/>
    <w:rsid w:val="00EE67E4"/>
    <w:pPr>
      <w:spacing w:before="240"/>
    </w:pPr>
    <w:rPr>
      <w:rFonts w:ascii="Arial" w:hAnsi="Arial" w:cstheme="minorHAnsi"/>
    </w:rPr>
  </w:style>
  <w:style w:type="paragraph" w:customStyle="1" w:styleId="DHSHeadinglevel4">
    <w:name w:val="DHS Heading level 4"/>
    <w:basedOn w:val="Heading4"/>
    <w:next w:val="DHSBodytext"/>
    <w:locked/>
    <w:rsid w:val="00EE67E4"/>
    <w:pPr>
      <w:spacing w:after="120"/>
    </w:pPr>
    <w:rPr>
      <w:rFonts w:ascii="Arial" w:hAnsi="Arial"/>
    </w:rPr>
  </w:style>
  <w:style w:type="paragraph" w:customStyle="1" w:styleId="DHSBodytext">
    <w:name w:val="DHS Body text"/>
    <w:basedOn w:val="Normal"/>
    <w:locked/>
    <w:rsid w:val="00EE67E4"/>
    <w:rPr>
      <w:rFonts w:ascii="Arial" w:hAnsi="Arial" w:cstheme="minorHAnsi"/>
      <w:sz w:val="24"/>
      <w:szCs w:val="24"/>
    </w:rPr>
  </w:style>
  <w:style w:type="character" w:styleId="PlaceholderText">
    <w:name w:val="Placeholder Text"/>
    <w:basedOn w:val="DefaultParagraphFont"/>
    <w:uiPriority w:val="99"/>
    <w:semiHidden/>
    <w:rsid w:val="00EE67E4"/>
    <w:rPr>
      <w:color w:val="808080"/>
    </w:rPr>
  </w:style>
  <w:style w:type="character" w:customStyle="1" w:styleId="Style1">
    <w:name w:val="Style1"/>
    <w:basedOn w:val="DefaultParagraphFont"/>
    <w:uiPriority w:val="1"/>
    <w:locked/>
    <w:rsid w:val="00EE67E4"/>
    <w:rPr>
      <w:rFonts w:ascii="Arial" w:hAnsi="Arial"/>
      <w:sz w:val="24"/>
    </w:rPr>
  </w:style>
  <w:style w:type="character" w:customStyle="1" w:styleId="Style2">
    <w:name w:val="Style2"/>
    <w:basedOn w:val="DefaultParagraphFont"/>
    <w:uiPriority w:val="1"/>
    <w:locked/>
    <w:rsid w:val="00EE67E4"/>
    <w:rPr>
      <w:rFonts w:ascii="Arial" w:hAnsi="Arial"/>
      <w:sz w:val="24"/>
    </w:rPr>
  </w:style>
  <w:style w:type="character" w:customStyle="1" w:styleId="Style3">
    <w:name w:val="Style3"/>
    <w:basedOn w:val="DefaultParagraphFont"/>
    <w:uiPriority w:val="1"/>
    <w:rsid w:val="00EE67E4"/>
    <w:rPr>
      <w:rFonts w:ascii="Arial" w:hAnsi="Arial"/>
      <w:sz w:val="24"/>
    </w:rPr>
  </w:style>
  <w:style w:type="character" w:styleId="FollowedHyperlink">
    <w:name w:val="FollowedHyperlink"/>
    <w:basedOn w:val="DefaultParagraphFont"/>
    <w:uiPriority w:val="99"/>
    <w:semiHidden/>
    <w:unhideWhenUsed/>
    <w:rsid w:val="00EE67E4"/>
    <w:rPr>
      <w:color w:val="1B365D" w:themeColor="followedHyperlink"/>
      <w:u w:val="single"/>
    </w:rPr>
  </w:style>
  <w:style w:type="character" w:styleId="UnresolvedMention">
    <w:name w:val="Unresolved Mention"/>
    <w:basedOn w:val="DefaultParagraphFont"/>
    <w:uiPriority w:val="99"/>
    <w:semiHidden/>
    <w:unhideWhenUsed/>
    <w:rsid w:val="00DE20C6"/>
    <w:rPr>
      <w:color w:val="605E5C"/>
      <w:shd w:val="clear" w:color="auto" w:fill="E1DFDD"/>
    </w:rPr>
  </w:style>
  <w:style w:type="character" w:styleId="CommentReference">
    <w:name w:val="annotation reference"/>
    <w:basedOn w:val="DefaultParagraphFont"/>
    <w:uiPriority w:val="99"/>
    <w:semiHidden/>
    <w:unhideWhenUsed/>
    <w:rsid w:val="007941A4"/>
    <w:rPr>
      <w:sz w:val="16"/>
      <w:szCs w:val="16"/>
    </w:rPr>
  </w:style>
  <w:style w:type="paragraph" w:styleId="CommentText">
    <w:name w:val="annotation text"/>
    <w:basedOn w:val="Normal"/>
    <w:link w:val="CommentTextChar"/>
    <w:uiPriority w:val="99"/>
    <w:semiHidden/>
    <w:unhideWhenUsed/>
    <w:rsid w:val="007941A4"/>
    <w:rPr>
      <w:szCs w:val="20"/>
    </w:rPr>
  </w:style>
  <w:style w:type="character" w:customStyle="1" w:styleId="CommentTextChar">
    <w:name w:val="Comment Text Char"/>
    <w:basedOn w:val="DefaultParagraphFont"/>
    <w:link w:val="CommentText"/>
    <w:uiPriority w:val="99"/>
    <w:semiHidden/>
    <w:rsid w:val="007941A4"/>
    <w:rPr>
      <w:rFonts w:ascii="Roboto" w:eastAsia="Times New Roman" w:hAnsi="Roboto" w:cs="Arial"/>
      <w:sz w:val="20"/>
      <w:szCs w:val="20"/>
      <w:lang w:eastAsia="en-AU"/>
    </w:rPr>
  </w:style>
  <w:style w:type="paragraph" w:styleId="CommentSubject">
    <w:name w:val="annotation subject"/>
    <w:basedOn w:val="CommentText"/>
    <w:next w:val="CommentText"/>
    <w:link w:val="CommentSubjectChar"/>
    <w:uiPriority w:val="99"/>
    <w:semiHidden/>
    <w:unhideWhenUsed/>
    <w:rsid w:val="007941A4"/>
    <w:rPr>
      <w:b/>
      <w:bCs/>
    </w:rPr>
  </w:style>
  <w:style w:type="character" w:customStyle="1" w:styleId="CommentSubjectChar">
    <w:name w:val="Comment Subject Char"/>
    <w:basedOn w:val="CommentTextChar"/>
    <w:link w:val="CommentSubject"/>
    <w:uiPriority w:val="99"/>
    <w:semiHidden/>
    <w:rsid w:val="007941A4"/>
    <w:rPr>
      <w:rFonts w:ascii="Roboto" w:eastAsia="Times New Roman" w:hAnsi="Roboto" w:cs="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57719">
      <w:bodyDiv w:val="1"/>
      <w:marLeft w:val="0"/>
      <w:marRight w:val="0"/>
      <w:marTop w:val="0"/>
      <w:marBottom w:val="0"/>
      <w:divBdr>
        <w:top w:val="none" w:sz="0" w:space="0" w:color="auto"/>
        <w:left w:val="none" w:sz="0" w:space="0" w:color="auto"/>
        <w:bottom w:val="none" w:sz="0" w:space="0" w:color="auto"/>
        <w:right w:val="none" w:sz="0" w:space="0" w:color="auto"/>
      </w:divBdr>
    </w:div>
    <w:div w:id="14452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80E34A52F76145811F6E9D7E68DC3D" ma:contentTypeVersion="4" ma:contentTypeDescription="Create a new document." ma:contentTypeScope="" ma:versionID="9a4249b1a85675301bda00f49e465518">
  <xsd:schema xmlns:xsd="http://www.w3.org/2001/XMLSchema" xmlns:xs="http://www.w3.org/2001/XMLSchema" xmlns:p="http://schemas.microsoft.com/office/2006/metadata/properties" xmlns:ns2="3d054db3-a3e6-4dbd-aa10-6026ba02ac3f" targetNamespace="http://schemas.microsoft.com/office/2006/metadata/properties" ma:root="true" ma:fieldsID="44eb1033be6d45053fe065ad9713b036" ns2:_="">
    <xsd:import namespace="3d054db3-a3e6-4dbd-aa10-6026ba02a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54db3-a3e6-4dbd-aa10-6026ba02a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D8509-268E-4B67-9EBE-5CE635F63622}">
  <ds:schemaRefs>
    <ds:schemaRef ds:uri="http://schemas.openxmlformats.org/package/2006/metadata/core-properties"/>
    <ds:schemaRef ds:uri="http://www.w3.org/XML/1998/namespace"/>
    <ds:schemaRef ds:uri="http://purl.org/dc/elements/1.1/"/>
    <ds:schemaRef ds:uri="http://purl.org/dc/dcmitype/"/>
    <ds:schemaRef ds:uri="3d054db3-a3e6-4dbd-aa10-6026ba02ac3f"/>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95F05F7-639C-4D6D-9446-68B135BE28D8}">
  <ds:schemaRefs>
    <ds:schemaRef ds:uri="http://schemas.microsoft.com/sharepoint/v3/contenttype/forms"/>
  </ds:schemaRefs>
</ds:datastoreItem>
</file>

<file path=customXml/itemProps3.xml><?xml version="1.0" encoding="utf-8"?>
<ds:datastoreItem xmlns:ds="http://schemas.openxmlformats.org/officeDocument/2006/customXml" ds:itemID="{A567D925-CA8F-4913-9468-91BC60A0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54db3-a3e6-4dbd-aa10-6026ba02a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4190</Characters>
  <Application>Microsoft Office Word</Application>
  <DocSecurity>0</DocSecurity>
  <Lines>79</Lines>
  <Paragraphs>60</Paragraphs>
  <ScaleCrop>false</ScaleCrop>
  <HeadingPairs>
    <vt:vector size="2" baseType="variant">
      <vt:variant>
        <vt:lpstr>Title</vt:lpstr>
      </vt:variant>
      <vt:variant>
        <vt:i4>1</vt:i4>
      </vt:variant>
    </vt:vector>
  </HeadingPairs>
  <TitlesOfParts>
    <vt:vector size="1" baseType="lpstr">
      <vt:lpstr>corp-op-document-portrait-text-only</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2026-27 - Services Australia – additional resourcing</dc:title>
  <dc:subject/>
  <dc:creator>Services Australia</dc:creator>
  <cp:keywords/>
  <dc:description/>
  <cp:lastModifiedBy/>
  <cp:revision>1</cp:revision>
  <dcterms:created xsi:type="dcterms:W3CDTF">2026-05-11T04:35:00Z</dcterms:created>
  <dcterms:modified xsi:type="dcterms:W3CDTF">2026-05-12T04:37:00Z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0x010100F880E34A52F76145811F6E9D7E68DC3D</vt:lpwstr>
  </property>
  <property fmtid="{D5CDD505-2E9C-101B-9397-08002B2CF9AE}" pid="3" name="_DocHome">
    <vt:i4>-1095906776</vt:i4>
  </property>
</Properties>
</file>