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270A7F2C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F33947">
        <w:t>6</w:t>
      </w:r>
      <w:r w:rsidR="00F33388">
        <w:t>-</w:t>
      </w:r>
      <w:r>
        <w:t>2</w:t>
      </w:r>
      <w:r w:rsidR="00F33947">
        <w:t>7</w:t>
      </w:r>
    </w:p>
    <w:p w14:paraId="169DA289" w14:textId="7B5E97EA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C71D77">
        <w:rPr>
          <w:rFonts w:asciiTheme="minorHAnsi" w:hAnsiTheme="minorHAnsi"/>
          <w:sz w:val="20"/>
          <w:szCs w:val="20"/>
        </w:rPr>
        <w:t>12</w:t>
      </w:r>
      <w:r w:rsidR="00643103" w:rsidRPr="00EE67E4">
        <w:rPr>
          <w:rFonts w:asciiTheme="minorHAnsi" w:hAnsiTheme="minorHAnsi"/>
          <w:sz w:val="20"/>
          <w:szCs w:val="20"/>
        </w:rPr>
        <w:t xml:space="preserve"> </w:t>
      </w:r>
      <w:r w:rsidR="00C71D77">
        <w:rPr>
          <w:rFonts w:asciiTheme="minorHAnsi" w:hAnsiTheme="minorHAnsi"/>
          <w:sz w:val="20"/>
          <w:szCs w:val="20"/>
        </w:rPr>
        <w:t>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B922EF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08B2E416" w:rsidR="00EE67E4" w:rsidRDefault="003531E8" w:rsidP="00EE67E4">
      <w:pPr>
        <w:pStyle w:val="Heading1"/>
      </w:pPr>
      <w:r w:rsidRPr="003531E8">
        <w:t>National Health Reform Agreement</w:t>
      </w:r>
      <w:r w:rsidR="001A4108">
        <w:t xml:space="preserve"> (NHRA)</w:t>
      </w:r>
      <w:r w:rsidRPr="003531E8">
        <w:t xml:space="preserve"> – hospital funding and Commonwealth investment in the public hospital system</w:t>
      </w:r>
    </w:p>
    <w:p w14:paraId="036407C6" w14:textId="1E55C3B4" w:rsidR="00EE67E4" w:rsidRDefault="00EE67E4" w:rsidP="00EE67E4">
      <w:pPr>
        <w:pStyle w:val="BodyText"/>
      </w:pPr>
      <w:r w:rsidRPr="00F85C8F">
        <w:t xml:space="preserve">CATEGORY: </w:t>
      </w:r>
      <w:r w:rsidR="00643103">
        <w:t>Health and disability</w:t>
      </w:r>
    </w:p>
    <w:p w14:paraId="5E5EDAD4" w14:textId="0D6D99CB" w:rsidR="001A4108" w:rsidRDefault="00357BAF" w:rsidP="00225FD9">
      <w:pPr>
        <w:pStyle w:val="BodyText"/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This</w:t>
      </w:r>
      <w:r w:rsidR="000754A4" w:rsidRPr="000754A4">
        <w:rPr>
          <w:rStyle w:val="Style3"/>
          <w:rFonts w:asciiTheme="minorHAnsi" w:hAnsiTheme="minorHAnsi"/>
          <w:sz w:val="20"/>
          <w:szCs w:val="20"/>
        </w:rPr>
        <w:t xml:space="preserve"> measure</w:t>
      </w:r>
      <w:r w:rsidR="000754A4">
        <w:rPr>
          <w:rStyle w:val="Style3"/>
          <w:rFonts w:asciiTheme="minorHAnsi" w:hAnsiTheme="minorHAnsi"/>
          <w:sz w:val="20"/>
          <w:szCs w:val="20"/>
        </w:rPr>
        <w:t xml:space="preserve"> will</w:t>
      </w:r>
      <w:r w:rsidR="00130FD6">
        <w:rPr>
          <w:rStyle w:val="Style3"/>
          <w:rFonts w:asciiTheme="minorHAnsi" w:hAnsiTheme="minorHAnsi"/>
          <w:sz w:val="20"/>
          <w:szCs w:val="20"/>
        </w:rPr>
        <w:t xml:space="preserve"> </w:t>
      </w:r>
      <w:r w:rsidR="00225FD9">
        <w:rPr>
          <w:rStyle w:val="Style3"/>
          <w:rFonts w:asciiTheme="minorHAnsi" w:hAnsiTheme="minorHAnsi"/>
          <w:sz w:val="20"/>
          <w:szCs w:val="20"/>
        </w:rPr>
        <w:t xml:space="preserve">increase funding transparency and </w:t>
      </w:r>
      <w:r w:rsidR="006853F7">
        <w:rPr>
          <w:rStyle w:val="Style3"/>
          <w:rFonts w:asciiTheme="minorHAnsi" w:hAnsiTheme="minorHAnsi"/>
          <w:sz w:val="20"/>
          <w:szCs w:val="20"/>
        </w:rPr>
        <w:t xml:space="preserve">help patients make an informed </w:t>
      </w:r>
      <w:r w:rsidR="00225FD9">
        <w:rPr>
          <w:rStyle w:val="Style3"/>
          <w:rFonts w:asciiTheme="minorHAnsi" w:hAnsiTheme="minorHAnsi"/>
          <w:sz w:val="20"/>
          <w:szCs w:val="20"/>
        </w:rPr>
        <w:t xml:space="preserve">decision </w:t>
      </w:r>
      <w:r w:rsidR="006853F7">
        <w:rPr>
          <w:rStyle w:val="Style3"/>
          <w:rFonts w:asciiTheme="minorHAnsi" w:hAnsiTheme="minorHAnsi"/>
          <w:sz w:val="20"/>
          <w:szCs w:val="20"/>
        </w:rPr>
        <w:t xml:space="preserve">when </w:t>
      </w:r>
      <w:r w:rsidR="00225FD9">
        <w:rPr>
          <w:rStyle w:val="Style3"/>
          <w:rFonts w:asciiTheme="minorHAnsi" w:hAnsiTheme="minorHAnsi"/>
          <w:sz w:val="20"/>
          <w:szCs w:val="20"/>
        </w:rPr>
        <w:t>cho</w:t>
      </w:r>
      <w:r w:rsidR="00F4241F">
        <w:rPr>
          <w:rStyle w:val="Style3"/>
          <w:rFonts w:asciiTheme="minorHAnsi" w:hAnsiTheme="minorHAnsi"/>
          <w:sz w:val="20"/>
          <w:szCs w:val="20"/>
        </w:rPr>
        <w:t>o</w:t>
      </w:r>
      <w:r w:rsidR="00225FD9">
        <w:rPr>
          <w:rStyle w:val="Style3"/>
          <w:rFonts w:asciiTheme="minorHAnsi" w:hAnsiTheme="minorHAnsi"/>
          <w:sz w:val="20"/>
          <w:szCs w:val="20"/>
        </w:rPr>
        <w:t>sing</w:t>
      </w:r>
      <w:r w:rsidR="006853F7">
        <w:rPr>
          <w:rStyle w:val="Style3"/>
          <w:rFonts w:asciiTheme="minorHAnsi" w:hAnsiTheme="minorHAnsi"/>
          <w:sz w:val="20"/>
          <w:szCs w:val="20"/>
        </w:rPr>
        <w:t xml:space="preserve"> </w:t>
      </w:r>
      <w:r w:rsidR="00225FD9">
        <w:rPr>
          <w:rStyle w:val="Style3"/>
          <w:rFonts w:asciiTheme="minorHAnsi" w:hAnsiTheme="minorHAnsi"/>
          <w:sz w:val="20"/>
          <w:szCs w:val="20"/>
        </w:rPr>
        <w:t>to be treated as</w:t>
      </w:r>
      <w:r w:rsidR="006853F7">
        <w:rPr>
          <w:rStyle w:val="Style3"/>
          <w:rFonts w:asciiTheme="minorHAnsi" w:hAnsiTheme="minorHAnsi"/>
          <w:sz w:val="20"/>
          <w:szCs w:val="20"/>
        </w:rPr>
        <w:t xml:space="preserve"> either</w:t>
      </w:r>
      <w:r w:rsidR="001A4108">
        <w:rPr>
          <w:rStyle w:val="Style3"/>
          <w:rFonts w:asciiTheme="minorHAnsi" w:hAnsiTheme="minorHAnsi"/>
          <w:sz w:val="20"/>
          <w:szCs w:val="20"/>
        </w:rPr>
        <w:t>:</w:t>
      </w:r>
    </w:p>
    <w:p w14:paraId="0DEF8896" w14:textId="48C28F5A" w:rsidR="001A4108" w:rsidRDefault="00225FD9" w:rsidP="001A4108">
      <w:pPr>
        <w:pStyle w:val="BodyText"/>
        <w:numPr>
          <w:ilvl w:val="0"/>
          <w:numId w:val="21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a private patient (with cost subsidised by various government programs such as the MBS)</w:t>
      </w:r>
    </w:p>
    <w:p w14:paraId="6658B4A4" w14:textId="42EF223A" w:rsidR="00C3716C" w:rsidRDefault="001A4108" w:rsidP="000152FB">
      <w:pPr>
        <w:pStyle w:val="BodyText"/>
        <w:numPr>
          <w:ilvl w:val="0"/>
          <w:numId w:val="21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 xml:space="preserve">a </w:t>
      </w:r>
      <w:r w:rsidR="00225FD9">
        <w:rPr>
          <w:rStyle w:val="Style3"/>
          <w:rFonts w:asciiTheme="minorHAnsi" w:hAnsiTheme="minorHAnsi"/>
          <w:sz w:val="20"/>
          <w:szCs w:val="20"/>
        </w:rPr>
        <w:t>public patient (with the cost fully met by the hospital, which in turn is funded via the NHRA).</w:t>
      </w:r>
    </w:p>
    <w:p w14:paraId="62C973D9" w14:textId="64E8E672" w:rsidR="00755080" w:rsidRDefault="001A4108" w:rsidP="00225FD9">
      <w:pPr>
        <w:pStyle w:val="BodyText"/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There will also be</w:t>
      </w:r>
      <w:r w:rsidR="00225FD9">
        <w:rPr>
          <w:rStyle w:val="Style3"/>
          <w:rFonts w:asciiTheme="minorHAnsi" w:hAnsiTheme="minorHAnsi"/>
          <w:sz w:val="20"/>
          <w:szCs w:val="20"/>
        </w:rPr>
        <w:t xml:space="preserve"> further requirements for states and territories in the 2026</w:t>
      </w:r>
      <w:r w:rsidR="00994960">
        <w:rPr>
          <w:rStyle w:val="Style3"/>
          <w:rFonts w:asciiTheme="minorHAnsi" w:hAnsiTheme="minorHAnsi"/>
          <w:sz w:val="20"/>
          <w:szCs w:val="20"/>
        </w:rPr>
        <w:t>-</w:t>
      </w:r>
      <w:r w:rsidR="00225FD9">
        <w:rPr>
          <w:rStyle w:val="Style3"/>
          <w:rFonts w:asciiTheme="minorHAnsi" w:hAnsiTheme="minorHAnsi"/>
          <w:sz w:val="20"/>
          <w:szCs w:val="20"/>
        </w:rPr>
        <w:t>31 NHRA Addendum</w:t>
      </w:r>
      <w:r w:rsidR="00C3716C">
        <w:rPr>
          <w:rStyle w:val="Style3"/>
          <w:rFonts w:asciiTheme="minorHAnsi" w:hAnsiTheme="minorHAnsi"/>
          <w:sz w:val="20"/>
          <w:szCs w:val="20"/>
        </w:rPr>
        <w:t>. The</w:t>
      </w:r>
      <w:r>
        <w:rPr>
          <w:rStyle w:val="Style3"/>
          <w:rFonts w:asciiTheme="minorHAnsi" w:hAnsiTheme="minorHAnsi"/>
          <w:sz w:val="20"/>
          <w:szCs w:val="20"/>
        </w:rPr>
        <w:t>se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 are:</w:t>
      </w:r>
    </w:p>
    <w:p w14:paraId="0EC79B33" w14:textId="3FFB59AE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 xml:space="preserve">introduce </w:t>
      </w:r>
      <w:r w:rsidR="00BD0486">
        <w:rPr>
          <w:rStyle w:val="Style3"/>
          <w:rFonts w:asciiTheme="minorHAnsi" w:hAnsiTheme="minorHAnsi"/>
          <w:sz w:val="20"/>
          <w:szCs w:val="20"/>
        </w:rPr>
        <w:t>a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 mechanism to review MBS</w:t>
      </w:r>
      <w:r w:rsidR="00C2369D">
        <w:rPr>
          <w:rStyle w:val="Style3"/>
          <w:rFonts w:asciiTheme="minorHAnsi" w:hAnsiTheme="minorHAnsi"/>
          <w:sz w:val="20"/>
          <w:szCs w:val="20"/>
        </w:rPr>
        <w:t xml:space="preserve"> and </w:t>
      </w:r>
      <w:r w:rsidR="00C3716C">
        <w:rPr>
          <w:rStyle w:val="Style3"/>
          <w:rFonts w:asciiTheme="minorHAnsi" w:hAnsiTheme="minorHAnsi"/>
          <w:sz w:val="20"/>
          <w:szCs w:val="20"/>
        </w:rPr>
        <w:t>NHRA interactions</w:t>
      </w:r>
      <w:r w:rsidR="00C2369D">
        <w:rPr>
          <w:rStyle w:val="Style3"/>
          <w:rFonts w:asciiTheme="minorHAnsi" w:hAnsiTheme="minorHAnsi"/>
          <w:sz w:val="20"/>
          <w:szCs w:val="20"/>
        </w:rPr>
        <w:t>,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 and selectively restor</w:t>
      </w:r>
      <w:r w:rsidR="00AF0FB9">
        <w:rPr>
          <w:rStyle w:val="Style3"/>
          <w:rFonts w:asciiTheme="minorHAnsi" w:hAnsiTheme="minorHAnsi"/>
          <w:sz w:val="20"/>
          <w:szCs w:val="20"/>
        </w:rPr>
        <w:t>e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 NHRA cost weights</w:t>
      </w:r>
    </w:p>
    <w:p w14:paraId="7CDFDCE5" w14:textId="725ACACF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 xml:space="preserve">introduce </w:t>
      </w:r>
      <w:r w:rsidR="00C3716C">
        <w:rPr>
          <w:rStyle w:val="Style3"/>
          <w:rFonts w:asciiTheme="minorHAnsi" w:hAnsiTheme="minorHAnsi"/>
          <w:sz w:val="20"/>
          <w:szCs w:val="20"/>
        </w:rPr>
        <w:t>direct data sharing</w:t>
      </w:r>
    </w:p>
    <w:p w14:paraId="567E7B22" w14:textId="053D9A78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e</w:t>
      </w:r>
      <w:r w:rsidR="00C3716C">
        <w:rPr>
          <w:rStyle w:val="Style3"/>
          <w:rFonts w:asciiTheme="minorHAnsi" w:hAnsiTheme="minorHAnsi"/>
          <w:sz w:val="20"/>
          <w:szCs w:val="20"/>
        </w:rPr>
        <w:t>xpand patient election requirements</w:t>
      </w:r>
    </w:p>
    <w:p w14:paraId="0359ADF6" w14:textId="7F19F9E9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 xml:space="preserve">introduce </w:t>
      </w:r>
      <w:r w:rsidR="00C3716C">
        <w:rPr>
          <w:rStyle w:val="Style3"/>
          <w:rFonts w:asciiTheme="minorHAnsi" w:hAnsiTheme="minorHAnsi"/>
          <w:sz w:val="20"/>
          <w:szCs w:val="20"/>
        </w:rPr>
        <w:t>regulation of Rights of Private Practice (</w:t>
      </w:r>
      <w:proofErr w:type="spellStart"/>
      <w:r w:rsidR="00C3716C">
        <w:rPr>
          <w:rStyle w:val="Style3"/>
          <w:rFonts w:asciiTheme="minorHAnsi" w:hAnsiTheme="minorHAnsi"/>
          <w:sz w:val="20"/>
          <w:szCs w:val="20"/>
        </w:rPr>
        <w:t>RoPP</w:t>
      </w:r>
      <w:proofErr w:type="spellEnd"/>
      <w:r w:rsidR="00C3716C">
        <w:rPr>
          <w:rStyle w:val="Style3"/>
          <w:rFonts w:asciiTheme="minorHAnsi" w:hAnsiTheme="minorHAnsi"/>
          <w:sz w:val="20"/>
          <w:szCs w:val="20"/>
        </w:rPr>
        <w:t>)</w:t>
      </w:r>
    </w:p>
    <w:p w14:paraId="619135DC" w14:textId="54B39A5F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 xml:space="preserve">introduce 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an ability to audit compliance with patient election and </w:t>
      </w:r>
      <w:proofErr w:type="spellStart"/>
      <w:r w:rsidR="00C3716C">
        <w:rPr>
          <w:rStyle w:val="Style3"/>
          <w:rFonts w:asciiTheme="minorHAnsi" w:hAnsiTheme="minorHAnsi"/>
          <w:sz w:val="20"/>
          <w:szCs w:val="20"/>
        </w:rPr>
        <w:t>RoPP</w:t>
      </w:r>
      <w:proofErr w:type="spellEnd"/>
      <w:r w:rsidR="00C3716C">
        <w:rPr>
          <w:rStyle w:val="Style3"/>
          <w:rFonts w:asciiTheme="minorHAnsi" w:hAnsiTheme="minorHAnsi"/>
          <w:sz w:val="20"/>
          <w:szCs w:val="20"/>
        </w:rPr>
        <w:t xml:space="preserve"> requirements</w:t>
      </w:r>
    </w:p>
    <w:p w14:paraId="071DB09E" w14:textId="09361CA9" w:rsidR="00C3716C" w:rsidRDefault="001A4108" w:rsidP="00C3716C">
      <w:pPr>
        <w:pStyle w:val="BodyText"/>
        <w:numPr>
          <w:ilvl w:val="0"/>
          <w:numId w:val="20"/>
        </w:numPr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s</w:t>
      </w:r>
      <w:r w:rsidR="00C3716C">
        <w:rPr>
          <w:rStyle w:val="Style3"/>
          <w:rFonts w:asciiTheme="minorHAnsi" w:hAnsiTheme="minorHAnsi"/>
          <w:sz w:val="20"/>
          <w:szCs w:val="20"/>
        </w:rPr>
        <w:t>trengthen existing NHRA clauses</w:t>
      </w:r>
      <w:r w:rsidR="00E5576D">
        <w:rPr>
          <w:rStyle w:val="Style3"/>
          <w:rFonts w:asciiTheme="minorHAnsi" w:hAnsiTheme="minorHAnsi"/>
          <w:sz w:val="20"/>
          <w:szCs w:val="20"/>
        </w:rPr>
        <w:t>.</w:t>
      </w:r>
    </w:p>
    <w:p w14:paraId="5A98A9FE" w14:textId="28A98CE8" w:rsidR="008B048D" w:rsidRDefault="008B048D" w:rsidP="00C3716C">
      <w:pPr>
        <w:pStyle w:val="BodyText"/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T</w:t>
      </w:r>
      <w:r w:rsidR="00C3716C">
        <w:rPr>
          <w:rStyle w:val="Style3"/>
          <w:rFonts w:asciiTheme="minorHAnsi" w:hAnsiTheme="minorHAnsi"/>
          <w:sz w:val="20"/>
          <w:szCs w:val="20"/>
        </w:rPr>
        <w:t>h</w:t>
      </w:r>
      <w:r w:rsidR="00211181">
        <w:rPr>
          <w:rStyle w:val="Style3"/>
          <w:rFonts w:asciiTheme="minorHAnsi" w:hAnsiTheme="minorHAnsi"/>
          <w:sz w:val="20"/>
          <w:szCs w:val="20"/>
        </w:rPr>
        <w:t xml:space="preserve">is </w:t>
      </w:r>
      <w:r w:rsidR="00C3716C">
        <w:rPr>
          <w:rStyle w:val="Style3"/>
          <w:rFonts w:asciiTheme="minorHAnsi" w:hAnsiTheme="minorHAnsi"/>
          <w:sz w:val="20"/>
          <w:szCs w:val="20"/>
        </w:rPr>
        <w:t xml:space="preserve">will limit the causes of duplicate payments and cost shifting between the MBS and NHRA funding streams </w:t>
      </w:r>
      <w:r w:rsidR="00AF0FB9">
        <w:rPr>
          <w:rStyle w:val="Style3"/>
          <w:rFonts w:asciiTheme="minorHAnsi" w:hAnsiTheme="minorHAnsi"/>
          <w:sz w:val="20"/>
          <w:szCs w:val="20"/>
        </w:rPr>
        <w:t>by providing patients with informed financial consent</w:t>
      </w:r>
      <w:r w:rsidR="00C3716C">
        <w:rPr>
          <w:rStyle w:val="Style3"/>
          <w:rFonts w:asciiTheme="minorHAnsi" w:hAnsiTheme="minorHAnsi"/>
          <w:sz w:val="20"/>
          <w:szCs w:val="20"/>
        </w:rPr>
        <w:t>.</w:t>
      </w:r>
    </w:p>
    <w:p w14:paraId="7EB9F02D" w14:textId="3C0B028C" w:rsidR="00EE67E4" w:rsidRPr="000754A4" w:rsidRDefault="00755080" w:rsidP="00755080">
      <w:pPr>
        <w:pStyle w:val="BodyTex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This measure is led by</w:t>
      </w:r>
      <w:r w:rsidR="00212F63">
        <w:rPr>
          <w:rFonts w:asciiTheme="minorHAnsi" w:hAnsiTheme="minorHAnsi"/>
          <w:szCs w:val="20"/>
        </w:rPr>
        <w:t xml:space="preserve"> </w:t>
      </w:r>
      <w:r w:rsidR="00E5576D">
        <w:rPr>
          <w:rFonts w:asciiTheme="minorHAnsi" w:hAnsiTheme="minorHAnsi"/>
          <w:szCs w:val="20"/>
        </w:rPr>
        <w:t>t</w:t>
      </w:r>
      <w:r w:rsidR="00251C73">
        <w:rPr>
          <w:rFonts w:asciiTheme="minorHAnsi" w:hAnsiTheme="minorHAnsi"/>
          <w:szCs w:val="20"/>
        </w:rPr>
        <w:t xml:space="preserve">he Department of </w:t>
      </w:r>
      <w:r w:rsidR="00225FD9">
        <w:rPr>
          <w:rFonts w:asciiTheme="minorHAnsi" w:hAnsiTheme="minorHAnsi"/>
          <w:szCs w:val="20"/>
        </w:rPr>
        <w:t>Health, Disability and Ageing.</w:t>
      </w:r>
    </w:p>
    <w:p w14:paraId="333CC52A" w14:textId="3CE9D36B" w:rsidR="00EE67E4" w:rsidRPr="00EE67E4" w:rsidRDefault="001A4108" w:rsidP="00EE67E4">
      <w:pPr>
        <w:pStyle w:val="BodyText"/>
      </w:pPr>
      <w:r>
        <w:t>This measure isn’t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4F5C4C6E" w:rsidR="00EE67E4" w:rsidRPr="008E4E63" w:rsidRDefault="00EE67E4" w:rsidP="0094247F">
      <w:pPr>
        <w:pStyle w:val="BodyText"/>
      </w:pPr>
      <w:r>
        <w:t xml:space="preserve">This affects </w:t>
      </w:r>
      <w:r w:rsidR="00C2369D">
        <w:t>state</w:t>
      </w:r>
      <w:r w:rsidR="00AF0FB9">
        <w:t xml:space="preserve"> public health services and staff, clinicians utili</w:t>
      </w:r>
      <w:r w:rsidR="00E5576D">
        <w:t>s</w:t>
      </w:r>
      <w:r w:rsidR="00AF0FB9">
        <w:t xml:space="preserve">ing </w:t>
      </w:r>
      <w:proofErr w:type="spellStart"/>
      <w:r w:rsidR="00AF0FB9">
        <w:t>RoPP</w:t>
      </w:r>
      <w:proofErr w:type="spellEnd"/>
      <w:r w:rsidR="00AF0FB9">
        <w:t xml:space="preserve"> and patients accessing state run health services.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0F3ECFB3" w:rsidR="00B06B52" w:rsidRPr="00F33388" w:rsidRDefault="000754A4" w:rsidP="00F33388">
      <w:pPr>
        <w:pStyle w:val="BodyText"/>
      </w:pPr>
      <w:r>
        <w:rPr>
          <w:rStyle w:val="Style3"/>
          <w:rFonts w:ascii="Roboto" w:hAnsi="Roboto"/>
          <w:sz w:val="20"/>
        </w:rPr>
        <w:t xml:space="preserve">This measure starts </w:t>
      </w:r>
      <w:r w:rsidR="006853F7">
        <w:rPr>
          <w:rStyle w:val="Style3"/>
          <w:rFonts w:ascii="Roboto" w:hAnsi="Roboto"/>
          <w:sz w:val="20"/>
        </w:rPr>
        <w:t>from</w:t>
      </w:r>
      <w:r>
        <w:rPr>
          <w:rStyle w:val="Style3"/>
          <w:rFonts w:ascii="Roboto" w:hAnsi="Roboto"/>
          <w:sz w:val="20"/>
        </w:rPr>
        <w:t xml:space="preserve"> 1 July 202</w:t>
      </w:r>
      <w:r w:rsidR="00AF0FB9">
        <w:rPr>
          <w:rStyle w:val="Style3"/>
          <w:rFonts w:ascii="Roboto" w:hAnsi="Roboto"/>
          <w:sz w:val="20"/>
        </w:rPr>
        <w:t xml:space="preserve">7 and </w:t>
      </w:r>
      <w:r w:rsidR="006853F7">
        <w:rPr>
          <w:rStyle w:val="Style3"/>
          <w:rFonts w:ascii="Roboto" w:hAnsi="Roboto"/>
          <w:sz w:val="20"/>
        </w:rPr>
        <w:t xml:space="preserve">will end </w:t>
      </w:r>
      <w:r>
        <w:rPr>
          <w:rStyle w:val="Style3"/>
          <w:rFonts w:ascii="Roboto" w:hAnsi="Roboto"/>
          <w:sz w:val="20"/>
        </w:rPr>
        <w:t>on 30 June 20</w:t>
      </w:r>
      <w:r w:rsidR="00AF0FB9">
        <w:rPr>
          <w:rStyle w:val="Style3"/>
          <w:rFonts w:ascii="Roboto" w:hAnsi="Roboto"/>
          <w:sz w:val="20"/>
        </w:rPr>
        <w:t>31</w:t>
      </w:r>
      <w:r w:rsidR="009E450A">
        <w:rPr>
          <w:rStyle w:val="Style3"/>
          <w:rFonts w:ascii="Roboto" w:hAnsi="Roboto"/>
          <w:sz w:val="20"/>
        </w:rPr>
        <w:t>.</w:t>
      </w:r>
      <w:bookmarkEnd w:id="0"/>
    </w:p>
    <w:sectPr w:rsidR="00B06B52" w:rsidRPr="00F33388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5B0B" w14:textId="77777777" w:rsidR="003D44EA" w:rsidRDefault="003D44EA" w:rsidP="004E6AEA">
      <w:r>
        <w:separator/>
      </w:r>
    </w:p>
  </w:endnote>
  <w:endnote w:type="continuationSeparator" w:id="0">
    <w:p w14:paraId="0BB868DF" w14:textId="77777777" w:rsidR="003D44EA" w:rsidRDefault="003D44EA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8D23" w14:textId="77777777" w:rsidR="003D44EA" w:rsidRDefault="003D44EA" w:rsidP="004E6AEA">
      <w:r>
        <w:separator/>
      </w:r>
    </w:p>
  </w:footnote>
  <w:footnote w:type="continuationSeparator" w:id="0">
    <w:p w14:paraId="40831E84" w14:textId="77777777" w:rsidR="003D44EA" w:rsidRDefault="003D44EA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5BB96192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2025–26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41EB"/>
    <w:multiLevelType w:val="hybridMultilevel"/>
    <w:tmpl w:val="3F4A5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507E2"/>
    <w:multiLevelType w:val="hybridMultilevel"/>
    <w:tmpl w:val="37D8E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4C67"/>
    <w:multiLevelType w:val="hybridMultilevel"/>
    <w:tmpl w:val="8346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1305C"/>
    <w:multiLevelType w:val="hybridMultilevel"/>
    <w:tmpl w:val="0DB079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710019">
    <w:abstractNumId w:val="11"/>
  </w:num>
  <w:num w:numId="2" w16cid:durableId="1189106005">
    <w:abstractNumId w:val="6"/>
  </w:num>
  <w:num w:numId="3" w16cid:durableId="2038071188">
    <w:abstractNumId w:val="10"/>
  </w:num>
  <w:num w:numId="4" w16cid:durableId="1554391438">
    <w:abstractNumId w:val="15"/>
  </w:num>
  <w:num w:numId="5" w16cid:durableId="1322268598">
    <w:abstractNumId w:val="3"/>
  </w:num>
  <w:num w:numId="6" w16cid:durableId="534733512">
    <w:abstractNumId w:val="1"/>
  </w:num>
  <w:num w:numId="7" w16cid:durableId="41292731">
    <w:abstractNumId w:val="2"/>
  </w:num>
  <w:num w:numId="8" w16cid:durableId="668411749">
    <w:abstractNumId w:val="0"/>
  </w:num>
  <w:num w:numId="9" w16cid:durableId="630405210">
    <w:abstractNumId w:val="14"/>
  </w:num>
  <w:num w:numId="10" w16cid:durableId="70586762">
    <w:abstractNumId w:val="2"/>
  </w:num>
  <w:num w:numId="11" w16cid:durableId="1892693362">
    <w:abstractNumId w:val="10"/>
    <w:lvlOverride w:ilvl="0">
      <w:startOverride w:val="1"/>
    </w:lvlOverride>
  </w:num>
  <w:num w:numId="12" w16cid:durableId="1247572462">
    <w:abstractNumId w:val="10"/>
    <w:lvlOverride w:ilvl="0">
      <w:startOverride w:val="1"/>
    </w:lvlOverride>
  </w:num>
  <w:num w:numId="13" w16cid:durableId="810557435">
    <w:abstractNumId w:val="7"/>
  </w:num>
  <w:num w:numId="14" w16cid:durableId="545505">
    <w:abstractNumId w:val="16"/>
  </w:num>
  <w:num w:numId="15" w16cid:durableId="1587881791">
    <w:abstractNumId w:val="4"/>
  </w:num>
  <w:num w:numId="16" w16cid:durableId="659306758">
    <w:abstractNumId w:val="13"/>
  </w:num>
  <w:num w:numId="17" w16cid:durableId="1923174707">
    <w:abstractNumId w:val="5"/>
  </w:num>
  <w:num w:numId="18" w16cid:durableId="138525495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61831029">
    <w:abstractNumId w:val="12"/>
  </w:num>
  <w:num w:numId="20" w16cid:durableId="665062323">
    <w:abstractNumId w:val="8"/>
  </w:num>
  <w:num w:numId="21" w16cid:durableId="1002003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152FB"/>
    <w:rsid w:val="00037BBD"/>
    <w:rsid w:val="000754A4"/>
    <w:rsid w:val="00086472"/>
    <w:rsid w:val="000A05EC"/>
    <w:rsid w:val="000B15CD"/>
    <w:rsid w:val="00130FD6"/>
    <w:rsid w:val="00133096"/>
    <w:rsid w:val="00145C8E"/>
    <w:rsid w:val="001535E5"/>
    <w:rsid w:val="0018373A"/>
    <w:rsid w:val="001A4108"/>
    <w:rsid w:val="001D4AB4"/>
    <w:rsid w:val="001F77EC"/>
    <w:rsid w:val="00211181"/>
    <w:rsid w:val="00212F63"/>
    <w:rsid w:val="00225FD9"/>
    <w:rsid w:val="002355E7"/>
    <w:rsid w:val="00242A4E"/>
    <w:rsid w:val="00251C73"/>
    <w:rsid w:val="00283885"/>
    <w:rsid w:val="002A2347"/>
    <w:rsid w:val="002C14C3"/>
    <w:rsid w:val="002F6FAC"/>
    <w:rsid w:val="003009BF"/>
    <w:rsid w:val="00300AB5"/>
    <w:rsid w:val="0034055D"/>
    <w:rsid w:val="003531E8"/>
    <w:rsid w:val="00357BAF"/>
    <w:rsid w:val="00382659"/>
    <w:rsid w:val="003A72C0"/>
    <w:rsid w:val="003B62E1"/>
    <w:rsid w:val="003D44EA"/>
    <w:rsid w:val="003D6E56"/>
    <w:rsid w:val="003F37C0"/>
    <w:rsid w:val="004047C9"/>
    <w:rsid w:val="0041526C"/>
    <w:rsid w:val="004659DB"/>
    <w:rsid w:val="004722D7"/>
    <w:rsid w:val="0048747A"/>
    <w:rsid w:val="00492E73"/>
    <w:rsid w:val="004A65EC"/>
    <w:rsid w:val="004C26DC"/>
    <w:rsid w:val="004E1A66"/>
    <w:rsid w:val="004E6AEA"/>
    <w:rsid w:val="00504DB7"/>
    <w:rsid w:val="00530F08"/>
    <w:rsid w:val="005A1C4D"/>
    <w:rsid w:val="005C0984"/>
    <w:rsid w:val="005D60EA"/>
    <w:rsid w:val="005E7245"/>
    <w:rsid w:val="005F3413"/>
    <w:rsid w:val="006103A0"/>
    <w:rsid w:val="00621F5A"/>
    <w:rsid w:val="00643103"/>
    <w:rsid w:val="0064368D"/>
    <w:rsid w:val="00644BC4"/>
    <w:rsid w:val="006525C6"/>
    <w:rsid w:val="006531C0"/>
    <w:rsid w:val="006759D4"/>
    <w:rsid w:val="00683B89"/>
    <w:rsid w:val="006853F7"/>
    <w:rsid w:val="00692B69"/>
    <w:rsid w:val="006938FD"/>
    <w:rsid w:val="006C6DBC"/>
    <w:rsid w:val="006D0926"/>
    <w:rsid w:val="006E33EA"/>
    <w:rsid w:val="00711788"/>
    <w:rsid w:val="00717384"/>
    <w:rsid w:val="00730090"/>
    <w:rsid w:val="00754A1C"/>
    <w:rsid w:val="00755080"/>
    <w:rsid w:val="007618A9"/>
    <w:rsid w:val="007737BE"/>
    <w:rsid w:val="007832CF"/>
    <w:rsid w:val="007D7B62"/>
    <w:rsid w:val="00800268"/>
    <w:rsid w:val="00816AC0"/>
    <w:rsid w:val="00844838"/>
    <w:rsid w:val="008557F5"/>
    <w:rsid w:val="00856048"/>
    <w:rsid w:val="00857DDC"/>
    <w:rsid w:val="008B048D"/>
    <w:rsid w:val="008D6724"/>
    <w:rsid w:val="008E2D47"/>
    <w:rsid w:val="00917BDF"/>
    <w:rsid w:val="0092265D"/>
    <w:rsid w:val="00922E46"/>
    <w:rsid w:val="00925623"/>
    <w:rsid w:val="0094247F"/>
    <w:rsid w:val="009646C2"/>
    <w:rsid w:val="009804D4"/>
    <w:rsid w:val="00994960"/>
    <w:rsid w:val="009B152B"/>
    <w:rsid w:val="009B2AC7"/>
    <w:rsid w:val="009E450A"/>
    <w:rsid w:val="009F4470"/>
    <w:rsid w:val="00A34437"/>
    <w:rsid w:val="00AB57D1"/>
    <w:rsid w:val="00AC4960"/>
    <w:rsid w:val="00AE69C2"/>
    <w:rsid w:val="00AF0290"/>
    <w:rsid w:val="00AF0FB9"/>
    <w:rsid w:val="00B04DB0"/>
    <w:rsid w:val="00B06B52"/>
    <w:rsid w:val="00B666E9"/>
    <w:rsid w:val="00B71AE2"/>
    <w:rsid w:val="00B922EF"/>
    <w:rsid w:val="00BD0486"/>
    <w:rsid w:val="00BD6739"/>
    <w:rsid w:val="00BF0372"/>
    <w:rsid w:val="00C068A3"/>
    <w:rsid w:val="00C2369D"/>
    <w:rsid w:val="00C36735"/>
    <w:rsid w:val="00C3716C"/>
    <w:rsid w:val="00C702D4"/>
    <w:rsid w:val="00C71945"/>
    <w:rsid w:val="00C71D77"/>
    <w:rsid w:val="00C72793"/>
    <w:rsid w:val="00C8706A"/>
    <w:rsid w:val="00C93577"/>
    <w:rsid w:val="00CC243A"/>
    <w:rsid w:val="00CF2BA0"/>
    <w:rsid w:val="00D036A3"/>
    <w:rsid w:val="00D3685D"/>
    <w:rsid w:val="00D77E8D"/>
    <w:rsid w:val="00D90EB3"/>
    <w:rsid w:val="00E5576D"/>
    <w:rsid w:val="00E61B08"/>
    <w:rsid w:val="00E66FAE"/>
    <w:rsid w:val="00E74ED5"/>
    <w:rsid w:val="00EE2D33"/>
    <w:rsid w:val="00EE67E4"/>
    <w:rsid w:val="00F031F8"/>
    <w:rsid w:val="00F04C7F"/>
    <w:rsid w:val="00F157D2"/>
    <w:rsid w:val="00F33388"/>
    <w:rsid w:val="00F33947"/>
    <w:rsid w:val="00F4241F"/>
    <w:rsid w:val="00F50FF6"/>
    <w:rsid w:val="00F673A5"/>
    <w:rsid w:val="00FA2C46"/>
    <w:rsid w:val="00FA42ED"/>
    <w:rsid w:val="00FA59F2"/>
    <w:rsid w:val="00FB5713"/>
    <w:rsid w:val="00FD4325"/>
    <w:rsid w:val="00FD5F70"/>
    <w:rsid w:val="00FD7EBF"/>
    <w:rsid w:val="00FE2829"/>
    <w:rsid w:val="00FE6C27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04C03B"/>
  <w15:chartTrackingRefBased/>
  <w15:docId w15:val="{56C1A151-5AE1-478E-AF05-8BBB3E83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0AB5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StyleArial10pt">
    <w:name w:val="Style Arial 10 pt"/>
    <w:basedOn w:val="DefaultParagraphFont"/>
    <w:uiPriority w:val="99"/>
    <w:rsid w:val="00300AB5"/>
    <w:rPr>
      <w:rFonts w:ascii="Arial" w:hAnsi="Arial" w:cs="Times New Roman" w:hint="defaul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5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F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F7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F7"/>
    <w:rPr>
      <w:rFonts w:ascii="Roboto" w:eastAsia="Times New Roman" w:hAnsi="Roboto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D8509-268E-4B67-9EBE-5CE635F6362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3d054db3-a3e6-4dbd-aa10-6026ba02ac3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1288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2026-27 - National Health Reform Agreement (NHRA) – hospital funding and Commonwealth investment in the public hospital system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National Health Reform Agreement (NHRA) – hospital funding and Commonwealth investment in the public hospital system</dc:title>
  <dc:subject/>
  <dc:creator>Services Australia</dc:creator>
  <cp:keywords/>
  <dc:description/>
  <cp:revision>3</cp:revision>
  <dcterms:created xsi:type="dcterms:W3CDTF">2026-05-07T02:53:00Z</dcterms:created>
  <dcterms:modified xsi:type="dcterms:W3CDTF">2026-05-12T05:23:00Z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