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AF8A1" w14:textId="362D7D52" w:rsidR="00683B89" w:rsidRDefault="00EE67E4" w:rsidP="00EE67E4">
      <w:pPr>
        <w:pStyle w:val="Title"/>
      </w:pPr>
      <w:bookmarkStart w:id="0" w:name="_Toc142718988"/>
      <w:r w:rsidRPr="00EE67E4">
        <w:t>Budget</w:t>
      </w:r>
      <w:r>
        <w:t xml:space="preserve"> 202</w:t>
      </w:r>
      <w:r w:rsidR="00E623E6">
        <w:t>6</w:t>
      </w:r>
      <w:r w:rsidR="00E33729">
        <w:t>-</w:t>
      </w:r>
      <w:r>
        <w:t>2</w:t>
      </w:r>
      <w:r w:rsidR="00E623E6">
        <w:t>7</w:t>
      </w:r>
    </w:p>
    <w:p w14:paraId="169DA289" w14:textId="380FC784" w:rsidR="00EE67E4" w:rsidRPr="00EE67E4" w:rsidRDefault="00EE67E4" w:rsidP="00EE67E4">
      <w:pPr>
        <w:pStyle w:val="DHSBodytext"/>
        <w:rPr>
          <w:rFonts w:asciiTheme="minorHAnsi" w:hAnsiTheme="minorHAnsi"/>
          <w:sz w:val="20"/>
          <w:szCs w:val="20"/>
        </w:rPr>
      </w:pPr>
      <w:r w:rsidRPr="00EE67E4">
        <w:rPr>
          <w:rFonts w:asciiTheme="minorHAnsi" w:hAnsiTheme="minorHAnsi"/>
          <w:sz w:val="20"/>
          <w:szCs w:val="20"/>
        </w:rPr>
        <w:t xml:space="preserve">This information is accurate as of </w:t>
      </w:r>
      <w:r w:rsidR="00E623E6">
        <w:rPr>
          <w:rFonts w:asciiTheme="minorHAnsi" w:hAnsiTheme="minorHAnsi"/>
          <w:sz w:val="20"/>
          <w:szCs w:val="20"/>
        </w:rPr>
        <w:t>12 May</w:t>
      </w:r>
      <w:r w:rsidRPr="00EE67E4">
        <w:rPr>
          <w:rFonts w:asciiTheme="minorHAnsi" w:hAnsiTheme="minorHAnsi"/>
          <w:sz w:val="20"/>
          <w:szCs w:val="20"/>
        </w:rPr>
        <w:t xml:space="preserve"> 202</w:t>
      </w:r>
      <w:r w:rsidR="00E623E6">
        <w:rPr>
          <w:rFonts w:asciiTheme="minorHAnsi" w:hAnsiTheme="minorHAnsi"/>
          <w:sz w:val="20"/>
          <w:szCs w:val="20"/>
        </w:rPr>
        <w:t>6</w:t>
      </w:r>
      <w:r w:rsidRPr="00EE67E4">
        <w:rPr>
          <w:rFonts w:asciiTheme="minorHAnsi" w:hAnsiTheme="minorHAnsi"/>
          <w:sz w:val="20"/>
          <w:szCs w:val="20"/>
        </w:rPr>
        <w:t>.</w:t>
      </w:r>
    </w:p>
    <w:p w14:paraId="53219863" w14:textId="30A44DC9" w:rsidR="00EE67E4" w:rsidRDefault="009844BF" w:rsidP="00EE67E4">
      <w:pPr>
        <w:pStyle w:val="Heading1"/>
      </w:pPr>
      <w:r>
        <w:t>Pharmaceutical Benefits Scheme new and amended listings</w:t>
      </w:r>
    </w:p>
    <w:p w14:paraId="036407C6" w14:textId="08E040A3" w:rsidR="00EE67E4" w:rsidRDefault="00EE67E4" w:rsidP="00EE67E4">
      <w:pPr>
        <w:pStyle w:val="BodyText"/>
      </w:pPr>
      <w:r w:rsidRPr="00F85C8F">
        <w:t xml:space="preserve">CATEGORY: </w:t>
      </w:r>
      <w:r w:rsidR="009844BF">
        <w:t>Health and disability</w:t>
      </w:r>
    </w:p>
    <w:p w14:paraId="59858F7D" w14:textId="77777777" w:rsidR="009844BF" w:rsidRDefault="009844BF" w:rsidP="009844BF">
      <w:pPr>
        <w:pStyle w:val="BodyText"/>
      </w:pPr>
      <w:r w:rsidRPr="009844BF">
        <w:t>The Pharmaceutical Benefits Scheme (PBS) provides subsidised access to medicines to</w:t>
      </w:r>
      <w:r>
        <w:t xml:space="preserve"> Australian residents and overseas visitors from countries under Reciprocal Health Care Agreements.</w:t>
      </w:r>
    </w:p>
    <w:p w14:paraId="73DE93DC" w14:textId="7F47B557" w:rsidR="009844BF" w:rsidRDefault="009844BF" w:rsidP="009844BF">
      <w:pPr>
        <w:pStyle w:val="BodyText"/>
      </w:pPr>
      <w:r w:rsidRPr="009844BF">
        <w:t>This measure lists new medicines on the PBS and expands access to others. It will provide better treatment and improved health for Australians.</w:t>
      </w:r>
    </w:p>
    <w:p w14:paraId="298017A9" w14:textId="7724CC99" w:rsidR="009844BF" w:rsidRDefault="009844BF" w:rsidP="009844BF">
      <w:pPr>
        <w:pStyle w:val="Heading2"/>
      </w:pPr>
      <w:r>
        <w:t>New and amended listings</w:t>
      </w:r>
    </w:p>
    <w:p w14:paraId="09A6CADE" w14:textId="3728A8B0" w:rsidR="00555B4B" w:rsidRPr="00006AE3" w:rsidRDefault="00555B4B" w:rsidP="00555B4B">
      <w:pPr>
        <w:pStyle w:val="DHSBodytext"/>
        <w:rPr>
          <w:rStyle w:val="PlaceholderText"/>
          <w:rFonts w:asciiTheme="minorHAnsi" w:hAnsiTheme="minorHAnsi" w:cs="Arial"/>
          <w:color w:val="auto"/>
          <w:sz w:val="20"/>
          <w:szCs w:val="20"/>
        </w:rPr>
      </w:pPr>
      <w:r w:rsidRPr="00180B17">
        <w:rPr>
          <w:rStyle w:val="PlaceholderText"/>
          <w:rFonts w:asciiTheme="minorHAnsi" w:hAnsiTheme="minorHAnsi" w:cs="Arial"/>
          <w:color w:val="auto"/>
          <w:sz w:val="20"/>
          <w:szCs w:val="20"/>
        </w:rPr>
        <w:t xml:space="preserve">From 1 </w:t>
      </w:r>
      <w:r>
        <w:rPr>
          <w:rStyle w:val="PlaceholderText"/>
          <w:rFonts w:asciiTheme="minorHAnsi" w:hAnsiTheme="minorHAnsi" w:cs="Arial"/>
          <w:color w:val="auto"/>
          <w:sz w:val="20"/>
          <w:szCs w:val="20"/>
        </w:rPr>
        <w:t>February</w:t>
      </w:r>
      <w:r w:rsidRPr="00180B17">
        <w:rPr>
          <w:rStyle w:val="PlaceholderText"/>
          <w:rFonts w:asciiTheme="minorHAnsi" w:hAnsiTheme="minorHAnsi" w:cs="Arial"/>
          <w:color w:val="auto"/>
          <w:sz w:val="20"/>
          <w:szCs w:val="20"/>
        </w:rPr>
        <w:t xml:space="preserve"> 202</w:t>
      </w:r>
      <w:r w:rsidRPr="00BB3F52">
        <w:rPr>
          <w:rStyle w:val="PlaceholderText"/>
          <w:rFonts w:asciiTheme="minorHAnsi" w:hAnsiTheme="minorHAnsi" w:cs="Arial"/>
          <w:color w:val="auto"/>
          <w:sz w:val="20"/>
          <w:szCs w:val="20"/>
        </w:rPr>
        <w:t>6</w:t>
      </w:r>
      <w:r w:rsidRPr="00006AE3">
        <w:rPr>
          <w:rStyle w:val="PlaceholderText"/>
          <w:rFonts w:asciiTheme="minorHAnsi" w:hAnsiTheme="minorHAnsi" w:cs="Arial"/>
          <w:color w:val="auto"/>
          <w:sz w:val="20"/>
          <w:szCs w:val="20"/>
        </w:rPr>
        <w:t xml:space="preserve">, </w:t>
      </w:r>
      <w:r w:rsidRPr="00180B17">
        <w:rPr>
          <w:rStyle w:val="PlaceholderText"/>
          <w:rFonts w:asciiTheme="minorHAnsi" w:hAnsiTheme="minorHAnsi" w:cs="Arial"/>
          <w:color w:val="auto"/>
          <w:sz w:val="20"/>
          <w:szCs w:val="20"/>
        </w:rPr>
        <w:t>new and amended listing</w:t>
      </w:r>
      <w:r w:rsidRPr="00BB3F52">
        <w:rPr>
          <w:rStyle w:val="PlaceholderText"/>
          <w:rFonts w:asciiTheme="minorHAnsi" w:hAnsiTheme="minorHAnsi" w:cs="Arial"/>
          <w:color w:val="auto"/>
          <w:sz w:val="20"/>
          <w:szCs w:val="20"/>
        </w:rPr>
        <w:t>s</w:t>
      </w:r>
      <w:r w:rsidRPr="00006AE3">
        <w:rPr>
          <w:rStyle w:val="PlaceholderText"/>
          <w:rFonts w:asciiTheme="minorHAnsi" w:hAnsiTheme="minorHAnsi" w:cs="Arial"/>
          <w:color w:val="auto"/>
          <w:sz w:val="20"/>
          <w:szCs w:val="20"/>
        </w:rPr>
        <w:t xml:space="preserve"> include:</w:t>
      </w:r>
    </w:p>
    <w:p w14:paraId="09E5ABEC" w14:textId="486063AB" w:rsidR="00FF5B82" w:rsidRDefault="00FF5B82" w:rsidP="00FF5B82">
      <w:pPr>
        <w:pStyle w:val="ListBullet"/>
      </w:pPr>
      <w:r>
        <w:t>Calcipotriol with betamethasone dipropionate (</w:t>
      </w:r>
      <w:proofErr w:type="spellStart"/>
      <w:r>
        <w:t>Wynzora</w:t>
      </w:r>
      <w:proofErr w:type="spellEnd"/>
      <w:r>
        <w:t>®) for the treatment of chronic stable plaque type psoriasis vulgaris.</w:t>
      </w:r>
    </w:p>
    <w:p w14:paraId="48065880" w14:textId="243B4E82" w:rsidR="00FF5B82" w:rsidRDefault="007A160A" w:rsidP="00A60E77">
      <w:pPr>
        <w:pStyle w:val="ListBullet"/>
      </w:pPr>
      <w:r>
        <w:t>Extension of the current listing of dapagliflozin (</w:t>
      </w:r>
      <w:proofErr w:type="spellStart"/>
      <w:r>
        <w:t>Forxiga</w:t>
      </w:r>
      <w:proofErr w:type="spellEnd"/>
      <w:r>
        <w:t>®) for chronic kidney disease.</w:t>
      </w:r>
    </w:p>
    <w:p w14:paraId="740DB6A3" w14:textId="2607AE5E" w:rsidR="007A160A" w:rsidRDefault="007A160A" w:rsidP="007A160A">
      <w:pPr>
        <w:pStyle w:val="ListBullet"/>
      </w:pPr>
      <w:proofErr w:type="spellStart"/>
      <w:r>
        <w:t>Vanzacaftor</w:t>
      </w:r>
      <w:proofErr w:type="spellEnd"/>
      <w:r>
        <w:t xml:space="preserve"> with </w:t>
      </w:r>
      <w:proofErr w:type="spellStart"/>
      <w:r>
        <w:t>Tezacaftor</w:t>
      </w:r>
      <w:proofErr w:type="spellEnd"/>
      <w:r>
        <w:t xml:space="preserve"> and with </w:t>
      </w:r>
      <w:proofErr w:type="spellStart"/>
      <w:r>
        <w:t>Deutivacaftor</w:t>
      </w:r>
      <w:proofErr w:type="spellEnd"/>
      <w:r>
        <w:t xml:space="preserve"> (</w:t>
      </w:r>
      <w:proofErr w:type="spellStart"/>
      <w:r>
        <w:t>Alyftrek</w:t>
      </w:r>
      <w:proofErr w:type="spellEnd"/>
      <w:r>
        <w:t>®) for the treatment of cystic fibrosis.</w:t>
      </w:r>
    </w:p>
    <w:p w14:paraId="07CA4B33" w14:textId="2C60B7E0" w:rsidR="00555B4B" w:rsidRPr="00006AE3" w:rsidRDefault="00555B4B" w:rsidP="00555B4B">
      <w:pPr>
        <w:pStyle w:val="DHSBodytext"/>
        <w:rPr>
          <w:rStyle w:val="PlaceholderText"/>
          <w:rFonts w:asciiTheme="minorHAnsi" w:hAnsiTheme="minorHAnsi" w:cs="Arial"/>
          <w:color w:val="auto"/>
          <w:sz w:val="20"/>
          <w:szCs w:val="20"/>
        </w:rPr>
      </w:pPr>
      <w:r>
        <w:rPr>
          <w:rStyle w:val="PlaceholderText"/>
          <w:rFonts w:asciiTheme="minorHAnsi" w:hAnsiTheme="minorHAnsi" w:cs="Arial"/>
          <w:color w:val="auto"/>
          <w:sz w:val="20"/>
          <w:szCs w:val="20"/>
        </w:rPr>
        <w:br/>
      </w:r>
      <w:r w:rsidRPr="00180B17">
        <w:rPr>
          <w:rStyle w:val="PlaceholderText"/>
          <w:rFonts w:asciiTheme="minorHAnsi" w:hAnsiTheme="minorHAnsi" w:cs="Arial"/>
          <w:color w:val="auto"/>
          <w:sz w:val="20"/>
          <w:szCs w:val="20"/>
        </w:rPr>
        <w:t xml:space="preserve">From 1 </w:t>
      </w:r>
      <w:r>
        <w:rPr>
          <w:rStyle w:val="PlaceholderText"/>
          <w:rFonts w:asciiTheme="minorHAnsi" w:hAnsiTheme="minorHAnsi" w:cs="Arial"/>
          <w:color w:val="auto"/>
          <w:sz w:val="20"/>
          <w:szCs w:val="20"/>
        </w:rPr>
        <w:t>March</w:t>
      </w:r>
      <w:r w:rsidRPr="00180B17">
        <w:rPr>
          <w:rStyle w:val="PlaceholderText"/>
          <w:rFonts w:asciiTheme="minorHAnsi" w:hAnsiTheme="minorHAnsi" w:cs="Arial"/>
          <w:color w:val="auto"/>
          <w:sz w:val="20"/>
          <w:szCs w:val="20"/>
        </w:rPr>
        <w:t xml:space="preserve"> 202</w:t>
      </w:r>
      <w:r w:rsidRPr="00BB3F52">
        <w:rPr>
          <w:rStyle w:val="PlaceholderText"/>
          <w:rFonts w:asciiTheme="minorHAnsi" w:hAnsiTheme="minorHAnsi" w:cs="Arial"/>
          <w:color w:val="auto"/>
          <w:sz w:val="20"/>
          <w:szCs w:val="20"/>
        </w:rPr>
        <w:t>6</w:t>
      </w:r>
      <w:r w:rsidRPr="00006AE3">
        <w:rPr>
          <w:rStyle w:val="PlaceholderText"/>
          <w:rFonts w:asciiTheme="minorHAnsi" w:hAnsiTheme="minorHAnsi" w:cs="Arial"/>
          <w:color w:val="auto"/>
          <w:sz w:val="20"/>
          <w:szCs w:val="20"/>
        </w:rPr>
        <w:t xml:space="preserve">, </w:t>
      </w:r>
      <w:r w:rsidRPr="00180B17">
        <w:rPr>
          <w:rStyle w:val="PlaceholderText"/>
          <w:rFonts w:asciiTheme="minorHAnsi" w:hAnsiTheme="minorHAnsi" w:cs="Arial"/>
          <w:color w:val="auto"/>
          <w:sz w:val="20"/>
          <w:szCs w:val="20"/>
        </w:rPr>
        <w:t>new and amended listing</w:t>
      </w:r>
      <w:r w:rsidRPr="00BB3F52">
        <w:rPr>
          <w:rStyle w:val="PlaceholderText"/>
          <w:rFonts w:asciiTheme="minorHAnsi" w:hAnsiTheme="minorHAnsi" w:cs="Arial"/>
          <w:color w:val="auto"/>
          <w:sz w:val="20"/>
          <w:szCs w:val="20"/>
        </w:rPr>
        <w:t>s</w:t>
      </w:r>
      <w:r w:rsidRPr="00006AE3">
        <w:rPr>
          <w:rStyle w:val="PlaceholderText"/>
          <w:rFonts w:asciiTheme="minorHAnsi" w:hAnsiTheme="minorHAnsi" w:cs="Arial"/>
          <w:color w:val="auto"/>
          <w:sz w:val="20"/>
          <w:szCs w:val="20"/>
        </w:rPr>
        <w:t xml:space="preserve"> include:</w:t>
      </w:r>
    </w:p>
    <w:p w14:paraId="0357502F" w14:textId="2E524348" w:rsidR="00B62EED" w:rsidRDefault="005D6C8B" w:rsidP="007A160A">
      <w:pPr>
        <w:pStyle w:val="ListBullet"/>
      </w:pPr>
      <w:proofErr w:type="spellStart"/>
      <w:r w:rsidRPr="005D6C8B">
        <w:t>Ravulizumab</w:t>
      </w:r>
      <w:proofErr w:type="spellEnd"/>
      <w:r w:rsidRPr="005D6C8B">
        <w:t xml:space="preserve"> (</w:t>
      </w:r>
      <w:proofErr w:type="spellStart"/>
      <w:r w:rsidRPr="005D6C8B">
        <w:t>Ultomiris</w:t>
      </w:r>
      <w:proofErr w:type="spellEnd"/>
      <w:r w:rsidRPr="005D6C8B">
        <w:t>®) for the treatment of generalised myasthenia gravis</w:t>
      </w:r>
      <w:r>
        <w:t>.</w:t>
      </w:r>
    </w:p>
    <w:p w14:paraId="7F84977F" w14:textId="0BABB198" w:rsidR="005D6C8B" w:rsidRDefault="00881A27" w:rsidP="007A160A">
      <w:pPr>
        <w:pStyle w:val="ListBullet"/>
      </w:pPr>
      <w:proofErr w:type="spellStart"/>
      <w:r w:rsidRPr="00881A27">
        <w:t>Glofitamab</w:t>
      </w:r>
      <w:proofErr w:type="spellEnd"/>
      <w:r w:rsidRPr="00881A27">
        <w:t xml:space="preserve"> (</w:t>
      </w:r>
      <w:proofErr w:type="spellStart"/>
      <w:r w:rsidRPr="00881A27">
        <w:t>Columvi</w:t>
      </w:r>
      <w:proofErr w:type="spellEnd"/>
      <w:r w:rsidRPr="005D6C8B">
        <w:t>®</w:t>
      </w:r>
      <w:r>
        <w:t xml:space="preserve">) </w:t>
      </w:r>
      <w:r w:rsidRPr="00881A27">
        <w:t>for the treatment of patients with relapsed or refractory diffuse large B-cell lymphoma</w:t>
      </w:r>
      <w:r>
        <w:t>.</w:t>
      </w:r>
    </w:p>
    <w:p w14:paraId="3A27C75D" w14:textId="6A31355D" w:rsidR="00881A27" w:rsidRDefault="00363DCC" w:rsidP="007A160A">
      <w:pPr>
        <w:pStyle w:val="ListBullet"/>
      </w:pPr>
      <w:proofErr w:type="spellStart"/>
      <w:r w:rsidRPr="00363DCC">
        <w:t>IncobotulinumtoxinA</w:t>
      </w:r>
      <w:proofErr w:type="spellEnd"/>
      <w:r w:rsidRPr="00363DCC">
        <w:t xml:space="preserve"> (</w:t>
      </w:r>
      <w:proofErr w:type="spellStart"/>
      <w:r w:rsidRPr="00363DCC">
        <w:t>Xeomin</w:t>
      </w:r>
      <w:proofErr w:type="spellEnd"/>
      <w:r w:rsidRPr="00363DCC">
        <w:t>®)</w:t>
      </w:r>
      <w:r>
        <w:t xml:space="preserve"> for </w:t>
      </w:r>
      <w:r w:rsidRPr="00363DCC">
        <w:t>the treatment of chronic sialorrhea due to neurological reasons.</w:t>
      </w:r>
    </w:p>
    <w:p w14:paraId="6A8A4262" w14:textId="1A00A4D5" w:rsidR="00967989" w:rsidRDefault="004E51A4" w:rsidP="007A160A">
      <w:pPr>
        <w:pStyle w:val="ListBullet"/>
      </w:pPr>
      <w:r>
        <w:t xml:space="preserve">Changes to the circumstances under which </w:t>
      </w:r>
      <w:r w:rsidRPr="004E51A4">
        <w:t>Nivolumab (Opdivo®) and Ipilimumab (</w:t>
      </w:r>
      <w:proofErr w:type="spellStart"/>
      <w:r w:rsidRPr="004E51A4">
        <w:t>Yervoy</w:t>
      </w:r>
      <w:proofErr w:type="spellEnd"/>
      <w:r w:rsidRPr="004E51A4">
        <w:t>®)</w:t>
      </w:r>
      <w:r>
        <w:t xml:space="preserve"> are made available </w:t>
      </w:r>
      <w:r w:rsidRPr="004E51A4">
        <w:t>to enable their use for advanced and metastatic cancers.</w:t>
      </w:r>
    </w:p>
    <w:p w14:paraId="17C87B59" w14:textId="67658229" w:rsidR="00555B4B" w:rsidRPr="00006AE3" w:rsidRDefault="00555B4B" w:rsidP="00515D88">
      <w:pPr>
        <w:pStyle w:val="ListBullet"/>
        <w:numPr>
          <w:ilvl w:val="0"/>
          <w:numId w:val="0"/>
        </w:numPr>
        <w:rPr>
          <w:rStyle w:val="PlaceholderText"/>
          <w:rFonts w:asciiTheme="minorHAnsi" w:hAnsiTheme="minorHAnsi"/>
          <w:color w:val="auto"/>
          <w:szCs w:val="20"/>
        </w:rPr>
      </w:pPr>
      <w:r>
        <w:br/>
      </w:r>
      <w:r w:rsidRPr="00180B17">
        <w:rPr>
          <w:rStyle w:val="PlaceholderText"/>
          <w:rFonts w:asciiTheme="minorHAnsi" w:hAnsiTheme="minorHAnsi"/>
          <w:color w:val="auto"/>
          <w:szCs w:val="20"/>
        </w:rPr>
        <w:t xml:space="preserve">From 1 </w:t>
      </w:r>
      <w:r>
        <w:rPr>
          <w:rStyle w:val="PlaceholderText"/>
          <w:rFonts w:asciiTheme="minorHAnsi" w:hAnsiTheme="minorHAnsi"/>
          <w:color w:val="auto"/>
          <w:szCs w:val="20"/>
        </w:rPr>
        <w:t>April</w:t>
      </w:r>
      <w:r w:rsidRPr="00180B17">
        <w:rPr>
          <w:rStyle w:val="PlaceholderText"/>
          <w:rFonts w:asciiTheme="minorHAnsi" w:hAnsiTheme="minorHAnsi"/>
          <w:color w:val="auto"/>
          <w:szCs w:val="20"/>
        </w:rPr>
        <w:t xml:space="preserve"> 202</w:t>
      </w:r>
      <w:r w:rsidRPr="00BB3F52">
        <w:rPr>
          <w:rStyle w:val="PlaceholderText"/>
          <w:rFonts w:asciiTheme="minorHAnsi" w:hAnsiTheme="minorHAnsi"/>
          <w:color w:val="auto"/>
          <w:szCs w:val="20"/>
        </w:rPr>
        <w:t>6</w:t>
      </w:r>
      <w:r w:rsidRPr="00006AE3">
        <w:rPr>
          <w:rStyle w:val="PlaceholderText"/>
          <w:rFonts w:asciiTheme="minorHAnsi" w:hAnsiTheme="minorHAnsi"/>
          <w:color w:val="auto"/>
          <w:szCs w:val="20"/>
        </w:rPr>
        <w:t xml:space="preserve">, </w:t>
      </w:r>
      <w:r w:rsidRPr="00180B17">
        <w:rPr>
          <w:rStyle w:val="PlaceholderText"/>
          <w:rFonts w:asciiTheme="minorHAnsi" w:hAnsiTheme="minorHAnsi"/>
          <w:color w:val="auto"/>
          <w:szCs w:val="20"/>
        </w:rPr>
        <w:t>new and amended listing</w:t>
      </w:r>
      <w:r w:rsidRPr="00BB3F52">
        <w:rPr>
          <w:rStyle w:val="PlaceholderText"/>
          <w:rFonts w:asciiTheme="minorHAnsi" w:hAnsiTheme="minorHAnsi"/>
          <w:color w:val="auto"/>
          <w:szCs w:val="20"/>
        </w:rPr>
        <w:t>s</w:t>
      </w:r>
      <w:r w:rsidRPr="00006AE3">
        <w:rPr>
          <w:rStyle w:val="PlaceholderText"/>
          <w:rFonts w:asciiTheme="minorHAnsi" w:hAnsiTheme="minorHAnsi"/>
          <w:color w:val="auto"/>
          <w:szCs w:val="20"/>
        </w:rPr>
        <w:t xml:space="preserve"> include:</w:t>
      </w:r>
    </w:p>
    <w:p w14:paraId="43AFD6C1" w14:textId="656D5E90" w:rsidR="00674D89" w:rsidRDefault="00674D89" w:rsidP="00674D89">
      <w:pPr>
        <w:pStyle w:val="ListBullet"/>
      </w:pPr>
      <w:proofErr w:type="spellStart"/>
      <w:r w:rsidRPr="00674D89">
        <w:t>Givosiran</w:t>
      </w:r>
      <w:proofErr w:type="spellEnd"/>
      <w:r w:rsidRPr="00674D89">
        <w:t xml:space="preserve"> (</w:t>
      </w:r>
      <w:proofErr w:type="spellStart"/>
      <w:r w:rsidRPr="00674D89">
        <w:t>Givlaari</w:t>
      </w:r>
      <w:proofErr w:type="spellEnd"/>
      <w:r w:rsidRPr="00674D89">
        <w:t xml:space="preserve">®) </w:t>
      </w:r>
      <w:r>
        <w:t>for treatment of Acute Hepatic Porphyria.</w:t>
      </w:r>
    </w:p>
    <w:p w14:paraId="127BEC3D" w14:textId="5339453A" w:rsidR="004E51A4" w:rsidRDefault="002B5572" w:rsidP="002431AA">
      <w:pPr>
        <w:pStyle w:val="ListBullet"/>
      </w:pPr>
      <w:r w:rsidRPr="002B5572">
        <w:t>Mogamulizumab (</w:t>
      </w:r>
      <w:proofErr w:type="spellStart"/>
      <w:r w:rsidRPr="002B5572">
        <w:t>Poteligeo</w:t>
      </w:r>
      <w:proofErr w:type="spellEnd"/>
      <w:r w:rsidR="00605A1D" w:rsidRPr="00674D89">
        <w:t>®</w:t>
      </w:r>
      <w:r w:rsidRPr="002B5572">
        <w:t>)</w:t>
      </w:r>
      <w:r>
        <w:t xml:space="preserve"> for the treatment of patients with relapsed or refractory cutaneous T cell lymphoma.</w:t>
      </w:r>
    </w:p>
    <w:p w14:paraId="629EC7B6" w14:textId="48EEE512" w:rsidR="002B5572" w:rsidRDefault="00C50138" w:rsidP="00E34BE5">
      <w:pPr>
        <w:pStyle w:val="ListBullet"/>
      </w:pPr>
      <w:proofErr w:type="spellStart"/>
      <w:r w:rsidRPr="00C50138">
        <w:t>Repotrectinib</w:t>
      </w:r>
      <w:proofErr w:type="spellEnd"/>
      <w:r w:rsidRPr="00C50138">
        <w:t xml:space="preserve"> (</w:t>
      </w:r>
      <w:proofErr w:type="spellStart"/>
      <w:r w:rsidRPr="00C50138">
        <w:t>Augtyro</w:t>
      </w:r>
      <w:proofErr w:type="spellEnd"/>
      <w:r w:rsidRPr="00C50138">
        <w:t>™)</w:t>
      </w:r>
      <w:r w:rsidR="008E4DB1">
        <w:t xml:space="preserve"> </w:t>
      </w:r>
      <w:r w:rsidR="00805021">
        <w:t>for the treatment of adult patients with locally advanced (Stage IIIB) or metastatic (Stage IV) c-ROS proto-oncogene 1 (ROS1) positive non-small cell lung cancer.</w:t>
      </w:r>
    </w:p>
    <w:p w14:paraId="73E3FF23" w14:textId="10954F8F" w:rsidR="001C4AE5" w:rsidRDefault="006E4E18" w:rsidP="008A5F42">
      <w:pPr>
        <w:pStyle w:val="ListBullet"/>
      </w:pPr>
      <w:proofErr w:type="spellStart"/>
      <w:r w:rsidRPr="006E4E18">
        <w:t>Garadacimab</w:t>
      </w:r>
      <w:proofErr w:type="spellEnd"/>
      <w:r w:rsidRPr="006E4E18">
        <w:t xml:space="preserve"> (</w:t>
      </w:r>
      <w:proofErr w:type="spellStart"/>
      <w:r w:rsidRPr="006E4E18">
        <w:t>Andembry</w:t>
      </w:r>
      <w:proofErr w:type="spellEnd"/>
      <w:r w:rsidRPr="006E4E18">
        <w:t>®)</w:t>
      </w:r>
      <w:r>
        <w:t xml:space="preserve"> for the prophylaxis of recurrent attacks of hereditary angioedema Types I and II.</w:t>
      </w:r>
    </w:p>
    <w:p w14:paraId="3B807D1F" w14:textId="2A3518D8" w:rsidR="0028242E" w:rsidRDefault="00062687" w:rsidP="002C3671">
      <w:pPr>
        <w:pStyle w:val="ListBullet"/>
      </w:pPr>
      <w:proofErr w:type="spellStart"/>
      <w:r w:rsidRPr="00062687">
        <w:t>Zilucoplan</w:t>
      </w:r>
      <w:proofErr w:type="spellEnd"/>
      <w:r w:rsidRPr="00062687">
        <w:t xml:space="preserve"> (</w:t>
      </w:r>
      <w:proofErr w:type="spellStart"/>
      <w:r w:rsidRPr="00062687">
        <w:t>Zilbrysq</w:t>
      </w:r>
      <w:proofErr w:type="spellEnd"/>
      <w:r w:rsidRPr="00062687">
        <w:t>®)</w:t>
      </w:r>
      <w:r>
        <w:t xml:space="preserve"> for the treatment of generalised myasthenia gravis.</w:t>
      </w:r>
    </w:p>
    <w:p w14:paraId="4E1CE8DA" w14:textId="25D2CA10" w:rsidR="0094778B" w:rsidRDefault="0094778B" w:rsidP="002C3671">
      <w:pPr>
        <w:pStyle w:val="ListBullet"/>
      </w:pPr>
      <w:proofErr w:type="spellStart"/>
      <w:r w:rsidRPr="0094778B">
        <w:t>Risdiplam</w:t>
      </w:r>
      <w:proofErr w:type="spellEnd"/>
      <w:r w:rsidRPr="0094778B">
        <w:t xml:space="preserve"> (</w:t>
      </w:r>
      <w:proofErr w:type="spellStart"/>
      <w:r w:rsidRPr="0094778B">
        <w:t>Evrysdi</w:t>
      </w:r>
      <w:proofErr w:type="spellEnd"/>
      <w:r w:rsidRPr="0094778B">
        <w:t>®)</w:t>
      </w:r>
      <w:r>
        <w:t xml:space="preserve"> </w:t>
      </w:r>
      <w:r w:rsidR="00B96FAD">
        <w:t xml:space="preserve">5 mg tablet </w:t>
      </w:r>
      <w:r w:rsidRPr="0094778B">
        <w:t>for the treatment of spinal muscular atrophy</w:t>
      </w:r>
      <w:r>
        <w:t>.</w:t>
      </w:r>
    </w:p>
    <w:p w14:paraId="791BBECD" w14:textId="62BF17A5" w:rsidR="0094778B" w:rsidRDefault="00C261CC" w:rsidP="00D62AEA">
      <w:pPr>
        <w:pStyle w:val="ListBullet"/>
      </w:pPr>
      <w:r w:rsidRPr="00C261CC">
        <w:lastRenderedPageBreak/>
        <w:t>Pembrolizumab</w:t>
      </w:r>
      <w:r w:rsidR="004D25C9">
        <w:t xml:space="preserve"> (Keytruda®)</w:t>
      </w:r>
      <w:r>
        <w:t xml:space="preserve"> for the treatment of </w:t>
      </w:r>
      <w:proofErr w:type="spellStart"/>
      <w:r>
        <w:t>resectable</w:t>
      </w:r>
      <w:proofErr w:type="spellEnd"/>
      <w:r>
        <w:t xml:space="preserve"> locally advanced head and neck squamous cell carcinoma.</w:t>
      </w:r>
    </w:p>
    <w:p w14:paraId="21DC2E02" w14:textId="7F8E9F44" w:rsidR="004D25C9" w:rsidRDefault="004D25C9" w:rsidP="00D62AEA">
      <w:pPr>
        <w:pStyle w:val="ListBullet"/>
      </w:pPr>
      <w:r w:rsidRPr="004D25C9">
        <w:t>Pembrolizumab (Keytruda®) for adjuvant treatment of patients with renal cell carcinoma</w:t>
      </w:r>
    </w:p>
    <w:p w14:paraId="36B939EB" w14:textId="19952D06" w:rsidR="00563A8F" w:rsidRDefault="00563A8F" w:rsidP="0089645B">
      <w:pPr>
        <w:pStyle w:val="ListBullet"/>
      </w:pPr>
      <w:proofErr w:type="spellStart"/>
      <w:r w:rsidRPr="00563A8F">
        <w:t>Elranatamab</w:t>
      </w:r>
      <w:proofErr w:type="spellEnd"/>
      <w:r w:rsidRPr="00563A8F">
        <w:t xml:space="preserve"> (Elrexfio®)</w:t>
      </w:r>
      <w:r>
        <w:t xml:space="preserve"> for the treatment of relapsed or refractory multiple myeloma.</w:t>
      </w:r>
    </w:p>
    <w:p w14:paraId="0AECF4FB" w14:textId="2E32740A" w:rsidR="00563A8F" w:rsidRDefault="00E504A6" w:rsidP="00DC4694">
      <w:pPr>
        <w:pStyle w:val="ListBullet"/>
      </w:pPr>
      <w:r w:rsidRPr="00E504A6">
        <w:t>Durvalumab (Imfinzi</w:t>
      </w:r>
      <w:r w:rsidR="00D73CFD" w:rsidRPr="00563A8F">
        <w:t>®</w:t>
      </w:r>
      <w:r w:rsidRPr="00E504A6">
        <w:t>)</w:t>
      </w:r>
      <w:r>
        <w:t xml:space="preserve"> </w:t>
      </w:r>
      <w:r w:rsidR="00944A32">
        <w:t xml:space="preserve">for the treatment of limited-stage </w:t>
      </w:r>
      <w:r w:rsidR="00D73CFD">
        <w:t>s</w:t>
      </w:r>
      <w:r w:rsidR="00944A32">
        <w:t>mall cell lung cancer.</w:t>
      </w:r>
    </w:p>
    <w:p w14:paraId="7ED09E95" w14:textId="77777777" w:rsidR="00B741CD" w:rsidRDefault="00B741CD" w:rsidP="002B10ED">
      <w:pPr>
        <w:pStyle w:val="DHSBodytext"/>
        <w:rPr>
          <w:rStyle w:val="PlaceholderText"/>
          <w:rFonts w:asciiTheme="minorHAnsi" w:hAnsiTheme="minorHAnsi" w:cs="Arial"/>
          <w:color w:val="auto"/>
          <w:sz w:val="20"/>
          <w:szCs w:val="20"/>
        </w:rPr>
      </w:pPr>
    </w:p>
    <w:p w14:paraId="6CD2179D" w14:textId="43145A15" w:rsidR="00555B4B" w:rsidRDefault="00555B4B" w:rsidP="002B10ED">
      <w:pPr>
        <w:pStyle w:val="DHSBodytext"/>
      </w:pPr>
      <w:r w:rsidRPr="00180B17">
        <w:rPr>
          <w:rStyle w:val="PlaceholderText"/>
          <w:rFonts w:asciiTheme="minorHAnsi" w:hAnsiTheme="minorHAnsi" w:cs="Arial"/>
          <w:color w:val="auto"/>
          <w:sz w:val="20"/>
          <w:szCs w:val="20"/>
        </w:rPr>
        <w:t xml:space="preserve">From 1 </w:t>
      </w:r>
      <w:r>
        <w:rPr>
          <w:rStyle w:val="PlaceholderText"/>
          <w:rFonts w:asciiTheme="minorHAnsi" w:hAnsiTheme="minorHAnsi" w:cs="Arial"/>
          <w:color w:val="auto"/>
          <w:sz w:val="20"/>
          <w:szCs w:val="20"/>
        </w:rPr>
        <w:t>May</w:t>
      </w:r>
      <w:r w:rsidRPr="00180B17">
        <w:rPr>
          <w:rStyle w:val="PlaceholderText"/>
          <w:rFonts w:asciiTheme="minorHAnsi" w:hAnsiTheme="minorHAnsi" w:cs="Arial"/>
          <w:color w:val="auto"/>
          <w:sz w:val="20"/>
          <w:szCs w:val="20"/>
        </w:rPr>
        <w:t xml:space="preserve"> 202</w:t>
      </w:r>
      <w:r w:rsidRPr="00BB3F52">
        <w:rPr>
          <w:rStyle w:val="PlaceholderText"/>
          <w:rFonts w:asciiTheme="minorHAnsi" w:hAnsiTheme="minorHAnsi" w:cs="Arial"/>
          <w:color w:val="auto"/>
          <w:sz w:val="20"/>
          <w:szCs w:val="20"/>
        </w:rPr>
        <w:t>6</w:t>
      </w:r>
      <w:r w:rsidRPr="00006AE3">
        <w:rPr>
          <w:rStyle w:val="PlaceholderText"/>
          <w:rFonts w:asciiTheme="minorHAnsi" w:hAnsiTheme="minorHAnsi" w:cs="Arial"/>
          <w:color w:val="auto"/>
          <w:sz w:val="20"/>
          <w:szCs w:val="20"/>
        </w:rPr>
        <w:t xml:space="preserve">, </w:t>
      </w:r>
      <w:r w:rsidRPr="00180B17">
        <w:rPr>
          <w:rStyle w:val="PlaceholderText"/>
          <w:rFonts w:asciiTheme="minorHAnsi" w:hAnsiTheme="minorHAnsi" w:cs="Arial"/>
          <w:color w:val="auto"/>
          <w:sz w:val="20"/>
          <w:szCs w:val="20"/>
        </w:rPr>
        <w:t>new and amended listing</w:t>
      </w:r>
      <w:r w:rsidRPr="00BB3F52">
        <w:rPr>
          <w:rStyle w:val="PlaceholderText"/>
          <w:rFonts w:asciiTheme="minorHAnsi" w:hAnsiTheme="minorHAnsi" w:cs="Arial"/>
          <w:color w:val="auto"/>
          <w:sz w:val="20"/>
          <w:szCs w:val="20"/>
        </w:rPr>
        <w:t>s</w:t>
      </w:r>
      <w:r w:rsidRPr="00006AE3">
        <w:rPr>
          <w:rStyle w:val="PlaceholderText"/>
          <w:rFonts w:asciiTheme="minorHAnsi" w:hAnsiTheme="minorHAnsi" w:cs="Arial"/>
          <w:color w:val="auto"/>
          <w:sz w:val="20"/>
          <w:szCs w:val="20"/>
        </w:rPr>
        <w:t xml:space="preserve"> include:</w:t>
      </w:r>
    </w:p>
    <w:p w14:paraId="6B144CFF" w14:textId="2460BADC" w:rsidR="00083E8A" w:rsidRDefault="00083E8A" w:rsidP="00B941A1">
      <w:pPr>
        <w:pStyle w:val="ListBullet"/>
      </w:pPr>
      <w:proofErr w:type="spellStart"/>
      <w:r w:rsidRPr="00083E8A">
        <w:t>Glycopyrronium</w:t>
      </w:r>
      <w:proofErr w:type="spellEnd"/>
      <w:r w:rsidRPr="00083E8A">
        <w:t xml:space="preserve"> (</w:t>
      </w:r>
      <w:proofErr w:type="spellStart"/>
      <w:r w:rsidRPr="00083E8A">
        <w:t>Axhidrox</w:t>
      </w:r>
      <w:proofErr w:type="spellEnd"/>
      <w:r w:rsidR="00E43B6C">
        <w:t>®</w:t>
      </w:r>
      <w:r w:rsidRPr="00083E8A">
        <w:t>)</w:t>
      </w:r>
      <w:r w:rsidR="00D1540E" w:rsidRPr="00D1540E">
        <w:t xml:space="preserve"> </w:t>
      </w:r>
      <w:r w:rsidR="00D1540E">
        <w:t>for the treatment of patients with severe primary axillary hyperhidrosis.</w:t>
      </w:r>
    </w:p>
    <w:p w14:paraId="194FF3E8" w14:textId="72BADFD4" w:rsidR="000A17C3" w:rsidRDefault="000A17C3" w:rsidP="000A17C3">
      <w:pPr>
        <w:pStyle w:val="BodyText"/>
      </w:pPr>
      <w:r>
        <w:t>The PBS is managed by the Department of Health</w:t>
      </w:r>
      <w:r w:rsidR="006506FA">
        <w:t>, Disability</w:t>
      </w:r>
      <w:r>
        <w:t xml:space="preserve"> and Ag</w:t>
      </w:r>
      <w:r w:rsidR="006506FA">
        <w:t>eing</w:t>
      </w:r>
      <w:r>
        <w:t xml:space="preserve"> and administered by Services Australia.</w:t>
      </w:r>
    </w:p>
    <w:p w14:paraId="7D04D286" w14:textId="79195FF6" w:rsidR="009844BF" w:rsidRDefault="000A17C3" w:rsidP="000A17C3">
      <w:pPr>
        <w:pStyle w:val="BodyText"/>
      </w:pPr>
      <w:r>
        <w:t>This measure isn</w:t>
      </w:r>
      <w:r w:rsidR="00C92EE1">
        <w:t>’</w:t>
      </w:r>
      <w:r>
        <w:t>t subject to legislation passing.</w:t>
      </w:r>
    </w:p>
    <w:p w14:paraId="3D64A64A" w14:textId="77777777" w:rsidR="00EE67E4" w:rsidRPr="00D52C59" w:rsidRDefault="00EE67E4" w:rsidP="00EE67E4">
      <w:pPr>
        <w:pStyle w:val="Heading2"/>
      </w:pPr>
      <w:r w:rsidRPr="00D52C59">
        <w:t>Who this measure affect</w:t>
      </w:r>
      <w:r>
        <w:t>s</w:t>
      </w:r>
    </w:p>
    <w:p w14:paraId="594C2A0A" w14:textId="44FD680A" w:rsidR="00EE67E4" w:rsidRPr="008E4E63" w:rsidRDefault="00EE67E4" w:rsidP="00EE67E4">
      <w:pPr>
        <w:pStyle w:val="BodyText"/>
      </w:pPr>
      <w:r>
        <w:t>This affect</w:t>
      </w:r>
      <w:r w:rsidR="00DB4FFD">
        <w:t xml:space="preserve">s </w:t>
      </w:r>
      <w:r w:rsidR="00AE54B0" w:rsidRPr="00AE54B0">
        <w:t>Australian residents and overseas visitors from countries under Reciprocal Health Care Agreements.</w:t>
      </w:r>
    </w:p>
    <w:p w14:paraId="59F5B492" w14:textId="77777777" w:rsidR="00EE67E4" w:rsidRPr="00D52C59" w:rsidRDefault="00EE67E4" w:rsidP="00EE67E4">
      <w:pPr>
        <w:pStyle w:val="Heading2"/>
      </w:pPr>
      <w:r w:rsidRPr="00D52C59">
        <w:t>When this start</w:t>
      </w:r>
      <w:r>
        <w:t>s</w:t>
      </w:r>
      <w:r w:rsidRPr="00D52C59">
        <w:t xml:space="preserve"> and finish</w:t>
      </w:r>
      <w:r>
        <w:t>es</w:t>
      </w:r>
    </w:p>
    <w:p w14:paraId="79C2A5D4" w14:textId="1031FF8E" w:rsidR="00B06B52" w:rsidRDefault="00AE54B0">
      <w:pPr>
        <w:spacing w:after="160" w:line="259" w:lineRule="auto"/>
        <w:rPr>
          <w:b/>
          <w:bCs/>
          <w:highlight w:val="yellow"/>
        </w:rPr>
      </w:pPr>
      <w:r w:rsidRPr="00AE54B0">
        <w:t>The new and amended PBS listings are effective from</w:t>
      </w:r>
      <w:r w:rsidR="003D5564">
        <w:t xml:space="preserve"> the</w:t>
      </w:r>
      <w:r w:rsidRPr="00AE54B0">
        <w:t xml:space="preserve"> dates stated above and are ongoing.</w:t>
      </w:r>
      <w:bookmarkEnd w:id="0"/>
    </w:p>
    <w:sectPr w:rsidR="00B06B52" w:rsidSect="0018373A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592" w:right="1133" w:bottom="993" w:left="1134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B506E" w14:textId="77777777" w:rsidR="00E8068F" w:rsidRDefault="00E8068F" w:rsidP="004E6AEA">
      <w:r>
        <w:separator/>
      </w:r>
    </w:p>
  </w:endnote>
  <w:endnote w:type="continuationSeparator" w:id="0">
    <w:p w14:paraId="5BDC31C6" w14:textId="77777777" w:rsidR="00E8068F" w:rsidRDefault="00E8068F" w:rsidP="004E6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30593" w14:textId="4FF05EFA" w:rsidR="00857DDC" w:rsidRPr="0092265D" w:rsidRDefault="0092265D" w:rsidP="0092265D">
    <w:pPr>
      <w:pStyle w:val="Footer"/>
      <w:pBdr>
        <w:top w:val="single" w:sz="4" w:space="3" w:color="000000" w:themeColor="text1"/>
      </w:pBdr>
    </w:pPr>
    <w:r w:rsidRPr="00AA311A">
      <w:t xml:space="preserve">Page </w:t>
    </w:r>
    <w:r w:rsidRPr="00AA311A">
      <w:fldChar w:fldCharType="begin"/>
    </w:r>
    <w:r w:rsidRPr="00AA311A">
      <w:instrText xml:space="preserve"> PAGE  \* Arabic  \* MERGEFORMAT </w:instrText>
    </w:r>
    <w:r w:rsidRPr="00AA311A">
      <w:fldChar w:fldCharType="separate"/>
    </w:r>
    <w:r>
      <w:t>2</w:t>
    </w:r>
    <w:r w:rsidRPr="00AA311A">
      <w:fldChar w:fldCharType="end"/>
    </w:r>
    <w:r w:rsidRPr="00AA311A">
      <w:t xml:space="preserve"> of </w:t>
    </w:r>
    <w:fldSimple w:instr=" NUMPAGES  \* Arabic  \* MERGEFORMAT ">
      <w:r>
        <w:t>3</w:t>
      </w:r>
    </w:fldSimple>
    <w:r>
      <w:ptab w:relativeTo="margin" w:alignment="center" w:leader="none"/>
    </w:r>
    <w:r>
      <w:ptab w:relativeTo="margin" w:alignment="right" w:leader="none"/>
    </w:r>
    <w:r>
      <w:t>Services Australia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B6ACB" w14:textId="6082FC2B" w:rsidR="00857DDC" w:rsidRPr="0092265D" w:rsidRDefault="0092265D" w:rsidP="0092265D">
    <w:pPr>
      <w:pStyle w:val="Footer"/>
      <w:pBdr>
        <w:top w:val="single" w:sz="4" w:space="3" w:color="auto"/>
      </w:pBdr>
    </w:pPr>
    <w:r w:rsidRPr="00AA311A">
      <w:t xml:space="preserve">Page </w:t>
    </w:r>
    <w:r w:rsidRPr="00AA311A">
      <w:fldChar w:fldCharType="begin"/>
    </w:r>
    <w:r w:rsidRPr="00AA311A">
      <w:instrText xml:space="preserve"> PAGE  \* Arabic  \* MERGEFORMAT </w:instrText>
    </w:r>
    <w:r w:rsidRPr="00AA311A">
      <w:fldChar w:fldCharType="separate"/>
    </w:r>
    <w:r>
      <w:t>1</w:t>
    </w:r>
    <w:r w:rsidRPr="00AA311A">
      <w:fldChar w:fldCharType="end"/>
    </w:r>
    <w:r w:rsidRPr="00AA311A">
      <w:t xml:space="preserve"> of </w:t>
    </w:r>
    <w:fldSimple w:instr=" NUMPAGES  \* Arabic  \* MERGEFORMAT ">
      <w:r>
        <w:t>3</w:t>
      </w:r>
    </w:fldSimple>
    <w:r>
      <w:ptab w:relativeTo="margin" w:alignment="center" w:leader="none"/>
    </w:r>
    <w:r>
      <w:ptab w:relativeTo="margin" w:alignment="right" w:leader="none"/>
    </w:r>
    <w:r>
      <w:t>Services Australia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99061" w14:textId="77777777" w:rsidR="00E8068F" w:rsidRDefault="00E8068F" w:rsidP="004E6AEA">
      <w:r>
        <w:separator/>
      </w:r>
    </w:p>
  </w:footnote>
  <w:footnote w:type="continuationSeparator" w:id="0">
    <w:p w14:paraId="573E48E1" w14:textId="77777777" w:rsidR="00E8068F" w:rsidRDefault="00E8068F" w:rsidP="004E6A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E0B8E" w14:textId="7894D844" w:rsidR="0092265D" w:rsidRPr="00415BA9" w:rsidRDefault="00EE67E4" w:rsidP="0092265D">
    <w:pPr>
      <w:pStyle w:val="BodyText"/>
      <w:pBdr>
        <w:bottom w:val="single" w:sz="4" w:space="3" w:color="auto"/>
      </w:pBdr>
    </w:pPr>
    <w:r>
      <w:t>Budget 202</w:t>
    </w:r>
    <w:r w:rsidR="0068756B">
      <w:t>6</w:t>
    </w:r>
    <w:r w:rsidR="00585F6A">
      <w:t>-</w:t>
    </w:r>
    <w:r>
      <w:t>2</w:t>
    </w:r>
    <w:r w:rsidR="0068756B">
      <w:t>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4EC7A" w14:textId="59E5F21A" w:rsidR="001F77EC" w:rsidRDefault="002A2347">
    <w:pPr>
      <w:pStyle w:val="Header"/>
    </w:pPr>
    <w:r>
      <w:rPr>
        <w:noProof/>
      </w:rPr>
      <w:drawing>
        <wp:inline distT="0" distB="0" distL="0" distR="0" wp14:anchorId="6585BBCB" wp14:editId="56823E40">
          <wp:extent cx="2236484" cy="610716"/>
          <wp:effectExtent l="0" t="0" r="0" b="0"/>
          <wp:docPr id="21" name="Picture 0" descr="Australian Government Services Australi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0" descr="Australian Government Services Australia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53031" cy="615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3F88B5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7696B8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8ABE30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0DB062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14594F"/>
    <w:multiLevelType w:val="multilevel"/>
    <w:tmpl w:val="3BCEC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2412A1"/>
    <w:multiLevelType w:val="hybridMultilevel"/>
    <w:tmpl w:val="AD981C16"/>
    <w:lvl w:ilvl="0" w:tplc="78BE8D84">
      <w:start w:val="1"/>
      <w:numFmt w:val="bullet"/>
      <w:pStyle w:val="ListBullet2"/>
      <w:lvlText w:val=""/>
      <w:lvlJc w:val="left"/>
      <w:pPr>
        <w:ind w:left="7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8B2A5F"/>
    <w:multiLevelType w:val="hybridMultilevel"/>
    <w:tmpl w:val="70A0066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5A5207"/>
    <w:multiLevelType w:val="hybridMultilevel"/>
    <w:tmpl w:val="1B54A74A"/>
    <w:lvl w:ilvl="0" w:tplc="514E9D94">
      <w:start w:val="1"/>
      <w:numFmt w:val="decimal"/>
      <w:pStyle w:val="ListNumb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AB31082"/>
    <w:multiLevelType w:val="hybridMultilevel"/>
    <w:tmpl w:val="208626AC"/>
    <w:lvl w:ilvl="0" w:tplc="EF6A4FAA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16401A"/>
    <w:multiLevelType w:val="hybridMultilevel"/>
    <w:tmpl w:val="B70E390A"/>
    <w:lvl w:ilvl="0" w:tplc="50A2BA7E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9C40F8"/>
    <w:multiLevelType w:val="hybridMultilevel"/>
    <w:tmpl w:val="E46ED0B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697" w:hanging="357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D4343E8"/>
    <w:multiLevelType w:val="hybridMultilevel"/>
    <w:tmpl w:val="DE446A40"/>
    <w:lvl w:ilvl="0" w:tplc="785A75D2">
      <w:start w:val="1"/>
      <w:numFmt w:val="lowerLetter"/>
      <w:pStyle w:val="ListNumber2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E41F01"/>
    <w:multiLevelType w:val="hybridMultilevel"/>
    <w:tmpl w:val="3BCEC33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7070907">
    <w:abstractNumId w:val="8"/>
  </w:num>
  <w:num w:numId="2" w16cid:durableId="2090034241">
    <w:abstractNumId w:val="5"/>
  </w:num>
  <w:num w:numId="3" w16cid:durableId="1269387147">
    <w:abstractNumId w:val="7"/>
  </w:num>
  <w:num w:numId="4" w16cid:durableId="1550918805">
    <w:abstractNumId w:val="11"/>
  </w:num>
  <w:num w:numId="5" w16cid:durableId="1948416653">
    <w:abstractNumId w:val="3"/>
  </w:num>
  <w:num w:numId="6" w16cid:durableId="525023348">
    <w:abstractNumId w:val="1"/>
  </w:num>
  <w:num w:numId="7" w16cid:durableId="473527096">
    <w:abstractNumId w:val="2"/>
  </w:num>
  <w:num w:numId="8" w16cid:durableId="207301221">
    <w:abstractNumId w:val="0"/>
  </w:num>
  <w:num w:numId="9" w16cid:durableId="1112868149">
    <w:abstractNumId w:val="10"/>
  </w:num>
  <w:num w:numId="10" w16cid:durableId="1226456621">
    <w:abstractNumId w:val="2"/>
  </w:num>
  <w:num w:numId="11" w16cid:durableId="1888297276">
    <w:abstractNumId w:val="7"/>
    <w:lvlOverride w:ilvl="0">
      <w:startOverride w:val="1"/>
    </w:lvlOverride>
  </w:num>
  <w:num w:numId="12" w16cid:durableId="1702508487">
    <w:abstractNumId w:val="7"/>
    <w:lvlOverride w:ilvl="0">
      <w:startOverride w:val="1"/>
    </w:lvlOverride>
  </w:num>
  <w:num w:numId="13" w16cid:durableId="671644103">
    <w:abstractNumId w:val="6"/>
  </w:num>
  <w:num w:numId="14" w16cid:durableId="1634945188">
    <w:abstractNumId w:val="12"/>
  </w:num>
  <w:num w:numId="15" w16cid:durableId="312636394">
    <w:abstractNumId w:val="4"/>
  </w:num>
  <w:num w:numId="16" w16cid:durableId="4236533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7E4"/>
    <w:rsid w:val="000047F4"/>
    <w:rsid w:val="00026444"/>
    <w:rsid w:val="00037BBD"/>
    <w:rsid w:val="00062687"/>
    <w:rsid w:val="00083E8A"/>
    <w:rsid w:val="00086472"/>
    <w:rsid w:val="000A05EC"/>
    <w:rsid w:val="000A17C3"/>
    <w:rsid w:val="000B15CD"/>
    <w:rsid w:val="000D208D"/>
    <w:rsid w:val="000F3533"/>
    <w:rsid w:val="00111C01"/>
    <w:rsid w:val="00125063"/>
    <w:rsid w:val="00133096"/>
    <w:rsid w:val="001432E0"/>
    <w:rsid w:val="00145C8E"/>
    <w:rsid w:val="0017042F"/>
    <w:rsid w:val="0018373A"/>
    <w:rsid w:val="001C09EB"/>
    <w:rsid w:val="001C4AE5"/>
    <w:rsid w:val="001D4AB4"/>
    <w:rsid w:val="001E0496"/>
    <w:rsid w:val="001F77EC"/>
    <w:rsid w:val="0022372F"/>
    <w:rsid w:val="002355E7"/>
    <w:rsid w:val="00242A4E"/>
    <w:rsid w:val="00244D61"/>
    <w:rsid w:val="00260C34"/>
    <w:rsid w:val="002771F8"/>
    <w:rsid w:val="0028242E"/>
    <w:rsid w:val="00283885"/>
    <w:rsid w:val="0029788B"/>
    <w:rsid w:val="002A2347"/>
    <w:rsid w:val="002B10ED"/>
    <w:rsid w:val="002B2413"/>
    <w:rsid w:val="002B5572"/>
    <w:rsid w:val="002C14C3"/>
    <w:rsid w:val="002F35BC"/>
    <w:rsid w:val="00330E96"/>
    <w:rsid w:val="00363DCC"/>
    <w:rsid w:val="00367955"/>
    <w:rsid w:val="00382659"/>
    <w:rsid w:val="003B62E1"/>
    <w:rsid w:val="003C3042"/>
    <w:rsid w:val="003C4027"/>
    <w:rsid w:val="003D1EE8"/>
    <w:rsid w:val="003D5564"/>
    <w:rsid w:val="004047C9"/>
    <w:rsid w:val="0041526C"/>
    <w:rsid w:val="004346FF"/>
    <w:rsid w:val="00461D7A"/>
    <w:rsid w:val="004628A4"/>
    <w:rsid w:val="004722D7"/>
    <w:rsid w:val="004844C0"/>
    <w:rsid w:val="0048747A"/>
    <w:rsid w:val="00492E73"/>
    <w:rsid w:val="004A65EC"/>
    <w:rsid w:val="004C26DC"/>
    <w:rsid w:val="004D25C9"/>
    <w:rsid w:val="004E1A66"/>
    <w:rsid w:val="004E51A4"/>
    <w:rsid w:val="004E6AEA"/>
    <w:rsid w:val="00514436"/>
    <w:rsid w:val="00515D88"/>
    <w:rsid w:val="00526892"/>
    <w:rsid w:val="00540E0D"/>
    <w:rsid w:val="00555B4B"/>
    <w:rsid w:val="00563A8F"/>
    <w:rsid w:val="00565D48"/>
    <w:rsid w:val="005817B5"/>
    <w:rsid w:val="00585F6A"/>
    <w:rsid w:val="005A1C4D"/>
    <w:rsid w:val="005B76F0"/>
    <w:rsid w:val="005C2089"/>
    <w:rsid w:val="005D1C18"/>
    <w:rsid w:val="005D6C8B"/>
    <w:rsid w:val="005E7245"/>
    <w:rsid w:val="005F4653"/>
    <w:rsid w:val="00605A1D"/>
    <w:rsid w:val="006103A0"/>
    <w:rsid w:val="00615162"/>
    <w:rsid w:val="00621F5A"/>
    <w:rsid w:val="0064368D"/>
    <w:rsid w:val="006506FA"/>
    <w:rsid w:val="006531C0"/>
    <w:rsid w:val="00674D89"/>
    <w:rsid w:val="006759D4"/>
    <w:rsid w:val="00683B89"/>
    <w:rsid w:val="0068756B"/>
    <w:rsid w:val="00690359"/>
    <w:rsid w:val="0069260A"/>
    <w:rsid w:val="006938FD"/>
    <w:rsid w:val="006B5808"/>
    <w:rsid w:val="006B6095"/>
    <w:rsid w:val="006C6DBC"/>
    <w:rsid w:val="006D0926"/>
    <w:rsid w:val="006E1230"/>
    <w:rsid w:val="006E33EA"/>
    <w:rsid w:val="006E4E18"/>
    <w:rsid w:val="006E6506"/>
    <w:rsid w:val="00711788"/>
    <w:rsid w:val="00717384"/>
    <w:rsid w:val="00730090"/>
    <w:rsid w:val="00733FD7"/>
    <w:rsid w:val="0075235E"/>
    <w:rsid w:val="00767810"/>
    <w:rsid w:val="00770CFD"/>
    <w:rsid w:val="0077341D"/>
    <w:rsid w:val="007A160A"/>
    <w:rsid w:val="007B0F6C"/>
    <w:rsid w:val="00800268"/>
    <w:rsid w:val="00805021"/>
    <w:rsid w:val="00816AC0"/>
    <w:rsid w:val="00836F54"/>
    <w:rsid w:val="00844838"/>
    <w:rsid w:val="008557F5"/>
    <w:rsid w:val="00856048"/>
    <w:rsid w:val="008565D9"/>
    <w:rsid w:val="00857DDC"/>
    <w:rsid w:val="00872472"/>
    <w:rsid w:val="00881A27"/>
    <w:rsid w:val="00883C5C"/>
    <w:rsid w:val="008D318F"/>
    <w:rsid w:val="008D6724"/>
    <w:rsid w:val="008E2D47"/>
    <w:rsid w:val="008E4DB1"/>
    <w:rsid w:val="0092265D"/>
    <w:rsid w:val="00925623"/>
    <w:rsid w:val="00944A32"/>
    <w:rsid w:val="0094778B"/>
    <w:rsid w:val="0095694E"/>
    <w:rsid w:val="00961CFC"/>
    <w:rsid w:val="009646C2"/>
    <w:rsid w:val="00967989"/>
    <w:rsid w:val="009804D4"/>
    <w:rsid w:val="009844BF"/>
    <w:rsid w:val="009B2AC7"/>
    <w:rsid w:val="009E7BF7"/>
    <w:rsid w:val="00A12610"/>
    <w:rsid w:val="00A25B7E"/>
    <w:rsid w:val="00A34437"/>
    <w:rsid w:val="00A57DDC"/>
    <w:rsid w:val="00AA52C2"/>
    <w:rsid w:val="00AB57D1"/>
    <w:rsid w:val="00AC3617"/>
    <w:rsid w:val="00AC4960"/>
    <w:rsid w:val="00AE0968"/>
    <w:rsid w:val="00AE30DF"/>
    <w:rsid w:val="00AE54B0"/>
    <w:rsid w:val="00AF0290"/>
    <w:rsid w:val="00B04DB0"/>
    <w:rsid w:val="00B06B52"/>
    <w:rsid w:val="00B62EED"/>
    <w:rsid w:val="00B666E9"/>
    <w:rsid w:val="00B71E1C"/>
    <w:rsid w:val="00B741CD"/>
    <w:rsid w:val="00B96FAD"/>
    <w:rsid w:val="00BA3D29"/>
    <w:rsid w:val="00BB339A"/>
    <w:rsid w:val="00BF0372"/>
    <w:rsid w:val="00C261CC"/>
    <w:rsid w:val="00C352E1"/>
    <w:rsid w:val="00C36735"/>
    <w:rsid w:val="00C45CE1"/>
    <w:rsid w:val="00C50138"/>
    <w:rsid w:val="00C702D4"/>
    <w:rsid w:val="00C72793"/>
    <w:rsid w:val="00C72959"/>
    <w:rsid w:val="00C73FA9"/>
    <w:rsid w:val="00C74C71"/>
    <w:rsid w:val="00C7658D"/>
    <w:rsid w:val="00C8104C"/>
    <w:rsid w:val="00C8706A"/>
    <w:rsid w:val="00C92EE1"/>
    <w:rsid w:val="00C93577"/>
    <w:rsid w:val="00C965A2"/>
    <w:rsid w:val="00CE2C5F"/>
    <w:rsid w:val="00D036A3"/>
    <w:rsid w:val="00D1540E"/>
    <w:rsid w:val="00D45F3D"/>
    <w:rsid w:val="00D54447"/>
    <w:rsid w:val="00D73CFD"/>
    <w:rsid w:val="00D90EB3"/>
    <w:rsid w:val="00DB4FFD"/>
    <w:rsid w:val="00E33729"/>
    <w:rsid w:val="00E34B51"/>
    <w:rsid w:val="00E43B6C"/>
    <w:rsid w:val="00E45713"/>
    <w:rsid w:val="00E504A6"/>
    <w:rsid w:val="00E61B08"/>
    <w:rsid w:val="00E623E6"/>
    <w:rsid w:val="00E74ED5"/>
    <w:rsid w:val="00E8068F"/>
    <w:rsid w:val="00E81E06"/>
    <w:rsid w:val="00EE67E4"/>
    <w:rsid w:val="00EF7D45"/>
    <w:rsid w:val="00F031F8"/>
    <w:rsid w:val="00F04C7F"/>
    <w:rsid w:val="00F316D5"/>
    <w:rsid w:val="00F34A6D"/>
    <w:rsid w:val="00F54DDF"/>
    <w:rsid w:val="00F6131A"/>
    <w:rsid w:val="00F82A6F"/>
    <w:rsid w:val="00FA2C46"/>
    <w:rsid w:val="00FA42ED"/>
    <w:rsid w:val="00FA7687"/>
    <w:rsid w:val="00FD4325"/>
    <w:rsid w:val="00FD6CD1"/>
    <w:rsid w:val="00FE6C27"/>
    <w:rsid w:val="00FF5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2404C03B"/>
  <w15:chartTrackingRefBased/>
  <w15:docId w15:val="{559F7A41-2278-454E-B54E-A3546C8BE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iPriority="5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22"/>
    <w:lsdException w:name="Emphasis" w:uiPriority="20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semiHidden="1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 w:unhideWhenUsed="1"/>
    <w:lsdException w:name="Unresolved Mention" w:semiHidden="1" w:unhideWhenUsed="1"/>
    <w:lsdException w:name="Smart Link" w:semiHidden="1"/>
  </w:latentStyles>
  <w:style w:type="paragraph" w:default="1" w:styleId="Normal">
    <w:name w:val="Normal"/>
    <w:semiHidden/>
    <w:rsid w:val="00683B89"/>
    <w:pPr>
      <w:spacing w:after="120" w:line="240" w:lineRule="auto"/>
    </w:pPr>
    <w:rPr>
      <w:rFonts w:ascii="Roboto" w:eastAsia="Times New Roman" w:hAnsi="Roboto" w:cs="Arial"/>
      <w:sz w:val="20"/>
      <w:lang w:eastAsia="en-AU"/>
    </w:rPr>
  </w:style>
  <w:style w:type="paragraph" w:styleId="Heading1">
    <w:name w:val="heading 1"/>
    <w:basedOn w:val="BodyText"/>
    <w:next w:val="BodyText"/>
    <w:link w:val="Heading1Char"/>
    <w:uiPriority w:val="9"/>
    <w:qFormat/>
    <w:rsid w:val="004E6AEA"/>
    <w:pPr>
      <w:keepNext/>
      <w:spacing w:before="480" w:after="360"/>
      <w:outlineLvl w:val="0"/>
    </w:pPr>
    <w:rPr>
      <w:rFonts w:asciiTheme="majorHAnsi" w:hAnsiTheme="majorHAnsi"/>
      <w:b/>
      <w:bCs/>
      <w:kern w:val="32"/>
      <w:sz w:val="40"/>
      <w:szCs w:val="40"/>
    </w:rPr>
  </w:style>
  <w:style w:type="paragraph" w:styleId="Heading2">
    <w:name w:val="heading 2"/>
    <w:basedOn w:val="BodyText"/>
    <w:next w:val="BodyText"/>
    <w:link w:val="Heading2Char"/>
    <w:uiPriority w:val="9"/>
    <w:unhideWhenUsed/>
    <w:qFormat/>
    <w:rsid w:val="004E6AEA"/>
    <w:pPr>
      <w:keepNext/>
      <w:spacing w:before="60" w:after="240"/>
      <w:outlineLvl w:val="1"/>
    </w:pPr>
    <w:rPr>
      <w:rFonts w:asciiTheme="majorHAnsi" w:hAnsiTheme="majorHAnsi"/>
      <w:b/>
      <w:bCs/>
      <w:iCs/>
      <w:color w:val="000000"/>
      <w:sz w:val="32"/>
      <w:szCs w:val="28"/>
    </w:rPr>
  </w:style>
  <w:style w:type="paragraph" w:styleId="Heading3">
    <w:name w:val="heading 3"/>
    <w:basedOn w:val="BodyText"/>
    <w:next w:val="BodyText"/>
    <w:link w:val="Heading3Char"/>
    <w:uiPriority w:val="9"/>
    <w:unhideWhenUsed/>
    <w:qFormat/>
    <w:rsid w:val="00800268"/>
    <w:pPr>
      <w:keepNext/>
      <w:spacing w:before="60"/>
      <w:outlineLvl w:val="2"/>
    </w:pPr>
    <w:rPr>
      <w:rFonts w:asciiTheme="majorHAnsi" w:hAnsiTheme="majorHAnsi"/>
      <w:b/>
      <w:bCs/>
      <w:sz w:val="28"/>
      <w:szCs w:val="26"/>
    </w:rPr>
  </w:style>
  <w:style w:type="paragraph" w:styleId="Heading4">
    <w:name w:val="heading 4"/>
    <w:basedOn w:val="BodyText"/>
    <w:next w:val="BodyText"/>
    <w:link w:val="Heading4Char"/>
    <w:uiPriority w:val="9"/>
    <w:unhideWhenUsed/>
    <w:qFormat/>
    <w:rsid w:val="00800268"/>
    <w:pPr>
      <w:keepNext/>
      <w:spacing w:before="240" w:after="240"/>
      <w:outlineLvl w:val="3"/>
    </w:pPr>
    <w:rPr>
      <w:rFonts w:asciiTheme="majorHAnsi" w:hAnsiTheme="majorHAnsi"/>
      <w:b/>
      <w:bCs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800268"/>
    <w:pPr>
      <w:keepNext/>
      <w:keepLines/>
      <w:spacing w:before="240" w:after="240"/>
      <w:outlineLvl w:val="4"/>
    </w:pPr>
    <w:rPr>
      <w:rFonts w:asciiTheme="majorHAnsi" w:eastAsiaTheme="majorEastAsia" w:hAnsiTheme="majorHAnsi" w:cstheme="majorBidi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Blue Header"/>
    <w:basedOn w:val="Normal"/>
    <w:link w:val="HeaderChar"/>
    <w:uiPriority w:val="99"/>
    <w:rsid w:val="00857DDC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aliases w:val="Blue Header Char"/>
    <w:basedOn w:val="DefaultParagraphFont"/>
    <w:link w:val="Header"/>
    <w:uiPriority w:val="99"/>
    <w:rsid w:val="00037BBD"/>
    <w:rPr>
      <w:rFonts w:ascii="Roboto" w:eastAsia="Times New Roman" w:hAnsi="Roboto" w:cs="Arial"/>
      <w:sz w:val="20"/>
      <w:lang w:eastAsia="en-AU"/>
    </w:rPr>
  </w:style>
  <w:style w:type="paragraph" w:styleId="Footer">
    <w:name w:val="footer"/>
    <w:basedOn w:val="BodyText"/>
    <w:link w:val="FooterChar"/>
    <w:uiPriority w:val="99"/>
    <w:rsid w:val="00857DDC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37BBD"/>
    <w:rPr>
      <w:rFonts w:ascii="Roboto" w:eastAsia="Times New Roman" w:hAnsi="Roboto" w:cs="Arial"/>
      <w:sz w:val="20"/>
      <w:lang w:eastAsia="en-AU"/>
    </w:rPr>
  </w:style>
  <w:style w:type="paragraph" w:styleId="ListBullet">
    <w:name w:val="List Bullet"/>
    <w:basedOn w:val="BodyText"/>
    <w:uiPriority w:val="1"/>
    <w:qFormat/>
    <w:rsid w:val="009B2AC7"/>
    <w:pPr>
      <w:numPr>
        <w:numId w:val="1"/>
      </w:numPr>
    </w:pPr>
  </w:style>
  <w:style w:type="paragraph" w:styleId="ListBullet2">
    <w:name w:val="List Bullet 2"/>
    <w:basedOn w:val="BodyText"/>
    <w:uiPriority w:val="1"/>
    <w:qFormat/>
    <w:rsid w:val="008E2D47"/>
    <w:pPr>
      <w:numPr>
        <w:numId w:val="2"/>
      </w:numPr>
    </w:pPr>
  </w:style>
  <w:style w:type="paragraph" w:styleId="ListNumber">
    <w:name w:val="List Number"/>
    <w:basedOn w:val="BodyText"/>
    <w:uiPriority w:val="5"/>
    <w:qFormat/>
    <w:rsid w:val="009B2AC7"/>
    <w:pPr>
      <w:numPr>
        <w:numId w:val="3"/>
      </w:numPr>
      <w:ind w:left="357" w:hanging="357"/>
    </w:pPr>
  </w:style>
  <w:style w:type="paragraph" w:styleId="ListNumber2">
    <w:name w:val="List Number 2"/>
    <w:basedOn w:val="BodyText"/>
    <w:uiPriority w:val="2"/>
    <w:qFormat/>
    <w:rsid w:val="009B2AC7"/>
    <w:pPr>
      <w:numPr>
        <w:numId w:val="4"/>
      </w:numPr>
      <w:ind w:left="680" w:hanging="340"/>
    </w:pPr>
  </w:style>
  <w:style w:type="character" w:styleId="Hyperlink">
    <w:name w:val="Hyperlink"/>
    <w:rsid w:val="00857DDC"/>
    <w:rPr>
      <w:color w:val="0000FF"/>
      <w:u w:val="single"/>
    </w:rPr>
  </w:style>
  <w:style w:type="table" w:styleId="TableGrid">
    <w:name w:val="Table Grid"/>
    <w:basedOn w:val="TableNormal"/>
    <w:rsid w:val="00857D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E6AEA"/>
    <w:rPr>
      <w:rFonts w:asciiTheme="majorHAnsi" w:eastAsia="Times New Roman" w:hAnsiTheme="majorHAnsi" w:cs="Arial"/>
      <w:b/>
      <w:bCs/>
      <w:kern w:val="32"/>
      <w:sz w:val="40"/>
      <w:szCs w:val="4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4E6AEA"/>
    <w:rPr>
      <w:rFonts w:asciiTheme="majorHAnsi" w:eastAsia="Times New Roman" w:hAnsiTheme="majorHAnsi" w:cs="Arial"/>
      <w:b/>
      <w:bCs/>
      <w:iCs/>
      <w:color w:val="000000"/>
      <w:sz w:val="32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800268"/>
    <w:rPr>
      <w:rFonts w:asciiTheme="majorHAnsi" w:eastAsia="Times New Roman" w:hAnsiTheme="majorHAnsi" w:cs="Arial"/>
      <w:b/>
      <w:bCs/>
      <w:sz w:val="28"/>
      <w:szCs w:val="26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800268"/>
    <w:rPr>
      <w:rFonts w:asciiTheme="majorHAnsi" w:eastAsia="Times New Roman" w:hAnsiTheme="majorHAnsi" w:cs="Arial"/>
      <w:b/>
      <w:bCs/>
      <w:sz w:val="24"/>
      <w:lang w:eastAsia="en-AU"/>
    </w:rPr>
  </w:style>
  <w:style w:type="paragraph" w:styleId="BodyText">
    <w:name w:val="Body Text"/>
    <w:basedOn w:val="Normal"/>
    <w:link w:val="BodyTextChar"/>
    <w:qFormat/>
    <w:rsid w:val="006531C0"/>
  </w:style>
  <w:style w:type="character" w:customStyle="1" w:styleId="BodyTextChar">
    <w:name w:val="Body Text Char"/>
    <w:basedOn w:val="DefaultParagraphFont"/>
    <w:link w:val="BodyText"/>
    <w:rsid w:val="008E2D47"/>
    <w:rPr>
      <w:rFonts w:ascii="Roboto" w:eastAsia="Times New Roman" w:hAnsi="Roboto" w:cs="Arial"/>
      <w:sz w:val="20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800268"/>
    <w:rPr>
      <w:rFonts w:asciiTheme="majorHAnsi" w:eastAsiaTheme="majorEastAsia" w:hAnsiTheme="majorHAnsi" w:cstheme="majorBidi"/>
      <w:sz w:val="24"/>
      <w:lang w:eastAsia="en-AU"/>
    </w:rPr>
  </w:style>
  <w:style w:type="paragraph" w:styleId="Title">
    <w:name w:val="Title"/>
    <w:basedOn w:val="BodyText"/>
    <w:next w:val="BodyText"/>
    <w:link w:val="TitleChar"/>
    <w:uiPriority w:val="8"/>
    <w:qFormat/>
    <w:rsid w:val="00683B89"/>
    <w:pPr>
      <w:spacing w:before="720" w:after="360"/>
      <w:contextualSpacing/>
    </w:pPr>
    <w:rPr>
      <w:rFonts w:asciiTheme="majorHAnsi" w:eastAsiaTheme="majorEastAsia" w:hAnsiTheme="majorHAnsi" w:cstheme="majorBidi"/>
      <w:b/>
      <w:spacing w:val="-10"/>
      <w:kern w:val="28"/>
      <w:sz w:val="64"/>
      <w:szCs w:val="56"/>
    </w:rPr>
  </w:style>
  <w:style w:type="character" w:customStyle="1" w:styleId="TitleChar">
    <w:name w:val="Title Char"/>
    <w:basedOn w:val="DefaultParagraphFont"/>
    <w:link w:val="Title"/>
    <w:uiPriority w:val="8"/>
    <w:rsid w:val="00683B89"/>
    <w:rPr>
      <w:rFonts w:asciiTheme="majorHAnsi" w:eastAsiaTheme="majorEastAsia" w:hAnsiTheme="majorHAnsi" w:cstheme="majorBidi"/>
      <w:b/>
      <w:spacing w:val="-10"/>
      <w:kern w:val="28"/>
      <w:sz w:val="64"/>
      <w:szCs w:val="56"/>
      <w:lang w:eastAsia="en-AU"/>
    </w:rPr>
  </w:style>
  <w:style w:type="paragraph" w:customStyle="1" w:styleId="Classification">
    <w:name w:val="Classification"/>
    <w:basedOn w:val="BodyText"/>
    <w:link w:val="ClassificationChar"/>
    <w:uiPriority w:val="99"/>
    <w:rsid w:val="00283885"/>
    <w:pPr>
      <w:spacing w:before="120"/>
      <w:jc w:val="center"/>
    </w:pPr>
    <w:rPr>
      <w:b/>
      <w:bCs/>
      <w:color w:val="FF0000"/>
      <w:szCs w:val="40"/>
    </w:rPr>
  </w:style>
  <w:style w:type="character" w:customStyle="1" w:styleId="ClassificationChar">
    <w:name w:val="Classification Char"/>
    <w:basedOn w:val="BodyTextChar"/>
    <w:link w:val="Classification"/>
    <w:uiPriority w:val="99"/>
    <w:rsid w:val="00283885"/>
    <w:rPr>
      <w:rFonts w:ascii="Roboto" w:eastAsia="Times New Roman" w:hAnsi="Roboto" w:cs="Arial"/>
      <w:b/>
      <w:bCs/>
      <w:color w:val="FF0000"/>
      <w:sz w:val="20"/>
      <w:szCs w:val="40"/>
      <w:lang w:eastAsia="en-AU"/>
    </w:rPr>
  </w:style>
  <w:style w:type="table" w:styleId="TableGridLight">
    <w:name w:val="Grid Table Light"/>
    <w:basedOn w:val="TableNormal"/>
    <w:uiPriority w:val="40"/>
    <w:rsid w:val="001F77E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3">
    <w:name w:val="Plain Table 3"/>
    <w:basedOn w:val="TableNormal"/>
    <w:uiPriority w:val="43"/>
    <w:rsid w:val="001F77E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ListTable1Light">
    <w:name w:val="List Table 1 Light"/>
    <w:basedOn w:val="TableNormal"/>
    <w:uiPriority w:val="46"/>
    <w:rsid w:val="001F77E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">
    <w:name w:val="Grid Table 2"/>
    <w:basedOn w:val="TableNormal"/>
    <w:uiPriority w:val="47"/>
    <w:rsid w:val="001F77EC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ServicesAustralia-mono">
    <w:name w:val="Services Australia - mono"/>
    <w:basedOn w:val="TableNormal"/>
    <w:uiPriority w:val="99"/>
    <w:rsid w:val="001F77EC"/>
    <w:pPr>
      <w:spacing w:after="0" w:line="240" w:lineRule="auto"/>
    </w:pPr>
    <w:tblPr/>
  </w:style>
  <w:style w:type="paragraph" w:customStyle="1" w:styleId="DHSHeadinglevel3">
    <w:name w:val="DHS Heading level 3"/>
    <w:basedOn w:val="Heading3"/>
    <w:next w:val="DHSBodytext"/>
    <w:locked/>
    <w:rsid w:val="00EE67E4"/>
    <w:pPr>
      <w:spacing w:before="240"/>
    </w:pPr>
    <w:rPr>
      <w:rFonts w:ascii="Arial" w:hAnsi="Arial" w:cstheme="minorHAnsi"/>
    </w:rPr>
  </w:style>
  <w:style w:type="paragraph" w:customStyle="1" w:styleId="DHSHeadinglevel4">
    <w:name w:val="DHS Heading level 4"/>
    <w:basedOn w:val="Heading4"/>
    <w:next w:val="DHSBodytext"/>
    <w:locked/>
    <w:rsid w:val="00EE67E4"/>
    <w:pPr>
      <w:spacing w:after="120"/>
    </w:pPr>
    <w:rPr>
      <w:rFonts w:ascii="Arial" w:hAnsi="Arial"/>
    </w:rPr>
  </w:style>
  <w:style w:type="paragraph" w:customStyle="1" w:styleId="DHSBodytext">
    <w:name w:val="DHS Body text"/>
    <w:basedOn w:val="Normal"/>
    <w:qFormat/>
    <w:locked/>
    <w:rsid w:val="00EE67E4"/>
    <w:rPr>
      <w:rFonts w:ascii="Arial" w:hAnsi="Arial" w:cstheme="minorHAnsi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EE67E4"/>
    <w:rPr>
      <w:color w:val="808080"/>
    </w:rPr>
  </w:style>
  <w:style w:type="character" w:customStyle="1" w:styleId="Style1">
    <w:name w:val="Style1"/>
    <w:basedOn w:val="DefaultParagraphFont"/>
    <w:uiPriority w:val="1"/>
    <w:locked/>
    <w:rsid w:val="00EE67E4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locked/>
    <w:rsid w:val="00EE67E4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EE67E4"/>
    <w:rPr>
      <w:rFonts w:ascii="Arial" w:hAnsi="Arial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E67E4"/>
    <w:rPr>
      <w:color w:val="1B365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6F5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734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341D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341D"/>
    <w:rPr>
      <w:rFonts w:ascii="Roboto" w:eastAsia="Times New Roman" w:hAnsi="Roboto" w:cs="Arial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4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41D"/>
    <w:rPr>
      <w:rFonts w:ascii="Roboto" w:eastAsia="Times New Roman" w:hAnsi="Roboto" w:cs="Arial"/>
      <w:b/>
      <w:bCs/>
      <w:sz w:val="20"/>
      <w:szCs w:val="20"/>
      <w:lang w:eastAsia="en-AU"/>
    </w:rPr>
  </w:style>
  <w:style w:type="paragraph" w:styleId="Revision">
    <w:name w:val="Revision"/>
    <w:hidden/>
    <w:uiPriority w:val="99"/>
    <w:semiHidden/>
    <w:rsid w:val="0017042F"/>
    <w:pPr>
      <w:spacing w:after="0" w:line="240" w:lineRule="auto"/>
    </w:pPr>
    <w:rPr>
      <w:rFonts w:ascii="Roboto" w:eastAsia="Times New Roman" w:hAnsi="Roboto" w:cs="Arial"/>
      <w:sz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30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Services Australia">
      <a:dk1>
        <a:sysClr val="windowText" lastClr="000000"/>
      </a:dk1>
      <a:lt1>
        <a:sysClr val="window" lastClr="FFFFFF"/>
      </a:lt1>
      <a:dk2>
        <a:srgbClr val="75787B"/>
      </a:dk2>
      <a:lt2>
        <a:srgbClr val="E2E3E7"/>
      </a:lt2>
      <a:accent1>
        <a:srgbClr val="00B5E2"/>
      </a:accent1>
      <a:accent2>
        <a:srgbClr val="1B365D"/>
      </a:accent2>
      <a:accent3>
        <a:srgbClr val="FF8674"/>
      </a:accent3>
      <a:accent4>
        <a:srgbClr val="4B384C"/>
      </a:accent4>
      <a:accent5>
        <a:srgbClr val="6F263D"/>
      </a:accent5>
      <a:accent6>
        <a:srgbClr val="A5A5A5"/>
      </a:accent6>
      <a:hlink>
        <a:srgbClr val="1B365D"/>
      </a:hlink>
      <a:folHlink>
        <a:srgbClr val="1B365D"/>
      </a:folHlink>
    </a:clrScheme>
    <a:fontScheme name="SA font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80E34A52F76145811F6E9D7E68DC3D" ma:contentTypeVersion="4" ma:contentTypeDescription="Create a new document." ma:contentTypeScope="" ma:versionID="9a4249b1a85675301bda00f49e465518">
  <xsd:schema xmlns:xsd="http://www.w3.org/2001/XMLSchema" xmlns:xs="http://www.w3.org/2001/XMLSchema" xmlns:p="http://schemas.microsoft.com/office/2006/metadata/properties" xmlns:ns2="3d054db3-a3e6-4dbd-aa10-6026ba02ac3f" targetNamespace="http://schemas.microsoft.com/office/2006/metadata/properties" ma:root="true" ma:fieldsID="44eb1033be6d45053fe065ad9713b036" ns2:_="">
    <xsd:import namespace="3d054db3-a3e6-4dbd-aa10-6026ba02ac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54db3-a3e6-4dbd-aa10-6026ba02ac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ED8509-268E-4B67-9EBE-5CE635F63622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purl.org/dc/dcmitype/"/>
    <ds:schemaRef ds:uri="3d054db3-a3e6-4dbd-aa10-6026ba02ac3f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95F05F7-639C-4D6D-9446-68B135BE28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67D925-CA8F-4913-9468-91BC60A0EA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054db3-a3e6-4dbd-aa10-6026ba02ac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415</Words>
  <Characters>2595</Characters>
  <Application>Microsoft Office Word</Application>
  <DocSecurity>0</DocSecurity>
  <Lines>50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Budget 2026-27 - Pharmaceutical Benefits Scheme new and amended listings</vt:lpstr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Budget 2026-27 - Pharmaceutical Benefits Scheme new and amended listings</dc:title>
  <dc:subject/>
  <dc:creator>Services Australia</dc:creator>
  <cp:keywords/>
  <dc:description/>
  <cp:revision>4</cp:revision>
  <dcterms:created xsi:type="dcterms:W3CDTF">2026-05-08T02:55:00Z</dcterms:created>
  <dcterms:modified xsi:type="dcterms:W3CDTF">2026-05-12T05:18:00Z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0x010100F880E34A52F76145811F6E9D7E68DC3D</vt:lpwstr>
  </property>
</Properties>
</file>