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4593" w14:textId="619A0537" w:rsidR="00506052" w:rsidRDefault="00B25F72" w:rsidP="00506052">
      <w:pPr>
        <w:pStyle w:val="Title"/>
      </w:pPr>
      <w:bookmarkStart w:id="0" w:name="_Toc142718988"/>
      <w:r>
        <w:t>What is the l</w:t>
      </w:r>
      <w:r w:rsidR="006F5ADC">
        <w:t xml:space="preserve">iquid </w:t>
      </w:r>
      <w:r>
        <w:t>a</w:t>
      </w:r>
      <w:r w:rsidR="006F5ADC">
        <w:t xml:space="preserve">sset </w:t>
      </w:r>
      <w:r>
        <w:t>w</w:t>
      </w:r>
      <w:r w:rsidR="006F5ADC">
        <w:t xml:space="preserve">aiting </w:t>
      </w:r>
      <w:r>
        <w:t>p</w:t>
      </w:r>
      <w:r w:rsidR="006F5ADC">
        <w:t>eriod</w:t>
      </w:r>
      <w:r>
        <w:t xml:space="preserve"> transcript</w:t>
      </w:r>
    </w:p>
    <w:bookmarkEnd w:id="0"/>
    <w:p w14:paraId="00AFA1F4" w14:textId="77777777" w:rsidR="006F5ADC" w:rsidRDefault="006F5ADC" w:rsidP="006F5ADC">
      <w:pPr>
        <w:spacing w:after="110"/>
      </w:pPr>
      <w:r>
        <w:rPr>
          <w:rFonts w:ascii="Segoe UI" w:eastAsia="Segoe UI" w:hAnsi="Segoe UI" w:cs="Segoe UI"/>
          <w:color w:val="232330"/>
        </w:rPr>
        <w:t xml:space="preserve">If you're claiming </w:t>
      </w:r>
      <w:proofErr w:type="spellStart"/>
      <w:r>
        <w:rPr>
          <w:rFonts w:ascii="Segoe UI" w:eastAsia="Segoe UI" w:hAnsi="Segoe UI" w:cs="Segoe UI"/>
          <w:color w:val="232330"/>
        </w:rPr>
        <w:t>JobSeeker</w:t>
      </w:r>
      <w:proofErr w:type="spellEnd"/>
      <w:r>
        <w:rPr>
          <w:rFonts w:ascii="Segoe UI" w:eastAsia="Segoe UI" w:hAnsi="Segoe UI" w:cs="Segoe UI"/>
          <w:color w:val="232330"/>
        </w:rPr>
        <w:t xml:space="preserve"> Payment, Youth Allowance, or </w:t>
      </w:r>
      <w:proofErr w:type="spellStart"/>
      <w:r>
        <w:rPr>
          <w:rFonts w:ascii="Segoe UI" w:eastAsia="Segoe UI" w:hAnsi="Segoe UI" w:cs="Segoe UI"/>
          <w:color w:val="232330"/>
        </w:rPr>
        <w:t>Austudy</w:t>
      </w:r>
      <w:proofErr w:type="spellEnd"/>
      <w:r>
        <w:rPr>
          <w:rFonts w:ascii="Segoe UI" w:eastAsia="Segoe UI" w:hAnsi="Segoe UI" w:cs="Segoe UI"/>
          <w:color w:val="232330"/>
        </w:rPr>
        <w:t>, you may need to wait before you start getting payment from us. This is called the liquid assets waiting period.</w:t>
      </w:r>
    </w:p>
    <w:p w14:paraId="6CE4B892" w14:textId="77777777" w:rsidR="006F5ADC" w:rsidRDefault="006F5ADC" w:rsidP="006F5ADC">
      <w:pPr>
        <w:spacing w:after="110"/>
        <w:rPr>
          <w:rFonts w:ascii="Segoe UI" w:eastAsia="Segoe UI" w:hAnsi="Segoe UI" w:cs="Segoe UI"/>
          <w:color w:val="232330"/>
        </w:rPr>
      </w:pPr>
      <w:r>
        <w:rPr>
          <w:rFonts w:ascii="Segoe UI" w:eastAsia="Segoe UI" w:hAnsi="Segoe UI" w:cs="Segoe UI"/>
          <w:color w:val="232330"/>
        </w:rPr>
        <w:t>Liquid assets are funds you or your partner can easily access, for example:</w:t>
      </w:r>
    </w:p>
    <w:p w14:paraId="1D89BC51" w14:textId="77777777" w:rsidR="006F5ADC" w:rsidRPr="006D741A" w:rsidRDefault="006F5ADC" w:rsidP="006F5ADC">
      <w:pPr>
        <w:pStyle w:val="ListParagraph"/>
        <w:numPr>
          <w:ilvl w:val="0"/>
          <w:numId w:val="23"/>
        </w:numPr>
        <w:spacing w:after="110"/>
      </w:pPr>
      <w:r w:rsidRPr="006D741A">
        <w:rPr>
          <w:rFonts w:ascii="Segoe UI" w:eastAsia="Segoe UI" w:hAnsi="Segoe UI" w:cs="Segoe UI"/>
          <w:color w:val="232330"/>
        </w:rPr>
        <w:t>cash</w:t>
      </w:r>
    </w:p>
    <w:p w14:paraId="480A376F" w14:textId="77777777" w:rsidR="006F5ADC" w:rsidRPr="006D741A" w:rsidRDefault="006F5ADC" w:rsidP="006F5ADC">
      <w:pPr>
        <w:pStyle w:val="ListParagraph"/>
        <w:numPr>
          <w:ilvl w:val="0"/>
          <w:numId w:val="23"/>
        </w:numPr>
        <w:spacing w:after="110"/>
      </w:pPr>
      <w:r w:rsidRPr="006D741A">
        <w:rPr>
          <w:rFonts w:ascii="Segoe UI" w:eastAsia="Segoe UI" w:hAnsi="Segoe UI" w:cs="Segoe UI"/>
          <w:color w:val="232330"/>
        </w:rPr>
        <w:t>money in your bank account</w:t>
      </w:r>
    </w:p>
    <w:p w14:paraId="4AFD6627" w14:textId="77777777" w:rsidR="006F5ADC" w:rsidRPr="006D741A" w:rsidRDefault="006F5ADC" w:rsidP="006F5ADC">
      <w:pPr>
        <w:pStyle w:val="ListParagraph"/>
        <w:numPr>
          <w:ilvl w:val="0"/>
          <w:numId w:val="23"/>
        </w:numPr>
        <w:spacing w:after="110"/>
      </w:pPr>
      <w:r w:rsidRPr="006D741A">
        <w:rPr>
          <w:rFonts w:ascii="Segoe UI" w:eastAsia="Segoe UI" w:hAnsi="Segoe UI" w:cs="Segoe UI"/>
          <w:color w:val="232330"/>
        </w:rPr>
        <w:t>shares</w:t>
      </w:r>
    </w:p>
    <w:p w14:paraId="7644D549" w14:textId="77777777" w:rsidR="006F5ADC" w:rsidRPr="006D741A" w:rsidRDefault="006F5ADC" w:rsidP="006F5ADC">
      <w:pPr>
        <w:pStyle w:val="ListParagraph"/>
        <w:numPr>
          <w:ilvl w:val="0"/>
          <w:numId w:val="23"/>
        </w:numPr>
        <w:spacing w:after="110"/>
      </w:pPr>
      <w:r w:rsidRPr="006D741A">
        <w:rPr>
          <w:rFonts w:ascii="Segoe UI" w:eastAsia="Segoe UI" w:hAnsi="Segoe UI" w:cs="Segoe UI"/>
          <w:color w:val="232330"/>
        </w:rPr>
        <w:t>term deposits, or</w:t>
      </w:r>
    </w:p>
    <w:p w14:paraId="49B739AB" w14:textId="77777777" w:rsidR="006F5ADC" w:rsidRDefault="006F5ADC" w:rsidP="006F5ADC">
      <w:pPr>
        <w:pStyle w:val="ListParagraph"/>
        <w:numPr>
          <w:ilvl w:val="0"/>
          <w:numId w:val="23"/>
        </w:numPr>
        <w:spacing w:after="110"/>
      </w:pPr>
      <w:r w:rsidRPr="006D741A">
        <w:rPr>
          <w:rFonts w:ascii="Segoe UI" w:eastAsia="Segoe UI" w:hAnsi="Segoe UI" w:cs="Segoe UI"/>
          <w:color w:val="232330"/>
        </w:rPr>
        <w:t>wages owed to you.</w:t>
      </w:r>
    </w:p>
    <w:p w14:paraId="152C418C" w14:textId="77777777" w:rsidR="006F5ADC" w:rsidRDefault="006F5ADC" w:rsidP="006F5ADC">
      <w:pPr>
        <w:spacing w:after="110"/>
      </w:pPr>
      <w:r>
        <w:rPr>
          <w:rFonts w:ascii="Segoe UI" w:eastAsia="Segoe UI" w:hAnsi="Segoe UI" w:cs="Segoe UI"/>
          <w:color w:val="232330"/>
        </w:rPr>
        <w:t>If your liquid assets are above the threshold, you may need to wait between 1 and 13 weeks before payments start.</w:t>
      </w:r>
    </w:p>
    <w:p w14:paraId="5DDB44F7" w14:textId="77777777" w:rsidR="006F5ADC" w:rsidRDefault="006F5ADC" w:rsidP="006F5ADC">
      <w:pPr>
        <w:spacing w:after="110"/>
        <w:rPr>
          <w:rFonts w:ascii="Segoe UI" w:eastAsia="Segoe UI" w:hAnsi="Segoe UI" w:cs="Segoe UI"/>
          <w:color w:val="232330"/>
        </w:rPr>
      </w:pPr>
      <w:r>
        <w:rPr>
          <w:rFonts w:ascii="Segoe UI" w:eastAsia="Segoe UI" w:hAnsi="Segoe UI" w:cs="Segoe UI"/>
          <w:color w:val="232330"/>
        </w:rPr>
        <w:t>The liquid asset threshold is:</w:t>
      </w:r>
    </w:p>
    <w:p w14:paraId="3FF19EE8" w14:textId="77777777" w:rsidR="006F5ADC" w:rsidRPr="001C549E" w:rsidRDefault="006F5ADC" w:rsidP="006F5ADC">
      <w:pPr>
        <w:pStyle w:val="ListParagraph"/>
        <w:numPr>
          <w:ilvl w:val="0"/>
          <w:numId w:val="24"/>
        </w:numPr>
        <w:spacing w:after="110"/>
      </w:pPr>
      <w:r w:rsidRPr="001C549E">
        <w:rPr>
          <w:rFonts w:ascii="Segoe UI" w:eastAsia="Segoe UI" w:hAnsi="Segoe UI" w:cs="Segoe UI"/>
          <w:color w:val="232330"/>
        </w:rPr>
        <w:t>$5,500 or more if you're single</w:t>
      </w:r>
      <w:r>
        <w:rPr>
          <w:rFonts w:ascii="Segoe UI" w:eastAsia="Segoe UI" w:hAnsi="Segoe UI" w:cs="Segoe UI"/>
          <w:color w:val="232330"/>
        </w:rPr>
        <w:t>,</w:t>
      </w:r>
      <w:r w:rsidRPr="001C549E">
        <w:rPr>
          <w:rFonts w:ascii="Segoe UI" w:eastAsia="Segoe UI" w:hAnsi="Segoe UI" w:cs="Segoe UI"/>
          <w:color w:val="232330"/>
        </w:rPr>
        <w:t xml:space="preserve"> or</w:t>
      </w:r>
    </w:p>
    <w:p w14:paraId="336A08B1" w14:textId="77777777" w:rsidR="006F5ADC" w:rsidRDefault="006F5ADC" w:rsidP="006F5ADC">
      <w:pPr>
        <w:pStyle w:val="ListParagraph"/>
        <w:numPr>
          <w:ilvl w:val="0"/>
          <w:numId w:val="24"/>
        </w:numPr>
        <w:spacing w:after="110"/>
      </w:pPr>
      <w:r w:rsidRPr="001C549E">
        <w:rPr>
          <w:rFonts w:ascii="Segoe UI" w:eastAsia="Segoe UI" w:hAnsi="Segoe UI" w:cs="Segoe UI"/>
          <w:color w:val="232330"/>
        </w:rPr>
        <w:t>$11,000 or more if you have a partner or dependents.</w:t>
      </w:r>
    </w:p>
    <w:p w14:paraId="05DC430C" w14:textId="77777777" w:rsidR="006F5ADC" w:rsidRDefault="006F5ADC" w:rsidP="006F5ADC">
      <w:pPr>
        <w:spacing w:after="110"/>
      </w:pPr>
      <w:r>
        <w:rPr>
          <w:rFonts w:ascii="Segoe UI" w:eastAsia="Segoe UI" w:hAnsi="Segoe UI" w:cs="Segoe UI"/>
          <w:color w:val="232330"/>
        </w:rPr>
        <w:t xml:space="preserve">In some circumstances, you may be exempt from having to serve a </w:t>
      </w:r>
      <w:proofErr w:type="gramStart"/>
      <w:r>
        <w:rPr>
          <w:rFonts w:ascii="Segoe UI" w:eastAsia="Segoe UI" w:hAnsi="Segoe UI" w:cs="Segoe UI"/>
          <w:color w:val="232330"/>
        </w:rPr>
        <w:t>liquid assets</w:t>
      </w:r>
      <w:proofErr w:type="gramEnd"/>
      <w:r>
        <w:rPr>
          <w:rFonts w:ascii="Segoe UI" w:eastAsia="Segoe UI" w:hAnsi="Segoe UI" w:cs="Segoe UI"/>
          <w:color w:val="232330"/>
        </w:rPr>
        <w:t xml:space="preserve"> waiting period.</w:t>
      </w:r>
    </w:p>
    <w:p w14:paraId="6E04E78B" w14:textId="77777777" w:rsidR="006F5ADC" w:rsidRDefault="006F5ADC" w:rsidP="006F5ADC">
      <w:pPr>
        <w:spacing w:after="110"/>
      </w:pPr>
      <w:r>
        <w:rPr>
          <w:rFonts w:ascii="Segoe UI" w:eastAsia="Segoe UI" w:hAnsi="Segoe UI" w:cs="Segoe UI"/>
          <w:color w:val="232330"/>
        </w:rPr>
        <w:t xml:space="preserve">For example, if you or your partner </w:t>
      </w:r>
      <w:proofErr w:type="gramStart"/>
      <w:r>
        <w:rPr>
          <w:rFonts w:ascii="Segoe UI" w:eastAsia="Segoe UI" w:hAnsi="Segoe UI" w:cs="Segoe UI"/>
          <w:color w:val="232330"/>
        </w:rPr>
        <w:t>have</w:t>
      </w:r>
      <w:proofErr w:type="gramEnd"/>
      <w:r>
        <w:rPr>
          <w:rFonts w:ascii="Segoe UI" w:eastAsia="Segoe UI" w:hAnsi="Segoe UI" w:cs="Segoe UI"/>
          <w:color w:val="232330"/>
        </w:rPr>
        <w:t xml:space="preserve"> served any part of a liquid asset waiting period in the last 12 months, or you've self-served this waiting period before claiming, we will check this while we're assessing your claim.</w:t>
      </w:r>
    </w:p>
    <w:p w14:paraId="4D33A493" w14:textId="77777777" w:rsidR="006F5ADC" w:rsidRDefault="006F5ADC" w:rsidP="006F5ADC">
      <w:pPr>
        <w:spacing w:after="110"/>
      </w:pPr>
      <w:r>
        <w:rPr>
          <w:rFonts w:ascii="Segoe UI" w:eastAsia="Segoe UI" w:hAnsi="Segoe UI" w:cs="Segoe UI"/>
          <w:color w:val="232330"/>
        </w:rPr>
        <w:t>We may be able to reduce your waiting period in certain circumstances.</w:t>
      </w:r>
    </w:p>
    <w:p w14:paraId="513D7697" w14:textId="77777777" w:rsidR="006F5ADC" w:rsidRDefault="006F5ADC" w:rsidP="006F5ADC">
      <w:pPr>
        <w:spacing w:after="110"/>
      </w:pPr>
      <w:r>
        <w:rPr>
          <w:rFonts w:ascii="Segoe UI" w:eastAsia="Segoe UI" w:hAnsi="Segoe UI" w:cs="Segoe UI"/>
          <w:color w:val="232330"/>
        </w:rPr>
        <w:t>If you're experiencing severe financial hardship due to unavoidable or reasonable expenses, which can include reasonable living costs, you'll need to provide proof of essential expenses and other living costs.</w:t>
      </w:r>
    </w:p>
    <w:p w14:paraId="3DFB5ADE" w14:textId="77777777" w:rsidR="006F5ADC" w:rsidRDefault="006F5ADC" w:rsidP="006F5ADC">
      <w:pPr>
        <w:spacing w:after="110"/>
      </w:pPr>
      <w:r>
        <w:rPr>
          <w:rFonts w:ascii="Segoe UI" w:eastAsia="Segoe UI" w:hAnsi="Segoe UI" w:cs="Segoe UI"/>
          <w:color w:val="232330"/>
        </w:rPr>
        <w:t>We have more information about these expenses and costs on our website.</w:t>
      </w:r>
    </w:p>
    <w:p w14:paraId="4560E65D" w14:textId="02AB9752" w:rsidR="007C1389" w:rsidRDefault="006F5ADC" w:rsidP="00415D74">
      <w:pPr>
        <w:spacing w:after="110"/>
        <w:rPr>
          <w:rFonts w:asciiTheme="majorHAnsi" w:hAnsiTheme="majorHAnsi" w:cs="Arial"/>
          <w:b/>
          <w:bCs/>
          <w:kern w:val="32"/>
          <w:sz w:val="40"/>
          <w:szCs w:val="40"/>
        </w:rPr>
      </w:pPr>
      <w:r>
        <w:rPr>
          <w:rFonts w:ascii="Segoe UI" w:eastAsia="Segoe UI" w:hAnsi="Segoe UI" w:cs="Segoe UI"/>
          <w:color w:val="232330"/>
        </w:rPr>
        <w:t xml:space="preserve">Find out more or check if the waiting period applies to you at </w:t>
      </w:r>
      <w:r>
        <w:rPr>
          <w:rFonts w:ascii="Segoe UI" w:eastAsia="Segoe UI" w:hAnsi="Segoe UI" w:cs="Segoe UI"/>
          <w:b/>
          <w:bCs/>
          <w:color w:val="232330"/>
        </w:rPr>
        <w:t>servicesaustralia.gov.au/jobseeker</w:t>
      </w:r>
    </w:p>
    <w:sectPr w:rsidR="007C1389" w:rsidSect="00041CD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616CD" w14:textId="77777777" w:rsidR="00EE6627" w:rsidRDefault="00EE6627">
      <w:r>
        <w:separator/>
      </w:r>
    </w:p>
  </w:endnote>
  <w:endnote w:type="continuationSeparator" w:id="0">
    <w:p w14:paraId="7BB5178C" w14:textId="77777777" w:rsidR="00EE6627" w:rsidRDefault="00EE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61AD" w14:textId="4ACBDCEC" w:rsidR="007B4F51" w:rsidRPr="00C65032" w:rsidRDefault="00C65032" w:rsidP="00C6503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4032" w14:textId="67AAD56B" w:rsidR="007B4F51" w:rsidRPr="00C65032" w:rsidRDefault="00C65032" w:rsidP="00C6503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8F7A" w14:textId="77777777" w:rsidR="00EE6627" w:rsidRDefault="00EE6627">
      <w:r>
        <w:separator/>
      </w:r>
    </w:p>
  </w:footnote>
  <w:footnote w:type="continuationSeparator" w:id="0">
    <w:p w14:paraId="7343D19D" w14:textId="77777777" w:rsidR="00EE6627" w:rsidRDefault="00EE6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F4D3" w14:textId="4A77D561" w:rsidR="00041CDB" w:rsidRPr="00041CDB" w:rsidRDefault="00041CDB" w:rsidP="00041CDB">
    <w:pPr>
      <w:pStyle w:val="Header"/>
      <w:spacing w:after="120"/>
      <w:jc w:val="center"/>
      <w:rPr>
        <w:rFonts w:asciiTheme="minorHAnsi" w:hAnsiTheme="minorHAnsi"/>
        <w:b/>
        <w:bCs/>
        <w:color w:val="FF0000"/>
      </w:rPr>
    </w:pPr>
    <w:bookmarkStart w:id="1" w:name="_Hlk187931112"/>
  </w:p>
  <w:p w14:paraId="143001BF" w14:textId="7404EF3B" w:rsidR="00041CDB" w:rsidRPr="00415BA9" w:rsidRDefault="00415D74" w:rsidP="00041CDB">
    <w:pPr>
      <w:pStyle w:val="BodyText"/>
      <w:pBdr>
        <w:bottom w:val="single" w:sz="4" w:space="3" w:color="auto"/>
      </w:pBdr>
    </w:pPr>
    <w:r>
      <w:t>6717 liquid assets waiting periods</w:t>
    </w:r>
  </w:p>
  <w:bookmarkEnd w:id="1"/>
  <w:p w14:paraId="10BFAD9E" w14:textId="77777777" w:rsidR="00041CDB" w:rsidRDefault="00041CDB" w:rsidP="00041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900E" w14:textId="77777777" w:rsidR="007B4F51" w:rsidRDefault="00041CDB" w:rsidP="0095568B">
    <w:pPr>
      <w:pStyle w:val="Header"/>
      <w:ind w:left="-142"/>
    </w:pPr>
    <w:r>
      <w:rPr>
        <w:noProof/>
      </w:rPr>
      <w:drawing>
        <wp:inline distT="0" distB="0" distL="0" distR="0" wp14:anchorId="219F7553" wp14:editId="7D64C54B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C6F2C"/>
    <w:multiLevelType w:val="hybridMultilevel"/>
    <w:tmpl w:val="57EEB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13F41"/>
    <w:multiLevelType w:val="hybridMultilevel"/>
    <w:tmpl w:val="DE0C1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8"/>
  </w:num>
  <w:num w:numId="2" w16cid:durableId="54861649">
    <w:abstractNumId w:val="5"/>
  </w:num>
  <w:num w:numId="3" w16cid:durableId="763303470">
    <w:abstractNumId w:val="15"/>
  </w:num>
  <w:num w:numId="4" w16cid:durableId="1095901808">
    <w:abstractNumId w:val="6"/>
  </w:num>
  <w:num w:numId="5" w16cid:durableId="1502701863">
    <w:abstractNumId w:val="14"/>
  </w:num>
  <w:num w:numId="6" w16cid:durableId="623775699">
    <w:abstractNumId w:val="7"/>
  </w:num>
  <w:num w:numId="7" w16cid:durableId="1154176510">
    <w:abstractNumId w:val="13"/>
  </w:num>
  <w:num w:numId="8" w16cid:durableId="445584599">
    <w:abstractNumId w:val="17"/>
  </w:num>
  <w:num w:numId="9" w16cid:durableId="1305771394">
    <w:abstractNumId w:val="9"/>
  </w:num>
  <w:num w:numId="10" w16cid:durableId="1944997895">
    <w:abstractNumId w:val="11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4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3"/>
  </w:num>
  <w:num w:numId="18" w16cid:durableId="234358802">
    <w:abstractNumId w:val="0"/>
  </w:num>
  <w:num w:numId="19" w16cid:durableId="2038654332">
    <w:abstractNumId w:val="17"/>
  </w:num>
  <w:num w:numId="20" w16cid:durableId="448471936">
    <w:abstractNumId w:val="16"/>
  </w:num>
  <w:num w:numId="21" w16cid:durableId="1668899484">
    <w:abstractNumId w:val="12"/>
  </w:num>
  <w:num w:numId="22" w16cid:durableId="123550403">
    <w:abstractNumId w:val="13"/>
    <w:lvlOverride w:ilvl="0">
      <w:startOverride w:val="1"/>
    </w:lvlOverride>
  </w:num>
  <w:num w:numId="23" w16cid:durableId="1601720586">
    <w:abstractNumId w:val="8"/>
  </w:num>
  <w:num w:numId="24" w16cid:durableId="476920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0C"/>
    <w:rsid w:val="00026916"/>
    <w:rsid w:val="00041A39"/>
    <w:rsid w:val="00041CDB"/>
    <w:rsid w:val="00062997"/>
    <w:rsid w:val="00082A25"/>
    <w:rsid w:val="00086EA1"/>
    <w:rsid w:val="000C6C57"/>
    <w:rsid w:val="000D0E18"/>
    <w:rsid w:val="000E5887"/>
    <w:rsid w:val="000F770A"/>
    <w:rsid w:val="00112F82"/>
    <w:rsid w:val="001240E8"/>
    <w:rsid w:val="001A1B66"/>
    <w:rsid w:val="001A4EB0"/>
    <w:rsid w:val="001D1F61"/>
    <w:rsid w:val="001D4174"/>
    <w:rsid w:val="001E6CFA"/>
    <w:rsid w:val="001F7324"/>
    <w:rsid w:val="00244CA1"/>
    <w:rsid w:val="00284ADE"/>
    <w:rsid w:val="00290FA5"/>
    <w:rsid w:val="002B70C0"/>
    <w:rsid w:val="002C19E4"/>
    <w:rsid w:val="00300015"/>
    <w:rsid w:val="00360E34"/>
    <w:rsid w:val="00361ECB"/>
    <w:rsid w:val="00372A4E"/>
    <w:rsid w:val="0038253F"/>
    <w:rsid w:val="003A012C"/>
    <w:rsid w:val="003A53A0"/>
    <w:rsid w:val="003B1E78"/>
    <w:rsid w:val="003B453F"/>
    <w:rsid w:val="003F72E8"/>
    <w:rsid w:val="00414BF8"/>
    <w:rsid w:val="0041526C"/>
    <w:rsid w:val="00415BA9"/>
    <w:rsid w:val="00415D74"/>
    <w:rsid w:val="004203AA"/>
    <w:rsid w:val="00426CFE"/>
    <w:rsid w:val="00432428"/>
    <w:rsid w:val="004722D7"/>
    <w:rsid w:val="004E0DA8"/>
    <w:rsid w:val="00504AA8"/>
    <w:rsid w:val="00506052"/>
    <w:rsid w:val="00507EB2"/>
    <w:rsid w:val="00516D40"/>
    <w:rsid w:val="00571396"/>
    <w:rsid w:val="00571C3F"/>
    <w:rsid w:val="00573C0E"/>
    <w:rsid w:val="0058563F"/>
    <w:rsid w:val="005C738D"/>
    <w:rsid w:val="005C7D3C"/>
    <w:rsid w:val="005D2317"/>
    <w:rsid w:val="00622896"/>
    <w:rsid w:val="00645ED4"/>
    <w:rsid w:val="0067371F"/>
    <w:rsid w:val="0067669C"/>
    <w:rsid w:val="006825DB"/>
    <w:rsid w:val="006839C5"/>
    <w:rsid w:val="00685C7C"/>
    <w:rsid w:val="006964A3"/>
    <w:rsid w:val="006974C9"/>
    <w:rsid w:val="006F5ADC"/>
    <w:rsid w:val="00715039"/>
    <w:rsid w:val="00756927"/>
    <w:rsid w:val="00772C06"/>
    <w:rsid w:val="007B4F51"/>
    <w:rsid w:val="007C1389"/>
    <w:rsid w:val="007E7611"/>
    <w:rsid w:val="00801D1A"/>
    <w:rsid w:val="00825245"/>
    <w:rsid w:val="0083510C"/>
    <w:rsid w:val="008457BC"/>
    <w:rsid w:val="00863A82"/>
    <w:rsid w:val="00873080"/>
    <w:rsid w:val="0087534C"/>
    <w:rsid w:val="008968B7"/>
    <w:rsid w:val="008D5D0C"/>
    <w:rsid w:val="00907D7A"/>
    <w:rsid w:val="009174A0"/>
    <w:rsid w:val="00923854"/>
    <w:rsid w:val="00925623"/>
    <w:rsid w:val="00932AA3"/>
    <w:rsid w:val="0095568B"/>
    <w:rsid w:val="00956DFE"/>
    <w:rsid w:val="009635D0"/>
    <w:rsid w:val="00965631"/>
    <w:rsid w:val="0097065D"/>
    <w:rsid w:val="009905A7"/>
    <w:rsid w:val="00995023"/>
    <w:rsid w:val="009A099C"/>
    <w:rsid w:val="009E1E1B"/>
    <w:rsid w:val="009E3B3A"/>
    <w:rsid w:val="009F48B0"/>
    <w:rsid w:val="00A112F0"/>
    <w:rsid w:val="00A16C8F"/>
    <w:rsid w:val="00A2357A"/>
    <w:rsid w:val="00A3536B"/>
    <w:rsid w:val="00A52AE3"/>
    <w:rsid w:val="00A848C2"/>
    <w:rsid w:val="00AC34FD"/>
    <w:rsid w:val="00AC3CE1"/>
    <w:rsid w:val="00AE0688"/>
    <w:rsid w:val="00AE1125"/>
    <w:rsid w:val="00AF4424"/>
    <w:rsid w:val="00B25F72"/>
    <w:rsid w:val="00B362B6"/>
    <w:rsid w:val="00B46C32"/>
    <w:rsid w:val="00B86E2B"/>
    <w:rsid w:val="00B9008C"/>
    <w:rsid w:val="00BB7DE5"/>
    <w:rsid w:val="00BF0990"/>
    <w:rsid w:val="00C021DC"/>
    <w:rsid w:val="00C025D8"/>
    <w:rsid w:val="00C049ED"/>
    <w:rsid w:val="00C15DA5"/>
    <w:rsid w:val="00C207C1"/>
    <w:rsid w:val="00C27EAD"/>
    <w:rsid w:val="00C46EFA"/>
    <w:rsid w:val="00C60743"/>
    <w:rsid w:val="00C65032"/>
    <w:rsid w:val="00C74B43"/>
    <w:rsid w:val="00C87853"/>
    <w:rsid w:val="00CB4F98"/>
    <w:rsid w:val="00CE56A0"/>
    <w:rsid w:val="00D13062"/>
    <w:rsid w:val="00D14B82"/>
    <w:rsid w:val="00D15B45"/>
    <w:rsid w:val="00D220CD"/>
    <w:rsid w:val="00D438FF"/>
    <w:rsid w:val="00D95C6D"/>
    <w:rsid w:val="00DB7DD8"/>
    <w:rsid w:val="00DD49A2"/>
    <w:rsid w:val="00DD517B"/>
    <w:rsid w:val="00DE29B5"/>
    <w:rsid w:val="00E076AE"/>
    <w:rsid w:val="00E27214"/>
    <w:rsid w:val="00E277F4"/>
    <w:rsid w:val="00E31B70"/>
    <w:rsid w:val="00E409B0"/>
    <w:rsid w:val="00E51FC7"/>
    <w:rsid w:val="00E5725A"/>
    <w:rsid w:val="00E63EC2"/>
    <w:rsid w:val="00E768D0"/>
    <w:rsid w:val="00E91438"/>
    <w:rsid w:val="00EA2350"/>
    <w:rsid w:val="00EE6627"/>
    <w:rsid w:val="00EE78F0"/>
    <w:rsid w:val="00F17318"/>
    <w:rsid w:val="00F34E10"/>
    <w:rsid w:val="00F8091B"/>
    <w:rsid w:val="00F85299"/>
    <w:rsid w:val="00F85641"/>
    <w:rsid w:val="00F87A9B"/>
    <w:rsid w:val="00F90B92"/>
    <w:rsid w:val="00FA7748"/>
    <w:rsid w:val="00FC364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004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6839C5"/>
    <w:pPr>
      <w:spacing w:before="48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6839C5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table" w:styleId="GridTable2">
    <w:name w:val="Grid Table 2"/>
    <w:basedOn w:val="TableNormal"/>
    <w:uiPriority w:val="47"/>
    <w:rsid w:val="007C13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qFormat/>
    <w:rsid w:val="006F5ADC"/>
  </w:style>
  <w:style w:type="character" w:styleId="FollowedHyperlink">
    <w:name w:val="FollowedHyperlink"/>
    <w:basedOn w:val="DefaultParagraphFont"/>
    <w:rsid w:val="00415D74"/>
    <w:rPr>
      <w:color w:val="1B365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0BFADE9B4C45A8337931D707D62B" ma:contentTypeVersion="18" ma:contentTypeDescription="Create a new document." ma:contentTypeScope="" ma:versionID="4362160e2fc6ecb935ea911f36a84d27">
  <xsd:schema xmlns:xsd="http://www.w3.org/2001/XMLSchema" xmlns:xs="http://www.w3.org/2001/XMLSchema" xmlns:p="http://schemas.microsoft.com/office/2006/metadata/properties" xmlns:ns1="http://schemas.microsoft.com/sharepoint/v3" xmlns:ns2="38b7459e-eee1-4203-af9f-c5496284dcdf" xmlns:ns3="bda415e6-e861-499c-b863-0e74d60c9b03" targetNamespace="http://schemas.microsoft.com/office/2006/metadata/properties" ma:root="true" ma:fieldsID="4b8c838e5ba25ac6dd20660fec6441e4" ns1:_="" ns2:_="" ns3:_="">
    <xsd:import namespace="http://schemas.microsoft.com/sharepoint/v3"/>
    <xsd:import namespace="38b7459e-eee1-4203-af9f-c5496284dcdf"/>
    <xsd:import namespace="bda415e6-e861-499c-b863-0e74d60c9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459e-eee1-4203-af9f-c5496284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15e6-e861-499c-b863-0e74d60c9b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8dac0-56c1-4b42-b4eb-f88ec2aa26da}" ma:internalName="TaxCatchAll" ma:showField="CatchAllData" ma:web="bda415e6-e861-499c-b863-0e74d60c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a415e6-e861-499c-b863-0e74d60c9b03" xsi:nil="true"/>
    <Date xmlns="38b7459e-eee1-4203-af9f-c5496284dcdf" xsi:nil="true"/>
    <_ip_UnifiedCompliancePolicyProperties xmlns="http://schemas.microsoft.com/sharepoint/v3" xsi:nil="true"/>
    <lcf76f155ced4ddcb4097134ff3c332f xmlns="38b7459e-eee1-4203-af9f-c5496284dc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9BA62-2566-4B48-8E14-764D9F83D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62A78-CA6C-4E52-B25C-82D451F82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b7459e-eee1-4203-af9f-c5496284dcdf"/>
    <ds:schemaRef ds:uri="bda415e6-e861-499c-b863-0e74d60c9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329EC-5A8D-4BF7-AC2C-3D2C75DE3B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a415e6-e861-499c-b863-0e74d60c9b03"/>
    <ds:schemaRef ds:uri="38b7459e-eee1-4203-af9f-c5496284dcdf"/>
  </ds:schemaRefs>
</ds:datastoreItem>
</file>

<file path=customXml/itemProps4.xml><?xml version="1.0" encoding="utf-8"?>
<ds:datastoreItem xmlns:ds="http://schemas.openxmlformats.org/officeDocument/2006/customXml" ds:itemID="{01160F3D-FEA2-4AD6-AFB7-38DBAA66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6717-liquid-assets-waiting-periods- transcript</vt:lpstr>
    </vt:vector>
  </TitlesOfParts>
  <Manager/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liquid asset waiting period transcript</dc:title>
  <dc:subject/>
  <dc:creator>Services Australia</dc:creator>
  <dc:description/>
  <cp:lastModifiedBy/>
  <cp:revision>1</cp:revision>
  <dcterms:created xsi:type="dcterms:W3CDTF">2026-01-06T05:27:00Z</dcterms:created>
  <dcterms:modified xsi:type="dcterms:W3CDTF">2026-01-07T02:51:00Z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0x0101000AFA0BFADE9B4C45A8337931D707D62B</vt:lpwstr>
  </property>
</Properties>
</file>